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C1" w:rsidRDefault="00864EC1">
      <w:pPr>
        <w:rPr>
          <w:rFonts w:ascii="Times New Roman" w:hAnsi="Times New Roman"/>
        </w:rPr>
      </w:pPr>
      <w:bookmarkStart w:id="0" w:name="_GoBack"/>
      <w:bookmarkEnd w:id="0"/>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C6376C">
      <w:pPr>
        <w:pBdr>
          <w:top w:val="single" w:sz="4" w:space="1" w:color="000000"/>
          <w:left w:val="single" w:sz="4" w:space="4" w:color="000000"/>
          <w:bottom w:val="single" w:sz="4" w:space="1" w:color="000000"/>
          <w:right w:val="single" w:sz="4" w:space="4" w:color="000000"/>
        </w:pBdr>
        <w:jc w:val="center"/>
        <w:rPr>
          <w:rFonts w:ascii="Times New Roman" w:hAnsi="Times New Roman"/>
          <w:b/>
          <w:sz w:val="32"/>
          <w:szCs w:val="32"/>
        </w:rPr>
      </w:pPr>
      <w:r>
        <w:rPr>
          <w:rFonts w:ascii="Times New Roman" w:hAnsi="Times New Roman"/>
          <w:b/>
          <w:sz w:val="32"/>
          <w:szCs w:val="32"/>
        </w:rPr>
        <w:t>Rapport de l’évaluation finale du programme conjoint d’appui à l’Observatoire national de développement humain (ONDH)</w:t>
      </w: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rPr>
          <w:rFonts w:ascii="Times New Roman" w:hAnsi="Times New Roman"/>
        </w:rPr>
      </w:pPr>
    </w:p>
    <w:p w:rsidR="00864EC1" w:rsidRDefault="00864EC1">
      <w:pPr>
        <w:jc w:val="both"/>
        <w:rPr>
          <w:rFonts w:ascii="Times New Roman" w:hAnsi="Times New Roman"/>
        </w:rPr>
      </w:pPr>
    </w:p>
    <w:p w:rsidR="00864EC1" w:rsidRDefault="00C6376C">
      <w:pPr>
        <w:pStyle w:val="En-ttedetabledesmatires"/>
        <w:outlineLvl w:val="9"/>
      </w:pPr>
      <w:bookmarkStart w:id="1" w:name="_Toc451653129"/>
      <w:bookmarkStart w:id="2" w:name="_Toc451442668"/>
      <w:bookmarkStart w:id="3" w:name="_Toc435621710"/>
      <w:bookmarkStart w:id="4" w:name="_Toc435622038"/>
      <w:bookmarkStart w:id="5" w:name="_Toc435657019"/>
      <w:bookmarkStart w:id="6" w:name="_Toc435722882"/>
      <w:r>
        <w:lastRenderedPageBreak/>
        <w:t>Table des matières</w:t>
      </w:r>
      <w:bookmarkEnd w:id="1"/>
    </w:p>
    <w:p w:rsidR="00864EC1" w:rsidRDefault="00C6376C">
      <w:pPr>
        <w:pStyle w:val="TM1"/>
        <w:tabs>
          <w:tab w:val="right" w:leader="dot" w:pos="9122"/>
        </w:tabs>
      </w:pPr>
      <w:r>
        <w:rPr>
          <w:rFonts w:ascii="Cambria" w:eastAsia="Times New Roman" w:hAnsi="Cambria"/>
          <w:b/>
          <w:bCs/>
          <w:color w:val="365F91"/>
          <w:sz w:val="28"/>
          <w:szCs w:val="28"/>
          <w:lang w:eastAsia="fr-FR"/>
        </w:rPr>
        <w:fldChar w:fldCharType="begin"/>
      </w:r>
      <w:r>
        <w:instrText xml:space="preserve"> TOC \o "1-3" \h </w:instrText>
      </w:r>
      <w:r>
        <w:rPr>
          <w:rFonts w:ascii="Cambria" w:eastAsia="Times New Roman" w:hAnsi="Cambria"/>
          <w:b/>
          <w:bCs/>
          <w:color w:val="365F91"/>
          <w:sz w:val="28"/>
          <w:szCs w:val="28"/>
          <w:lang w:eastAsia="fr-FR"/>
        </w:rPr>
        <w:fldChar w:fldCharType="separate"/>
      </w:r>
      <w:hyperlink r:id="rId7" w:history="1">
        <w:r>
          <w:rPr>
            <w:rStyle w:val="Lienhypertexte"/>
          </w:rPr>
          <w:t>Table des matières</w:t>
        </w:r>
        <w:r>
          <w:tab/>
          <w:t>2</w:t>
        </w:r>
      </w:hyperlink>
    </w:p>
    <w:p w:rsidR="00864EC1" w:rsidRDefault="00C6376C">
      <w:pPr>
        <w:pStyle w:val="TM2"/>
        <w:tabs>
          <w:tab w:val="right" w:leader="dot" w:pos="9122"/>
        </w:tabs>
      </w:pPr>
      <w:hyperlink r:id="rId8" w:history="1">
        <w:r>
          <w:rPr>
            <w:rStyle w:val="Lienhypertexte"/>
          </w:rPr>
          <w:t>Abréviations, sigles et acronymes</w:t>
        </w:r>
        <w:r>
          <w:tab/>
          <w:t>3</w:t>
        </w:r>
      </w:hyperlink>
    </w:p>
    <w:p w:rsidR="00864EC1" w:rsidRDefault="00C6376C">
      <w:pPr>
        <w:pStyle w:val="TM2"/>
        <w:tabs>
          <w:tab w:val="right" w:leader="dot" w:pos="9122"/>
        </w:tabs>
      </w:pPr>
      <w:hyperlink r:id="rId9" w:history="1">
        <w:r>
          <w:rPr>
            <w:rStyle w:val="Lienhypertexte"/>
          </w:rPr>
          <w:t>REMERCIEMENTS</w:t>
        </w:r>
        <w:r>
          <w:tab/>
          <w:t>4</w:t>
        </w:r>
      </w:hyperlink>
    </w:p>
    <w:p w:rsidR="00864EC1" w:rsidRDefault="00C6376C">
      <w:pPr>
        <w:pStyle w:val="TM2"/>
        <w:tabs>
          <w:tab w:val="right" w:leader="dot" w:pos="9122"/>
        </w:tabs>
      </w:pPr>
      <w:hyperlink r:id="rId10" w:history="1">
        <w:r>
          <w:rPr>
            <w:rStyle w:val="Lienhypertexte"/>
          </w:rPr>
          <w:t>Résumé exécutif</w:t>
        </w:r>
        <w:r>
          <w:tab/>
          <w:t>5</w:t>
        </w:r>
      </w:hyperlink>
    </w:p>
    <w:p w:rsidR="00864EC1" w:rsidRDefault="00C6376C">
      <w:pPr>
        <w:pStyle w:val="TM2"/>
        <w:tabs>
          <w:tab w:val="right" w:leader="dot" w:pos="9122"/>
        </w:tabs>
      </w:pPr>
      <w:hyperlink r:id="rId11" w:history="1">
        <w:r>
          <w:rPr>
            <w:rStyle w:val="Lienhypertexte"/>
          </w:rPr>
          <w:t>Intro</w:t>
        </w:r>
        <w:r>
          <w:rPr>
            <w:rStyle w:val="Lienhypertexte"/>
          </w:rPr>
          <w:t>duction</w:t>
        </w:r>
        <w:r>
          <w:tab/>
          <w:t>9</w:t>
        </w:r>
      </w:hyperlink>
    </w:p>
    <w:p w:rsidR="00864EC1" w:rsidRDefault="00C6376C">
      <w:pPr>
        <w:pStyle w:val="TM2"/>
        <w:tabs>
          <w:tab w:val="right" w:leader="dot" w:pos="9122"/>
        </w:tabs>
      </w:pPr>
      <w:hyperlink r:id="rId12" w:history="1">
        <w:r>
          <w:rPr>
            <w:rStyle w:val="Lienhypertexte"/>
          </w:rPr>
          <w:t>I - Objectifs, critères d’évaluation, questions évaluatives et méthodologie de l’évaluation</w:t>
        </w:r>
        <w:r>
          <w:tab/>
          <w:t>10</w:t>
        </w:r>
      </w:hyperlink>
    </w:p>
    <w:p w:rsidR="00864EC1" w:rsidRDefault="00C6376C">
      <w:pPr>
        <w:pStyle w:val="TM3"/>
        <w:tabs>
          <w:tab w:val="right" w:leader="dot" w:pos="9122"/>
        </w:tabs>
      </w:pPr>
      <w:hyperlink r:id="rId13" w:history="1">
        <w:r>
          <w:rPr>
            <w:rStyle w:val="Lienhypertexte"/>
          </w:rPr>
          <w:t>I.1 - Objectifs global et spécifiques</w:t>
        </w:r>
        <w:r>
          <w:tab/>
          <w:t>10</w:t>
        </w:r>
      </w:hyperlink>
    </w:p>
    <w:p w:rsidR="00864EC1" w:rsidRDefault="00C6376C">
      <w:pPr>
        <w:pStyle w:val="TM3"/>
        <w:tabs>
          <w:tab w:val="right" w:leader="dot" w:pos="9122"/>
        </w:tabs>
      </w:pPr>
      <w:hyperlink r:id="rId14" w:history="1">
        <w:r>
          <w:rPr>
            <w:rStyle w:val="Lienhypertexte"/>
          </w:rPr>
          <w:t>I.2 - Critères</w:t>
        </w:r>
        <w:r>
          <w:rPr>
            <w:rStyle w:val="Lienhypertexte"/>
          </w:rPr>
          <w:t xml:space="preserve"> d’évaluation et questions évaluatives</w:t>
        </w:r>
        <w:r>
          <w:tab/>
          <w:t>11</w:t>
        </w:r>
      </w:hyperlink>
    </w:p>
    <w:p w:rsidR="00864EC1" w:rsidRDefault="00C6376C">
      <w:pPr>
        <w:pStyle w:val="TM3"/>
        <w:tabs>
          <w:tab w:val="right" w:leader="dot" w:pos="9122"/>
        </w:tabs>
      </w:pPr>
      <w:hyperlink r:id="rId15" w:history="1">
        <w:r>
          <w:rPr>
            <w:rStyle w:val="Lienhypertexte"/>
          </w:rPr>
          <w:t>I.3 - Méthodologie de l’évaluation</w:t>
        </w:r>
        <w:r>
          <w:tab/>
          <w:t>11</w:t>
        </w:r>
      </w:hyperlink>
    </w:p>
    <w:p w:rsidR="00864EC1" w:rsidRDefault="00C6376C">
      <w:pPr>
        <w:pStyle w:val="TM2"/>
        <w:tabs>
          <w:tab w:val="right" w:leader="dot" w:pos="9122"/>
        </w:tabs>
      </w:pPr>
      <w:hyperlink r:id="rId16" w:history="1">
        <w:r>
          <w:rPr>
            <w:rStyle w:val="Lienhypertexte"/>
          </w:rPr>
          <w:t>II - Description succincte et appréciation de la qualité de la matrice des résultats du programme conjoint</w:t>
        </w:r>
        <w:r>
          <w:tab/>
          <w:t>12</w:t>
        </w:r>
      </w:hyperlink>
    </w:p>
    <w:p w:rsidR="00864EC1" w:rsidRDefault="00C6376C">
      <w:pPr>
        <w:pStyle w:val="TM3"/>
        <w:tabs>
          <w:tab w:val="right" w:leader="dot" w:pos="9122"/>
        </w:tabs>
      </w:pPr>
      <w:hyperlink r:id="rId17" w:history="1">
        <w:r>
          <w:rPr>
            <w:rStyle w:val="Lienhypertexte"/>
          </w:rPr>
          <w:t>II.1 - Description succincte du programme conjoint</w:t>
        </w:r>
        <w:r>
          <w:tab/>
          <w:t>12</w:t>
        </w:r>
      </w:hyperlink>
    </w:p>
    <w:p w:rsidR="00864EC1" w:rsidRDefault="00C6376C">
      <w:pPr>
        <w:pStyle w:val="TM3"/>
        <w:tabs>
          <w:tab w:val="right" w:leader="dot" w:pos="9122"/>
        </w:tabs>
      </w:pPr>
      <w:hyperlink r:id="rId18" w:history="1">
        <w:r>
          <w:rPr>
            <w:rStyle w:val="Lienhypertexte"/>
          </w:rPr>
          <w:t>II.2 - Appréciation de la qualité de la matrice des résultats</w:t>
        </w:r>
        <w:r>
          <w:tab/>
          <w:t>14</w:t>
        </w:r>
      </w:hyperlink>
    </w:p>
    <w:p w:rsidR="00864EC1" w:rsidRDefault="00C6376C">
      <w:pPr>
        <w:pStyle w:val="TM2"/>
        <w:tabs>
          <w:tab w:val="right" w:leader="dot" w:pos="9122"/>
        </w:tabs>
      </w:pPr>
      <w:hyperlink r:id="rId19" w:history="1">
        <w:r>
          <w:rPr>
            <w:rStyle w:val="Lienhypertexte"/>
          </w:rPr>
          <w:t>III - Pertinence et performances de la mise</w:t>
        </w:r>
        <w:r>
          <w:rPr>
            <w:rStyle w:val="Lienhypertexte"/>
          </w:rPr>
          <w:t xml:space="preserve"> en œuvre du programme conjoint</w:t>
        </w:r>
        <w:r>
          <w:tab/>
          <w:t>18</w:t>
        </w:r>
      </w:hyperlink>
    </w:p>
    <w:p w:rsidR="00864EC1" w:rsidRDefault="00C6376C">
      <w:pPr>
        <w:pStyle w:val="TM3"/>
        <w:tabs>
          <w:tab w:val="right" w:leader="dot" w:pos="9122"/>
        </w:tabs>
      </w:pPr>
      <w:hyperlink r:id="rId20" w:history="1">
        <w:r>
          <w:rPr>
            <w:rStyle w:val="Lienhypertexte"/>
          </w:rPr>
          <w:t>III.1 - Pertinence du programme conjoint</w:t>
        </w:r>
        <w:r>
          <w:tab/>
          <w:t>18</w:t>
        </w:r>
      </w:hyperlink>
    </w:p>
    <w:p w:rsidR="00864EC1" w:rsidRDefault="00C6376C">
      <w:pPr>
        <w:pStyle w:val="TM3"/>
        <w:tabs>
          <w:tab w:val="right" w:leader="dot" w:pos="9122"/>
        </w:tabs>
      </w:pPr>
      <w:hyperlink r:id="rId21" w:history="1">
        <w:r>
          <w:rPr>
            <w:rStyle w:val="Lienhypertexte"/>
          </w:rPr>
          <w:t>III.2  - Performances de la mise en œuvre du programme conjoint</w:t>
        </w:r>
        <w:r>
          <w:tab/>
          <w:t>21</w:t>
        </w:r>
      </w:hyperlink>
    </w:p>
    <w:p w:rsidR="00864EC1" w:rsidRDefault="00C6376C">
      <w:pPr>
        <w:pStyle w:val="TM2"/>
        <w:tabs>
          <w:tab w:val="right" w:leader="dot" w:pos="9122"/>
        </w:tabs>
      </w:pPr>
      <w:hyperlink r:id="rId22" w:history="1">
        <w:r>
          <w:rPr>
            <w:rStyle w:val="Lienhypertexte"/>
          </w:rPr>
          <w:t xml:space="preserve">IV - </w:t>
        </w:r>
        <w:r>
          <w:rPr>
            <w:rStyle w:val="Lienhypertexte"/>
          </w:rPr>
          <w:t>Gouvernance du programme conjoint</w:t>
        </w:r>
        <w:r>
          <w:tab/>
          <w:t>37</w:t>
        </w:r>
      </w:hyperlink>
    </w:p>
    <w:p w:rsidR="00864EC1" w:rsidRDefault="00C6376C">
      <w:pPr>
        <w:pStyle w:val="TM2"/>
        <w:tabs>
          <w:tab w:val="right" w:leader="dot" w:pos="9122"/>
        </w:tabs>
      </w:pPr>
      <w:hyperlink r:id="rId23" w:history="1">
        <w:r>
          <w:rPr>
            <w:rStyle w:val="Lienhypertexte"/>
          </w:rPr>
          <w:t>V - Développement des partenariats et coopération Sud-sud</w:t>
        </w:r>
        <w:r>
          <w:tab/>
          <w:t>38</w:t>
        </w:r>
      </w:hyperlink>
    </w:p>
    <w:p w:rsidR="00864EC1" w:rsidRDefault="00C6376C">
      <w:pPr>
        <w:pStyle w:val="TM2"/>
        <w:tabs>
          <w:tab w:val="right" w:leader="dot" w:pos="9122"/>
        </w:tabs>
      </w:pPr>
      <w:hyperlink r:id="rId24" w:history="1">
        <w:r>
          <w:rPr>
            <w:rStyle w:val="Lienhypertexte"/>
          </w:rPr>
          <w:t>VI - Gestion des connaissances et communication</w:t>
        </w:r>
        <w:r>
          <w:tab/>
          <w:t>39</w:t>
        </w:r>
      </w:hyperlink>
    </w:p>
    <w:p w:rsidR="00864EC1" w:rsidRDefault="00C6376C">
      <w:pPr>
        <w:pStyle w:val="TM2"/>
        <w:tabs>
          <w:tab w:val="right" w:leader="dot" w:pos="9122"/>
        </w:tabs>
      </w:pPr>
      <w:hyperlink r:id="rId25" w:history="1">
        <w:r>
          <w:rPr>
            <w:rStyle w:val="Lienhypertexte"/>
          </w:rPr>
          <w:t>VII - Piste</w:t>
        </w:r>
        <w:r>
          <w:rPr>
            <w:rStyle w:val="Lienhypertexte"/>
          </w:rPr>
          <w:t>s de réflexion et d’action à explorer pour le positionnement stratégique de l’ONDH</w:t>
        </w:r>
        <w:r>
          <w:tab/>
          <w:t>40</w:t>
        </w:r>
      </w:hyperlink>
    </w:p>
    <w:p w:rsidR="00864EC1" w:rsidRDefault="00C6376C">
      <w:pPr>
        <w:pStyle w:val="TM3"/>
        <w:tabs>
          <w:tab w:val="right" w:leader="dot" w:pos="9122"/>
        </w:tabs>
      </w:pPr>
      <w:hyperlink r:id="rId26" w:history="1">
        <w:r>
          <w:rPr>
            <w:rStyle w:val="Lienhypertexte"/>
          </w:rPr>
          <w:t>VII.1 - Pistes à explorer pour le choix de la stratégie d’intervention</w:t>
        </w:r>
        <w:r>
          <w:tab/>
          <w:t>40</w:t>
        </w:r>
      </w:hyperlink>
    </w:p>
    <w:p w:rsidR="00864EC1" w:rsidRDefault="00C6376C">
      <w:pPr>
        <w:pStyle w:val="TM3"/>
        <w:tabs>
          <w:tab w:val="right" w:leader="dot" w:pos="9122"/>
        </w:tabs>
      </w:pPr>
      <w:hyperlink r:id="rId27" w:history="1">
        <w:r>
          <w:rPr>
            <w:rStyle w:val="Lienhypertexte"/>
          </w:rPr>
          <w:t>VII.2 - Pistes à explorer pour l</w:t>
        </w:r>
        <w:r>
          <w:rPr>
            <w:rStyle w:val="Lienhypertexte"/>
          </w:rPr>
          <w:t>e choix des chantiers stratégiques et des niches</w:t>
        </w:r>
        <w:r>
          <w:tab/>
          <w:t>42</w:t>
        </w:r>
      </w:hyperlink>
    </w:p>
    <w:p w:rsidR="00864EC1" w:rsidRDefault="00C6376C">
      <w:pPr>
        <w:pStyle w:val="TM3"/>
        <w:tabs>
          <w:tab w:val="right" w:leader="dot" w:pos="9122"/>
        </w:tabs>
      </w:pPr>
      <w:hyperlink r:id="rId28" w:history="1">
        <w:r>
          <w:rPr>
            <w:rStyle w:val="Lienhypertexte"/>
          </w:rPr>
          <w:t>VII.3 - Pistes de réflexion à explorer sur l’articulation entre le positionnement stratégique et le  changement organisationnel</w:t>
        </w:r>
        <w:r>
          <w:tab/>
          <w:t>49</w:t>
        </w:r>
      </w:hyperlink>
    </w:p>
    <w:p w:rsidR="00864EC1" w:rsidRDefault="00C6376C">
      <w:pPr>
        <w:pStyle w:val="TM2"/>
        <w:tabs>
          <w:tab w:val="right" w:leader="dot" w:pos="9122"/>
        </w:tabs>
      </w:pPr>
      <w:hyperlink r:id="rId29" w:history="1">
        <w:r>
          <w:rPr>
            <w:rStyle w:val="Lienhypertexte"/>
          </w:rPr>
          <w:t>VIII - Le</w:t>
        </w:r>
        <w:r>
          <w:rPr>
            <w:rStyle w:val="Lienhypertexte"/>
          </w:rPr>
          <w:t>çons apprises, bonnes pratiques et recommandations</w:t>
        </w:r>
        <w:r>
          <w:tab/>
          <w:t>50</w:t>
        </w:r>
      </w:hyperlink>
    </w:p>
    <w:p w:rsidR="00864EC1" w:rsidRDefault="00C6376C">
      <w:pPr>
        <w:pStyle w:val="TM3"/>
        <w:tabs>
          <w:tab w:val="right" w:leader="dot" w:pos="9122"/>
        </w:tabs>
      </w:pPr>
      <w:hyperlink r:id="rId30" w:history="1">
        <w:r>
          <w:rPr>
            <w:rStyle w:val="Lienhypertexte"/>
          </w:rPr>
          <w:t>VIII.1 - Leçons apprises</w:t>
        </w:r>
        <w:r>
          <w:tab/>
          <w:t>50</w:t>
        </w:r>
      </w:hyperlink>
    </w:p>
    <w:p w:rsidR="00864EC1" w:rsidRDefault="00C6376C">
      <w:pPr>
        <w:pStyle w:val="TM3"/>
        <w:tabs>
          <w:tab w:val="right" w:leader="dot" w:pos="9122"/>
        </w:tabs>
      </w:pPr>
      <w:hyperlink r:id="rId31" w:history="1">
        <w:r>
          <w:rPr>
            <w:rStyle w:val="Lienhypertexte"/>
          </w:rPr>
          <w:t>VIII.2 - Bonnes pratiques</w:t>
        </w:r>
        <w:r>
          <w:tab/>
          <w:t>51</w:t>
        </w:r>
      </w:hyperlink>
    </w:p>
    <w:p w:rsidR="00864EC1" w:rsidRDefault="00C6376C">
      <w:pPr>
        <w:pStyle w:val="TM3"/>
        <w:tabs>
          <w:tab w:val="right" w:leader="dot" w:pos="9122"/>
        </w:tabs>
      </w:pPr>
      <w:hyperlink r:id="rId32" w:history="1">
        <w:r>
          <w:rPr>
            <w:rStyle w:val="Lienhypertexte"/>
          </w:rPr>
          <w:t>VIII.1 - Recommandations</w:t>
        </w:r>
        <w:r>
          <w:tab/>
          <w:t>51</w:t>
        </w:r>
      </w:hyperlink>
    </w:p>
    <w:p w:rsidR="00864EC1" w:rsidRDefault="00C6376C">
      <w:pPr>
        <w:pStyle w:val="TM2"/>
        <w:tabs>
          <w:tab w:val="right" w:leader="dot" w:pos="9122"/>
        </w:tabs>
      </w:pPr>
      <w:hyperlink r:id="rId33" w:history="1">
        <w:r>
          <w:rPr>
            <w:rStyle w:val="Lienhypertexte"/>
          </w:rPr>
          <w:t>Conclusion</w:t>
        </w:r>
        <w:r>
          <w:tab/>
          <w:t>54</w:t>
        </w:r>
      </w:hyperlink>
    </w:p>
    <w:p w:rsidR="00864EC1" w:rsidRDefault="00C6376C">
      <w:pPr>
        <w:pStyle w:val="TM1"/>
        <w:tabs>
          <w:tab w:val="right" w:leader="dot" w:pos="9122"/>
        </w:tabs>
      </w:pPr>
      <w:hyperlink r:id="rId34" w:history="1">
        <w:r>
          <w:rPr>
            <w:rStyle w:val="Lienhypertexte"/>
          </w:rPr>
          <w:t>ANNEXES</w:t>
        </w:r>
        <w:r>
          <w:tab/>
          <w:t>55</w:t>
        </w:r>
      </w:hyperlink>
    </w:p>
    <w:p w:rsidR="00864EC1" w:rsidRDefault="00C6376C">
      <w:pPr>
        <w:pStyle w:val="TM2"/>
        <w:tabs>
          <w:tab w:val="right" w:leader="dot" w:pos="9122"/>
        </w:tabs>
      </w:pPr>
      <w:hyperlink r:id="rId35" w:history="1">
        <w:r>
          <w:rPr>
            <w:rStyle w:val="Lienhypertexte"/>
          </w:rPr>
          <w:t xml:space="preserve">Annexe 1 : </w:t>
        </w:r>
        <w:r>
          <w:rPr>
            <w:rStyle w:val="Lienhypertexte"/>
            <w:lang w:eastAsia="fr-FR"/>
          </w:rPr>
          <w:t>Matrice d’évaluation du programme conjoint d’appui à l’ONDH</w:t>
        </w:r>
        <w:r>
          <w:tab/>
          <w:t>55</w:t>
        </w:r>
      </w:hyperlink>
    </w:p>
    <w:p w:rsidR="00864EC1" w:rsidRDefault="00C6376C">
      <w:pPr>
        <w:pStyle w:val="TM2"/>
        <w:tabs>
          <w:tab w:val="right" w:leader="dot" w:pos="9122"/>
        </w:tabs>
      </w:pPr>
      <w:hyperlink r:id="rId36" w:history="1">
        <w:r>
          <w:rPr>
            <w:rStyle w:val="Lienhypertexte"/>
          </w:rPr>
          <w:t>Annexe 2 : Matrice des recommandations</w:t>
        </w:r>
        <w:r>
          <w:tab/>
          <w:t>67</w:t>
        </w:r>
      </w:hyperlink>
    </w:p>
    <w:p w:rsidR="00864EC1" w:rsidRDefault="00C6376C">
      <w:pPr>
        <w:pStyle w:val="TM2"/>
        <w:tabs>
          <w:tab w:val="right" w:leader="dot" w:pos="9122"/>
        </w:tabs>
      </w:pPr>
      <w:hyperlink r:id="rId37" w:history="1">
        <w:r>
          <w:rPr>
            <w:rStyle w:val="Lienhypertexte"/>
          </w:rPr>
          <w:t>Annexe 3 : Liste de personnes rencontrées</w:t>
        </w:r>
        <w:r>
          <w:tab/>
          <w:t>71</w:t>
        </w:r>
      </w:hyperlink>
    </w:p>
    <w:p w:rsidR="00864EC1" w:rsidRDefault="00C6376C">
      <w:pPr>
        <w:pStyle w:val="TM2"/>
        <w:tabs>
          <w:tab w:val="right" w:leader="dot" w:pos="9122"/>
        </w:tabs>
      </w:pPr>
      <w:hyperlink r:id="rId38" w:history="1">
        <w:r>
          <w:rPr>
            <w:rStyle w:val="Lienhypertexte"/>
          </w:rPr>
          <w:t>Annexe 4 : Liste des documents consultés</w:t>
        </w:r>
        <w:r>
          <w:tab/>
          <w:t>72</w:t>
        </w:r>
      </w:hyperlink>
    </w:p>
    <w:p w:rsidR="00864EC1" w:rsidRDefault="00C6376C">
      <w:r>
        <w:lastRenderedPageBreak/>
        <w:fldChar w:fldCharType="end"/>
      </w:r>
      <w:bookmarkStart w:id="7" w:name="_Toc451652728"/>
      <w:bookmarkStart w:id="8" w:name="_Toc451653130"/>
    </w:p>
    <w:p w:rsidR="00864EC1" w:rsidRDefault="00C6376C">
      <w:pPr>
        <w:pStyle w:val="Titre2"/>
      </w:pPr>
      <w:r>
        <w:t>Abréviations, sigles et acronymes</w:t>
      </w:r>
      <w:bookmarkEnd w:id="2"/>
      <w:bookmarkEnd w:id="7"/>
      <w:bookmarkEnd w:id="8"/>
      <w:r>
        <w:t xml:space="preserve"> </w:t>
      </w:r>
    </w:p>
    <w:tbl>
      <w:tblPr>
        <w:tblW w:w="9288" w:type="dxa"/>
        <w:tblCellMar>
          <w:left w:w="10" w:type="dxa"/>
          <w:right w:w="10" w:type="dxa"/>
        </w:tblCellMar>
        <w:tblLook w:val="04A0" w:firstRow="1" w:lastRow="0" w:firstColumn="1" w:lastColumn="0" w:noHBand="0" w:noVBand="1"/>
      </w:tblPr>
      <w:tblGrid>
        <w:gridCol w:w="1671"/>
        <w:gridCol w:w="7617"/>
      </w:tblGrid>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 xml:space="preserve">AME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Association marocaine de l’évaluation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 xml:space="preserve">CRES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Centre d’études</w:t>
            </w:r>
            <w:r>
              <w:rPr>
                <w:rFonts w:ascii="Times New Roman" w:hAnsi="Times New Roman"/>
                <w:b/>
                <w:i/>
              </w:rPr>
              <w:t xml:space="preserve"> et de recherches sociales Tunisie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 xml:space="preserve">CONEVAL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Conseil national de l’évaluation des politiques publiques de développement social au Mexique</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GAR</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Gestion Axée sur les Résultats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 xml:space="preserve">GRD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Gestion Axée sur les Résultats d développement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GTSE</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Groupe de Travail Su</w:t>
            </w:r>
            <w:r>
              <w:rPr>
                <w:rFonts w:ascii="Times New Roman" w:hAnsi="Times New Roman"/>
                <w:b/>
                <w:i/>
              </w:rPr>
              <w:t xml:space="preserve">ivi et Evaluation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HCP</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Haut-Commissariat au Plan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INDH</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Initiative National de Développement Humain</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 xml:space="preserve">OPHI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tabs>
                <w:tab w:val="left" w:pos="3546"/>
              </w:tabs>
              <w:spacing w:after="0" w:line="240" w:lineRule="auto"/>
              <w:jc w:val="both"/>
              <w:textAlignment w:val="auto"/>
              <w:rPr>
                <w:rFonts w:ascii="Times New Roman" w:hAnsi="Times New Roman"/>
                <w:b/>
                <w:i/>
              </w:rPr>
            </w:pP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 xml:space="preserve">ODD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Objectifs de développement durable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 xml:space="preserve">OMD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Objectif du Millénaire pour le Développement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ONG</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Organisation Non Gouvernementale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ONDH</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Observatoire National de Développement Humain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 xml:space="preserve">ONUFEMMES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Entité des Nations Unies pour l’égalité des sexes et l’autonomisation de la femme</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OSC</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Organisation de la Société Civile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PIB</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Produit Intérieur Brut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PTA</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Plan de Travail  Annuel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PNUD</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Programme </w:t>
            </w:r>
            <w:r>
              <w:rPr>
                <w:rFonts w:ascii="Times New Roman" w:hAnsi="Times New Roman"/>
                <w:b/>
                <w:i/>
              </w:rPr>
              <w:t xml:space="preserve">des Nations Unies pour le développement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SI</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Système d’information</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SIT</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Système d’information territorial</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SMART</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Specific - Mesurable - Attainable-Relevant-Trackable</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SNU</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Système des Nations Unies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TDR</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Termes de Référence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UGP</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Unité de gestion </w:t>
            </w:r>
          </w:p>
        </w:tc>
      </w:tr>
      <w:tr w:rsidR="00864EC1" w:rsidRPr="00AD0B06">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 xml:space="preserve">UNDAF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lang w:val="en-US"/>
              </w:rPr>
            </w:pPr>
            <w:r>
              <w:rPr>
                <w:rFonts w:ascii="Times New Roman" w:hAnsi="Times New Roman"/>
                <w:b/>
                <w:i/>
                <w:lang w:val="en-US"/>
              </w:rPr>
              <w:t xml:space="preserve">United Nations Development Assistance Framework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UNDG</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United Nations Development Group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UNFPA</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Fonds des Nations Unies pour la population </w:t>
            </w:r>
          </w:p>
        </w:tc>
      </w:tr>
      <w:tr w:rsidR="00864EC1">
        <w:tblPrEx>
          <w:tblCellMar>
            <w:top w:w="0" w:type="dxa"/>
            <w:bottom w:w="0" w:type="dxa"/>
          </w:tblCellMar>
        </w:tblPrEx>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rPr>
            </w:pPr>
            <w:r>
              <w:rPr>
                <w:rFonts w:ascii="Times New Roman" w:hAnsi="Times New Roman"/>
                <w:b/>
              </w:rPr>
              <w:t>UNICEF</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tabs>
                <w:tab w:val="left" w:pos="3546"/>
              </w:tabs>
              <w:spacing w:after="0" w:line="240" w:lineRule="auto"/>
              <w:jc w:val="both"/>
              <w:textAlignment w:val="auto"/>
              <w:rPr>
                <w:rFonts w:ascii="Times New Roman" w:hAnsi="Times New Roman"/>
                <w:b/>
                <w:i/>
              </w:rPr>
            </w:pPr>
            <w:r>
              <w:rPr>
                <w:rFonts w:ascii="Times New Roman" w:hAnsi="Times New Roman"/>
                <w:b/>
                <w:i/>
              </w:rPr>
              <w:t xml:space="preserve">Fonds des Nations Unies pour l’enfance </w:t>
            </w:r>
          </w:p>
        </w:tc>
      </w:tr>
    </w:tbl>
    <w:p w:rsidR="00864EC1" w:rsidRDefault="00864EC1">
      <w:pPr>
        <w:tabs>
          <w:tab w:val="left" w:pos="3546"/>
        </w:tabs>
        <w:jc w:val="both"/>
        <w:rPr>
          <w:rFonts w:ascii="Times New Roman" w:hAnsi="Times New Roman"/>
        </w:rPr>
      </w:pPr>
    </w:p>
    <w:p w:rsidR="00864EC1" w:rsidRDefault="00864EC1">
      <w:pPr>
        <w:tabs>
          <w:tab w:val="left" w:pos="1545"/>
        </w:tabs>
        <w:rPr>
          <w:rFonts w:ascii="Times New Roman" w:hAnsi="Times New Roman"/>
          <w:b/>
          <w:sz w:val="24"/>
          <w:szCs w:val="24"/>
        </w:rPr>
      </w:pPr>
    </w:p>
    <w:p w:rsidR="00864EC1" w:rsidRDefault="00864EC1">
      <w:pPr>
        <w:tabs>
          <w:tab w:val="left" w:pos="1545"/>
        </w:tabs>
        <w:rPr>
          <w:rFonts w:ascii="Times New Roman" w:hAnsi="Times New Roman"/>
          <w:b/>
          <w:sz w:val="24"/>
          <w:szCs w:val="24"/>
        </w:rPr>
      </w:pPr>
    </w:p>
    <w:p w:rsidR="00864EC1" w:rsidRDefault="00864EC1">
      <w:pPr>
        <w:tabs>
          <w:tab w:val="left" w:pos="1545"/>
        </w:tabs>
        <w:rPr>
          <w:rFonts w:ascii="Times New Roman" w:hAnsi="Times New Roman"/>
          <w:b/>
          <w:sz w:val="24"/>
          <w:szCs w:val="24"/>
        </w:rPr>
      </w:pPr>
    </w:p>
    <w:p w:rsidR="00864EC1" w:rsidRDefault="00864EC1">
      <w:pPr>
        <w:tabs>
          <w:tab w:val="left" w:pos="1545"/>
        </w:tabs>
        <w:rPr>
          <w:rFonts w:ascii="Times New Roman" w:hAnsi="Times New Roman"/>
          <w:b/>
          <w:sz w:val="24"/>
          <w:szCs w:val="24"/>
        </w:rPr>
      </w:pPr>
    </w:p>
    <w:p w:rsidR="00864EC1" w:rsidRDefault="00864EC1">
      <w:pPr>
        <w:tabs>
          <w:tab w:val="left" w:pos="1545"/>
        </w:tabs>
        <w:rPr>
          <w:rFonts w:ascii="Times New Roman" w:hAnsi="Times New Roman"/>
          <w:b/>
          <w:sz w:val="24"/>
          <w:szCs w:val="24"/>
        </w:rPr>
      </w:pPr>
    </w:p>
    <w:p w:rsidR="00864EC1" w:rsidRDefault="00864EC1">
      <w:pPr>
        <w:tabs>
          <w:tab w:val="left" w:pos="1545"/>
        </w:tabs>
        <w:rPr>
          <w:rFonts w:ascii="Times New Roman" w:hAnsi="Times New Roman"/>
          <w:b/>
          <w:sz w:val="24"/>
          <w:szCs w:val="24"/>
        </w:rPr>
      </w:pPr>
    </w:p>
    <w:p w:rsidR="00864EC1" w:rsidRDefault="00864EC1">
      <w:pPr>
        <w:tabs>
          <w:tab w:val="left" w:pos="1545"/>
        </w:tabs>
        <w:rPr>
          <w:rFonts w:ascii="Times New Roman" w:hAnsi="Times New Roman"/>
          <w:b/>
          <w:sz w:val="24"/>
          <w:szCs w:val="24"/>
        </w:rPr>
      </w:pPr>
    </w:p>
    <w:p w:rsidR="00864EC1" w:rsidRDefault="00864EC1">
      <w:pPr>
        <w:tabs>
          <w:tab w:val="left" w:pos="1545"/>
        </w:tabs>
        <w:rPr>
          <w:rFonts w:ascii="Times New Roman" w:hAnsi="Times New Roman"/>
          <w:b/>
          <w:sz w:val="24"/>
          <w:szCs w:val="24"/>
        </w:rPr>
      </w:pPr>
    </w:p>
    <w:p w:rsidR="00864EC1" w:rsidRDefault="00864EC1">
      <w:pPr>
        <w:tabs>
          <w:tab w:val="left" w:pos="1545"/>
        </w:tabs>
        <w:rPr>
          <w:rFonts w:ascii="Times New Roman" w:hAnsi="Times New Roman"/>
          <w:b/>
          <w:sz w:val="24"/>
          <w:szCs w:val="24"/>
        </w:rPr>
      </w:pPr>
    </w:p>
    <w:p w:rsidR="00864EC1" w:rsidRDefault="00864EC1">
      <w:pPr>
        <w:tabs>
          <w:tab w:val="left" w:pos="1545"/>
        </w:tabs>
        <w:rPr>
          <w:rFonts w:ascii="Times New Roman" w:hAnsi="Times New Roman"/>
          <w:b/>
          <w:sz w:val="24"/>
          <w:szCs w:val="24"/>
        </w:rPr>
      </w:pPr>
    </w:p>
    <w:p w:rsidR="00864EC1" w:rsidRDefault="00C6376C">
      <w:pPr>
        <w:pStyle w:val="Titre2"/>
      </w:pPr>
      <w:bookmarkStart w:id="9" w:name="_Toc451442669"/>
      <w:bookmarkStart w:id="10" w:name="_Toc451652729"/>
      <w:bookmarkStart w:id="11" w:name="_Toc451653131"/>
      <w:r>
        <w:lastRenderedPageBreak/>
        <w:t>REMERCIEMENTS</w:t>
      </w:r>
      <w:bookmarkEnd w:id="3"/>
      <w:bookmarkEnd w:id="4"/>
      <w:bookmarkEnd w:id="5"/>
      <w:bookmarkEnd w:id="6"/>
      <w:r>
        <w:rPr>
          <w:rStyle w:val="Appelnotedebasdep"/>
          <w:rFonts w:ascii="Times New Roman" w:hAnsi="Times New Roman"/>
          <w:b w:val="0"/>
          <w:sz w:val="24"/>
          <w:szCs w:val="24"/>
        </w:rPr>
        <w:footnoteReference w:id="1"/>
      </w:r>
      <w:bookmarkEnd w:id="9"/>
      <w:bookmarkEnd w:id="10"/>
      <w:bookmarkEnd w:id="11"/>
    </w:p>
    <w:p w:rsidR="00864EC1" w:rsidRDefault="00C6376C">
      <w:pPr>
        <w:tabs>
          <w:tab w:val="left" w:pos="1545"/>
        </w:tabs>
        <w:jc w:val="both"/>
        <w:rPr>
          <w:rFonts w:ascii="Times New Roman" w:hAnsi="Times New Roman"/>
          <w:sz w:val="24"/>
          <w:szCs w:val="24"/>
        </w:rPr>
      </w:pPr>
      <w:r>
        <w:rPr>
          <w:rFonts w:ascii="Times New Roman" w:hAnsi="Times New Roman"/>
          <w:sz w:val="24"/>
          <w:szCs w:val="24"/>
        </w:rPr>
        <w:t>Je tiens d’abord à adresser mes sincères remerciements à Mr Hassan El MANSOURI, Secrétair</w:t>
      </w:r>
      <w:r>
        <w:rPr>
          <w:rFonts w:ascii="Times New Roman" w:hAnsi="Times New Roman"/>
          <w:sz w:val="24"/>
          <w:szCs w:val="24"/>
        </w:rPr>
        <w:t>e général de l’Observatoire national de développement humain (ONDH) pour ses orientations, le temps et l’intérêt qu’il a accordés à cet exercice. Mes remerciements s’adressent également au personnel de l’ONDH et aux collègues du PNUD qui n’ont ménagé aucun</w:t>
      </w:r>
      <w:r>
        <w:rPr>
          <w:rFonts w:ascii="Times New Roman" w:hAnsi="Times New Roman"/>
          <w:sz w:val="24"/>
          <w:szCs w:val="24"/>
        </w:rPr>
        <w:t xml:space="preserve"> effort pour m’appuyer dans la collecte documentaire, l’organisation des rendez-vous pour les visites de terrain ainsi que pour les échanges. </w:t>
      </w:r>
    </w:p>
    <w:p w:rsidR="00864EC1" w:rsidRDefault="00C6376C">
      <w:pPr>
        <w:tabs>
          <w:tab w:val="left" w:pos="1545"/>
        </w:tabs>
        <w:jc w:val="both"/>
        <w:rPr>
          <w:rFonts w:ascii="Times New Roman" w:hAnsi="Times New Roman"/>
          <w:sz w:val="24"/>
          <w:szCs w:val="24"/>
        </w:rPr>
      </w:pPr>
      <w:r>
        <w:rPr>
          <w:rFonts w:ascii="Times New Roman" w:hAnsi="Times New Roman"/>
          <w:sz w:val="24"/>
          <w:szCs w:val="24"/>
        </w:rPr>
        <w:t>Je voudrais exprimer ma profonde gratitude aux partenaires nationaux, aux collègues des agences et du bureau de l</w:t>
      </w:r>
      <w:r>
        <w:rPr>
          <w:rFonts w:ascii="Times New Roman" w:hAnsi="Times New Roman"/>
          <w:sz w:val="24"/>
          <w:szCs w:val="24"/>
        </w:rPr>
        <w:t xml:space="preserve">a coordination qui ont eu des échanges fructueux avec moi. J’ai profondément apprécié leur disponibilité et la pertinence de leurs analyses. Mais, je reste responsable des opinions et des conclusions exposées dans ce rapport. </w:t>
      </w: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b/>
          <w:i/>
          <w:sz w:val="28"/>
          <w:szCs w:val="28"/>
        </w:rPr>
      </w:pPr>
    </w:p>
    <w:p w:rsidR="00864EC1" w:rsidRDefault="00C6376C">
      <w:pPr>
        <w:pStyle w:val="Titre2"/>
      </w:pPr>
      <w:bookmarkStart w:id="12" w:name="_Toc451442670"/>
      <w:bookmarkStart w:id="13" w:name="_Toc451652730"/>
      <w:bookmarkStart w:id="14" w:name="_Toc451653132"/>
      <w:r>
        <w:lastRenderedPageBreak/>
        <w:t xml:space="preserve">Résumé </w:t>
      </w:r>
      <w:r>
        <w:t>exécutif</w:t>
      </w:r>
      <w:bookmarkEnd w:id="12"/>
      <w:bookmarkEnd w:id="13"/>
      <w:bookmarkEnd w:id="14"/>
      <w:r>
        <w:t xml:space="preserve"> </w:t>
      </w:r>
    </w:p>
    <w:p w:rsidR="00864EC1" w:rsidRDefault="00C6376C">
      <w:pPr>
        <w:jc w:val="both"/>
      </w:pPr>
      <w:r>
        <w:rPr>
          <w:rFonts w:ascii="Times New Roman" w:hAnsi="Times New Roman"/>
        </w:rPr>
        <w:t>L’évaluation finale qui fait l’objet du présent rapport a été commanditée par le PNUD en étroite collaboration avec l’ONDH et les agences contributrices du programme conjoint. Elle s’est déroulée de février à avril 2016. Mais, la première version</w:t>
      </w:r>
      <w:r>
        <w:rPr>
          <w:rFonts w:ascii="Times New Roman" w:hAnsi="Times New Roman"/>
        </w:rPr>
        <w:t xml:space="preserve"> du rapport n’a été finalisée et partagée  que courant mai 2016. Selon les Termes de référence (Tdr), l’évaluation finale s’est assignée l’objectif général suivant :</w:t>
      </w:r>
      <w:r>
        <w:rPr>
          <w:rFonts w:ascii="Times New Roman" w:hAnsi="Times New Roman"/>
          <w:b/>
          <w:i/>
        </w:rPr>
        <w:t xml:space="preserve"> « Apprécier la réalisation des résultats escomptés du projet et tirer les enseignements qu</w:t>
      </w:r>
      <w:r>
        <w:rPr>
          <w:rFonts w:ascii="Times New Roman" w:hAnsi="Times New Roman"/>
          <w:b/>
          <w:i/>
        </w:rPr>
        <w:t>i peuvent améliorer la durabilité des acquis de ce projet et favoriser l’amélioration globale des projets du Programme des Nations Unies pour le développement</w:t>
      </w:r>
      <w:r>
        <w:rPr>
          <w:rFonts w:ascii="Times New Roman" w:hAnsi="Times New Roman"/>
        </w:rPr>
        <w:t xml:space="preserve"> (</w:t>
      </w:r>
      <w:r>
        <w:rPr>
          <w:rFonts w:ascii="Times New Roman" w:hAnsi="Times New Roman"/>
          <w:b/>
          <w:i/>
        </w:rPr>
        <w:t>PNUD) particulièrement des projets conjoints »</w:t>
      </w:r>
      <w:r>
        <w:rPr>
          <w:rFonts w:ascii="Times New Roman" w:hAnsi="Times New Roman"/>
        </w:rPr>
        <w:t>. Les objectifs spécifiques  sont exposés dans les</w:t>
      </w:r>
      <w:r>
        <w:rPr>
          <w:rFonts w:ascii="Times New Roman" w:hAnsi="Times New Roman"/>
        </w:rPr>
        <w:t xml:space="preserve"> tdr joints à l’annexe. L’évaluation s’est basée sur les critères d’évaluation suivants : </w:t>
      </w:r>
      <w:r>
        <w:rPr>
          <w:rFonts w:ascii="Times New Roman" w:hAnsi="Times New Roman"/>
          <w:b/>
          <w:i/>
        </w:rPr>
        <w:t>La Pertinence, l’efficacité, l’efficience, la cohérence (interne et externe), la durabilité, l’impact.</w:t>
      </w:r>
      <w:r>
        <w:rPr>
          <w:rFonts w:ascii="Times New Roman" w:hAnsi="Times New Roman"/>
        </w:rPr>
        <w:t xml:space="preserve">  Ces critères ont orienté la formulation des questions et des s</w:t>
      </w:r>
      <w:r>
        <w:rPr>
          <w:rFonts w:ascii="Times New Roman" w:hAnsi="Times New Roman"/>
        </w:rPr>
        <w:t xml:space="preserve">ous questions évaluatives qui sont étayées dans la matrice d’évaluation jointe à l’évaluation. </w:t>
      </w:r>
    </w:p>
    <w:p w:rsidR="00864EC1" w:rsidRDefault="00C6376C">
      <w:pPr>
        <w:jc w:val="both"/>
      </w:pPr>
      <w:r>
        <w:rPr>
          <w:rFonts w:ascii="Times New Roman" w:hAnsi="Times New Roman"/>
        </w:rPr>
        <w:t>La méthodologie de l’évaluation finale a été guidée par les questions et les sous questions évaluatives. Elle a essentiellement consisté à conduire la recherche</w:t>
      </w:r>
      <w:r>
        <w:rPr>
          <w:rFonts w:ascii="Times New Roman" w:hAnsi="Times New Roman"/>
        </w:rPr>
        <w:t xml:space="preserve"> documentaire et à réaliser des entretiens avec des informateurs clés identifiés de commun accord avec l’ONDH et le PNUD. Le recours à la triangulation a permis de procéder au croisement des sources des données et au contrôle de leur qualité et fiabilité. </w:t>
      </w:r>
      <w:r>
        <w:rPr>
          <w:rFonts w:ascii="Times New Roman" w:hAnsi="Times New Roman"/>
        </w:rPr>
        <w:t xml:space="preserve">  Les données collectées ont fait l’objet d’un traitement manuel et d’un contrôle de qualité. Le logiciel Excel a été utilisé pour le traitement des données quantitatives. Le niveau de réalisation des cibles a été apprécié à partir de trois critères </w:t>
      </w:r>
      <w:r>
        <w:rPr>
          <w:rFonts w:ascii="Times New Roman" w:hAnsi="Times New Roman"/>
          <w:b/>
          <w:i/>
        </w:rPr>
        <w:t xml:space="preserve">« Pas </w:t>
      </w:r>
      <w:r>
        <w:rPr>
          <w:rFonts w:ascii="Times New Roman" w:hAnsi="Times New Roman"/>
          <w:b/>
          <w:i/>
        </w:rPr>
        <w:t xml:space="preserve">atteint », « Partiellement atteint », « Atteint ». </w:t>
      </w:r>
      <w:r>
        <w:rPr>
          <w:rFonts w:ascii="Times New Roman" w:hAnsi="Times New Roman"/>
        </w:rPr>
        <w:t xml:space="preserve">L’échelle de notation  proposée dans les Tdr  a été utilisée pour apprécier l’efficacité et l’efficience du programme. A titre de rappel, cette échelle propose 6 notes qualitatives : </w:t>
      </w:r>
      <w:r>
        <w:rPr>
          <w:rFonts w:ascii="Times New Roman" w:hAnsi="Times New Roman"/>
          <w:b/>
          <w:i/>
        </w:rPr>
        <w:t xml:space="preserve">Très satisfaisant ; </w:t>
      </w:r>
      <w:r>
        <w:rPr>
          <w:rFonts w:ascii="Times New Roman" w:hAnsi="Times New Roman"/>
          <w:b/>
          <w:i/>
        </w:rPr>
        <w:t>Satisfaisant ; Modérément satisfaisant ; Modérément insatisfaisant ; Insatisfaisant ; Pas du tout satisfaisant.</w:t>
      </w:r>
      <w:r>
        <w:rPr>
          <w:rFonts w:ascii="Times New Roman" w:hAnsi="Times New Roman"/>
        </w:rPr>
        <w:t xml:space="preserve"> </w:t>
      </w:r>
    </w:p>
    <w:p w:rsidR="00864EC1" w:rsidRDefault="00C6376C">
      <w:pPr>
        <w:jc w:val="both"/>
      </w:pPr>
      <w:r>
        <w:rPr>
          <w:rFonts w:ascii="Times New Roman" w:hAnsi="Times New Roman"/>
        </w:rPr>
        <w:t xml:space="preserve">L’analyse des changements observés et de la livraison des produits a été guidée par deux critères : </w:t>
      </w:r>
      <w:r>
        <w:rPr>
          <w:rFonts w:ascii="Times New Roman" w:hAnsi="Times New Roman"/>
          <w:b/>
          <w:i/>
        </w:rPr>
        <w:t>La contribution et l’attribution</w:t>
      </w:r>
      <w:r>
        <w:rPr>
          <w:rFonts w:ascii="Times New Roman" w:hAnsi="Times New Roman"/>
        </w:rPr>
        <w:t xml:space="preserve">. </w:t>
      </w:r>
      <w:r>
        <w:rPr>
          <w:rFonts w:ascii="Times New Roman" w:hAnsi="Times New Roman"/>
          <w:b/>
        </w:rPr>
        <w:t>Le modèle</w:t>
      </w:r>
      <w:r>
        <w:rPr>
          <w:rFonts w:ascii="Times New Roman" w:hAnsi="Times New Roman"/>
          <w:b/>
        </w:rPr>
        <w:t xml:space="preserve"> de Tanahashi</w:t>
      </w:r>
      <w:r>
        <w:rPr>
          <w:rFonts w:ascii="Times New Roman" w:hAnsi="Times New Roman"/>
        </w:rPr>
        <w:t xml:space="preserve"> a été convoqué pour apprécier les performances du programme conjoint notamment l’atteinte des cibles annuelles en termes d’amélioration de </w:t>
      </w:r>
      <w:r>
        <w:rPr>
          <w:rFonts w:ascii="Times New Roman" w:hAnsi="Times New Roman"/>
          <w:b/>
        </w:rPr>
        <w:t>la</w:t>
      </w:r>
      <w:r>
        <w:rPr>
          <w:rFonts w:ascii="Times New Roman" w:hAnsi="Times New Roman"/>
        </w:rPr>
        <w:t xml:space="preserve"> </w:t>
      </w:r>
      <w:r>
        <w:rPr>
          <w:rFonts w:ascii="Times New Roman" w:hAnsi="Times New Roman"/>
          <w:b/>
        </w:rPr>
        <w:t>disponibilité, l’accessibilité, l’utilisation et la qualité des services de l’ONDH</w:t>
      </w:r>
      <w:r>
        <w:rPr>
          <w:rFonts w:ascii="Times New Roman" w:hAnsi="Times New Roman"/>
          <w:b/>
          <w:i/>
        </w:rPr>
        <w:t xml:space="preserve">. </w:t>
      </w:r>
      <w:r>
        <w:rPr>
          <w:rFonts w:ascii="Times New Roman" w:hAnsi="Times New Roman"/>
        </w:rPr>
        <w:t xml:space="preserve">L’analyse a mis </w:t>
      </w:r>
      <w:r>
        <w:rPr>
          <w:rFonts w:ascii="Times New Roman" w:hAnsi="Times New Roman"/>
        </w:rPr>
        <w:t>en relief  les bonnes pratiques et les leçons apprises du programme. Elle a exploré des pistes de réflexion et d’action sur les perspectives de positionnement stratégique de l’ONDH.</w:t>
      </w:r>
    </w:p>
    <w:p w:rsidR="00864EC1" w:rsidRDefault="00C6376C">
      <w:pPr>
        <w:jc w:val="both"/>
        <w:rPr>
          <w:rFonts w:ascii="Times New Roman" w:hAnsi="Times New Roman"/>
        </w:rPr>
      </w:pPr>
      <w:r>
        <w:rPr>
          <w:rFonts w:ascii="Times New Roman" w:hAnsi="Times New Roman"/>
        </w:rPr>
        <w:t xml:space="preserve">A la lumière de l’analyse de la matrice des résultats et du contexte dans </w:t>
      </w:r>
      <w:r>
        <w:rPr>
          <w:rFonts w:ascii="Times New Roman" w:hAnsi="Times New Roman"/>
        </w:rPr>
        <w:t>lequel s’est déroulée cette évaluation, le programme conjoint a été jugé évaluable. L’analyse de la pertinence, des performances et de l’exploration des pistes de réflexion et d’action sur le positionnement stratégique de l’ONDH dans la perspective de la p</w:t>
      </w:r>
      <w:r>
        <w:rPr>
          <w:rFonts w:ascii="Times New Roman" w:hAnsi="Times New Roman"/>
        </w:rPr>
        <w:t xml:space="preserve">rogrammation future a abouti aux conclusions suivantes : </w:t>
      </w:r>
    </w:p>
    <w:p w:rsidR="00864EC1" w:rsidRDefault="00C6376C">
      <w:pPr>
        <w:jc w:val="both"/>
        <w:rPr>
          <w:rFonts w:ascii="Times New Roman" w:hAnsi="Times New Roman"/>
        </w:rPr>
      </w:pPr>
      <w:r>
        <w:rPr>
          <w:rFonts w:ascii="Times New Roman" w:hAnsi="Times New Roman"/>
        </w:rPr>
        <w:t>Le programme conjoint a été jugé pertinent par rapport aux priorités nationales et aux besoins du pays particulièrement à la constitution, aux orientations politiques du Trône, à la Loi organique re</w:t>
      </w:r>
      <w:r>
        <w:rPr>
          <w:rFonts w:ascii="Times New Roman" w:hAnsi="Times New Roman"/>
        </w:rPr>
        <w:t xml:space="preserve">lative aux lois des finances (LOLF), à l’UNDAF 2012-2016 et aux OMD ainsi qu’à l’évolution du contexte national de l’évaluation. </w:t>
      </w:r>
    </w:p>
    <w:p w:rsidR="00864EC1" w:rsidRDefault="00C6376C">
      <w:pPr>
        <w:suppressAutoHyphens w:val="0"/>
        <w:autoSpaceDE w:val="0"/>
        <w:spacing w:after="0" w:line="240" w:lineRule="auto"/>
        <w:jc w:val="both"/>
        <w:textAlignment w:val="auto"/>
        <w:rPr>
          <w:rFonts w:ascii="Times New Roman" w:hAnsi="Times New Roman"/>
        </w:rPr>
      </w:pPr>
      <w:r>
        <w:rPr>
          <w:rFonts w:ascii="Times New Roman" w:hAnsi="Times New Roman"/>
        </w:rPr>
        <w:t>La mise en œuvre du programme conjoint a été jugée efficace et très satisfaisante par rapport aux trois produits. Le taux de r</w:t>
      </w:r>
      <w:r>
        <w:rPr>
          <w:rFonts w:ascii="Times New Roman" w:hAnsi="Times New Roman"/>
        </w:rPr>
        <w:t>éalisation global des cibles a été estimé à 85% à la fin de l’année 2015. Mais, en ce qui concerne les cibles partiellement atteintes, les tendances constatées permettent d’affirmer qu’elles seront atteintes au plus tard la fin de l’année 2016. En ce qui c</w:t>
      </w:r>
      <w:r>
        <w:rPr>
          <w:rFonts w:ascii="Times New Roman" w:hAnsi="Times New Roman"/>
        </w:rPr>
        <w:t>oncerne les taux de réalisation des trois produits, il convient de signaler que le produit 2 a enregistré le taux le plus élevé soit 93%. Les produits 1 et 3 ont enregistré respectivement  77% et 83%.</w:t>
      </w:r>
    </w:p>
    <w:p w:rsidR="00864EC1" w:rsidRDefault="00864EC1">
      <w:pPr>
        <w:suppressAutoHyphens w:val="0"/>
        <w:autoSpaceDE w:val="0"/>
        <w:spacing w:after="0" w:line="240" w:lineRule="auto"/>
        <w:jc w:val="both"/>
        <w:textAlignment w:val="auto"/>
        <w:rPr>
          <w:rFonts w:ascii="Times New Roman" w:hAnsi="Times New Roman"/>
        </w:rPr>
      </w:pPr>
    </w:p>
    <w:p w:rsidR="00864EC1" w:rsidRDefault="00C6376C">
      <w:pPr>
        <w:jc w:val="both"/>
        <w:rPr>
          <w:rFonts w:ascii="Times New Roman" w:hAnsi="Times New Roman"/>
        </w:rPr>
      </w:pPr>
      <w:r>
        <w:rPr>
          <w:rFonts w:ascii="Times New Roman" w:hAnsi="Times New Roman"/>
        </w:rPr>
        <w:t>Le programme conjoint est à sa deuxième phase qui fait</w:t>
      </w:r>
      <w:r>
        <w:rPr>
          <w:rFonts w:ascii="Times New Roman" w:hAnsi="Times New Roman"/>
        </w:rPr>
        <w:t xml:space="preserve"> l’objet de la présente évaluation. Cette durée d’exécution témoigne de sa durabilité qui repose essentiellement sur quatre ressorts : </w:t>
      </w:r>
      <w:r>
        <w:rPr>
          <w:rFonts w:ascii="Times New Roman" w:hAnsi="Times New Roman"/>
        </w:rPr>
        <w:tab/>
        <w:t xml:space="preserve">Le leadership </w:t>
      </w:r>
      <w:r>
        <w:rPr>
          <w:rFonts w:ascii="Times New Roman" w:hAnsi="Times New Roman"/>
        </w:rPr>
        <w:lastRenderedPageBreak/>
        <w:t>national et l’appropriation du programme conjoint par les partenaires nationaux</w:t>
      </w:r>
      <w:r>
        <w:rPr>
          <w:rFonts w:ascii="Times New Roman" w:hAnsi="Times New Roman"/>
        </w:rPr>
        <w:tab/>
        <w:t>, l’ancrage du programme c</w:t>
      </w:r>
      <w:r>
        <w:rPr>
          <w:rFonts w:ascii="Times New Roman" w:hAnsi="Times New Roman"/>
        </w:rPr>
        <w:t>onjoint dans la mission ou le mandat et les attributions de l’ONDH, la contribution  du gouvernement au financement du programme conjoint, le renforcement des capacités.</w:t>
      </w:r>
    </w:p>
    <w:p w:rsidR="00864EC1" w:rsidRDefault="00C6376C">
      <w:pPr>
        <w:jc w:val="both"/>
        <w:rPr>
          <w:rFonts w:ascii="Times New Roman" w:hAnsi="Times New Roman"/>
        </w:rPr>
      </w:pPr>
      <w:r>
        <w:rPr>
          <w:rFonts w:ascii="Times New Roman" w:hAnsi="Times New Roman"/>
        </w:rPr>
        <w:t xml:space="preserve">La mise en œuvre du programme conjoint a été jugée efficace et très satisfaisante par </w:t>
      </w:r>
      <w:r>
        <w:rPr>
          <w:rFonts w:ascii="Times New Roman" w:hAnsi="Times New Roman"/>
        </w:rPr>
        <w:t xml:space="preserve">rapport aux trois produits. Le taux global d’exécution financière est passé de 81% à 79% en 2015. Eu égard aux données financières recueillies dans les PTA et les CDR signés, de 2012 à 2015, le programme conjoint a consommé 68% de son budget initial. </w:t>
      </w:r>
    </w:p>
    <w:p w:rsidR="00864EC1" w:rsidRDefault="00C6376C">
      <w:pPr>
        <w:jc w:val="both"/>
        <w:rPr>
          <w:rFonts w:ascii="Times New Roman" w:eastAsia="Times New Roman" w:hAnsi="Times New Roman"/>
          <w:color w:val="303030"/>
          <w:lang w:eastAsia="fr-FR"/>
        </w:rPr>
      </w:pPr>
      <w:r>
        <w:rPr>
          <w:rFonts w:ascii="Times New Roman" w:eastAsia="Times New Roman" w:hAnsi="Times New Roman"/>
          <w:color w:val="303030"/>
          <w:lang w:eastAsia="fr-FR"/>
        </w:rPr>
        <w:t>Le p</w:t>
      </w:r>
      <w:r>
        <w:rPr>
          <w:rFonts w:ascii="Times New Roman" w:eastAsia="Times New Roman" w:hAnsi="Times New Roman"/>
          <w:color w:val="303030"/>
          <w:lang w:eastAsia="fr-FR"/>
        </w:rPr>
        <w:t xml:space="preserve">rogramme conjoint est en cohérence avec les orientations stratégiques et les priorités nationales. Ses interventions se focalisent sur l’institutionnalisation de l’évaluation des politiques publiques, le renforcement des capacités et l’appui à l’ONDH dans </w:t>
      </w:r>
      <w:r>
        <w:rPr>
          <w:rFonts w:ascii="Times New Roman" w:eastAsia="Times New Roman" w:hAnsi="Times New Roman"/>
          <w:color w:val="303030"/>
          <w:lang w:eastAsia="fr-FR"/>
        </w:rPr>
        <w:t>l’innovation des outils et des méthodologies d’évaluation des politiques publiques, la production et la diffusion des données et des connaissances.</w:t>
      </w:r>
    </w:p>
    <w:p w:rsidR="00864EC1" w:rsidRDefault="00C6376C">
      <w:pPr>
        <w:jc w:val="both"/>
        <w:rPr>
          <w:rFonts w:ascii="Times New Roman" w:hAnsi="Times New Roman"/>
        </w:rPr>
      </w:pPr>
      <w:r>
        <w:rPr>
          <w:rFonts w:ascii="Times New Roman" w:hAnsi="Times New Roman"/>
        </w:rPr>
        <w:t>Le programme conjoint a procédé à un ciblage aux niveaux sectoriel, géographique, du genre et des couches so</w:t>
      </w:r>
      <w:r>
        <w:rPr>
          <w:rFonts w:ascii="Times New Roman" w:hAnsi="Times New Roman"/>
        </w:rPr>
        <w:t>ciales ainsi que des partenaires. Ce ciblage est mis en exergue par l’analyse de la situation et les cibles annuelles déclinées dans la matrice des résultats. Il est aussi perceptible à travers les activités ou les interventions du programme. Mais, les cri</w:t>
      </w:r>
      <w:r>
        <w:rPr>
          <w:rFonts w:ascii="Times New Roman" w:hAnsi="Times New Roman"/>
        </w:rPr>
        <w:t>tères de ce ciblage n’ont pas très argumentés et étayés d. ans le document du programme.</w:t>
      </w:r>
    </w:p>
    <w:p w:rsidR="00864EC1" w:rsidRDefault="00C6376C">
      <w:pPr>
        <w:jc w:val="both"/>
        <w:rPr>
          <w:rFonts w:ascii="Times New Roman" w:hAnsi="Times New Roman"/>
        </w:rPr>
      </w:pPr>
      <w:r>
        <w:rPr>
          <w:rFonts w:ascii="Times New Roman" w:hAnsi="Times New Roman"/>
        </w:rPr>
        <w:t>Le programme conjoint a eu un impact tangible sur  l’expertise, la notoriété et le rayonnement de l’ONDH, l’élaboration des politiques de développement humain basées s</w:t>
      </w:r>
      <w:r>
        <w:rPr>
          <w:rFonts w:ascii="Times New Roman" w:hAnsi="Times New Roman"/>
        </w:rPr>
        <w:t>ur les évidences ou les preuves, l’enseignement et la recherche en évaluation, le développement des partenariats singulièrement la promotion de l’évaluation dans le cadre de la coopération Sud-sud,  la cohérence des Nations Unies, la promotion de l’institu</w:t>
      </w:r>
      <w:r>
        <w:rPr>
          <w:rFonts w:ascii="Times New Roman" w:hAnsi="Times New Roman"/>
        </w:rPr>
        <w:t>tionnalisation de l’évaluation des politiques publiques.</w:t>
      </w:r>
    </w:p>
    <w:p w:rsidR="00864EC1" w:rsidRDefault="00C6376C">
      <w:pPr>
        <w:jc w:val="both"/>
        <w:rPr>
          <w:rFonts w:ascii="Times New Roman" w:hAnsi="Times New Roman"/>
        </w:rPr>
      </w:pPr>
      <w:r>
        <w:rPr>
          <w:rFonts w:ascii="Times New Roman" w:hAnsi="Times New Roman"/>
        </w:rPr>
        <w:t>La gouvernance du programme conjoint a été jugée très efficace et très satisfaisante. Précisément, le pilotage du programme a été efficace. Eu égard aux taux d’exécution opérationnelle et financière,</w:t>
      </w:r>
      <w:r>
        <w:rPr>
          <w:rFonts w:ascii="Times New Roman" w:hAnsi="Times New Roman"/>
        </w:rPr>
        <w:t xml:space="preserve"> l’UGP a été efficace dans la mise en œuvre des activités et la gestion des fonds. Les mécanismes de suivi et évaluation ont été très opérationnels.</w:t>
      </w:r>
    </w:p>
    <w:p w:rsidR="00864EC1" w:rsidRDefault="00C6376C">
      <w:pPr>
        <w:jc w:val="both"/>
        <w:rPr>
          <w:rFonts w:ascii="Times New Roman" w:hAnsi="Times New Roman"/>
        </w:rPr>
      </w:pPr>
      <w:r>
        <w:rPr>
          <w:rFonts w:ascii="Times New Roman" w:hAnsi="Times New Roman"/>
        </w:rPr>
        <w:t>L’ONDH a été stratégique et efficace dans le développement des partenariats aux niveaux national et interna</w:t>
      </w:r>
      <w:r>
        <w:rPr>
          <w:rFonts w:ascii="Times New Roman" w:hAnsi="Times New Roman"/>
        </w:rPr>
        <w:t>tional. En effet, dans le cadre de la mise en œuvre du programme conjoint, l’ONDH a noué des partenariats stratégiques au niveau national et international. Au plan international,  l’ONDH a établi des partenariats avec des institutions ayant une grande noto</w:t>
      </w:r>
      <w:r>
        <w:rPr>
          <w:rFonts w:ascii="Times New Roman" w:hAnsi="Times New Roman"/>
        </w:rPr>
        <w:t>riété. A titre indicatif, on peut citer la fondation suisse pour la recherche en sciences sociales, l’Institut de médecine tropicale d’Anvers (IMT) en Belgique, Statistiques Canada, le CONEVAL, le CRES, l’OPHI.</w:t>
      </w:r>
    </w:p>
    <w:p w:rsidR="00864EC1" w:rsidRDefault="00C6376C">
      <w:pPr>
        <w:jc w:val="both"/>
        <w:rPr>
          <w:rFonts w:ascii="Times New Roman" w:hAnsi="Times New Roman"/>
        </w:rPr>
      </w:pPr>
      <w:r>
        <w:rPr>
          <w:rFonts w:ascii="Times New Roman" w:hAnsi="Times New Roman"/>
        </w:rPr>
        <w:t>S’agissant de la gestion des connaissances et</w:t>
      </w:r>
      <w:r>
        <w:rPr>
          <w:rFonts w:ascii="Times New Roman" w:hAnsi="Times New Roman"/>
        </w:rPr>
        <w:t xml:space="preserve"> la communication, l’ONDH s’est affirmée comme une organisation apprenante (Learning organization) et une organisation génératrice de connaissances (Knowledge organization). Il a adopté une approche qui privilégie la communication stratégique. Il s’est dot</w:t>
      </w:r>
      <w:r>
        <w:rPr>
          <w:rFonts w:ascii="Times New Roman" w:hAnsi="Times New Roman"/>
        </w:rPr>
        <w:t>é d’un plan de communication dont l’exécution a été efficace. Il dispose également des supports de communication tels que le bulletin de liaison.</w:t>
      </w:r>
    </w:p>
    <w:p w:rsidR="00864EC1" w:rsidRDefault="00C6376C">
      <w:pPr>
        <w:jc w:val="both"/>
        <w:rPr>
          <w:rFonts w:ascii="Times New Roman" w:hAnsi="Times New Roman"/>
        </w:rPr>
      </w:pPr>
      <w:r>
        <w:rPr>
          <w:rFonts w:ascii="Times New Roman" w:hAnsi="Times New Roman"/>
        </w:rPr>
        <w:t>L’exploration des pistes de réflexion et d’action sur positionnement stratégique de l’ONDH a permis de suggére</w:t>
      </w:r>
      <w:r>
        <w:rPr>
          <w:rFonts w:ascii="Times New Roman" w:hAnsi="Times New Roman"/>
        </w:rPr>
        <w:t xml:space="preserve">r des orientations sur la stratégie d’intervention,  les chantiers stratégiques et des niches. S’agissant de la stratégie d’intervention, il convient de retenir : </w:t>
      </w:r>
    </w:p>
    <w:p w:rsidR="00864EC1" w:rsidRDefault="00C6376C">
      <w:pPr>
        <w:pStyle w:val="Paragraphedeliste"/>
        <w:numPr>
          <w:ilvl w:val="0"/>
          <w:numId w:val="1"/>
        </w:numPr>
        <w:jc w:val="both"/>
        <w:rPr>
          <w:rFonts w:ascii="Times New Roman" w:hAnsi="Times New Roman"/>
        </w:rPr>
      </w:pPr>
      <w:r>
        <w:rPr>
          <w:rFonts w:ascii="Times New Roman" w:hAnsi="Times New Roman"/>
        </w:rPr>
        <w:t>Le renforcement de la spécialisation de l’ONDH et l’appui au passage à l’échelle de l’évalua</w:t>
      </w:r>
      <w:r>
        <w:rPr>
          <w:rFonts w:ascii="Times New Roman" w:hAnsi="Times New Roman"/>
        </w:rPr>
        <w:t xml:space="preserve">tion des politiques de développement humain particulièrement des politiques sociales ;  </w:t>
      </w:r>
    </w:p>
    <w:p w:rsidR="00864EC1" w:rsidRDefault="00C6376C">
      <w:pPr>
        <w:pStyle w:val="Paragraphedeliste"/>
        <w:numPr>
          <w:ilvl w:val="0"/>
          <w:numId w:val="1"/>
        </w:numPr>
        <w:jc w:val="both"/>
        <w:rPr>
          <w:rFonts w:ascii="Times New Roman" w:hAnsi="Times New Roman"/>
        </w:rPr>
      </w:pPr>
      <w:r>
        <w:rPr>
          <w:rFonts w:ascii="Times New Roman" w:hAnsi="Times New Roman"/>
        </w:rPr>
        <w:lastRenderedPageBreak/>
        <w:t xml:space="preserve">L’adossement du positionnement stratégique de l’ONDH sur les choix fondamentaux de son plan stratégique qui devront aussi orienter la programmation future ; </w:t>
      </w:r>
    </w:p>
    <w:p w:rsidR="00864EC1" w:rsidRDefault="00C6376C">
      <w:pPr>
        <w:pStyle w:val="Paragraphedeliste"/>
        <w:numPr>
          <w:ilvl w:val="0"/>
          <w:numId w:val="1"/>
        </w:numPr>
        <w:jc w:val="both"/>
        <w:rPr>
          <w:rFonts w:ascii="Times New Roman" w:hAnsi="Times New Roman"/>
        </w:rPr>
      </w:pPr>
      <w:r>
        <w:rPr>
          <w:rFonts w:ascii="Times New Roman" w:hAnsi="Times New Roman"/>
        </w:rPr>
        <w:t>Le renfor</w:t>
      </w:r>
      <w:r>
        <w:rPr>
          <w:rFonts w:ascii="Times New Roman" w:hAnsi="Times New Roman"/>
        </w:rPr>
        <w:t xml:space="preserve">cement de l’approche d’intervention proactive axée sur la demande et l’utilisation des services. Cette démarche exigera : </w:t>
      </w:r>
    </w:p>
    <w:p w:rsidR="00864EC1" w:rsidRDefault="00C6376C">
      <w:pPr>
        <w:pStyle w:val="Paragraphedeliste"/>
        <w:numPr>
          <w:ilvl w:val="0"/>
          <w:numId w:val="1"/>
        </w:numPr>
        <w:jc w:val="both"/>
        <w:rPr>
          <w:rFonts w:ascii="Times New Roman" w:hAnsi="Times New Roman"/>
        </w:rPr>
      </w:pPr>
      <w:r>
        <w:rPr>
          <w:rFonts w:ascii="Times New Roman" w:hAnsi="Times New Roman"/>
        </w:rPr>
        <w:t>Une analyse de l’offre et de la demande de l’évaluation des politiques publiques particulièrement de la demande et de l’utilisation d</w:t>
      </w:r>
      <w:r>
        <w:rPr>
          <w:rFonts w:ascii="Times New Roman" w:hAnsi="Times New Roman"/>
        </w:rPr>
        <w:t xml:space="preserve">es services de l’ONDH.  L’analyse devrait en priorité mettre en lumière les profils et les besoins des utilisateurs du SI Al Baharia (Clics) ; </w:t>
      </w:r>
    </w:p>
    <w:p w:rsidR="00864EC1" w:rsidRDefault="00C6376C">
      <w:pPr>
        <w:pStyle w:val="Paragraphedeliste"/>
        <w:numPr>
          <w:ilvl w:val="0"/>
          <w:numId w:val="1"/>
        </w:numPr>
        <w:jc w:val="both"/>
        <w:rPr>
          <w:rFonts w:ascii="Times New Roman" w:hAnsi="Times New Roman"/>
        </w:rPr>
      </w:pPr>
      <w:r>
        <w:rPr>
          <w:rFonts w:ascii="Times New Roman" w:hAnsi="Times New Roman"/>
        </w:rPr>
        <w:t xml:space="preserve">Une communication stratégique agressive pour vulgariser largement et promouvoir l’utilisation des services et </w:t>
      </w:r>
      <w:r>
        <w:rPr>
          <w:rFonts w:ascii="Times New Roman" w:hAnsi="Times New Roman"/>
        </w:rPr>
        <w:t xml:space="preserve">des produits de l’ONDH ; </w:t>
      </w:r>
    </w:p>
    <w:p w:rsidR="00864EC1" w:rsidRDefault="00C6376C">
      <w:pPr>
        <w:pStyle w:val="Paragraphedeliste"/>
        <w:numPr>
          <w:ilvl w:val="0"/>
          <w:numId w:val="1"/>
        </w:numPr>
        <w:jc w:val="both"/>
        <w:rPr>
          <w:rFonts w:ascii="Times New Roman" w:hAnsi="Times New Roman"/>
        </w:rPr>
      </w:pPr>
      <w:r>
        <w:rPr>
          <w:rFonts w:ascii="Times New Roman" w:hAnsi="Times New Roman"/>
        </w:rPr>
        <w:t>Le développement des partenariats avec les médias pour atteindre certains groupes cibles.</w:t>
      </w:r>
    </w:p>
    <w:p w:rsidR="00864EC1" w:rsidRDefault="00C6376C">
      <w:pPr>
        <w:jc w:val="both"/>
        <w:rPr>
          <w:rFonts w:ascii="Times New Roman" w:hAnsi="Times New Roman"/>
        </w:rPr>
      </w:pPr>
      <w:r>
        <w:rPr>
          <w:rFonts w:ascii="Times New Roman" w:hAnsi="Times New Roman"/>
        </w:rPr>
        <w:t xml:space="preserve">En ce qui concerne les chantiers stratégiques et les niches, il sied de noter : </w:t>
      </w:r>
    </w:p>
    <w:p w:rsidR="00864EC1" w:rsidRDefault="00C6376C">
      <w:pPr>
        <w:pStyle w:val="Paragraphedeliste"/>
        <w:numPr>
          <w:ilvl w:val="0"/>
          <w:numId w:val="2"/>
        </w:numPr>
        <w:jc w:val="both"/>
        <w:rPr>
          <w:rFonts w:ascii="Times New Roman" w:hAnsi="Times New Roman"/>
        </w:rPr>
      </w:pPr>
      <w:r>
        <w:rPr>
          <w:rFonts w:ascii="Times New Roman" w:hAnsi="Times New Roman"/>
        </w:rPr>
        <w:t>L’opérationnalisation de l’agenda 2030 y compris l’agenda m</w:t>
      </w:r>
      <w:r>
        <w:rPr>
          <w:rFonts w:ascii="Times New Roman" w:hAnsi="Times New Roman"/>
        </w:rPr>
        <w:t xml:space="preserve">ondial de l’évaluation 2016-2020 ; </w:t>
      </w:r>
    </w:p>
    <w:p w:rsidR="00864EC1" w:rsidRDefault="00C6376C">
      <w:pPr>
        <w:pStyle w:val="Paragraphedeliste"/>
        <w:numPr>
          <w:ilvl w:val="0"/>
          <w:numId w:val="2"/>
        </w:numPr>
        <w:jc w:val="both"/>
        <w:rPr>
          <w:rFonts w:ascii="Times New Roman" w:hAnsi="Times New Roman"/>
        </w:rPr>
      </w:pPr>
      <w:r>
        <w:rPr>
          <w:rFonts w:ascii="Times New Roman" w:hAnsi="Times New Roman"/>
        </w:rPr>
        <w:t xml:space="preserve">La territorialisation du système d’information dans le sillage de la régionalisation avancée ; </w:t>
      </w:r>
    </w:p>
    <w:p w:rsidR="00864EC1" w:rsidRDefault="00C6376C">
      <w:pPr>
        <w:pStyle w:val="Paragraphedeliste"/>
        <w:numPr>
          <w:ilvl w:val="0"/>
          <w:numId w:val="2"/>
        </w:numPr>
        <w:jc w:val="both"/>
        <w:rPr>
          <w:rFonts w:ascii="Times New Roman" w:hAnsi="Times New Roman"/>
        </w:rPr>
      </w:pPr>
      <w:r>
        <w:rPr>
          <w:rFonts w:ascii="Times New Roman" w:hAnsi="Times New Roman"/>
        </w:rPr>
        <w:t xml:space="preserve">La promotion de l’institutionnalisation de l’évaluation des politiques publiques ; </w:t>
      </w:r>
    </w:p>
    <w:p w:rsidR="00864EC1" w:rsidRDefault="00C6376C">
      <w:pPr>
        <w:pStyle w:val="Paragraphedeliste"/>
        <w:numPr>
          <w:ilvl w:val="0"/>
          <w:numId w:val="2"/>
        </w:numPr>
        <w:jc w:val="both"/>
        <w:rPr>
          <w:rFonts w:ascii="Times New Roman" w:hAnsi="Times New Roman"/>
        </w:rPr>
      </w:pPr>
      <w:r>
        <w:rPr>
          <w:rFonts w:ascii="Times New Roman" w:hAnsi="Times New Roman"/>
        </w:rPr>
        <w:t>La promotion de la recherche, l’enseigne</w:t>
      </w:r>
      <w:r>
        <w:rPr>
          <w:rFonts w:ascii="Times New Roman" w:hAnsi="Times New Roman"/>
        </w:rPr>
        <w:t xml:space="preserve">ment, la formation  et la professionnalisation de l’évaluation ; </w:t>
      </w:r>
    </w:p>
    <w:p w:rsidR="00864EC1" w:rsidRDefault="00C6376C">
      <w:pPr>
        <w:pStyle w:val="Paragraphedeliste"/>
        <w:numPr>
          <w:ilvl w:val="0"/>
          <w:numId w:val="2"/>
        </w:numPr>
        <w:jc w:val="both"/>
        <w:rPr>
          <w:rFonts w:ascii="Times New Roman" w:hAnsi="Times New Roman"/>
        </w:rPr>
      </w:pPr>
      <w:r>
        <w:rPr>
          <w:rFonts w:ascii="Times New Roman" w:hAnsi="Times New Roman"/>
        </w:rPr>
        <w:t xml:space="preserve">La promotion de la participation citoyenne à l’évaluation des politiques publiques ; </w:t>
      </w:r>
    </w:p>
    <w:p w:rsidR="00864EC1" w:rsidRDefault="00C6376C">
      <w:pPr>
        <w:pStyle w:val="Paragraphedeliste"/>
        <w:numPr>
          <w:ilvl w:val="0"/>
          <w:numId w:val="2"/>
        </w:numPr>
        <w:jc w:val="both"/>
      </w:pPr>
      <w:r>
        <w:rPr>
          <w:rFonts w:ascii="Times New Roman" w:hAnsi="Times New Roman"/>
        </w:rPr>
        <w:t xml:space="preserve">La promotion de la coopération sud-sud ;        </w:t>
      </w:r>
    </w:p>
    <w:p w:rsidR="00864EC1" w:rsidRDefault="00C6376C">
      <w:pPr>
        <w:pStyle w:val="Paragraphedeliste"/>
        <w:numPr>
          <w:ilvl w:val="0"/>
          <w:numId w:val="2"/>
        </w:numPr>
        <w:jc w:val="both"/>
        <w:rPr>
          <w:rFonts w:ascii="Times New Roman" w:hAnsi="Times New Roman"/>
        </w:rPr>
      </w:pPr>
      <w:r>
        <w:rPr>
          <w:rFonts w:ascii="Times New Roman" w:hAnsi="Times New Roman"/>
        </w:rPr>
        <w:t>Le renforcement du partenariat avec les Nations Unies.</w:t>
      </w:r>
    </w:p>
    <w:p w:rsidR="00864EC1" w:rsidRDefault="00C6376C">
      <w:pPr>
        <w:jc w:val="both"/>
        <w:rPr>
          <w:rFonts w:ascii="Times New Roman" w:hAnsi="Times New Roman"/>
        </w:rPr>
      </w:pPr>
      <w:r>
        <w:rPr>
          <w:rFonts w:ascii="Times New Roman" w:hAnsi="Times New Roman"/>
        </w:rPr>
        <w:t xml:space="preserve">Au terme de l’analyse, il a été mis en exergue les principales leçons apprises ci-après : </w:t>
      </w:r>
    </w:p>
    <w:p w:rsidR="00864EC1" w:rsidRDefault="00C6376C">
      <w:pPr>
        <w:pStyle w:val="Paragraphedeliste"/>
        <w:numPr>
          <w:ilvl w:val="0"/>
          <w:numId w:val="3"/>
        </w:numPr>
        <w:jc w:val="both"/>
        <w:rPr>
          <w:rFonts w:ascii="Times New Roman" w:hAnsi="Times New Roman"/>
        </w:rPr>
      </w:pPr>
      <w:r>
        <w:rPr>
          <w:rFonts w:ascii="Times New Roman" w:hAnsi="Times New Roman"/>
        </w:rPr>
        <w:t>L’appréciation des performances notamment de l’efficacité n’a pas été aisée en raison de la faiblesse de la prise en compte des principes programmatiques au niveau d</w:t>
      </w:r>
      <w:r>
        <w:rPr>
          <w:rFonts w:ascii="Times New Roman" w:hAnsi="Times New Roman"/>
        </w:rPr>
        <w:t xml:space="preserve">e l’analyse pays. Cet écueil  a eu des répercussions sur la qualité de la matrice des résultats. </w:t>
      </w:r>
    </w:p>
    <w:p w:rsidR="00864EC1" w:rsidRDefault="00C6376C">
      <w:pPr>
        <w:pStyle w:val="Paragraphedeliste"/>
        <w:numPr>
          <w:ilvl w:val="0"/>
          <w:numId w:val="3"/>
        </w:numPr>
        <w:jc w:val="both"/>
        <w:rPr>
          <w:rFonts w:ascii="Times New Roman" w:hAnsi="Times New Roman"/>
        </w:rPr>
      </w:pPr>
      <w:r>
        <w:rPr>
          <w:rFonts w:ascii="Times New Roman" w:hAnsi="Times New Roman"/>
        </w:rPr>
        <w:t>Les Tdr ont retenu l’impact parmi les critères d’évaluation. Mais, l’appréciation de l’impact a été limitée. En effet, elle s’est fondée sur les opinions de q</w:t>
      </w:r>
      <w:r>
        <w:rPr>
          <w:rFonts w:ascii="Times New Roman" w:hAnsi="Times New Roman"/>
        </w:rPr>
        <w:t xml:space="preserve">uelques informateurs clés. </w:t>
      </w:r>
    </w:p>
    <w:p w:rsidR="00864EC1" w:rsidRDefault="00C6376C">
      <w:pPr>
        <w:pStyle w:val="Paragraphedeliste"/>
        <w:numPr>
          <w:ilvl w:val="0"/>
          <w:numId w:val="3"/>
        </w:numPr>
        <w:jc w:val="both"/>
        <w:rPr>
          <w:rFonts w:ascii="Times New Roman" w:hAnsi="Times New Roman"/>
        </w:rPr>
      </w:pPr>
      <w:r>
        <w:rPr>
          <w:rFonts w:ascii="Times New Roman" w:hAnsi="Times New Roman"/>
        </w:rPr>
        <w:t xml:space="preserve">L’analyse a montré que l’ONDH s’est positionné au carrefour de l’institutionnalisation, de la recherche, de l’enseignement et de la formation, de la professionnalisation. Il apparaît que son positionnement stratégique et son </w:t>
      </w:r>
      <w:r>
        <w:rPr>
          <w:rFonts w:ascii="Times New Roman" w:hAnsi="Times New Roman"/>
        </w:rPr>
        <w:t xml:space="preserve">envergure opérationnelle ont desserré l’étau de son statut juridique. </w:t>
      </w:r>
    </w:p>
    <w:p w:rsidR="00864EC1" w:rsidRDefault="00C6376C">
      <w:pPr>
        <w:pStyle w:val="Paragraphedeliste"/>
        <w:numPr>
          <w:ilvl w:val="0"/>
          <w:numId w:val="3"/>
        </w:numPr>
        <w:jc w:val="both"/>
        <w:rPr>
          <w:rFonts w:ascii="Times New Roman" w:hAnsi="Times New Roman"/>
        </w:rPr>
      </w:pPr>
      <w:r>
        <w:rPr>
          <w:rFonts w:ascii="Times New Roman" w:hAnsi="Times New Roman"/>
        </w:rPr>
        <w:t xml:space="preserve">L’analyse a révélé que la Déclaration de Rabat est un levier essentiel pour la promotion de la coopération sud-sud. </w:t>
      </w:r>
    </w:p>
    <w:p w:rsidR="00864EC1" w:rsidRDefault="00C6376C">
      <w:pPr>
        <w:pStyle w:val="Paragraphedeliste"/>
        <w:numPr>
          <w:ilvl w:val="0"/>
          <w:numId w:val="3"/>
        </w:numPr>
        <w:jc w:val="both"/>
        <w:rPr>
          <w:rFonts w:ascii="Times New Roman" w:hAnsi="Times New Roman"/>
        </w:rPr>
      </w:pPr>
      <w:r>
        <w:rPr>
          <w:rFonts w:ascii="Times New Roman" w:hAnsi="Times New Roman"/>
        </w:rPr>
        <w:t>Le succès du programme conjoint est imputable à l’engagement et à la</w:t>
      </w:r>
      <w:r>
        <w:rPr>
          <w:rFonts w:ascii="Times New Roman" w:hAnsi="Times New Roman"/>
        </w:rPr>
        <w:t xml:space="preserve"> cohérence des Nations Unies. Mais, son ancrage dans la mission et  les domaines d’intervention de l’ONDH, le leadership et l’appropriation nationale ont été déterminants. </w:t>
      </w:r>
    </w:p>
    <w:p w:rsidR="00864EC1" w:rsidRDefault="00C6376C">
      <w:pPr>
        <w:jc w:val="both"/>
        <w:rPr>
          <w:rFonts w:ascii="Times New Roman" w:hAnsi="Times New Roman"/>
        </w:rPr>
      </w:pPr>
      <w:r>
        <w:rPr>
          <w:rFonts w:ascii="Times New Roman" w:hAnsi="Times New Roman"/>
        </w:rPr>
        <w:t xml:space="preserve">Il a été aussi formulé les recommandations suivantes qui sont étayées plus bas :  </w:t>
      </w:r>
    </w:p>
    <w:p w:rsidR="00864EC1" w:rsidRDefault="00C6376C">
      <w:pPr>
        <w:pStyle w:val="Paragraphedeliste"/>
        <w:numPr>
          <w:ilvl w:val="0"/>
          <w:numId w:val="4"/>
        </w:numPr>
        <w:jc w:val="both"/>
        <w:rPr>
          <w:rFonts w:ascii="Times New Roman" w:hAnsi="Times New Roman"/>
        </w:rPr>
      </w:pPr>
      <w:r>
        <w:rPr>
          <w:rFonts w:ascii="Times New Roman" w:hAnsi="Times New Roman"/>
        </w:rPr>
        <w:lastRenderedPageBreak/>
        <w:t xml:space="preserve">Améliorer la prise en compte des principes programmatiques dans le document du programme de la troisième phase. </w:t>
      </w:r>
    </w:p>
    <w:p w:rsidR="00864EC1" w:rsidRDefault="00C6376C">
      <w:pPr>
        <w:pStyle w:val="Paragraphedeliste"/>
        <w:numPr>
          <w:ilvl w:val="0"/>
          <w:numId w:val="4"/>
        </w:numPr>
        <w:jc w:val="both"/>
        <w:rPr>
          <w:rFonts w:ascii="Times New Roman" w:hAnsi="Times New Roman"/>
        </w:rPr>
      </w:pPr>
      <w:r>
        <w:rPr>
          <w:rFonts w:ascii="Times New Roman" w:hAnsi="Times New Roman"/>
        </w:rPr>
        <w:t xml:space="preserve">Améliorer la cohérence externe du programme conjoint. </w:t>
      </w:r>
    </w:p>
    <w:p w:rsidR="00864EC1" w:rsidRDefault="00C6376C">
      <w:pPr>
        <w:pStyle w:val="Paragraphedeliste"/>
        <w:numPr>
          <w:ilvl w:val="0"/>
          <w:numId w:val="4"/>
        </w:numPr>
        <w:jc w:val="both"/>
        <w:rPr>
          <w:rFonts w:ascii="Times New Roman" w:hAnsi="Times New Roman"/>
        </w:rPr>
      </w:pPr>
      <w:r>
        <w:rPr>
          <w:rFonts w:ascii="Times New Roman" w:hAnsi="Times New Roman"/>
        </w:rPr>
        <w:t>Veiller à élaborer d’un plan de développement des capacités de l’ONDH et des bénéficiair</w:t>
      </w:r>
      <w:r>
        <w:rPr>
          <w:rFonts w:ascii="Times New Roman" w:hAnsi="Times New Roman"/>
        </w:rPr>
        <w:t xml:space="preserve">es du programme conjoint dans la perspective de la programmation future. </w:t>
      </w:r>
    </w:p>
    <w:p w:rsidR="00864EC1" w:rsidRDefault="00C6376C">
      <w:pPr>
        <w:pStyle w:val="Paragraphedeliste"/>
        <w:numPr>
          <w:ilvl w:val="0"/>
          <w:numId w:val="4"/>
        </w:numPr>
        <w:jc w:val="both"/>
        <w:rPr>
          <w:rFonts w:ascii="Times New Roman" w:hAnsi="Times New Roman"/>
        </w:rPr>
      </w:pPr>
      <w:r>
        <w:rPr>
          <w:rFonts w:ascii="Times New Roman" w:hAnsi="Times New Roman"/>
        </w:rPr>
        <w:t xml:space="preserve">Explorer, prioriser et opérationnaliser les pistes relatives au choix de la stratégie d’intervention. </w:t>
      </w:r>
    </w:p>
    <w:p w:rsidR="00864EC1" w:rsidRDefault="00C6376C">
      <w:pPr>
        <w:pStyle w:val="Paragraphedeliste"/>
        <w:numPr>
          <w:ilvl w:val="0"/>
          <w:numId w:val="4"/>
        </w:numPr>
        <w:jc w:val="both"/>
        <w:rPr>
          <w:rFonts w:ascii="Times New Roman" w:hAnsi="Times New Roman"/>
        </w:rPr>
      </w:pPr>
      <w:r>
        <w:rPr>
          <w:rFonts w:ascii="Times New Roman" w:hAnsi="Times New Roman"/>
        </w:rPr>
        <w:t>Explorer les chantiers stratégiques proposés pour le positionnement stratégique</w:t>
      </w:r>
      <w:r>
        <w:rPr>
          <w:rFonts w:ascii="Times New Roman" w:hAnsi="Times New Roman"/>
        </w:rPr>
        <w:t xml:space="preserve">s de l’ONDH. </w:t>
      </w:r>
    </w:p>
    <w:p w:rsidR="00864EC1" w:rsidRDefault="00C6376C">
      <w:pPr>
        <w:pStyle w:val="Paragraphedeliste"/>
        <w:numPr>
          <w:ilvl w:val="0"/>
          <w:numId w:val="4"/>
        </w:numPr>
        <w:jc w:val="both"/>
        <w:rPr>
          <w:rFonts w:ascii="Times New Roman" w:hAnsi="Times New Roman"/>
        </w:rPr>
      </w:pPr>
      <w:r>
        <w:rPr>
          <w:rFonts w:ascii="Times New Roman" w:hAnsi="Times New Roman"/>
        </w:rPr>
        <w:t xml:space="preserve">Utiliser la déclaration de Rabat comme levier de la coopération sud-sud. </w:t>
      </w:r>
    </w:p>
    <w:p w:rsidR="00864EC1" w:rsidRDefault="00C6376C">
      <w:pPr>
        <w:pStyle w:val="Paragraphedeliste"/>
        <w:numPr>
          <w:ilvl w:val="0"/>
          <w:numId w:val="4"/>
        </w:numPr>
        <w:jc w:val="both"/>
        <w:rPr>
          <w:rFonts w:ascii="Times New Roman" w:hAnsi="Times New Roman"/>
        </w:rPr>
      </w:pPr>
      <w:r>
        <w:rPr>
          <w:rFonts w:ascii="Times New Roman" w:hAnsi="Times New Roman"/>
        </w:rPr>
        <w:t xml:space="preserve">Renforcer le partenariat entre l’ONDH et les Nations Unies. </w:t>
      </w: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C6376C">
      <w:pPr>
        <w:jc w:val="both"/>
        <w:rPr>
          <w:rFonts w:ascii="Times New Roman" w:hAnsi="Times New Roman"/>
        </w:rPr>
      </w:pPr>
      <w:r>
        <w:rPr>
          <w:rFonts w:ascii="Times New Roman" w:hAnsi="Times New Roman"/>
        </w:rPr>
        <w:t xml:space="preserve">  </w:t>
      </w: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C6376C">
      <w:pPr>
        <w:pStyle w:val="Titre2"/>
      </w:pPr>
      <w:bookmarkStart w:id="15" w:name="_Toc451652731"/>
      <w:bookmarkStart w:id="16" w:name="_Toc451653133"/>
      <w:r>
        <w:t>Introduction</w:t>
      </w:r>
      <w:bookmarkEnd w:id="15"/>
      <w:bookmarkEnd w:id="16"/>
      <w:r>
        <w:t xml:space="preserve"> </w:t>
      </w:r>
    </w:p>
    <w:p w:rsidR="00864EC1" w:rsidRDefault="00C6376C">
      <w:pPr>
        <w:jc w:val="both"/>
      </w:pPr>
      <w:r>
        <w:rPr>
          <w:rFonts w:ascii="Times New Roman" w:hAnsi="Times New Roman"/>
        </w:rPr>
        <w:t xml:space="preserve">Le présent rapport rend compte des constats, des conclusions, des leçons </w:t>
      </w:r>
      <w:r>
        <w:rPr>
          <w:rFonts w:ascii="Times New Roman" w:hAnsi="Times New Roman"/>
        </w:rPr>
        <w:t>apprises et des recommandations de l’évaluation finale de la deuxième phase du programme conjoint d’appui à l’ONDH qui sera clôturée en décembre 2016 au terme de cinq ans d’exécution. Le document du programme conjoint signale qu’au cours de la dernière ann</w:t>
      </w:r>
      <w:r>
        <w:rPr>
          <w:rFonts w:ascii="Times New Roman" w:hAnsi="Times New Roman"/>
        </w:rPr>
        <w:t xml:space="preserve">ée d’exécution, la revue annuelle devra constituer une </w:t>
      </w:r>
      <w:r>
        <w:rPr>
          <w:rFonts w:ascii="Times New Roman" w:hAnsi="Times New Roman"/>
        </w:rPr>
        <w:lastRenderedPageBreak/>
        <w:t>évaluation finale. Celle-ci a été avant tout motivée par le respect des procédures de suivi de la performance du projet qui sont conformes aux procédures et aux directives du PNUD en sa qualité d’agent</w:t>
      </w:r>
      <w:r>
        <w:rPr>
          <w:rFonts w:ascii="Times New Roman" w:hAnsi="Times New Roman"/>
        </w:rPr>
        <w:t xml:space="preserve"> de gestion. Mais, elle a aussi répondu à l’exigence de redevabilité et aux préoccupations des principales parties prenantes qui voudraient capitaliser les conclusions, les leçons apprises et les recommandations pour une future programmation.   </w:t>
      </w:r>
    </w:p>
    <w:p w:rsidR="00864EC1" w:rsidRDefault="00C6376C">
      <w:pPr>
        <w:jc w:val="both"/>
        <w:rPr>
          <w:rFonts w:ascii="Times New Roman" w:hAnsi="Times New Roman"/>
        </w:rPr>
      </w:pPr>
      <w:r>
        <w:rPr>
          <w:rFonts w:ascii="Times New Roman" w:hAnsi="Times New Roman"/>
        </w:rPr>
        <w:t>Cette éval</w:t>
      </w:r>
      <w:r>
        <w:rPr>
          <w:rFonts w:ascii="Times New Roman" w:hAnsi="Times New Roman"/>
        </w:rPr>
        <w:t>uation finale a été conduite dans un contexte national marqué par une évolution impressionnante  de la culture et de la pratique évaluatives au Maroc. En effet, à la faveur de l’adoption de la constitution de septembre 2011 particulièrement de la constitut</w:t>
      </w:r>
      <w:r>
        <w:rPr>
          <w:rFonts w:ascii="Times New Roman" w:hAnsi="Times New Roman"/>
        </w:rPr>
        <w:t>ionnalisation de l’évaluation des politiques publiques,  les autorités politiques au plus haut niveau, les collectivités territoriales, les Organisations de la société civile (OSC), les universités expriment un intérêt de plus en plus croissant pour l’éval</w:t>
      </w:r>
      <w:r>
        <w:rPr>
          <w:rFonts w:ascii="Times New Roman" w:hAnsi="Times New Roman"/>
        </w:rPr>
        <w:t>uation des politiques publiques. La thématique de l’évaluation des politiques publiques figure désormais en bonne place sur l’agenda politique. En effet, le discours Royal prononcé à l’occasion de la fête du Trône le 30 juillet 2014 a réaffirmé l’importanc</w:t>
      </w:r>
      <w:r>
        <w:rPr>
          <w:rFonts w:ascii="Times New Roman" w:hAnsi="Times New Roman"/>
        </w:rPr>
        <w:t>e  de  l’évaluation pour apprécier l’impact ou les retombées des politiques publiques sur les conditions de vie de la population. L’évaluation des politiques publiques ne cesse d’alimenter des conférences, des échanges ou des débats au sein du parlement, a</w:t>
      </w:r>
      <w:r>
        <w:rPr>
          <w:rFonts w:ascii="Times New Roman" w:hAnsi="Times New Roman"/>
        </w:rPr>
        <w:t xml:space="preserve">u niveau des régions et des communes ainsi que dans le milieu associatif.  Elle est devenue un champ de recherche et d’enseignement qui attire de plus en plus les universités et les écoles supérieures. </w:t>
      </w:r>
    </w:p>
    <w:p w:rsidR="00864EC1" w:rsidRDefault="00C6376C">
      <w:pPr>
        <w:jc w:val="both"/>
      </w:pPr>
      <w:r>
        <w:rPr>
          <w:rFonts w:ascii="Times New Roman" w:hAnsi="Times New Roman"/>
        </w:rPr>
        <w:t>En outre, l’évaluation finale du programme conjoint a</w:t>
      </w:r>
      <w:r>
        <w:rPr>
          <w:rFonts w:ascii="Times New Roman" w:hAnsi="Times New Roman"/>
        </w:rPr>
        <w:t xml:space="preserve"> été précédée par l’évaluation du bilan des réalisations de l’ONDH et l’élaboration de son plan stratégique 2016-2020 dont les résultats et les conclusions ont été  mis à contribution pour apprécier les performances de l’ONDH et l’exploration des pistes de</w:t>
      </w:r>
      <w:r>
        <w:rPr>
          <w:rFonts w:ascii="Times New Roman" w:hAnsi="Times New Roman"/>
        </w:rPr>
        <w:t xml:space="preserve"> réflexion pour son positionnement stratégique</w:t>
      </w:r>
      <w:r>
        <w:rPr>
          <w:rStyle w:val="Appelnotedebasdep"/>
          <w:rFonts w:ascii="Times New Roman" w:hAnsi="Times New Roman"/>
        </w:rPr>
        <w:footnoteReference w:id="2"/>
      </w:r>
      <w:r>
        <w:rPr>
          <w:rFonts w:ascii="Times New Roman" w:hAnsi="Times New Roman"/>
        </w:rPr>
        <w:t>. Cette évaluation finale a eu aussi l’avantage d’être entreprise à la suite de l’évaluation finale du Plan cadre des Nations des Nations Unies pour l’aide au développement (UNDAF) 2012-2016 dont le rapport final fournit des i</w:t>
      </w:r>
      <w:r>
        <w:rPr>
          <w:rFonts w:ascii="Times New Roman" w:hAnsi="Times New Roman"/>
        </w:rPr>
        <w:t>nformations utiles sur la contribution du programme conjoint aux progrès enregistrés vers la réalisation des effets et produits de l’UNDAF. Cet exercice a également coïncidé avec la finalisation en cours de l’UNDAF 2017-2021 qui a sans doute pris en compte</w:t>
      </w:r>
      <w:r>
        <w:rPr>
          <w:rFonts w:ascii="Times New Roman" w:hAnsi="Times New Roman"/>
        </w:rPr>
        <w:t xml:space="preserve"> les orientations stratégiques de  l’agenda 2030. Celui-ci plaide pour le renforcement des systèmes nationaux de statistiques, de suivi et évaluation en vue de garantir un suivi efficace des progrès réalisés vers l’atteinte des Objectifs de développement d</w:t>
      </w:r>
      <w:r>
        <w:rPr>
          <w:rFonts w:ascii="Times New Roman" w:hAnsi="Times New Roman"/>
        </w:rPr>
        <w:t xml:space="preserve">urable (ODD). </w:t>
      </w:r>
    </w:p>
    <w:p w:rsidR="00864EC1" w:rsidRDefault="00C6376C">
      <w:pPr>
        <w:jc w:val="both"/>
        <w:rPr>
          <w:rFonts w:ascii="Times New Roman" w:hAnsi="Times New Roman"/>
        </w:rPr>
      </w:pPr>
      <w:r>
        <w:rPr>
          <w:rFonts w:ascii="Times New Roman" w:hAnsi="Times New Roman"/>
        </w:rPr>
        <w:t>En définitive, l’évaluation finale du programme conjoint s’est déroulée dans un contexte très favorable en raison de la disponibilité des documents et des rapports essentiels  qui ont permis d’obtenir les données et les informations nécessai</w:t>
      </w:r>
      <w:r>
        <w:rPr>
          <w:rFonts w:ascii="Times New Roman" w:hAnsi="Times New Roman"/>
        </w:rPr>
        <w:t>res pour répondre aux questions évaluatives proposées dans les Tdr et étayées dans la matrice d’évaluation. Il a été donc aisé de porter un jugement objectif et rigoureux sur les performances, les retombées espérées et non prévues de la mise en œuvre du pr</w:t>
      </w:r>
      <w:r>
        <w:rPr>
          <w:rFonts w:ascii="Times New Roman" w:hAnsi="Times New Roman"/>
        </w:rPr>
        <w:t xml:space="preserve">ogramme conjoint. Ces données et ces informations ont également été utiles pour la réflexion sur les perspectives de positionnement stratégique de l’ONDH. </w:t>
      </w:r>
    </w:p>
    <w:p w:rsidR="00864EC1" w:rsidRDefault="00864EC1">
      <w:pPr>
        <w:jc w:val="both"/>
        <w:rPr>
          <w:rFonts w:ascii="Times New Roman" w:hAnsi="Times New Roman"/>
        </w:rPr>
      </w:pPr>
    </w:p>
    <w:p w:rsidR="00864EC1" w:rsidRDefault="00C6376C">
      <w:pPr>
        <w:jc w:val="both"/>
        <w:rPr>
          <w:rFonts w:ascii="Times New Roman" w:hAnsi="Times New Roman"/>
        </w:rPr>
      </w:pPr>
      <w:r>
        <w:rPr>
          <w:rFonts w:ascii="Times New Roman" w:hAnsi="Times New Roman"/>
        </w:rPr>
        <w:t xml:space="preserve">Tenant compte de ce qui précède et des Tdr, le présent rapport est structuré en sept points : </w:t>
      </w:r>
    </w:p>
    <w:p w:rsidR="00864EC1" w:rsidRDefault="00C6376C">
      <w:pPr>
        <w:pStyle w:val="Paragraphedeliste"/>
        <w:numPr>
          <w:ilvl w:val="0"/>
          <w:numId w:val="5"/>
        </w:numPr>
        <w:jc w:val="both"/>
        <w:rPr>
          <w:rFonts w:ascii="Times New Roman" w:hAnsi="Times New Roman"/>
        </w:rPr>
      </w:pPr>
      <w:r>
        <w:rPr>
          <w:rFonts w:ascii="Times New Roman" w:hAnsi="Times New Roman"/>
        </w:rPr>
        <w:t>Le p</w:t>
      </w:r>
      <w:r>
        <w:rPr>
          <w:rFonts w:ascii="Times New Roman" w:hAnsi="Times New Roman"/>
        </w:rPr>
        <w:t xml:space="preserve">remier point décrit succinctement le programme conjoint qui fait l’objet de l’évaluation. Elle apprécie également la qualité de la matrice des résultats qui constitue le noyau central ou le socle du programme conjoint ; </w:t>
      </w:r>
    </w:p>
    <w:p w:rsidR="00864EC1" w:rsidRDefault="00C6376C">
      <w:pPr>
        <w:pStyle w:val="Paragraphedeliste"/>
        <w:numPr>
          <w:ilvl w:val="0"/>
          <w:numId w:val="5"/>
        </w:numPr>
        <w:jc w:val="both"/>
        <w:rPr>
          <w:rFonts w:ascii="Times New Roman" w:hAnsi="Times New Roman"/>
        </w:rPr>
      </w:pPr>
      <w:r>
        <w:rPr>
          <w:rFonts w:ascii="Times New Roman" w:hAnsi="Times New Roman"/>
        </w:rPr>
        <w:lastRenderedPageBreak/>
        <w:t>Le deuxième point rappelle les obje</w:t>
      </w:r>
      <w:r>
        <w:rPr>
          <w:rFonts w:ascii="Times New Roman" w:hAnsi="Times New Roman"/>
        </w:rPr>
        <w:t xml:space="preserve">ctifs et expose la méthodologie de l’évaluation ; </w:t>
      </w:r>
    </w:p>
    <w:p w:rsidR="00864EC1" w:rsidRDefault="00C6376C">
      <w:pPr>
        <w:pStyle w:val="Paragraphedeliste"/>
        <w:numPr>
          <w:ilvl w:val="0"/>
          <w:numId w:val="5"/>
        </w:numPr>
        <w:jc w:val="both"/>
        <w:rPr>
          <w:rFonts w:ascii="Times New Roman" w:hAnsi="Times New Roman"/>
        </w:rPr>
      </w:pPr>
      <w:r>
        <w:rPr>
          <w:rFonts w:ascii="Times New Roman" w:hAnsi="Times New Roman"/>
        </w:rPr>
        <w:t xml:space="preserve">Le troisième point s’appesantit sur l’appréciation de la pertinence, des performances, de la cohérence des interventions, de la durabilité et l’appropriation, de l’impact  de la mise en œuvre du programme </w:t>
      </w:r>
      <w:r>
        <w:rPr>
          <w:rFonts w:ascii="Times New Roman" w:hAnsi="Times New Roman"/>
        </w:rPr>
        <w:t xml:space="preserve">conjoint ; </w:t>
      </w:r>
    </w:p>
    <w:p w:rsidR="00864EC1" w:rsidRDefault="00C6376C">
      <w:pPr>
        <w:pStyle w:val="Paragraphedeliste"/>
        <w:numPr>
          <w:ilvl w:val="0"/>
          <w:numId w:val="5"/>
        </w:numPr>
        <w:jc w:val="both"/>
        <w:rPr>
          <w:rFonts w:ascii="Times New Roman" w:hAnsi="Times New Roman"/>
        </w:rPr>
      </w:pPr>
      <w:r>
        <w:rPr>
          <w:rFonts w:ascii="Times New Roman" w:hAnsi="Times New Roman"/>
        </w:rPr>
        <w:t xml:space="preserve">Le quatrième point s’attache à apprécier la gouvernance du programme conjoint et sa contribution au renforcement de la cohérence des interventions des agences des Nations Unies dans le domaine de l’institutionnalisation de l’évaluation des </w:t>
      </w:r>
      <w:r>
        <w:rPr>
          <w:rFonts w:ascii="Times New Roman" w:hAnsi="Times New Roman"/>
        </w:rPr>
        <w:t xml:space="preserve">politiques publiques ; </w:t>
      </w:r>
    </w:p>
    <w:p w:rsidR="00864EC1" w:rsidRDefault="00C6376C">
      <w:pPr>
        <w:pStyle w:val="Paragraphedeliste"/>
        <w:numPr>
          <w:ilvl w:val="0"/>
          <w:numId w:val="5"/>
        </w:numPr>
        <w:jc w:val="both"/>
        <w:rPr>
          <w:rFonts w:ascii="Times New Roman" w:hAnsi="Times New Roman"/>
        </w:rPr>
      </w:pPr>
      <w:r>
        <w:rPr>
          <w:rFonts w:ascii="Times New Roman" w:hAnsi="Times New Roman"/>
        </w:rPr>
        <w:t xml:space="preserve">Le cinquième point porte sur le développement des partenariats et la coopération Sud-sud </w:t>
      </w:r>
    </w:p>
    <w:p w:rsidR="00864EC1" w:rsidRDefault="00C6376C">
      <w:pPr>
        <w:pStyle w:val="Paragraphedeliste"/>
        <w:numPr>
          <w:ilvl w:val="0"/>
          <w:numId w:val="5"/>
        </w:numPr>
        <w:jc w:val="both"/>
        <w:rPr>
          <w:rFonts w:ascii="Times New Roman" w:hAnsi="Times New Roman"/>
        </w:rPr>
      </w:pPr>
      <w:r>
        <w:rPr>
          <w:rFonts w:ascii="Times New Roman" w:hAnsi="Times New Roman"/>
        </w:rPr>
        <w:t xml:space="preserve">Le sixième point s’intéresse à  la gestion des connaissances et la communication ;  </w:t>
      </w:r>
    </w:p>
    <w:p w:rsidR="00864EC1" w:rsidRDefault="00C6376C">
      <w:pPr>
        <w:pStyle w:val="Paragraphedeliste"/>
        <w:numPr>
          <w:ilvl w:val="0"/>
          <w:numId w:val="5"/>
        </w:numPr>
        <w:jc w:val="both"/>
        <w:rPr>
          <w:rFonts w:ascii="Times New Roman" w:hAnsi="Times New Roman"/>
        </w:rPr>
      </w:pPr>
      <w:r>
        <w:rPr>
          <w:rFonts w:ascii="Times New Roman" w:hAnsi="Times New Roman"/>
        </w:rPr>
        <w:t>Le septième point suggère des pistes de réflexion et d’ac</w:t>
      </w:r>
      <w:r>
        <w:rPr>
          <w:rFonts w:ascii="Times New Roman" w:hAnsi="Times New Roman"/>
        </w:rPr>
        <w:t>tion à explorer pour le positionnement stratégique de l’ONDH ;</w:t>
      </w:r>
    </w:p>
    <w:p w:rsidR="00864EC1" w:rsidRDefault="00C6376C">
      <w:pPr>
        <w:pStyle w:val="Paragraphedeliste"/>
        <w:numPr>
          <w:ilvl w:val="0"/>
          <w:numId w:val="5"/>
        </w:numPr>
        <w:jc w:val="both"/>
        <w:rPr>
          <w:rFonts w:ascii="Times New Roman" w:hAnsi="Times New Roman"/>
        </w:rPr>
      </w:pPr>
      <w:r>
        <w:rPr>
          <w:rFonts w:ascii="Times New Roman" w:hAnsi="Times New Roman"/>
        </w:rPr>
        <w:t xml:space="preserve">Le huitième point énonce les leçons apprises, les bonnes pratiques et les recommandations. </w:t>
      </w:r>
    </w:p>
    <w:p w:rsidR="00864EC1" w:rsidRDefault="00C6376C">
      <w:pPr>
        <w:pStyle w:val="Titre2"/>
      </w:pPr>
      <w:bookmarkStart w:id="17" w:name="_Toc451442671"/>
      <w:bookmarkStart w:id="18" w:name="_Toc451652732"/>
      <w:bookmarkStart w:id="19" w:name="_Toc451653134"/>
      <w:r>
        <w:t>I - Objectifs, critères d’évaluation, questions évaluatives et méthodologie de l’évaluation</w:t>
      </w:r>
      <w:bookmarkEnd w:id="17"/>
      <w:bookmarkEnd w:id="18"/>
      <w:bookmarkEnd w:id="19"/>
      <w:r>
        <w:t xml:space="preserve"> </w:t>
      </w:r>
    </w:p>
    <w:p w:rsidR="00864EC1" w:rsidRDefault="00C6376C">
      <w:pPr>
        <w:pStyle w:val="Titre3"/>
      </w:pPr>
      <w:bookmarkStart w:id="20" w:name="_Toc451442672"/>
      <w:bookmarkStart w:id="21" w:name="_Toc451652733"/>
      <w:bookmarkStart w:id="22" w:name="_Toc451653135"/>
      <w:r>
        <w:t>I.1 - Ob</w:t>
      </w:r>
      <w:r>
        <w:t>jectifs global et spécifiques</w:t>
      </w:r>
      <w:bookmarkEnd w:id="20"/>
      <w:bookmarkEnd w:id="21"/>
      <w:bookmarkEnd w:id="22"/>
    </w:p>
    <w:p w:rsidR="00864EC1" w:rsidRDefault="00C6376C">
      <w:pPr>
        <w:jc w:val="both"/>
      </w:pPr>
      <w:r>
        <w:rPr>
          <w:rFonts w:ascii="Times New Roman" w:hAnsi="Times New Roman"/>
        </w:rPr>
        <w:t xml:space="preserve">Les Tdr indiquent que </w:t>
      </w:r>
      <w:r>
        <w:rPr>
          <w:rFonts w:ascii="Times New Roman" w:hAnsi="Times New Roman"/>
          <w:b/>
          <w:i/>
        </w:rPr>
        <w:t xml:space="preserve">« les objectifs de l’évaluation finale consistent  à apprécier la réalisation des résultats escomptés du projet et à tirer les enseignements qui peuvent améliorer la durabilité des acquis de ce projet et </w:t>
      </w:r>
      <w:r>
        <w:rPr>
          <w:rFonts w:ascii="Times New Roman" w:hAnsi="Times New Roman"/>
          <w:b/>
          <w:i/>
        </w:rPr>
        <w:t>favoriser l’amélioration globale des projets du Programme des Nations Unies pour le développement</w:t>
      </w:r>
      <w:r>
        <w:rPr>
          <w:rFonts w:ascii="Times New Roman" w:hAnsi="Times New Roman"/>
        </w:rPr>
        <w:t xml:space="preserve"> (</w:t>
      </w:r>
      <w:r>
        <w:rPr>
          <w:rFonts w:ascii="Times New Roman" w:hAnsi="Times New Roman"/>
          <w:b/>
          <w:i/>
        </w:rPr>
        <w:t>PNUD) particulièrement des projets conjoints »</w:t>
      </w:r>
      <w:r>
        <w:rPr>
          <w:rFonts w:ascii="Times New Roman" w:hAnsi="Times New Roman"/>
        </w:rPr>
        <w:t xml:space="preserve">. De façon spécifique, l’évaluation finale a pour but de : </w:t>
      </w:r>
    </w:p>
    <w:p w:rsidR="00864EC1" w:rsidRDefault="00C6376C">
      <w:pPr>
        <w:pStyle w:val="Paragraphedeliste"/>
        <w:numPr>
          <w:ilvl w:val="0"/>
          <w:numId w:val="6"/>
        </w:numPr>
        <w:jc w:val="both"/>
        <w:rPr>
          <w:rFonts w:ascii="Times New Roman" w:hAnsi="Times New Roman"/>
        </w:rPr>
      </w:pPr>
      <w:r>
        <w:rPr>
          <w:rFonts w:ascii="Times New Roman" w:hAnsi="Times New Roman"/>
        </w:rPr>
        <w:t>Vérifier la pertinence de cette initiative, comme r</w:t>
      </w:r>
      <w:r>
        <w:rPr>
          <w:rFonts w:ascii="Times New Roman" w:hAnsi="Times New Roman"/>
        </w:rPr>
        <w:t xml:space="preserve">éponse à un besoin institutionnel lié au renforcement des capacités pour l’évaluation des politiques publiques et l’amélioration du ciblage des populations vulnérables, et analyser comment le programme conjoint a ou pourra contribuer à la résolution de la </w:t>
      </w:r>
      <w:r>
        <w:rPr>
          <w:rFonts w:ascii="Times New Roman" w:hAnsi="Times New Roman"/>
        </w:rPr>
        <w:t xml:space="preserve">problématique justifiant sa mise en œuvre ; </w:t>
      </w:r>
    </w:p>
    <w:p w:rsidR="00864EC1" w:rsidRDefault="00C6376C">
      <w:pPr>
        <w:pStyle w:val="Paragraphedeliste"/>
        <w:numPr>
          <w:ilvl w:val="0"/>
          <w:numId w:val="6"/>
        </w:numPr>
        <w:jc w:val="both"/>
        <w:rPr>
          <w:rFonts w:ascii="Times New Roman" w:hAnsi="Times New Roman"/>
        </w:rPr>
      </w:pPr>
      <w:r>
        <w:rPr>
          <w:rFonts w:ascii="Times New Roman" w:hAnsi="Times New Roman"/>
        </w:rPr>
        <w:t xml:space="preserve">Examiner la cohérence interne (composantes) et externe (avec le contexte institutionnel) du projet conjoint en relation et interdépendance avec l’environnement endogène et exogène ; </w:t>
      </w:r>
    </w:p>
    <w:p w:rsidR="00864EC1" w:rsidRDefault="00C6376C">
      <w:pPr>
        <w:pStyle w:val="Paragraphedeliste"/>
        <w:numPr>
          <w:ilvl w:val="0"/>
          <w:numId w:val="6"/>
        </w:numPr>
        <w:jc w:val="both"/>
        <w:rPr>
          <w:rFonts w:ascii="Times New Roman" w:hAnsi="Times New Roman"/>
        </w:rPr>
      </w:pPr>
      <w:r>
        <w:rPr>
          <w:rFonts w:ascii="Times New Roman" w:hAnsi="Times New Roman"/>
        </w:rPr>
        <w:t xml:space="preserve">Juger sur la base de l’état </w:t>
      </w:r>
      <w:r>
        <w:rPr>
          <w:rFonts w:ascii="Times New Roman" w:hAnsi="Times New Roman"/>
        </w:rPr>
        <w:t xml:space="preserve">d’avancement, la performance (Efficacité et efficience) du programme conjoint, et si les effets escomptés pourront être atteints à l’échéance du programme, particulièrement en matière de produits du programme ; </w:t>
      </w:r>
    </w:p>
    <w:p w:rsidR="00864EC1" w:rsidRDefault="00C6376C">
      <w:pPr>
        <w:pStyle w:val="Paragraphedeliste"/>
        <w:numPr>
          <w:ilvl w:val="0"/>
          <w:numId w:val="6"/>
        </w:numPr>
        <w:jc w:val="both"/>
        <w:rPr>
          <w:rFonts w:ascii="Times New Roman" w:hAnsi="Times New Roman"/>
        </w:rPr>
      </w:pPr>
      <w:r>
        <w:rPr>
          <w:rFonts w:ascii="Times New Roman" w:hAnsi="Times New Roman"/>
        </w:rPr>
        <w:t>Apprécier la durabilité des résultats attein</w:t>
      </w:r>
      <w:r>
        <w:rPr>
          <w:rFonts w:ascii="Times New Roman" w:hAnsi="Times New Roman"/>
        </w:rPr>
        <w:t xml:space="preserve">ts et leur appropriation par les parties prenantes ; </w:t>
      </w:r>
    </w:p>
    <w:p w:rsidR="00864EC1" w:rsidRDefault="00C6376C">
      <w:pPr>
        <w:pStyle w:val="Paragraphedeliste"/>
        <w:numPr>
          <w:ilvl w:val="0"/>
          <w:numId w:val="6"/>
        </w:numPr>
        <w:jc w:val="both"/>
        <w:rPr>
          <w:rFonts w:ascii="Times New Roman" w:hAnsi="Times New Roman"/>
        </w:rPr>
      </w:pPr>
      <w:r>
        <w:rPr>
          <w:rFonts w:ascii="Times New Roman" w:hAnsi="Times New Roman"/>
        </w:rPr>
        <w:t>Apprécier l’impact prévisible de l’intervention à travers les pratiques institutionnelles visant l’amélioration du ciblage des programmes et des politiques publiques chez les partenaires ayant bénéficié</w:t>
      </w:r>
      <w:r>
        <w:rPr>
          <w:rFonts w:ascii="Times New Roman" w:hAnsi="Times New Roman"/>
        </w:rPr>
        <w:t xml:space="preserve"> des activités du programme conjoint ; </w:t>
      </w:r>
    </w:p>
    <w:p w:rsidR="00864EC1" w:rsidRDefault="00C6376C">
      <w:pPr>
        <w:pStyle w:val="Paragraphedeliste"/>
        <w:numPr>
          <w:ilvl w:val="0"/>
          <w:numId w:val="6"/>
        </w:numPr>
        <w:jc w:val="both"/>
        <w:rPr>
          <w:rFonts w:ascii="Times New Roman" w:hAnsi="Times New Roman"/>
        </w:rPr>
      </w:pPr>
      <w:r>
        <w:rPr>
          <w:rFonts w:ascii="Times New Roman" w:hAnsi="Times New Roman"/>
        </w:rPr>
        <w:t>Mettre à la disposition des décideurs (Comité de pilotage du programme conjoint) des recommandations basées sur une analyse factuelle et découlant des informations collectées et l’analyse du processus et les perspect</w:t>
      </w:r>
      <w:r>
        <w:rPr>
          <w:rFonts w:ascii="Times New Roman" w:hAnsi="Times New Roman"/>
        </w:rPr>
        <w:t xml:space="preserve">ives possibles en vue de prendre des décisions liées au programme et le développement d’une deuxième phase ; </w:t>
      </w:r>
    </w:p>
    <w:p w:rsidR="00864EC1" w:rsidRDefault="00C6376C">
      <w:pPr>
        <w:pStyle w:val="Paragraphedeliste"/>
        <w:numPr>
          <w:ilvl w:val="0"/>
          <w:numId w:val="6"/>
        </w:numPr>
        <w:jc w:val="both"/>
        <w:rPr>
          <w:rFonts w:ascii="Times New Roman" w:hAnsi="Times New Roman"/>
        </w:rPr>
      </w:pPr>
      <w:r>
        <w:rPr>
          <w:rFonts w:ascii="Times New Roman" w:hAnsi="Times New Roman"/>
        </w:rPr>
        <w:lastRenderedPageBreak/>
        <w:t>Permettre aussi aux agences des Nations unies d’apprécier l’importance de leur contribution et la pertinence des axes d’appui à l’ONDH en fonction</w:t>
      </w:r>
      <w:r>
        <w:rPr>
          <w:rFonts w:ascii="Times New Roman" w:hAnsi="Times New Roman"/>
        </w:rPr>
        <w:t xml:space="preserve"> de leurs avantages comparatifs respectifs.</w:t>
      </w:r>
    </w:p>
    <w:p w:rsidR="00864EC1" w:rsidRDefault="00C6376C">
      <w:pPr>
        <w:pStyle w:val="Titre3"/>
      </w:pPr>
      <w:bookmarkStart w:id="23" w:name="_Toc451442673"/>
      <w:bookmarkStart w:id="24" w:name="_Toc451652734"/>
      <w:bookmarkStart w:id="25" w:name="_Toc451653136"/>
      <w:r>
        <w:t>I.2 - Critères d’évaluation et questions évaluatives</w:t>
      </w:r>
      <w:bookmarkEnd w:id="23"/>
      <w:bookmarkEnd w:id="24"/>
      <w:bookmarkEnd w:id="25"/>
    </w:p>
    <w:p w:rsidR="00864EC1" w:rsidRDefault="00C6376C">
      <w:pPr>
        <w:jc w:val="both"/>
      </w:pPr>
      <w:r>
        <w:rPr>
          <w:rFonts w:ascii="Times New Roman" w:hAnsi="Times New Roman"/>
        </w:rPr>
        <w:t xml:space="preserve">Les Tdr proposent les critères d’évaluation suivants : </w:t>
      </w:r>
      <w:r>
        <w:rPr>
          <w:rFonts w:ascii="Times New Roman" w:hAnsi="Times New Roman"/>
          <w:b/>
          <w:i/>
        </w:rPr>
        <w:t>La Pertinence, l’efficacité, l’efficience, la cohérence (interne et externe), la durabilité, l’impact.</w:t>
      </w:r>
      <w:r>
        <w:rPr>
          <w:rFonts w:ascii="Times New Roman" w:hAnsi="Times New Roman"/>
        </w:rPr>
        <w:t xml:space="preserve"> </w:t>
      </w:r>
      <w:r>
        <w:rPr>
          <w:rFonts w:ascii="Times New Roman" w:hAnsi="Times New Roman"/>
        </w:rPr>
        <w:t>En se basant sur ces critères classiques, il a été suggéré des questions évaluatives</w:t>
      </w:r>
      <w:r>
        <w:rPr>
          <w:rFonts w:ascii="Times New Roman" w:hAnsi="Times New Roman"/>
          <w:b/>
          <w:i/>
        </w:rPr>
        <w:t xml:space="preserve"> </w:t>
      </w:r>
      <w:r>
        <w:rPr>
          <w:rFonts w:ascii="Times New Roman" w:hAnsi="Times New Roman"/>
        </w:rPr>
        <w:t>dont la plupart sont descriptives et normatives. Les questions évaluatives portent aussi sur le genre, les principes programmatiques, la coopération Sud-Sud,  le ciblage d</w:t>
      </w:r>
      <w:r>
        <w:rPr>
          <w:rFonts w:ascii="Times New Roman" w:hAnsi="Times New Roman"/>
        </w:rPr>
        <w:t>es interventions du programme conjoint.  Il convient de faire observer que les questions et sous questions proposées dans les Tdr sont pertinentes. Elles ont été étayées dans la matrice d’évaluation jointe à l’annexe qui précise les sources des données, le</w:t>
      </w:r>
      <w:r>
        <w:rPr>
          <w:rFonts w:ascii="Times New Roman" w:hAnsi="Times New Roman"/>
        </w:rPr>
        <w:t xml:space="preserve">s méthodes de collecte, la méthode d’analyse et d’interprétation. </w:t>
      </w:r>
    </w:p>
    <w:p w:rsidR="00864EC1" w:rsidRDefault="00C6376C">
      <w:pPr>
        <w:pStyle w:val="Titre3"/>
      </w:pPr>
      <w:bookmarkStart w:id="26" w:name="_Toc451442674"/>
      <w:bookmarkStart w:id="27" w:name="_Toc451652735"/>
      <w:bookmarkStart w:id="28" w:name="_Toc451653137"/>
      <w:r>
        <w:t>I.3 - Méthodologie de l’évaluation</w:t>
      </w:r>
      <w:bookmarkEnd w:id="26"/>
      <w:bookmarkEnd w:id="27"/>
      <w:bookmarkEnd w:id="28"/>
      <w:r>
        <w:t xml:space="preserve"> </w:t>
      </w:r>
    </w:p>
    <w:p w:rsidR="00864EC1" w:rsidRDefault="00C6376C">
      <w:pPr>
        <w:jc w:val="both"/>
        <w:rPr>
          <w:rFonts w:ascii="Times New Roman" w:hAnsi="Times New Roman"/>
        </w:rPr>
      </w:pPr>
      <w:r>
        <w:rPr>
          <w:rFonts w:ascii="Times New Roman" w:hAnsi="Times New Roman"/>
        </w:rPr>
        <w:t>La revue documentaire et les entretiens ont été les principales techniques utilisées pour recueillir les données et les informations nécessaires pour app</w:t>
      </w:r>
      <w:r>
        <w:rPr>
          <w:rFonts w:ascii="Times New Roman" w:hAnsi="Times New Roman"/>
        </w:rPr>
        <w:t>récier la pertinence, l’efficacité, l’efficience, la cohérence (interne et externe), la durabilité et l’impact du programme conjoint. L’utilisation de ces techniques a été guidée par les questions et les sous questions évaluatives. Elle a également tenu co</w:t>
      </w:r>
      <w:r>
        <w:rPr>
          <w:rFonts w:ascii="Times New Roman" w:hAnsi="Times New Roman"/>
        </w:rPr>
        <w:t xml:space="preserve">mpte de la nécessité de procéder à la triangulation des sources des données afin de vérifier et de procéder au contrôle de la fiabilité des données recueillies. </w:t>
      </w:r>
    </w:p>
    <w:p w:rsidR="00864EC1" w:rsidRDefault="00C6376C">
      <w:pPr>
        <w:jc w:val="both"/>
        <w:rPr>
          <w:rFonts w:ascii="Times New Roman" w:hAnsi="Times New Roman"/>
        </w:rPr>
      </w:pPr>
      <w:r>
        <w:rPr>
          <w:rFonts w:ascii="Times New Roman" w:hAnsi="Times New Roman"/>
        </w:rPr>
        <w:t>La collecte documentaire a été conduite auprès des principales parties prenantes et de quelque</w:t>
      </w:r>
      <w:r>
        <w:rPr>
          <w:rFonts w:ascii="Times New Roman" w:hAnsi="Times New Roman"/>
        </w:rPr>
        <w:t>s partenaires du programme conjoint notamment l’unité de gestion du programme (UGP) sise à l’ONDH et dans les agences contributrices notamment le Fonds des Nations unies pour l’enfance (UNICEF), le PNUD, le Fonds des Nations unies pour la population (UNFPA</w:t>
      </w:r>
      <w:r>
        <w:rPr>
          <w:rFonts w:ascii="Times New Roman" w:hAnsi="Times New Roman"/>
        </w:rPr>
        <w:t>), l’Entité des Nations unies pour l’égalité des sexes et l’autonomisation de la femme (ONUFEMMES). En tenant compte des questions évaluatives, les données et les informations ont été essentiellement extraites du document du programme conjoint, des plans d</w:t>
      </w:r>
      <w:r>
        <w:rPr>
          <w:rFonts w:ascii="Times New Roman" w:hAnsi="Times New Roman"/>
        </w:rPr>
        <w:t>e travail annuels (PTA), des rapports des revues annuelles du programme, des rapports annuels de l’ONDH, des accords de partenariats signés, des rapports d’études, des diverses publications de l’ONDH, des rapports des agences contributrices, des rapports e</w:t>
      </w:r>
      <w:r>
        <w:rPr>
          <w:rFonts w:ascii="Times New Roman" w:hAnsi="Times New Roman"/>
        </w:rPr>
        <w:t>t des études produits par les partenaires du programme (ministères, universités, collectivités territoriales, partenaires). Cette liste n’est pas exhaustive.</w:t>
      </w:r>
    </w:p>
    <w:p w:rsidR="00864EC1" w:rsidRDefault="00C6376C">
      <w:pPr>
        <w:jc w:val="both"/>
        <w:rPr>
          <w:rFonts w:ascii="Times New Roman" w:hAnsi="Times New Roman"/>
        </w:rPr>
      </w:pPr>
      <w:r>
        <w:rPr>
          <w:rFonts w:ascii="Times New Roman" w:hAnsi="Times New Roman"/>
        </w:rPr>
        <w:t xml:space="preserve">Les entretiens ont été réalisés avec quelques informateurs clés identifiés avec l’appui de l’ONDH </w:t>
      </w:r>
      <w:r>
        <w:rPr>
          <w:rFonts w:ascii="Times New Roman" w:hAnsi="Times New Roman"/>
        </w:rPr>
        <w:t>et du PNUD. Eu égard au temps imparti à la mission de terrain, à la portée et à la nature du programme conjoint qui relève essentiellement de l’appui conseil, il est apparu judicieux de constituer un petit échantillon de commodité composé de 17 informateur</w:t>
      </w:r>
      <w:r>
        <w:rPr>
          <w:rFonts w:ascii="Times New Roman" w:hAnsi="Times New Roman"/>
        </w:rPr>
        <w:t>s clés identifiés parmi les parties prenantes du programme. La constitution de l’échantillon a également tenu compte de l’exigence de la triangulation et de la dimension genre. Précisément, il a été retenu les informateurs clés représentant l’ONDH, les age</w:t>
      </w:r>
      <w:r>
        <w:rPr>
          <w:rFonts w:ascii="Times New Roman" w:hAnsi="Times New Roman"/>
        </w:rPr>
        <w:t>nces contributrices, le bureau du Coordonnateur résident, les partenaires et les bénéficiaires suivants : Le Haut-Commissariat au plan, la Banque Mondiale, les ministères partenaires  éducation et santé, le ministère des affaires générales, la direction de</w:t>
      </w:r>
      <w:r>
        <w:rPr>
          <w:rFonts w:ascii="Times New Roman" w:hAnsi="Times New Roman"/>
        </w:rPr>
        <w:t xml:space="preserve"> la coopération internationale du ministère des affaires étrangères,  un conseiller communal, la structure chargée de l’Initiative nationale de développement humain (INDH), le Parlement, l’Institut national d’aménagement et d’urbanisme, l’université Moulay</w:t>
      </w:r>
      <w:r>
        <w:rPr>
          <w:rFonts w:ascii="Times New Roman" w:hAnsi="Times New Roman"/>
        </w:rPr>
        <w:t>-Ismaïl.</w:t>
      </w:r>
    </w:p>
    <w:p w:rsidR="00864EC1" w:rsidRDefault="00C6376C">
      <w:pPr>
        <w:jc w:val="both"/>
      </w:pPr>
      <w:r>
        <w:rPr>
          <w:rFonts w:ascii="Times New Roman" w:hAnsi="Times New Roman"/>
        </w:rPr>
        <w:t>Mais, les entretiens n’ont été réalisés qu’avec 11 informateurs clés notamment l’ONDH, l’UNICEF, le PNUD, l’UNFPA, l’ONUFEMMES, la Direction de la gouvernance du ministère des affaires générales, l’Institut national d’aménagement et d’urbanisme, l</w:t>
      </w:r>
      <w:r>
        <w:rPr>
          <w:rFonts w:ascii="Times New Roman" w:hAnsi="Times New Roman"/>
        </w:rPr>
        <w:t xml:space="preserve">’université Moulay-Ismaïl, la direction de la stratégie, de la planification et des statistiques du ministère de l’éducation nationale, la direction de la coopération </w:t>
      </w:r>
      <w:r>
        <w:rPr>
          <w:rFonts w:ascii="Times New Roman" w:hAnsi="Times New Roman"/>
        </w:rPr>
        <w:lastRenderedPageBreak/>
        <w:t xml:space="preserve">internationale du ministère des affaires étrangères, le bureau du Coordonnateur résident </w:t>
      </w:r>
      <w:r>
        <w:rPr>
          <w:rFonts w:ascii="Times New Roman" w:hAnsi="Times New Roman"/>
        </w:rPr>
        <w:t>des Nations Unies. Les contraintes d’agenda n’ont pas permis de conduire les entretiens avec le Haut-Commissariat au plan, la Banque Mondiale, le ministère de la santé, et avec un conseiller communal. Au cours des entretiens, les principes suivants ont été</w:t>
      </w:r>
      <w:r>
        <w:rPr>
          <w:rFonts w:ascii="Times New Roman" w:hAnsi="Times New Roman"/>
        </w:rPr>
        <w:t xml:space="preserve"> observés : </w:t>
      </w:r>
      <w:r>
        <w:rPr>
          <w:rFonts w:ascii="Times New Roman" w:hAnsi="Times New Roman"/>
          <w:b/>
          <w:i/>
        </w:rPr>
        <w:t>Le respect des valeurs culturelles, le respect  des personnes interviewées et de leurs opinions, la confidentialité, l’écoute active ; L’objectivité ; L’impartialité ; Le respect du temps.</w:t>
      </w:r>
      <w:r>
        <w:rPr>
          <w:rFonts w:ascii="Times New Roman" w:hAnsi="Times New Roman"/>
        </w:rPr>
        <w:t xml:space="preserve"> Toutefois, les informateurs clés interviewés ont fourni</w:t>
      </w:r>
      <w:r>
        <w:rPr>
          <w:rFonts w:ascii="Times New Roman" w:hAnsi="Times New Roman"/>
        </w:rPr>
        <w:t xml:space="preserve"> des données et des informations utiles pour répondre aux questions et aux sous questions évaluatives. </w:t>
      </w:r>
    </w:p>
    <w:p w:rsidR="00864EC1" w:rsidRDefault="00C6376C">
      <w:pPr>
        <w:jc w:val="both"/>
      </w:pPr>
      <w:r>
        <w:rPr>
          <w:rFonts w:ascii="Times New Roman" w:hAnsi="Times New Roman"/>
        </w:rPr>
        <w:t>Les données collectées ont fait l’objet d’un traitement manuel et d’un contrôle de qualité. Le logiciel Excel a été utilisé pour le traitement des donné</w:t>
      </w:r>
      <w:r>
        <w:rPr>
          <w:rFonts w:ascii="Times New Roman" w:hAnsi="Times New Roman"/>
        </w:rPr>
        <w:t>es quantitatives. En se basant sur les données quantitatives et qualitatives recueillies ainsi que sur les réponses aux questions évaluatives, l’appréciation a d’abord porté sur les progrès enregistrés vers l’atteinte des cibles annuelles. Le niveau de réa</w:t>
      </w:r>
      <w:r>
        <w:rPr>
          <w:rFonts w:ascii="Times New Roman" w:hAnsi="Times New Roman"/>
        </w:rPr>
        <w:t xml:space="preserve">lisation des cibles a été apprécié à partir de trois critères </w:t>
      </w:r>
      <w:r>
        <w:rPr>
          <w:rFonts w:ascii="Times New Roman" w:hAnsi="Times New Roman"/>
          <w:b/>
          <w:i/>
        </w:rPr>
        <w:t xml:space="preserve">« Pas atteint », « Partiellement atteint », « Atteint ». </w:t>
      </w:r>
      <w:r>
        <w:rPr>
          <w:rFonts w:ascii="Times New Roman" w:hAnsi="Times New Roman"/>
        </w:rPr>
        <w:t>L’échelle de notation  proposée dans les Tdr  a été utilisée pour apprécier l’efficacité et l’efficience du programme. A titre de rappel,</w:t>
      </w:r>
      <w:r>
        <w:rPr>
          <w:rFonts w:ascii="Times New Roman" w:hAnsi="Times New Roman"/>
        </w:rPr>
        <w:t xml:space="preserve"> cette échelle propose 6 notes qualitatives : </w:t>
      </w:r>
      <w:r>
        <w:rPr>
          <w:rFonts w:ascii="Times New Roman" w:hAnsi="Times New Roman"/>
          <w:b/>
          <w:i/>
        </w:rPr>
        <w:t>Très satisfaisant ; Satisfaisant ; Modérément satisfaisant ; Modérément insatisfaisant ; Insatisfaisant ; Pas du tout satisfaisant.</w:t>
      </w:r>
      <w:r>
        <w:rPr>
          <w:rFonts w:ascii="Times New Roman" w:hAnsi="Times New Roman"/>
        </w:rPr>
        <w:t xml:space="preserve"> </w:t>
      </w:r>
    </w:p>
    <w:p w:rsidR="00864EC1" w:rsidRDefault="00C6376C">
      <w:pPr>
        <w:jc w:val="both"/>
      </w:pPr>
      <w:r>
        <w:rPr>
          <w:rFonts w:ascii="Times New Roman" w:hAnsi="Times New Roman"/>
        </w:rPr>
        <w:t>L’analyse s’est ensuite attachée à expliquer, interpréter  et porter un jugem</w:t>
      </w:r>
      <w:r>
        <w:rPr>
          <w:rFonts w:ascii="Times New Roman" w:hAnsi="Times New Roman"/>
        </w:rPr>
        <w:t xml:space="preserve">ent sur les résultats du programme conjoint, les changements induits ou influencés par ses interventions, les facteurs clés de succès et d’échec. L’analyse des changements observés et de la livraison des produits a été guidée par deux critères : </w:t>
      </w:r>
      <w:r>
        <w:rPr>
          <w:rFonts w:ascii="Times New Roman" w:hAnsi="Times New Roman"/>
          <w:b/>
          <w:i/>
        </w:rPr>
        <w:t>La contrib</w:t>
      </w:r>
      <w:r>
        <w:rPr>
          <w:rFonts w:ascii="Times New Roman" w:hAnsi="Times New Roman"/>
          <w:b/>
          <w:i/>
        </w:rPr>
        <w:t>ution et l’attribution</w:t>
      </w:r>
      <w:r>
        <w:rPr>
          <w:rFonts w:ascii="Times New Roman" w:hAnsi="Times New Roman"/>
        </w:rPr>
        <w:t xml:space="preserve">. </w:t>
      </w:r>
      <w:r>
        <w:rPr>
          <w:rFonts w:ascii="Times New Roman" w:hAnsi="Times New Roman"/>
          <w:b/>
        </w:rPr>
        <w:t>Le modèle de Tanahashi</w:t>
      </w:r>
      <w:r>
        <w:rPr>
          <w:rFonts w:ascii="Times New Roman" w:hAnsi="Times New Roman"/>
        </w:rPr>
        <w:t xml:space="preserve"> a été convoqué pour apprécier les performances du programme conjoint notamment l’atteinte des cibles annuelles en termes d’amélioration de </w:t>
      </w:r>
      <w:r>
        <w:rPr>
          <w:rFonts w:ascii="Times New Roman" w:hAnsi="Times New Roman"/>
          <w:b/>
        </w:rPr>
        <w:t>la</w:t>
      </w:r>
      <w:r>
        <w:rPr>
          <w:rFonts w:ascii="Times New Roman" w:hAnsi="Times New Roman"/>
        </w:rPr>
        <w:t xml:space="preserve"> </w:t>
      </w:r>
      <w:r>
        <w:rPr>
          <w:rFonts w:ascii="Times New Roman" w:hAnsi="Times New Roman"/>
          <w:b/>
        </w:rPr>
        <w:t>disponibilité, l’accessibilité, l’utilisation et la qualité des ser</w:t>
      </w:r>
      <w:r>
        <w:rPr>
          <w:rFonts w:ascii="Times New Roman" w:hAnsi="Times New Roman"/>
          <w:b/>
        </w:rPr>
        <w:t>vices de l’ONDH</w:t>
      </w:r>
      <w:r>
        <w:rPr>
          <w:rFonts w:ascii="Times New Roman" w:hAnsi="Times New Roman"/>
          <w:b/>
          <w:i/>
        </w:rPr>
        <w:t xml:space="preserve">. </w:t>
      </w:r>
      <w:r>
        <w:rPr>
          <w:rFonts w:ascii="Times New Roman" w:hAnsi="Times New Roman"/>
        </w:rPr>
        <w:t>L’analyse a mis en relief  les bonnes pratiques et les leçons apprises du programme. Elle a exploré des pistes de réflexion et d’action sur les perspectives de positionnement de l’ONDH</w:t>
      </w:r>
    </w:p>
    <w:p w:rsidR="00864EC1" w:rsidRDefault="00C6376C">
      <w:pPr>
        <w:pStyle w:val="Titre2"/>
      </w:pPr>
      <w:bookmarkStart w:id="29" w:name="_Toc451442675"/>
      <w:bookmarkStart w:id="30" w:name="_Toc451652736"/>
      <w:bookmarkStart w:id="31" w:name="_Toc451653138"/>
      <w:r>
        <w:t>II - Description succincte et appréciation de la quali</w:t>
      </w:r>
      <w:r>
        <w:t>té de la matrice des résultats du programme conjoint</w:t>
      </w:r>
      <w:bookmarkEnd w:id="29"/>
      <w:bookmarkEnd w:id="30"/>
      <w:bookmarkEnd w:id="31"/>
      <w:r>
        <w:t xml:space="preserve"> </w:t>
      </w:r>
    </w:p>
    <w:p w:rsidR="00864EC1" w:rsidRDefault="00C6376C">
      <w:pPr>
        <w:pStyle w:val="Titre3"/>
      </w:pPr>
      <w:bookmarkStart w:id="32" w:name="_Toc451442676"/>
      <w:bookmarkStart w:id="33" w:name="_Toc451652737"/>
      <w:bookmarkStart w:id="34" w:name="_Toc451653139"/>
      <w:r>
        <w:t>II.1 - Description succincte du programme conjoint</w:t>
      </w:r>
      <w:bookmarkEnd w:id="32"/>
      <w:bookmarkEnd w:id="33"/>
      <w:bookmarkEnd w:id="34"/>
      <w:r>
        <w:t xml:space="preserve"> </w:t>
      </w:r>
    </w:p>
    <w:p w:rsidR="00864EC1" w:rsidRDefault="00C6376C">
      <w:pPr>
        <w:jc w:val="both"/>
        <w:rPr>
          <w:rFonts w:ascii="Times New Roman" w:hAnsi="Times New Roman"/>
        </w:rPr>
      </w:pPr>
      <w:r>
        <w:rPr>
          <w:rFonts w:ascii="Times New Roman" w:hAnsi="Times New Roman"/>
        </w:rPr>
        <w:t xml:space="preserve">La description succincte du programme conjoint en tant qu’objet soumis à l’évaluation s’est avérée nécessaire pour fournir ou simplement rappeler les </w:t>
      </w:r>
      <w:r>
        <w:rPr>
          <w:rFonts w:ascii="Times New Roman" w:hAnsi="Times New Roman"/>
        </w:rPr>
        <w:t>informations de base aux lecteurs et aux utilisateurs du rapport. Ces informations de base notamment celles relatives à la matrice des résultats permettent de mieux apprécier les arguments fournis dans le rapport pour justifier l’opportunité et la pertinen</w:t>
      </w:r>
      <w:r>
        <w:rPr>
          <w:rFonts w:ascii="Times New Roman" w:hAnsi="Times New Roman"/>
        </w:rPr>
        <w:t>ce de l’évaluation ainsi que l’évaluabilité du programme conjoint.</w:t>
      </w: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C6376C">
      <w:pPr>
        <w:jc w:val="both"/>
      </w:pPr>
      <w:r>
        <w:rPr>
          <w:rFonts w:ascii="Times New Roman" w:hAnsi="Times New Roman"/>
        </w:rPr>
        <w:t>Dans un contexte national marqué par le tournant décisif enclenché par l’adoption et l’application de la constitution de septembre 2011,  la deuxième phase du programme conjoint fût signé</w:t>
      </w:r>
      <w:r>
        <w:rPr>
          <w:rFonts w:ascii="Times New Roman" w:hAnsi="Times New Roman"/>
        </w:rPr>
        <w:t>e le 10 juillet 2012 par l’ONDH, l’ONUFEMMES, l’UNFPA, l’UNICEF et le PNUD. Selon le document du programme conjoint, « </w:t>
      </w:r>
      <w:r>
        <w:rPr>
          <w:rFonts w:ascii="Times New Roman" w:hAnsi="Times New Roman"/>
          <w:b/>
          <w:i/>
        </w:rPr>
        <w:t>…, ce projet vise à accompagner l’ONDH dans le développement des outils d’évaluation, le lancement des études sur les thèmes émergents et</w:t>
      </w:r>
      <w:r>
        <w:rPr>
          <w:rFonts w:ascii="Times New Roman" w:hAnsi="Times New Roman"/>
          <w:b/>
          <w:i/>
        </w:rPr>
        <w:t xml:space="preserve"> l’évaluation de certains programmes et projets de </w:t>
      </w:r>
      <w:r>
        <w:rPr>
          <w:rFonts w:ascii="Times New Roman" w:hAnsi="Times New Roman"/>
          <w:b/>
          <w:i/>
        </w:rPr>
        <w:lastRenderedPageBreak/>
        <w:t>développement humain</w:t>
      </w:r>
      <w:r>
        <w:rPr>
          <w:rFonts w:ascii="Times New Roman" w:hAnsi="Times New Roman"/>
        </w:rPr>
        <w:t> »</w:t>
      </w:r>
      <w:r>
        <w:rPr>
          <w:rStyle w:val="Appelnotedebasdep"/>
          <w:rFonts w:ascii="Times New Roman" w:hAnsi="Times New Roman"/>
        </w:rPr>
        <w:footnoteReference w:id="3"/>
      </w:r>
      <w:r>
        <w:rPr>
          <w:rFonts w:ascii="Times New Roman" w:hAnsi="Times New Roman"/>
        </w:rPr>
        <w:t>. A la lecture de l’objectif général de la première phase, il apparaît clairement que la deuxième phase a mis l’accent sur l’accompa</w:t>
      </w:r>
      <w:r>
        <w:rPr>
          <w:rFonts w:ascii="Times New Roman" w:hAnsi="Times New Roman"/>
        </w:rPr>
        <w:t xml:space="preserve">gnement. </w:t>
      </w:r>
    </w:p>
    <w:p w:rsidR="00864EC1" w:rsidRDefault="00C6376C">
      <w:pPr>
        <w:jc w:val="both"/>
      </w:pPr>
      <w:r>
        <w:rPr>
          <w:rFonts w:ascii="Times New Roman" w:hAnsi="Times New Roman"/>
        </w:rPr>
        <w:t>La matrice des résultats du document de programme conjoint signé contient trois produits alignés à l’effet 3 « </w:t>
      </w:r>
      <w:r>
        <w:rPr>
          <w:rFonts w:ascii="Times New Roman" w:hAnsi="Times New Roman"/>
          <w:b/>
          <w:i/>
        </w:rPr>
        <w:t>la vulnérabilité et les inégalités, notamment celles de genre sont réduites par le biais de l’appui aux politiques/stratégies et progra</w:t>
      </w:r>
      <w:r>
        <w:rPr>
          <w:rFonts w:ascii="Times New Roman" w:hAnsi="Times New Roman"/>
          <w:b/>
          <w:i/>
        </w:rPr>
        <w:t>mmes de développement économique et social » </w:t>
      </w:r>
      <w:r>
        <w:rPr>
          <w:rFonts w:ascii="Times New Roman" w:hAnsi="Times New Roman"/>
        </w:rPr>
        <w:t xml:space="preserve"> et l’effet 4 « </w:t>
      </w:r>
      <w:r>
        <w:rPr>
          <w:rFonts w:ascii="Times New Roman" w:hAnsi="Times New Roman"/>
          <w:b/>
          <w:i/>
        </w:rPr>
        <w:t>Les partenaires institutionnels et de la société civile s’approprient les principes de la gouvernance démocratique sensible au genre pour la mise en œuvre d’un développement humain, intégré, équi</w:t>
      </w:r>
      <w:r>
        <w:rPr>
          <w:rFonts w:ascii="Times New Roman" w:hAnsi="Times New Roman"/>
          <w:b/>
          <w:i/>
        </w:rPr>
        <w:t>table et durable »</w:t>
      </w:r>
      <w:r>
        <w:rPr>
          <w:rFonts w:ascii="Times New Roman" w:hAnsi="Times New Roman"/>
        </w:rPr>
        <w:t xml:space="preserve">  de l’UNDAF ainsi qu’aux produits liés à ces effets notamment les produits UNDAF 3.1, 3.4, 4.1 et 4.2. Il s’agit des principaux produits suivants : </w:t>
      </w:r>
    </w:p>
    <w:p w:rsidR="00864EC1" w:rsidRDefault="00C6376C">
      <w:pPr>
        <w:pStyle w:val="Paragraphedeliste"/>
        <w:numPr>
          <w:ilvl w:val="0"/>
          <w:numId w:val="7"/>
        </w:numPr>
        <w:jc w:val="both"/>
      </w:pPr>
      <w:r>
        <w:rPr>
          <w:rFonts w:ascii="Times New Roman" w:hAnsi="Times New Roman"/>
          <w:b/>
        </w:rPr>
        <w:t>Produit UNDAF  3.1</w:t>
      </w:r>
      <w:r>
        <w:rPr>
          <w:rFonts w:ascii="Times New Roman" w:hAnsi="Times New Roman"/>
        </w:rPr>
        <w:t xml:space="preserve">  « </w:t>
      </w:r>
      <w:r>
        <w:rPr>
          <w:rFonts w:ascii="Times New Roman" w:hAnsi="Times New Roman"/>
          <w:i/>
        </w:rPr>
        <w:t xml:space="preserve">Les approches multidimensionnelles de réduction de la pauvreté et </w:t>
      </w:r>
      <w:r>
        <w:rPr>
          <w:rFonts w:ascii="Times New Roman" w:hAnsi="Times New Roman"/>
          <w:i/>
        </w:rPr>
        <w:t>de la vulnérabilité sont promues et utilisées</w:t>
      </w:r>
      <w:r>
        <w:rPr>
          <w:rFonts w:ascii="Times New Roman" w:hAnsi="Times New Roman"/>
        </w:rPr>
        <w:t> » ;  </w:t>
      </w:r>
    </w:p>
    <w:p w:rsidR="00864EC1" w:rsidRDefault="00C6376C">
      <w:pPr>
        <w:pStyle w:val="Paragraphedeliste"/>
        <w:numPr>
          <w:ilvl w:val="0"/>
          <w:numId w:val="7"/>
        </w:numPr>
        <w:jc w:val="both"/>
      </w:pPr>
      <w:r>
        <w:rPr>
          <w:rFonts w:ascii="Times New Roman" w:hAnsi="Times New Roman"/>
          <w:b/>
        </w:rPr>
        <w:t>Produit UNDAF 3.4</w:t>
      </w:r>
      <w:r>
        <w:rPr>
          <w:rFonts w:ascii="Times New Roman" w:hAnsi="Times New Roman"/>
        </w:rPr>
        <w:t xml:space="preserve"> « </w:t>
      </w:r>
      <w:r>
        <w:rPr>
          <w:rFonts w:ascii="Times New Roman" w:hAnsi="Times New Roman"/>
          <w:i/>
        </w:rPr>
        <w:t xml:space="preserve">Les systèmes d’information nationaux/locaux et la production de la connaissance sur les questions émergentes de population et sur les impacts sociodémographiques répondent aux besoins </w:t>
      </w:r>
      <w:r>
        <w:rPr>
          <w:rFonts w:ascii="Times New Roman" w:hAnsi="Times New Roman"/>
          <w:i/>
        </w:rPr>
        <w:t>d’un meilleur suivi des politiques et des programmes de lutte contre la pauvreté et les inégalités</w:t>
      </w:r>
      <w:r>
        <w:rPr>
          <w:rFonts w:ascii="Times New Roman" w:hAnsi="Times New Roman"/>
        </w:rPr>
        <w:t xml:space="preserve"> » ; </w:t>
      </w:r>
    </w:p>
    <w:p w:rsidR="00864EC1" w:rsidRDefault="00C6376C">
      <w:pPr>
        <w:pStyle w:val="Paragraphedeliste"/>
        <w:numPr>
          <w:ilvl w:val="0"/>
          <w:numId w:val="7"/>
        </w:numPr>
        <w:jc w:val="both"/>
      </w:pPr>
      <w:r>
        <w:rPr>
          <w:rFonts w:ascii="Times New Roman" w:hAnsi="Times New Roman"/>
          <w:b/>
        </w:rPr>
        <w:t>Produit UNDAF 4.1</w:t>
      </w:r>
      <w:r>
        <w:rPr>
          <w:rFonts w:ascii="Times New Roman" w:hAnsi="Times New Roman"/>
        </w:rPr>
        <w:t xml:space="preserve"> « </w:t>
      </w:r>
      <w:r>
        <w:rPr>
          <w:rFonts w:ascii="Times New Roman" w:hAnsi="Times New Roman"/>
          <w:i/>
        </w:rPr>
        <w:t>Les capacités des institutions publiques pour accompagner et mettre en œuvre les réformes engagées par l’Etat, en matière de gouvern</w:t>
      </w:r>
      <w:r>
        <w:rPr>
          <w:rFonts w:ascii="Times New Roman" w:hAnsi="Times New Roman"/>
          <w:i/>
        </w:rPr>
        <w:t>ance démocratique basée sur les droits humains sont accrues</w:t>
      </w:r>
      <w:r>
        <w:rPr>
          <w:rFonts w:ascii="Times New Roman" w:hAnsi="Times New Roman"/>
        </w:rPr>
        <w:t> » ;</w:t>
      </w:r>
    </w:p>
    <w:p w:rsidR="00864EC1" w:rsidRDefault="00C6376C">
      <w:pPr>
        <w:pStyle w:val="Notedebasdepage"/>
        <w:numPr>
          <w:ilvl w:val="0"/>
          <w:numId w:val="7"/>
        </w:numPr>
        <w:jc w:val="both"/>
      </w:pPr>
      <w:r>
        <w:rPr>
          <w:rFonts w:ascii="Times New Roman" w:hAnsi="Times New Roman"/>
          <w:b/>
          <w:sz w:val="22"/>
          <w:szCs w:val="22"/>
        </w:rPr>
        <w:t>Produit UNDAF 4.2</w:t>
      </w:r>
      <w:r>
        <w:rPr>
          <w:rFonts w:ascii="Times New Roman" w:hAnsi="Times New Roman"/>
          <w:sz w:val="22"/>
          <w:szCs w:val="22"/>
        </w:rPr>
        <w:t xml:space="preserve"> </w:t>
      </w:r>
      <w:r>
        <w:rPr>
          <w:rFonts w:ascii="Times New Roman" w:hAnsi="Times New Roman"/>
          <w:i/>
          <w:sz w:val="22"/>
          <w:szCs w:val="22"/>
        </w:rPr>
        <w:t>« Les institutions publiques ont des capacités de veille stratégique, de coordination et d’évaluation pour une meilleure cohérence des politiques publiques ».</w:t>
      </w:r>
    </w:p>
    <w:p w:rsidR="00864EC1" w:rsidRDefault="00864EC1">
      <w:pPr>
        <w:pStyle w:val="Notedebasdepage"/>
        <w:jc w:val="both"/>
        <w:rPr>
          <w:rFonts w:ascii="Times New Roman" w:hAnsi="Times New Roman"/>
          <w:i/>
          <w:sz w:val="22"/>
          <w:szCs w:val="22"/>
        </w:rPr>
      </w:pPr>
    </w:p>
    <w:p w:rsidR="00864EC1" w:rsidRDefault="00C6376C">
      <w:pPr>
        <w:pStyle w:val="Notedebasdepage"/>
        <w:jc w:val="both"/>
        <w:rPr>
          <w:rFonts w:ascii="Times New Roman" w:hAnsi="Times New Roman"/>
          <w:sz w:val="22"/>
          <w:szCs w:val="22"/>
        </w:rPr>
      </w:pPr>
      <w:r>
        <w:rPr>
          <w:rFonts w:ascii="Times New Roman" w:hAnsi="Times New Roman"/>
          <w:sz w:val="22"/>
          <w:szCs w:val="22"/>
        </w:rPr>
        <w:t xml:space="preserve">La </w:t>
      </w:r>
      <w:r>
        <w:rPr>
          <w:rFonts w:ascii="Times New Roman" w:hAnsi="Times New Roman"/>
          <w:sz w:val="22"/>
          <w:szCs w:val="22"/>
        </w:rPr>
        <w:t xml:space="preserve">contribution du programme conjoint aux effets et aux produits UNDAF énoncés ci-dessus a été fournie à travers la réalisation des trois produits suivants : </w:t>
      </w:r>
    </w:p>
    <w:p w:rsidR="00864EC1" w:rsidRDefault="00864EC1">
      <w:pPr>
        <w:pStyle w:val="Notedebasdepage"/>
        <w:jc w:val="both"/>
        <w:rPr>
          <w:sz w:val="22"/>
          <w:szCs w:val="22"/>
        </w:rPr>
      </w:pPr>
    </w:p>
    <w:p w:rsidR="00864EC1" w:rsidRDefault="00C6376C">
      <w:pPr>
        <w:pStyle w:val="Paragraphedeliste"/>
        <w:numPr>
          <w:ilvl w:val="0"/>
          <w:numId w:val="8"/>
        </w:numPr>
        <w:jc w:val="both"/>
      </w:pPr>
      <w:r>
        <w:rPr>
          <w:rFonts w:ascii="Times New Roman" w:hAnsi="Times New Roman"/>
          <w:b/>
        </w:rPr>
        <w:t>Produit 1</w:t>
      </w:r>
      <w:r>
        <w:rPr>
          <w:rFonts w:ascii="Times New Roman" w:hAnsi="Times New Roman"/>
        </w:rPr>
        <w:t xml:space="preserve"> : </w:t>
      </w:r>
      <w:r>
        <w:rPr>
          <w:rFonts w:ascii="Times New Roman" w:hAnsi="Times New Roman"/>
          <w:i/>
        </w:rPr>
        <w:t xml:space="preserve">« Les outils de veille stratégique sont développés au niveau local et régional pour un </w:t>
      </w:r>
      <w:r>
        <w:rPr>
          <w:rFonts w:ascii="Times New Roman" w:hAnsi="Times New Roman"/>
          <w:i/>
        </w:rPr>
        <w:t xml:space="preserve">meilleur ciblage des populations pauvres et vulnérables » ; </w:t>
      </w:r>
      <w:r>
        <w:t xml:space="preserve"> </w:t>
      </w:r>
    </w:p>
    <w:p w:rsidR="00864EC1" w:rsidRDefault="00C6376C">
      <w:pPr>
        <w:pStyle w:val="Paragraphedeliste"/>
        <w:numPr>
          <w:ilvl w:val="0"/>
          <w:numId w:val="8"/>
        </w:numPr>
        <w:jc w:val="both"/>
      </w:pPr>
      <w:r>
        <w:rPr>
          <w:rFonts w:ascii="Times New Roman" w:hAnsi="Times New Roman"/>
          <w:b/>
        </w:rPr>
        <w:t>Produit 2</w:t>
      </w:r>
      <w:r>
        <w:rPr>
          <w:rFonts w:ascii="Times New Roman" w:hAnsi="Times New Roman"/>
        </w:rPr>
        <w:t xml:space="preserve"> : </w:t>
      </w:r>
      <w:r>
        <w:rPr>
          <w:rFonts w:ascii="Times New Roman" w:hAnsi="Times New Roman"/>
          <w:i/>
        </w:rPr>
        <w:t xml:space="preserve">« Les capacités d’analyse et d’évaluation des politiques publiques de développement sont renforcées pour aider à la prise de décisions » ; </w:t>
      </w:r>
      <w:r>
        <w:rPr>
          <w:rFonts w:ascii="Times New Roman" w:hAnsi="Times New Roman"/>
          <w:b/>
        </w:rPr>
        <w:t xml:space="preserve"> </w:t>
      </w:r>
    </w:p>
    <w:p w:rsidR="00864EC1" w:rsidRDefault="00C6376C">
      <w:pPr>
        <w:pStyle w:val="Paragraphedeliste"/>
        <w:numPr>
          <w:ilvl w:val="0"/>
          <w:numId w:val="8"/>
        </w:numPr>
        <w:jc w:val="both"/>
      </w:pPr>
      <w:r>
        <w:rPr>
          <w:rFonts w:ascii="Times New Roman" w:hAnsi="Times New Roman"/>
          <w:b/>
        </w:rPr>
        <w:t>Produit 3</w:t>
      </w:r>
      <w:r>
        <w:rPr>
          <w:rFonts w:ascii="Times New Roman" w:hAnsi="Times New Roman"/>
        </w:rPr>
        <w:t xml:space="preserve"> : </w:t>
      </w:r>
      <w:r>
        <w:rPr>
          <w:rFonts w:ascii="Times New Roman" w:hAnsi="Times New Roman"/>
          <w:i/>
        </w:rPr>
        <w:t>«  La communication, le parte</w:t>
      </w:r>
      <w:r>
        <w:rPr>
          <w:rFonts w:ascii="Times New Roman" w:hAnsi="Times New Roman"/>
          <w:i/>
        </w:rPr>
        <w:t>nariat et le plaidoyer pour le développement humain équitable et pour l’institutionnalisation de l’évaluation sont renforcées en harmonie avec la nouvelle constitution ».</w:t>
      </w:r>
      <w:r>
        <w:rPr>
          <w:rFonts w:ascii="Times New Roman" w:hAnsi="Times New Roman"/>
          <w:b/>
          <w:i/>
        </w:rPr>
        <w:t xml:space="preserve"> </w:t>
      </w:r>
    </w:p>
    <w:p w:rsidR="00864EC1" w:rsidRDefault="00C6376C">
      <w:pPr>
        <w:jc w:val="both"/>
      </w:pPr>
      <w:r>
        <w:rPr>
          <w:rFonts w:ascii="Times New Roman" w:hAnsi="Times New Roman"/>
        </w:rPr>
        <w:t>Mais, à la lecture des Plans de travail et des rapports annuels (PTA) de 2014 et 201</w:t>
      </w:r>
      <w:r>
        <w:rPr>
          <w:rFonts w:ascii="Times New Roman" w:hAnsi="Times New Roman"/>
        </w:rPr>
        <w:t>5, on note une déconnection ou un détachement du programme à l’effet 4. La matrice des résultats montre que les trois produits du programme conjoint sont assortis d’indicateurs dont les situations de référence et les cibles annuelles sont renseignées par d</w:t>
      </w:r>
      <w:r>
        <w:rPr>
          <w:rFonts w:ascii="Times New Roman" w:hAnsi="Times New Roman"/>
        </w:rPr>
        <w:t>es données et des informations qualitatives et quantitatives. Les principales activités dont la mise en œuvre devrait permettre ou contribuer à la réalisation des produits apparaissent clairement dans la matrice. Celle-ci indique également les coûts estima</w:t>
      </w:r>
      <w:r>
        <w:rPr>
          <w:rFonts w:ascii="Times New Roman" w:hAnsi="Times New Roman"/>
        </w:rPr>
        <w:t>tifs des différents produits. Le budget global est évalué à 2.500.000 USD</w:t>
      </w:r>
      <w:r>
        <w:rPr>
          <w:rStyle w:val="Appelnotedebasdep"/>
          <w:rFonts w:ascii="Times New Roman" w:hAnsi="Times New Roman"/>
        </w:rPr>
        <w:footnoteReference w:id="4"/>
      </w:r>
      <w:r>
        <w:rPr>
          <w:rFonts w:ascii="Times New Roman" w:hAnsi="Times New Roman"/>
        </w:rPr>
        <w:t>. Le programme c</w:t>
      </w:r>
      <w:r>
        <w:rPr>
          <w:rFonts w:ascii="Times New Roman" w:hAnsi="Times New Roman"/>
        </w:rPr>
        <w:t xml:space="preserve">onjoint est cofinancé par le </w:t>
      </w:r>
      <w:r>
        <w:rPr>
          <w:rFonts w:ascii="Times New Roman" w:hAnsi="Times New Roman"/>
        </w:rPr>
        <w:lastRenderedPageBreak/>
        <w:t>Gouvernement, l’UNICEF, l’ONUFEMMES, l’UNFPA et le PNUD. Le document de programme fournit les détails sur les contributions du Gouvernement et des différentes agences. Les risques relatifs à la mise en œuvre du programme ont ét</w:t>
      </w:r>
      <w:r>
        <w:rPr>
          <w:rFonts w:ascii="Times New Roman" w:hAnsi="Times New Roman"/>
        </w:rPr>
        <w:t xml:space="preserve">é identifiés, analysés et déclinés dans un journal de risques initial qui indique les mesures de prévention, d’atténuation et de gestion prévues pour faire face à leur survenance. </w:t>
      </w:r>
    </w:p>
    <w:p w:rsidR="00864EC1" w:rsidRDefault="00C6376C">
      <w:pPr>
        <w:jc w:val="both"/>
        <w:rPr>
          <w:rFonts w:ascii="Times New Roman" w:hAnsi="Times New Roman"/>
        </w:rPr>
      </w:pPr>
      <w:r>
        <w:rPr>
          <w:rFonts w:ascii="Times New Roman" w:hAnsi="Times New Roman"/>
        </w:rPr>
        <w:t>Le programme conjoint est géré selon la modalité d’exécution nationale (NEX</w:t>
      </w:r>
      <w:r>
        <w:rPr>
          <w:rFonts w:ascii="Times New Roman" w:hAnsi="Times New Roman"/>
        </w:rPr>
        <w:t>) par l’ONDH. Sa gouvernance est assurée par un comité de pilotage composé de deux organes : Le comité directeur et le comité restreint. La gestion quotidienne relève de la responsabilité de l’unité de gestion domiciliée et placée sous la supervision de l’</w:t>
      </w:r>
      <w:r>
        <w:rPr>
          <w:rFonts w:ascii="Times New Roman" w:hAnsi="Times New Roman"/>
        </w:rPr>
        <w:t xml:space="preserve">ONDH. En sa qualité d’agent de gestion, le PNUD assure l’assurance qualité de la gestion du programme. Celui-ci est doté d’un plan de suivi et évaluation ainsi que d’un plan de communication et de plaidoyer. Les procédures, les principes et les mécanismes </w:t>
      </w:r>
      <w:r>
        <w:rPr>
          <w:rFonts w:ascii="Times New Roman" w:hAnsi="Times New Roman"/>
        </w:rPr>
        <w:t xml:space="preserve">de gestion, de suivi et d’évaluation de la mise en œuvre sont clairement définis et obéissent aux procédures et aux directives du PNUD. </w:t>
      </w:r>
    </w:p>
    <w:p w:rsidR="00864EC1" w:rsidRDefault="00C6376C">
      <w:pPr>
        <w:pStyle w:val="Titre3"/>
      </w:pPr>
      <w:r>
        <w:t xml:space="preserve"> </w:t>
      </w:r>
      <w:bookmarkStart w:id="35" w:name="_Toc451442677"/>
      <w:bookmarkStart w:id="36" w:name="_Toc451652738"/>
      <w:bookmarkStart w:id="37" w:name="_Toc451653140"/>
      <w:r>
        <w:t>II.2 - Appréciation de la qualité de la matrice des résultats</w:t>
      </w:r>
      <w:bookmarkEnd w:id="35"/>
      <w:bookmarkEnd w:id="36"/>
      <w:bookmarkEnd w:id="37"/>
      <w:r>
        <w:t xml:space="preserve">   </w:t>
      </w:r>
    </w:p>
    <w:p w:rsidR="00864EC1" w:rsidRDefault="00C6376C">
      <w:pPr>
        <w:jc w:val="both"/>
        <w:rPr>
          <w:rFonts w:ascii="Times New Roman" w:hAnsi="Times New Roman"/>
        </w:rPr>
      </w:pPr>
      <w:r>
        <w:rPr>
          <w:rFonts w:ascii="Times New Roman" w:hAnsi="Times New Roman"/>
        </w:rPr>
        <w:t>L’appréciation de la qualité de la matrice des résult</w:t>
      </w:r>
      <w:r>
        <w:rPr>
          <w:rFonts w:ascii="Times New Roman" w:hAnsi="Times New Roman"/>
        </w:rPr>
        <w:t>ats s’est avérée indispensable pour porter un jugement sur la théorie du changement du programme conjoint et la prise en compte des cinq principes programmatiques des Nations Unies. La qualité de la matrice des résultats a donc été appréciée à l’aune de ce</w:t>
      </w:r>
      <w:r>
        <w:rPr>
          <w:rFonts w:ascii="Times New Roman" w:hAnsi="Times New Roman"/>
        </w:rPr>
        <w:t xml:space="preserve">s principes notamment l’approche basée sur les droits humains, la durabilité environnementale, l’égalité des sexes, le développement des capacités et la Gestion Axée sur les Résultats (GAR). </w:t>
      </w:r>
    </w:p>
    <w:p w:rsidR="00864EC1" w:rsidRDefault="00C6376C">
      <w:pPr>
        <w:jc w:val="both"/>
        <w:rPr>
          <w:rFonts w:ascii="Times New Roman" w:hAnsi="Times New Roman"/>
        </w:rPr>
      </w:pPr>
      <w:r>
        <w:rPr>
          <w:rFonts w:ascii="Times New Roman" w:hAnsi="Times New Roman"/>
        </w:rPr>
        <w:t>L’approche basée sur les droits humains n’a pas été systématique</w:t>
      </w:r>
      <w:r>
        <w:rPr>
          <w:rFonts w:ascii="Times New Roman" w:hAnsi="Times New Roman"/>
        </w:rPr>
        <w:t xml:space="preserve">ment prise en compte dans la formulation des trois produits qui est certes sensible aux droits humains. En effet, elle renvoie aux dispositions constitutionnelles particulièrement au droit à l’information, la transparence,  la redevabilité ou l’obligation </w:t>
      </w:r>
      <w:r>
        <w:rPr>
          <w:rFonts w:ascii="Times New Roman" w:hAnsi="Times New Roman"/>
        </w:rPr>
        <w:t>redditionnelle de rendre compte consacrés par la constitution. Cependant, à l’exception du produit 1 qui fait clairement référence aux populations pauvres et vulnérables en tant que titulaires de droits, les deux autres produits ne se référent pas aux déte</w:t>
      </w:r>
      <w:r>
        <w:rPr>
          <w:rFonts w:ascii="Times New Roman" w:hAnsi="Times New Roman"/>
        </w:rPr>
        <w:t>nteurs d’obligations et aux titulaires des droits.  Ils laissent transparaître une absence de l’analyse des rôles et des capacités de ces acteurs. En d’autres termes, ils n’indiquent pas précisément les bénéficiaires du renforcement des capacités auquel fo</w:t>
      </w:r>
      <w:r>
        <w:rPr>
          <w:rFonts w:ascii="Times New Roman" w:hAnsi="Times New Roman"/>
        </w:rPr>
        <w:t>nt allusion les produits.  Mais, le recours à l’approche basée sur les droits humains est plutôt perceptible au niveau des cibles annuelles qui désignent les détenteurs d’obligations et les titulaires de droits notamment les régions, les universités, les m</w:t>
      </w:r>
      <w:r>
        <w:rPr>
          <w:rFonts w:ascii="Times New Roman" w:hAnsi="Times New Roman"/>
        </w:rPr>
        <w:t>inistères, l’INDH, l’ONDH et les agences des Nations Unies. Sa prise en compte est aussi plausible dans les rapports et les études réalisés par l’ONDH qui renseignent sur le respect et la réalisation des droits humains en mettant en exergue les groupes vul</w:t>
      </w:r>
      <w:r>
        <w:rPr>
          <w:rFonts w:ascii="Times New Roman" w:hAnsi="Times New Roman"/>
        </w:rPr>
        <w:t xml:space="preserve">nérables.   </w:t>
      </w:r>
    </w:p>
    <w:p w:rsidR="00864EC1" w:rsidRDefault="00C6376C">
      <w:pPr>
        <w:jc w:val="both"/>
        <w:rPr>
          <w:rFonts w:ascii="Times New Roman" w:hAnsi="Times New Roman"/>
        </w:rPr>
      </w:pPr>
      <w:r>
        <w:rPr>
          <w:rFonts w:ascii="Times New Roman" w:hAnsi="Times New Roman"/>
        </w:rPr>
        <w:t>Dans le cadre de ce rapport, la durabilité environnementale n’a pas fait l’objet d’une attention particulière en raison de la mission et des domaines d’intervention de l’ONDH. Toutefois, lors des entretiens, l’ONDH a signalé qu’il travaille en</w:t>
      </w:r>
      <w:r>
        <w:rPr>
          <w:rFonts w:ascii="Times New Roman" w:hAnsi="Times New Roman"/>
        </w:rPr>
        <w:t xml:space="preserve"> étroite collaboration avec la structure chargée du suivi et de l’évaluation des programmes environnementaux. La durabilité environnementale est également prise en compte par quelques indicateurs de la base des données de l’ONDH et quelques études.  </w:t>
      </w:r>
    </w:p>
    <w:p w:rsidR="00864EC1" w:rsidRDefault="00C6376C">
      <w:pPr>
        <w:jc w:val="both"/>
        <w:rPr>
          <w:rFonts w:ascii="Times New Roman" w:hAnsi="Times New Roman"/>
        </w:rPr>
      </w:pPr>
      <w:r>
        <w:rPr>
          <w:rFonts w:ascii="Times New Roman" w:hAnsi="Times New Roman"/>
        </w:rPr>
        <w:t>S’agi</w:t>
      </w:r>
      <w:r>
        <w:rPr>
          <w:rFonts w:ascii="Times New Roman" w:hAnsi="Times New Roman"/>
        </w:rPr>
        <w:t>ssant de l’égalité des sexes, l’approche adoptée pour la formulation des produits n’a pas permis de mettre en exergue la dimension genre. Quelques indicateurs et cibles ont néanmoins été désagrégés par sexe. La prise en compte de la dimension genre a bénéf</w:t>
      </w:r>
      <w:r>
        <w:rPr>
          <w:rFonts w:ascii="Times New Roman" w:hAnsi="Times New Roman"/>
        </w:rPr>
        <w:t xml:space="preserve">icié de plus d’attention dans l’enquête panel et les rapports d’études produits par l’ONDH.   </w:t>
      </w:r>
    </w:p>
    <w:p w:rsidR="00864EC1" w:rsidRDefault="00C6376C">
      <w:pPr>
        <w:jc w:val="both"/>
        <w:rPr>
          <w:rFonts w:ascii="Times New Roman" w:hAnsi="Times New Roman"/>
        </w:rPr>
      </w:pPr>
      <w:r>
        <w:rPr>
          <w:rFonts w:ascii="Times New Roman" w:hAnsi="Times New Roman"/>
        </w:rPr>
        <w:lastRenderedPageBreak/>
        <w:t>Le renforcement des capacités est la pierre angulaire du programme conjoint.  Les trois produits visent à développer les capacités de l’ONDH et des autres bénéfi</w:t>
      </w:r>
      <w:r>
        <w:rPr>
          <w:rFonts w:ascii="Times New Roman" w:hAnsi="Times New Roman"/>
        </w:rPr>
        <w:t>ciaires en matière d’évaluation des politiques publiques.  Ce choix est confirmé par plusieurs cibles annuelles comme le montre la matrice d’appréciation des progrès enregistrés par le programme conjoint. L’analyse documentaire et les entretiens ont permis</w:t>
      </w:r>
      <w:r>
        <w:rPr>
          <w:rFonts w:ascii="Times New Roman" w:hAnsi="Times New Roman"/>
        </w:rPr>
        <w:t xml:space="preserve"> de constater l’inexistence d’une évaluation des capacités et d’une stratégie ou d’une approche formelle de renforcement des capacités. Mais, les rapports des revues annuelles fournissent des informations pertinentes sur les efforts notables du programme c</w:t>
      </w:r>
      <w:r>
        <w:rPr>
          <w:rFonts w:ascii="Times New Roman" w:hAnsi="Times New Roman"/>
        </w:rPr>
        <w:t>onjoint en matière de renforcement des capacités des bénéficiaires directs. L’approche de renforcement des capacités transparaît également à travers les résultats obtenus et quelques indicateurs de produits. Comme on le verra plus loin, l’approche de renfo</w:t>
      </w:r>
      <w:r>
        <w:rPr>
          <w:rFonts w:ascii="Times New Roman" w:hAnsi="Times New Roman"/>
        </w:rPr>
        <w:t>rcement des capacités de l’ONDH s’articule à trois niveaux : le niveau individuel (Formation du personnel de l’ONDH, des cadres et des experts des ministères et des universités), au niveau organisationnel ou institutionnel (Implantation des outils dans cer</w:t>
      </w:r>
      <w:r>
        <w:rPr>
          <w:rFonts w:ascii="Times New Roman" w:hAnsi="Times New Roman"/>
        </w:rPr>
        <w:t xml:space="preserve">taines institutions. Cas du SIT) et au niveau sociétal (Appui à l’institutionnalisation).   </w:t>
      </w:r>
    </w:p>
    <w:p w:rsidR="00864EC1" w:rsidRDefault="00C6376C">
      <w:pPr>
        <w:jc w:val="both"/>
      </w:pPr>
      <w:r>
        <w:rPr>
          <w:rFonts w:ascii="Times New Roman" w:hAnsi="Times New Roman"/>
        </w:rPr>
        <w:t xml:space="preserve">En ce qui concerne la Gestion axée sur les résultats (GAR), en dépit des points forts du programme conjoint, il a été noté quelques faiblesses. Le programme </w:t>
      </w:r>
      <w:r>
        <w:rPr>
          <w:rFonts w:ascii="Times New Roman" w:hAnsi="Times New Roman"/>
        </w:rPr>
        <w:t>conjoint contient trois produits assortis d’indicateurs dont les cibles annuelles ont été renseignées. Précisément,  il a été défini 5 indicateurs assortis de 16 cibles annuelles</w:t>
      </w:r>
      <w:r>
        <w:rPr>
          <w:rFonts w:ascii="Times New Roman" w:hAnsi="Times New Roman"/>
          <w:b/>
        </w:rPr>
        <w:t xml:space="preserve"> </w:t>
      </w:r>
      <w:r>
        <w:rPr>
          <w:rFonts w:ascii="Times New Roman" w:hAnsi="Times New Roman"/>
        </w:rPr>
        <w:t>pour le</w:t>
      </w:r>
      <w:r>
        <w:rPr>
          <w:rFonts w:ascii="Times New Roman" w:hAnsi="Times New Roman"/>
          <w:b/>
        </w:rPr>
        <w:t xml:space="preserve"> produit 1</w:t>
      </w:r>
      <w:r>
        <w:rPr>
          <w:rFonts w:ascii="Times New Roman" w:hAnsi="Times New Roman"/>
        </w:rPr>
        <w:t>. En ce qui concerne</w:t>
      </w:r>
      <w:r>
        <w:rPr>
          <w:rFonts w:ascii="Times New Roman" w:hAnsi="Times New Roman"/>
          <w:b/>
          <w:i/>
        </w:rPr>
        <w:t xml:space="preserve"> </w:t>
      </w:r>
      <w:r>
        <w:rPr>
          <w:rFonts w:ascii="Times New Roman" w:hAnsi="Times New Roman"/>
        </w:rPr>
        <w:t>le</w:t>
      </w:r>
      <w:r>
        <w:rPr>
          <w:rFonts w:ascii="Times New Roman" w:hAnsi="Times New Roman"/>
          <w:b/>
          <w:i/>
        </w:rPr>
        <w:t xml:space="preserve"> </w:t>
      </w:r>
      <w:r>
        <w:rPr>
          <w:rFonts w:ascii="Times New Roman" w:hAnsi="Times New Roman"/>
          <w:b/>
        </w:rPr>
        <w:t xml:space="preserve">produit 2, </w:t>
      </w:r>
      <w:r>
        <w:rPr>
          <w:rFonts w:ascii="Times New Roman" w:hAnsi="Times New Roman"/>
        </w:rPr>
        <w:t xml:space="preserve"> il a été retenu 3 </w:t>
      </w:r>
      <w:r>
        <w:rPr>
          <w:rFonts w:ascii="Times New Roman" w:hAnsi="Times New Roman"/>
        </w:rPr>
        <w:t xml:space="preserve">indicateurs assortis de 14 cibles annuelles. Il a été choisi 3 indicateurs assortis de 16 cibles annuelles pour le </w:t>
      </w:r>
      <w:r>
        <w:rPr>
          <w:rFonts w:ascii="Times New Roman" w:hAnsi="Times New Roman"/>
          <w:b/>
        </w:rPr>
        <w:t xml:space="preserve">produit 3. </w:t>
      </w:r>
      <w:r>
        <w:rPr>
          <w:rFonts w:ascii="Times New Roman" w:hAnsi="Times New Roman"/>
          <w:b/>
          <w:i/>
        </w:rPr>
        <w:t xml:space="preserve"> </w:t>
      </w:r>
      <w:r>
        <w:rPr>
          <w:rFonts w:ascii="Times New Roman" w:hAnsi="Times New Roman"/>
        </w:rPr>
        <w:t>Au total, la matrice des résultats du document du programme conjoint signé compte 11 indicateurs de produits et 45 cibles annuell</w:t>
      </w:r>
      <w:r>
        <w:rPr>
          <w:rFonts w:ascii="Times New Roman" w:hAnsi="Times New Roman"/>
        </w:rPr>
        <w:t xml:space="preserve">es. Mais, la revue interne du programme conjoint a revisité ces indicateurs et ces cibles. Elle a procédé à la suppression et la reformulation de quelques indicateurs. Elle a également proposé de nouveaux indicateurs et de nouvelles cibles pour les années </w:t>
      </w:r>
      <w:r>
        <w:rPr>
          <w:rFonts w:ascii="Times New Roman" w:hAnsi="Times New Roman"/>
        </w:rPr>
        <w:t xml:space="preserve">2015 et 2016.  Comme on le constatera plus loin, l’analyse de l’efficacité a porté sur 39 cibles. </w:t>
      </w:r>
    </w:p>
    <w:p w:rsidR="00864EC1" w:rsidRDefault="00C6376C">
      <w:pPr>
        <w:jc w:val="both"/>
      </w:pPr>
      <w:r>
        <w:rPr>
          <w:rFonts w:ascii="Times New Roman" w:hAnsi="Times New Roman"/>
        </w:rPr>
        <w:t>Il est apparu que la revue des indicateurs a eu le mérite de porter sur la forme et le fonds et de rendre plus SMART les indicateurs. Il est couramment admis</w:t>
      </w:r>
      <w:r>
        <w:rPr>
          <w:rFonts w:ascii="Times New Roman" w:hAnsi="Times New Roman"/>
        </w:rPr>
        <w:t xml:space="preserve"> que </w:t>
      </w:r>
      <w:r>
        <w:rPr>
          <w:rFonts w:ascii="Times New Roman" w:hAnsi="Times New Roman"/>
          <w:b/>
          <w:i/>
        </w:rPr>
        <w:t>« l’indicateur indique mais n’explique pas ou n’interprète pas</w:t>
      </w:r>
      <w:r>
        <w:rPr>
          <w:rFonts w:ascii="Times New Roman" w:hAnsi="Times New Roman"/>
        </w:rPr>
        <w:t> ». Mais, en indiquant, l’indicateur rend possible et oriente l’explication ou l’interprétation. Le choix d’un indicateur n’est pas simplement un exercice technique. Il renvoie généralement</w:t>
      </w:r>
      <w:r>
        <w:rPr>
          <w:rFonts w:ascii="Times New Roman" w:hAnsi="Times New Roman"/>
        </w:rPr>
        <w:t xml:space="preserve"> à des considérations politiques, stratégiques, programmatiques, managériales. Les indicateurs proposés lors de la revue ont été examinés dans cette perspective  et dans l’optique de la GAR pour mieux apprécier leur pertinence.  </w:t>
      </w:r>
    </w:p>
    <w:p w:rsidR="00864EC1" w:rsidRDefault="00C6376C">
      <w:pPr>
        <w:jc w:val="both"/>
      </w:pPr>
      <w:r>
        <w:rPr>
          <w:rFonts w:ascii="Times New Roman" w:hAnsi="Times New Roman"/>
        </w:rPr>
        <w:t>La plupart des indicateurs</w:t>
      </w:r>
      <w:r>
        <w:rPr>
          <w:rFonts w:ascii="Times New Roman" w:hAnsi="Times New Roman"/>
        </w:rPr>
        <w:t xml:space="preserve"> du produit 1 ont été revisités. Deux indicateurs ont été reformulés au niveau de la forme et du fonds ou de la substance à savoir : </w:t>
      </w:r>
      <w:r>
        <w:rPr>
          <w:rFonts w:ascii="Times New Roman" w:hAnsi="Times New Roman"/>
          <w:b/>
          <w:i/>
        </w:rPr>
        <w:t>« Nombre de régions disposant des SIT opérationnels au lieu de Nombre de régions ou l’outil de veille est mis en place et o</w:t>
      </w:r>
      <w:r>
        <w:rPr>
          <w:rFonts w:ascii="Times New Roman" w:hAnsi="Times New Roman"/>
          <w:b/>
          <w:i/>
        </w:rPr>
        <w:t>pérationnel », « Nombre de publications sur le concept de DH au lieu de Nombre d’études sur le DH aux niveaux régional, urbain, rural … »</w:t>
      </w:r>
      <w:r>
        <w:rPr>
          <w:rFonts w:ascii="Times New Roman" w:hAnsi="Times New Roman"/>
        </w:rPr>
        <w:t>. La reformulation a mis l’accent sur le changement attendu en termes de résultat et non de processus.  Il a été propos</w:t>
      </w:r>
      <w:r>
        <w:rPr>
          <w:rFonts w:ascii="Times New Roman" w:hAnsi="Times New Roman"/>
        </w:rPr>
        <w:t xml:space="preserve">é quatre nouveaux indicateurs suivants : </w:t>
      </w:r>
      <w:r>
        <w:rPr>
          <w:rFonts w:ascii="Times New Roman" w:hAnsi="Times New Roman"/>
          <w:b/>
          <w:i/>
        </w:rPr>
        <w:t>« Régularité de mise à jour du SI Al Bacharia », « Nombre d’utilisateurs (Clics et inscription) du SI Al Bacharia », « Nombre de catégories de la population intégrées dans le SI Al Bacharia » ; « Nombre de rencontre</w:t>
      </w:r>
      <w:r>
        <w:rPr>
          <w:rFonts w:ascii="Times New Roman" w:hAnsi="Times New Roman"/>
          <w:b/>
          <w:i/>
        </w:rPr>
        <w:t>s centrées sur les concepts de développement humain »</w:t>
      </w:r>
      <w:r>
        <w:rPr>
          <w:rFonts w:ascii="Times New Roman" w:hAnsi="Times New Roman"/>
        </w:rPr>
        <w:t xml:space="preserve">.  </w:t>
      </w:r>
    </w:p>
    <w:p w:rsidR="00864EC1" w:rsidRDefault="00864EC1">
      <w:pPr>
        <w:jc w:val="both"/>
        <w:rPr>
          <w:rFonts w:ascii="Times New Roman" w:hAnsi="Times New Roman"/>
        </w:rPr>
      </w:pPr>
    </w:p>
    <w:p w:rsidR="00864EC1" w:rsidRDefault="00C6376C">
      <w:pPr>
        <w:jc w:val="both"/>
      </w:pPr>
      <w:r>
        <w:rPr>
          <w:rFonts w:ascii="Times New Roman" w:hAnsi="Times New Roman"/>
        </w:rPr>
        <w:t xml:space="preserve">Les indicateurs </w:t>
      </w:r>
      <w:r>
        <w:rPr>
          <w:rFonts w:ascii="Times New Roman" w:hAnsi="Times New Roman"/>
          <w:b/>
          <w:i/>
        </w:rPr>
        <w:t xml:space="preserve"> « Régularité de mise à jour du SI Al Bacharia », « Nombre d’utilisateurs (Clics et inscription) du SI Al Bacharia », « Nombre de catégories de la population intégrées dans le SI Al </w:t>
      </w:r>
      <w:r>
        <w:rPr>
          <w:rFonts w:ascii="Times New Roman" w:hAnsi="Times New Roman"/>
          <w:b/>
          <w:i/>
        </w:rPr>
        <w:t>Bacharia » </w:t>
      </w:r>
      <w:r>
        <w:rPr>
          <w:rFonts w:ascii="Times New Roman" w:hAnsi="Times New Roman"/>
        </w:rPr>
        <w:t>paraissent très pertinents parce qu’ils mettent en exergue les dimensions suivantes : l’utilisation des données produites, l’efficacité organisationnelle de l’ONDH et la nécessité de l’innovation ou de l’amélioration continue de ses outils, la d</w:t>
      </w:r>
      <w:r>
        <w:rPr>
          <w:rFonts w:ascii="Times New Roman" w:hAnsi="Times New Roman"/>
        </w:rPr>
        <w:t xml:space="preserve">emande et l’utilisation des données. </w:t>
      </w:r>
    </w:p>
    <w:p w:rsidR="00864EC1" w:rsidRDefault="00C6376C">
      <w:pPr>
        <w:jc w:val="both"/>
      </w:pPr>
      <w:r>
        <w:rPr>
          <w:rFonts w:ascii="Times New Roman" w:hAnsi="Times New Roman"/>
        </w:rPr>
        <w:lastRenderedPageBreak/>
        <w:t xml:space="preserve">Précisément l’indicateur </w:t>
      </w:r>
      <w:r>
        <w:rPr>
          <w:rFonts w:ascii="Times New Roman" w:hAnsi="Times New Roman"/>
          <w:b/>
          <w:i/>
        </w:rPr>
        <w:t>« Nombre d’utilisateurs (Clics et inscription) du SI Al Bacharia »</w:t>
      </w:r>
      <w:r>
        <w:rPr>
          <w:rFonts w:ascii="Times New Roman" w:hAnsi="Times New Roman"/>
        </w:rPr>
        <w:t xml:space="preserve"> est intéressant parce qu’il met en exergue la dimension utilisation des données produites par l’ONDH. La production des donnée</w:t>
      </w:r>
      <w:r>
        <w:rPr>
          <w:rFonts w:ascii="Times New Roman" w:hAnsi="Times New Roman"/>
        </w:rPr>
        <w:t>s n’est pas une fin en soi. Elle doit plutôt répondre à l’utilisation des données pour la prise des décisions, le débat public ou citoyen, la recherche et l’enseignement, etc. L’utilisation donne sens à la production des données. Il est vrai que l’ONDH n’e</w:t>
      </w:r>
      <w:r>
        <w:rPr>
          <w:rFonts w:ascii="Times New Roman" w:hAnsi="Times New Roman"/>
        </w:rPr>
        <w:t>st pas comptable ou redevable de l’utilisation des données qu’il produit. Il peut néanmoins jouer un rôle majeur dans la promotion de l’utilisation des données. Cet indicateur interpelle sur l’utilisation des données. Au-delà, des clics et des inscriptions</w:t>
      </w:r>
      <w:r>
        <w:rPr>
          <w:rFonts w:ascii="Times New Roman" w:hAnsi="Times New Roman"/>
        </w:rPr>
        <w:t>, il suggère de s’enquérir sur les profils des utilisateurs, les données recueillies du SI Al Bacharia et leur utilisation, les besoins en données exprimés par les utilisateurs. Ces informations s’avèrent très utiles pour la réflexion sur le positionnement</w:t>
      </w:r>
      <w:r>
        <w:rPr>
          <w:rFonts w:ascii="Times New Roman" w:hAnsi="Times New Roman"/>
        </w:rPr>
        <w:t xml:space="preserve"> stratégique de l’ONDH. </w:t>
      </w:r>
    </w:p>
    <w:p w:rsidR="00864EC1" w:rsidRDefault="00C6376C">
      <w:pPr>
        <w:jc w:val="both"/>
        <w:rPr>
          <w:rFonts w:ascii="Times New Roman" w:hAnsi="Times New Roman"/>
        </w:rPr>
      </w:pPr>
      <w:r>
        <w:rPr>
          <w:rFonts w:ascii="Times New Roman" w:hAnsi="Times New Roman"/>
        </w:rPr>
        <w:t xml:space="preserve"> La régularité de la mise à jour du SI Al Bacharia et l’intégration de nouvelles catégories de la population dans le SI Al Bacharia » mettent en relief la nécessité de l’amélioration continue et l’innovation du SI en vue de répondr</w:t>
      </w:r>
      <w:r>
        <w:rPr>
          <w:rFonts w:ascii="Times New Roman" w:hAnsi="Times New Roman"/>
        </w:rPr>
        <w:t>e à la demande et à l’utilisation de plus en plus complexe des données produites. Ces indicateurs laissent transparaître l’exigence de l’amélioration continue de l’efficacité organisationnelle de l’ONDH. Celle-ci requiert un pilotage stratégique efficace e</w:t>
      </w:r>
      <w:r>
        <w:rPr>
          <w:rFonts w:ascii="Times New Roman" w:hAnsi="Times New Roman"/>
        </w:rPr>
        <w:t>t opérationnel de l’organisation, le renforcement des compétences et de la motivation du personnel, une gestion efficiente des coûts et des délais de livraison des services, la mesure régulière de la qualité des services en tenant compte des normes nationa</w:t>
      </w:r>
      <w:r>
        <w:rPr>
          <w:rFonts w:ascii="Times New Roman" w:hAnsi="Times New Roman"/>
        </w:rPr>
        <w:t xml:space="preserve">les et internationales ainsi que de la satisfaction des utilisateurs des services de l’ONDH. </w:t>
      </w:r>
    </w:p>
    <w:p w:rsidR="00864EC1" w:rsidRDefault="00C6376C">
      <w:pPr>
        <w:jc w:val="both"/>
      </w:pPr>
      <w:r>
        <w:rPr>
          <w:rFonts w:ascii="Times New Roman" w:hAnsi="Times New Roman"/>
        </w:rPr>
        <w:t xml:space="preserve">S’agissant du produit 2, la revue a proposé la reformulation des indicateurs suivants : </w:t>
      </w:r>
      <w:r>
        <w:rPr>
          <w:rFonts w:ascii="Times New Roman" w:hAnsi="Times New Roman"/>
          <w:b/>
          <w:i/>
        </w:rPr>
        <w:t>« Nombre de cadres de l’ONDH bénéficiaires des activités de renforcement d</w:t>
      </w:r>
      <w:r>
        <w:rPr>
          <w:rFonts w:ascii="Times New Roman" w:hAnsi="Times New Roman"/>
          <w:b/>
          <w:i/>
        </w:rPr>
        <w:t>es capacités au lieu de nombre de personnes formées …»</w:t>
      </w:r>
      <w:r>
        <w:rPr>
          <w:rFonts w:ascii="Times New Roman" w:hAnsi="Times New Roman"/>
        </w:rPr>
        <w:t xml:space="preserve">, </w:t>
      </w:r>
      <w:r>
        <w:rPr>
          <w:rFonts w:ascii="Times New Roman" w:hAnsi="Times New Roman"/>
          <w:b/>
          <w:i/>
        </w:rPr>
        <w:t xml:space="preserve">« Nombre d’études/évaluations  conduites par l’ONDH aux niveaux national, régional, régional et local au lieu de Nombre de travaux concernant le DH diffusés …». </w:t>
      </w:r>
      <w:r>
        <w:t xml:space="preserve"> </w:t>
      </w:r>
      <w:r>
        <w:rPr>
          <w:rFonts w:ascii="Times New Roman" w:hAnsi="Times New Roman"/>
        </w:rPr>
        <w:t>A la faveur de la reformulation,</w:t>
      </w:r>
      <w:r>
        <w:rPr>
          <w:rFonts w:ascii="Times New Roman" w:hAnsi="Times New Roman"/>
          <w:b/>
          <w:i/>
        </w:rPr>
        <w:t xml:space="preserve"> </w:t>
      </w:r>
      <w:r>
        <w:rPr>
          <w:rFonts w:ascii="Times New Roman" w:hAnsi="Times New Roman"/>
        </w:rPr>
        <w:t>les i</w:t>
      </w:r>
      <w:r>
        <w:rPr>
          <w:rFonts w:ascii="Times New Roman" w:hAnsi="Times New Roman"/>
        </w:rPr>
        <w:t>ndicateurs sont plus SMART et appropriés pour  mieux rendre compte des progrès enregistrés dans le renforcement  des capacités d’analyse et  de la pratique d’évaluation des politiques publiques. En outre, comme on l’a indiqué plus haut, ces indicateurs dév</w:t>
      </w:r>
      <w:r>
        <w:rPr>
          <w:rFonts w:ascii="Times New Roman" w:hAnsi="Times New Roman"/>
        </w:rPr>
        <w:t>oilent la stratégie de renforcement des capacités qui n’est pas explicite dans le document du programme conjoint. Le renforcement des capacités est appréhendé à trois niveaux : Le niveau individuel (Nombre de cadres de l’ONDH bénéficiaires…), au niveau org</w:t>
      </w:r>
      <w:r>
        <w:rPr>
          <w:rFonts w:ascii="Times New Roman" w:hAnsi="Times New Roman"/>
        </w:rPr>
        <w:t xml:space="preserve">anisationnel (Nombre d’études/évaluations  conduites par l’ONDH…), au niveau sociétal (Nombre de groupements de recherche sur le DH associés à l’ONDH). </w:t>
      </w:r>
    </w:p>
    <w:p w:rsidR="00864EC1" w:rsidRDefault="00C6376C">
      <w:pPr>
        <w:jc w:val="both"/>
      </w:pPr>
      <w:r>
        <w:rPr>
          <w:rFonts w:ascii="Times New Roman" w:hAnsi="Times New Roman"/>
        </w:rPr>
        <w:t>En ce qui concerne le produit 3, la revue interne a proposé les nouveaux indicateurs suivants : « </w:t>
      </w:r>
      <w:r>
        <w:rPr>
          <w:rFonts w:ascii="Times New Roman" w:hAnsi="Times New Roman"/>
          <w:b/>
          <w:i/>
        </w:rPr>
        <w:t>Nombr</w:t>
      </w:r>
      <w:r>
        <w:rPr>
          <w:rFonts w:ascii="Times New Roman" w:hAnsi="Times New Roman"/>
          <w:b/>
          <w:i/>
        </w:rPr>
        <w:t>e de publications ONDH diffusées</w:t>
      </w:r>
      <w:r>
        <w:rPr>
          <w:rFonts w:ascii="Times New Roman" w:hAnsi="Times New Roman"/>
        </w:rPr>
        <w:t xml:space="preserve"> », </w:t>
      </w:r>
      <w:r>
        <w:rPr>
          <w:rFonts w:ascii="Times New Roman" w:hAnsi="Times New Roman"/>
          <w:b/>
          <w:i/>
        </w:rPr>
        <w:t>« Nombre de nouveaux partenariats avec les institutions nationales et internationales engagées », « Nombre de partenariats Sud-Sud initiés », « Nombre d’ateliers et séminaires sur le concept de développement humain ».</w:t>
      </w:r>
      <w:r>
        <w:rPr>
          <w:rFonts w:ascii="Times New Roman" w:hAnsi="Times New Roman"/>
        </w:rPr>
        <w:t xml:space="preserve">  C</w:t>
      </w:r>
      <w:r>
        <w:rPr>
          <w:rFonts w:ascii="Times New Roman" w:hAnsi="Times New Roman"/>
        </w:rPr>
        <w:t>es indicateurs sont SMART et pertinents pour rendre compte des progrès enregistrés par l’ONDH en matière de communication, partenariat et plaidoyer. Ils témoignent aussi de l’affirmation et de l’ambition de l’ONDH de promouvoir les choix stratégiques opéré</w:t>
      </w:r>
      <w:r>
        <w:rPr>
          <w:rFonts w:ascii="Times New Roman" w:hAnsi="Times New Roman"/>
        </w:rPr>
        <w:t xml:space="preserve">s dans la communication, le développement des partenariats stratégiques et le plaidoyer, la coopération Sud-Sud. </w:t>
      </w:r>
    </w:p>
    <w:p w:rsidR="00864EC1" w:rsidRDefault="00C6376C">
      <w:pPr>
        <w:jc w:val="both"/>
        <w:rPr>
          <w:rFonts w:ascii="Times New Roman" w:hAnsi="Times New Roman"/>
        </w:rPr>
      </w:pPr>
      <w:r>
        <w:rPr>
          <w:rFonts w:ascii="Times New Roman" w:hAnsi="Times New Roman"/>
        </w:rPr>
        <w:t>En définitive, la qualité de la matrice des résultats est satisfaisante. A la faveur des propositions pertinentes faites par la revue interne,</w:t>
      </w:r>
      <w:r>
        <w:rPr>
          <w:rFonts w:ascii="Times New Roman" w:hAnsi="Times New Roman"/>
        </w:rPr>
        <w:t xml:space="preserve"> la formulation des produits et de la plupart des  indicateurs ainsi que des cibles  témoignent  des efforts notables dans la prise en compte des principes programmatiques notamment de l’approche basée sur les droits humains, de l’égalité des sexes, du dév</w:t>
      </w:r>
      <w:r>
        <w:rPr>
          <w:rFonts w:ascii="Times New Roman" w:hAnsi="Times New Roman"/>
        </w:rPr>
        <w:t>eloppement des capacités et de la GAR. Toutefois, il convient d’attirer l’attention sur les observations suivantes qui devraient être capitalisées lors de la programmation future :</w:t>
      </w:r>
    </w:p>
    <w:p w:rsidR="00864EC1" w:rsidRDefault="00C6376C">
      <w:pPr>
        <w:pStyle w:val="Paragraphedeliste"/>
        <w:numPr>
          <w:ilvl w:val="0"/>
          <w:numId w:val="9"/>
        </w:numPr>
        <w:jc w:val="both"/>
      </w:pPr>
      <w:r>
        <w:rPr>
          <w:rFonts w:ascii="Times New Roman" w:hAnsi="Times New Roman"/>
        </w:rPr>
        <w:t>Les produits sont certes pertinents. Mais, leur formulation devrait davanta</w:t>
      </w:r>
      <w:r>
        <w:rPr>
          <w:rFonts w:ascii="Times New Roman" w:hAnsi="Times New Roman"/>
        </w:rPr>
        <w:t>ge s’inscrire dans  la perspective de l’approche basée sur les droits humains et tenir compte du langage du changement. L’analyse de la situation exposée dans le document du programme ne fournit malheureusement pas des données et des informations sur les d</w:t>
      </w:r>
      <w:r>
        <w:rPr>
          <w:rFonts w:ascii="Times New Roman" w:hAnsi="Times New Roman"/>
        </w:rPr>
        <w:t>éficits des capacités à combler de l’ONDH en tant que détenteur d’obligations en matière d’évaluation des politiques publiques. Cette faiblesse témoigne de l’absence  de l’évaluation formelle des capacités de l’ONDH. Un tel exercice aurait exigé en plus de</w:t>
      </w:r>
      <w:r>
        <w:rPr>
          <w:rFonts w:ascii="Times New Roman" w:hAnsi="Times New Roman"/>
        </w:rPr>
        <w:t xml:space="preserve"> la définition claire des missions et des axes d’intervention de l’ONDH déclinés dans le décret de création, la formulation d’un plan stratégique de l’ONDH qui énoncerait clairement l’intention ou la vision stratégique de l’institution. Il aurait fallu rép</w:t>
      </w:r>
      <w:r>
        <w:rPr>
          <w:rFonts w:ascii="Times New Roman" w:hAnsi="Times New Roman"/>
        </w:rPr>
        <w:t xml:space="preserve">ondre à la question de </w:t>
      </w:r>
      <w:r>
        <w:rPr>
          <w:rFonts w:ascii="Times New Roman" w:hAnsi="Times New Roman"/>
          <w:b/>
          <w:i/>
        </w:rPr>
        <w:t>savoir « de quel ONDH voulons nous à l’horizon X ? »</w:t>
      </w:r>
      <w:r>
        <w:rPr>
          <w:rFonts w:ascii="Times New Roman" w:hAnsi="Times New Roman"/>
        </w:rPr>
        <w:t xml:space="preserve">  Cet horizon devrait  évidemment dépasser la date de clôture du programme conjoint.  La vision stratégique devrait orienter l’évaluation des capacités existantes et des capacités d</w:t>
      </w:r>
      <w:r>
        <w:rPr>
          <w:rFonts w:ascii="Times New Roman" w:hAnsi="Times New Roman"/>
        </w:rPr>
        <w:t>ésirées afin de dégager le déficit de capacités à combler pour traduire cette vision dans la réalité.</w:t>
      </w:r>
    </w:p>
    <w:p w:rsidR="00864EC1" w:rsidRDefault="00C6376C">
      <w:pPr>
        <w:pStyle w:val="Paragraphedeliste"/>
        <w:numPr>
          <w:ilvl w:val="0"/>
          <w:numId w:val="9"/>
        </w:numPr>
        <w:jc w:val="both"/>
        <w:rPr>
          <w:rFonts w:ascii="Times New Roman" w:hAnsi="Times New Roman"/>
        </w:rPr>
      </w:pPr>
      <w:r>
        <w:rPr>
          <w:rFonts w:ascii="Times New Roman" w:hAnsi="Times New Roman"/>
        </w:rPr>
        <w:t>Le programme conjoint se propose de  livrer les trois produits à travers l’atteinte de 45 cibles annuelles. Mais, il n’indique pas formellement les cibles</w:t>
      </w:r>
      <w:r>
        <w:rPr>
          <w:rFonts w:ascii="Times New Roman" w:hAnsi="Times New Roman"/>
        </w:rPr>
        <w:t xml:space="preserve"> finales des produits. Cette approche est  sans doute un choix implicite de l’ONDH et des agences partenaires des Nations unies. On pourrait argumenter que les cibles finales des indicateurs pourraient être déduites du cumul des cibles annuelles. Mais, il </w:t>
      </w:r>
      <w:r>
        <w:rPr>
          <w:rFonts w:ascii="Times New Roman" w:hAnsi="Times New Roman"/>
        </w:rPr>
        <w:t>convient de faire observer que dans la perspective de la GAR, les cibles annuelles sont considérées comme des cibles intermédiaires ou des jalons à franchir progressivement pour atteindre la cible finale. Celle-ci donne donc du sens aux cibles annuelles. E</w:t>
      </w:r>
      <w:r>
        <w:rPr>
          <w:rFonts w:ascii="Times New Roman" w:hAnsi="Times New Roman"/>
        </w:rPr>
        <w:t xml:space="preserve">lle permet de comprendre leurs liens et leur enchaînement logiques. Elle aide à mieux appréhender les progrès accomplis à travers l’appréciation ou la comparaison des valeurs de référence et des valeurs cibles des indicateurs des produits. </w:t>
      </w:r>
    </w:p>
    <w:p w:rsidR="00864EC1" w:rsidRDefault="00C6376C">
      <w:pPr>
        <w:pStyle w:val="Paragraphedeliste"/>
        <w:numPr>
          <w:ilvl w:val="0"/>
          <w:numId w:val="9"/>
        </w:numPr>
        <w:jc w:val="both"/>
        <w:rPr>
          <w:rFonts w:ascii="Times New Roman" w:hAnsi="Times New Roman"/>
        </w:rPr>
      </w:pPr>
      <w:r>
        <w:rPr>
          <w:rFonts w:ascii="Times New Roman" w:hAnsi="Times New Roman"/>
        </w:rPr>
        <w:t>Plusieurs indic</w:t>
      </w:r>
      <w:r>
        <w:rPr>
          <w:rFonts w:ascii="Times New Roman" w:hAnsi="Times New Roman"/>
        </w:rPr>
        <w:t xml:space="preserve">ateurs ne sont pas assortis des situations ou des valeurs de référence. Plusieurs cibles annuelles ne renvoient pas non plus à des situations ou à des valeurs de référence. Il en est de même des nouveaux indicateurs proposés lors de la revue interne. </w:t>
      </w:r>
    </w:p>
    <w:p w:rsidR="00864EC1" w:rsidRDefault="00C6376C">
      <w:pPr>
        <w:pStyle w:val="Paragraphedeliste"/>
        <w:numPr>
          <w:ilvl w:val="0"/>
          <w:numId w:val="9"/>
        </w:numPr>
        <w:jc w:val="both"/>
        <w:rPr>
          <w:rFonts w:ascii="Times New Roman" w:hAnsi="Times New Roman"/>
        </w:rPr>
      </w:pPr>
      <w:r>
        <w:rPr>
          <w:rFonts w:ascii="Times New Roman" w:hAnsi="Times New Roman"/>
        </w:rPr>
        <w:t>La d</w:t>
      </w:r>
      <w:r>
        <w:rPr>
          <w:rFonts w:ascii="Times New Roman" w:hAnsi="Times New Roman"/>
        </w:rPr>
        <w:t>imension genre aurait pu être davantage prise en compte dans la formulation des valeurs de référence et des cibles de quelques produits. A titre d’exemple, le nombre des cadres de l’ONDH bénéficiaires des activités de développement des capacités, nombre de</w:t>
      </w:r>
      <w:r>
        <w:rPr>
          <w:rFonts w:ascii="Times New Roman" w:hAnsi="Times New Roman"/>
        </w:rPr>
        <w:t xml:space="preserve"> groupements de recherche associés à l’ONDH (Combien de femmes sont membres de ces groupements ?), nombre d’utilisateurs du SI Al Bacharia (Combien de femmes consultent le site ?), nombre de rencontres centrées sur les concepts de développement humain (Tau</w:t>
      </w:r>
      <w:r>
        <w:rPr>
          <w:rFonts w:ascii="Times New Roman" w:hAnsi="Times New Roman"/>
        </w:rPr>
        <w:t>x de participation des femmes à ces rencontres ?), nombre de publications sur le concept de développement humain (Nombre de publications faites par les femmes ou nombre de femmes ayant publié ou participé aux publications), nombre d’ateliers/séminaires org</w:t>
      </w:r>
      <w:r>
        <w:rPr>
          <w:rFonts w:ascii="Times New Roman" w:hAnsi="Times New Roman"/>
        </w:rPr>
        <w:t>anisés sur le concept de développement humain (Taux de participation des femmes à ces d’ateliers/séminaires ?). La prise en compte de la dimension genre nécessite absolument une désagrégation des valeurs de référence et des valeurs cibles. Elle requiert au</w:t>
      </w:r>
      <w:r>
        <w:rPr>
          <w:rFonts w:ascii="Times New Roman" w:hAnsi="Times New Roman"/>
        </w:rPr>
        <w:t>ssi  une attention particulière au moment de la collecte et de l’analyse des données.</w:t>
      </w:r>
    </w:p>
    <w:p w:rsidR="00864EC1" w:rsidRDefault="00C6376C">
      <w:pPr>
        <w:jc w:val="both"/>
        <w:rPr>
          <w:rFonts w:ascii="Times New Roman" w:hAnsi="Times New Roman"/>
        </w:rPr>
      </w:pPr>
      <w:r>
        <w:rPr>
          <w:rFonts w:ascii="Times New Roman" w:hAnsi="Times New Roman"/>
        </w:rPr>
        <w:t>La description succincte et l’appréciation de la qualité de la matrice des résultats permettent d’affirmer objectivement que le programme conjoint est évaluable. En dépit</w:t>
      </w:r>
      <w:r>
        <w:rPr>
          <w:rFonts w:ascii="Times New Roman" w:hAnsi="Times New Roman"/>
        </w:rPr>
        <w:t xml:space="preserve"> des faiblesses signalées plus haut, la matrice des résultats contient tous les ingrédients nécessaires pour l’évaluation. En outre, l’UGP  avec l’appui du PNUD a élaboré et produit régulièrement les PTA et les rapports annuels soumis à l’appréciation du c</w:t>
      </w:r>
      <w:r>
        <w:rPr>
          <w:rFonts w:ascii="Times New Roman" w:hAnsi="Times New Roman"/>
        </w:rPr>
        <w:t xml:space="preserve">omité de pilotage et de toutes les parties prenantes lors des revues annuelles. On a noté une nette amélioration de la qualité des rapports en 2014 et 2015. </w:t>
      </w:r>
    </w:p>
    <w:p w:rsidR="00864EC1" w:rsidRDefault="00C6376C">
      <w:pPr>
        <w:pStyle w:val="Titre2"/>
      </w:pPr>
      <w:bookmarkStart w:id="38" w:name="_Toc451442678"/>
      <w:bookmarkStart w:id="39" w:name="_Toc451652739"/>
      <w:bookmarkStart w:id="40" w:name="_Toc451653141"/>
      <w:r>
        <w:t>III - Pertinence et performances de la mise en œuvre du programme conjoint</w:t>
      </w:r>
      <w:bookmarkEnd w:id="38"/>
      <w:bookmarkEnd w:id="39"/>
      <w:bookmarkEnd w:id="40"/>
      <w:r>
        <w:t xml:space="preserve">  </w:t>
      </w:r>
    </w:p>
    <w:p w:rsidR="00864EC1" w:rsidRDefault="00C6376C">
      <w:pPr>
        <w:jc w:val="both"/>
        <w:rPr>
          <w:rFonts w:ascii="Times New Roman" w:hAnsi="Times New Roman"/>
        </w:rPr>
      </w:pPr>
      <w:r>
        <w:rPr>
          <w:rFonts w:ascii="Times New Roman" w:hAnsi="Times New Roman"/>
        </w:rPr>
        <w:t>Ce point aborde l’ana</w:t>
      </w:r>
      <w:r>
        <w:rPr>
          <w:rFonts w:ascii="Times New Roman" w:hAnsi="Times New Roman"/>
        </w:rPr>
        <w:t>lyse de la pertinence, l’efficacité, l’efficience, la cohérence interne et externe, la durabilité et l’impact de la mise en œuvre du programme conjoint en se basant sur les critères d’évaluation. L’analyse porte également sur la pertinence du ciblage des i</w:t>
      </w:r>
      <w:r>
        <w:rPr>
          <w:rFonts w:ascii="Times New Roman" w:hAnsi="Times New Roman"/>
        </w:rPr>
        <w:t xml:space="preserve">nterventions du programme. </w:t>
      </w:r>
    </w:p>
    <w:p w:rsidR="00864EC1" w:rsidRDefault="00C6376C">
      <w:pPr>
        <w:pStyle w:val="Titre3"/>
      </w:pPr>
      <w:bookmarkStart w:id="41" w:name="_Toc451442679"/>
      <w:bookmarkStart w:id="42" w:name="_Toc451652740"/>
      <w:bookmarkStart w:id="43" w:name="_Toc451653142"/>
      <w:r>
        <w:t>III.1 - Pertinence du programme conjoint</w:t>
      </w:r>
      <w:bookmarkEnd w:id="41"/>
      <w:bookmarkEnd w:id="42"/>
      <w:bookmarkEnd w:id="43"/>
    </w:p>
    <w:p w:rsidR="00864EC1" w:rsidRDefault="00C6376C">
      <w:pPr>
        <w:jc w:val="both"/>
      </w:pPr>
      <w:r>
        <w:rPr>
          <w:rFonts w:ascii="Times New Roman" w:hAnsi="Times New Roman"/>
        </w:rPr>
        <w:t xml:space="preserve">L’analyse de la pertinence a été orientée par les questions et les sous questions évaluatives suivantes : </w:t>
      </w:r>
      <w:r>
        <w:rPr>
          <w:rFonts w:ascii="Times New Roman" w:hAnsi="Times New Roman"/>
          <w:i/>
        </w:rPr>
        <w:t xml:space="preserve">Le programme conjoint a-t-il été pertinent par rapport aux priorités nationales, </w:t>
      </w:r>
      <w:r>
        <w:rPr>
          <w:rFonts w:ascii="Times New Roman" w:hAnsi="Times New Roman"/>
          <w:i/>
        </w:rPr>
        <w:t>aux besoins du pays et des bénéficiaires ?  A-t-il été pertinent par rapport aux Objectifs du Millénaire pour le développement (OMD) et l’UNDAF 2012-2016 ?</w:t>
      </w:r>
      <w:r>
        <w:rPr>
          <w:rFonts w:ascii="Times New Roman" w:hAnsi="Times New Roman"/>
        </w:rPr>
        <w:t xml:space="preserve"> Les données et les informations collectées ont permis d’apporter des réponses précises à ces questio</w:t>
      </w:r>
      <w:r>
        <w:rPr>
          <w:rFonts w:ascii="Times New Roman" w:hAnsi="Times New Roman"/>
        </w:rPr>
        <w:t xml:space="preserve">ns. </w:t>
      </w:r>
    </w:p>
    <w:p w:rsidR="00864EC1" w:rsidRDefault="00C6376C">
      <w:pPr>
        <w:pStyle w:val="Titre4"/>
      </w:pPr>
      <w:r>
        <w:t>III.1.1 - Pertinence du programme conjoint par rapport aux priorités nationales et aux besoins du pays</w:t>
      </w:r>
    </w:p>
    <w:p w:rsidR="00864EC1" w:rsidRDefault="00C6376C">
      <w:pPr>
        <w:jc w:val="both"/>
      </w:pPr>
      <w:r>
        <w:rPr>
          <w:rFonts w:ascii="Times New Roman" w:hAnsi="Times New Roman"/>
        </w:rPr>
        <w:t>Eu égard à son objectif global et aux produits escomptés énoncés plus haut, le programme conjoint a été jugé pertinent par rapport à la constitution</w:t>
      </w:r>
      <w:r>
        <w:rPr>
          <w:rFonts w:ascii="Times New Roman" w:hAnsi="Times New Roman"/>
        </w:rPr>
        <w:t xml:space="preserve"> dont l’article 13 stipule que </w:t>
      </w:r>
      <w:r>
        <w:rPr>
          <w:rFonts w:ascii="Times New Roman" w:hAnsi="Times New Roman"/>
          <w:b/>
          <w:i/>
        </w:rPr>
        <w:t>« les pouvoirs publics œuvrent à la création d’instances de concertation, en vue d’associer les différents acteurs sociaux à l’élaboration, la mise en œuvre, l’exécution et l’évaluation des politiques publiques »</w:t>
      </w:r>
      <w:r>
        <w:rPr>
          <w:rFonts w:ascii="Times New Roman" w:hAnsi="Times New Roman"/>
        </w:rPr>
        <w:t>. La constitu</w:t>
      </w:r>
      <w:r>
        <w:rPr>
          <w:rFonts w:ascii="Times New Roman" w:hAnsi="Times New Roman"/>
        </w:rPr>
        <w:t>tion a donc inscrit l’évaluation des politiques publiques au cœur de l’agenda politique. Elle a donné une forte impulsion au processus d’institutionnalisation et à la pratique évaluative qui a suscité l’intérêt et la mobilisation des acteurs politiques, de</w:t>
      </w:r>
      <w:r>
        <w:rPr>
          <w:rFonts w:ascii="Times New Roman" w:hAnsi="Times New Roman"/>
        </w:rPr>
        <w:t xml:space="preserve">s OSC, des universités, etc. </w:t>
      </w:r>
    </w:p>
    <w:p w:rsidR="00864EC1" w:rsidRDefault="00C6376C">
      <w:pPr>
        <w:jc w:val="both"/>
      </w:pPr>
      <w:r>
        <w:rPr>
          <w:rFonts w:ascii="Times New Roman" w:hAnsi="Times New Roman"/>
        </w:rPr>
        <w:t>A l’occasion de la fête du trône le 30 juillet 2014, le discours de SM le Roi a réaffirmé son intérêt pour l’évaluation des politiques publiques en tant que levier stratégique pour la promotion de la responsabilité, de la tran</w:t>
      </w:r>
      <w:r>
        <w:rPr>
          <w:rFonts w:ascii="Times New Roman" w:hAnsi="Times New Roman"/>
        </w:rPr>
        <w:t xml:space="preserve">sparence et de la redevabilité dans la gestion des affaires publiques. Précisément, SM le Roi a fait observer que </w:t>
      </w:r>
      <w:r>
        <w:rPr>
          <w:rFonts w:ascii="Times New Roman" w:hAnsi="Times New Roman"/>
          <w:b/>
          <w:i/>
        </w:rPr>
        <w:t>« </w:t>
      </w:r>
      <w:r>
        <w:rPr>
          <w:rFonts w:ascii="Times New Roman" w:eastAsia="Times New Roman" w:hAnsi="Times New Roman"/>
          <w:b/>
          <w:i/>
          <w:color w:val="333333"/>
          <w:lang w:eastAsia="fr-FR"/>
        </w:rPr>
        <w:t xml:space="preserve">Le modèle de développement marocain a atteint un seuil de maturité qui nous habilite à adopter des critères avancés et plus pointus pour </w:t>
      </w:r>
      <w:r>
        <w:rPr>
          <w:rFonts w:ascii="Times New Roman" w:eastAsia="Times New Roman" w:hAnsi="Times New Roman"/>
          <w:b/>
          <w:i/>
          <w:color w:val="333333"/>
          <w:lang w:eastAsia="fr-FR"/>
        </w:rPr>
        <w:t>évaluer la pertinence des politiques publiques et la portée de leur impact effectif sur la vie des citoyens »</w:t>
      </w:r>
      <w:r>
        <w:rPr>
          <w:rFonts w:ascii="Times New Roman" w:hAnsi="Times New Roman"/>
          <w:b/>
          <w:i/>
        </w:rPr>
        <w:t xml:space="preserve">. </w:t>
      </w:r>
      <w:r>
        <w:rPr>
          <w:rFonts w:ascii="Times New Roman" w:hAnsi="Times New Roman"/>
        </w:rPr>
        <w:t>Son propos a interpellé les institutions intervenant dans le domaine de l’évaluation des politiques publiques sur la nécessité de retenir le capi</w:t>
      </w:r>
      <w:r>
        <w:rPr>
          <w:rFonts w:ascii="Times New Roman" w:hAnsi="Times New Roman"/>
        </w:rPr>
        <w:t>tal immatériel comme critère essentiel dans l’élaboration et l’évaluation des politiques publiques. Cette interpellation suppose une innovation constante des méthodologies et des outils d’évaluation des politiques publiques pour mieux rendre compte de leur</w:t>
      </w:r>
      <w:r>
        <w:rPr>
          <w:rFonts w:ascii="Times New Roman" w:hAnsi="Times New Roman"/>
        </w:rPr>
        <w:t xml:space="preserve">s retombées sur les conditions de vie des populations. </w:t>
      </w:r>
    </w:p>
    <w:p w:rsidR="00864EC1" w:rsidRDefault="00C6376C">
      <w:pPr>
        <w:jc w:val="both"/>
      </w:pPr>
      <w:r>
        <w:rPr>
          <w:rFonts w:ascii="Times New Roman" w:hAnsi="Times New Roman"/>
        </w:rPr>
        <w:t>La pertinence du programme conjoint est également justifiée par l’article 1</w:t>
      </w:r>
      <w:r>
        <w:rPr>
          <w:rFonts w:ascii="Times New Roman" w:hAnsi="Times New Roman"/>
          <w:vertAlign w:val="superscript"/>
        </w:rPr>
        <w:t>er</w:t>
      </w:r>
      <w:r>
        <w:rPr>
          <w:rFonts w:ascii="Times New Roman" w:hAnsi="Times New Roman"/>
        </w:rPr>
        <w:t xml:space="preserve"> de la constitution qui  a consacré les principes de bonne gouvernance, de responsabilité et de la reddition des comptes. C</w:t>
      </w:r>
      <w:r>
        <w:rPr>
          <w:rFonts w:ascii="Times New Roman" w:hAnsi="Times New Roman"/>
        </w:rPr>
        <w:t xml:space="preserve">es principes ont également guidé la réforme de la loi organique relative à la loi des finances publiques (LOLF) qui s’est assignée entre autres objectifs stratégiques </w:t>
      </w:r>
      <w:r>
        <w:rPr>
          <w:rFonts w:ascii="Times New Roman" w:hAnsi="Times New Roman"/>
          <w:b/>
          <w:i/>
        </w:rPr>
        <w:t>« Le renforcement de l'efficacité, l'efficience et la cohérence des politiques publiques,</w:t>
      </w:r>
      <w:r>
        <w:rPr>
          <w:rFonts w:ascii="Times New Roman" w:hAnsi="Times New Roman"/>
          <w:b/>
          <w:i/>
        </w:rPr>
        <w:t xml:space="preserve"> l'amélioration de la qualité du service public fourni au citoyen… L'amélioration de l'équilibre financier, le renforcement de la transparence des finances publiques… L'accroissement du rôle du parlement dans le contrôle financier, dans l'évaluation des po</w:t>
      </w:r>
      <w:r>
        <w:rPr>
          <w:rFonts w:ascii="Times New Roman" w:hAnsi="Times New Roman"/>
          <w:b/>
          <w:i/>
        </w:rPr>
        <w:t>litiques publiques »</w:t>
      </w:r>
      <w:r>
        <w:rPr>
          <w:rStyle w:val="Appelnotedebasdep"/>
          <w:rFonts w:ascii="Times New Roman" w:hAnsi="Times New Roman"/>
          <w:b/>
          <w:i/>
        </w:rPr>
        <w:footnoteReference w:id="5"/>
      </w:r>
      <w:r>
        <w:rPr>
          <w:rFonts w:ascii="Times New Roman" w:hAnsi="Times New Roman"/>
        </w:rPr>
        <w:t>. L’app</w:t>
      </w:r>
      <w:r>
        <w:rPr>
          <w:rFonts w:ascii="Times New Roman" w:hAnsi="Times New Roman"/>
        </w:rPr>
        <w:t>lication effective de ces principes suppose la promotion de l’évaluation des politiques publiques qui a pour objet de fournir des jugements sur l’efficacité, l’efficience et l’impact de la mise en œuvre des politiques publiques en se basant sur des données</w:t>
      </w:r>
      <w:r>
        <w:rPr>
          <w:rFonts w:ascii="Times New Roman" w:hAnsi="Times New Roman"/>
        </w:rPr>
        <w:t>, des informations et des évidences fiables. En appuyant l’ONDH, le programme conjoint a contribué au renforcement des capacités nationales en évaluation ainsi qu’à la promotion de l’évaluation des politiques publiques particulièrement des politiques socia</w:t>
      </w:r>
      <w:r>
        <w:rPr>
          <w:rFonts w:ascii="Times New Roman" w:hAnsi="Times New Roman"/>
        </w:rPr>
        <w:t xml:space="preserve">les. </w:t>
      </w:r>
    </w:p>
    <w:p w:rsidR="00864EC1" w:rsidRDefault="00C6376C">
      <w:pPr>
        <w:pStyle w:val="Titre4"/>
      </w:pPr>
      <w:r>
        <w:t xml:space="preserve">III.1.2 - Pertinence du programme conjoint par rapport aux besoins des bénéficiaires </w:t>
      </w:r>
    </w:p>
    <w:p w:rsidR="00864EC1" w:rsidRDefault="00C6376C">
      <w:pPr>
        <w:jc w:val="both"/>
        <w:rPr>
          <w:rFonts w:ascii="Times New Roman" w:hAnsi="Times New Roman"/>
        </w:rPr>
      </w:pPr>
      <w:r>
        <w:rPr>
          <w:rFonts w:ascii="Times New Roman" w:hAnsi="Times New Roman"/>
        </w:rPr>
        <w:t xml:space="preserve">L’ONDH est le principal bénéficiaire direct du programme conjoint. Mais, celui-ci vise également d’autres bénéficiaires directs notamment l’Initiative nationale de </w:t>
      </w:r>
      <w:r>
        <w:rPr>
          <w:rFonts w:ascii="Times New Roman" w:hAnsi="Times New Roman"/>
        </w:rPr>
        <w:t xml:space="preserve">développement humain (INDH), les collectivités territoriales, les ministères sociaux, les universités, les médias et le parlement. La population du Maroc est un bénéficiaire indirect du programme. </w:t>
      </w:r>
    </w:p>
    <w:p w:rsidR="00864EC1" w:rsidRDefault="00C6376C">
      <w:pPr>
        <w:jc w:val="both"/>
      </w:pPr>
      <w:r>
        <w:rPr>
          <w:rFonts w:ascii="Times New Roman" w:hAnsi="Times New Roman"/>
        </w:rPr>
        <w:t xml:space="preserve">Le programme conjoint a été jugé pertinent par rapport à </w:t>
      </w:r>
      <w:r>
        <w:rPr>
          <w:rFonts w:ascii="Times New Roman" w:hAnsi="Times New Roman"/>
        </w:rPr>
        <w:t xml:space="preserve">l’ONDH et l’INDH.  Les axes d’intervention du programme conjoint sont en parfaite cohérence avec  la mission ou le mandat et les attributions de l’ONDH. Précisément, l’ONDH a pour </w:t>
      </w:r>
      <w:r>
        <w:rPr>
          <w:rFonts w:ascii="Times New Roman" w:hAnsi="Times New Roman"/>
          <w:b/>
          <w:i/>
        </w:rPr>
        <w:t>« mission permanente d’analyser et d’évaluer l’impact des programmes de déve</w:t>
      </w:r>
      <w:r>
        <w:rPr>
          <w:rFonts w:ascii="Times New Roman" w:hAnsi="Times New Roman"/>
          <w:b/>
          <w:i/>
        </w:rPr>
        <w:t>loppement humain mis en œuvre et de proposer des mesures et des actions qui concourent à l’élaboration et la mise en œuvre de la stratégie nationale de développement humain notamment dans le cadre de l’INDH »</w:t>
      </w:r>
      <w:r>
        <w:rPr>
          <w:rStyle w:val="Appelnotedebasdep"/>
          <w:rFonts w:ascii="Times New Roman" w:hAnsi="Times New Roman"/>
          <w:b/>
          <w:i/>
        </w:rPr>
        <w:footnoteReference w:id="6"/>
      </w:r>
      <w:r>
        <w:rPr>
          <w:rFonts w:ascii="Times New Roman" w:hAnsi="Times New Roman"/>
        </w:rPr>
        <w:t xml:space="preserve">. L’objectif global du programme conjoint est </w:t>
      </w:r>
      <w:r>
        <w:rPr>
          <w:rFonts w:ascii="Times New Roman" w:hAnsi="Times New Roman"/>
          <w:b/>
          <w:i/>
        </w:rPr>
        <w:t>« d’appuyer et d’accompagner l’ONDH dans la mise en place des outils lui permettant de remplir son mandat général à t</w:t>
      </w:r>
      <w:r>
        <w:rPr>
          <w:rFonts w:ascii="Times New Roman" w:hAnsi="Times New Roman"/>
          <w:b/>
          <w:i/>
        </w:rPr>
        <w:t>ravers ses principales missions »</w:t>
      </w:r>
      <w:r>
        <w:rPr>
          <w:rFonts w:ascii="Times New Roman" w:hAnsi="Times New Roman"/>
        </w:rPr>
        <w:t xml:space="preserve">. En appuyant sur le renforcement des capacités de l’ONDH, le programme conjoint a contribué aussi au suivi et à l’évaluation de l’INDH. </w:t>
      </w:r>
    </w:p>
    <w:p w:rsidR="00864EC1" w:rsidRDefault="00C6376C">
      <w:pPr>
        <w:jc w:val="both"/>
      </w:pPr>
      <w:r>
        <w:rPr>
          <w:rFonts w:ascii="Times New Roman" w:hAnsi="Times New Roman"/>
        </w:rPr>
        <w:t>Les axes de partenariat</w:t>
      </w:r>
      <w:r>
        <w:rPr>
          <w:rStyle w:val="Appelnotedebasdep"/>
          <w:rFonts w:ascii="Times New Roman" w:hAnsi="Times New Roman"/>
        </w:rPr>
        <w:footnoteReference w:id="7"/>
      </w:r>
      <w:r>
        <w:rPr>
          <w:rFonts w:ascii="Times New Roman" w:hAnsi="Times New Roman"/>
        </w:rPr>
        <w:t xml:space="preserve"> et les trois produits du programme conjoint témoignent de sa pertinence par rapport aux ministères sociaux, au</w:t>
      </w:r>
      <w:r>
        <w:rPr>
          <w:rFonts w:ascii="Times New Roman" w:hAnsi="Times New Roman"/>
        </w:rPr>
        <w:t>x collectivités territoriales, aux universités, au média et au parlement. Les ministères ont la mission d’élaborer, de mettre en œuvre, de suivre et d’évaluer les politiques publiques susceptibles de contribuer au développement humain. Au niveau régional e</w:t>
      </w:r>
      <w:r>
        <w:rPr>
          <w:rFonts w:ascii="Times New Roman" w:hAnsi="Times New Roman"/>
        </w:rPr>
        <w:t>t communal, cette mission incombe aux collectivités territoriales. A la faveur de l’article 13 de la constitution, les universités et les médias sont désormais parties prenantes à l’élaboration, la mise en œuvre, le suivi et l’évaluation des politiques pub</w:t>
      </w:r>
      <w:r>
        <w:rPr>
          <w:rFonts w:ascii="Times New Roman" w:hAnsi="Times New Roman"/>
        </w:rPr>
        <w:t xml:space="preserve">liques. Quant au parlement, son rôle dans l’évaluation des politiques publiques a été conforté par l’article 70 de la constitution. Celui-ci stipule que </w:t>
      </w:r>
      <w:r>
        <w:rPr>
          <w:rFonts w:ascii="Times New Roman" w:hAnsi="Times New Roman"/>
          <w:b/>
          <w:i/>
        </w:rPr>
        <w:t>« Le parlement exerce le pouvoir législatif. Il vote les lois, contrôle l’action du gouvernement et éva</w:t>
      </w:r>
      <w:r>
        <w:rPr>
          <w:rFonts w:ascii="Times New Roman" w:hAnsi="Times New Roman"/>
          <w:b/>
          <w:i/>
        </w:rPr>
        <w:t>lue les politiques publiques »</w:t>
      </w:r>
      <w:r>
        <w:rPr>
          <w:rFonts w:ascii="Times New Roman" w:hAnsi="Times New Roman"/>
        </w:rPr>
        <w:t>. Pour accomplir efficacement leurs missions en matière d’évaluation des politiques publiques, ces différentes institutions ont besoin d’un renforcement des capacités sur les outils et les approches méthodologiques de l’évalua</w:t>
      </w:r>
      <w:r>
        <w:rPr>
          <w:rFonts w:ascii="Times New Roman" w:hAnsi="Times New Roman"/>
        </w:rPr>
        <w:t>tion. Elles devraient également disposer régulièrement des données, des informations et des évidences ou des preuves nécessaires pour apprécier l’efficacité, l’efficience et l’impact des politiques publiques. Le programme conjoint a apporté une réponse adé</w:t>
      </w:r>
      <w:r>
        <w:rPr>
          <w:rFonts w:ascii="Times New Roman" w:hAnsi="Times New Roman"/>
        </w:rPr>
        <w:t xml:space="preserve">quate à leurs besoins par le truchement de son appui à l’ONDH. </w:t>
      </w:r>
    </w:p>
    <w:p w:rsidR="00864EC1" w:rsidRDefault="00C6376C">
      <w:pPr>
        <w:pStyle w:val="Titre4"/>
      </w:pPr>
      <w:r>
        <w:t>III.1.3 - Pertinence du programme conjoint par rapport aux engagements internationaux et à  l’UNDAF 2012-2016</w:t>
      </w:r>
    </w:p>
    <w:p w:rsidR="00864EC1" w:rsidRDefault="00C6376C">
      <w:pPr>
        <w:jc w:val="both"/>
      </w:pPr>
      <w:r>
        <w:rPr>
          <w:rFonts w:ascii="Times New Roman" w:hAnsi="Times New Roman"/>
        </w:rPr>
        <w:t>Le Maroc avait signé la Déclaration du Millénaire qui a eu le mérite</w:t>
      </w:r>
      <w:r>
        <w:rPr>
          <w:rFonts w:ascii="Times New Roman" w:hAnsi="Times New Roman"/>
          <w:sz w:val="24"/>
          <w:szCs w:val="24"/>
        </w:rPr>
        <w:t xml:space="preserve"> de susciter u</w:t>
      </w:r>
      <w:r>
        <w:rPr>
          <w:rFonts w:ascii="Times New Roman" w:hAnsi="Times New Roman"/>
          <w:sz w:val="24"/>
          <w:szCs w:val="24"/>
        </w:rPr>
        <w:t xml:space="preserve">n regain d’intérêt pour le suivi et l’évaluation. Le pays a aussi souscrit à l’agenda 2030 qui a réaffirmé l’importance du suivi et évaluation des ODD. En effet, grâce à l’adoption de huit (8) OMD assortis de Dix-huit (18)  indicateurs et de quarante-huit </w:t>
      </w:r>
      <w:r>
        <w:rPr>
          <w:rFonts w:ascii="Times New Roman" w:hAnsi="Times New Roman"/>
          <w:sz w:val="24"/>
          <w:szCs w:val="24"/>
        </w:rPr>
        <w:t xml:space="preserve">(48) cibles, la construction des systèmes nationaux de suivi et d’évaluation performants s’est avérée nécessaire pour suivre les progrès vers l’atteinte des OMD. A ce propos, </w:t>
      </w:r>
      <w:r>
        <w:rPr>
          <w:rFonts w:ascii="Times New Roman" w:hAnsi="Times New Roman"/>
        </w:rPr>
        <w:t xml:space="preserve">la résolution 67/226 de l’Assemblée Générale des Nations Unies a exhorté </w:t>
      </w:r>
      <w:r>
        <w:rPr>
          <w:rFonts w:ascii="Times New Roman" w:hAnsi="Times New Roman"/>
          <w:b/>
          <w:i/>
        </w:rPr>
        <w:t>« les or</w:t>
      </w:r>
      <w:r>
        <w:rPr>
          <w:rFonts w:ascii="Times New Roman" w:hAnsi="Times New Roman"/>
          <w:b/>
          <w:i/>
        </w:rPr>
        <w:t>ganismes du SNU à renforcer les capacités des pays hôtes en suivi et évaluation, à promouvoir leur leadership et leur participation effective aux exercices de suivi et évaluation réalisés avec l’appui du système des Nations unies »</w:t>
      </w:r>
      <w:r>
        <w:rPr>
          <w:rStyle w:val="Appelnotedebasdep"/>
          <w:rFonts w:ascii="Times New Roman" w:hAnsi="Times New Roman"/>
          <w:b/>
          <w:i/>
        </w:rPr>
        <w:footnoteReference w:id="8"/>
      </w:r>
      <w:r>
        <w:rPr>
          <w:rFonts w:ascii="Times New Roman" w:hAnsi="Times New Roman"/>
          <w:b/>
          <w:i/>
        </w:rPr>
        <w:t>.</w:t>
      </w:r>
      <w:r>
        <w:rPr>
          <w:rFonts w:ascii="Times New Roman" w:hAnsi="Times New Roman"/>
        </w:rPr>
        <w:t xml:space="preserve"> Les résolutions 59/25 et 62/208 ont égaleme</w:t>
      </w:r>
      <w:r>
        <w:rPr>
          <w:rFonts w:ascii="Times New Roman" w:hAnsi="Times New Roman"/>
        </w:rPr>
        <w:t xml:space="preserve">nt encouragé les organismes des Nations Unies </w:t>
      </w:r>
      <w:r>
        <w:rPr>
          <w:rFonts w:ascii="Times New Roman" w:hAnsi="Times New Roman"/>
          <w:b/>
          <w:i/>
        </w:rPr>
        <w:t>« à intensifier leurs activités d’évaluation en s’intéressant spécialement aux résultats obtenus en matière de développement grâce à une bonne utilisation de la matrice des résultats du Plan Cadre des Nations U</w:t>
      </w:r>
      <w:r>
        <w:rPr>
          <w:rFonts w:ascii="Times New Roman" w:hAnsi="Times New Roman"/>
          <w:b/>
          <w:i/>
        </w:rPr>
        <w:t>nies pour l’Aide au Développement (Sigle anglais UNDAF) »</w:t>
      </w:r>
      <w:r>
        <w:rPr>
          <w:rFonts w:ascii="Times New Roman" w:hAnsi="Times New Roman"/>
        </w:rPr>
        <w:t xml:space="preserve">. </w:t>
      </w:r>
    </w:p>
    <w:p w:rsidR="00864EC1" w:rsidRDefault="00C6376C">
      <w:pPr>
        <w:pStyle w:val="Default"/>
        <w:jc w:val="both"/>
      </w:pPr>
      <w:r>
        <w:rPr>
          <w:sz w:val="22"/>
          <w:szCs w:val="22"/>
        </w:rPr>
        <w:t>A la lumière du bilan de la mise en œuvre, du suivi et de l’évaluation des OMD, l’agenda 2030 adopté par l’Assemblée générale des Nations Unies lors de sa  70</w:t>
      </w:r>
      <w:r>
        <w:rPr>
          <w:sz w:val="22"/>
          <w:szCs w:val="22"/>
          <w:vertAlign w:val="superscript"/>
        </w:rPr>
        <w:t>ème</w:t>
      </w:r>
      <w:r>
        <w:rPr>
          <w:sz w:val="22"/>
          <w:szCs w:val="22"/>
        </w:rPr>
        <w:t xml:space="preserve"> session a souligné l’importance du</w:t>
      </w:r>
      <w:r>
        <w:rPr>
          <w:sz w:val="22"/>
          <w:szCs w:val="22"/>
        </w:rPr>
        <w:t xml:space="preserve"> suivi et évaluation des ODD. Il indique que </w:t>
      </w:r>
      <w:r>
        <w:rPr>
          <w:b/>
          <w:i/>
          <w:sz w:val="22"/>
          <w:szCs w:val="22"/>
        </w:rPr>
        <w:t>« C’est à nos gouvernements qu’incombe au premier chef la responsabilité d’assurer le suivi et l’examen, aux plans national, régional et mondial, des progrès accomplis dans la réalisation des objectifs et cibles</w:t>
      </w:r>
      <w:r>
        <w:rPr>
          <w:b/>
          <w:i/>
          <w:sz w:val="22"/>
          <w:szCs w:val="22"/>
        </w:rPr>
        <w:t xml:space="preserve"> au cours des 15 prochaines années »</w:t>
      </w:r>
      <w:r>
        <w:rPr>
          <w:b/>
          <w:i/>
          <w:sz w:val="20"/>
          <w:szCs w:val="20"/>
        </w:rPr>
        <w:t>.</w:t>
      </w:r>
      <w:r>
        <w:rPr>
          <w:sz w:val="20"/>
          <w:szCs w:val="20"/>
        </w:rPr>
        <w:t xml:space="preserve"> </w:t>
      </w:r>
      <w:r>
        <w:rPr>
          <w:sz w:val="22"/>
          <w:szCs w:val="22"/>
        </w:rPr>
        <w:t>En définitive, ces engagements internationaux</w:t>
      </w:r>
      <w:r>
        <w:rPr>
          <w:sz w:val="20"/>
          <w:szCs w:val="20"/>
        </w:rPr>
        <w:t xml:space="preserve"> </w:t>
      </w:r>
      <w:r>
        <w:t xml:space="preserve">requièrent donc l’application systématique des méthodes de suivi et évaluation à l’échelle du système, la promotion des méthodes communes en matière d’évaluation y compris </w:t>
      </w:r>
      <w:r>
        <w:t xml:space="preserve">des évaluations communes, l’harmonisation et la simplification des méthodes, des normes et des cycles d’évaluation. </w:t>
      </w:r>
    </w:p>
    <w:p w:rsidR="00864EC1" w:rsidRDefault="00864EC1">
      <w:pPr>
        <w:pStyle w:val="Default"/>
        <w:jc w:val="both"/>
        <w:rPr>
          <w:sz w:val="20"/>
          <w:szCs w:val="20"/>
        </w:rPr>
      </w:pPr>
    </w:p>
    <w:p w:rsidR="00864EC1" w:rsidRDefault="00C6376C">
      <w:pPr>
        <w:jc w:val="both"/>
      </w:pPr>
      <w:r>
        <w:rPr>
          <w:rFonts w:ascii="Times New Roman" w:hAnsi="Times New Roman"/>
        </w:rPr>
        <w:t xml:space="preserve">En appuyant le développement des capacités de l’ONDH, le programme conjoint a contribué à l’application des résolutions citées plus haut  </w:t>
      </w:r>
      <w:r>
        <w:rPr>
          <w:rFonts w:ascii="Times New Roman" w:hAnsi="Times New Roman"/>
        </w:rPr>
        <w:t>et à la mise en place des conditions nécessaires pour le suivi et l’évaluation des ODD</w:t>
      </w:r>
      <w:r>
        <w:rPr>
          <w:rStyle w:val="Appelnotedebasdep"/>
          <w:rFonts w:ascii="Times New Roman" w:hAnsi="Times New Roman"/>
        </w:rPr>
        <w:footnoteReference w:id="9"/>
      </w:r>
      <w:r>
        <w:rPr>
          <w:rFonts w:ascii="Times New Roman" w:hAnsi="Times New Roman"/>
        </w:rPr>
        <w:t>. En effet, le programme conjoint a été jugé pertinent en raison de son alignement à l’UNDAF 2012-2016 qui a permis aux Nations unies d’apporter une contribution significative aux progrès enregistrés vers l’atteinte des OMD. Préci</w:t>
      </w:r>
      <w:r>
        <w:rPr>
          <w:rFonts w:ascii="Times New Roman" w:hAnsi="Times New Roman"/>
        </w:rPr>
        <w:t xml:space="preserve">sément, comme on l’a montré plus haut, le programme conjoint est aligné aux effets 3 et 4, aux produits 3.1, 3.4, 4.1 et 4.2 de l’UNDAF 2012-2016. </w:t>
      </w:r>
    </w:p>
    <w:p w:rsidR="00864EC1" w:rsidRDefault="00C6376C">
      <w:pPr>
        <w:jc w:val="both"/>
        <w:rPr>
          <w:rFonts w:ascii="Times New Roman" w:hAnsi="Times New Roman"/>
        </w:rPr>
      </w:pPr>
      <w:r>
        <w:rPr>
          <w:rFonts w:ascii="Times New Roman" w:hAnsi="Times New Roman"/>
        </w:rPr>
        <w:t>Le programme conjoint a contribué au renforcement  des capacités  de l’ONDH dans la conception  et l’utilisa</w:t>
      </w:r>
      <w:r>
        <w:rPr>
          <w:rFonts w:ascii="Times New Roman" w:hAnsi="Times New Roman"/>
        </w:rPr>
        <w:t>tion des outils et des méthodologies innovantes pour la production des données fiables et des connaissances utiles pour l’analyse et l’évaluation des politiques publiques. L’enquête panel ménages est la principale source des données pour le suivi et l’éval</w:t>
      </w:r>
      <w:r>
        <w:rPr>
          <w:rFonts w:ascii="Times New Roman" w:hAnsi="Times New Roman"/>
        </w:rPr>
        <w:t>uation de l’INDH. Elle fournit également des données pour le suivi des OMD. A ce propos, l’ONDH a pris une part active  dans l’élaboration du rapport national de suivi des OMD. Au cours des entretiens, le ministère de l’éducation et les universités ont aff</w:t>
      </w:r>
      <w:r>
        <w:rPr>
          <w:rFonts w:ascii="Times New Roman" w:hAnsi="Times New Roman"/>
        </w:rPr>
        <w:t xml:space="preserve">irmé qu’ils ont souvent recours à l’enquête panel ménages, aux études et enquêtes publiées par l’ONDH pour recueillir les données nécessaires et fiables pour l’élaboration et l’évaluation des politiques publiques, la réalisation des travaux de recherche. </w:t>
      </w:r>
    </w:p>
    <w:p w:rsidR="00864EC1" w:rsidRDefault="00C6376C">
      <w:pPr>
        <w:pStyle w:val="Titre3"/>
      </w:pPr>
      <w:bookmarkStart w:id="44" w:name="_Toc451442680"/>
      <w:bookmarkStart w:id="45" w:name="_Toc451652741"/>
      <w:bookmarkStart w:id="46" w:name="_Toc451653143"/>
      <w:r>
        <w:t>III.2  - Performances de la mise en œuvre du programme conjoint</w:t>
      </w:r>
      <w:bookmarkEnd w:id="44"/>
      <w:bookmarkEnd w:id="45"/>
      <w:bookmarkEnd w:id="46"/>
    </w:p>
    <w:p w:rsidR="00864EC1" w:rsidRDefault="00C6376C">
      <w:pPr>
        <w:jc w:val="both"/>
        <w:rPr>
          <w:rFonts w:ascii="Times New Roman" w:hAnsi="Times New Roman"/>
        </w:rPr>
      </w:pPr>
      <w:r>
        <w:rPr>
          <w:rFonts w:ascii="Times New Roman" w:hAnsi="Times New Roman"/>
        </w:rPr>
        <w:t xml:space="preserve">Les performances de la mise en œuvre du programme conjoint ont été appréciées au moyen des critères d’efficacité et d’efficience. </w:t>
      </w:r>
    </w:p>
    <w:p w:rsidR="00864EC1" w:rsidRDefault="00C6376C">
      <w:pPr>
        <w:pStyle w:val="Titre4"/>
      </w:pPr>
      <w:r>
        <w:t>III.2.1 -  Efficacité de la mise en œuvre du programme conjoi</w:t>
      </w:r>
      <w:r>
        <w:t>nt</w:t>
      </w:r>
    </w:p>
    <w:p w:rsidR="00864EC1" w:rsidRDefault="00C6376C">
      <w:pPr>
        <w:suppressAutoHyphens w:val="0"/>
        <w:autoSpaceDE w:val="0"/>
        <w:spacing w:after="0" w:line="240" w:lineRule="auto"/>
        <w:jc w:val="both"/>
        <w:textAlignment w:val="auto"/>
      </w:pPr>
      <w:r>
        <w:rPr>
          <w:rFonts w:ascii="Times New Roman" w:hAnsi="Times New Roman"/>
        </w:rPr>
        <w:t xml:space="preserve">L’analyse de l’efficacité a consisté à répondre aux principales questions et aux sous questions évaluatives suivantes : </w:t>
      </w:r>
      <w:r>
        <w:rPr>
          <w:rFonts w:ascii="Times New Roman" w:hAnsi="Times New Roman"/>
          <w:i/>
        </w:rPr>
        <w:t xml:space="preserve">Dans quelle mesure les résultats escomptés du projet ont-ils été atteints ? </w:t>
      </w:r>
      <w:r>
        <w:rPr>
          <w:rFonts w:ascii="Times New Roman" w:eastAsia="Times New Roman" w:hAnsi="Times New Roman"/>
          <w:i/>
          <w:color w:val="303030"/>
          <w:lang w:eastAsia="fr-FR"/>
        </w:rPr>
        <w:t>Quel est le degré de réalisation des résultats ciblés ? D</w:t>
      </w:r>
      <w:r>
        <w:rPr>
          <w:rFonts w:ascii="Times New Roman" w:eastAsia="Times New Roman" w:hAnsi="Times New Roman"/>
          <w:i/>
          <w:color w:val="303030"/>
          <w:lang w:eastAsia="fr-FR"/>
        </w:rPr>
        <w:t>ans quelle mesure ce programme a contribué (ou contribuera) dans la réalisation des effets initialement définis ? Quels sont les niveaux d’utilisation et d’efficacité des services offerts (Formations, études, ateliers de concertation, évaluation des politi</w:t>
      </w:r>
      <w:r>
        <w:rPr>
          <w:rFonts w:ascii="Times New Roman" w:eastAsia="Times New Roman" w:hAnsi="Times New Roman"/>
          <w:i/>
          <w:color w:val="303030"/>
          <w:lang w:eastAsia="fr-FR"/>
        </w:rPr>
        <w:t>ques publiques) ? Le programme fait il preuve d’une bonne capacité d’adaptation ?</w:t>
      </w:r>
    </w:p>
    <w:p w:rsidR="00864EC1" w:rsidRDefault="00864EC1">
      <w:pPr>
        <w:suppressAutoHyphens w:val="0"/>
        <w:autoSpaceDE w:val="0"/>
        <w:spacing w:after="0" w:line="240" w:lineRule="auto"/>
        <w:jc w:val="both"/>
        <w:textAlignment w:val="auto"/>
        <w:rPr>
          <w:rFonts w:ascii="Times New Roman" w:eastAsia="Times New Roman" w:hAnsi="Times New Roman"/>
          <w:i/>
          <w:color w:val="303030"/>
          <w:lang w:eastAsia="fr-FR"/>
        </w:rPr>
      </w:pPr>
    </w:p>
    <w:p w:rsidR="00864EC1" w:rsidRDefault="00C6376C">
      <w:pPr>
        <w:suppressAutoHyphens w:val="0"/>
        <w:autoSpaceDE w:val="0"/>
        <w:spacing w:after="0" w:line="240" w:lineRule="auto"/>
        <w:jc w:val="both"/>
        <w:textAlignment w:val="auto"/>
      </w:pPr>
      <w:r>
        <w:rPr>
          <w:rFonts w:ascii="Times New Roman" w:eastAsia="Times New Roman" w:hAnsi="Times New Roman"/>
          <w:color w:val="303030"/>
          <w:lang w:eastAsia="fr-FR"/>
        </w:rPr>
        <w:t>Le taux de réalisation des cibles annuelles est l’indicateur qui a été utilisé pour apprécier les progrès enregistrés vers la réalisation des produits. Comme on l’a déjà ind</w:t>
      </w:r>
      <w:r>
        <w:rPr>
          <w:rFonts w:ascii="Times New Roman" w:eastAsia="Times New Roman" w:hAnsi="Times New Roman"/>
          <w:color w:val="303030"/>
          <w:lang w:eastAsia="fr-FR"/>
        </w:rPr>
        <w:t xml:space="preserve">iqué plus haut, </w:t>
      </w:r>
      <w:r>
        <w:rPr>
          <w:rFonts w:ascii="Times New Roman" w:hAnsi="Times New Roman"/>
        </w:rPr>
        <w:t xml:space="preserve">l’échelle de notation  proposée dans les Tdr a été utilisée pour porter un jugement de valeurs sur l’efficacité. </w:t>
      </w:r>
      <w:r>
        <w:rPr>
          <w:rFonts w:ascii="Times New Roman" w:hAnsi="Times New Roman"/>
          <w:b/>
        </w:rPr>
        <w:t xml:space="preserve">Le modèle de Tanahashi </w:t>
      </w:r>
      <w:r>
        <w:rPr>
          <w:rFonts w:ascii="Times New Roman" w:hAnsi="Times New Roman"/>
        </w:rPr>
        <w:t>a été convoqué pour apprécier l’atteinte des cibles annuelles en termes d’amélioration de la disponibili</w:t>
      </w:r>
      <w:r>
        <w:rPr>
          <w:rFonts w:ascii="Times New Roman" w:hAnsi="Times New Roman"/>
        </w:rPr>
        <w:t>té, l’accessibilité, l’utilisation et la qualité des services de l’ONDH</w:t>
      </w:r>
      <w:r>
        <w:rPr>
          <w:rFonts w:ascii="Times New Roman" w:hAnsi="Times New Roman"/>
          <w:b/>
          <w:i/>
        </w:rPr>
        <w:t>.</w:t>
      </w:r>
    </w:p>
    <w:p w:rsidR="00864EC1" w:rsidRDefault="00864EC1">
      <w:pPr>
        <w:suppressAutoHyphens w:val="0"/>
        <w:autoSpaceDE w:val="0"/>
        <w:spacing w:after="0" w:line="240" w:lineRule="auto"/>
        <w:textAlignment w:val="auto"/>
      </w:pPr>
    </w:p>
    <w:p w:rsidR="00864EC1" w:rsidRDefault="00C6376C">
      <w:pPr>
        <w:suppressAutoHyphens w:val="0"/>
        <w:autoSpaceDE w:val="0"/>
        <w:spacing w:after="0" w:line="240" w:lineRule="auto"/>
        <w:jc w:val="both"/>
        <w:textAlignment w:val="auto"/>
        <w:rPr>
          <w:rFonts w:ascii="Times New Roman" w:hAnsi="Times New Roman"/>
          <w:b/>
        </w:rPr>
      </w:pPr>
      <w:r>
        <w:rPr>
          <w:rFonts w:ascii="Times New Roman" w:hAnsi="Times New Roman"/>
          <w:b/>
        </w:rPr>
        <w:t xml:space="preserve">Graphique 1 : Progrès enregistrés vers l’atteinte des cibles annuelles des produits </w:t>
      </w:r>
    </w:p>
    <w:p w:rsidR="00864EC1" w:rsidRDefault="00864EC1">
      <w:pPr>
        <w:suppressAutoHyphens w:val="0"/>
        <w:autoSpaceDE w:val="0"/>
        <w:spacing w:after="0" w:line="240" w:lineRule="auto"/>
        <w:jc w:val="both"/>
        <w:textAlignment w:val="auto"/>
        <w:rPr>
          <w:rFonts w:ascii="Times New Roman" w:hAnsi="Times New Roman"/>
          <w:b/>
        </w:rPr>
      </w:pPr>
    </w:p>
    <w:p w:rsidR="00864EC1" w:rsidRDefault="00864EC1">
      <w:pPr>
        <w:suppressAutoHyphens w:val="0"/>
        <w:autoSpaceDE w:val="0"/>
        <w:spacing w:after="0" w:line="240" w:lineRule="auto"/>
        <w:jc w:val="both"/>
        <w:textAlignment w:val="auto"/>
      </w:pPr>
    </w:p>
    <w:p w:rsidR="00864EC1" w:rsidRDefault="00C6376C">
      <w:pPr>
        <w:suppressAutoHyphens w:val="0"/>
        <w:autoSpaceDE w:val="0"/>
        <w:spacing w:after="0" w:line="240" w:lineRule="auto"/>
        <w:jc w:val="both"/>
        <w:textAlignment w:val="auto"/>
      </w:pPr>
      <w:r>
        <w:rPr>
          <w:noProof/>
          <w:lang w:eastAsia="fr-FR"/>
        </w:rPr>
        <w:drawing>
          <wp:inline distT="0" distB="0" distL="0" distR="0">
            <wp:extent cx="5343525" cy="3019421"/>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t xml:space="preserve"> </w:t>
      </w:r>
    </w:p>
    <w:p w:rsidR="00864EC1" w:rsidRDefault="00864EC1">
      <w:pPr>
        <w:suppressAutoHyphens w:val="0"/>
        <w:autoSpaceDE w:val="0"/>
        <w:spacing w:after="0" w:line="240" w:lineRule="auto"/>
        <w:textAlignment w:val="auto"/>
      </w:pPr>
    </w:p>
    <w:p w:rsidR="00864EC1" w:rsidRDefault="00864EC1">
      <w:pPr>
        <w:suppressAutoHyphens w:val="0"/>
        <w:autoSpaceDE w:val="0"/>
        <w:spacing w:after="0" w:line="240" w:lineRule="auto"/>
        <w:jc w:val="both"/>
        <w:textAlignment w:val="auto"/>
        <w:rPr>
          <w:rFonts w:ascii="Times New Roman" w:hAnsi="Times New Roman"/>
        </w:rPr>
      </w:pPr>
    </w:p>
    <w:p w:rsidR="00864EC1" w:rsidRDefault="00C6376C">
      <w:pPr>
        <w:suppressAutoHyphens w:val="0"/>
        <w:autoSpaceDE w:val="0"/>
        <w:spacing w:after="0" w:line="240" w:lineRule="auto"/>
        <w:jc w:val="both"/>
        <w:textAlignment w:val="auto"/>
        <w:sectPr w:rsidR="00864EC1">
          <w:footerReference w:type="default" r:id="rId40"/>
          <w:pgSz w:w="11906" w:h="16838"/>
          <w:pgMar w:top="1387" w:right="1387" w:bottom="1387" w:left="1387" w:header="690" w:footer="690" w:gutter="0"/>
          <w:cols w:space="720"/>
        </w:sectPr>
      </w:pPr>
      <w:r>
        <w:rPr>
          <w:rFonts w:ascii="Times New Roman" w:hAnsi="Times New Roman"/>
        </w:rPr>
        <w:t xml:space="preserve">Le graphique ci-dessus montre que </w:t>
      </w:r>
      <w:r>
        <w:rPr>
          <w:rFonts w:ascii="Times New Roman" w:hAnsi="Times New Roman"/>
          <w:b/>
          <w:i/>
        </w:rPr>
        <w:t xml:space="preserve">la mise en œuvre du programme conjoint  a été efficace </w:t>
      </w:r>
      <w:r>
        <w:rPr>
          <w:rFonts w:ascii="Times New Roman" w:hAnsi="Times New Roman"/>
          <w:b/>
          <w:i/>
        </w:rPr>
        <w:t>et très satisfaisante pour les trois produits.</w:t>
      </w:r>
      <w:r>
        <w:rPr>
          <w:rFonts w:ascii="Times New Roman" w:hAnsi="Times New Roman"/>
        </w:rPr>
        <w:t xml:space="preserve">  Le document de programme affiche 45 cibles annuelles de produits. Mais, l’analyse de l’efficacité s’est basée sur 39 cibles sélectionnées en tenant compte des modifications introduites par la revue interne.  </w:t>
      </w:r>
      <w:r>
        <w:rPr>
          <w:rFonts w:ascii="Times New Roman" w:hAnsi="Times New Roman"/>
        </w:rPr>
        <w:t>Le taux de réalisation global des cibles a été estimé à 85% à la fin de l’année 2015. Mais, en ce qui concerne les cibles partiellement atteintes, les tendances constatées permettent d’affirmer qu’elles seront atteintes au plus tard la fin de l’année 2016.</w:t>
      </w:r>
      <w:r>
        <w:rPr>
          <w:rFonts w:ascii="Times New Roman" w:hAnsi="Times New Roman"/>
        </w:rPr>
        <w:t xml:space="preserve"> La plupart de ces cibles concernent les études et les enquêtes en cours. En ce qui concerne les taux de réalisation des trois produits, il convient de signaler que le produit 2 a enregistré le taux le plus élevé soit 93%. Les produits 1 et 3 ont enregistr</w:t>
      </w:r>
      <w:r>
        <w:rPr>
          <w:rFonts w:ascii="Times New Roman" w:hAnsi="Times New Roman"/>
        </w:rPr>
        <w:t xml:space="preserve">é respectivement  77% et 83%. Le tableau 1 ci-après fournit des informations détaillées sur les progrès réalisés vers l’atteinte des cibles des produits du programme conjoint. </w:t>
      </w:r>
    </w:p>
    <w:p w:rsidR="00864EC1" w:rsidRDefault="00C6376C">
      <w:pPr>
        <w:rPr>
          <w:rFonts w:ascii="Times New Roman" w:hAnsi="Times New Roman"/>
          <w:b/>
        </w:rPr>
      </w:pPr>
      <w:r>
        <w:rPr>
          <w:rFonts w:ascii="Times New Roman" w:hAnsi="Times New Roman"/>
          <w:b/>
        </w:rPr>
        <w:t xml:space="preserve">Tableau 1 : Progrès vers l’atteinte des produits escomptés (Fin année 2015) </w:t>
      </w:r>
    </w:p>
    <w:tbl>
      <w:tblPr>
        <w:tblW w:w="14459" w:type="dxa"/>
        <w:tblInd w:w="108" w:type="dxa"/>
        <w:tblCellMar>
          <w:left w:w="10" w:type="dxa"/>
          <w:right w:w="10" w:type="dxa"/>
        </w:tblCellMar>
        <w:tblLook w:val="04A0" w:firstRow="1" w:lastRow="0" w:firstColumn="1" w:lastColumn="0" w:noHBand="0" w:noVBand="1"/>
      </w:tblPr>
      <w:tblGrid>
        <w:gridCol w:w="2552"/>
        <w:gridCol w:w="2126"/>
        <w:gridCol w:w="5528"/>
        <w:gridCol w:w="2694"/>
        <w:gridCol w:w="1559"/>
      </w:tblGrid>
      <w:tr w:rsidR="00864EC1">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In</w:t>
            </w:r>
            <w:r>
              <w:rPr>
                <w:rFonts w:ascii="Times New Roman" w:hAnsi="Times New Roman"/>
                <w:b/>
                <w:sz w:val="20"/>
                <w:szCs w:val="20"/>
              </w:rPr>
              <w:t>dicateurs</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Situation de référence</w:t>
            </w:r>
          </w:p>
        </w:tc>
        <w:tc>
          <w:tcPr>
            <w:tcW w:w="55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Cibles annuelles (2012-2015)</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Réalisations</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Notation (Pas atteint, partiellement atteint, Atteint)</w:t>
            </w:r>
          </w:p>
        </w:tc>
      </w:tr>
      <w:tr w:rsidR="00864EC1">
        <w:tblPrEx>
          <w:tblCellMar>
            <w:top w:w="0" w:type="dxa"/>
            <w:bottom w:w="0" w:type="dxa"/>
          </w:tblCellMar>
        </w:tblPrEx>
        <w:tc>
          <w:tcPr>
            <w:tcW w:w="144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sz w:val="20"/>
                <w:szCs w:val="20"/>
              </w:rPr>
            </w:pPr>
            <w:r>
              <w:rPr>
                <w:rFonts w:ascii="Times New Roman" w:hAnsi="Times New Roman"/>
                <w:b/>
                <w:sz w:val="20"/>
                <w:szCs w:val="20"/>
              </w:rPr>
              <w:t xml:space="preserve">Produit 1 : Les outils de veille stratégique sont développées, mis en œuvre et opérationnels au niveau régional et </w:t>
            </w:r>
            <w:r>
              <w:rPr>
                <w:rFonts w:ascii="Times New Roman" w:hAnsi="Times New Roman"/>
                <w:b/>
                <w:sz w:val="20"/>
                <w:szCs w:val="20"/>
              </w:rPr>
              <w:t xml:space="preserve">territorial pour un meilleur ciblage de la population </w:t>
            </w:r>
          </w:p>
        </w:tc>
      </w:tr>
      <w:tr w:rsidR="00864EC1">
        <w:tblPrEx>
          <w:tblCellMar>
            <w:top w:w="0" w:type="dxa"/>
            <w:bottom w:w="0" w:type="dxa"/>
          </w:tblCellMar>
        </w:tblPrEx>
        <w:trPr>
          <w:trHeight w:val="645"/>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sz w:val="20"/>
                <w:szCs w:val="20"/>
              </w:rPr>
            </w:pPr>
            <w:r>
              <w:rPr>
                <w:rFonts w:ascii="Times New Roman" w:hAnsi="Times New Roman"/>
                <w:b/>
                <w:sz w:val="20"/>
                <w:szCs w:val="20"/>
              </w:rPr>
              <w:t xml:space="preserve">Nombre de régions disposant des Systèmes d’information territorial opérationnel (SIT)*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0 (Inexistence d’outils de veille stratégique au niveau local et régional)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Une région (Première région testée et</w:t>
            </w:r>
            <w:r>
              <w:rPr>
                <w:rFonts w:ascii="Times New Roman" w:hAnsi="Times New Roman"/>
                <w:b/>
                <w:i/>
                <w:sz w:val="20"/>
                <w:szCs w:val="20"/>
              </w:rPr>
              <w:t xml:space="preserve"> validée et Système d’information territorial (SIT) conçu et opérationnel) (2012)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SIT dans la région de Meknès Tafilalet mis en place et opérationnel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Atteint </w:t>
            </w:r>
          </w:p>
        </w:tc>
      </w:tr>
      <w:tr w:rsidR="00864EC1">
        <w:tblPrEx>
          <w:tblCellMar>
            <w:top w:w="0" w:type="dxa"/>
            <w:bottom w:w="0" w:type="dxa"/>
          </w:tblCellMar>
        </w:tblPrEx>
        <w:trPr>
          <w:trHeight w:val="645"/>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2 à 3 tables rondes organisées et rapports finaux et de synthèse diffusés (2013)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20 </w:t>
            </w:r>
            <w:r>
              <w:rPr>
                <w:rFonts w:ascii="Times New Roman" w:hAnsi="Times New Roman"/>
                <w:b/>
                <w:i/>
                <w:sz w:val="20"/>
                <w:szCs w:val="20"/>
              </w:rPr>
              <w:t xml:space="preserve">rencontres sur les SIT dans 3 régions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Atteint </w:t>
            </w:r>
          </w:p>
        </w:tc>
      </w:tr>
      <w:tr w:rsidR="00864EC1">
        <w:tblPrEx>
          <w:tblCellMar>
            <w:top w:w="0" w:type="dxa"/>
            <w:bottom w:w="0" w:type="dxa"/>
          </w:tblCellMar>
        </w:tblPrEx>
        <w:trPr>
          <w:trHeight w:val="645"/>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Extension du ST dans les autres régions appuyée (2013)</w:t>
            </w:r>
          </w:p>
          <w:p w:rsidR="00864EC1" w:rsidRDefault="00864EC1">
            <w:pPr>
              <w:spacing w:after="0" w:line="240" w:lineRule="auto"/>
              <w:rPr>
                <w:rFonts w:ascii="Times New Roman" w:hAnsi="Times New Roman"/>
                <w:b/>
                <w: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Extension du SITdans 3 régions : Tanger –Tétouan, Taza-Al-Hoceima, Touanate et l’Oriental)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Atteint </w:t>
            </w:r>
          </w:p>
        </w:tc>
      </w:tr>
      <w:tr w:rsidR="00864EC1">
        <w:tblPrEx>
          <w:tblCellMar>
            <w:top w:w="0" w:type="dxa"/>
            <w:bottom w:w="0" w:type="dxa"/>
          </w:tblCellMar>
        </w:tblPrEx>
        <w:trPr>
          <w:trHeight w:val="600"/>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Système d’information de l’INDH amélioré dans </w:t>
            </w:r>
            <w:r>
              <w:rPr>
                <w:rFonts w:ascii="Times New Roman" w:hAnsi="Times New Roman"/>
                <w:b/>
                <w:i/>
                <w:sz w:val="20"/>
                <w:szCs w:val="20"/>
              </w:rPr>
              <w:t>une région (2013)</w:t>
            </w:r>
          </w:p>
          <w:p w:rsidR="00864EC1" w:rsidRDefault="00864EC1">
            <w:pPr>
              <w:spacing w:after="0" w:line="240" w:lineRule="auto"/>
              <w:rPr>
                <w:rFonts w:ascii="Times New Roman" w:hAnsi="Times New Roman"/>
                <w:b/>
                <w: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Action supprimée dans le programme (Cf. rapport 2013)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w:t>
            </w:r>
          </w:p>
        </w:tc>
      </w:tr>
      <w:tr w:rsidR="00864EC1">
        <w:tblPrEx>
          <w:tblCellMar>
            <w:top w:w="0" w:type="dxa"/>
            <w:bottom w:w="0" w:type="dxa"/>
          </w:tblCellMar>
        </w:tblPrEx>
        <w:trPr>
          <w:trHeight w:val="645"/>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1 rapport analytique des régions touchées par le SIT publié (2014) </w:t>
            </w:r>
          </w:p>
          <w:p w:rsidR="00864EC1" w:rsidRDefault="00864EC1">
            <w:pPr>
              <w:spacing w:after="0" w:line="240" w:lineRule="auto"/>
              <w:rPr>
                <w:rFonts w:ascii="Times New Roman" w:hAnsi="Times New Roman"/>
                <w:b/>
                <w: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rapport analytique de la région Meknès-Tafilalet touchée par le SITen cours d’élaboration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Atteint </w:t>
            </w:r>
          </w:p>
        </w:tc>
      </w:tr>
      <w:tr w:rsidR="00864EC1">
        <w:tblPrEx>
          <w:tblCellMar>
            <w:top w:w="0" w:type="dxa"/>
            <w:bottom w:w="0" w:type="dxa"/>
          </w:tblCellMar>
        </w:tblPrEx>
        <w:trPr>
          <w:trHeight w:val="435"/>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1 </w:t>
            </w:r>
            <w:r>
              <w:rPr>
                <w:rFonts w:ascii="Times New Roman" w:hAnsi="Times New Roman"/>
                <w:b/>
                <w:i/>
                <w:sz w:val="20"/>
                <w:szCs w:val="20"/>
              </w:rPr>
              <w:t xml:space="preserve">Atlas sur le développement humain publié (2014)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Atlas engagé en 2014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Atteint partiellement en 2014</w:t>
            </w:r>
          </w:p>
        </w:tc>
      </w:tr>
      <w:tr w:rsidR="00864EC1">
        <w:tblPrEx>
          <w:tblCellMar>
            <w:top w:w="0" w:type="dxa"/>
            <w:bottom w:w="0" w:type="dxa"/>
          </w:tblCellMar>
        </w:tblPrEx>
        <w:trPr>
          <w:trHeight w:val="645"/>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3 régions initient un SIT (Fès-Boulmane, Chaouia-Ouerdigha, Doukhala-Abda) (2015)</w:t>
            </w:r>
          </w:p>
          <w:p w:rsidR="00864EC1" w:rsidRDefault="00864EC1">
            <w:pPr>
              <w:spacing w:after="0" w:line="240" w:lineRule="auto"/>
              <w:rPr>
                <w:rFonts w:ascii="Times New Roman" w:hAnsi="Times New Roman"/>
                <w:b/>
                <w: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Extension initiée dans 16 régions et préfectures (7 régions sur 12 </w:t>
            </w:r>
            <w:r>
              <w:rPr>
                <w:rFonts w:ascii="Times New Roman" w:hAnsi="Times New Roman"/>
                <w:b/>
                <w:i/>
                <w:sz w:val="20"/>
                <w:szCs w:val="20"/>
              </w:rPr>
              <w:t>selon le nouveau découpage)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Atteint </w:t>
            </w:r>
          </w:p>
        </w:tc>
      </w:tr>
    </w:tbl>
    <w:p w:rsidR="00864EC1" w:rsidRDefault="00864EC1">
      <w:pPr>
        <w:pageBreakBefore/>
      </w:pPr>
    </w:p>
    <w:tbl>
      <w:tblPr>
        <w:tblW w:w="14459" w:type="dxa"/>
        <w:tblInd w:w="108" w:type="dxa"/>
        <w:tblCellMar>
          <w:left w:w="10" w:type="dxa"/>
          <w:right w:w="10" w:type="dxa"/>
        </w:tblCellMar>
        <w:tblLook w:val="04A0" w:firstRow="1" w:lastRow="0" w:firstColumn="1" w:lastColumn="0" w:noHBand="0" w:noVBand="1"/>
      </w:tblPr>
      <w:tblGrid>
        <w:gridCol w:w="2552"/>
        <w:gridCol w:w="2126"/>
        <w:gridCol w:w="4820"/>
        <w:gridCol w:w="3402"/>
        <w:gridCol w:w="1559"/>
      </w:tblGrid>
      <w:tr w:rsidR="00864EC1">
        <w:tblPrEx>
          <w:tblCellMar>
            <w:top w:w="0" w:type="dxa"/>
            <w:bottom w:w="0" w:type="dxa"/>
          </w:tblCellMar>
        </w:tblPrEx>
        <w:trPr>
          <w:trHeight w:val="472"/>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Régularité de la mise à jour du Système d’information  (SI) Al Bacharia</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Les données et outils existants sont rares aux niveaux local et régional, et quand ils existent, ils sont sectoriels et épars, ne permettant pas </w:t>
            </w:r>
            <w:r>
              <w:rPr>
                <w:rFonts w:ascii="Times New Roman" w:hAnsi="Times New Roman"/>
                <w:b/>
                <w:i/>
                <w:sz w:val="20"/>
                <w:szCs w:val="20"/>
              </w:rPr>
              <w:t>des analyses du DH au niveau local</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Finalisation du glossaire (2012)</w:t>
            </w:r>
          </w:p>
          <w:p w:rsidR="00864EC1" w:rsidRDefault="00864EC1">
            <w:pPr>
              <w:spacing w:after="0" w:line="240" w:lineRule="auto"/>
              <w:rPr>
                <w:rFonts w:ascii="Times New Roman" w:hAnsi="Times New Roman"/>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Information non disponible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w:t>
            </w:r>
          </w:p>
        </w:tc>
      </w:tr>
      <w:tr w:rsidR="00864EC1">
        <w:tblPrEx>
          <w:tblCellMar>
            <w:top w:w="0" w:type="dxa"/>
            <w:bottom w:w="0" w:type="dxa"/>
          </w:tblCellMar>
        </w:tblPrEx>
        <w:trPr>
          <w:trHeight w:val="1710"/>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Système d’information  (SI) Al Bacharia mis à jour selon la disponibilité des données  (2015) </w:t>
            </w:r>
          </w:p>
          <w:p w:rsidR="00864EC1" w:rsidRDefault="00864EC1">
            <w:pPr>
              <w:spacing w:after="0" w:line="240" w:lineRule="auto"/>
              <w:rPr>
                <w:rFonts w:ascii="Times New Roman" w:hAnsi="Times New Roman"/>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(SI) Al Bacharia mis à jour selon la disponibilité des </w:t>
            </w:r>
            <w:r>
              <w:rPr>
                <w:rFonts w:ascii="Times New Roman" w:hAnsi="Times New Roman"/>
                <w:b/>
                <w:i/>
                <w:sz w:val="20"/>
                <w:szCs w:val="20"/>
              </w:rPr>
              <w:t>données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Atteint</w:t>
            </w:r>
          </w:p>
        </w:tc>
      </w:tr>
      <w:tr w:rsidR="00864EC1">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Nombre d’utilisateurs (Clic et inscription) du SI Al Bacharia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 50000 clics (2015)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54716 clics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Atteint</w:t>
            </w:r>
          </w:p>
        </w:tc>
      </w:tr>
      <w:tr w:rsidR="00864EC1">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Nombre de catégories de la population intégrée dans le SI Al Bacharia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3 catégories de la population intégrées dans le SI Al </w:t>
            </w:r>
            <w:r>
              <w:rPr>
                <w:rFonts w:ascii="Times New Roman" w:hAnsi="Times New Roman"/>
                <w:b/>
                <w:i/>
                <w:sz w:val="20"/>
                <w:szCs w:val="20"/>
              </w:rPr>
              <w:t xml:space="preserve">Bacharia (2015)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3 catégories de la population intégrées dans le SI Al Bacharia (Femmes, jeunes, enfants)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Atteint</w:t>
            </w:r>
          </w:p>
        </w:tc>
      </w:tr>
      <w:tr w:rsidR="00864EC1">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Nombre de rencontres centrées sur les concepts de développement humain (DH)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1 rencontre centrée sur le concept de développement humain (D</w:t>
            </w:r>
            <w:r>
              <w:rPr>
                <w:rFonts w:ascii="Times New Roman" w:hAnsi="Times New Roman"/>
                <w:b/>
                <w:i/>
                <w:sz w:val="20"/>
                <w:szCs w:val="20"/>
              </w:rPr>
              <w:t>H) organisée (2015)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4 rencontres sur le concept de DH organisées (Atelier de lancement officiel de l’observatoire régional des jeunes dans la région de Marrakech Tensift el Haoue et l’observatoire de Sidi Ifni, Atelier sur l’impact de l’habiat social, </w:t>
            </w:r>
            <w:r>
              <w:rPr>
                <w:rFonts w:ascii="Times New Roman" w:hAnsi="Times New Roman"/>
                <w:b/>
                <w:i/>
                <w:sz w:val="20"/>
                <w:szCs w:val="20"/>
              </w:rPr>
              <w:t>atelier sur les indicateurs de DH et la pauvreté multidimensionnelle, atelier de restitution des résultats de l’étude sur les mobilisations collectives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Atteint</w:t>
            </w:r>
          </w:p>
        </w:tc>
      </w:tr>
      <w:tr w:rsidR="00864EC1">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Nombre de publications sur le concept de DH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1 étude sur le concept de DH publié (2015)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Rapport sur le DH finalisé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Atteint</w:t>
            </w:r>
          </w:p>
        </w:tc>
      </w:tr>
    </w:tbl>
    <w:p w:rsidR="00864EC1" w:rsidRDefault="00864EC1">
      <w:pPr>
        <w:pageBreakBefore/>
        <w:rPr>
          <w:rFonts w:ascii="Times New Roman" w:hAnsi="Times New Roman"/>
          <w:sz w:val="20"/>
          <w:szCs w:val="20"/>
        </w:rPr>
      </w:pPr>
    </w:p>
    <w:tbl>
      <w:tblPr>
        <w:tblW w:w="14885" w:type="dxa"/>
        <w:tblInd w:w="-318" w:type="dxa"/>
        <w:tblCellMar>
          <w:left w:w="10" w:type="dxa"/>
          <w:right w:w="10" w:type="dxa"/>
        </w:tblCellMar>
        <w:tblLook w:val="04A0" w:firstRow="1" w:lastRow="0" w:firstColumn="1" w:lastColumn="0" w:noHBand="0" w:noVBand="1"/>
      </w:tblPr>
      <w:tblGrid>
        <w:gridCol w:w="3403"/>
        <w:gridCol w:w="1418"/>
        <w:gridCol w:w="5811"/>
        <w:gridCol w:w="2835"/>
        <w:gridCol w:w="1418"/>
      </w:tblGrid>
      <w:tr w:rsidR="00864EC1">
        <w:tblPrEx>
          <w:tblCellMar>
            <w:top w:w="0" w:type="dxa"/>
            <w:bottom w:w="0" w:type="dxa"/>
          </w:tblCellMar>
        </w:tblPrEx>
        <w:tc>
          <w:tcPr>
            <w:tcW w:w="34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Indicateurs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Situation de référence</w:t>
            </w:r>
          </w:p>
        </w:tc>
        <w:tc>
          <w:tcPr>
            <w:tcW w:w="5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Cibles annuelles (2012-2015)</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Niveau de réalisation</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Notation</w:t>
            </w:r>
          </w:p>
        </w:tc>
      </w:tr>
      <w:tr w:rsidR="00864EC1">
        <w:tblPrEx>
          <w:tblCellMar>
            <w:top w:w="0" w:type="dxa"/>
            <w:bottom w:w="0" w:type="dxa"/>
          </w:tblCellMar>
        </w:tblPrEx>
        <w:tc>
          <w:tcPr>
            <w:tcW w:w="148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sz w:val="20"/>
                <w:szCs w:val="20"/>
              </w:rPr>
            </w:pPr>
            <w:r>
              <w:rPr>
                <w:rFonts w:ascii="Times New Roman" w:hAnsi="Times New Roman"/>
                <w:b/>
                <w:sz w:val="20"/>
                <w:szCs w:val="20"/>
              </w:rPr>
              <w:t xml:space="preserve">Produit 2 : Les capacités d’analyse et pratique d’évaluation des politiques publiques de développement humain sont </w:t>
            </w:r>
            <w:r>
              <w:rPr>
                <w:rFonts w:ascii="Times New Roman" w:hAnsi="Times New Roman"/>
                <w:b/>
                <w:sz w:val="20"/>
                <w:szCs w:val="20"/>
              </w:rPr>
              <w:t xml:space="preserve">renforcées pour aider à la prise de décision </w:t>
            </w:r>
          </w:p>
        </w:tc>
      </w:tr>
      <w:tr w:rsidR="00864EC1">
        <w:tblPrEx>
          <w:tblCellMar>
            <w:top w:w="0" w:type="dxa"/>
            <w:bottom w:w="0" w:type="dxa"/>
          </w:tblCellMar>
        </w:tblPrEx>
        <w:trPr>
          <w:trHeight w:val="615"/>
        </w:trPr>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Nombre de cadres (h/F) de l’ONDH bénéficiaires d’activités de développement des capacités </w:t>
            </w:r>
          </w:p>
          <w:p w:rsidR="00864EC1" w:rsidRDefault="00864EC1">
            <w:pPr>
              <w:spacing w:after="0" w:line="240" w:lineRule="auto"/>
              <w:rPr>
                <w:rFonts w:ascii="Times New Roman" w:hAnsi="Times New Roman"/>
                <w:b/>
                <w:i/>
                <w:sz w:val="20"/>
                <w:szCs w:val="20"/>
              </w:rPr>
            </w:pPr>
          </w:p>
          <w:p w:rsidR="00864EC1" w:rsidRDefault="00864EC1">
            <w:pPr>
              <w:spacing w:after="0" w:line="240" w:lineRule="auto"/>
              <w:rPr>
                <w:rFonts w:ascii="Times New Roman" w:hAnsi="Times New Roman"/>
                <w:b/>
                <w:i/>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Cadre de suivi et évaluation (CSE) de la Gouvernance locale et de la convergence territoriale (GLCT) testé et </w:t>
            </w:r>
            <w:r>
              <w:rPr>
                <w:rFonts w:ascii="Times New Roman" w:hAnsi="Times New Roman"/>
                <w:b/>
                <w:i/>
                <w:sz w:val="20"/>
                <w:szCs w:val="20"/>
              </w:rPr>
              <w:t>validé*(2012)</w:t>
            </w:r>
          </w:p>
          <w:p w:rsidR="00864EC1" w:rsidRDefault="00864EC1">
            <w:pPr>
              <w:spacing w:after="0" w:line="240" w:lineRule="auto"/>
              <w:rPr>
                <w:rFonts w:ascii="Times New Roman" w:hAnsi="Times New Roman"/>
                <w:b/>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CSE de la GLCT testé et validé, rapports finalisés disponibles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450"/>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2 rencontres sur le cadre logique de suivi-évaluation (CSE) (2012)</w:t>
            </w:r>
          </w:p>
          <w:p w:rsidR="00864EC1" w:rsidRDefault="00864EC1">
            <w:pPr>
              <w:spacing w:after="0" w:line="240" w:lineRule="auto"/>
              <w:rPr>
                <w:rFonts w:ascii="Times New Roman" w:hAnsi="Times New Roman"/>
                <w:b/>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3 ateliers de restitution du CSE de la GLCT JRADA, Rabat et Bni Mathar organisés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480"/>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Etude </w:t>
            </w:r>
            <w:r>
              <w:rPr>
                <w:rFonts w:ascii="Times New Roman" w:hAnsi="Times New Roman"/>
                <w:b/>
                <w:i/>
                <w:sz w:val="20"/>
                <w:szCs w:val="20"/>
              </w:rPr>
              <w:t>sur le profil de développement territorial (2012)</w:t>
            </w:r>
          </w:p>
          <w:p w:rsidR="00864EC1" w:rsidRDefault="00864EC1">
            <w:pPr>
              <w:spacing w:after="0" w:line="240" w:lineRule="auto"/>
              <w:rPr>
                <w:rFonts w:ascii="Times New Roman" w:hAnsi="Times New Roman"/>
                <w:b/>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Profil de développement territorial finalisé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564"/>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2 formations et 6 bénéficiaires de l’ONDH (2014)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 xml:space="preserve">4 cadres de l’ONDH bénéficiaires de voyages d’étude sur le ciblage et les méthodes de mesure de la </w:t>
            </w:r>
            <w:r>
              <w:rPr>
                <w:rFonts w:ascii="Times New Roman" w:hAnsi="Times New Roman"/>
                <w:b/>
                <w:i/>
                <w:sz w:val="20"/>
                <w:szCs w:val="20"/>
              </w:rPr>
              <w:t xml:space="preserve">pauvreté en Colombie et en Algérie (une femme et 3 hommes), 4 universitaires (Maroc et France) et 3 cadres de l’ONDH  dont 1 femme + 6 nouveaux cadres,  </w:t>
            </w:r>
          </w:p>
          <w:p w:rsidR="00864EC1" w:rsidRDefault="00864EC1">
            <w:pPr>
              <w:spacing w:after="0" w:line="240" w:lineRule="auto"/>
              <w:rPr>
                <w:rFonts w:ascii="Times New Roman" w:hAnsi="Times New Roman"/>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274"/>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6 cadres (H/F) de l’ONDH bénéficiaires d’activités de développement des capacités (2015)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18 cadres ont bénéficié de plusieurs formations (Cf. rapport revue annuelle 2015)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1245"/>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5 études réalisées et publiées (Etude sur la pauvreté subjective ; Caractéristique socio-démographique et dynamique d’employabilité des chômeurs 2012-2013 ;  </w:t>
            </w:r>
            <w:r>
              <w:rPr>
                <w:rFonts w:ascii="Times New Roman" w:hAnsi="Times New Roman"/>
                <w:b/>
                <w:i/>
                <w:sz w:val="20"/>
                <w:szCs w:val="20"/>
              </w:rPr>
              <w:t xml:space="preserve">Résultats enquête panel ;  Etude sur la GLCT ;  Etude sur le contexte socio-économique et exclusion des jeunes) (2014)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-Rapport sur le développement humain et la pauvreté multidimensionnelle basées sur les résultats de l’enquête panel 2012</w:t>
            </w:r>
          </w:p>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-4 rapports sur</w:t>
            </w:r>
            <w:r>
              <w:rPr>
                <w:rFonts w:ascii="Times New Roman" w:hAnsi="Times New Roman"/>
                <w:b/>
                <w:i/>
                <w:sz w:val="20"/>
                <w:szCs w:val="20"/>
              </w:rPr>
              <w:t xml:space="preserve"> l’éducation et la santé, les dépenses des ménages, les caractéristiques des logements et l’emploi au Maroc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bl>
    <w:p w:rsidR="00864EC1" w:rsidRDefault="00864EC1">
      <w:pPr>
        <w:pageBreakBefore/>
      </w:pPr>
    </w:p>
    <w:tbl>
      <w:tblPr>
        <w:tblW w:w="14885" w:type="dxa"/>
        <w:tblInd w:w="-318" w:type="dxa"/>
        <w:tblCellMar>
          <w:left w:w="10" w:type="dxa"/>
          <w:right w:w="10" w:type="dxa"/>
        </w:tblCellMar>
        <w:tblLook w:val="04A0" w:firstRow="1" w:lastRow="0" w:firstColumn="1" w:lastColumn="0" w:noHBand="0" w:noVBand="1"/>
      </w:tblPr>
      <w:tblGrid>
        <w:gridCol w:w="3403"/>
        <w:gridCol w:w="1418"/>
        <w:gridCol w:w="5811"/>
        <w:gridCol w:w="2835"/>
        <w:gridCol w:w="1418"/>
      </w:tblGrid>
      <w:tr w:rsidR="00864EC1">
        <w:tblPrEx>
          <w:tblCellMar>
            <w:top w:w="0" w:type="dxa"/>
            <w:bottom w:w="0" w:type="dxa"/>
          </w:tblCellMar>
        </w:tblPrEx>
        <w:trPr>
          <w:trHeight w:val="721"/>
        </w:trPr>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Nombre d’études/évaluations conduites par l’ONDH aux niveaux national, régional et local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Test du CSE dans deux communes</w:t>
            </w:r>
          </w:p>
          <w:p w:rsidR="00864EC1" w:rsidRDefault="00864EC1">
            <w:pPr>
              <w:spacing w:after="0" w:line="240" w:lineRule="auto"/>
              <w:rPr>
                <w:rFonts w:ascii="Times New Roman" w:hAnsi="Times New Roman"/>
                <w:b/>
                <w:i/>
                <w:sz w:val="20"/>
                <w:szCs w:val="20"/>
              </w:rPr>
            </w:pPr>
          </w:p>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Lancement de </w:t>
            </w:r>
            <w:r>
              <w:rPr>
                <w:rFonts w:ascii="Times New Roman" w:hAnsi="Times New Roman"/>
                <w:b/>
                <w:i/>
                <w:sz w:val="20"/>
                <w:szCs w:val="20"/>
              </w:rPr>
              <w:t xml:space="preserve">l’enquête panel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4 études réalisées et publiées (Etude sur la GLCT, résultats enquête panel ménages, rapport sur la pauvreté multidimensionnelle et étude sur l’évaluation de l’INDH) (2013)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Rapport de la première phase sur le CSE2 réceptionné ; Etude sur l</w:t>
            </w:r>
            <w:r>
              <w:rPr>
                <w:rFonts w:ascii="Times New Roman" w:hAnsi="Times New Roman"/>
                <w:b/>
                <w:i/>
                <w:sz w:val="20"/>
                <w:szCs w:val="20"/>
              </w:rPr>
              <w:t>’évaluation de l’INDH publié ;  2 études sélectionnées dans le cadre du partenariat avec les universités publiées.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264"/>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2 évaluations : Tayssir initiée et RAMED finalisée (2015)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color w:val="FF0000"/>
                <w:sz w:val="20"/>
                <w:szCs w:val="20"/>
              </w:rPr>
            </w:pPr>
            <w:r>
              <w:rPr>
                <w:rFonts w:ascii="Times New Roman" w:hAnsi="Times New Roman"/>
                <w:b/>
                <w:i/>
                <w:color w:val="FF0000"/>
                <w:sz w:val="20"/>
                <w:szCs w:val="20"/>
              </w:rPr>
              <w:t xml:space="preserve">-Evaluation RAMED lancée (Questionnaire de l’enquête validé, etc., </w:t>
            </w:r>
            <w:r>
              <w:rPr>
                <w:rFonts w:ascii="Times New Roman" w:hAnsi="Times New Roman"/>
                <w:b/>
                <w:i/>
                <w:color w:val="FF0000"/>
                <w:sz w:val="20"/>
                <w:szCs w:val="20"/>
              </w:rPr>
              <w:t>cf. rapport revue annuelle 2015)</w:t>
            </w:r>
          </w:p>
          <w:p w:rsidR="00864EC1" w:rsidRDefault="00C6376C">
            <w:pPr>
              <w:spacing w:after="0" w:line="240" w:lineRule="auto"/>
              <w:rPr>
                <w:rFonts w:ascii="Times New Roman" w:hAnsi="Times New Roman"/>
                <w:b/>
                <w:i/>
                <w:color w:val="FF0000"/>
                <w:sz w:val="20"/>
                <w:szCs w:val="20"/>
              </w:rPr>
            </w:pPr>
            <w:r>
              <w:rPr>
                <w:rFonts w:ascii="Times New Roman" w:hAnsi="Times New Roman"/>
                <w:b/>
                <w:i/>
                <w:color w:val="FF0000"/>
                <w:sz w:val="20"/>
                <w:szCs w:val="20"/>
              </w:rPr>
              <w:t xml:space="preserve">-Evaluation Tayssir initiée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281"/>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1 étude sur le profil de l’enfance initiée (2015)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color w:val="FF0000"/>
                <w:sz w:val="20"/>
                <w:szCs w:val="20"/>
              </w:rPr>
            </w:pPr>
            <w:r>
              <w:rPr>
                <w:rFonts w:ascii="Times New Roman" w:hAnsi="Times New Roman"/>
                <w:b/>
                <w:i/>
                <w:color w:val="FF0000"/>
                <w:sz w:val="20"/>
                <w:szCs w:val="20"/>
              </w:rPr>
              <w:t>Etude réalisée (Rapport disponible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272"/>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1 rapport initial sur le DH finalisé (2015)</w:t>
            </w:r>
          </w:p>
          <w:p w:rsidR="00864EC1" w:rsidRDefault="00864EC1">
            <w:pPr>
              <w:spacing w:after="0" w:line="240" w:lineRule="auto"/>
              <w:rPr>
                <w:rFonts w:ascii="Times New Roman" w:hAnsi="Times New Roman"/>
                <w:b/>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color w:val="FF0000"/>
                <w:sz w:val="20"/>
                <w:szCs w:val="20"/>
              </w:rPr>
            </w:pPr>
            <w:r>
              <w:rPr>
                <w:rFonts w:ascii="Times New Roman" w:hAnsi="Times New Roman"/>
                <w:b/>
                <w:i/>
                <w:color w:val="FF0000"/>
                <w:sz w:val="20"/>
                <w:szCs w:val="20"/>
              </w:rPr>
              <w:t xml:space="preserve">Rapport initial sur le DH de l’étude </w:t>
            </w:r>
            <w:r>
              <w:rPr>
                <w:rFonts w:ascii="Times New Roman" w:hAnsi="Times New Roman"/>
                <w:b/>
                <w:i/>
                <w:color w:val="FF0000"/>
                <w:sz w:val="20"/>
                <w:szCs w:val="20"/>
              </w:rPr>
              <w:t>finalisé</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364"/>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1 rapport sur les premiers résultats 2013 du panel  ménage (2015)</w:t>
            </w:r>
          </w:p>
          <w:p w:rsidR="00864EC1" w:rsidRDefault="00864EC1">
            <w:pPr>
              <w:spacing w:after="0" w:line="240" w:lineRule="auto"/>
              <w:rPr>
                <w:rFonts w:ascii="Times New Roman" w:hAnsi="Times New Roman"/>
                <w:b/>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color w:val="FF0000"/>
                <w:sz w:val="20"/>
                <w:szCs w:val="20"/>
              </w:rPr>
            </w:pPr>
            <w:r>
              <w:rPr>
                <w:rFonts w:ascii="Times New Roman" w:hAnsi="Times New Roman"/>
                <w:b/>
                <w:i/>
                <w:color w:val="FF0000"/>
                <w:sz w:val="20"/>
                <w:szCs w:val="20"/>
              </w:rPr>
              <w:t xml:space="preserve">Rapport sur les premiers résultats 2013 du panel  ménage en cours d’élaboration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Partiellement atteint en 2015</w:t>
            </w:r>
          </w:p>
        </w:tc>
      </w:tr>
      <w:tr w:rsidR="00864EC1">
        <w:tblPrEx>
          <w:tblCellMar>
            <w:top w:w="0" w:type="dxa"/>
            <w:bottom w:w="0" w:type="dxa"/>
          </w:tblCellMar>
        </w:tblPrEx>
        <w:trPr>
          <w:trHeight w:val="328"/>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1 étude sur les inégalités initiée (2015)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color w:val="FF0000"/>
                <w:sz w:val="20"/>
                <w:szCs w:val="20"/>
              </w:rPr>
              <w:t>Etude sur</w:t>
            </w:r>
            <w:r>
              <w:rPr>
                <w:rFonts w:ascii="Times New Roman" w:hAnsi="Times New Roman"/>
                <w:b/>
                <w:bCs/>
                <w:i/>
                <w:color w:val="FF0000"/>
                <w:sz w:val="20"/>
                <w:szCs w:val="20"/>
              </w:rPr>
              <w:t xml:space="preserve"> « </w:t>
            </w:r>
            <w:r>
              <w:rPr>
                <w:rFonts w:ascii="Times New Roman" w:hAnsi="Times New Roman"/>
                <w:b/>
                <w:bCs/>
                <w:i/>
                <w:color w:val="FF0000"/>
                <w:sz w:val="20"/>
                <w:szCs w:val="20"/>
              </w:rPr>
              <w:t>la lutte contre l’exclusion et la pauvreté par la promotion de l’égalité entre les femmes et les hommes dans la vie économique »</w:t>
            </w:r>
            <w:r>
              <w:rPr>
                <w:rFonts w:ascii="Times New Roman" w:hAnsi="Times New Roman"/>
                <w:b/>
                <w:i/>
                <w:color w:val="FF0000"/>
                <w:sz w:val="20"/>
                <w:szCs w:val="20"/>
              </w:rPr>
              <w:t xml:space="preserve"> initiée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375"/>
        </w:trPr>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Nombre de groupements de recherche sur le DH associés à l’ONDH</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Existence d’une équipe de chercheurs  sur la </w:t>
            </w:r>
            <w:r>
              <w:rPr>
                <w:rFonts w:ascii="Times New Roman" w:hAnsi="Times New Roman"/>
                <w:b/>
                <w:i/>
                <w:sz w:val="20"/>
                <w:szCs w:val="20"/>
              </w:rPr>
              <w:t xml:space="preserve">question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1 Groupe de travail sur le DH formé (2013)</w:t>
            </w:r>
          </w:p>
          <w:p w:rsidR="00864EC1" w:rsidRDefault="00864EC1">
            <w:pPr>
              <w:spacing w:after="0" w:line="240" w:lineRule="auto"/>
              <w:rPr>
                <w:rFonts w:ascii="Times New Roman" w:hAnsi="Times New Roman"/>
                <w:b/>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Cadres et groupes de travail de l’ONDH mis en place et  informés sur les meilleures pratiques et méthodes d’évaluation des PP du DH</w:t>
            </w:r>
          </w:p>
          <w:p w:rsidR="00864EC1" w:rsidRDefault="00864EC1">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368"/>
        </w:trPr>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2 groupements de recherche sur le DH associés à l’ONDH </w:t>
            </w:r>
            <w:r>
              <w:rPr>
                <w:rFonts w:ascii="Times New Roman" w:hAnsi="Times New Roman"/>
                <w:b/>
                <w:i/>
                <w:sz w:val="20"/>
                <w:szCs w:val="20"/>
              </w:rPr>
              <w:t xml:space="preserve">(2015)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8 nouveaux groupes de recherche en 2015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bl>
    <w:p w:rsidR="00864EC1" w:rsidRDefault="00864EC1">
      <w:pPr>
        <w:pageBreakBefore/>
        <w:rPr>
          <w:rFonts w:ascii="Times New Roman" w:hAnsi="Times New Roman"/>
          <w:sz w:val="20"/>
          <w:szCs w:val="20"/>
        </w:rPr>
      </w:pPr>
    </w:p>
    <w:tbl>
      <w:tblPr>
        <w:tblW w:w="14459" w:type="dxa"/>
        <w:tblInd w:w="108" w:type="dxa"/>
        <w:tblCellMar>
          <w:left w:w="10" w:type="dxa"/>
          <w:right w:w="10" w:type="dxa"/>
        </w:tblCellMar>
        <w:tblLook w:val="04A0" w:firstRow="1" w:lastRow="0" w:firstColumn="1" w:lastColumn="0" w:noHBand="0" w:noVBand="1"/>
      </w:tblPr>
      <w:tblGrid>
        <w:gridCol w:w="2514"/>
        <w:gridCol w:w="2097"/>
        <w:gridCol w:w="4005"/>
        <w:gridCol w:w="564"/>
        <w:gridCol w:w="3952"/>
        <w:gridCol w:w="1327"/>
      </w:tblGrid>
      <w:tr w:rsidR="00864EC1">
        <w:tblPrEx>
          <w:tblCellMar>
            <w:top w:w="0" w:type="dxa"/>
            <w:bottom w:w="0" w:type="dxa"/>
          </w:tblCellMar>
        </w:tblPrEx>
        <w:tc>
          <w:tcPr>
            <w:tcW w:w="25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Indicateurs</w:t>
            </w:r>
          </w:p>
        </w:tc>
        <w:tc>
          <w:tcPr>
            <w:tcW w:w="20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Situation de référence</w:t>
            </w:r>
          </w:p>
        </w:tc>
        <w:tc>
          <w:tcPr>
            <w:tcW w:w="4569"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Cibles annuelles (2012-2015)</w:t>
            </w:r>
          </w:p>
        </w:tc>
        <w:tc>
          <w:tcPr>
            <w:tcW w:w="39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Niveau de réalisation</w:t>
            </w:r>
          </w:p>
        </w:tc>
        <w:tc>
          <w:tcPr>
            <w:tcW w:w="13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jc w:val="center"/>
              <w:rPr>
                <w:rFonts w:ascii="Times New Roman" w:hAnsi="Times New Roman"/>
                <w:b/>
                <w:sz w:val="20"/>
                <w:szCs w:val="20"/>
              </w:rPr>
            </w:pPr>
            <w:r>
              <w:rPr>
                <w:rFonts w:ascii="Times New Roman" w:hAnsi="Times New Roman"/>
                <w:b/>
                <w:sz w:val="20"/>
                <w:szCs w:val="20"/>
              </w:rPr>
              <w:t>Notation</w:t>
            </w:r>
          </w:p>
        </w:tc>
      </w:tr>
      <w:tr w:rsidR="00864EC1">
        <w:tblPrEx>
          <w:tblCellMar>
            <w:top w:w="0" w:type="dxa"/>
            <w:bottom w:w="0" w:type="dxa"/>
          </w:tblCellMar>
        </w:tblPrEx>
        <w:tc>
          <w:tcPr>
            <w:tcW w:w="144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sz w:val="20"/>
                <w:szCs w:val="20"/>
              </w:rPr>
            </w:pPr>
            <w:r>
              <w:rPr>
                <w:rFonts w:ascii="Times New Roman" w:hAnsi="Times New Roman"/>
                <w:b/>
                <w:sz w:val="20"/>
                <w:szCs w:val="20"/>
              </w:rPr>
              <w:t>Produit 3 : La communication, le partenariat et le plaidoyer pour le développement humain équitable et</w:t>
            </w:r>
            <w:r>
              <w:rPr>
                <w:rFonts w:ascii="Times New Roman" w:hAnsi="Times New Roman"/>
                <w:b/>
                <w:sz w:val="20"/>
                <w:szCs w:val="20"/>
              </w:rPr>
              <w:t xml:space="preserve"> pour l’institutionnalisation de l’évaluation sont renforcés en harmonie avec la nouvelle réforme constitutionnelle </w:t>
            </w:r>
          </w:p>
        </w:tc>
      </w:tr>
      <w:tr w:rsidR="00864EC1">
        <w:tblPrEx>
          <w:tblCellMar>
            <w:top w:w="0" w:type="dxa"/>
            <w:bottom w:w="0" w:type="dxa"/>
          </w:tblCellMar>
        </w:tblPrEx>
        <w:trPr>
          <w:trHeight w:val="652"/>
        </w:trPr>
        <w:tc>
          <w:tcPr>
            <w:tcW w:w="25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Nombre de publications ONDH diffusées</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L’ONDH dispose des études et d’analyses stratégiques de plaidoyer </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4 séminaires/ateliers pour </w:t>
            </w:r>
            <w:r>
              <w:rPr>
                <w:rFonts w:ascii="Times New Roman" w:hAnsi="Times New Roman"/>
                <w:b/>
                <w:i/>
                <w:sz w:val="20"/>
                <w:szCs w:val="20"/>
              </w:rPr>
              <w:t>diffusion des résultats des études de l’ONDH réalisés (2013)</w:t>
            </w:r>
          </w:p>
          <w:p w:rsidR="00864EC1" w:rsidRDefault="00864EC1">
            <w:pPr>
              <w:spacing w:after="0" w:line="240" w:lineRule="auto"/>
              <w:rPr>
                <w:rFonts w:ascii="Times New Roman" w:hAnsi="Times New Roman"/>
                <w:b/>
                <w:i/>
                <w:sz w:val="20"/>
                <w:szCs w:val="20"/>
              </w:rPr>
            </w:pPr>
          </w:p>
        </w:tc>
        <w:tc>
          <w:tcPr>
            <w:tcW w:w="4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bCs/>
                <w:i/>
                <w:sz w:val="20"/>
                <w:szCs w:val="20"/>
              </w:rPr>
              <w:t>-4 ateliers organisés</w:t>
            </w:r>
            <w:r>
              <w:rPr>
                <w:rFonts w:ascii="Times New Roman" w:hAnsi="Times New Roman"/>
                <w:b/>
                <w:i/>
                <w:sz w:val="20"/>
                <w:szCs w:val="20"/>
              </w:rPr>
              <w:t xml:space="preserve">: « Mobilisations collectives et mouvement associatif, quels changements avec l’INDH ? » </w:t>
            </w:r>
          </w:p>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-Premiers résultats de l’étude sur l’attente des jeunes » ; </w:t>
            </w:r>
          </w:p>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-Conférence à </w:t>
            </w:r>
            <w:r>
              <w:rPr>
                <w:rFonts w:ascii="Times New Roman" w:hAnsi="Times New Roman"/>
                <w:b/>
                <w:i/>
                <w:sz w:val="20"/>
                <w:szCs w:val="20"/>
              </w:rPr>
              <w:t>Marseille et une  autre  à Marrakech</w:t>
            </w:r>
          </w:p>
          <w:p w:rsidR="00864EC1" w:rsidRDefault="00864EC1">
            <w:pPr>
              <w:spacing w:after="0" w:line="240" w:lineRule="auto"/>
              <w:rPr>
                <w:rFonts w:ascii="Times New Roman" w:hAnsi="Times New Roman"/>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645"/>
        </w:trPr>
        <w:tc>
          <w:tcPr>
            <w:tcW w:w="2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Refonte du site Web de l’ONDH et 100 ouvertures de documents (2013)</w:t>
            </w:r>
          </w:p>
          <w:p w:rsidR="00864EC1" w:rsidRDefault="00864EC1">
            <w:pPr>
              <w:spacing w:after="0" w:line="240" w:lineRule="auto"/>
              <w:rPr>
                <w:rFonts w:ascii="Times New Roman" w:hAnsi="Times New Roman"/>
                <w:b/>
                <w:i/>
                <w:sz w:val="20"/>
                <w:szCs w:val="20"/>
              </w:rPr>
            </w:pPr>
          </w:p>
        </w:tc>
        <w:tc>
          <w:tcPr>
            <w:tcW w:w="4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-Refonte du Site Web de l’ONDH terminée dans les 3 langues </w:t>
            </w:r>
          </w:p>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-Contenu du site web en cours d’enrichissement en termes de rapports, de </w:t>
            </w:r>
            <w:r>
              <w:rPr>
                <w:rFonts w:ascii="Times New Roman" w:hAnsi="Times New Roman"/>
                <w:b/>
                <w:i/>
                <w:sz w:val="20"/>
                <w:szCs w:val="20"/>
              </w:rPr>
              <w:t xml:space="preserve">documentation, d’articles, de photos et vidéos.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660"/>
        </w:trPr>
        <w:tc>
          <w:tcPr>
            <w:tcW w:w="2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Plan d’action avec le CONEVAL validé et démarrage de sa mise en œuvre (2013)</w:t>
            </w:r>
          </w:p>
          <w:p w:rsidR="00864EC1" w:rsidRDefault="00864EC1">
            <w:pPr>
              <w:spacing w:after="0" w:line="240" w:lineRule="auto"/>
              <w:rPr>
                <w:rFonts w:ascii="Times New Roman" w:hAnsi="Times New Roman"/>
                <w:b/>
                <w:i/>
                <w:sz w:val="20"/>
                <w:szCs w:val="20"/>
              </w:rPr>
            </w:pPr>
          </w:p>
        </w:tc>
        <w:tc>
          <w:tcPr>
            <w:tcW w:w="4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 xml:space="preserve">Plan d’action avec le CONEVAL validé mis en œuvre dans le cadre de l’accord signé entre les deux institutions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546"/>
        </w:trPr>
        <w:tc>
          <w:tcPr>
            <w:tcW w:w="2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2 bulletins de liaison publiés et diffusés (2013) </w:t>
            </w:r>
          </w:p>
        </w:tc>
        <w:tc>
          <w:tcPr>
            <w:tcW w:w="4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1 bulletin finalisé et 1 autre en cours de finalisation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Partiellement atteint en 2015</w:t>
            </w:r>
          </w:p>
        </w:tc>
      </w:tr>
      <w:tr w:rsidR="00864EC1">
        <w:tblPrEx>
          <w:tblCellMar>
            <w:top w:w="0" w:type="dxa"/>
            <w:bottom w:w="0" w:type="dxa"/>
          </w:tblCellMar>
        </w:tblPrEx>
        <w:trPr>
          <w:trHeight w:val="494"/>
        </w:trPr>
        <w:tc>
          <w:tcPr>
            <w:tcW w:w="2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3 séminaires/ateliers pour la diffusion des résultats et études de l’ONDH (2014) </w:t>
            </w:r>
          </w:p>
        </w:tc>
        <w:tc>
          <w:tcPr>
            <w:tcW w:w="4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 xml:space="preserve">3 séminaires organisés (Cf. </w:t>
            </w:r>
            <w:r>
              <w:rPr>
                <w:rFonts w:ascii="Times New Roman" w:hAnsi="Times New Roman"/>
                <w:b/>
                <w:i/>
                <w:sz w:val="20"/>
                <w:szCs w:val="20"/>
              </w:rPr>
              <w:t>rapport de la revue annuelle 2014)</w:t>
            </w:r>
            <w:r>
              <w:rPr>
                <w:b/>
                <w:i/>
                <w:sz w:val="20"/>
                <w:szCs w:val="20"/>
              </w:rPr>
              <w:t xml:space="preserve">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435"/>
        </w:trPr>
        <w:tc>
          <w:tcPr>
            <w:tcW w:w="2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2 bulletins de liaison publiés (2014)</w:t>
            </w:r>
          </w:p>
          <w:p w:rsidR="00864EC1" w:rsidRDefault="00864EC1">
            <w:pPr>
              <w:spacing w:after="0" w:line="240" w:lineRule="auto"/>
              <w:rPr>
                <w:rFonts w:ascii="Times New Roman" w:hAnsi="Times New Roman"/>
                <w:b/>
                <w:i/>
                <w:sz w:val="20"/>
                <w:szCs w:val="20"/>
              </w:rPr>
            </w:pPr>
          </w:p>
        </w:tc>
        <w:tc>
          <w:tcPr>
            <w:tcW w:w="4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bCs/>
                <w:i/>
                <w:sz w:val="20"/>
                <w:szCs w:val="20"/>
              </w:rPr>
              <w:t>2 bulletins de liaison publiés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360"/>
        </w:trPr>
        <w:tc>
          <w:tcPr>
            <w:tcW w:w="2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3 publications des études de l’ONDH (2014)</w:t>
            </w:r>
          </w:p>
        </w:tc>
        <w:tc>
          <w:tcPr>
            <w:tcW w:w="4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3 publications des études de l’ONDH réalisées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516"/>
        </w:trPr>
        <w:tc>
          <w:tcPr>
            <w:tcW w:w="2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pStyle w:val="Paragraphedeliste"/>
              <w:numPr>
                <w:ilvl w:val="0"/>
                <w:numId w:val="10"/>
              </w:numPr>
              <w:spacing w:after="0" w:line="240" w:lineRule="auto"/>
              <w:ind w:left="0"/>
              <w:rPr>
                <w:rFonts w:ascii="Times New Roman" w:hAnsi="Times New Roman"/>
                <w:b/>
                <w:i/>
                <w:sz w:val="20"/>
                <w:szCs w:val="20"/>
              </w:rPr>
            </w:pPr>
            <w:r>
              <w:rPr>
                <w:rFonts w:ascii="Times New Roman" w:hAnsi="Times New Roman"/>
                <w:b/>
                <w:i/>
                <w:sz w:val="20"/>
                <w:szCs w:val="20"/>
              </w:rPr>
              <w:t xml:space="preserve">2 publications diffusées </w:t>
            </w:r>
            <w:r>
              <w:rPr>
                <w:rFonts w:ascii="Times New Roman" w:hAnsi="Times New Roman"/>
                <w:b/>
                <w:i/>
                <w:sz w:val="20"/>
                <w:szCs w:val="20"/>
              </w:rPr>
              <w:t>(2015)</w:t>
            </w:r>
          </w:p>
          <w:p w:rsidR="00864EC1" w:rsidRDefault="00864EC1">
            <w:pPr>
              <w:spacing w:after="0" w:line="240" w:lineRule="auto"/>
              <w:rPr>
                <w:rFonts w:ascii="Times New Roman" w:hAnsi="Times New Roman"/>
                <w:b/>
                <w:i/>
                <w:sz w:val="20"/>
                <w:szCs w:val="20"/>
              </w:rPr>
            </w:pPr>
          </w:p>
        </w:tc>
        <w:tc>
          <w:tcPr>
            <w:tcW w:w="4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bCs/>
                <w:i/>
                <w:sz w:val="20"/>
                <w:szCs w:val="20"/>
              </w:rPr>
              <w:t>3 publications (</w:t>
            </w:r>
            <w:r>
              <w:rPr>
                <w:rFonts w:ascii="Times New Roman" w:hAnsi="Times New Roman"/>
                <w:b/>
                <w:i/>
                <w:sz w:val="20"/>
                <w:szCs w:val="20"/>
              </w:rPr>
              <w:t>Rapport d’activités de l’ONDH 2014 publié, Rapport sur le développement humain au Maroc finalisé, Rapport de la Conférence Internationale finalisé</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rPr>
          <w:trHeight w:val="450"/>
        </w:trPr>
        <w:tc>
          <w:tcPr>
            <w:tcW w:w="2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b/>
                <w:i/>
                <w:sz w:val="20"/>
                <w:szCs w:val="20"/>
              </w:rPr>
            </w:pP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1 plaquette institutionnelle (2015) </w:t>
            </w:r>
          </w:p>
          <w:p w:rsidR="00864EC1" w:rsidRDefault="00864EC1">
            <w:pPr>
              <w:spacing w:after="0" w:line="240" w:lineRule="auto"/>
              <w:rPr>
                <w:rFonts w:ascii="Times New Roman" w:hAnsi="Times New Roman"/>
                <w:b/>
                <w:i/>
                <w:sz w:val="20"/>
                <w:szCs w:val="20"/>
              </w:rPr>
            </w:pPr>
          </w:p>
        </w:tc>
        <w:tc>
          <w:tcPr>
            <w:tcW w:w="4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 xml:space="preserve">Plaquette institutionnelle en cours </w:t>
            </w:r>
            <w:r>
              <w:rPr>
                <w:rFonts w:ascii="Times New Roman" w:hAnsi="Times New Roman"/>
                <w:b/>
                <w:i/>
                <w:sz w:val="20"/>
                <w:szCs w:val="20"/>
              </w:rPr>
              <w:t>d’élaboration en 2015</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Partiellement atteint en 2015</w:t>
            </w:r>
          </w:p>
        </w:tc>
      </w:tr>
    </w:tbl>
    <w:p w:rsidR="00864EC1" w:rsidRDefault="00864EC1">
      <w:pPr>
        <w:pageBreakBefore/>
      </w:pPr>
    </w:p>
    <w:tbl>
      <w:tblPr>
        <w:tblW w:w="14459" w:type="dxa"/>
        <w:tblInd w:w="108" w:type="dxa"/>
        <w:tblCellMar>
          <w:left w:w="10" w:type="dxa"/>
          <w:right w:w="10" w:type="dxa"/>
        </w:tblCellMar>
        <w:tblLook w:val="04A0" w:firstRow="1" w:lastRow="0" w:firstColumn="1" w:lastColumn="0" w:noHBand="0" w:noVBand="1"/>
      </w:tblPr>
      <w:tblGrid>
        <w:gridCol w:w="2523"/>
        <w:gridCol w:w="2103"/>
        <w:gridCol w:w="3596"/>
        <w:gridCol w:w="4678"/>
        <w:gridCol w:w="1559"/>
      </w:tblGrid>
      <w:tr w:rsidR="00864EC1">
        <w:tblPrEx>
          <w:tblCellMar>
            <w:top w:w="0" w:type="dxa"/>
            <w:bottom w:w="0" w:type="dxa"/>
          </w:tblCellMar>
        </w:tblPrEx>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Nombre de partenariats avec les institutions nationales et internationales engagés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ND</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2 nouveaux partenariats avec les institutions nationales et internationales engagés (2015)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bCs/>
                <w:i/>
                <w:sz w:val="20"/>
                <w:szCs w:val="20"/>
              </w:rPr>
              <w:t xml:space="preserve">7 nouveaux partenariats </w:t>
            </w:r>
            <w:r>
              <w:rPr>
                <w:rFonts w:ascii="Times New Roman" w:hAnsi="Times New Roman"/>
                <w:b/>
                <w:bCs/>
                <w:i/>
                <w:sz w:val="20"/>
                <w:szCs w:val="20"/>
              </w:rPr>
              <w:t xml:space="preserve">engagés avec le FORS, Statistiques Canada, ANAM, UIR, ENSP, EGE, IMT, Université Abdelmalek Essaedi, l’ADELMA, APDN, et  l’association TARGA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Nombre de partenariats Sud-sud initiés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ND</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1 partenariat Sud-sud initié (2015)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 xml:space="preserve">-1 Partenariat avec </w:t>
            </w:r>
            <w:r>
              <w:rPr>
                <w:rFonts w:ascii="Times New Roman" w:hAnsi="Times New Roman"/>
                <w:b/>
                <w:bCs/>
                <w:i/>
                <w:sz w:val="20"/>
                <w:szCs w:val="20"/>
              </w:rPr>
              <w:t xml:space="preserve">l’Observatoire de Développement Humain et de la lutte contre la pauvreté du Mali </w:t>
            </w:r>
            <w:r>
              <w:rPr>
                <w:rFonts w:ascii="Times New Roman" w:hAnsi="Times New Roman"/>
                <w:b/>
                <w:i/>
                <w:sz w:val="20"/>
                <w:szCs w:val="20"/>
              </w:rPr>
              <w:t>en cours de préparation</w:t>
            </w:r>
          </w:p>
          <w:p w:rsidR="00864EC1" w:rsidRDefault="00C6376C">
            <w:pPr>
              <w:spacing w:after="0" w:line="240" w:lineRule="auto"/>
            </w:pPr>
            <w:r>
              <w:rPr>
                <w:rFonts w:ascii="Times New Roman" w:hAnsi="Times New Roman"/>
                <w:b/>
                <w:i/>
                <w:sz w:val="20"/>
                <w:szCs w:val="20"/>
              </w:rPr>
              <w:t xml:space="preserve">-1 Partenariat avec </w:t>
            </w:r>
            <w:r>
              <w:rPr>
                <w:rFonts w:ascii="Times New Roman" w:hAnsi="Times New Roman"/>
                <w:b/>
                <w:bCs/>
                <w:i/>
                <w:sz w:val="20"/>
                <w:szCs w:val="20"/>
              </w:rPr>
              <w:t xml:space="preserve">le Brésil </w:t>
            </w:r>
            <w:r>
              <w:rPr>
                <w:rFonts w:ascii="Times New Roman" w:hAnsi="Times New Roman"/>
                <w:b/>
                <w:i/>
                <w:sz w:val="20"/>
                <w:szCs w:val="20"/>
              </w:rPr>
              <w:t>signé;</w:t>
            </w:r>
          </w:p>
          <w:p w:rsidR="00864EC1" w:rsidRDefault="00864EC1">
            <w:pPr>
              <w:spacing w:after="0" w:line="240" w:lineRule="auto"/>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r w:rsidR="00864EC1">
        <w:tblPrEx>
          <w:tblCellMar>
            <w:top w:w="0" w:type="dxa"/>
            <w:bottom w:w="0" w:type="dxa"/>
          </w:tblCellMar>
        </w:tblPrEx>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Nombre d’ateliers et séminaires sur le concept de DH organisés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ND</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4 séminaires et ateliers organisés su</w:t>
            </w:r>
            <w:r>
              <w:rPr>
                <w:rFonts w:ascii="Times New Roman" w:hAnsi="Times New Roman"/>
                <w:b/>
                <w:i/>
                <w:sz w:val="20"/>
                <w:szCs w:val="20"/>
              </w:rPr>
              <w:t xml:space="preserve">r le DH (2015)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sz w:val="20"/>
                <w:szCs w:val="20"/>
              </w:rPr>
            </w:pPr>
            <w:r>
              <w:rPr>
                <w:rFonts w:ascii="Times New Roman" w:hAnsi="Times New Roman"/>
                <w:b/>
                <w:i/>
                <w:sz w:val="20"/>
                <w:szCs w:val="20"/>
              </w:rPr>
              <w:t xml:space="preserve">5 séminaires et ateliers organisés sur le DH </w:t>
            </w:r>
          </w:p>
          <w:p w:rsidR="00864EC1" w:rsidRDefault="00C6376C">
            <w:pPr>
              <w:spacing w:after="0" w:line="240" w:lineRule="auto"/>
            </w:pPr>
            <w:r>
              <w:rPr>
                <w:rFonts w:ascii="Times New Roman" w:hAnsi="Times New Roman"/>
                <w:b/>
                <w:i/>
                <w:sz w:val="20"/>
                <w:szCs w:val="20"/>
              </w:rPr>
              <w:t>(1 conférence internationale sur l’institutionnalisation de l’évaluation des politiques publiques ; 1 Séminaire sur les premiers résultats de l'enquête Panel de ménages 2012 ; Conférence régiona</w:t>
            </w:r>
            <w:r>
              <w:rPr>
                <w:rFonts w:ascii="Times New Roman" w:hAnsi="Times New Roman"/>
                <w:b/>
                <w:i/>
                <w:sz w:val="20"/>
                <w:szCs w:val="20"/>
              </w:rPr>
              <w:t>le sur le thème </w:t>
            </w:r>
            <w:r>
              <w:rPr>
                <w:rFonts w:ascii="Times New Roman" w:hAnsi="Times New Roman"/>
                <w:b/>
                <w:bCs/>
                <w:i/>
                <w:sz w:val="20"/>
                <w:szCs w:val="20"/>
              </w:rPr>
              <w:t xml:space="preserve">: </w:t>
            </w:r>
            <w:r>
              <w:rPr>
                <w:rFonts w:ascii="Times New Roman" w:hAnsi="Times New Roman"/>
                <w:b/>
                <w:i/>
                <w:sz w:val="20"/>
                <w:szCs w:val="20"/>
              </w:rPr>
              <w:t>« promouvoir les opportunités de développement de la petite enfance au Moyen-Orient et en Afrique du Nord » ; 1 Atelier sur l’habitat social et l’inclusion des ménages démunis ; 1 Atelier sur les outils de mesure des services rendus par l</w:t>
            </w:r>
            <w:r>
              <w:rPr>
                <w:rFonts w:ascii="Times New Roman" w:hAnsi="Times New Roman"/>
                <w:b/>
                <w:i/>
                <w:sz w:val="20"/>
                <w:szCs w:val="20"/>
              </w:rPr>
              <w:t>es établissements scolaires.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sz w:val="20"/>
                <w:szCs w:val="20"/>
              </w:rPr>
              <w:t>Atteint</w:t>
            </w:r>
          </w:p>
        </w:tc>
      </w:tr>
    </w:tbl>
    <w:p w:rsidR="00000000" w:rsidRDefault="00C6376C">
      <w:pPr>
        <w:sectPr w:rsidR="00000000">
          <w:footerReference w:type="default" r:id="rId41"/>
          <w:pgSz w:w="16838" w:h="11906" w:orient="landscape"/>
          <w:pgMar w:top="1418" w:right="1418" w:bottom="1418" w:left="1418" w:header="720" w:footer="720" w:gutter="0"/>
          <w:cols w:space="720"/>
        </w:sectPr>
      </w:pPr>
    </w:p>
    <w:p w:rsidR="00864EC1" w:rsidRDefault="00C6376C">
      <w:pPr>
        <w:suppressAutoHyphens w:val="0"/>
        <w:autoSpaceDE w:val="0"/>
        <w:spacing w:after="0" w:line="240" w:lineRule="auto"/>
        <w:jc w:val="both"/>
        <w:textAlignment w:val="auto"/>
      </w:pPr>
      <w:r>
        <w:rPr>
          <w:rFonts w:ascii="Times New Roman" w:hAnsi="Times New Roman"/>
        </w:rPr>
        <w:t xml:space="preserve">En référence au modèle de TANASHI, les taux de réalisation des produits signalent des progrès notables dans </w:t>
      </w:r>
      <w:r>
        <w:rPr>
          <w:rFonts w:ascii="Times New Roman" w:hAnsi="Times New Roman"/>
          <w:b/>
          <w:i/>
        </w:rPr>
        <w:t>la disponibilité, l’accès, l’utilisation et la qualité des données produites par l’ONDH</w:t>
      </w:r>
      <w:r>
        <w:rPr>
          <w:rFonts w:ascii="Times New Roman" w:hAnsi="Times New Roman"/>
        </w:rPr>
        <w:t xml:space="preserve">. Précisément, </w:t>
      </w:r>
      <w:r>
        <w:rPr>
          <w:rFonts w:ascii="Times New Roman" w:hAnsi="Times New Roman"/>
          <w:b/>
          <w:i/>
        </w:rPr>
        <w:t xml:space="preserve">la </w:t>
      </w:r>
      <w:r>
        <w:rPr>
          <w:rFonts w:ascii="Times New Roman" w:hAnsi="Times New Roman"/>
          <w:b/>
          <w:i/>
        </w:rPr>
        <w:t>disponibilité des données</w:t>
      </w:r>
      <w:r>
        <w:rPr>
          <w:rFonts w:ascii="Times New Roman" w:hAnsi="Times New Roman"/>
        </w:rPr>
        <w:t xml:space="preserve"> s’est nettement améliorée grâce à la réalisation de l’enquête panel ménages et l’accroissement du nombre d’études et d’enquêtes conduites par l’ONDH. La mise à jour régulière du SI Al Bacharia, la publication des bulletins de liai</w:t>
      </w:r>
      <w:r>
        <w:rPr>
          <w:rFonts w:ascii="Times New Roman" w:hAnsi="Times New Roman"/>
        </w:rPr>
        <w:t>son, la publication des études et des rapports, l’introduction de trois catégories notamment les femmes , les jeunes et les enfants dans ce système,  l’organisation des ateliers,  des séminaires, des conférences, etc. sont autant de moyens qui ont contribu</w:t>
      </w:r>
      <w:r>
        <w:rPr>
          <w:rFonts w:ascii="Times New Roman" w:hAnsi="Times New Roman"/>
        </w:rPr>
        <w:t xml:space="preserve">é à la disponibilité des données. En outre, la territorialisation du Système d’information (SIT) a élargi cette disponibilité au niveau régional et communal. </w:t>
      </w:r>
    </w:p>
    <w:p w:rsidR="00864EC1" w:rsidRDefault="00864EC1">
      <w:pPr>
        <w:suppressAutoHyphens w:val="0"/>
        <w:autoSpaceDE w:val="0"/>
        <w:spacing w:after="0" w:line="240" w:lineRule="auto"/>
        <w:jc w:val="both"/>
        <w:textAlignment w:val="auto"/>
        <w:rPr>
          <w:rFonts w:ascii="Times New Roman" w:hAnsi="Times New Roman"/>
        </w:rPr>
      </w:pPr>
    </w:p>
    <w:p w:rsidR="00864EC1" w:rsidRDefault="00C6376C">
      <w:pPr>
        <w:suppressAutoHyphens w:val="0"/>
        <w:autoSpaceDE w:val="0"/>
        <w:spacing w:after="0" w:line="240" w:lineRule="auto"/>
        <w:jc w:val="both"/>
        <w:textAlignment w:val="auto"/>
      </w:pPr>
      <w:r>
        <w:rPr>
          <w:rFonts w:ascii="Times New Roman" w:hAnsi="Times New Roman"/>
        </w:rPr>
        <w:t xml:space="preserve">S’agissant de </w:t>
      </w:r>
      <w:r>
        <w:rPr>
          <w:rFonts w:ascii="Times New Roman" w:hAnsi="Times New Roman"/>
          <w:b/>
          <w:i/>
        </w:rPr>
        <w:t>l’accès et l’utilisation des données</w:t>
      </w:r>
      <w:r>
        <w:rPr>
          <w:rFonts w:ascii="Times New Roman" w:hAnsi="Times New Roman"/>
        </w:rPr>
        <w:t xml:space="preserve">, en 2015, il a été constaté une augmentation </w:t>
      </w:r>
      <w:r>
        <w:rPr>
          <w:rFonts w:ascii="Times New Roman" w:hAnsi="Times New Roman"/>
        </w:rPr>
        <w:t>du nombre de clics qui s’est situé à 54716 clics pour une prévision estimée à 50000 clics. Les données produites par l’ONDH ont permis de revisiter et de réorienter l’INDH. Le ministère de l’éduction a affirmé que l’enquête panel ménages est exploitée pour</w:t>
      </w:r>
      <w:r>
        <w:rPr>
          <w:rFonts w:ascii="Times New Roman" w:hAnsi="Times New Roman"/>
        </w:rPr>
        <w:t xml:space="preserve"> l’élaboration, le suivi et l’évaluation des programmes dans le secteur de l’éducation. L’évaluation du programme TAYSSIR conduite par l’ONDH a mis en lumière les limites de l’appréhension et des réponses apportées à la problématique de l’échec scolaire pa</w:t>
      </w:r>
      <w:r>
        <w:rPr>
          <w:rFonts w:ascii="Times New Roman" w:hAnsi="Times New Roman"/>
        </w:rPr>
        <w:t>r les politiques éducatives. Elle a ainsi influencé la relecture des politiques éducatives. Les centres et les laboratoires de recherche des universités partenaires de l’ONDH utilisent  les données disponibles sur SI Al Bacharia dans les travaux de recherc</w:t>
      </w:r>
      <w:r>
        <w:rPr>
          <w:rFonts w:ascii="Times New Roman" w:hAnsi="Times New Roman"/>
        </w:rPr>
        <w:t>he notamment la publication des articles, la préparation des thèses de doctorat. Enfin, la qualité des données produites par l’ONDH est attestée par la qualité des outils et des approches méthodologiques utilisés, la rigueur scientifique dans la réalisatio</w:t>
      </w:r>
      <w:r>
        <w:rPr>
          <w:rFonts w:ascii="Times New Roman" w:hAnsi="Times New Roman"/>
        </w:rPr>
        <w:t xml:space="preserve">n des enquêtes et des études. La certification de l’ONDH par certaines institutions jouissant d’une grande notoriété dans le domaine des statistiques en l’occurrence Statistique Canada constitue une preuve crédible de la qualité des données produites. </w:t>
      </w:r>
    </w:p>
    <w:p w:rsidR="00864EC1" w:rsidRDefault="00C6376C">
      <w:pPr>
        <w:pStyle w:val="Titre4"/>
      </w:pPr>
      <w:r>
        <w:t>III</w:t>
      </w:r>
      <w:r>
        <w:t>.2.2 -  Efficience de la mise en œuvre du programme conjoint</w:t>
      </w:r>
    </w:p>
    <w:p w:rsidR="00864EC1" w:rsidRDefault="00C6376C">
      <w:pPr>
        <w:suppressAutoHyphens w:val="0"/>
        <w:autoSpaceDE w:val="0"/>
        <w:spacing w:after="0" w:line="240" w:lineRule="auto"/>
        <w:jc w:val="both"/>
        <w:textAlignment w:val="auto"/>
      </w:pPr>
      <w:r>
        <w:rPr>
          <w:rFonts w:ascii="Times New Roman" w:hAnsi="Times New Roman"/>
        </w:rPr>
        <w:t xml:space="preserve">L’appréciation de l’efficience a été guidée par la question et les sous questions évaluatives énoncées dans la matrice d’évaluation. </w:t>
      </w:r>
      <w:r>
        <w:rPr>
          <w:rFonts w:ascii="Times New Roman" w:hAnsi="Times New Roman"/>
          <w:i/>
        </w:rPr>
        <w:t xml:space="preserve">Le programme conjoint a-t-il été mis en œuvre de façon </w:t>
      </w:r>
      <w:r>
        <w:rPr>
          <w:rFonts w:ascii="Times New Roman" w:hAnsi="Times New Roman"/>
          <w:i/>
        </w:rPr>
        <w:t xml:space="preserve">efficiente, conformément aux normes et standards nationaux et internationaux ? </w:t>
      </w:r>
      <w:r>
        <w:rPr>
          <w:rFonts w:ascii="Times New Roman" w:eastAsia="Times New Roman" w:hAnsi="Times New Roman"/>
          <w:i/>
          <w:color w:val="303030"/>
          <w:lang w:eastAsia="fr-FR"/>
        </w:rPr>
        <w:t>Les ressources du programme (humaines, matérielles et techniques) ont-elles été adéquates et utilisées de manière optimale ? Les activités ont-elles été mises en œuvre en respec</w:t>
      </w:r>
      <w:r>
        <w:rPr>
          <w:rFonts w:ascii="Times New Roman" w:eastAsia="Times New Roman" w:hAnsi="Times New Roman"/>
          <w:i/>
          <w:color w:val="303030"/>
          <w:lang w:eastAsia="fr-FR"/>
        </w:rPr>
        <w:t>tant le calendrier proposé ?</w:t>
      </w:r>
    </w:p>
    <w:p w:rsidR="00864EC1" w:rsidRDefault="00864EC1">
      <w:pPr>
        <w:suppressAutoHyphens w:val="0"/>
        <w:autoSpaceDE w:val="0"/>
        <w:spacing w:after="0" w:line="240" w:lineRule="auto"/>
        <w:jc w:val="both"/>
        <w:textAlignment w:val="auto"/>
        <w:rPr>
          <w:rFonts w:ascii="Times New Roman" w:hAnsi="Times New Roman"/>
        </w:rPr>
      </w:pPr>
    </w:p>
    <w:p w:rsidR="00864EC1" w:rsidRDefault="00C6376C">
      <w:pPr>
        <w:jc w:val="both"/>
        <w:rPr>
          <w:rFonts w:ascii="Times New Roman" w:hAnsi="Times New Roman"/>
        </w:rPr>
      </w:pPr>
      <w:r>
        <w:rPr>
          <w:rFonts w:ascii="Times New Roman" w:hAnsi="Times New Roman"/>
        </w:rPr>
        <w:t>L’efficience a été appréciée en se basant sur le taux d’exécution financière des différents produits et la comparaison des taux de réalisation des cibles et les taux d’exécution financière des produits. L’échelle de notation a</w:t>
      </w:r>
      <w:r>
        <w:rPr>
          <w:rFonts w:ascii="Times New Roman" w:hAnsi="Times New Roman"/>
        </w:rPr>
        <w:t xml:space="preserve"> été utilisée pour porter un jugement de valeurs sur l’efficience. Le tableau 2  et le  graphique 2 ci-après montrent que de 2012 à 2015, le taux global d’exécution financière du programme conjoint et les taux d’exécution financière des trois produits ont </w:t>
      </w:r>
      <w:r>
        <w:rPr>
          <w:rFonts w:ascii="Times New Roman" w:hAnsi="Times New Roman"/>
        </w:rPr>
        <w:t xml:space="preserve">évolué en dents de scie. Précisément, le taux global d’exécution financière est passé de 81% en 2012 à 79% en 2015. </w:t>
      </w:r>
    </w:p>
    <w:p w:rsidR="00864EC1" w:rsidRDefault="00C6376C">
      <w:pPr>
        <w:jc w:val="both"/>
        <w:rPr>
          <w:rFonts w:ascii="Times New Roman" w:hAnsi="Times New Roman"/>
          <w:b/>
        </w:rPr>
      </w:pPr>
      <w:r>
        <w:rPr>
          <w:rFonts w:ascii="Times New Roman" w:hAnsi="Times New Roman"/>
          <w:b/>
        </w:rPr>
        <w:t xml:space="preserve">Tableau 2 : Taux d’exécution financière  du programme conjoint  </w:t>
      </w:r>
    </w:p>
    <w:tbl>
      <w:tblPr>
        <w:tblW w:w="6379" w:type="dxa"/>
        <w:tblInd w:w="70" w:type="dxa"/>
        <w:tblCellMar>
          <w:left w:w="10" w:type="dxa"/>
          <w:right w:w="10" w:type="dxa"/>
        </w:tblCellMar>
        <w:tblLook w:val="04A0" w:firstRow="1" w:lastRow="0" w:firstColumn="1" w:lastColumn="0" w:noHBand="0" w:noVBand="1"/>
      </w:tblPr>
      <w:tblGrid>
        <w:gridCol w:w="2694"/>
        <w:gridCol w:w="992"/>
        <w:gridCol w:w="850"/>
        <w:gridCol w:w="851"/>
        <w:gridCol w:w="992"/>
      </w:tblGrid>
      <w:tr w:rsidR="00864EC1">
        <w:tblPrEx>
          <w:tblCellMar>
            <w:top w:w="0" w:type="dxa"/>
            <w:bottom w:w="0" w:type="dxa"/>
          </w:tblCellMar>
        </w:tblPrEx>
        <w:trPr>
          <w:trHeight w:val="594"/>
        </w:trPr>
        <w:tc>
          <w:tcPr>
            <w:tcW w:w="2694" w:type="dxa"/>
            <w:tcBorders>
              <w:top w:val="single" w:sz="4" w:space="0" w:color="000000"/>
              <w:left w:val="single" w:sz="4" w:space="0" w:color="000000"/>
              <w:bottom w:val="single" w:sz="6" w:space="0" w:color="000000"/>
              <w:right w:val="single" w:sz="6" w:space="0" w:color="000000"/>
            </w:tcBorders>
            <w:shd w:val="clear" w:color="auto" w:fill="D9D9D9"/>
            <w:noWrap/>
            <w:tcMar>
              <w:top w:w="0" w:type="dxa"/>
              <w:left w:w="70" w:type="dxa"/>
              <w:bottom w:w="0" w:type="dxa"/>
              <w:right w:w="70" w:type="dxa"/>
            </w:tcMar>
            <w:vAlign w:val="bottom"/>
          </w:tcPr>
          <w:p w:rsidR="00864EC1" w:rsidRDefault="00C6376C">
            <w:pPr>
              <w:suppressAutoHyphens w:val="0"/>
              <w:spacing w:after="0" w:line="240" w:lineRule="auto"/>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                               Années</w:t>
            </w:r>
          </w:p>
          <w:p w:rsidR="00864EC1" w:rsidRDefault="00C6376C">
            <w:pPr>
              <w:suppressAutoHyphens w:val="0"/>
              <w:spacing w:after="0" w:line="240" w:lineRule="auto"/>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 xml:space="preserve">Produits </w:t>
            </w:r>
          </w:p>
        </w:tc>
        <w:tc>
          <w:tcPr>
            <w:tcW w:w="992" w:type="dxa"/>
            <w:tcBorders>
              <w:top w:val="single" w:sz="4" w:space="0" w:color="000000"/>
              <w:left w:val="single" w:sz="6" w:space="0" w:color="000000"/>
              <w:bottom w:val="single" w:sz="6" w:space="0" w:color="000000"/>
              <w:right w:val="single" w:sz="6" w:space="0" w:color="000000"/>
            </w:tcBorders>
            <w:shd w:val="clear" w:color="auto" w:fill="D9D9D9"/>
            <w:noWrap/>
            <w:tcMar>
              <w:top w:w="0" w:type="dxa"/>
              <w:left w:w="70" w:type="dxa"/>
              <w:bottom w:w="0" w:type="dxa"/>
              <w:right w:w="70" w:type="dxa"/>
            </w:tcMar>
            <w:vAlign w:val="bottom"/>
          </w:tcPr>
          <w:p w:rsidR="00864EC1" w:rsidRDefault="00C6376C">
            <w:pPr>
              <w:suppressAutoHyphens w:val="0"/>
              <w:spacing w:after="0" w:line="240" w:lineRule="auto"/>
              <w:jc w:val="center"/>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2012</w:t>
            </w:r>
          </w:p>
        </w:tc>
        <w:tc>
          <w:tcPr>
            <w:tcW w:w="850" w:type="dxa"/>
            <w:tcBorders>
              <w:top w:val="single" w:sz="4" w:space="0" w:color="000000"/>
              <w:left w:val="single" w:sz="6" w:space="0" w:color="000000"/>
              <w:bottom w:val="single" w:sz="6" w:space="0" w:color="000000"/>
              <w:right w:val="single" w:sz="6" w:space="0" w:color="000000"/>
            </w:tcBorders>
            <w:shd w:val="clear" w:color="auto" w:fill="D9D9D9"/>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2013</w:t>
            </w:r>
          </w:p>
        </w:tc>
        <w:tc>
          <w:tcPr>
            <w:tcW w:w="851" w:type="dxa"/>
            <w:tcBorders>
              <w:top w:val="single" w:sz="4" w:space="0" w:color="000000"/>
              <w:left w:val="single" w:sz="6" w:space="0" w:color="000000"/>
              <w:bottom w:val="single" w:sz="6" w:space="0" w:color="000000"/>
              <w:right w:val="single" w:sz="6" w:space="0" w:color="000000"/>
            </w:tcBorders>
            <w:shd w:val="clear" w:color="auto" w:fill="D9D9D9"/>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2014</w:t>
            </w:r>
          </w:p>
        </w:tc>
        <w:tc>
          <w:tcPr>
            <w:tcW w:w="992"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2015</w:t>
            </w:r>
          </w:p>
        </w:tc>
      </w:tr>
      <w:tr w:rsidR="00864EC1">
        <w:tblPrEx>
          <w:tblCellMar>
            <w:top w:w="0" w:type="dxa"/>
            <w:bottom w:w="0" w:type="dxa"/>
          </w:tblCellMar>
        </w:tblPrEx>
        <w:trPr>
          <w:trHeight w:val="300"/>
        </w:trPr>
        <w:tc>
          <w:tcPr>
            <w:tcW w:w="2694"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Produit 1</w:t>
            </w: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82%</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93%</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60%</w:t>
            </w:r>
          </w:p>
        </w:tc>
        <w:tc>
          <w:tcPr>
            <w:tcW w:w="992"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98%</w:t>
            </w:r>
          </w:p>
        </w:tc>
      </w:tr>
      <w:tr w:rsidR="00864EC1">
        <w:tblPrEx>
          <w:tblCellMar>
            <w:top w:w="0" w:type="dxa"/>
            <w:bottom w:w="0" w:type="dxa"/>
          </w:tblCellMar>
        </w:tblPrEx>
        <w:trPr>
          <w:trHeight w:val="300"/>
        </w:trPr>
        <w:tc>
          <w:tcPr>
            <w:tcW w:w="2694"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Produit 2</w:t>
            </w: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83%</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56%</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57%</w:t>
            </w:r>
          </w:p>
        </w:tc>
        <w:tc>
          <w:tcPr>
            <w:tcW w:w="992"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59%</w:t>
            </w:r>
          </w:p>
        </w:tc>
      </w:tr>
      <w:tr w:rsidR="00864EC1">
        <w:tblPrEx>
          <w:tblCellMar>
            <w:top w:w="0" w:type="dxa"/>
            <w:bottom w:w="0" w:type="dxa"/>
          </w:tblCellMar>
        </w:tblPrEx>
        <w:trPr>
          <w:trHeight w:val="300"/>
        </w:trPr>
        <w:tc>
          <w:tcPr>
            <w:tcW w:w="2694"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Produit 3</w:t>
            </w: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59%</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54%</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95%</w:t>
            </w:r>
          </w:p>
        </w:tc>
        <w:tc>
          <w:tcPr>
            <w:tcW w:w="992"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110%</w:t>
            </w:r>
          </w:p>
        </w:tc>
      </w:tr>
      <w:tr w:rsidR="00864EC1">
        <w:tblPrEx>
          <w:tblCellMar>
            <w:top w:w="0" w:type="dxa"/>
            <w:bottom w:w="0" w:type="dxa"/>
          </w:tblCellMar>
        </w:tblPrEx>
        <w:trPr>
          <w:trHeight w:val="300"/>
        </w:trPr>
        <w:tc>
          <w:tcPr>
            <w:tcW w:w="2694"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 xml:space="preserve">Total </w:t>
            </w:r>
          </w:p>
        </w:tc>
        <w:tc>
          <w:tcPr>
            <w:tcW w:w="992"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81%</w:t>
            </w:r>
          </w:p>
        </w:tc>
        <w:tc>
          <w:tcPr>
            <w:tcW w:w="850"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80%</w:t>
            </w:r>
          </w:p>
        </w:tc>
        <w:tc>
          <w:tcPr>
            <w:tcW w:w="851"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67%</w:t>
            </w:r>
          </w:p>
        </w:tc>
        <w:tc>
          <w:tcPr>
            <w:tcW w:w="992"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4EC1" w:rsidRDefault="00C6376C">
            <w:pPr>
              <w:suppressAutoHyphens w:val="0"/>
              <w:spacing w:after="0" w:line="240" w:lineRule="auto"/>
              <w:jc w:val="right"/>
              <w:textAlignment w:val="auto"/>
              <w:rPr>
                <w:rFonts w:ascii="Times New Roman" w:eastAsia="Times New Roman" w:hAnsi="Times New Roman"/>
                <w:b/>
                <w:color w:val="000000"/>
                <w:lang w:eastAsia="fr-FR"/>
              </w:rPr>
            </w:pPr>
            <w:r>
              <w:rPr>
                <w:rFonts w:ascii="Times New Roman" w:eastAsia="Times New Roman" w:hAnsi="Times New Roman"/>
                <w:b/>
                <w:color w:val="000000"/>
                <w:lang w:eastAsia="fr-FR"/>
              </w:rPr>
              <w:t>79%</w:t>
            </w:r>
          </w:p>
        </w:tc>
      </w:tr>
    </w:tbl>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C6376C">
      <w:pPr>
        <w:jc w:val="both"/>
        <w:rPr>
          <w:rFonts w:ascii="Times New Roman" w:hAnsi="Times New Roman"/>
        </w:rPr>
      </w:pPr>
      <w:r>
        <w:rPr>
          <w:rFonts w:ascii="Times New Roman" w:hAnsi="Times New Roman"/>
        </w:rPr>
        <w:t>La baisse la plus forte a été enregistrée pour le produit 2 qui porte sur les évaluations des politiques et la réalisation des études. En revanche,</w:t>
      </w:r>
      <w:r>
        <w:rPr>
          <w:rFonts w:ascii="Times New Roman" w:hAnsi="Times New Roman"/>
        </w:rPr>
        <w:t xml:space="preserve"> le produit 3 a connu la plus forte hausse. Ces tendances particulièrement la forte baisse du taux d’exécution financière du produit 2 pourraient s’expliquer par la nature des activités financées, les modalités ou les procédures de paiement. On peut citer </w:t>
      </w:r>
      <w:r>
        <w:rPr>
          <w:rFonts w:ascii="Times New Roman" w:hAnsi="Times New Roman"/>
        </w:rPr>
        <w:t>le cas de  la réalisation des études souvent sujette à des modalités ou des procédures de paiement qui ont des répercussions sur les taux d’exécution financière. Les paiements sont généralement suspendus à la livraison des rapports dont les délais convenus</w:t>
      </w:r>
      <w:r>
        <w:rPr>
          <w:rFonts w:ascii="Times New Roman" w:hAnsi="Times New Roman"/>
        </w:rPr>
        <w:t xml:space="preserve"> ne sont pas toujours respectés par les prestataires des services retenus. </w:t>
      </w:r>
    </w:p>
    <w:p w:rsidR="00864EC1" w:rsidRDefault="00C6376C">
      <w:pPr>
        <w:jc w:val="both"/>
      </w:pPr>
      <w:r>
        <w:rPr>
          <w:rFonts w:ascii="Times New Roman" w:hAnsi="Times New Roman"/>
          <w:b/>
        </w:rPr>
        <w:t>Graphique 2 :</w:t>
      </w:r>
      <w:r>
        <w:rPr>
          <w:rFonts w:ascii="Times New Roman" w:hAnsi="Times New Roman"/>
        </w:rPr>
        <w:t xml:space="preserve"> </w:t>
      </w:r>
      <w:r>
        <w:rPr>
          <w:rFonts w:ascii="Times New Roman" w:hAnsi="Times New Roman"/>
          <w:b/>
        </w:rPr>
        <w:t xml:space="preserve">Taux d’exécution financière  du programme conjoint  </w:t>
      </w:r>
    </w:p>
    <w:p w:rsidR="00864EC1" w:rsidRDefault="00C6376C">
      <w:pPr>
        <w:jc w:val="both"/>
      </w:pPr>
      <w:r>
        <w:rPr>
          <w:noProof/>
          <w:lang w:eastAsia="fr-FR"/>
        </w:rPr>
        <w:drawing>
          <wp:inline distT="0" distB="0" distL="0" distR="0">
            <wp:extent cx="4572000" cy="2743200"/>
            <wp:effectExtent l="0" t="0" r="0" b="0"/>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64EC1" w:rsidRDefault="00864EC1">
      <w:pPr>
        <w:jc w:val="both"/>
      </w:pPr>
    </w:p>
    <w:p w:rsidR="00864EC1" w:rsidRDefault="00C6376C">
      <w:pPr>
        <w:jc w:val="both"/>
        <w:rPr>
          <w:rFonts w:ascii="Times New Roman" w:hAnsi="Times New Roman"/>
        </w:rPr>
      </w:pPr>
      <w:r>
        <w:rPr>
          <w:rFonts w:ascii="Times New Roman" w:hAnsi="Times New Roman"/>
        </w:rPr>
        <w:t>Le graphique 2 ci-dessous montre que pour les produits 1 et 3, les taux d’exécution financière sont plus élevé</w:t>
      </w:r>
      <w:r>
        <w:rPr>
          <w:rFonts w:ascii="Times New Roman" w:hAnsi="Times New Roman"/>
        </w:rPr>
        <w:t>s que les taux de réalisation des cibles. La consommation des fonds a donc été importante. Cependant, pour le produit 2, le taux d’exécution financière est plus faible que le taux de réalisation des cibles. Ce constat pourrait aussi être justifié par les d</w:t>
      </w:r>
      <w:r>
        <w:rPr>
          <w:rFonts w:ascii="Times New Roman" w:hAnsi="Times New Roman"/>
        </w:rPr>
        <w:t xml:space="preserve">élais de livraison des services notamment les études et  les modalités ou les procédures de paiement. </w:t>
      </w:r>
    </w:p>
    <w:p w:rsidR="00864EC1" w:rsidRDefault="00C6376C">
      <w:pPr>
        <w:jc w:val="both"/>
      </w:pPr>
      <w:r>
        <w:rPr>
          <w:rFonts w:ascii="Times New Roman" w:hAnsi="Times New Roman"/>
        </w:rPr>
        <w:t>Eu égard aux données financières recueillies dans les PTA et les CDR signés, de 2012 à 2015, le programme conjoint a consommé 68% de son budget total ini</w:t>
      </w:r>
      <w:r>
        <w:rPr>
          <w:rFonts w:ascii="Times New Roman" w:hAnsi="Times New Roman"/>
        </w:rPr>
        <w:t xml:space="preserve">tial. Précisément, le document de programme affiche un budget estimé à </w:t>
      </w:r>
      <w:r>
        <w:rPr>
          <w:rFonts w:ascii="Times New Roman" w:hAnsi="Times New Roman"/>
          <w:b/>
          <w:i/>
        </w:rPr>
        <w:t>2500000 $</w:t>
      </w:r>
      <w:r>
        <w:rPr>
          <w:rFonts w:ascii="Times New Roman" w:hAnsi="Times New Roman"/>
        </w:rPr>
        <w:t xml:space="preserve">. Les dépenses totales se sont élevées à </w:t>
      </w:r>
      <w:r>
        <w:rPr>
          <w:rFonts w:ascii="Times New Roman" w:hAnsi="Times New Roman"/>
          <w:b/>
          <w:i/>
        </w:rPr>
        <w:t>1707271 $</w:t>
      </w:r>
      <w:r>
        <w:rPr>
          <w:rFonts w:ascii="Times New Roman" w:hAnsi="Times New Roman"/>
        </w:rPr>
        <w:t xml:space="preserve"> environ. En définitive, on peut affirmer que la gestion du programme conjoint a été efficiente et satisfaisante. Les taux d’e</w:t>
      </w:r>
      <w:r>
        <w:rPr>
          <w:rFonts w:ascii="Times New Roman" w:hAnsi="Times New Roman"/>
        </w:rPr>
        <w:t xml:space="preserve">xécution financière ont été élevés pour  les produits 1 et 3. Mais, estimée à 68% au cours de la période, la consommation des fonds  a été plutôt jugée assez satisfaisante. L’ONDH devra redoubler d’efforts dans la consommation des fonds au cours de 2016.  </w:t>
      </w: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C6376C">
      <w:pPr>
        <w:jc w:val="both"/>
      </w:pPr>
      <w:r>
        <w:rPr>
          <w:rFonts w:ascii="Times New Roman" w:hAnsi="Times New Roman"/>
          <w:b/>
        </w:rPr>
        <w:t xml:space="preserve">Graphique 3 : Comparaison des taux de réalisation des cibles et des taux d’exécution financière </w:t>
      </w:r>
    </w:p>
    <w:p w:rsidR="00864EC1" w:rsidRDefault="00C6376C">
      <w:pPr>
        <w:jc w:val="both"/>
      </w:pPr>
      <w:r>
        <w:rPr>
          <w:noProof/>
          <w:lang w:eastAsia="fr-FR"/>
        </w:rPr>
        <w:drawing>
          <wp:inline distT="0" distB="0" distL="0" distR="0">
            <wp:extent cx="5504816" cy="2313944"/>
            <wp:effectExtent l="0" t="0" r="0" b="0"/>
            <wp:docPr id="6"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Times New Roman" w:hAnsi="Times New Roman"/>
        </w:rPr>
        <w:t xml:space="preserve">   </w:t>
      </w:r>
    </w:p>
    <w:p w:rsidR="00864EC1" w:rsidRDefault="00864EC1">
      <w:pPr>
        <w:jc w:val="both"/>
        <w:rPr>
          <w:rFonts w:ascii="Times New Roman" w:hAnsi="Times New Roman"/>
          <w:b/>
          <w:i/>
        </w:rPr>
      </w:pPr>
    </w:p>
    <w:p w:rsidR="00864EC1" w:rsidRDefault="00C6376C">
      <w:pPr>
        <w:pStyle w:val="Titre4"/>
      </w:pPr>
      <w:r>
        <w:t>III.2.3 -  Cohérence interne et externe du programme conjoint</w:t>
      </w:r>
    </w:p>
    <w:p w:rsidR="00864EC1" w:rsidRDefault="00C6376C">
      <w:pPr>
        <w:jc w:val="both"/>
      </w:pPr>
      <w:r>
        <w:rPr>
          <w:rFonts w:ascii="Times New Roman" w:hAnsi="Times New Roman"/>
        </w:rPr>
        <w:t>L’analyse a été orientée par la question et les sous questions évaluatives suivantes </w:t>
      </w:r>
      <w:r>
        <w:rPr>
          <w:rFonts w:ascii="Times New Roman" w:hAnsi="Times New Roman"/>
        </w:rPr>
        <w:t xml:space="preserve">: </w:t>
      </w:r>
      <w:r>
        <w:rPr>
          <w:rFonts w:ascii="Times New Roman" w:hAnsi="Times New Roman"/>
          <w:i/>
        </w:rPr>
        <w:t xml:space="preserve">Le programme conjoint est- il en cohérence avec les orientations stratégiques et les priorités nationales ? </w:t>
      </w:r>
      <w:r>
        <w:rPr>
          <w:rFonts w:ascii="Times New Roman" w:eastAsia="Times New Roman" w:hAnsi="Times New Roman"/>
          <w:i/>
          <w:color w:val="303030"/>
          <w:lang w:eastAsia="fr-FR"/>
        </w:rPr>
        <w:t>Les composantes sont-elles cohérentes pour répondre aux résultats escomptés ?</w:t>
      </w:r>
    </w:p>
    <w:p w:rsidR="00864EC1" w:rsidRDefault="00C6376C">
      <w:pPr>
        <w:jc w:val="both"/>
        <w:rPr>
          <w:rFonts w:ascii="Times New Roman" w:eastAsia="Times New Roman" w:hAnsi="Times New Roman"/>
          <w:color w:val="303030"/>
          <w:lang w:eastAsia="fr-FR"/>
        </w:rPr>
      </w:pPr>
      <w:r>
        <w:rPr>
          <w:rFonts w:ascii="Times New Roman" w:eastAsia="Times New Roman" w:hAnsi="Times New Roman"/>
          <w:color w:val="303030"/>
          <w:lang w:eastAsia="fr-FR"/>
        </w:rPr>
        <w:t>Le programme conjoint est en cohérence avec les orientations stratég</w:t>
      </w:r>
      <w:r>
        <w:rPr>
          <w:rFonts w:ascii="Times New Roman" w:eastAsia="Times New Roman" w:hAnsi="Times New Roman"/>
          <w:color w:val="303030"/>
          <w:lang w:eastAsia="fr-FR"/>
        </w:rPr>
        <w:t>iques et les priorités nationales. Comme on l’a montré plus haut, ses interventions se focalisent sur l’institutionnalisation de l’évaluation des politiques publiques, le renforcement des capacités et l’appui à l’ONDH dans l’innovation des outils et des mé</w:t>
      </w:r>
      <w:r>
        <w:rPr>
          <w:rFonts w:ascii="Times New Roman" w:eastAsia="Times New Roman" w:hAnsi="Times New Roman"/>
          <w:color w:val="303030"/>
          <w:lang w:eastAsia="fr-FR"/>
        </w:rPr>
        <w:t>thodologies d’évaluation des politiques publiques, la production et la diffusion des données et des connaissances. Ces différentes thématiques figurent parmi les orientations stratégiques et les priorités nationales. Le programme conjoint a contribué au re</w:t>
      </w:r>
      <w:r>
        <w:rPr>
          <w:rFonts w:ascii="Times New Roman" w:eastAsia="Times New Roman" w:hAnsi="Times New Roman"/>
          <w:color w:val="303030"/>
          <w:lang w:eastAsia="fr-FR"/>
        </w:rPr>
        <w:t>nforcement de la cohérence externe dans le cadre du processus d’institutionnalisation de l’évaluation des politiques publiques et de la production des données. Son appui technique a aidé l’ONDH à promouvoir les échanges des données, d’informations et des c</w:t>
      </w:r>
      <w:r>
        <w:rPr>
          <w:rFonts w:ascii="Times New Roman" w:eastAsia="Times New Roman" w:hAnsi="Times New Roman"/>
          <w:color w:val="303030"/>
          <w:lang w:eastAsia="fr-FR"/>
        </w:rPr>
        <w:t xml:space="preserve">onnaissances avec les autres acteurs à travers la réalisation des études et des enquêtes, l’organisation des conférences, des ateliers et des séminaires. La cohérence externe a été particulièrement renforcée avec les ministères sectoriels. </w:t>
      </w:r>
    </w:p>
    <w:p w:rsidR="00864EC1" w:rsidRDefault="00C6376C">
      <w:pPr>
        <w:jc w:val="both"/>
        <w:rPr>
          <w:rFonts w:ascii="Times New Roman" w:eastAsia="Times New Roman" w:hAnsi="Times New Roman"/>
          <w:color w:val="303030"/>
          <w:lang w:eastAsia="fr-FR"/>
        </w:rPr>
      </w:pPr>
      <w:r>
        <w:rPr>
          <w:rFonts w:ascii="Times New Roman" w:eastAsia="Times New Roman" w:hAnsi="Times New Roman"/>
          <w:color w:val="303030"/>
          <w:lang w:eastAsia="fr-FR"/>
        </w:rPr>
        <w:t>Cependant, en d</w:t>
      </w:r>
      <w:r>
        <w:rPr>
          <w:rFonts w:ascii="Times New Roman" w:eastAsia="Times New Roman" w:hAnsi="Times New Roman"/>
          <w:color w:val="303030"/>
          <w:lang w:eastAsia="fr-FR"/>
        </w:rPr>
        <w:t>épit des efforts notables consentis par l’ONDH avec l’appui du programme conjoint, la cohérence externe demeure une exigence politique et technique qui découle de la complexité de l’environnement institutionnel et du processus d’institutionnalisation ainsi</w:t>
      </w:r>
      <w:r>
        <w:rPr>
          <w:rFonts w:ascii="Times New Roman" w:eastAsia="Times New Roman" w:hAnsi="Times New Roman"/>
          <w:color w:val="303030"/>
          <w:lang w:eastAsia="fr-FR"/>
        </w:rPr>
        <w:t xml:space="preserve"> que de l’impératif de la convergence des politiques publiques.  Le programme conjoint intervient dans un environnement institutionnel caractérisé par la présence de plusieurs acteurs qui interviennent dans le processus d’institutionnalisation de l’évaluat</w:t>
      </w:r>
      <w:r>
        <w:rPr>
          <w:rFonts w:ascii="Times New Roman" w:eastAsia="Times New Roman" w:hAnsi="Times New Roman"/>
          <w:color w:val="303030"/>
          <w:lang w:eastAsia="fr-FR"/>
        </w:rPr>
        <w:t xml:space="preserve">ion des politiques publiques et la production des données. Précisément, l’évaluation des politiques publiques mobilise les principaux acteurs suivants : le Haut-commissariat au plan (HCP), le Conseil économique, social et environnemental, le ministère des </w:t>
      </w:r>
      <w:r>
        <w:rPr>
          <w:rFonts w:ascii="Times New Roman" w:eastAsia="Times New Roman" w:hAnsi="Times New Roman"/>
          <w:color w:val="303030"/>
          <w:lang w:eastAsia="fr-FR"/>
        </w:rPr>
        <w:t xml:space="preserve">affaires générales, le ministère des finances, les ministères sectoriels. Le HCP, le ministère des affaires générales bénéficient aussi de l’appui des Nations Unies en matière d’institutionnalisation et de production des données. </w:t>
      </w:r>
    </w:p>
    <w:p w:rsidR="00864EC1" w:rsidRDefault="00C6376C">
      <w:pPr>
        <w:jc w:val="both"/>
        <w:rPr>
          <w:rFonts w:ascii="Times New Roman" w:eastAsia="Times New Roman" w:hAnsi="Times New Roman"/>
          <w:color w:val="303030"/>
          <w:lang w:eastAsia="fr-FR"/>
        </w:rPr>
      </w:pPr>
      <w:r>
        <w:rPr>
          <w:rFonts w:ascii="Times New Roman" w:eastAsia="Times New Roman" w:hAnsi="Times New Roman"/>
          <w:color w:val="303030"/>
          <w:lang w:eastAsia="fr-FR"/>
        </w:rPr>
        <w:t>Sur le plan politique, la</w:t>
      </w:r>
      <w:r>
        <w:rPr>
          <w:rFonts w:ascii="Times New Roman" w:eastAsia="Times New Roman" w:hAnsi="Times New Roman"/>
          <w:color w:val="303030"/>
          <w:lang w:eastAsia="fr-FR"/>
        </w:rPr>
        <w:t xml:space="preserve"> constitution a eu le mérite d’institutionnaliser l’évaluation des politiques publiques. Mais, elle est muette sur les dispositions relatives à la coordination et aux rôles respectifs des différents acteurs dans la conduite du processus d’institutionnalisa</w:t>
      </w:r>
      <w:r>
        <w:rPr>
          <w:rFonts w:ascii="Times New Roman" w:eastAsia="Times New Roman" w:hAnsi="Times New Roman"/>
          <w:color w:val="303030"/>
          <w:lang w:eastAsia="fr-FR"/>
        </w:rPr>
        <w:t>tion. Les mandats et les domaines d’intervention de ces différents acteurs sont certes bien circonscrits dans leurs textes de base. Les entretiens et l’analyse documentaire ont révélé que ces différents acteurs collaborent et entretiennent des échanges des</w:t>
      </w:r>
      <w:r>
        <w:rPr>
          <w:rFonts w:ascii="Times New Roman" w:eastAsia="Times New Roman" w:hAnsi="Times New Roman"/>
          <w:color w:val="303030"/>
          <w:lang w:eastAsia="fr-FR"/>
        </w:rPr>
        <w:t xml:space="preserve"> données, d’informations et des connaissances. Mais, il a été signalé la nécessité de renforcer la collaboration entre l’ONDH et le HCP. En dépit de cette collaboration entre les différents producteurs des données, il a été déploré l’absence des mécanismes</w:t>
      </w:r>
      <w:r>
        <w:rPr>
          <w:rFonts w:ascii="Times New Roman" w:eastAsia="Times New Roman" w:hAnsi="Times New Roman"/>
          <w:color w:val="303030"/>
          <w:lang w:eastAsia="fr-FR"/>
        </w:rPr>
        <w:t xml:space="preserve"> de coordination formels et adéquats de coordination. En outre, la convergence des politiques publiques suppose l’existence d’un référentiel commun, le dialogue et la coordination tout au long du cycle de la politique publique notamment l’élaboration, la m</w:t>
      </w:r>
      <w:r>
        <w:rPr>
          <w:rFonts w:ascii="Times New Roman" w:eastAsia="Times New Roman" w:hAnsi="Times New Roman"/>
          <w:color w:val="303030"/>
          <w:lang w:eastAsia="fr-FR"/>
        </w:rPr>
        <w:t xml:space="preserve">ise en œuvre, le suivi et l’évaluation.   </w:t>
      </w:r>
    </w:p>
    <w:p w:rsidR="00864EC1" w:rsidRDefault="00C6376C">
      <w:pPr>
        <w:jc w:val="both"/>
        <w:rPr>
          <w:rFonts w:ascii="Times New Roman" w:eastAsia="Times New Roman" w:hAnsi="Times New Roman"/>
          <w:color w:val="303030"/>
          <w:lang w:eastAsia="fr-FR"/>
        </w:rPr>
      </w:pPr>
      <w:r>
        <w:rPr>
          <w:rFonts w:ascii="Times New Roman" w:eastAsia="Times New Roman" w:hAnsi="Times New Roman"/>
          <w:color w:val="303030"/>
          <w:lang w:eastAsia="fr-FR"/>
        </w:rPr>
        <w:t>Sur le plan technique, la convergence des politiques publiques requiert aussi la coordination de l’évaluation des politiques publiques qui implique la définition des normes communes, une standardisation des méthod</w:t>
      </w:r>
      <w:r>
        <w:rPr>
          <w:rFonts w:ascii="Times New Roman" w:eastAsia="Times New Roman" w:hAnsi="Times New Roman"/>
          <w:color w:val="303030"/>
          <w:lang w:eastAsia="fr-FR"/>
        </w:rPr>
        <w:t>es de collecte et de calcul des indicateurs, l’harmonisation des fréquences de collecte des données.  A ce propos, il sied de faire observer que  la collecte des données pour renseigner certains indicateurs particulièrement les indicateurs composites néces</w:t>
      </w:r>
      <w:r>
        <w:rPr>
          <w:rFonts w:ascii="Times New Roman" w:eastAsia="Times New Roman" w:hAnsi="Times New Roman"/>
          <w:color w:val="303030"/>
          <w:lang w:eastAsia="fr-FR"/>
        </w:rPr>
        <w:t>site une coordination. A titre d’illustration, on peut citer le cas de l’Indice de développement humain (IDH) dont le calcul requiert la collecte des données auprès de différents acteurs. La production de cet indicateur à une période donnée suppose une coo</w:t>
      </w:r>
      <w:r>
        <w:rPr>
          <w:rFonts w:ascii="Times New Roman" w:eastAsia="Times New Roman" w:hAnsi="Times New Roman"/>
          <w:color w:val="303030"/>
          <w:lang w:eastAsia="fr-FR"/>
        </w:rPr>
        <w:t xml:space="preserve">rdination et une concertation entre les acteurs concernés sur la fréquence et les méthodes de collecte des données.  </w:t>
      </w:r>
    </w:p>
    <w:p w:rsidR="00864EC1" w:rsidRDefault="00C6376C">
      <w:pPr>
        <w:jc w:val="both"/>
        <w:rPr>
          <w:rFonts w:ascii="Times New Roman" w:eastAsia="Times New Roman" w:hAnsi="Times New Roman"/>
          <w:color w:val="303030"/>
          <w:lang w:eastAsia="fr-FR"/>
        </w:rPr>
      </w:pPr>
      <w:r>
        <w:rPr>
          <w:rFonts w:ascii="Times New Roman" w:eastAsia="Times New Roman" w:hAnsi="Times New Roman"/>
          <w:color w:val="303030"/>
          <w:lang w:eastAsia="fr-FR"/>
        </w:rPr>
        <w:t>En définitive, le processus d’institutionnalisation exige donc la mise en place des mécanismes adéquats de coordination, de dialogue ou de</w:t>
      </w:r>
      <w:r>
        <w:rPr>
          <w:rFonts w:ascii="Times New Roman" w:eastAsia="Times New Roman" w:hAnsi="Times New Roman"/>
          <w:color w:val="303030"/>
          <w:lang w:eastAsia="fr-FR"/>
        </w:rPr>
        <w:t xml:space="preserve"> concertation pour garantir la cohérence des interventions des différents acteurs. Dans cette perspective, en se basant sur la constitution, il serait sans doute judicieux d’envisager l’élaboration d’une loi ou d’une politique nationale de l’évaluation des</w:t>
      </w:r>
      <w:r>
        <w:rPr>
          <w:rFonts w:ascii="Times New Roman" w:eastAsia="Times New Roman" w:hAnsi="Times New Roman"/>
          <w:color w:val="303030"/>
          <w:lang w:eastAsia="fr-FR"/>
        </w:rPr>
        <w:t xml:space="preserve"> politiques publiques qui devraient étayer la vision stratégique, les valeurs ou les principes de l’évaluation, la répartition des rôles, les dispositions éthiques et disciplinaires, etc. Au cours des entretiens, la direction de la gouvernance a affirmé qu</w:t>
      </w:r>
      <w:r>
        <w:rPr>
          <w:rFonts w:ascii="Times New Roman" w:eastAsia="Times New Roman" w:hAnsi="Times New Roman"/>
          <w:color w:val="303030"/>
          <w:lang w:eastAsia="fr-FR"/>
        </w:rPr>
        <w:t>’une charte relative à l’évaluation des politiques publiques était en cours d’élaboration. Cette initiative est une avancée encourageante. Dans la perspective de l’élaboration de la troisième phase du programme conjoint,  il serait souhaitable que l’ONDH p</w:t>
      </w:r>
      <w:r>
        <w:rPr>
          <w:rFonts w:ascii="Times New Roman" w:eastAsia="Times New Roman" w:hAnsi="Times New Roman"/>
          <w:color w:val="303030"/>
          <w:lang w:eastAsia="fr-FR"/>
        </w:rPr>
        <w:t>renne une part plus active dans  la mise en place des mécanismes adéquats de coordination, de dialogue ou de concertation visant à garantir la cohérence des interventions des différents acteurs. Il devra donc jouer un rôle majeur dans la conduite des actio</w:t>
      </w:r>
      <w:r>
        <w:rPr>
          <w:rFonts w:ascii="Times New Roman" w:eastAsia="Times New Roman" w:hAnsi="Times New Roman"/>
          <w:color w:val="303030"/>
          <w:lang w:eastAsia="fr-FR"/>
        </w:rPr>
        <w:t xml:space="preserve">ns de plaidoyer et de réflexion en vue de l’élaboration d’une loi ou d’une politique nationale de l’évaluation des politiques publiques. </w:t>
      </w:r>
    </w:p>
    <w:p w:rsidR="00864EC1" w:rsidRDefault="00C6376C">
      <w:pPr>
        <w:jc w:val="both"/>
        <w:rPr>
          <w:rFonts w:ascii="Times New Roman" w:eastAsia="Times New Roman" w:hAnsi="Times New Roman"/>
          <w:color w:val="303030"/>
          <w:lang w:eastAsia="fr-FR"/>
        </w:rPr>
      </w:pPr>
      <w:r>
        <w:rPr>
          <w:rFonts w:ascii="Times New Roman" w:eastAsia="Times New Roman" w:hAnsi="Times New Roman"/>
          <w:color w:val="303030"/>
          <w:lang w:eastAsia="fr-FR"/>
        </w:rPr>
        <w:t>La cohérence interne du programme conjoint est tangible dans le document du programme et à travers ses différentes int</w:t>
      </w:r>
      <w:r>
        <w:rPr>
          <w:rFonts w:ascii="Times New Roman" w:eastAsia="Times New Roman" w:hAnsi="Times New Roman"/>
          <w:color w:val="303030"/>
          <w:lang w:eastAsia="fr-FR"/>
        </w:rPr>
        <w:t>erventions. Cette cohérence est d’abord mise en exergue par la théorie du changement ou la chaîne des résultats du programme. En effet, ces trois produits à savoir le développement des outils de veille stratégique au niveau régional et local, le renforceme</w:t>
      </w:r>
      <w:r>
        <w:rPr>
          <w:rFonts w:ascii="Times New Roman" w:eastAsia="Times New Roman" w:hAnsi="Times New Roman"/>
          <w:color w:val="303030"/>
          <w:lang w:eastAsia="fr-FR"/>
        </w:rPr>
        <w:t>nt des capacités d’analyse et d’évaluation des politiques publiques, le renforcement de la communication, le partenariat et le plaidoyer pour le développement humain équitable visent à contribuer à l’élaboration et l’évaluation des politiques publiques sus</w:t>
      </w:r>
      <w:r>
        <w:rPr>
          <w:rFonts w:ascii="Times New Roman" w:eastAsia="Times New Roman" w:hAnsi="Times New Roman"/>
          <w:color w:val="303030"/>
          <w:lang w:eastAsia="fr-FR"/>
        </w:rPr>
        <w:t xml:space="preserve">ceptibles de contribuer à la réduction de la pauvreté. Ce changement institutionnel s’inscrit dans la perspective de l’institutionnalisation de l’évaluation des politiques publiques. </w:t>
      </w:r>
    </w:p>
    <w:p w:rsidR="00864EC1" w:rsidRDefault="00864EC1">
      <w:pPr>
        <w:jc w:val="both"/>
        <w:rPr>
          <w:rFonts w:ascii="Times New Roman" w:eastAsia="Times New Roman" w:hAnsi="Times New Roman"/>
          <w:color w:val="303030"/>
          <w:lang w:eastAsia="fr-FR"/>
        </w:rPr>
      </w:pPr>
    </w:p>
    <w:p w:rsidR="00864EC1" w:rsidRDefault="00C6376C">
      <w:pPr>
        <w:jc w:val="both"/>
        <w:rPr>
          <w:rFonts w:ascii="Times New Roman" w:eastAsia="Times New Roman" w:hAnsi="Times New Roman"/>
          <w:color w:val="303030"/>
          <w:lang w:eastAsia="fr-FR"/>
        </w:rPr>
      </w:pPr>
      <w:r>
        <w:rPr>
          <w:rFonts w:ascii="Times New Roman" w:eastAsia="Times New Roman" w:hAnsi="Times New Roman"/>
          <w:color w:val="303030"/>
          <w:lang w:eastAsia="fr-FR"/>
        </w:rPr>
        <w:t xml:space="preserve">En outre, la cohérence interne est aussi élucidée à travers l’approche </w:t>
      </w:r>
      <w:r>
        <w:rPr>
          <w:rFonts w:ascii="Times New Roman" w:eastAsia="Times New Roman" w:hAnsi="Times New Roman"/>
          <w:color w:val="303030"/>
          <w:lang w:eastAsia="fr-FR"/>
        </w:rPr>
        <w:t>de développement des capacités adoptée par le programme conjoint. Celle-ci s’articule à trois niveaux cohérents : le niveau individuel, le niveau organisationnel et le niveau sociétal. Les cibles annuelles des trois produits montrent que le programme conjo</w:t>
      </w:r>
      <w:r>
        <w:rPr>
          <w:rFonts w:ascii="Times New Roman" w:eastAsia="Times New Roman" w:hAnsi="Times New Roman"/>
          <w:color w:val="303030"/>
          <w:lang w:eastAsia="fr-FR"/>
        </w:rPr>
        <w:t>int a renforcé l’expertise du personnel de l’UGP, des cadres et des chercheurs des ministères et des universités partenaires. La valorisation des capacités en ressources humaines requiert un environnement organisationnel ou institutionnel adéquat. Cette pr</w:t>
      </w:r>
      <w:r>
        <w:rPr>
          <w:rFonts w:ascii="Times New Roman" w:eastAsia="Times New Roman" w:hAnsi="Times New Roman"/>
          <w:color w:val="303030"/>
          <w:lang w:eastAsia="fr-FR"/>
        </w:rPr>
        <w:t xml:space="preserve">éoccupation justifie la pertinence du renforcement des capacités organisationnelles et techniques de l’ONDH et  des collectivités territoriales à travers l’implantation du SIT dans quelques régions. Ces institutions interviennent dans un contexte sociétal </w:t>
      </w:r>
      <w:r>
        <w:rPr>
          <w:rFonts w:ascii="Times New Roman" w:eastAsia="Times New Roman" w:hAnsi="Times New Roman"/>
          <w:color w:val="303030"/>
          <w:lang w:eastAsia="fr-FR"/>
        </w:rPr>
        <w:t>qui peut être favorable ou défavorable à la valorisation des capacités individuelles et organisationnelles. De ce fait, le renforcement des capacités au niveau sociétal s’est avèré pertinent. L’appui du programme conjoint à la production et la diffusion de</w:t>
      </w:r>
      <w:r>
        <w:rPr>
          <w:rFonts w:ascii="Times New Roman" w:eastAsia="Times New Roman" w:hAnsi="Times New Roman"/>
          <w:color w:val="303030"/>
          <w:lang w:eastAsia="fr-FR"/>
        </w:rPr>
        <w:t xml:space="preserve">s données a contribué à la mise en place des conditions nécessaires pour  la promotion de l’institutionnalisation des dimensions ou des fonctions politique et sociale de l’évaluation des politiques publiques. </w:t>
      </w:r>
    </w:p>
    <w:p w:rsidR="00864EC1" w:rsidRDefault="00C6376C">
      <w:pPr>
        <w:pStyle w:val="Titre4"/>
      </w:pPr>
      <w:r>
        <w:t>III.2.4 -  Ciblage des interventions du progra</w:t>
      </w:r>
      <w:r>
        <w:t xml:space="preserve">mme conjoint </w:t>
      </w:r>
    </w:p>
    <w:p w:rsidR="00864EC1" w:rsidRDefault="00C6376C">
      <w:pPr>
        <w:jc w:val="both"/>
      </w:pPr>
      <w:r>
        <w:rPr>
          <w:rFonts w:ascii="Times New Roman" w:hAnsi="Times New Roman"/>
        </w:rPr>
        <w:t xml:space="preserve">Les principales questions et les sous questions évaluatives ci-après ont constitué le fil conducteur de l’appréciation du ciblage des interventions : </w:t>
      </w:r>
      <w:r>
        <w:rPr>
          <w:rFonts w:ascii="Times New Roman" w:hAnsi="Times New Roman"/>
          <w:i/>
        </w:rPr>
        <w:t xml:space="preserve">Est-ce que le ciblage est intégré explicitement dans le projet ? Le programme a-t-il </w:t>
      </w:r>
      <w:r>
        <w:rPr>
          <w:rFonts w:ascii="Times New Roman" w:hAnsi="Times New Roman"/>
          <w:i/>
        </w:rPr>
        <w:t>identifié ses bénéficiaires dans sa phase conceptuelle ? Si la définition des bénéficiaires est normalisée ? Le programme a-t-il procédé à un ciblage institutionnel, géographique, genre, et par thématique (pauvreté et exclusion des jeunes, genre, personnes</w:t>
      </w:r>
      <w:r>
        <w:rPr>
          <w:rFonts w:ascii="Times New Roman" w:hAnsi="Times New Roman"/>
          <w:i/>
        </w:rPr>
        <w:t xml:space="preserve"> à besoins spécifiques) ?</w:t>
      </w:r>
    </w:p>
    <w:p w:rsidR="00864EC1" w:rsidRDefault="00C6376C">
      <w:pPr>
        <w:jc w:val="both"/>
        <w:rPr>
          <w:rFonts w:ascii="Times New Roman" w:hAnsi="Times New Roman"/>
        </w:rPr>
      </w:pPr>
      <w:r>
        <w:rPr>
          <w:rFonts w:ascii="Times New Roman" w:hAnsi="Times New Roman"/>
        </w:rPr>
        <w:t>Le document du programme conjoint laisse apparaître un ciblage aux niveaux sectoriel, géographique, du genre et des couches sociales ainsi que des partenaires. Ce ciblage est mis en exergue par l’analyse de la situation et les cib</w:t>
      </w:r>
      <w:r>
        <w:rPr>
          <w:rFonts w:ascii="Times New Roman" w:hAnsi="Times New Roman"/>
        </w:rPr>
        <w:t>les annuelles déclinées dans le cadre des résultats. Il est aussi perceptible à travers les activités ou les interventions du programme. Mais, ce ciblage n’est pas très argumenté et étayé par des données, des informations ou des évidences qui justifient sa</w:t>
      </w:r>
      <w:r>
        <w:rPr>
          <w:rFonts w:ascii="Times New Roman" w:hAnsi="Times New Roman"/>
        </w:rPr>
        <w:t xml:space="preserve"> pertinence. Les critères qui ont guidé ce ciblage ne sont pas non plus explicites dans le document du programme. En dépit de ces observations, on peut noter qu’au niveau sectoriel, le programme conjoint a ciblé les secteurs sociaux tels que l’éducation, l</w:t>
      </w:r>
      <w:r>
        <w:rPr>
          <w:rFonts w:ascii="Times New Roman" w:hAnsi="Times New Roman"/>
        </w:rPr>
        <w:t xml:space="preserve">a santé, le logement qui ont déjà fait l’objet d’études. Ces secteurs sociaux renvoient également au mandat de l’ONDH qui est l’évaluation des politiques de développement humain particulièrement des politiques sociales. </w:t>
      </w:r>
    </w:p>
    <w:p w:rsidR="00864EC1" w:rsidRDefault="00C6376C">
      <w:pPr>
        <w:jc w:val="both"/>
      </w:pPr>
      <w:r>
        <w:rPr>
          <w:rFonts w:ascii="Times New Roman" w:hAnsi="Times New Roman"/>
        </w:rPr>
        <w:t xml:space="preserve">Au niveau géographique, le ciblage </w:t>
      </w:r>
      <w:r>
        <w:rPr>
          <w:rFonts w:ascii="Times New Roman" w:hAnsi="Times New Roman"/>
        </w:rPr>
        <w:t>du programme conjoint porte sur les régions et les communes, les universités. A titre indicatif, on peut citer les régions de Meknès-Tafilalet, régions de Tanger - Tétouan, Taza-Al-Hoceima, Touanate et l’Oriental, Fès-Boulmane, Chaouia-Ouerdigha, Doukhala-</w:t>
      </w:r>
      <w:r>
        <w:rPr>
          <w:rFonts w:ascii="Times New Roman" w:hAnsi="Times New Roman"/>
        </w:rPr>
        <w:t xml:space="preserve">Abda. Ces régions ont bénéficié de l’extension du Système d’information. </w:t>
      </w:r>
      <w:r>
        <w:rPr>
          <w:rFonts w:ascii="Times New Roman" w:hAnsi="Times New Roman"/>
          <w:b/>
          <w:i/>
          <w:sz w:val="20"/>
          <w:szCs w:val="20"/>
        </w:rPr>
        <w:t xml:space="preserve"> </w:t>
      </w:r>
      <w:r>
        <w:rPr>
          <w:rFonts w:ascii="Times New Roman" w:hAnsi="Times New Roman"/>
        </w:rPr>
        <w:t>S’agissant des universités, il a été ciblé les universités suivantes qui servent de relais dans le processus de territorialisation du SI : l’u</w:t>
      </w:r>
      <w:r>
        <w:rPr>
          <w:rFonts w:ascii="Times New Roman" w:hAnsi="Times New Roman"/>
          <w:bCs/>
        </w:rPr>
        <w:t>niversité Abdelmalek Essaedi</w:t>
      </w:r>
      <w:r>
        <w:rPr>
          <w:rFonts w:ascii="Times New Roman" w:hAnsi="Times New Roman"/>
        </w:rPr>
        <w:t>, l’universi</w:t>
      </w:r>
      <w:r>
        <w:rPr>
          <w:rFonts w:ascii="Times New Roman" w:hAnsi="Times New Roman"/>
        </w:rPr>
        <w:t>té Sidi Mohamed Benabdellah, l’université Cadi Ayyad, université Moulay-Ismaïl. En ce qui concerne les couches sociales, le SI Al Bacharia a intégré trois catégories sociales : les jeunes, les femmes et les enfants. Quant aux partenariats, le programme con</w:t>
      </w:r>
      <w:r>
        <w:rPr>
          <w:rFonts w:ascii="Times New Roman" w:hAnsi="Times New Roman"/>
        </w:rPr>
        <w:t xml:space="preserve">joint a ciblé les principaux partenaires nationaux et internationaux ci-après : le conseil national de l’enseignement, le conseil économique et social, le Conseil national d’évaluation des politiques publiques de développement social au Mexique (CONEVAL). </w:t>
      </w:r>
      <w:r>
        <w:rPr>
          <w:rFonts w:ascii="Times New Roman" w:hAnsi="Times New Roman"/>
        </w:rPr>
        <w:t>Au cours de la prochaine phase du programme conjoint, il sera nécessaire d’affiner le ciblage en se basant sur des critères précis de vulnérabilité afin de  mieux prendre en compte les groupes vulnérables tels que les personnes vivant avec handicap, les pe</w:t>
      </w:r>
      <w:r>
        <w:rPr>
          <w:rFonts w:ascii="Times New Roman" w:hAnsi="Times New Roman"/>
        </w:rPr>
        <w:t>rsonnes âgées.</w:t>
      </w:r>
    </w:p>
    <w:p w:rsidR="00864EC1" w:rsidRDefault="00864EC1">
      <w:pPr>
        <w:jc w:val="both"/>
      </w:pPr>
    </w:p>
    <w:p w:rsidR="00864EC1" w:rsidRDefault="00C6376C">
      <w:pPr>
        <w:pStyle w:val="Titre4"/>
      </w:pPr>
      <w:r>
        <w:t xml:space="preserve">III.2.5 -  Durabilité et appropriation du programme conjoint    </w:t>
      </w:r>
    </w:p>
    <w:p w:rsidR="00864EC1" w:rsidRDefault="00C6376C">
      <w:pPr>
        <w:jc w:val="both"/>
      </w:pPr>
      <w:r>
        <w:rPr>
          <w:rFonts w:ascii="Times New Roman" w:hAnsi="Times New Roman"/>
        </w:rPr>
        <w:t>L’analyse de la durabilité et de l’appropriation a consisté à répondre aux principales questions et sous questions suivantes</w:t>
      </w:r>
      <w:r>
        <w:rPr>
          <w:rFonts w:ascii="Times New Roman" w:hAnsi="Times New Roman"/>
          <w:i/>
        </w:rPr>
        <w:t> : Dans quelle mesure existe-t-il des risques finan</w:t>
      </w:r>
      <w:r>
        <w:rPr>
          <w:rFonts w:ascii="Times New Roman" w:hAnsi="Times New Roman"/>
          <w:i/>
        </w:rPr>
        <w:t>ciers, institutionnels, au maintien des résultats du projet à long terme ?</w:t>
      </w:r>
      <w:r>
        <w:rPr>
          <w:rFonts w:ascii="Times New Roman" w:eastAsia="Times New Roman" w:hAnsi="Times New Roman"/>
          <w:i/>
          <w:color w:val="303030"/>
          <w:lang w:eastAsia="fr-FR"/>
        </w:rPr>
        <w:t xml:space="preserve"> Quelles sont les chances que la dynamique induite par le programme se poursuivra dans l’après projet ? Quels sont les dispositifs/mécanismes pris par la partie nationale pour assure</w:t>
      </w:r>
      <w:r>
        <w:rPr>
          <w:rFonts w:ascii="Times New Roman" w:eastAsia="Times New Roman" w:hAnsi="Times New Roman"/>
          <w:i/>
          <w:color w:val="303030"/>
          <w:lang w:eastAsia="fr-FR"/>
        </w:rPr>
        <w:t>r la durabilité des bénéfices de l’intervention ?</w:t>
      </w:r>
    </w:p>
    <w:p w:rsidR="00864EC1" w:rsidRDefault="00C6376C">
      <w:pPr>
        <w:jc w:val="both"/>
      </w:pPr>
      <w:r>
        <w:rPr>
          <w:rFonts w:ascii="Times New Roman" w:hAnsi="Times New Roman"/>
        </w:rPr>
        <w:t xml:space="preserve">Le programme conjoint est à sa deuxième phase qui fait l’objet de la présente évaluation. Cette durée d’exécution témoigne de sa durabilité qui repose essentiellement sur quatre ressorts : </w:t>
      </w:r>
      <w:r>
        <w:rPr>
          <w:rFonts w:ascii="Times New Roman" w:hAnsi="Times New Roman"/>
        </w:rPr>
        <w:tab/>
      </w:r>
      <w:r>
        <w:rPr>
          <w:rFonts w:ascii="Times New Roman" w:hAnsi="Times New Roman"/>
          <w:b/>
          <w:i/>
        </w:rPr>
        <w:t>Le leadership na</w:t>
      </w:r>
      <w:r>
        <w:rPr>
          <w:rFonts w:ascii="Times New Roman" w:hAnsi="Times New Roman"/>
          <w:b/>
          <w:i/>
        </w:rPr>
        <w:t>tional et l’appropriation du programme conjoint par les partenaires nationaux</w:t>
      </w:r>
      <w:r>
        <w:rPr>
          <w:rFonts w:ascii="Times New Roman" w:hAnsi="Times New Roman"/>
          <w:b/>
          <w:i/>
        </w:rPr>
        <w:tab/>
        <w:t>, l’ancrage du programme conjoint dans la mission ou le mandat et les attributions de l’ONDH, la contribution  du gouvernement au financement du programme conjoint, le renforceme</w:t>
      </w:r>
      <w:r>
        <w:rPr>
          <w:rFonts w:ascii="Times New Roman" w:hAnsi="Times New Roman"/>
          <w:b/>
          <w:i/>
        </w:rPr>
        <w:t>nt des capacités</w:t>
      </w:r>
      <w:r>
        <w:rPr>
          <w:rFonts w:ascii="Times New Roman" w:hAnsi="Times New Roman"/>
        </w:rPr>
        <w:t xml:space="preserve">. </w:t>
      </w:r>
    </w:p>
    <w:p w:rsidR="00864EC1" w:rsidRDefault="00C6376C">
      <w:pPr>
        <w:jc w:val="both"/>
        <w:rPr>
          <w:rFonts w:ascii="Times New Roman" w:hAnsi="Times New Roman"/>
        </w:rPr>
      </w:pPr>
      <w:r>
        <w:rPr>
          <w:rFonts w:ascii="Times New Roman" w:hAnsi="Times New Roman"/>
        </w:rPr>
        <w:t>Le leadership national et l’appropriation par les partenaires nationaux  s’exercent à travers le pilotage et la gestion opérationnelle du programme conjoint qui sont assurés par le comité directeur, le comité restreint et l’UGP. Les deux</w:t>
      </w:r>
      <w:r>
        <w:rPr>
          <w:rFonts w:ascii="Times New Roman" w:hAnsi="Times New Roman"/>
        </w:rPr>
        <w:t xml:space="preserve"> organes du comité de pilotage sont supervisés par des responsables nationaux notamment le Ministre de l’éducation et le Secrétaire général de l’ONDH. L’UGP est placée sous la supervision de l’ONDH. Les réunions de ces organes se tiennent régulièrement. L’</w:t>
      </w:r>
      <w:r>
        <w:rPr>
          <w:rFonts w:ascii="Times New Roman" w:hAnsi="Times New Roman"/>
        </w:rPr>
        <w:t xml:space="preserve">UGP a la maîtrise des procédures de gestion du programme. Les principales activités du programme conjoint sont appropriées par l’ONDH et les principaux bénéficiaires notamment les universités, les régions et les communes. La régularité des réunions de ces </w:t>
      </w:r>
      <w:r>
        <w:rPr>
          <w:rFonts w:ascii="Times New Roman" w:hAnsi="Times New Roman"/>
        </w:rPr>
        <w:t>deux organes et l’efficacité de la gestion du programme conjoint sont des atouts qui garantissent la durabilité de ses activités et de ses résultats.</w:t>
      </w:r>
    </w:p>
    <w:p w:rsidR="00864EC1" w:rsidRDefault="00C6376C">
      <w:pPr>
        <w:jc w:val="both"/>
      </w:pPr>
      <w:r>
        <w:rPr>
          <w:rFonts w:ascii="Times New Roman" w:hAnsi="Times New Roman"/>
        </w:rPr>
        <w:t>L’ONDH a pour mission permanente « </w:t>
      </w:r>
      <w:r>
        <w:rPr>
          <w:rFonts w:ascii="Times New Roman" w:hAnsi="Times New Roman"/>
          <w:b/>
          <w:i/>
        </w:rPr>
        <w:t>d’analyser et d’évaluer l’impact des programmes de développement humain</w:t>
      </w:r>
      <w:r>
        <w:rPr>
          <w:rFonts w:ascii="Times New Roman" w:hAnsi="Times New Roman"/>
          <w:b/>
          <w:i/>
        </w:rPr>
        <w:t xml:space="preserve"> mis en œuvre et de proposer des mesures et des actions qui concourent à l’élaboration et à la mise en œuvre d’une stratégie nationale de développement humain notamment dans le cadre de l’Initiative nationale pour le développement humain</w:t>
      </w:r>
      <w:r>
        <w:rPr>
          <w:rFonts w:ascii="Times New Roman" w:hAnsi="Times New Roman"/>
        </w:rPr>
        <w:t xml:space="preserve"> ». La réalisation </w:t>
      </w:r>
      <w:r>
        <w:rPr>
          <w:rFonts w:ascii="Times New Roman" w:hAnsi="Times New Roman"/>
        </w:rPr>
        <w:t>des trois produits du programme conjoint notamment le développement des outils de veille stratégique au niveau régional et territorial, le renforcement des capacités d’analyse et d’évaluation des politiques publiques, le renforcement de la communication, l</w:t>
      </w:r>
      <w:r>
        <w:rPr>
          <w:rFonts w:ascii="Times New Roman" w:hAnsi="Times New Roman"/>
        </w:rPr>
        <w:t>e partenariat et le plaidoyer pour le développement humain équitable vise à renforcer les capacités de l’ONDH en vue de l’accomplissement de sa mission et de ses attributions. Cet ancrage est un ressort important pour la durabilité des activités et des rés</w:t>
      </w:r>
      <w:r>
        <w:rPr>
          <w:rFonts w:ascii="Times New Roman" w:hAnsi="Times New Roman"/>
        </w:rPr>
        <w:t xml:space="preserve">ultats du programme conjoint. </w:t>
      </w:r>
    </w:p>
    <w:p w:rsidR="00864EC1" w:rsidRDefault="00C6376C">
      <w:pPr>
        <w:jc w:val="both"/>
        <w:rPr>
          <w:rFonts w:ascii="Times New Roman" w:hAnsi="Times New Roman"/>
        </w:rPr>
      </w:pPr>
      <w:r>
        <w:rPr>
          <w:rFonts w:ascii="Times New Roman" w:hAnsi="Times New Roman"/>
        </w:rPr>
        <w:t>La contribution du gouvernement au financement du programme conjoint est une preuve qui atteste indiscutablement de sa volonté à garantir la poursuite des activités et des résultats du programme après le retrait des agences d</w:t>
      </w:r>
      <w:r>
        <w:rPr>
          <w:rFonts w:ascii="Times New Roman" w:hAnsi="Times New Roman"/>
        </w:rPr>
        <w:t>es Nations unies. Dans le budget global du programme estimé à 2.500.000 $, la part du gouvernement représente 50%. En outre, l’intérêt accordé au renforcement des capacités de l’ONDH et des autres bénéficiaires a contribué à la durabilité du programme conj</w:t>
      </w:r>
      <w:r>
        <w:rPr>
          <w:rFonts w:ascii="Times New Roman" w:hAnsi="Times New Roman"/>
        </w:rPr>
        <w:t>oint. Précisément, l’amélioration de l’expertise du personnel de l’ONDH et l’acquisition des compétences par les partenaires ont constitué des atouts importants pour l’appropriation des activités du programme qui est un gage pour sa durabilité. L’évolution</w:t>
      </w:r>
      <w:r>
        <w:rPr>
          <w:rFonts w:ascii="Times New Roman" w:hAnsi="Times New Roman"/>
        </w:rPr>
        <w:t xml:space="preserve"> du contexte national de l’évaluation marqué par l’accroissement de la demande de l’évaluation est aussi un facteur externe favorable à la durabilité des activités et des résultats du programme conjoint. En effet, le développement des outils de veille stra</w:t>
      </w:r>
      <w:r>
        <w:rPr>
          <w:rFonts w:ascii="Times New Roman" w:hAnsi="Times New Roman"/>
        </w:rPr>
        <w:t>tégique au niveau local et régional, le renforcement des capacités d’analyse et d’évaluation, le renforcement de la communication, le partenariat et le plaidoyer seront toujours indispensables pour promouvoir l’institutionnalisation de l’évaluation des pol</w:t>
      </w:r>
      <w:r>
        <w:rPr>
          <w:rFonts w:ascii="Times New Roman" w:hAnsi="Times New Roman"/>
        </w:rPr>
        <w:t xml:space="preserve">itiques publiques qui est le but ultime du programme conjoint. </w:t>
      </w:r>
    </w:p>
    <w:p w:rsidR="00864EC1" w:rsidRDefault="00C6376C">
      <w:pPr>
        <w:pStyle w:val="Titre4"/>
      </w:pPr>
      <w:r>
        <w:t xml:space="preserve">III.2.6 -  Impact du programme conjoint </w:t>
      </w:r>
    </w:p>
    <w:p w:rsidR="00864EC1" w:rsidRDefault="00C6376C">
      <w:pPr>
        <w:jc w:val="both"/>
      </w:pPr>
      <w:r>
        <w:rPr>
          <w:rFonts w:ascii="Times New Roman" w:hAnsi="Times New Roman"/>
        </w:rPr>
        <w:t>L’analyse de l’impact du programme conjoint a été approchée en apportant des réponses aux principales questions et sous questions évaluatives suivantes</w:t>
      </w:r>
      <w:r>
        <w:rPr>
          <w:rFonts w:ascii="Times New Roman" w:hAnsi="Times New Roman"/>
        </w:rPr>
        <w:t xml:space="preserve"> : </w:t>
      </w:r>
      <w:r>
        <w:rPr>
          <w:rFonts w:ascii="Times New Roman" w:hAnsi="Times New Roman"/>
          <w:i/>
        </w:rPr>
        <w:t xml:space="preserve">Existe-t-il des indications à l’effet que le projet a contribué au (ou a permis) le progrès en matière d’amélioration de l’harmonisation et l’institutionnalisation de l’évaluation des Politiques publiques ? </w:t>
      </w:r>
      <w:r>
        <w:rPr>
          <w:rFonts w:ascii="Times New Roman" w:eastAsia="Times New Roman" w:hAnsi="Times New Roman"/>
          <w:i/>
          <w:color w:val="303030"/>
          <w:lang w:eastAsia="fr-FR"/>
        </w:rPr>
        <w:t xml:space="preserve">Le programme a-t-il contribué au renforcement </w:t>
      </w:r>
      <w:r>
        <w:rPr>
          <w:rFonts w:ascii="Times New Roman" w:eastAsia="Times New Roman" w:hAnsi="Times New Roman"/>
          <w:i/>
          <w:color w:val="303030"/>
          <w:lang w:eastAsia="fr-FR"/>
        </w:rPr>
        <w:t>de la cohérence des interventions des agences des Nations unies partenaires dans le domaine de l’appui à la production des données, de renforcement des capacités nationales en suivi et évaluation ?</w:t>
      </w:r>
    </w:p>
    <w:p w:rsidR="00864EC1" w:rsidRDefault="00C6376C">
      <w:pPr>
        <w:jc w:val="both"/>
        <w:rPr>
          <w:rFonts w:ascii="Times New Roman" w:hAnsi="Times New Roman"/>
        </w:rPr>
      </w:pPr>
      <w:r>
        <w:rPr>
          <w:rFonts w:ascii="Times New Roman" w:hAnsi="Times New Roman"/>
        </w:rPr>
        <w:t>Dans la perspective de la Gestion axée sur les résultats d</w:t>
      </w:r>
      <w:r>
        <w:rPr>
          <w:rFonts w:ascii="Times New Roman" w:hAnsi="Times New Roman"/>
        </w:rPr>
        <w:t>e développement (GRD), l’impact est appréhendé comme un changement en termes de bien-être ou des conditions de vie des bénéficiaires. Dans cette perspective, il n’est pas aisé de démontrer la causalité ou la relation de cause à effet  entre  l’évaluation d</w:t>
      </w:r>
      <w:r>
        <w:rPr>
          <w:rFonts w:ascii="Times New Roman" w:hAnsi="Times New Roman"/>
        </w:rPr>
        <w:t xml:space="preserve">es politiques publiques et le bien-être des populations. Cependant, il convient d’admettre qu’en influençant la qualité des politiques publiques notamment leur pertinence et leur efficacité, l’évaluation des politiques publiques contribue à l’amélioration </w:t>
      </w:r>
      <w:r>
        <w:rPr>
          <w:rFonts w:ascii="Times New Roman" w:hAnsi="Times New Roman"/>
        </w:rPr>
        <w:t>des conditions de vie des populations. L’appréciation de l’impact du programme conjoint s’est fondée sur ce postulat. L’analyse documentaire et les entretiens avec les partenaires et les bénéficiaires ont permis d’appréhender l’impact du programme conjoint</w:t>
      </w:r>
      <w:r>
        <w:rPr>
          <w:rFonts w:ascii="Times New Roman" w:hAnsi="Times New Roman"/>
        </w:rPr>
        <w:t xml:space="preserve"> à travers  l’expertise, la notoriété et le rayonnement de l’ONDH, l’élaboration des politiques de développement humain basées sur les évidences ou les preuves, l’enseignement et la recherche en évaluation, le développement des partenariats singulièrement </w:t>
      </w:r>
      <w:r>
        <w:rPr>
          <w:rFonts w:ascii="Times New Roman" w:hAnsi="Times New Roman"/>
        </w:rPr>
        <w:t>la promotion de l’évaluation dans le cadre de la coopération Sud-sud,  la cohérence des Nations Unies, la promotion de l’institutionnalisation de l’évaluation des politiques publiques.</w:t>
      </w:r>
    </w:p>
    <w:p w:rsidR="00864EC1" w:rsidRDefault="00C6376C">
      <w:pPr>
        <w:jc w:val="both"/>
        <w:rPr>
          <w:rFonts w:ascii="Times New Roman" w:hAnsi="Times New Roman"/>
        </w:rPr>
      </w:pPr>
      <w:r>
        <w:rPr>
          <w:rFonts w:ascii="Times New Roman" w:hAnsi="Times New Roman"/>
        </w:rPr>
        <w:t>A la faveur de l’appui du programme conjoint, l’ONDH a renforcé son exp</w:t>
      </w:r>
      <w:r>
        <w:rPr>
          <w:rFonts w:ascii="Times New Roman" w:hAnsi="Times New Roman"/>
        </w:rPr>
        <w:t>ertise, sa notoriété et son rayonnement au niveau international et régional. Lors de la célébration de l’Année internationale de l’évaluation qui s’est déroulée du 23 au 27 novembre 2015 à Kathmandu (Népal), le partage de l’expérience marocaine a retenu l’</w:t>
      </w:r>
      <w:r>
        <w:rPr>
          <w:rFonts w:ascii="Times New Roman" w:hAnsi="Times New Roman"/>
        </w:rPr>
        <w:t>attention de plusieurs pays qui ont manifesté le désir d’effectuer des visites de travail et de nouer des partenariats avec l’ONDH.  Au niveau national,  on observe une croissance rapide de la demande des services de l’ONDH particulièrement en matière de p</w:t>
      </w:r>
      <w:r>
        <w:rPr>
          <w:rFonts w:ascii="Times New Roman" w:hAnsi="Times New Roman"/>
        </w:rPr>
        <w:t>roduction des données, d’évaluation des politiques publiques, de partage d’expériences et de bonnes pratiques au niveau international. Selon les données collectées et celles fournies dans le rapport 2015, dans le cadre de l’évaluation des politiques publiq</w:t>
      </w:r>
      <w:r>
        <w:rPr>
          <w:rFonts w:ascii="Times New Roman" w:hAnsi="Times New Roman"/>
        </w:rPr>
        <w:t>ues, l’expertise de l’ONDH a été sollicitée pour la réalisation d’au moins 12 études qui ont énormément enrichi la réflexion sur le concept de développement humain et son opérationnalisation au Maroc. Elles ont également  influencé l’élaboration des politi</w:t>
      </w:r>
      <w:r>
        <w:rPr>
          <w:rFonts w:ascii="Times New Roman" w:hAnsi="Times New Roman"/>
        </w:rPr>
        <w:t>ques publiques de développement humain.  Le nombre d’utilisateurs des données produites a été estimé à plus de 50.000 clics du SI Al Bacharia. La valeur de cet indicateur témoigne de l’amélioration de la notoriété de l’ONDH en matière de production des don</w:t>
      </w:r>
      <w:r>
        <w:rPr>
          <w:rFonts w:ascii="Times New Roman" w:hAnsi="Times New Roman"/>
        </w:rPr>
        <w:t xml:space="preserve">nées. </w:t>
      </w:r>
    </w:p>
    <w:p w:rsidR="00864EC1" w:rsidRDefault="00C6376C">
      <w:pPr>
        <w:jc w:val="both"/>
        <w:rPr>
          <w:rFonts w:ascii="Times New Roman" w:hAnsi="Times New Roman"/>
        </w:rPr>
      </w:pPr>
      <w:r>
        <w:rPr>
          <w:rFonts w:ascii="Times New Roman" w:hAnsi="Times New Roman"/>
        </w:rPr>
        <w:t xml:space="preserve">Dans le domaine de l’enseignement et de la recherche, l’impact du programme conjoint est mis en relief par l’impulsion donnée aux travaux de recherche et aux publications sur la problématique du développement humain et la thématique de l’évaluation </w:t>
      </w:r>
      <w:r>
        <w:rPr>
          <w:rFonts w:ascii="Times New Roman" w:hAnsi="Times New Roman"/>
        </w:rPr>
        <w:t>des politiques publiques. Dans les universités partenaires bénéficiaires du programme conjoint, le développement humain et l’évaluation des politiques publiques sont désormais des objets de recherche qui suscitent de plus en plus d’intérêt pour les cherche</w:t>
      </w:r>
      <w:r>
        <w:rPr>
          <w:rFonts w:ascii="Times New Roman" w:hAnsi="Times New Roman"/>
        </w:rPr>
        <w:t xml:space="preserve">urs et les doctorants. </w:t>
      </w: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C6376C">
      <w:pPr>
        <w:jc w:val="both"/>
        <w:rPr>
          <w:rFonts w:ascii="Times New Roman" w:hAnsi="Times New Roman"/>
        </w:rPr>
      </w:pPr>
      <w:r>
        <w:rPr>
          <w:rFonts w:ascii="Times New Roman" w:hAnsi="Times New Roman"/>
        </w:rPr>
        <w:t>Quelques universités partenaires se sont engagées à introduire l’évaluation des politiques publiques dans les programmes d’enseignement et de recherche, de mettre en place des formations diplômantes et qualifiantes. A ce propos, l</w:t>
      </w:r>
      <w:r>
        <w:rPr>
          <w:rFonts w:ascii="Times New Roman" w:hAnsi="Times New Roman"/>
        </w:rPr>
        <w:t>’université Mohammed Premier a sollicité la collaboration de l’ONDH pour la mise en place d’une formation certifiante en évaluation des politiques publiques à l’intention des élus locaux, des cadres des administrations territoriales et de la société civile</w:t>
      </w:r>
      <w:r>
        <w:rPr>
          <w:rFonts w:ascii="Times New Roman" w:hAnsi="Times New Roman"/>
        </w:rPr>
        <w:t>. L’université de Barcelone et la fon dation Mon-3 sont parties prenantes  à cette initiative. La faculté des lettres et des sciences humaines de l’université ABDELMALEK ESSAADI s’est proposée d’associer l’ONDH à la mise en œuvre d’un projet de Master spéc</w:t>
      </w:r>
      <w:r>
        <w:rPr>
          <w:rFonts w:ascii="Times New Roman" w:hAnsi="Times New Roman"/>
        </w:rPr>
        <w:t>ialisé en développement territorial et gouvernance spatiale.</w:t>
      </w:r>
    </w:p>
    <w:p w:rsidR="00864EC1" w:rsidRDefault="00C6376C">
      <w:pPr>
        <w:jc w:val="both"/>
        <w:rPr>
          <w:rFonts w:ascii="Times New Roman" w:hAnsi="Times New Roman"/>
        </w:rPr>
      </w:pPr>
      <w:r>
        <w:rPr>
          <w:rFonts w:ascii="Times New Roman" w:hAnsi="Times New Roman"/>
        </w:rPr>
        <w:t>S’agissant du développement des partenariats singulièrement de la promotion de l’évaluation dans le cadre de la coopération Sud-sud, les retombées de l’appui du programme conjoint à l’ONDH sont t</w:t>
      </w:r>
      <w:r>
        <w:rPr>
          <w:rFonts w:ascii="Times New Roman" w:hAnsi="Times New Roman"/>
        </w:rPr>
        <w:t>angibles à travers le rayonnement de l’ONDH au niveau régional et international qui a été amplifié par le nombre et la qualité des partenariats signés avec les institutions nationales et les organismes internationaux. Le partenariat ONDH, CONEVAL et CRES e</w:t>
      </w:r>
      <w:r>
        <w:rPr>
          <w:rFonts w:ascii="Times New Roman" w:hAnsi="Times New Roman"/>
        </w:rPr>
        <w:t>st une expérience qui est en train de s’élargir aux institutions d’autres pays tels que l’Algérie, le Brésil, etc. Ce partenariat s’est avéré très fructueux pour l’ONDH en termes d’échange sur les outils et les approches, les bonnes pratiques en matière d’</w:t>
      </w:r>
      <w:r>
        <w:rPr>
          <w:rFonts w:ascii="Times New Roman" w:hAnsi="Times New Roman"/>
        </w:rPr>
        <w:t>évaluation des politiques publiques. La signature en cours du partenariat avec le Mali est une amorce de l’extension du  rayonnement de l’ONDH en Afrique subsaharienne. L’extension du rayonnement de l’ONDH  est confortée par le nombre croissant des mission</w:t>
      </w:r>
      <w:r>
        <w:rPr>
          <w:rFonts w:ascii="Times New Roman" w:hAnsi="Times New Roman"/>
        </w:rPr>
        <w:t xml:space="preserve">s dans d’autres pays et les demandes des visites de travail adressées à l’ONDH. Selon l’ONDH, il a été enregistré plus d’une dizaine de demandes de visites de travail au cours de 2015. </w:t>
      </w:r>
    </w:p>
    <w:p w:rsidR="00864EC1" w:rsidRDefault="00C6376C">
      <w:pPr>
        <w:jc w:val="both"/>
        <w:rPr>
          <w:rFonts w:ascii="Times New Roman" w:hAnsi="Times New Roman"/>
        </w:rPr>
      </w:pPr>
      <w:r>
        <w:rPr>
          <w:rFonts w:ascii="Times New Roman" w:hAnsi="Times New Roman"/>
        </w:rPr>
        <w:t>Le programme conjoint a eu indiscutablement un impact sur la cohérence</w:t>
      </w:r>
      <w:r>
        <w:rPr>
          <w:rFonts w:ascii="Times New Roman" w:hAnsi="Times New Roman"/>
        </w:rPr>
        <w:t xml:space="preserve"> des interventions des Nations unies en matière d’évaluation des politiques publiques. A la faveur du programme conjoint, les agences des Nations unies contributrices ont eu le mérite de coordonner leur appui à l’ONDH. Les informateurs clés de l’ONDH et de</w:t>
      </w:r>
      <w:r>
        <w:rPr>
          <w:rFonts w:ascii="Times New Roman" w:hAnsi="Times New Roman"/>
        </w:rPr>
        <w:t>s agences des Nations unies interviewés ont signalé que les modalités de financement et de gestion du programme conjoint ont permis de réduire les coûts de  transaction singulièrement les coûts de gestion  des interventions. La planification opérationnelle</w:t>
      </w:r>
      <w:r>
        <w:rPr>
          <w:rFonts w:ascii="Times New Roman" w:hAnsi="Times New Roman"/>
        </w:rPr>
        <w:t xml:space="preserve"> et le suivi conjoints ont eu l’avantage de prévenir et d’éviter les conflits d’objectifs et de stratégies, la duplication et le chevauchement des activités visant  le renforcement des capacités de l’ONDH. </w:t>
      </w:r>
    </w:p>
    <w:p w:rsidR="00864EC1" w:rsidRDefault="00C6376C">
      <w:pPr>
        <w:jc w:val="both"/>
        <w:rPr>
          <w:rFonts w:ascii="Times New Roman" w:hAnsi="Times New Roman"/>
        </w:rPr>
      </w:pPr>
      <w:r>
        <w:rPr>
          <w:rFonts w:ascii="Times New Roman" w:hAnsi="Times New Roman"/>
        </w:rPr>
        <w:t>L’impact du programme conjoint sur l’institutionn</w:t>
      </w:r>
      <w:r>
        <w:rPr>
          <w:rFonts w:ascii="Times New Roman" w:hAnsi="Times New Roman"/>
        </w:rPr>
        <w:t>alisation de l’évaluation des politiques publiques est manifeste  au niveau de la pratique évaluative et du débat public. En effet, l’ONDH est un acteur clé du processus d’institutionnalisation. Sa contribution se focalise sur l’institutionnalisation de la</w:t>
      </w:r>
      <w:r>
        <w:rPr>
          <w:rFonts w:ascii="Times New Roman" w:hAnsi="Times New Roman"/>
        </w:rPr>
        <w:t xml:space="preserve"> fonction instrumentale de l’évaluation qui concerne la conception, l’innovation et la diffusion des outils et des approches appropriés pour l’évaluation des politiques publiques de développement humain.  Dans le cadre de la mise en œuvre du programme conj</w:t>
      </w:r>
      <w:r>
        <w:rPr>
          <w:rFonts w:ascii="Times New Roman" w:hAnsi="Times New Roman"/>
        </w:rPr>
        <w:t xml:space="preserve">oint, l’ONDH s’est investi dans la conception, l’innovation et la vulgarisation des outils et des approches qui ont influencé la pratique évaluative notamment celle des ministères partenaires. Dans les secteurs de l’éducation et de la santé, les études et </w:t>
      </w:r>
      <w:r>
        <w:rPr>
          <w:rFonts w:ascii="Times New Roman" w:hAnsi="Times New Roman"/>
        </w:rPr>
        <w:t>les évaluations conduites par l’ONDH ont permis de revisiter et de réorienter l’élaboration des politiques publiques. Les données de l’enquête panel ménages  sont de plus en plus utilisées pour le suivi et l’évaluation des politiques publiques dans ces sec</w:t>
      </w:r>
      <w:r>
        <w:rPr>
          <w:rFonts w:ascii="Times New Roman" w:hAnsi="Times New Roman"/>
        </w:rPr>
        <w:t xml:space="preserve">teurs. </w:t>
      </w:r>
    </w:p>
    <w:p w:rsidR="00864EC1" w:rsidRDefault="00C6376C">
      <w:pPr>
        <w:jc w:val="both"/>
        <w:rPr>
          <w:rFonts w:ascii="Times New Roman" w:hAnsi="Times New Roman"/>
        </w:rPr>
      </w:pPr>
      <w:r>
        <w:rPr>
          <w:rFonts w:ascii="Times New Roman" w:hAnsi="Times New Roman"/>
        </w:rPr>
        <w:t>L’ONDH a organisé plus d’une quarantaine de rencontres nationales et internationales qui ont incontestablement  influencé le débat public sur l’institutionnalisation de l’évaluation des politiques. A ce propos, la conférence internationale sur l’in</w:t>
      </w:r>
      <w:r>
        <w:rPr>
          <w:rFonts w:ascii="Times New Roman" w:hAnsi="Times New Roman"/>
        </w:rPr>
        <w:t>stitutionnalisation de l’évaluation des politiques publiques qui s’est tenue à Rabat du 5 au 6 octobre 2015 a connu une forte mobilisation des acteurs nationaux impliqués dans ce processus. Au cours de cette rencontre, il a été constaté que les échanges ou</w:t>
      </w:r>
      <w:r>
        <w:rPr>
          <w:rFonts w:ascii="Times New Roman" w:hAnsi="Times New Roman"/>
        </w:rPr>
        <w:t xml:space="preserve"> les discussions ont eu un fort retentissement sur les opinions ou les perceptions des différents acteurs sur la problématique de l’institutionnalisation des politiques publiques.              </w:t>
      </w:r>
    </w:p>
    <w:p w:rsidR="00864EC1" w:rsidRDefault="00C6376C">
      <w:pPr>
        <w:pStyle w:val="Titre2"/>
      </w:pPr>
      <w:bookmarkStart w:id="47" w:name="_Toc451442681"/>
      <w:bookmarkStart w:id="48" w:name="_Toc451652742"/>
      <w:bookmarkStart w:id="49" w:name="_Toc451653144"/>
      <w:r>
        <w:t>IV - Gouvernance du programme conjoint</w:t>
      </w:r>
      <w:bookmarkEnd w:id="47"/>
      <w:bookmarkEnd w:id="48"/>
      <w:bookmarkEnd w:id="49"/>
      <w:r>
        <w:t> </w:t>
      </w:r>
    </w:p>
    <w:p w:rsidR="00864EC1" w:rsidRDefault="00C6376C">
      <w:pPr>
        <w:jc w:val="both"/>
      </w:pPr>
      <w:r>
        <w:rPr>
          <w:rFonts w:ascii="Times New Roman" w:hAnsi="Times New Roman"/>
        </w:rPr>
        <w:t>La gouvernance du prog</w:t>
      </w:r>
      <w:r>
        <w:rPr>
          <w:rFonts w:ascii="Times New Roman" w:hAnsi="Times New Roman"/>
        </w:rPr>
        <w:t xml:space="preserve">ramme conjoint a fait l’objet d’une analyse qui a été guidée par les principales questions suivantes : </w:t>
      </w:r>
      <w:r>
        <w:rPr>
          <w:rFonts w:ascii="Times New Roman" w:hAnsi="Times New Roman"/>
          <w:i/>
        </w:rPr>
        <w:t>La gouvernance du programme conjoint a-t-elle été efficace</w:t>
      </w:r>
      <w:r>
        <w:rPr>
          <w:rFonts w:ascii="Times New Roman" w:hAnsi="Times New Roman"/>
        </w:rPr>
        <w:t xml:space="preserve"> ?  La gouvernance du programme conjoint </w:t>
      </w:r>
      <w:r>
        <w:rPr>
          <w:rFonts w:ascii="Times New Roman" w:hAnsi="Times New Roman"/>
          <w:i/>
        </w:rPr>
        <w:t xml:space="preserve">a-t-elle été sensible  au genre ? </w:t>
      </w:r>
      <w:r>
        <w:rPr>
          <w:rFonts w:ascii="Times New Roman" w:hAnsi="Times New Roman"/>
        </w:rPr>
        <w:t>L’efficacité du prog</w:t>
      </w:r>
      <w:r>
        <w:rPr>
          <w:rFonts w:ascii="Times New Roman" w:hAnsi="Times New Roman"/>
        </w:rPr>
        <w:t xml:space="preserve">ramme conjoint a été appréciée au moyen des principaux critères suivants : </w:t>
      </w:r>
      <w:r>
        <w:rPr>
          <w:rFonts w:ascii="Times New Roman" w:hAnsi="Times New Roman"/>
          <w:i/>
        </w:rPr>
        <w:t>La régularité des réunions des organes chargés du pilotage, la régularité de l’élaboration et le délai de signature des plans de travail et des plans d’achat, le taux d’exécution op</w:t>
      </w:r>
      <w:r>
        <w:rPr>
          <w:rFonts w:ascii="Times New Roman" w:hAnsi="Times New Roman"/>
          <w:i/>
        </w:rPr>
        <w:t>érationnelle et le taux d’exécution financière, la fonctionnalité des mécanismes de suivi, la prise en compte du genre</w:t>
      </w:r>
      <w:r>
        <w:rPr>
          <w:rFonts w:ascii="Times New Roman" w:hAnsi="Times New Roman"/>
        </w:rPr>
        <w:t>.  En se basant sur ces critères, l’analyse a permis d’identifier les points forts et les points faibles de la gouvernance du programme co</w:t>
      </w:r>
      <w:r>
        <w:rPr>
          <w:rFonts w:ascii="Times New Roman" w:hAnsi="Times New Roman"/>
        </w:rPr>
        <w:t xml:space="preserve">njoint en vue de proposer des mesures correctives et de dégager des leçons apprises qui devraient être capitalisées par les parties prenantes.  </w:t>
      </w:r>
    </w:p>
    <w:p w:rsidR="00864EC1" w:rsidRDefault="00C6376C">
      <w:pPr>
        <w:jc w:val="both"/>
        <w:rPr>
          <w:rFonts w:ascii="Times New Roman" w:hAnsi="Times New Roman"/>
        </w:rPr>
      </w:pPr>
      <w:r>
        <w:rPr>
          <w:rFonts w:ascii="Times New Roman" w:hAnsi="Times New Roman"/>
        </w:rPr>
        <w:t xml:space="preserve">L’analyse documentaire et les entretiens ont révélé que le pilotage du programme a été efficace. En effet, les </w:t>
      </w:r>
      <w:r>
        <w:rPr>
          <w:rFonts w:ascii="Times New Roman" w:hAnsi="Times New Roman"/>
        </w:rPr>
        <w:t>réunions du comité directeur et du comité restreint ont été régulières et les rapports y relatifs sont disponibles. Il convient cependant de signaler que bien qu’efficace, ce pilotage aurait pu être guidé par une vision stratégique du développement de l’ON</w:t>
      </w:r>
      <w:r>
        <w:rPr>
          <w:rFonts w:ascii="Times New Roman" w:hAnsi="Times New Roman"/>
        </w:rPr>
        <w:t>DH. L’UGP a régulièrement élaboré les plans de travail et les plans d’achat. Les plans de travail ont été saisis dans le système de gestion Atlas. Il a été relevé plus haut que les plans de travail contiennent des cibles annuelles qui ne renvoient pas tout</w:t>
      </w:r>
      <w:r>
        <w:rPr>
          <w:rFonts w:ascii="Times New Roman" w:hAnsi="Times New Roman"/>
        </w:rPr>
        <w:t xml:space="preserve">es à des valeurs de référence.  Eu égard aux taux d’exécution opérationnelle et financière, l’UGP a été efficace dans la mise en œuvre des activités et la gestion des fonds. </w:t>
      </w:r>
    </w:p>
    <w:p w:rsidR="00864EC1" w:rsidRDefault="00C6376C">
      <w:pPr>
        <w:jc w:val="both"/>
        <w:rPr>
          <w:rFonts w:ascii="Times New Roman" w:hAnsi="Times New Roman"/>
        </w:rPr>
      </w:pPr>
      <w:r>
        <w:rPr>
          <w:rFonts w:ascii="Times New Roman" w:hAnsi="Times New Roman"/>
        </w:rPr>
        <w:t>Les mécanismes de suivi et évaluation ont été très opérationnels. Les revues annu</w:t>
      </w:r>
      <w:r>
        <w:rPr>
          <w:rFonts w:ascii="Times New Roman" w:hAnsi="Times New Roman"/>
        </w:rPr>
        <w:t>elles ont été régulièrement organisées et les rapports y relatifs sont disponibles. A ce propos, la qualité des rapports des revues a été certes améliorée au fil des années. Mais, les rapports portent encore une empreinte visible du PNUD. Précisément, le r</w:t>
      </w:r>
      <w:r>
        <w:rPr>
          <w:rFonts w:ascii="Times New Roman" w:hAnsi="Times New Roman"/>
        </w:rPr>
        <w:t>apport rend compte de la contribution du programme conjoint au plan stratégique du PNUD au niveau global. Cet aspect a été relevé lors des entretiens avec les informateurs clés des agences contributrices. En réalité, l’allusion à la contribution du program</w:t>
      </w:r>
      <w:r>
        <w:rPr>
          <w:rFonts w:ascii="Times New Roman" w:hAnsi="Times New Roman"/>
        </w:rPr>
        <w:t xml:space="preserve">me conjoint au plan stratégique du PNUD au niveau global  est sans doute intéressante pour le bureau du PNUD. Mais, elle n’a pas de valeur ajoutée pour les autres parties prenantes au programme conjoint.  </w:t>
      </w:r>
    </w:p>
    <w:p w:rsidR="00864EC1" w:rsidRDefault="00C6376C">
      <w:pPr>
        <w:jc w:val="both"/>
        <w:rPr>
          <w:rFonts w:ascii="Times New Roman" w:hAnsi="Times New Roman"/>
        </w:rPr>
      </w:pPr>
      <w:r>
        <w:rPr>
          <w:rFonts w:ascii="Times New Roman" w:hAnsi="Times New Roman"/>
        </w:rPr>
        <w:t>En outre, la présentation du rapport en Powerpoint</w:t>
      </w:r>
      <w:r>
        <w:rPr>
          <w:rFonts w:ascii="Times New Roman" w:hAnsi="Times New Roman"/>
        </w:rPr>
        <w:t xml:space="preserve"> est certes intéressante. Il aurait été néanmoins judicieux que l’UGP produise des rapports narratifs et financiers. Le journal des risques a été régulièrement mis à jour dans le système de gestion Atlas. L’appui technique du PNUD particulièrement son rôle</w:t>
      </w:r>
      <w:r>
        <w:rPr>
          <w:rFonts w:ascii="Times New Roman" w:hAnsi="Times New Roman"/>
        </w:rPr>
        <w:t xml:space="preserve"> dans l’assurance qualité a été jugé très satisfaisant. Sur le plan organisationnel, l’ONDH dispose actuellement de l’expertise nécessaire pour l’accomplissement de son mandat et de ses attributions. Dans le cadre de la mise en œuvre du programme conjoint,</w:t>
      </w:r>
      <w:r>
        <w:rPr>
          <w:rFonts w:ascii="Times New Roman" w:hAnsi="Times New Roman"/>
        </w:rPr>
        <w:t xml:space="preserve"> le personnel a bénéficié de plusieurs activités de développement des capacités notamment la participation aux sessions de formation, aux conférences, etc.  Il a été constaté que ces activités ne s’inscrivent pas dans un plan de développement des capacités</w:t>
      </w:r>
      <w:r>
        <w:rPr>
          <w:rFonts w:ascii="Times New Roman" w:hAnsi="Times New Roman"/>
        </w:rPr>
        <w:t xml:space="preserve"> particulièrement un plan de formation du personnel. La composition du personnel de l’ONDH est sensible au genre. La liste du personnel mise à la disposition de la mission d’évaluation indique que l’ONDH compte 18 agents dont 10 femmes. </w:t>
      </w: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C6376C">
      <w:pPr>
        <w:jc w:val="both"/>
        <w:rPr>
          <w:rFonts w:ascii="Times New Roman" w:hAnsi="Times New Roman"/>
        </w:rPr>
      </w:pPr>
      <w:r>
        <w:rPr>
          <w:rFonts w:ascii="Times New Roman" w:hAnsi="Times New Roman"/>
        </w:rPr>
        <w:t>En définitive, c</w:t>
      </w:r>
      <w:r>
        <w:rPr>
          <w:rFonts w:ascii="Times New Roman" w:hAnsi="Times New Roman"/>
        </w:rPr>
        <w:t xml:space="preserve">ette brève analyse de la gouvernance du programme conjoint met en lumière les points forts et les points faibles ci-après. S’agissant des points forts, on peut signaler : </w:t>
      </w:r>
    </w:p>
    <w:p w:rsidR="00864EC1" w:rsidRDefault="00C6376C">
      <w:pPr>
        <w:pStyle w:val="Paragraphedeliste"/>
        <w:numPr>
          <w:ilvl w:val="0"/>
          <w:numId w:val="11"/>
        </w:numPr>
        <w:jc w:val="both"/>
        <w:rPr>
          <w:rFonts w:ascii="Times New Roman" w:hAnsi="Times New Roman"/>
        </w:rPr>
      </w:pPr>
      <w:r>
        <w:rPr>
          <w:rFonts w:ascii="Times New Roman" w:hAnsi="Times New Roman"/>
        </w:rPr>
        <w:t xml:space="preserve">Le pilotage efficace du programme basé sur un fort leadership national et une </w:t>
      </w:r>
      <w:r>
        <w:rPr>
          <w:rFonts w:ascii="Times New Roman" w:hAnsi="Times New Roman"/>
        </w:rPr>
        <w:t xml:space="preserve">appropriation nationale de la gestion du programme ; </w:t>
      </w:r>
    </w:p>
    <w:p w:rsidR="00864EC1" w:rsidRDefault="00C6376C">
      <w:pPr>
        <w:pStyle w:val="Paragraphedeliste"/>
        <w:numPr>
          <w:ilvl w:val="0"/>
          <w:numId w:val="11"/>
        </w:numPr>
        <w:jc w:val="both"/>
        <w:rPr>
          <w:rFonts w:ascii="Times New Roman" w:hAnsi="Times New Roman"/>
        </w:rPr>
      </w:pPr>
      <w:r>
        <w:rPr>
          <w:rFonts w:ascii="Times New Roman" w:hAnsi="Times New Roman"/>
        </w:rPr>
        <w:t xml:space="preserve">L’efficacité de la gestion du programme notamment de l’élaboration et la mise en œuvre des plans de travail annuels  grâce à l’expertise de l’UGP et des autres agents de l’ONDH ; </w:t>
      </w:r>
    </w:p>
    <w:p w:rsidR="00864EC1" w:rsidRDefault="00C6376C">
      <w:pPr>
        <w:pStyle w:val="Paragraphedeliste"/>
        <w:numPr>
          <w:ilvl w:val="0"/>
          <w:numId w:val="11"/>
        </w:numPr>
        <w:jc w:val="both"/>
        <w:rPr>
          <w:rFonts w:ascii="Times New Roman" w:hAnsi="Times New Roman"/>
        </w:rPr>
      </w:pPr>
      <w:r>
        <w:rPr>
          <w:rFonts w:ascii="Times New Roman" w:hAnsi="Times New Roman"/>
        </w:rPr>
        <w:t xml:space="preserve">La redevabilité du </w:t>
      </w:r>
      <w:r>
        <w:rPr>
          <w:rFonts w:ascii="Times New Roman" w:hAnsi="Times New Roman"/>
        </w:rPr>
        <w:t xml:space="preserve">programme conjoint qui s’est traduite par la production régulière des rapports et l’organisation des revues annuelles ; </w:t>
      </w:r>
    </w:p>
    <w:p w:rsidR="00864EC1" w:rsidRDefault="00C6376C">
      <w:pPr>
        <w:pStyle w:val="Paragraphedeliste"/>
        <w:numPr>
          <w:ilvl w:val="0"/>
          <w:numId w:val="11"/>
        </w:numPr>
        <w:jc w:val="both"/>
        <w:rPr>
          <w:rFonts w:ascii="Times New Roman" w:hAnsi="Times New Roman"/>
        </w:rPr>
      </w:pPr>
      <w:r>
        <w:rPr>
          <w:rFonts w:ascii="Times New Roman" w:hAnsi="Times New Roman"/>
        </w:rPr>
        <w:t xml:space="preserve">La formation continue du personnel ; </w:t>
      </w:r>
    </w:p>
    <w:p w:rsidR="00864EC1" w:rsidRDefault="00C6376C">
      <w:pPr>
        <w:pStyle w:val="Paragraphedeliste"/>
        <w:numPr>
          <w:ilvl w:val="0"/>
          <w:numId w:val="11"/>
        </w:numPr>
        <w:jc w:val="both"/>
        <w:rPr>
          <w:rFonts w:ascii="Times New Roman" w:hAnsi="Times New Roman"/>
        </w:rPr>
      </w:pPr>
      <w:r>
        <w:rPr>
          <w:rFonts w:ascii="Times New Roman" w:hAnsi="Times New Roman"/>
        </w:rPr>
        <w:t xml:space="preserve">La prise en compte du genre dans la composition du personnel. </w:t>
      </w:r>
    </w:p>
    <w:p w:rsidR="00864EC1" w:rsidRDefault="00C6376C">
      <w:pPr>
        <w:jc w:val="both"/>
        <w:rPr>
          <w:rFonts w:ascii="Times New Roman" w:hAnsi="Times New Roman"/>
        </w:rPr>
      </w:pPr>
      <w:r>
        <w:rPr>
          <w:rFonts w:ascii="Times New Roman" w:hAnsi="Times New Roman"/>
        </w:rPr>
        <w:t>En ce qui concerne les points faib</w:t>
      </w:r>
      <w:r>
        <w:rPr>
          <w:rFonts w:ascii="Times New Roman" w:hAnsi="Times New Roman"/>
        </w:rPr>
        <w:t xml:space="preserve">les, on peut noter : </w:t>
      </w:r>
    </w:p>
    <w:p w:rsidR="00864EC1" w:rsidRDefault="00C6376C">
      <w:pPr>
        <w:pStyle w:val="Paragraphedeliste"/>
        <w:numPr>
          <w:ilvl w:val="0"/>
          <w:numId w:val="12"/>
        </w:numPr>
        <w:jc w:val="both"/>
        <w:rPr>
          <w:rFonts w:ascii="Times New Roman" w:hAnsi="Times New Roman"/>
        </w:rPr>
      </w:pPr>
      <w:r>
        <w:rPr>
          <w:rFonts w:ascii="Times New Roman" w:hAnsi="Times New Roman"/>
        </w:rPr>
        <w:t xml:space="preserve">L’absence d’une vision stratégique pour guider le pilotage du programme conjoint ; </w:t>
      </w:r>
    </w:p>
    <w:p w:rsidR="00864EC1" w:rsidRDefault="00C6376C">
      <w:pPr>
        <w:pStyle w:val="Paragraphedeliste"/>
        <w:numPr>
          <w:ilvl w:val="0"/>
          <w:numId w:val="12"/>
        </w:numPr>
        <w:jc w:val="both"/>
        <w:rPr>
          <w:rFonts w:ascii="Times New Roman" w:hAnsi="Times New Roman"/>
        </w:rPr>
      </w:pPr>
      <w:r>
        <w:rPr>
          <w:rFonts w:ascii="Times New Roman" w:hAnsi="Times New Roman"/>
        </w:rPr>
        <w:t>L’absence des valeurs de référence pour plusieurs  cibles annuelles inscrites dans les plans de travail ;</w:t>
      </w:r>
    </w:p>
    <w:p w:rsidR="00864EC1" w:rsidRDefault="00C6376C">
      <w:pPr>
        <w:pStyle w:val="Paragraphedeliste"/>
        <w:numPr>
          <w:ilvl w:val="0"/>
          <w:numId w:val="12"/>
        </w:numPr>
        <w:jc w:val="both"/>
        <w:rPr>
          <w:rFonts w:ascii="Times New Roman" w:hAnsi="Times New Roman"/>
        </w:rPr>
      </w:pPr>
      <w:r>
        <w:rPr>
          <w:rFonts w:ascii="Times New Roman" w:hAnsi="Times New Roman"/>
        </w:rPr>
        <w:t>L’absence d’un plan de développement des cap</w:t>
      </w:r>
      <w:r>
        <w:rPr>
          <w:rFonts w:ascii="Times New Roman" w:hAnsi="Times New Roman"/>
        </w:rPr>
        <w:t xml:space="preserve">acités particulièrement d’un plan de formation du personnel de l’ONDH ; </w:t>
      </w:r>
    </w:p>
    <w:p w:rsidR="00864EC1" w:rsidRDefault="00C6376C">
      <w:pPr>
        <w:pStyle w:val="Paragraphedeliste"/>
        <w:numPr>
          <w:ilvl w:val="0"/>
          <w:numId w:val="12"/>
        </w:numPr>
        <w:jc w:val="both"/>
        <w:rPr>
          <w:rFonts w:ascii="Times New Roman" w:hAnsi="Times New Roman"/>
        </w:rPr>
      </w:pPr>
      <w:r>
        <w:rPr>
          <w:rFonts w:ascii="Times New Roman" w:hAnsi="Times New Roman"/>
        </w:rPr>
        <w:t xml:space="preserve">L’absence des rapports narratifs et financiers en plus des présentations Powerpoint. </w:t>
      </w:r>
    </w:p>
    <w:p w:rsidR="00864EC1" w:rsidRDefault="00C6376C">
      <w:pPr>
        <w:pStyle w:val="Titre2"/>
      </w:pPr>
      <w:bookmarkStart w:id="50" w:name="_Toc451442682"/>
      <w:bookmarkStart w:id="51" w:name="_Toc451652743"/>
      <w:bookmarkStart w:id="52" w:name="_Toc451653145"/>
      <w:r>
        <w:t>V - Développement des partenariats et coopération Sud-sud</w:t>
      </w:r>
      <w:bookmarkEnd w:id="50"/>
      <w:bookmarkEnd w:id="51"/>
      <w:bookmarkEnd w:id="52"/>
      <w:r>
        <w:t xml:space="preserve"> </w:t>
      </w:r>
    </w:p>
    <w:p w:rsidR="00864EC1" w:rsidRDefault="00C6376C">
      <w:pPr>
        <w:jc w:val="both"/>
      </w:pPr>
      <w:r>
        <w:rPr>
          <w:rFonts w:ascii="Times New Roman" w:hAnsi="Times New Roman"/>
        </w:rPr>
        <w:t>L’analyse du développement des partena</w:t>
      </w:r>
      <w:r>
        <w:rPr>
          <w:rFonts w:ascii="Times New Roman" w:hAnsi="Times New Roman"/>
        </w:rPr>
        <w:t xml:space="preserve">riats a été orientée par la principale question suivante : </w:t>
      </w:r>
      <w:r>
        <w:rPr>
          <w:rFonts w:ascii="Times New Roman" w:hAnsi="Times New Roman"/>
          <w:i/>
        </w:rPr>
        <w:t>Le choix des partenariats a-t-il été stratégique et efficace ?</w:t>
      </w:r>
      <w:r>
        <w:rPr>
          <w:rFonts w:ascii="Times New Roman" w:hAnsi="Times New Roman"/>
        </w:rPr>
        <w:t xml:space="preserve">  </w:t>
      </w:r>
    </w:p>
    <w:p w:rsidR="00864EC1" w:rsidRDefault="00C6376C">
      <w:pPr>
        <w:jc w:val="both"/>
      </w:pPr>
      <w:r>
        <w:rPr>
          <w:rFonts w:ascii="Times New Roman" w:hAnsi="Times New Roman"/>
        </w:rPr>
        <w:t xml:space="preserve">L’ONDH a été effectivement stratégique et efficace dans le développement des partenariats aux niveaux national et international. En </w:t>
      </w:r>
      <w:r>
        <w:rPr>
          <w:rFonts w:ascii="Times New Roman" w:hAnsi="Times New Roman"/>
        </w:rPr>
        <w:t>effet, dans le cadre de la mise en œuvre du programme conjoint, l’ONDH a noué des partenariats stratégiques au niveau national et international. Au plan international,  l’ONDH a établi des partenariats avec des institutions ayant une grande notoriété. A ti</w:t>
      </w:r>
      <w:r>
        <w:rPr>
          <w:rFonts w:ascii="Times New Roman" w:hAnsi="Times New Roman"/>
        </w:rPr>
        <w:t>tre indicatif, on peut signaler la fondation suisse pour la recherche en sciences sociales, l’Institut de médecine tropicale d’Anvers (IMT) en Belgique, Statistiques Canada, le CONEVAL, le CRES, l’OPHI. Au plan national, on peut signaler les partenariats a</w:t>
      </w:r>
      <w:r>
        <w:rPr>
          <w:rFonts w:ascii="Times New Roman" w:hAnsi="Times New Roman"/>
        </w:rPr>
        <w:t xml:space="preserve">vec les ministères de l’éducation nationale, le ministère de la santé, la représentation nationale de la Banque mondiale, l’école nationale de santé publique du Maroc, les universités </w:t>
      </w:r>
      <w:r>
        <w:rPr>
          <w:rFonts w:ascii="Times New Roman" w:hAnsi="Times New Roman"/>
          <w:bCs/>
        </w:rPr>
        <w:t>Abdelmalek Essaedi</w:t>
      </w:r>
      <w:r>
        <w:rPr>
          <w:rFonts w:ascii="Times New Roman" w:hAnsi="Times New Roman"/>
          <w:b/>
          <w:bCs/>
          <w:i/>
          <w:sz w:val="20"/>
          <w:szCs w:val="20"/>
        </w:rPr>
        <w:t xml:space="preserve">, </w:t>
      </w:r>
      <w:r>
        <w:rPr>
          <w:rFonts w:ascii="Times New Roman" w:hAnsi="Times New Roman"/>
        </w:rPr>
        <w:t xml:space="preserve"> Mohammed Premier. Le partenariat entre l’ONDH, le C</w:t>
      </w:r>
      <w:r>
        <w:rPr>
          <w:rFonts w:ascii="Times New Roman" w:hAnsi="Times New Roman"/>
        </w:rPr>
        <w:t xml:space="preserve">ONEVAL et le CRES est une expérience fructueuse qui attire d’autres pays. </w:t>
      </w:r>
    </w:p>
    <w:p w:rsidR="00864EC1" w:rsidRDefault="00C6376C">
      <w:pPr>
        <w:jc w:val="both"/>
      </w:pPr>
      <w:r>
        <w:rPr>
          <w:rFonts w:ascii="Times New Roman" w:hAnsi="Times New Roman"/>
        </w:rPr>
        <w:t xml:space="preserve">La dynamique partenariale a été avant tout motivée par l’échange d’expertise et d’expériences en matière de conception d’outils et d’approches adéquats ainsi que la réalisation des </w:t>
      </w:r>
      <w:r>
        <w:rPr>
          <w:rFonts w:ascii="Times New Roman" w:hAnsi="Times New Roman"/>
        </w:rPr>
        <w:t xml:space="preserve">évaluation des politiques publiques et des études. Le développement des partenariats stratégiques a été fortement soutenu par les agences des Nations unies. Il a permis à l’ONDH de franchir les frontières du Maroc et d’étendre son rayonnement au niveau de </w:t>
      </w:r>
      <w:r>
        <w:rPr>
          <w:rFonts w:ascii="Times New Roman" w:hAnsi="Times New Roman"/>
        </w:rPr>
        <w:t>la sous-région, aux  pays de l’Amérique latine et récemment aux pays de l’Afrique subsaharienne. A la faveur du rayonnement de l’ONDH propulsé par le développement des partenariats stratégiques et l’organisation des rencontres internationales, le Maroc ten</w:t>
      </w:r>
      <w:r>
        <w:rPr>
          <w:rFonts w:ascii="Times New Roman" w:hAnsi="Times New Roman"/>
        </w:rPr>
        <w:t>d  progressivement et sûrement à se positionner comme la plaque tournante ou une plateforme de la coopération sud-sud en matière d’évaluation. Même si elle peut être décodée à travers les cibles annuelles, le développement des partenariats n’est pas sous-t</w:t>
      </w:r>
      <w:r>
        <w:rPr>
          <w:rFonts w:ascii="Times New Roman" w:hAnsi="Times New Roman"/>
        </w:rPr>
        <w:t xml:space="preserve">endu par une stratégie explicite qui expose clairement ses objectifs, ses résultats attendus, son approche, etc.  </w:t>
      </w:r>
    </w:p>
    <w:p w:rsidR="00864EC1" w:rsidRDefault="00C6376C">
      <w:pPr>
        <w:pStyle w:val="Titre2"/>
      </w:pPr>
      <w:bookmarkStart w:id="53" w:name="_Toc451442683"/>
      <w:bookmarkStart w:id="54" w:name="_Toc451652744"/>
      <w:bookmarkStart w:id="55" w:name="_Toc451653146"/>
      <w:r>
        <w:t>VI - Gestion des connaissances et communication</w:t>
      </w:r>
      <w:bookmarkEnd w:id="53"/>
      <w:bookmarkEnd w:id="54"/>
      <w:bookmarkEnd w:id="55"/>
      <w:r>
        <w:t> </w:t>
      </w:r>
    </w:p>
    <w:p w:rsidR="00864EC1" w:rsidRDefault="00C6376C">
      <w:pPr>
        <w:jc w:val="both"/>
        <w:rPr>
          <w:rFonts w:ascii="Times New Roman" w:hAnsi="Times New Roman"/>
          <w:i/>
        </w:rPr>
      </w:pPr>
      <w:r>
        <w:rPr>
          <w:rFonts w:ascii="Times New Roman" w:hAnsi="Times New Roman"/>
          <w:i/>
        </w:rPr>
        <w:t xml:space="preserve">La gestion des connaissances et la communication ont-elles été performantes ? </w:t>
      </w:r>
    </w:p>
    <w:p w:rsidR="00864EC1" w:rsidRDefault="00C6376C">
      <w:pPr>
        <w:jc w:val="both"/>
        <w:rPr>
          <w:rFonts w:ascii="Times New Roman" w:hAnsi="Times New Roman"/>
        </w:rPr>
      </w:pPr>
      <w:r>
        <w:rPr>
          <w:rFonts w:ascii="Times New Roman" w:hAnsi="Times New Roman"/>
        </w:rPr>
        <w:t>La gestion de</w:t>
      </w:r>
      <w:r>
        <w:rPr>
          <w:rFonts w:ascii="Times New Roman" w:hAnsi="Times New Roman"/>
        </w:rPr>
        <w:t>s connaissances désigne un processus de production, de stockage, de valorisation ou de capitalisation, de diffusion des connaissances. Il est incontestable que l’ONDH s’est affirmée comme une organisation apprenante (Learning organization) et une organisat</w:t>
      </w:r>
      <w:r>
        <w:rPr>
          <w:rFonts w:ascii="Times New Roman" w:hAnsi="Times New Roman"/>
        </w:rPr>
        <w:t>ion génératrice de connaissances (Knowledge organization). En effet, les évaluations conduites par l’ONDH n’ont pas seulement pour but de porter des jugements sur les performances des politiques publiques, des programmes et des projets de développement. Le</w:t>
      </w:r>
      <w:r>
        <w:rPr>
          <w:rFonts w:ascii="Times New Roman" w:hAnsi="Times New Roman"/>
        </w:rPr>
        <w:t>s études réalisées ne se limitent pas non plus à alimenter les évaluations. Mais, elles apportent  une contribution significative à la production des connaissances. Elles offrent aussi des opportunités d’apprentissage aux différentes parties prenantes. Les</w:t>
      </w:r>
      <w:r>
        <w:rPr>
          <w:rFonts w:ascii="Times New Roman" w:hAnsi="Times New Roman"/>
        </w:rPr>
        <w:t xml:space="preserve"> études et les rencontres organisées par l’ONDH ont permis de mieux élucider et de contextualiser le concept de développement humain au Maroc. </w:t>
      </w:r>
    </w:p>
    <w:p w:rsidR="00864EC1" w:rsidRDefault="00C6376C">
      <w:pPr>
        <w:jc w:val="both"/>
      </w:pPr>
      <w:r>
        <w:rPr>
          <w:rFonts w:ascii="Times New Roman" w:hAnsi="Times New Roman"/>
        </w:rPr>
        <w:t>L’appui à l’organisation des pôles d’expertise et des groupes de recherche associés à l’ONDH a propulsé la dynam</w:t>
      </w:r>
      <w:r>
        <w:rPr>
          <w:rFonts w:ascii="Times New Roman" w:hAnsi="Times New Roman"/>
        </w:rPr>
        <w:t>ique de recherche sur cette thématique. Les évaluations et les études conduites par l’ONDH constituent de précieuses sources des données et des connaissances pour les chercheurs universitaires. Le SI Al Bacharia et la base des données de l’ONDH sont des mi</w:t>
      </w:r>
      <w:r>
        <w:rPr>
          <w:rFonts w:ascii="Times New Roman" w:hAnsi="Times New Roman"/>
        </w:rPr>
        <w:t>nes des données et d’informations qui sont de plus en plus exploitées par plusieurs utilisateurs comme le montre le nombre de clics enregistrés en 2015.  Les bonnes pratiques telles que l’enquête panel ménages, la territorialisation du SI, le partenariat a</w:t>
      </w:r>
      <w:r>
        <w:rPr>
          <w:rFonts w:ascii="Times New Roman" w:hAnsi="Times New Roman"/>
        </w:rPr>
        <w:t xml:space="preserve">vec les universités ont été partagées lors des rencontres internationales. Le tableau 1 montre que l’ONDH a réalisé et publié une quinzaine d’études relatives à la problématique du développement humain dans quelques secteurs. </w:t>
      </w:r>
    </w:p>
    <w:p w:rsidR="00864EC1" w:rsidRDefault="00C6376C">
      <w:pPr>
        <w:jc w:val="both"/>
        <w:rPr>
          <w:rFonts w:ascii="Times New Roman" w:hAnsi="Times New Roman"/>
        </w:rPr>
      </w:pPr>
      <w:r>
        <w:rPr>
          <w:rFonts w:ascii="Times New Roman" w:hAnsi="Times New Roman"/>
        </w:rPr>
        <w:t>S’agissant de la communicatio</w:t>
      </w:r>
      <w:r>
        <w:rPr>
          <w:rFonts w:ascii="Times New Roman" w:hAnsi="Times New Roman"/>
        </w:rPr>
        <w:t>n, dans le cadre de la mise en œuvre du programme conjoint, l’ONDH a adopté une approche qui privilégie la communication stratégique. Il s’est doté d’un plan de communication dont l’exécution a été efficace. Il dispose également des supports de communicati</w:t>
      </w:r>
      <w:r>
        <w:rPr>
          <w:rFonts w:ascii="Times New Roman" w:hAnsi="Times New Roman"/>
        </w:rPr>
        <w:t xml:space="preserve">on tels que le bulletin de liaison. Il ressort du tableau 1 que 4 bulletins de liaison ont été publiés, 11 séminaires ont été organisés pour vulgariser le concept de développement humain et partager les conclusions des études réalisées. L’ONDH a également </w:t>
      </w:r>
      <w:r>
        <w:rPr>
          <w:rFonts w:ascii="Times New Roman" w:hAnsi="Times New Roman"/>
        </w:rPr>
        <w:t xml:space="preserve">organisé des rencontres internationales de haut niveau. Mais, il n’a pas été possible d’apprécier objectivement l’impact de la communication stratégique de l’ONDH sur les groupes cibles visés en raison de l’absence d’une enquête d’opinions. </w:t>
      </w:r>
    </w:p>
    <w:p w:rsidR="00864EC1" w:rsidRDefault="00C6376C">
      <w:pPr>
        <w:jc w:val="both"/>
        <w:rPr>
          <w:rFonts w:ascii="Times New Roman" w:hAnsi="Times New Roman"/>
        </w:rPr>
      </w:pPr>
      <w:r>
        <w:rPr>
          <w:rFonts w:ascii="Times New Roman" w:hAnsi="Times New Roman"/>
        </w:rPr>
        <w:t>Malgré les eff</w:t>
      </w:r>
      <w:r>
        <w:rPr>
          <w:rFonts w:ascii="Times New Roman" w:hAnsi="Times New Roman"/>
        </w:rPr>
        <w:t>orts indéniables accomplis en matière de gestion des connaissances, l’ONDH devra davantage vulgariser les données, les informations et les connaissances produites aux niveaux international et national. Le renforcement du partenariat avec les médias pourrai</w:t>
      </w:r>
      <w:r>
        <w:rPr>
          <w:rFonts w:ascii="Times New Roman" w:hAnsi="Times New Roman"/>
        </w:rPr>
        <w:t>t aider à vulgariser largement les données et les connaissances. Elle pourrait aussi permettre de lever les barrières cognitives qui empêchent sans doute certains acteurs à utiliser davantage ces données et ces connaissances. Dans le cadre de la coopératio</w:t>
      </w:r>
      <w:r>
        <w:rPr>
          <w:rFonts w:ascii="Times New Roman" w:hAnsi="Times New Roman"/>
        </w:rPr>
        <w:t xml:space="preserve">n sud-sud, au-delà des rencontres internationales, il serait souhaitable de créer une revue internationale, une bibliothèque virtuelle et un portail pour élargir l’accès, permettre le partage et l’exploitation des données et des bonnes pratiques de l’ONDH </w:t>
      </w:r>
      <w:r>
        <w:rPr>
          <w:rFonts w:ascii="Times New Roman" w:hAnsi="Times New Roman"/>
        </w:rPr>
        <w:t xml:space="preserve">par les institutions des autres pays notamment celles des pays de l’Afrique subsaharienne.  Il serait aussi opportun de promouvoir des réseaux de connaissances ou des communautés de pratiques qui pourraient être soutenus et accompagnés par les agences des </w:t>
      </w:r>
      <w:r>
        <w:rPr>
          <w:rFonts w:ascii="Times New Roman" w:hAnsi="Times New Roman"/>
        </w:rPr>
        <w:t xml:space="preserve">Nations unies partenaires à travers leurs  bureaux pays.  </w:t>
      </w:r>
    </w:p>
    <w:p w:rsidR="00864EC1" w:rsidRDefault="00C6376C">
      <w:pPr>
        <w:pStyle w:val="Titre2"/>
      </w:pPr>
      <w:bookmarkStart w:id="56" w:name="_Toc451442684"/>
      <w:bookmarkStart w:id="57" w:name="_Toc451652745"/>
      <w:bookmarkStart w:id="58" w:name="_Toc451653147"/>
      <w:r>
        <w:t>VII - Pistes de réflexion et d’action à explorer pour le positionnement stratégique de l’ONDH</w:t>
      </w:r>
      <w:bookmarkEnd w:id="56"/>
      <w:bookmarkEnd w:id="57"/>
      <w:bookmarkEnd w:id="58"/>
    </w:p>
    <w:p w:rsidR="00864EC1" w:rsidRDefault="00C6376C">
      <w:pPr>
        <w:jc w:val="both"/>
      </w:pPr>
      <w:r>
        <w:rPr>
          <w:rFonts w:ascii="Times New Roman" w:hAnsi="Times New Roman"/>
        </w:rPr>
        <w:t>Les conclusions de l’analyse de la pertinence et des performances de la mise en œuvre du programme conj</w:t>
      </w:r>
      <w:r>
        <w:rPr>
          <w:rFonts w:ascii="Times New Roman" w:hAnsi="Times New Roman"/>
        </w:rPr>
        <w:t xml:space="preserve">oint ont déblayé des pistes de réflexion et d’action. On constatera que l’exploration de ces pistes se veut ambitieuse pour répondre aux attentes exprimées par les commanditaires de cette évaluation. Mais, leur utilisation ou leur exploitation exigera une </w:t>
      </w:r>
      <w:r>
        <w:rPr>
          <w:rFonts w:ascii="Times New Roman" w:hAnsi="Times New Roman"/>
        </w:rPr>
        <w:t>priorisation. Le positionnement stratégique de l’ONDH devrait guider la définition des objectifs et des résultats attendus ainsi que le choix des axes d’intervention de la troisième phase du programme conjoint. Il convient d’abord de préciser que dans ce r</w:t>
      </w:r>
      <w:r>
        <w:rPr>
          <w:rFonts w:ascii="Times New Roman" w:hAnsi="Times New Roman"/>
        </w:rPr>
        <w:t>apport, « </w:t>
      </w:r>
      <w:r>
        <w:rPr>
          <w:rFonts w:ascii="Times New Roman" w:hAnsi="Times New Roman"/>
          <w:b/>
          <w:i/>
        </w:rPr>
        <w:t>Le positionnement stratégique est appréhendé comme un processus de placement ou d’insertion d’une organisation ou d’une institution quelconque dans son environnement externe en tenant compte des opportunités et des menaces identifiés et en s’appu</w:t>
      </w:r>
      <w:r>
        <w:rPr>
          <w:rFonts w:ascii="Times New Roman" w:hAnsi="Times New Roman"/>
          <w:b/>
          <w:i/>
        </w:rPr>
        <w:t>yant sur ces capacités internes (Forces et faiblesses) </w:t>
      </w:r>
      <w:r>
        <w:rPr>
          <w:rFonts w:ascii="Times New Roman" w:hAnsi="Times New Roman"/>
        </w:rPr>
        <w:t>». Le positionnement stratégique suppose donc une connaissance approfondie de l’environnement externe notamment de la demande (demandeurs ou clients) et de l’offre (Producteurs et distributeurs) des se</w:t>
      </w:r>
      <w:r>
        <w:rPr>
          <w:rFonts w:ascii="Times New Roman" w:hAnsi="Times New Roman"/>
        </w:rPr>
        <w:t>rvices. Précisément, il s’agit de répondre aux principales questions suivantes : Quelles sont les institutions qui offrent les services en matière de production des données et d’évaluation des politiques publiques ? Quels sont les clients ou les utilisateu</w:t>
      </w:r>
      <w:r>
        <w:rPr>
          <w:rFonts w:ascii="Times New Roman" w:hAnsi="Times New Roman"/>
        </w:rPr>
        <w:t xml:space="preserve">rs de ces services notamment des services offerts par l’ONDH ? Les pistes de réflexion et d’action portent essentiellement sur la stratégie d’intervention et les niches que devrait explorer l’ONDH. </w:t>
      </w:r>
    </w:p>
    <w:p w:rsidR="00864EC1" w:rsidRDefault="00C6376C">
      <w:pPr>
        <w:pStyle w:val="Titre3"/>
      </w:pPr>
      <w:bookmarkStart w:id="59" w:name="_Toc451442685"/>
      <w:bookmarkStart w:id="60" w:name="_Toc451652746"/>
      <w:bookmarkStart w:id="61" w:name="_Toc451653148"/>
      <w:r>
        <w:t>VII.1 - Pistes à explorer pour le choix de la stratégie d</w:t>
      </w:r>
      <w:r>
        <w:t>’intervention</w:t>
      </w:r>
      <w:bookmarkEnd w:id="59"/>
      <w:bookmarkEnd w:id="60"/>
      <w:bookmarkEnd w:id="61"/>
      <w:r>
        <w:t xml:space="preserve">  </w:t>
      </w:r>
    </w:p>
    <w:p w:rsidR="00864EC1" w:rsidRDefault="00C6376C">
      <w:pPr>
        <w:jc w:val="both"/>
        <w:rPr>
          <w:rFonts w:ascii="Times New Roman" w:hAnsi="Times New Roman"/>
        </w:rPr>
      </w:pPr>
      <w:r>
        <w:rPr>
          <w:rFonts w:ascii="Times New Roman" w:hAnsi="Times New Roman"/>
        </w:rPr>
        <w:t xml:space="preserve">Comme on l’a indiqué plus haut, l’ONDH intervient dans un environnement caractérisé par la présence de quelques institutions publiques productrices des données et disposant d’une expertise pour la réalisation des évaluations des politiques </w:t>
      </w:r>
      <w:r>
        <w:rPr>
          <w:rFonts w:ascii="Times New Roman" w:hAnsi="Times New Roman"/>
        </w:rPr>
        <w:t xml:space="preserve">publiques. L’analyse a également montré que l’ONDH dispose des avantages comparatifs notamment des capacités internes ou d’une solide expertise et d’une riche expérience. L’enquête panel ménages, le SI Al Bacharia, la base des données, le tableau de bord  </w:t>
      </w:r>
      <w:r>
        <w:rPr>
          <w:rFonts w:ascii="Times New Roman" w:hAnsi="Times New Roman"/>
        </w:rPr>
        <w:t>et le SIT sont d’importants  atouts qui distinguent l’ONDH des autres producteurs des données. Au cours des deux premières phases, avec l’appui du programme conjoint, l’ONDH s’est positionné dans certaines niches dans le domaine de l’évaluation des politiq</w:t>
      </w:r>
      <w:r>
        <w:rPr>
          <w:rFonts w:ascii="Times New Roman" w:hAnsi="Times New Roman"/>
        </w:rPr>
        <w:t>ues de développement humain particulièrement des politiques sociales. Précisément, en termes de type d’évaluation, les interventions de l’ONDH ont porté  sur l’évaluation de l’impact des politiques publiques. Elles ont également ciblé trois catégories de l</w:t>
      </w:r>
      <w:r>
        <w:rPr>
          <w:rFonts w:ascii="Times New Roman" w:hAnsi="Times New Roman"/>
        </w:rPr>
        <w:t xml:space="preserve">a population (les femmes, les jeunes et les enfants) ainsi que les groupes vulnérables (personnes vivant en milieux urbain et  rural victimes de l’exclusion et de la pauvreté). </w:t>
      </w:r>
    </w:p>
    <w:p w:rsidR="00864EC1" w:rsidRDefault="00C6376C">
      <w:pPr>
        <w:jc w:val="both"/>
      </w:pPr>
      <w:r>
        <w:rPr>
          <w:rFonts w:ascii="Times New Roman" w:hAnsi="Times New Roman"/>
        </w:rPr>
        <w:t>Eu égard au cycle de la politique publique qui se décline en trois étapes ci-a</w:t>
      </w:r>
      <w:r>
        <w:rPr>
          <w:rFonts w:ascii="Times New Roman" w:hAnsi="Times New Roman"/>
        </w:rPr>
        <w:t>près : Elaboration, mise en œuvre et suivi, évaluation, les interventions de l’ONDH se sont concentrées en aval (Evaluation). Au niveau régional et local, l’ONDH appuie la territorialisation du SI pour promouvoir  la production des données de qualité néces</w:t>
      </w:r>
      <w:r>
        <w:rPr>
          <w:rFonts w:ascii="Times New Roman" w:hAnsi="Times New Roman"/>
        </w:rPr>
        <w:t xml:space="preserve">saires pour l’élaboration et l’évaluation des politiques territoriales. La stratégie d’intervention de l’ONDH est axée sur l’offre et la demande des services en matière de production des données, d’évaluation des politiques de développement humain.  Mais, </w:t>
      </w:r>
      <w:r>
        <w:rPr>
          <w:rFonts w:ascii="Times New Roman" w:hAnsi="Times New Roman"/>
        </w:rPr>
        <w:t xml:space="preserve">l’institution accorde de plus en plus une attention particulière à la demande.    </w:t>
      </w:r>
      <w:r>
        <w:rPr>
          <w:rFonts w:ascii="Times New Roman" w:hAnsi="Times New Roman"/>
          <w:b/>
          <w:i/>
        </w:rPr>
        <w:t xml:space="preserve"> </w:t>
      </w:r>
      <w:r>
        <w:rPr>
          <w:rFonts w:ascii="Times New Roman" w:hAnsi="Times New Roman"/>
        </w:rPr>
        <w:t xml:space="preserve"> </w:t>
      </w:r>
    </w:p>
    <w:p w:rsidR="00864EC1" w:rsidRDefault="00C6376C">
      <w:pPr>
        <w:jc w:val="both"/>
        <w:rPr>
          <w:rFonts w:ascii="Times New Roman" w:hAnsi="Times New Roman"/>
        </w:rPr>
      </w:pPr>
      <w:r>
        <w:rPr>
          <w:rFonts w:ascii="Times New Roman" w:hAnsi="Times New Roman"/>
        </w:rPr>
        <w:t>En somme, le positionnement stratégique actuel de l’ONDH est pertinent. Il s’est essentiellement articulé à cinq niveaux : Le niveau thématique (Politiques sociales), le n</w:t>
      </w:r>
      <w:r>
        <w:rPr>
          <w:rFonts w:ascii="Times New Roman" w:hAnsi="Times New Roman"/>
        </w:rPr>
        <w:t>iveau relatif au type d’évaluation (Evaluation d’impact), le niveau sectoriel (Ministères intervenant dans les secteurs sociaux), le niveau géographique (Régions et communes) et le niveau relatif aux catégories de personnes touchées (Femmes, jeunes, enfant</w:t>
      </w:r>
      <w:r>
        <w:rPr>
          <w:rFonts w:ascii="Times New Roman" w:hAnsi="Times New Roman"/>
        </w:rPr>
        <w:t xml:space="preserve">s, personnes victimes de l’exclusion).  Sa réputation, sa notoriété et son expertise  constituent des atouts indéniables. </w:t>
      </w:r>
    </w:p>
    <w:p w:rsidR="00864EC1" w:rsidRDefault="00C6376C">
      <w:pPr>
        <w:jc w:val="both"/>
        <w:rPr>
          <w:rFonts w:ascii="Times New Roman" w:hAnsi="Times New Roman"/>
        </w:rPr>
      </w:pPr>
      <w:r>
        <w:rPr>
          <w:rFonts w:ascii="Times New Roman" w:hAnsi="Times New Roman"/>
        </w:rPr>
        <w:t xml:space="preserve">En tenant compte de qui précède, l’exploration des pistes de réflexion et d’action vise à faire des suggestions pour  conforter ce </w:t>
      </w:r>
      <w:r>
        <w:rPr>
          <w:rFonts w:ascii="Times New Roman" w:hAnsi="Times New Roman"/>
        </w:rPr>
        <w:t xml:space="preserve">positionnement stratégique. Du fait de la croissance rapide de la demande de ces services, l’ONDH pourrait être de plus en plus tenté de diversifier son portefeuille pour répondre aux nombreuses sollicitations ou ouvrir d’autres chantiers stratégiques. Le </w:t>
      </w:r>
      <w:r>
        <w:rPr>
          <w:rFonts w:ascii="Times New Roman" w:hAnsi="Times New Roman"/>
        </w:rPr>
        <w:t>portefeuille actuel de l’ONDH étant assez large,  sa diversification pourrait entraîner l’accroissement rapide des coûts de transaction, la réduction de l’efficacité et la détérioration de la qualité de ces services. Dans la perspective de la programmation</w:t>
      </w:r>
      <w:r>
        <w:rPr>
          <w:rFonts w:ascii="Times New Roman" w:hAnsi="Times New Roman"/>
        </w:rPr>
        <w:t xml:space="preserve"> future, l’appui au positionnement stratégique de l’ONDH devrait consister à : </w:t>
      </w:r>
    </w:p>
    <w:p w:rsidR="00864EC1" w:rsidRDefault="00C6376C">
      <w:pPr>
        <w:pStyle w:val="Paragraphedeliste"/>
        <w:numPr>
          <w:ilvl w:val="0"/>
          <w:numId w:val="13"/>
        </w:numPr>
        <w:jc w:val="both"/>
      </w:pPr>
      <w:r>
        <w:rPr>
          <w:rFonts w:ascii="Times New Roman" w:hAnsi="Times New Roman"/>
          <w:b/>
          <w:i/>
        </w:rPr>
        <w:t>Renforcer</w:t>
      </w:r>
      <w:r>
        <w:rPr>
          <w:rFonts w:ascii="Times New Roman" w:hAnsi="Times New Roman"/>
        </w:rPr>
        <w:t xml:space="preserve"> </w:t>
      </w:r>
      <w:r>
        <w:rPr>
          <w:rFonts w:ascii="Times New Roman" w:hAnsi="Times New Roman"/>
          <w:b/>
          <w:i/>
        </w:rPr>
        <w:t>sa spécialisation</w:t>
      </w:r>
      <w:r>
        <w:rPr>
          <w:rFonts w:ascii="Times New Roman" w:hAnsi="Times New Roman"/>
        </w:rPr>
        <w:t xml:space="preserve"> </w:t>
      </w:r>
      <w:r>
        <w:rPr>
          <w:rFonts w:ascii="Times New Roman" w:hAnsi="Times New Roman"/>
          <w:b/>
          <w:i/>
        </w:rPr>
        <w:t>et appuyer le passage à l’échelle</w:t>
      </w:r>
      <w:r>
        <w:rPr>
          <w:rFonts w:ascii="Times New Roman" w:hAnsi="Times New Roman"/>
        </w:rPr>
        <w:t xml:space="preserve"> dans l’évaluation des politiques de développement humain qui constitue un champ très vaste.  L’ONDH devra donc con</w:t>
      </w:r>
      <w:r>
        <w:rPr>
          <w:rFonts w:ascii="Times New Roman" w:hAnsi="Times New Roman"/>
        </w:rPr>
        <w:t xml:space="preserve">tinuer à s’investir dans l’innovation des outils et des approches d’évaluation, la conduite des évaluations des politiques sociales. Il a certes à son actif la réalisation de plusieurs évaluations. Mais, la croissance de la demande de ses services indique </w:t>
      </w:r>
      <w:r>
        <w:rPr>
          <w:rFonts w:ascii="Times New Roman" w:hAnsi="Times New Roman"/>
        </w:rPr>
        <w:t xml:space="preserve">que les besoins et les attentes restent importants et justifient un passage à l’échelle.  </w:t>
      </w:r>
    </w:p>
    <w:p w:rsidR="00864EC1" w:rsidRDefault="00C6376C">
      <w:pPr>
        <w:pStyle w:val="Paragraphedeliste"/>
        <w:numPr>
          <w:ilvl w:val="0"/>
          <w:numId w:val="13"/>
        </w:numPr>
        <w:jc w:val="both"/>
      </w:pPr>
      <w:r>
        <w:rPr>
          <w:rFonts w:ascii="Times New Roman" w:hAnsi="Times New Roman"/>
          <w:b/>
          <w:i/>
        </w:rPr>
        <w:t>Adosser le positionnement stratégique de l’ONDH</w:t>
      </w:r>
      <w:r>
        <w:rPr>
          <w:rFonts w:ascii="Times New Roman" w:hAnsi="Times New Roman"/>
        </w:rPr>
        <w:t xml:space="preserve"> </w:t>
      </w:r>
      <w:r>
        <w:rPr>
          <w:rFonts w:ascii="Times New Roman" w:hAnsi="Times New Roman"/>
          <w:b/>
          <w:i/>
        </w:rPr>
        <w:t>sur les choix fondamentaux de son plan stratégique en cours d’élaboration.</w:t>
      </w:r>
      <w:r>
        <w:rPr>
          <w:rFonts w:ascii="Times New Roman" w:hAnsi="Times New Roman"/>
        </w:rPr>
        <w:t xml:space="preserve"> Au cours de la troisième phase du </w:t>
      </w:r>
      <w:r>
        <w:rPr>
          <w:rFonts w:ascii="Times New Roman" w:hAnsi="Times New Roman"/>
        </w:rPr>
        <w:t>programme conjoint, l’appui à l’ONDH devrait se focaliser sur la mise en œuvre de ce plan. Celle-ci permettra à l’ONDH d’accélérer sa phase de croissance. En effet, en faisant allusion  au cycle de vie d’une organisation, la première phase du programme con</w:t>
      </w:r>
      <w:r>
        <w:rPr>
          <w:rFonts w:ascii="Times New Roman" w:hAnsi="Times New Roman"/>
        </w:rPr>
        <w:t xml:space="preserve">joint a appuyé le démarrage de l’ONDH en se focalisant sur la conception et l’expérimentation des outils et des approches. La deuxième phase a soutenu l’achèvement du démarrage et l’amorce de la croissance. La troisième phase devrait permettre d’accélérer </w:t>
      </w:r>
      <w:r>
        <w:rPr>
          <w:rFonts w:ascii="Times New Roman" w:hAnsi="Times New Roman"/>
        </w:rPr>
        <w:t>sa croissance et de franchir l’étape de la maturité.  Eu égard à cette dynamique, l’accompagnement des partenaires particulièrement des agences des Nations unies devrait aider l’ONDH à progresser vers la réalisation de sa vision et de ses objectifs stratég</w:t>
      </w:r>
      <w:r>
        <w:rPr>
          <w:rFonts w:ascii="Times New Roman" w:hAnsi="Times New Roman"/>
        </w:rPr>
        <w:t xml:space="preserve">iques déclinés dans son plan stratégique en tenant compte de l’évolution de son environnement externe et de ses capacités.     </w:t>
      </w:r>
    </w:p>
    <w:p w:rsidR="00864EC1" w:rsidRDefault="00C6376C">
      <w:pPr>
        <w:pStyle w:val="Paragraphedeliste"/>
        <w:numPr>
          <w:ilvl w:val="0"/>
          <w:numId w:val="13"/>
        </w:numPr>
        <w:jc w:val="both"/>
      </w:pPr>
      <w:r>
        <w:rPr>
          <w:rFonts w:ascii="Times New Roman" w:hAnsi="Times New Roman"/>
          <w:b/>
          <w:i/>
        </w:rPr>
        <w:t>Promouvoir</w:t>
      </w:r>
      <w:r>
        <w:rPr>
          <w:rFonts w:ascii="Times New Roman" w:hAnsi="Times New Roman"/>
        </w:rPr>
        <w:t xml:space="preserve"> </w:t>
      </w:r>
      <w:r>
        <w:rPr>
          <w:rFonts w:ascii="Times New Roman" w:hAnsi="Times New Roman"/>
          <w:b/>
          <w:i/>
        </w:rPr>
        <w:t>davantage une approche proactive axée sur la demande et l’utilisation de ces services</w:t>
      </w:r>
      <w:r>
        <w:rPr>
          <w:rFonts w:ascii="Times New Roman" w:hAnsi="Times New Roman"/>
        </w:rPr>
        <w:t>. L’ONDH devrait constamment avo</w:t>
      </w:r>
      <w:r>
        <w:rPr>
          <w:rFonts w:ascii="Times New Roman" w:hAnsi="Times New Roman"/>
        </w:rPr>
        <w:t>ir une bonne connaissance des demandeurs et des utilisateurs de ces services, de l’évolution de leurs besoins et attentes. Une telle approche requiert l’analyse des profils et des besoins des utilisateurs de  Al Bacharia (Clics), une étude régulière et une</w:t>
      </w:r>
      <w:r>
        <w:rPr>
          <w:rFonts w:ascii="Times New Roman" w:hAnsi="Times New Roman"/>
        </w:rPr>
        <w:t xml:space="preserve"> veille stratégique sur l’évolution de l’offre et la demande de l’évaluation particulièrement de l’évolution de la demande et de l’utilisation de ces services. Elle suppose également un ciblage constant et régulier des demandeurs et des utilisateurs des se</w:t>
      </w:r>
      <w:r>
        <w:rPr>
          <w:rFonts w:ascii="Times New Roman" w:hAnsi="Times New Roman"/>
        </w:rPr>
        <w:t xml:space="preserve">rvices, des zones d’intervention. La communication stratégique  devrait davantage être utilisée comme  un levier pour promouvoir la proactivité axée sur la demande et l’utilisation. </w:t>
      </w:r>
    </w:p>
    <w:p w:rsidR="00864EC1" w:rsidRDefault="00C6376C">
      <w:pPr>
        <w:pStyle w:val="Paragraphedeliste"/>
        <w:numPr>
          <w:ilvl w:val="0"/>
          <w:numId w:val="13"/>
        </w:numPr>
        <w:jc w:val="both"/>
      </w:pPr>
      <w:r>
        <w:rPr>
          <w:rFonts w:ascii="Times New Roman" w:hAnsi="Times New Roman"/>
          <w:b/>
          <w:i/>
        </w:rPr>
        <w:t>Promouvoir les interventions en amont</w:t>
      </w:r>
      <w:r>
        <w:rPr>
          <w:rFonts w:ascii="Times New Roman" w:hAnsi="Times New Roman"/>
        </w:rPr>
        <w:t xml:space="preserve"> (élaboration des politiques publiqu</w:t>
      </w:r>
      <w:r>
        <w:rPr>
          <w:rFonts w:ascii="Times New Roman" w:hAnsi="Times New Roman"/>
        </w:rPr>
        <w:t>es) tout en renforçant les interventions en aval. La phase d’élaboration est décisive pour garantir la qualité d’une politique publique  qui est déterminante pour son évaluabilité. En d’autres termes, la mauvaise conception d’une politique publique notamme</w:t>
      </w:r>
      <w:r>
        <w:rPr>
          <w:rFonts w:ascii="Times New Roman" w:hAnsi="Times New Roman"/>
        </w:rPr>
        <w:t>nt l’ambiguïté de sa théorie du changement ou de ses objectifs, de sa stratégie opérationnelle, etc. peut compromettre son évaluation. Les interventions en amont de l’ONDH consisteraient à appuyer l’élaboration des politiques publiques à travers le conseil</w:t>
      </w:r>
      <w:r>
        <w:rPr>
          <w:rFonts w:ascii="Times New Roman" w:hAnsi="Times New Roman"/>
        </w:rPr>
        <w:t xml:space="preserve"> stratégique à la demande des clients,  le partage des expériences et des leçons apprises. Ces interventions  devraient alerter sur la nécessité de veiller à la qualité des politiques publiques pour garantir leur évaluabilité. </w:t>
      </w:r>
    </w:p>
    <w:p w:rsidR="00864EC1" w:rsidRDefault="00C6376C">
      <w:pPr>
        <w:pStyle w:val="Titre3"/>
      </w:pPr>
      <w:bookmarkStart w:id="62" w:name="_Toc451442686"/>
      <w:bookmarkStart w:id="63" w:name="_Toc451652747"/>
      <w:bookmarkStart w:id="64" w:name="_Toc451653149"/>
      <w:r>
        <w:t>VII.2 - Pistes à explorer po</w:t>
      </w:r>
      <w:r>
        <w:t>ur le choix des chantiers stratégiques et des niches</w:t>
      </w:r>
      <w:bookmarkEnd w:id="62"/>
      <w:bookmarkEnd w:id="63"/>
      <w:bookmarkEnd w:id="64"/>
    </w:p>
    <w:p w:rsidR="00864EC1" w:rsidRDefault="00C6376C">
      <w:pPr>
        <w:jc w:val="both"/>
        <w:rPr>
          <w:rFonts w:ascii="Times New Roman" w:hAnsi="Times New Roman"/>
        </w:rPr>
      </w:pPr>
      <w:r>
        <w:rPr>
          <w:rFonts w:ascii="Times New Roman" w:hAnsi="Times New Roman"/>
        </w:rPr>
        <w:t>L’ONDH devrait conforter son positionnement stratégique dans les chantiers stratégiques et les niches qu’il occupe actuellement. Il devrait ensuite  explorer progressivement de nouveaux chantiers et de n</w:t>
      </w:r>
      <w:r>
        <w:rPr>
          <w:rFonts w:ascii="Times New Roman" w:hAnsi="Times New Roman"/>
        </w:rPr>
        <w:t>ouvelles niches en tenant compte de l’évolution du contexte national et international de l’évaluation. Une telle orientation permet d’affirmer qu’en dépit des taux de réalisation des cibles annuelles, les trois produits du programme conjoint restent pertin</w:t>
      </w:r>
      <w:r>
        <w:rPr>
          <w:rFonts w:ascii="Times New Roman" w:hAnsi="Times New Roman"/>
        </w:rPr>
        <w:t>ents. Ils couvrent des problèmes qui sont encore actuels. Dans la perspective de la programmation future, en plus de nouveaux produits à définir, il s’agira simplement de les reformuler et de leur attribuer de nouvelles cibles. L’ONDH devrait ainsi se conc</w:t>
      </w:r>
      <w:r>
        <w:rPr>
          <w:rFonts w:ascii="Times New Roman" w:hAnsi="Times New Roman"/>
        </w:rPr>
        <w:t xml:space="preserve">entrer sur les chantiers stratégiques et les niches ci-après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 xml:space="preserve">L’opérationnalisation de l’agenda 2030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 xml:space="preserve">La territorialisation du système d’information dans le sillage de la régionalisation avancée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La promotion de l’institutionnalisation de l’évaluati</w:t>
      </w:r>
      <w:r>
        <w:rPr>
          <w:rFonts w:ascii="Times New Roman" w:hAnsi="Times New Roman"/>
          <w:b/>
          <w:i/>
        </w:rPr>
        <w:t xml:space="preserve">on des politiques publiques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 xml:space="preserve">La promotion de la recherche, l’enseignement, la formation  et la professionnalisation de l’évaluation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 xml:space="preserve">La promotion de la participation citoyenne à l’évaluation des politiques publiques ; </w:t>
      </w:r>
    </w:p>
    <w:p w:rsidR="00864EC1" w:rsidRDefault="00C6376C">
      <w:pPr>
        <w:pStyle w:val="Paragraphedeliste"/>
        <w:numPr>
          <w:ilvl w:val="0"/>
          <w:numId w:val="2"/>
        </w:numPr>
        <w:jc w:val="both"/>
      </w:pPr>
      <w:r>
        <w:rPr>
          <w:rFonts w:ascii="Times New Roman" w:hAnsi="Times New Roman"/>
          <w:b/>
          <w:i/>
        </w:rPr>
        <w:t>La promotion de la coopération su</w:t>
      </w:r>
      <w:r>
        <w:rPr>
          <w:rFonts w:ascii="Times New Roman" w:hAnsi="Times New Roman"/>
          <w:b/>
          <w:i/>
        </w:rPr>
        <w:t xml:space="preserve">d-sud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 xml:space="preserve">Le renforcement du partenariat avec les Nations Unies.  </w:t>
      </w:r>
    </w:p>
    <w:p w:rsidR="00864EC1" w:rsidRDefault="00C6376C">
      <w:pPr>
        <w:pStyle w:val="Titre4"/>
      </w:pPr>
      <w:r>
        <w:t xml:space="preserve">VII.2.1 - Opérationnalisation de l’agenda 2030 aux niveaux national, régional et local </w:t>
      </w:r>
    </w:p>
    <w:p w:rsidR="00864EC1" w:rsidRDefault="00C6376C">
      <w:pPr>
        <w:jc w:val="both"/>
      </w:pPr>
      <w:r>
        <w:rPr>
          <w:rFonts w:ascii="Times New Roman" w:hAnsi="Times New Roman"/>
        </w:rPr>
        <w:t>Lors de sa 70</w:t>
      </w:r>
      <w:r>
        <w:rPr>
          <w:rFonts w:ascii="Times New Roman" w:hAnsi="Times New Roman"/>
          <w:vertAlign w:val="superscript"/>
        </w:rPr>
        <w:t>ème</w:t>
      </w:r>
      <w:r>
        <w:rPr>
          <w:rFonts w:ascii="Times New Roman" w:hAnsi="Times New Roman"/>
        </w:rPr>
        <w:t xml:space="preserve">  session, l’Assemblée générale des Nations unies a adopté le programme de déve</w:t>
      </w:r>
      <w:r>
        <w:rPr>
          <w:rFonts w:ascii="Times New Roman" w:hAnsi="Times New Roman"/>
        </w:rPr>
        <w:t>loppement durable à l’horizon 2030 comprenant 17 objectifs assortis de 169 cibles. En mars 2016, à l’issue de sa 47</w:t>
      </w:r>
      <w:r>
        <w:rPr>
          <w:rFonts w:ascii="Times New Roman" w:hAnsi="Times New Roman"/>
          <w:vertAlign w:val="superscript"/>
        </w:rPr>
        <w:t>ème</w:t>
      </w:r>
      <w:r>
        <w:rPr>
          <w:rFonts w:ascii="Times New Roman" w:hAnsi="Times New Roman"/>
        </w:rPr>
        <w:t xml:space="preserve"> session, à son tour, la commission statistique de l’ONU a adopté un cadre global de mesure qui permettra de rendre compte des progrès réa</w:t>
      </w:r>
      <w:r>
        <w:rPr>
          <w:rFonts w:ascii="Times New Roman" w:hAnsi="Times New Roman"/>
        </w:rPr>
        <w:t>lisés dans la mise en œuvre des ODD. Ce cadre comprend 230 indicateurs. La résolution adoptée par l’Assemblée générale le 25 septembre 2015 «</w:t>
      </w:r>
      <w:r>
        <w:rPr>
          <w:rFonts w:ascii="Times New Roman" w:hAnsi="Times New Roman"/>
          <w:b/>
          <w:i/>
        </w:rPr>
        <w:t>encourage tous les Etats membres à élaborer dans les meilleurs délais des initiatives nationales ambitieuses dans l</w:t>
      </w:r>
      <w:r>
        <w:rPr>
          <w:rFonts w:ascii="Times New Roman" w:hAnsi="Times New Roman"/>
          <w:b/>
          <w:i/>
        </w:rPr>
        <w:t>’optique de la mise en œuvre du programme … et à procéder à des examens réguliers et sans exclusive, dirigés et contrôlés par le pays, des progrès accomplis aux niveaux national et international…</w:t>
      </w:r>
      <w:r>
        <w:rPr>
          <w:rFonts w:ascii="Times New Roman" w:hAnsi="Times New Roman"/>
        </w:rPr>
        <w:t> »</w:t>
      </w:r>
      <w:r>
        <w:rPr>
          <w:rStyle w:val="Appelnotedebasdep"/>
          <w:rFonts w:ascii="Times New Roman" w:hAnsi="Times New Roman"/>
        </w:rPr>
        <w:footnoteReference w:id="10"/>
      </w:r>
      <w:r>
        <w:rPr>
          <w:rFonts w:ascii="Times New Roman" w:hAnsi="Times New Roman"/>
        </w:rPr>
        <w:t>.  L’agenda 2030 est inscrit en bonne place dans l’agenda politique du Maroc qui a déjà pris des initiatives pour son opérationnalisation. Pendant les visi</w:t>
      </w:r>
      <w:r>
        <w:rPr>
          <w:rFonts w:ascii="Times New Roman" w:hAnsi="Times New Roman"/>
        </w:rPr>
        <w:t>tes de terrain, la mission d’évaluation avait été informée de l’organisation d’un atelier national sur les ODD du 03 au 04 mai 2016. Cette rencontre s’était assignée comme objectif de mener une réflexion sur la problématique de la mise en œuvre des ODD à t</w:t>
      </w:r>
      <w:r>
        <w:rPr>
          <w:rFonts w:ascii="Times New Roman" w:hAnsi="Times New Roman"/>
        </w:rPr>
        <w:t xml:space="preserve">ravers les politiques publiques. </w:t>
      </w:r>
    </w:p>
    <w:p w:rsidR="00864EC1" w:rsidRDefault="00C6376C">
      <w:pPr>
        <w:jc w:val="both"/>
      </w:pPr>
      <w:r>
        <w:rPr>
          <w:rFonts w:ascii="Times New Roman" w:hAnsi="Times New Roman"/>
        </w:rPr>
        <w:t>En outre, en novembre 2015, le deuxième forum pour la coopération de l’évaluation</w:t>
      </w:r>
      <w:r>
        <w:rPr>
          <w:rStyle w:val="Appelnotedebasdep"/>
          <w:rFonts w:ascii="Times New Roman" w:hAnsi="Times New Roman"/>
        </w:rPr>
        <w:footnoteReference w:id="11"/>
      </w:r>
      <w:r>
        <w:rPr>
          <w:rFonts w:ascii="Times New Roman" w:hAnsi="Times New Roman"/>
        </w:rPr>
        <w:t xml:space="preserve"> a plaidé pour le rôle clé de l’éval</w:t>
      </w:r>
      <w:r>
        <w:rPr>
          <w:rFonts w:ascii="Times New Roman" w:hAnsi="Times New Roman"/>
        </w:rPr>
        <w:t xml:space="preserve">uation dans la mise en œuvre de l’agenda 2030 et l’élaboration des politiques nationales basées sur des données et des évidences fiables. Les échanges qui ont eu lieu à l’occasion de cette rencontre de haut niveau ont également mis en exergue l’importance </w:t>
      </w:r>
      <w:r>
        <w:rPr>
          <w:rFonts w:ascii="Times New Roman" w:hAnsi="Times New Roman"/>
        </w:rPr>
        <w:t>du renforcement des capacités nationales en évaluation afin de promouvoir la transparence et la redevabilité dans la gestion des affaires publiques particulièrement dans la mise en œuvre des politiques publiques. Le forum a adopté un agenda mondial d’évalu</w:t>
      </w:r>
      <w:r>
        <w:rPr>
          <w:rFonts w:ascii="Times New Roman" w:hAnsi="Times New Roman"/>
        </w:rPr>
        <w:t xml:space="preserve">ation 2016-2020 qui s’est fixé les principaux objectifs suivants : </w:t>
      </w:r>
    </w:p>
    <w:p w:rsidR="00864EC1" w:rsidRDefault="00C6376C">
      <w:pPr>
        <w:pStyle w:val="Paragraphedeliste"/>
        <w:numPr>
          <w:ilvl w:val="0"/>
          <w:numId w:val="14"/>
        </w:numPr>
        <w:jc w:val="both"/>
        <w:rPr>
          <w:rFonts w:ascii="Times New Roman" w:hAnsi="Times New Roman"/>
          <w:b/>
          <w:i/>
        </w:rPr>
      </w:pPr>
      <w:r>
        <w:rPr>
          <w:rFonts w:ascii="Times New Roman" w:hAnsi="Times New Roman"/>
          <w:b/>
          <w:i/>
        </w:rPr>
        <w:t xml:space="preserve">La promotion d’un environnement national favorable à l’évaluation centrée sur l’équité et sensible à l’égalité des sexes ; </w:t>
      </w:r>
    </w:p>
    <w:p w:rsidR="00864EC1" w:rsidRDefault="00C6376C">
      <w:pPr>
        <w:pStyle w:val="Paragraphedeliste"/>
        <w:numPr>
          <w:ilvl w:val="0"/>
          <w:numId w:val="14"/>
        </w:numPr>
        <w:jc w:val="both"/>
        <w:rPr>
          <w:rFonts w:ascii="Times New Roman" w:hAnsi="Times New Roman"/>
          <w:b/>
          <w:i/>
        </w:rPr>
      </w:pPr>
      <w:r>
        <w:rPr>
          <w:rFonts w:ascii="Times New Roman" w:hAnsi="Times New Roman"/>
          <w:b/>
          <w:i/>
        </w:rPr>
        <w:t>Le renforcement des capacités institutionnelles des OSC en matiè</w:t>
      </w:r>
      <w:r>
        <w:rPr>
          <w:rFonts w:ascii="Times New Roman" w:hAnsi="Times New Roman"/>
          <w:b/>
          <w:i/>
        </w:rPr>
        <w:t xml:space="preserve">re d’évaluation ; </w:t>
      </w:r>
    </w:p>
    <w:p w:rsidR="00864EC1" w:rsidRDefault="00C6376C">
      <w:pPr>
        <w:pStyle w:val="Paragraphedeliste"/>
        <w:numPr>
          <w:ilvl w:val="0"/>
          <w:numId w:val="14"/>
        </w:numPr>
        <w:jc w:val="both"/>
        <w:rPr>
          <w:rFonts w:ascii="Times New Roman" w:hAnsi="Times New Roman"/>
          <w:b/>
          <w:i/>
        </w:rPr>
      </w:pPr>
      <w:r>
        <w:rPr>
          <w:rFonts w:ascii="Times New Roman" w:hAnsi="Times New Roman"/>
          <w:b/>
          <w:i/>
        </w:rPr>
        <w:t>Le renforcement des capacités professionnelles des évaluateurs.</w:t>
      </w:r>
    </w:p>
    <w:p w:rsidR="00864EC1" w:rsidRDefault="00C6376C">
      <w:pPr>
        <w:jc w:val="both"/>
        <w:rPr>
          <w:rFonts w:ascii="Times New Roman" w:hAnsi="Times New Roman"/>
        </w:rPr>
      </w:pPr>
      <w:r>
        <w:rPr>
          <w:rFonts w:ascii="Times New Roman" w:hAnsi="Times New Roman"/>
        </w:rPr>
        <w:t>L’opérationnalisation de l’agenda 2030 aux niveaux national, régional et local est manifestement un important chantier stratégique. A la faveur de sa contribution significat</w:t>
      </w:r>
      <w:r>
        <w:rPr>
          <w:rFonts w:ascii="Times New Roman" w:hAnsi="Times New Roman"/>
        </w:rPr>
        <w:t xml:space="preserve">ive dans le suivi des OMD, les informateurs clés interviewés ont unanimement affirmé que l’ONDH devrait jouer un rôle clé dans la réalisation de ce chantier stratégique. Sa contribution a été jugée  opportune et indispensable pour la contextualisation des </w:t>
      </w:r>
      <w:r>
        <w:rPr>
          <w:rFonts w:ascii="Times New Roman" w:hAnsi="Times New Roman"/>
        </w:rPr>
        <w:t>ODD, des cibles et des indicateurs y relatifs au niveau national. Il a été signalé que l’enquête panel ménages, le SI Al Bacharia et SIT sont de précieux outils qui seront davantage utilisés pour la production des données nécessaires pour le suivi et l’éva</w:t>
      </w:r>
      <w:r>
        <w:rPr>
          <w:rFonts w:ascii="Times New Roman" w:hAnsi="Times New Roman"/>
        </w:rPr>
        <w:t>luation des ODD. Au-delà de sa contribution au niveau national, l’appui de l’ONDH devrait se concentrer en amont sur la prise en compte des ODD dans l’élaboration des politiques sociales et en aval sur le suivi et l’évaluation des ODD dans ces secteurs. L’</w:t>
      </w:r>
      <w:r>
        <w:rPr>
          <w:rFonts w:ascii="Times New Roman" w:hAnsi="Times New Roman"/>
        </w:rPr>
        <w:t xml:space="preserve">exigence ou la dynamique de la convergence des politiques publiques permettra aux autres secteurs de bénéficier  de l’expertise et de la riche expérience de l’ONDH. </w:t>
      </w:r>
    </w:p>
    <w:p w:rsidR="00864EC1" w:rsidRDefault="00C6376C">
      <w:pPr>
        <w:pStyle w:val="Titre4"/>
      </w:pPr>
      <w:r>
        <w:t>VII.2.2 -  Territorialisation du système d’information dans le sillage de la régionalisati</w:t>
      </w:r>
      <w:r>
        <w:t xml:space="preserve">on avancée  </w:t>
      </w:r>
    </w:p>
    <w:p w:rsidR="00864EC1" w:rsidRDefault="00C6376C">
      <w:pPr>
        <w:jc w:val="both"/>
        <w:rPr>
          <w:rFonts w:ascii="Times New Roman" w:hAnsi="Times New Roman"/>
        </w:rPr>
      </w:pPr>
      <w:r>
        <w:rPr>
          <w:rFonts w:ascii="Times New Roman" w:hAnsi="Times New Roman"/>
        </w:rPr>
        <w:t>La territorialisation du SI est une  niche porteuse au sein de laquelle  l’ONDH devrait conforter son positionnement stratégique en s’investissant sur  la déclinaison des ODD, des cibles et des indicateurs y relatifs dans les politiques publiq</w:t>
      </w:r>
      <w:r>
        <w:rPr>
          <w:rFonts w:ascii="Times New Roman" w:hAnsi="Times New Roman"/>
        </w:rPr>
        <w:t>ues, les plans et les programmes régionaux et locaux. Cette démarche s’inscrira dans la perspective de la régionalisation avancée en cours. A ce propos, la territorialisation du SI, les partenariats développés avec les régions  et les études sur la converg</w:t>
      </w:r>
      <w:r>
        <w:rPr>
          <w:rFonts w:ascii="Times New Roman" w:hAnsi="Times New Roman"/>
        </w:rPr>
        <w:t xml:space="preserve">ence régionale  seront des atouts indéniables pour l’ONDH. Ses interventions devraient privilégier le conseil stratégique, le renforcement des capacités ou de l’expertise des acteurs régionaux et locaux ainsi que leur accompagnement pour l’inscription des </w:t>
      </w:r>
      <w:r>
        <w:rPr>
          <w:rFonts w:ascii="Times New Roman" w:hAnsi="Times New Roman"/>
        </w:rPr>
        <w:t xml:space="preserve">ODD dans les politiques territoriales et  les outils de planification régionale et locale. Le SIT sera mobilisé pour la production des données fiables en vue du suivi et de l’évaluation des ODD aux niveaux régional et local. </w:t>
      </w:r>
    </w:p>
    <w:p w:rsidR="00864EC1" w:rsidRDefault="00C6376C">
      <w:pPr>
        <w:pStyle w:val="Titre4"/>
      </w:pPr>
      <w:r>
        <w:t xml:space="preserve">VII.2.3 -  Promotion de </w:t>
      </w:r>
      <w:r>
        <w:t>l’institutionnalisation de l’évaluation des politiques publiques </w:t>
      </w:r>
    </w:p>
    <w:p w:rsidR="00864EC1" w:rsidRDefault="00C6376C">
      <w:pPr>
        <w:jc w:val="both"/>
        <w:rPr>
          <w:rFonts w:ascii="Times New Roman" w:hAnsi="Times New Roman"/>
        </w:rPr>
      </w:pPr>
      <w:r>
        <w:rPr>
          <w:rFonts w:ascii="Times New Roman" w:hAnsi="Times New Roman"/>
        </w:rPr>
        <w:t>L’institutionnalisation de l’évaluation des politiques est un chantier stratégique qui fait intervenir plusieurs acteurs. L’analyse conduite plus haut a montré que l’apport de l’ONDH est dét</w:t>
      </w:r>
      <w:r>
        <w:rPr>
          <w:rFonts w:ascii="Times New Roman" w:hAnsi="Times New Roman"/>
        </w:rPr>
        <w:t xml:space="preserve">erminant dans la promotion de l’institutionnalisation de la fonction instrumentale qui porte sur la conception, l’innovation et la vulgarisation des outils et des méthodologies de l’évaluation des politiques publiques. L’ONDH joue également un rôle majeur </w:t>
      </w:r>
      <w:r>
        <w:rPr>
          <w:rFonts w:ascii="Times New Roman" w:hAnsi="Times New Roman"/>
        </w:rPr>
        <w:t>dans le débat public ou citoyen sur l’institutionnalisation. Il prend une part active dans la réflexion sur la coordination de l’évaluation des politiques publiques initiée par le ministère des affaires générales et de la gouvernance. Mais, il devra davant</w:t>
      </w:r>
      <w:r>
        <w:rPr>
          <w:rFonts w:ascii="Times New Roman" w:hAnsi="Times New Roman"/>
        </w:rPr>
        <w:t xml:space="preserve">age s’impliquer dans cette dynamique qui vise la mise en place des mécanismes institutionnels adéquats pour assurer une coordination efficace des acteurs intervenant dans la production des données et l’évaluation des politiques publiques. </w:t>
      </w:r>
    </w:p>
    <w:p w:rsidR="00864EC1" w:rsidRDefault="00C6376C">
      <w:pPr>
        <w:jc w:val="both"/>
        <w:rPr>
          <w:rFonts w:ascii="Times New Roman" w:hAnsi="Times New Roman"/>
        </w:rPr>
      </w:pPr>
      <w:r>
        <w:rPr>
          <w:rFonts w:ascii="Times New Roman" w:hAnsi="Times New Roman"/>
        </w:rPr>
        <w:t xml:space="preserve">Il est vrai que </w:t>
      </w:r>
      <w:r>
        <w:rPr>
          <w:rFonts w:ascii="Times New Roman" w:hAnsi="Times New Roman"/>
        </w:rPr>
        <w:t>la mise en place des mécanismes et l’élaboration des outils de pilotage et de coordination ne font pas partie de la mission et des responsabilités de l’ONDH. Toutefois, en raison de son positionnement stratégique, il pourrait influencer la réflexion sur ce</w:t>
      </w:r>
      <w:r>
        <w:rPr>
          <w:rFonts w:ascii="Times New Roman" w:hAnsi="Times New Roman"/>
        </w:rPr>
        <w:t>s mécanismes  à travers les actions de plaidoyer, l’organisation des rencontres nationales et internationales. La réflexion sur les mécanismes et les outils de coordination ne devrait pas être confinée à la répartition des rôles et des responsabilités entr</w:t>
      </w:r>
      <w:r>
        <w:rPr>
          <w:rFonts w:ascii="Times New Roman" w:hAnsi="Times New Roman"/>
        </w:rPr>
        <w:t>e les producteurs des données. Elle devrait davantage s’inscrire dans une perspective stratégique qui mettrait l’accent sur l’élaboration des outils de pilotage appropriés. A ce propos, le ministère des affaires générales et de la gouvernance a pris l’init</w:t>
      </w:r>
      <w:r>
        <w:rPr>
          <w:rFonts w:ascii="Times New Roman" w:hAnsi="Times New Roman"/>
        </w:rPr>
        <w:t xml:space="preserve">iative d’élaborer une charte de l’évaluation des politiques publiques. </w:t>
      </w:r>
    </w:p>
    <w:p w:rsidR="00864EC1" w:rsidRDefault="00C6376C">
      <w:pPr>
        <w:jc w:val="both"/>
        <w:rPr>
          <w:rFonts w:ascii="Times New Roman" w:hAnsi="Times New Roman"/>
        </w:rPr>
      </w:pPr>
      <w:r>
        <w:rPr>
          <w:rFonts w:ascii="Times New Roman" w:hAnsi="Times New Roman"/>
        </w:rPr>
        <w:t>Mais, il serait judicieux d’envisager également l’élaboration d’une politique nationale de l’évaluation en tant que levier stratégique pour la promotion de la bonne gouvernance. La pol</w:t>
      </w:r>
      <w:r>
        <w:rPr>
          <w:rFonts w:ascii="Times New Roman" w:hAnsi="Times New Roman"/>
        </w:rPr>
        <w:t>itique nationale de l’évaluation énoncera la vision stratégique, les orientations et  les objectifs stratégiques, les priorités, les valeurs et les principes éthiques, les domaines d’intervention stratégiques ou prioritaires, les rôles et les responsabilit</w:t>
      </w:r>
      <w:r>
        <w:rPr>
          <w:rFonts w:ascii="Times New Roman" w:hAnsi="Times New Roman"/>
        </w:rPr>
        <w:t>és des différents acteurs, les mécanismes de coordination et de dialogue, les arrangements de gestion et de financement ainsi que les mécanismes  de suivi et d’évaluation de la mise en œuvre de la politique. En plus de la politique nationale, la déclinaiso</w:t>
      </w:r>
      <w:r>
        <w:rPr>
          <w:rFonts w:ascii="Times New Roman" w:hAnsi="Times New Roman"/>
        </w:rPr>
        <w:t>n des dispositions constitutionnelles à travers une loi ou des lois spécifiques sur l’évaluation serait sans doute nécessaire pour renforcer son assise légale.</w:t>
      </w:r>
    </w:p>
    <w:p w:rsidR="00864EC1" w:rsidRDefault="00C6376C">
      <w:pPr>
        <w:pStyle w:val="Titre4"/>
      </w:pPr>
      <w:r>
        <w:t xml:space="preserve">VII.2.4  -  Promotion de la recherche, l’enseignement, la formation  et la professionnalisation </w:t>
      </w:r>
      <w:r>
        <w:t>de l’évaluation </w:t>
      </w:r>
    </w:p>
    <w:p w:rsidR="00864EC1" w:rsidRDefault="00C6376C">
      <w:pPr>
        <w:jc w:val="both"/>
      </w:pPr>
      <w:r>
        <w:rPr>
          <w:rFonts w:ascii="Times New Roman" w:hAnsi="Times New Roman"/>
        </w:rPr>
        <w:t>Dans le cadre de la programmation future, l’ONDH devrait davantage s’investir dans la promotion de la recherche, l’enseignement, la formation  et la professionnalisation de l’évaluation</w:t>
      </w:r>
      <w:r>
        <w:rPr>
          <w:rFonts w:ascii="Times New Roman" w:hAnsi="Times New Roman"/>
          <w:b/>
          <w:i/>
        </w:rPr>
        <w:t> </w:t>
      </w:r>
      <w:r>
        <w:rPr>
          <w:rFonts w:ascii="Times New Roman" w:hAnsi="Times New Roman"/>
        </w:rPr>
        <w:t>qui sont des composantes importantes du processus d’i</w:t>
      </w:r>
      <w:r>
        <w:rPr>
          <w:rFonts w:ascii="Times New Roman" w:hAnsi="Times New Roman"/>
        </w:rPr>
        <w:t xml:space="preserve">nstitutionnalisation. Mais, sa démarche devrait être éclairée par les modèles qui sous-tendent ces composantes et les défis ou les enjeux auxquels renvoie leur promotion. A la faveur de la mise en œuvre du programme conjoint, l’ONDH a impulsé la recherche </w:t>
      </w:r>
      <w:r>
        <w:rPr>
          <w:rFonts w:ascii="Times New Roman" w:hAnsi="Times New Roman"/>
        </w:rPr>
        <w:t>sur le concept de développement humain qui a fait l’objet de plusieurs rencontres citoyennes et universitaires et des publications. Il a développé des partenariats stratégiques avec quelques universités et  soutenu la mise en place des groupes de recherche</w:t>
      </w:r>
      <w:r>
        <w:rPr>
          <w:rFonts w:ascii="Times New Roman" w:hAnsi="Times New Roman"/>
        </w:rPr>
        <w:t xml:space="preserve"> pour promouvoir la production et la diffusion des connaissances scientifiques sur cette thématique. En 2015, 8 nouveaux groupes de recherche ont été mis en place. </w:t>
      </w:r>
    </w:p>
    <w:p w:rsidR="00864EC1" w:rsidRDefault="00C6376C">
      <w:pPr>
        <w:jc w:val="both"/>
        <w:rPr>
          <w:rFonts w:ascii="Times New Roman" w:hAnsi="Times New Roman"/>
        </w:rPr>
      </w:pPr>
      <w:r>
        <w:rPr>
          <w:rFonts w:ascii="Times New Roman" w:hAnsi="Times New Roman"/>
        </w:rPr>
        <w:t>Les thématiques de développement humain et de l’évaluation des politiques alimentent désorm</w:t>
      </w:r>
      <w:r>
        <w:rPr>
          <w:rFonts w:ascii="Times New Roman" w:hAnsi="Times New Roman"/>
        </w:rPr>
        <w:t>ais des débats universitaires et des travaux de recherche de haut niveau notamment les thèses de doctorat et la publication des articles scientifiques. Comme on l’a signalé plus haut, les interventions de l’ONDH ont encouragé quelques universités à prendre</w:t>
      </w:r>
      <w:r>
        <w:rPr>
          <w:rFonts w:ascii="Times New Roman" w:hAnsi="Times New Roman"/>
        </w:rPr>
        <w:t xml:space="preserve"> des initiatives visant l’intégration de l’évaluation des politiques publiques dans les curricula de l’enseignement et de la formation.  On observe donc une dynamique d’appropriation de la thématique de l’évaluation des politiques publiques par les univers</w:t>
      </w:r>
      <w:r>
        <w:rPr>
          <w:rFonts w:ascii="Times New Roman" w:hAnsi="Times New Roman"/>
        </w:rPr>
        <w:t>itaires. L’enseignement et la formation joueront un rôle clé pour la promotion de la professionnalisation de l’évaluation qui est aussi une dimension importante du processus  d’institutionnalisation.</w:t>
      </w:r>
    </w:p>
    <w:p w:rsidR="00864EC1" w:rsidRDefault="00C6376C">
      <w:pPr>
        <w:jc w:val="both"/>
      </w:pPr>
      <w:r>
        <w:rPr>
          <w:rFonts w:ascii="Times New Roman" w:hAnsi="Times New Roman"/>
        </w:rPr>
        <w:t>Eu égard au débat actuel sur l’évaluation, l’inscription</w:t>
      </w:r>
      <w:r>
        <w:rPr>
          <w:rFonts w:ascii="Times New Roman" w:hAnsi="Times New Roman"/>
        </w:rPr>
        <w:t xml:space="preserve"> de l’évaluation dans les registres de la recherche, l’enseignement, la formation et la professionnalisation renvoie à trois modèles ou approches qui sous-tendent généralement les processus d’institutionnalisation et orientent leurs trajectoires. Préciséme</w:t>
      </w:r>
      <w:r>
        <w:rPr>
          <w:rFonts w:ascii="Times New Roman" w:hAnsi="Times New Roman"/>
        </w:rPr>
        <w:t xml:space="preserve">nt, il s’agit des modèles suivants : </w:t>
      </w:r>
      <w:r>
        <w:rPr>
          <w:rFonts w:ascii="Times New Roman" w:hAnsi="Times New Roman"/>
          <w:b/>
          <w:i/>
        </w:rPr>
        <w:t>Le modèle de la discipline scientifique, le modèle de la profession et le modèle institutionnel</w:t>
      </w:r>
      <w:r>
        <w:rPr>
          <w:rStyle w:val="Appelnotedebasdep"/>
          <w:rFonts w:ascii="Times New Roman" w:hAnsi="Times New Roman"/>
        </w:rPr>
        <w:footnoteReference w:id="12"/>
      </w:r>
      <w:r>
        <w:rPr>
          <w:rFonts w:ascii="Times New Roman" w:hAnsi="Times New Roman"/>
        </w:rPr>
        <w:t xml:space="preserve"> qui appréhendent l’</w:t>
      </w:r>
      <w:r>
        <w:rPr>
          <w:rFonts w:ascii="Times New Roman" w:hAnsi="Times New Roman"/>
        </w:rPr>
        <w:t xml:space="preserve">évaluation sous différents angles. Ces trois modèles recoupent les trois dimensions essentielles de l’évaluation : </w:t>
      </w:r>
      <w:r>
        <w:rPr>
          <w:rFonts w:ascii="Times New Roman" w:hAnsi="Times New Roman"/>
          <w:b/>
          <w:i/>
        </w:rPr>
        <w:t>La dimension cognitive, la dimension normative et la dimension instrumentale</w:t>
      </w:r>
      <w:r>
        <w:rPr>
          <w:rStyle w:val="Appelnotedebasdep"/>
          <w:rFonts w:ascii="Times New Roman" w:hAnsi="Times New Roman"/>
          <w:b/>
          <w:i/>
        </w:rPr>
        <w:footnoteReference w:id="13"/>
      </w:r>
      <w:r>
        <w:rPr>
          <w:rFonts w:ascii="Times New Roman" w:hAnsi="Times New Roman"/>
        </w:rPr>
        <w:t xml:space="preserve">.    </w:t>
      </w:r>
    </w:p>
    <w:p w:rsidR="00864EC1" w:rsidRDefault="00C6376C">
      <w:pPr>
        <w:jc w:val="both"/>
        <w:rPr>
          <w:rFonts w:ascii="Times New Roman" w:hAnsi="Times New Roman"/>
        </w:rPr>
      </w:pPr>
      <w:r>
        <w:rPr>
          <w:rFonts w:ascii="Times New Roman" w:hAnsi="Times New Roman"/>
        </w:rPr>
        <w:t>Le modèle de la discipline scientifique appréhende l’évaluation comme une science de la mesure des effets économiques et sociaux de l’intervention publique. Certains cher</w:t>
      </w:r>
      <w:r>
        <w:rPr>
          <w:rFonts w:ascii="Times New Roman" w:hAnsi="Times New Roman"/>
        </w:rPr>
        <w:t xml:space="preserve">cheurs considèrent l’évaluation comme une branche empirique de l’analyse des politiques publiques. De nos jours, l’évaluation est au cœur d’un débat controversé et récurrent sur les méthodes, la validité des connaissances et leur adéquation aux besoins de </w:t>
      </w:r>
      <w:r>
        <w:rPr>
          <w:rFonts w:ascii="Times New Roman" w:hAnsi="Times New Roman"/>
        </w:rPr>
        <w:t>la société. La réflexion méthodologique exige une clarification des imbrications complexes entre la connaissance objective (fondée sur des informations vérifiables et des raisonnements logiquement cohérents) et les opérations de jugement dans lesquelles el</w:t>
      </w:r>
      <w:r>
        <w:rPr>
          <w:rFonts w:ascii="Times New Roman" w:hAnsi="Times New Roman"/>
        </w:rPr>
        <w:t>le est toujours « encastrée » (questionnement, problématisation et interprétation normative). La démarche évaluative notamment en ce qui concerne l’évaluation de l’impact a recours aux techniques quantitatives utilisées en sciences sociales. Mais, ce recou</w:t>
      </w:r>
      <w:r>
        <w:rPr>
          <w:rFonts w:ascii="Times New Roman" w:hAnsi="Times New Roman"/>
        </w:rPr>
        <w:t xml:space="preserve">rs ne lui confère pas le statut de discipline scientifique. Au-delà de l’utilisation des outils et des méthodes des sciences sociales, elle fait appel au jugement de l’évaluateur qui obéit à des valeurs et aux normes éthiques et professionnelles. </w:t>
      </w:r>
    </w:p>
    <w:p w:rsidR="00864EC1" w:rsidRDefault="00C6376C">
      <w:pPr>
        <w:jc w:val="both"/>
        <w:rPr>
          <w:rFonts w:ascii="Times New Roman" w:hAnsi="Times New Roman"/>
        </w:rPr>
      </w:pPr>
      <w:r>
        <w:rPr>
          <w:rFonts w:ascii="Times New Roman" w:hAnsi="Times New Roman"/>
        </w:rPr>
        <w:t>Le modèl</w:t>
      </w:r>
      <w:r>
        <w:rPr>
          <w:rFonts w:ascii="Times New Roman" w:hAnsi="Times New Roman"/>
        </w:rPr>
        <w:t>e de la profession aborde l’évaluation comme une pratique d’un corps de professionnels spécialisés se reconnaissant dans un ensemble de valeurs et de règles éthiques. L’évaluation est donc une profession ou un métier  qui requiert  l’établissement des norm</w:t>
      </w:r>
      <w:r>
        <w:rPr>
          <w:rFonts w:ascii="Times New Roman" w:hAnsi="Times New Roman"/>
        </w:rPr>
        <w:t xml:space="preserve">es, des standards, des méthodologies qui s’imposent aux évaluateurs. Mais, ces référentiels ne sont pas toujours universels même s’il existe des tentatives ou des expériences d’universalisation soutenue par des associations internationales. Dans plusieurs </w:t>
      </w:r>
      <w:r>
        <w:rPr>
          <w:rFonts w:ascii="Times New Roman" w:hAnsi="Times New Roman"/>
        </w:rPr>
        <w:t xml:space="preserve">pays, les valeurs et les règles éthiques sont énoncées dans des chartes de l’évaluation, des politiques ou des lois. Les associations professionnelles ont fortement influencé l’élaboration et la vulgarisation de ces chartes. </w:t>
      </w:r>
    </w:p>
    <w:p w:rsidR="00864EC1" w:rsidRDefault="00C6376C">
      <w:pPr>
        <w:jc w:val="both"/>
        <w:rPr>
          <w:rFonts w:ascii="Times New Roman" w:hAnsi="Times New Roman"/>
        </w:rPr>
      </w:pPr>
      <w:r>
        <w:rPr>
          <w:rFonts w:ascii="Times New Roman" w:hAnsi="Times New Roman"/>
        </w:rPr>
        <w:t>Le modèle institutionnel appro</w:t>
      </w:r>
      <w:r>
        <w:rPr>
          <w:rFonts w:ascii="Times New Roman" w:hAnsi="Times New Roman"/>
        </w:rPr>
        <w:t>che l’évaluation comme un ensemble de dispositifs et de règles procédurales imposant l’utilisation de la connaissance sociale dans les procédures de décision et le management des services publics. L’évaluation est donc une activité institutionnelle qui s’i</w:t>
      </w:r>
      <w:r>
        <w:rPr>
          <w:rFonts w:ascii="Times New Roman" w:hAnsi="Times New Roman"/>
        </w:rPr>
        <w:t xml:space="preserve">nscrit dans le cade du management public. Elle est au fondement de la reddition des comptes ou de la redevabilité. Elle fournit les données, les informations et les évidences nécessaires pour apprécier les performances et l’impact des politiques publiques </w:t>
      </w:r>
      <w:r>
        <w:rPr>
          <w:rFonts w:ascii="Times New Roman" w:hAnsi="Times New Roman"/>
        </w:rPr>
        <w:t>sur les conditions de vie des populations. La pratique évaluative s’est imposée dans la plupart des pays démocratiques. Certaines études ont montré que le développement de la pratique évaluative est généralement influencé par le niveau de démocratisation d</w:t>
      </w:r>
      <w:r>
        <w:rPr>
          <w:rFonts w:ascii="Times New Roman" w:hAnsi="Times New Roman"/>
        </w:rPr>
        <w:t xml:space="preserve">u pays. </w:t>
      </w:r>
    </w:p>
    <w:p w:rsidR="00864EC1" w:rsidRDefault="00C6376C">
      <w:pPr>
        <w:jc w:val="both"/>
      </w:pPr>
      <w:r>
        <w:rPr>
          <w:rFonts w:ascii="Times New Roman" w:hAnsi="Times New Roman"/>
        </w:rPr>
        <w:t>A lumière de l’analyse conduite plus haut et de l’élucidation de ces trois modèles, on peut affirmer que  l’institutionnalisation de l’évaluation des politiques publiques en cours au Maroc combine ces trois modèles. Quant à  l’ONDH, il apparaît cl</w:t>
      </w:r>
      <w:r>
        <w:rPr>
          <w:rFonts w:ascii="Times New Roman" w:hAnsi="Times New Roman"/>
        </w:rPr>
        <w:t>airement qu’il s’est positionné au carrefour de la recherche, de l’enseignement et de la formation, de la professionnalisation et l’institutionnalisation. Précisément, son mandat ou sa mission, ses attributions,  sa pratique évaluative ou son expérience la</w:t>
      </w:r>
      <w:r>
        <w:rPr>
          <w:rFonts w:ascii="Times New Roman" w:hAnsi="Times New Roman"/>
        </w:rPr>
        <w:t>issent apparaitre une combinaison de ces différents modèles qui ne sont évidemment pas exclusifs. S’agissant du modèle scientifique, le décret portant création de l’ONDH stipule « </w:t>
      </w:r>
      <w:r>
        <w:rPr>
          <w:rFonts w:ascii="Times New Roman" w:hAnsi="Times New Roman"/>
          <w:b/>
          <w:i/>
        </w:rPr>
        <w:t>qu’il chargé de contribuer au développement de la connaissance et des systèm</w:t>
      </w:r>
      <w:r>
        <w:rPr>
          <w:rFonts w:ascii="Times New Roman" w:hAnsi="Times New Roman"/>
          <w:b/>
          <w:i/>
        </w:rPr>
        <w:t>es d’information par le recueil auprès des personnes morales de droit public ou privé, nationales ou internationales, des données quantitatives et qualitatives en relation avec sa mission </w:t>
      </w:r>
      <w:r>
        <w:rPr>
          <w:rFonts w:ascii="Times New Roman" w:hAnsi="Times New Roman"/>
        </w:rPr>
        <w:t>». Ce décret dispose aussi que l’ONDH est chargé « </w:t>
      </w:r>
      <w:r>
        <w:rPr>
          <w:rFonts w:ascii="Times New Roman" w:hAnsi="Times New Roman"/>
          <w:b/>
          <w:i/>
        </w:rPr>
        <w:t>d’élaborer des in</w:t>
      </w:r>
      <w:r>
        <w:rPr>
          <w:rFonts w:ascii="Times New Roman" w:hAnsi="Times New Roman"/>
          <w:b/>
          <w:i/>
        </w:rPr>
        <w:t>dicateurs spécifiques au développement humain, afin d’évaluer l’impact des programmes mis en œuvre ou de mesurer l’effet des actions entreprises sur le territoire national</w:t>
      </w:r>
      <w:r>
        <w:rPr>
          <w:rFonts w:ascii="Times New Roman" w:hAnsi="Times New Roman"/>
        </w:rPr>
        <w:t xml:space="preserve"> ». </w:t>
      </w:r>
    </w:p>
    <w:p w:rsidR="00864EC1" w:rsidRDefault="00C6376C">
      <w:pPr>
        <w:jc w:val="both"/>
        <w:rPr>
          <w:rFonts w:ascii="Times New Roman" w:hAnsi="Times New Roman"/>
        </w:rPr>
      </w:pPr>
      <w:r>
        <w:rPr>
          <w:rFonts w:ascii="Times New Roman" w:hAnsi="Times New Roman"/>
        </w:rPr>
        <w:t>La production des connaissances et l’élaboration des indicateurs de développemen</w:t>
      </w:r>
      <w:r>
        <w:rPr>
          <w:rFonts w:ascii="Times New Roman" w:hAnsi="Times New Roman"/>
        </w:rPr>
        <w:t>t humain supposent la conception et l’innovation des outils et des méthodologies qui requiert une démarche de recherche action.  L’évaluation de l’impact des politiques de développement humain particulièrement des politiques sociales impose également à l’O</w:t>
      </w:r>
      <w:r>
        <w:rPr>
          <w:rFonts w:ascii="Times New Roman" w:hAnsi="Times New Roman"/>
        </w:rPr>
        <w:t>NDH  le recours aux outils et méthodes des sciences sociales. L’enquête panel ménages est un outil qui prouve cette exigence. La plupart des études conduites par l’ONDH ont également nécessité l’utilisation de ces méthodes. A titre d’illustration,  on peut</w:t>
      </w:r>
      <w:r>
        <w:rPr>
          <w:rFonts w:ascii="Times New Roman" w:hAnsi="Times New Roman"/>
        </w:rPr>
        <w:t xml:space="preserve"> citer le cas de l’étude sur l’évaluation du Régime d’assistance médical (RAMED)  dont la restitution des premiers résultats a eu lieu lors des visites de terrain de la mission d’évaluation. L’approche méthodologique de cette étude s’est fondée sur les tec</w:t>
      </w:r>
      <w:r>
        <w:rPr>
          <w:rFonts w:ascii="Times New Roman" w:hAnsi="Times New Roman"/>
        </w:rPr>
        <w:t xml:space="preserve">hniques quantitatives. Le positionnement de l’ONDH au niveau de l’évaluation de l’impact des politiques sociales exige aussi un recours aux méthodes des sciences sociales. </w:t>
      </w:r>
    </w:p>
    <w:p w:rsidR="00864EC1" w:rsidRDefault="00C6376C">
      <w:pPr>
        <w:jc w:val="both"/>
        <w:rPr>
          <w:rFonts w:ascii="Times New Roman" w:hAnsi="Times New Roman"/>
        </w:rPr>
      </w:pPr>
      <w:r>
        <w:rPr>
          <w:rFonts w:ascii="Times New Roman" w:hAnsi="Times New Roman"/>
        </w:rPr>
        <w:t>En définitive, l’ONDH n’échappe pas au débat controversé et récurrent sur les métho</w:t>
      </w:r>
      <w:r>
        <w:rPr>
          <w:rFonts w:ascii="Times New Roman" w:hAnsi="Times New Roman"/>
        </w:rPr>
        <w:t>des, la validité des connaissances et leur adéquation aux besoins de la société. Il a déjà apporté une contribution significative à ce débat à travers l’appui aux travaux de recherche sur le concept et les mesures du développement humain au Maroc.  Il devr</w:t>
      </w:r>
      <w:r>
        <w:rPr>
          <w:rFonts w:ascii="Times New Roman" w:hAnsi="Times New Roman"/>
        </w:rPr>
        <w:t xml:space="preserve">ait davantage s’investir dans cette réflexion méthodologique grâce au renforcement du partenariat avec les universités et l’appui aux groupes et aux réseaux de recherche. </w:t>
      </w:r>
    </w:p>
    <w:p w:rsidR="00864EC1" w:rsidRDefault="00C6376C">
      <w:pPr>
        <w:jc w:val="both"/>
        <w:rPr>
          <w:rFonts w:ascii="Times New Roman" w:hAnsi="Times New Roman"/>
        </w:rPr>
      </w:pPr>
      <w:r>
        <w:rPr>
          <w:rFonts w:ascii="Times New Roman" w:hAnsi="Times New Roman"/>
        </w:rPr>
        <w:t>En ce qui concerne le modèle de la profession et le modèle institutionnel, l’ONDH de</w:t>
      </w:r>
      <w:r>
        <w:rPr>
          <w:rFonts w:ascii="Times New Roman" w:hAnsi="Times New Roman"/>
        </w:rPr>
        <w:t>vrait continuer à prendre une part active à la réflexion et au processus en cours d’établissement des normes, des standards, des méthodologies ainsi qu’à l’élaboration des dispositifs et des règles procédurales. L’élaboration de la charte et le cas échéant</w:t>
      </w:r>
      <w:r>
        <w:rPr>
          <w:rFonts w:ascii="Times New Roman" w:hAnsi="Times New Roman"/>
        </w:rPr>
        <w:t xml:space="preserve"> de la politique nationale d’évaluation s’inscrivent dans la perspective de ces modèles. Ces référentiels sont absolument nécessaires pour la promotion ou l’accélération de l’institutionnalisation de l’évaluation des politiques publiques. L’appui à l’ensei</w:t>
      </w:r>
      <w:r>
        <w:rPr>
          <w:rFonts w:ascii="Times New Roman" w:hAnsi="Times New Roman"/>
        </w:rPr>
        <w:t>gnement et à la formation notamment la formation qualifiante en évaluation aidera à développer la professionnalisation de l’évaluation. La mise en place des mécanismes de coordination devrait s’adosser sur des dispositifs et des règles procédurales dont l’</w:t>
      </w:r>
      <w:r>
        <w:rPr>
          <w:rFonts w:ascii="Times New Roman" w:hAnsi="Times New Roman"/>
        </w:rPr>
        <w:t xml:space="preserve">élaboration ne pourrait se passer d’une démarche participative et inclusive pour garantir l’adhésion de tous les acteurs à leur application.  </w:t>
      </w:r>
    </w:p>
    <w:p w:rsidR="00864EC1" w:rsidRDefault="00C6376C">
      <w:pPr>
        <w:pStyle w:val="Titre4"/>
      </w:pPr>
      <w:r>
        <w:t xml:space="preserve">  VII.2.5  -  Promotion de la participation citoyenne à l’évaluation des politiques publiques</w:t>
      </w:r>
    </w:p>
    <w:p w:rsidR="00864EC1" w:rsidRDefault="00C6376C">
      <w:pPr>
        <w:jc w:val="both"/>
      </w:pPr>
      <w:r>
        <w:rPr>
          <w:rFonts w:ascii="Times New Roman" w:hAnsi="Times New Roman"/>
        </w:rPr>
        <w:t>Au Maroc</w:t>
      </w:r>
      <w:r>
        <w:rPr>
          <w:rFonts w:ascii="Times New Roman" w:hAnsi="Times New Roman"/>
          <w:b/>
          <w:i/>
        </w:rPr>
        <w:t xml:space="preserve">, </w:t>
      </w:r>
      <w:r>
        <w:rPr>
          <w:rFonts w:ascii="Times New Roman" w:hAnsi="Times New Roman"/>
        </w:rPr>
        <w:t>la consti</w:t>
      </w:r>
      <w:r>
        <w:rPr>
          <w:rFonts w:ascii="Times New Roman" w:hAnsi="Times New Roman"/>
        </w:rPr>
        <w:t>tution de septembre 2011 a posé les bases juridiques de la participation citoyenne à la gestion des affaires publiques particulièrement à l’évaluation des politiques publiques. Précisément, l’article 12 dispose que « </w:t>
      </w:r>
      <w:r>
        <w:rPr>
          <w:rFonts w:ascii="Times New Roman" w:hAnsi="Times New Roman"/>
          <w:b/>
          <w:i/>
        </w:rPr>
        <w:t>Les associations intéressées à la chose</w:t>
      </w:r>
      <w:r>
        <w:rPr>
          <w:rFonts w:ascii="Times New Roman" w:hAnsi="Times New Roman"/>
          <w:b/>
          <w:i/>
        </w:rPr>
        <w:t xml:space="preserve"> publique et les Organisations non gouvernementales (ONG), contribuent, dans le cadre de la démocratie participative, à l’élaboration, la mise en œuvre et l’évaluation des décisions et des projets des institutions élues et des pouvoirs publics</w:t>
      </w:r>
      <w:r>
        <w:rPr>
          <w:rFonts w:ascii="Times New Roman" w:hAnsi="Times New Roman"/>
        </w:rPr>
        <w:t> ».  De ce fa</w:t>
      </w:r>
      <w:r>
        <w:rPr>
          <w:rFonts w:ascii="Times New Roman" w:hAnsi="Times New Roman"/>
        </w:rPr>
        <w:t>it, la participation citoyenne est donc un vecteur important de l’institutionnalisation de l’évaluation des politiques publiques. Elle a sans doute exercé une forte influence sur l’accroissement de la demande de l’évaluation observée au cours des cinq dern</w:t>
      </w:r>
      <w:r>
        <w:rPr>
          <w:rFonts w:ascii="Times New Roman" w:hAnsi="Times New Roman"/>
        </w:rPr>
        <w:t>ières années. La participation citoyenne met l’accent sur l’utilité sociale de l’évaluation. En effet, « </w:t>
      </w:r>
      <w:r>
        <w:rPr>
          <w:rFonts w:ascii="Times New Roman" w:hAnsi="Times New Roman"/>
          <w:b/>
          <w:i/>
        </w:rPr>
        <w:t>l’évaluation n’a pas pour seul objectif de mesurer les coûts et les effets des politiques publiques. Elle vise aussi en éclairer les enjeux et les méca</w:t>
      </w:r>
      <w:r>
        <w:rPr>
          <w:rFonts w:ascii="Times New Roman" w:hAnsi="Times New Roman"/>
          <w:b/>
          <w:i/>
        </w:rPr>
        <w:t>nismes afin de permettre à tous de l’élu au simple citoyen, d’en devenir les acteurs informés et responsables</w:t>
      </w:r>
      <w:r>
        <w:rPr>
          <w:rFonts w:ascii="Times New Roman" w:hAnsi="Times New Roman"/>
        </w:rPr>
        <w:t> »</w:t>
      </w:r>
      <w:r>
        <w:rPr>
          <w:rStyle w:val="Appelnotedebasdep"/>
          <w:rFonts w:ascii="Times New Roman" w:hAnsi="Times New Roman"/>
        </w:rPr>
        <w:footnoteReference w:id="14"/>
      </w:r>
      <w:r>
        <w:rPr>
          <w:rFonts w:ascii="Times New Roman" w:hAnsi="Times New Roman"/>
        </w:rPr>
        <w:t>. Dans la perspective de la participation citoyenne, l’évaluation des politiques publiques vise à : « </w:t>
      </w:r>
      <w:r>
        <w:rPr>
          <w:rFonts w:ascii="Times New Roman" w:hAnsi="Times New Roman"/>
          <w:b/>
          <w:i/>
        </w:rPr>
        <w:t>(i) Contrôler le</w:t>
      </w:r>
      <w:r>
        <w:rPr>
          <w:rFonts w:ascii="Times New Roman" w:hAnsi="Times New Roman"/>
          <w:b/>
          <w:i/>
        </w:rPr>
        <w:t xml:space="preserve"> bon usage des financements publics ; (ii) Mesurer l’efficacité et apprécier les impacts de l’action publique ; (iii) Produire de la connaissance partagée de l’action publique ; (iv) Informer les citoyens sur l’action publique ; (v) Améliorer la qualité et</w:t>
      </w:r>
      <w:r>
        <w:rPr>
          <w:rFonts w:ascii="Times New Roman" w:hAnsi="Times New Roman"/>
          <w:b/>
          <w:i/>
        </w:rPr>
        <w:t xml:space="preserve"> le fonctionnement des services publics</w:t>
      </w:r>
      <w:r>
        <w:rPr>
          <w:rFonts w:ascii="Times New Roman" w:hAnsi="Times New Roman"/>
        </w:rPr>
        <w:t> »</w:t>
      </w:r>
      <w:r>
        <w:rPr>
          <w:rStyle w:val="Appelnotedebasdep"/>
          <w:rFonts w:ascii="Times New Roman" w:hAnsi="Times New Roman"/>
        </w:rPr>
        <w:footnoteReference w:id="15"/>
      </w:r>
      <w:r>
        <w:rPr>
          <w:rFonts w:ascii="Times New Roman" w:hAnsi="Times New Roman"/>
        </w:rPr>
        <w:t xml:space="preserve">. </w:t>
      </w:r>
    </w:p>
    <w:p w:rsidR="00864EC1" w:rsidRDefault="00C6376C">
      <w:pPr>
        <w:jc w:val="both"/>
      </w:pPr>
      <w:r>
        <w:rPr>
          <w:rFonts w:ascii="Times New Roman" w:hAnsi="Times New Roman"/>
        </w:rPr>
        <w:t>La participation citoyenne à l’évaluation des politiques publiques  a fait l’objet d’une recommandation du 2</w:t>
      </w:r>
      <w:r>
        <w:rPr>
          <w:rFonts w:ascii="Times New Roman" w:hAnsi="Times New Roman"/>
          <w:vertAlign w:val="superscript"/>
        </w:rPr>
        <w:t>ème</w:t>
      </w:r>
      <w:r>
        <w:rPr>
          <w:rFonts w:ascii="Times New Roman" w:hAnsi="Times New Roman"/>
        </w:rPr>
        <w:t xml:space="preserve"> forum de l’organisation internationale pour la coopération en évaluation. Précisément, il a</w:t>
      </w:r>
      <w:r>
        <w:rPr>
          <w:rFonts w:ascii="Times New Roman" w:hAnsi="Times New Roman"/>
        </w:rPr>
        <w:t xml:space="preserve"> été recommandé « </w:t>
      </w:r>
      <w:r>
        <w:rPr>
          <w:rFonts w:ascii="Times New Roman" w:hAnsi="Times New Roman"/>
          <w:b/>
          <w:i/>
        </w:rPr>
        <w:t>le renforcement des capacités institutionnelles des OSC en vue de  leur participation efficace à l’évaluation des politiques publiques</w:t>
      </w:r>
      <w:r>
        <w:rPr>
          <w:rFonts w:ascii="Times New Roman" w:hAnsi="Times New Roman"/>
        </w:rPr>
        <w:t xml:space="preserve"> ». La déclaration de Rabat adoptée lors de la conférence internationale sur l’institutionnalisation de </w:t>
      </w:r>
      <w:r>
        <w:rPr>
          <w:rFonts w:ascii="Times New Roman" w:hAnsi="Times New Roman"/>
        </w:rPr>
        <w:t>l’évaluation des politiques publiques a également recommandé « </w:t>
      </w:r>
      <w:r>
        <w:rPr>
          <w:rFonts w:ascii="Times New Roman" w:hAnsi="Times New Roman"/>
          <w:b/>
          <w:i/>
        </w:rPr>
        <w:t>d’apporter davantage d’appui aux réseaux de la société civile</w:t>
      </w:r>
      <w:r>
        <w:rPr>
          <w:rFonts w:ascii="Times New Roman" w:hAnsi="Times New Roman"/>
        </w:rPr>
        <w:t>… ». Ces recommandations interpellent l’ONDH en tant qu’organisateur de la conférence de Rabat et dont la participation à la rencont</w:t>
      </w:r>
      <w:r>
        <w:rPr>
          <w:rFonts w:ascii="Times New Roman" w:hAnsi="Times New Roman"/>
        </w:rPr>
        <w:t xml:space="preserve">re de Katmandu a été remarquable. </w:t>
      </w:r>
    </w:p>
    <w:p w:rsidR="00864EC1" w:rsidRDefault="00C6376C">
      <w:pPr>
        <w:jc w:val="both"/>
      </w:pPr>
      <w:r>
        <w:rPr>
          <w:rFonts w:ascii="Times New Roman" w:hAnsi="Times New Roman"/>
        </w:rPr>
        <w:t>Il est vrai que les interventions de l’ONDH ont incontestablement contribué à la promotion de la participation citoyenne. En effet, les OSC ont été souvent associées aux rencontres nationales et internationales organisées</w:t>
      </w:r>
      <w:r>
        <w:rPr>
          <w:rFonts w:ascii="Times New Roman" w:hAnsi="Times New Roman"/>
        </w:rPr>
        <w:t xml:space="preserve"> par l’ONDH. En dépit de la disponibilité d’informations sur les profils des utilisateurs du SI Al Bacharia (Nombre de clics), on pourrait affirmer sans risque de se tromper que les membres des OSC figurent sans doute parmi ces nombreux utilisateurs. Dans </w:t>
      </w:r>
      <w:r>
        <w:rPr>
          <w:rFonts w:ascii="Times New Roman" w:hAnsi="Times New Roman"/>
        </w:rPr>
        <w:t>la perspective de la programmation future, en partenariat avec d’autres acteurs nationaux,  l’ONDH  devrait s’atteler à soutenir l’application effective des recommandations du 2</w:t>
      </w:r>
      <w:r>
        <w:rPr>
          <w:rFonts w:ascii="Times New Roman" w:hAnsi="Times New Roman"/>
          <w:vertAlign w:val="superscript"/>
        </w:rPr>
        <w:t>ème</w:t>
      </w:r>
      <w:r>
        <w:rPr>
          <w:rFonts w:ascii="Times New Roman" w:hAnsi="Times New Roman"/>
        </w:rPr>
        <w:t xml:space="preserve"> forum de l’organisation internationale de Katmandu et de la conférence inte</w:t>
      </w:r>
      <w:r>
        <w:rPr>
          <w:rFonts w:ascii="Times New Roman" w:hAnsi="Times New Roman"/>
        </w:rPr>
        <w:t>rnationale de Rabat. Le partenariat de l’ONDH et l’Association marocaine de l’évaluation (AME) est une expérience qui mériterait  d’être développée et capitalisée pour mieux orienter son appui à la société civile. Ces interventions devraient prendre en com</w:t>
      </w:r>
      <w:r>
        <w:rPr>
          <w:rFonts w:ascii="Times New Roman" w:hAnsi="Times New Roman"/>
        </w:rPr>
        <w:t>pte le Parlement et les médias qui sont des partenaires clés pour la promotion de la participation citoyenne à l’évaluation des politiques publiques. Ces interventions devraient privilégier l’accès et l’utilisation des données et des connaissances, le plai</w:t>
      </w:r>
      <w:r>
        <w:rPr>
          <w:rFonts w:ascii="Times New Roman" w:hAnsi="Times New Roman"/>
        </w:rPr>
        <w:t>doyer, la sensibilisation et la formation sur le rôle et les enjeux de l’évaluation des politiques publiques dans la promotion de la bonne gouvernance et de la démocratie, les règles éthiques, les procédures, les outils et les méthodologies de l’évaluation</w:t>
      </w:r>
      <w:r>
        <w:rPr>
          <w:rFonts w:ascii="Times New Roman" w:hAnsi="Times New Roman"/>
        </w:rPr>
        <w:t xml:space="preserve"> des politiques publiques.     </w:t>
      </w:r>
    </w:p>
    <w:p w:rsidR="00864EC1" w:rsidRDefault="00C6376C">
      <w:pPr>
        <w:pStyle w:val="Titre4"/>
      </w:pPr>
      <w:r>
        <w:t xml:space="preserve">VII.2.6  -  Promotion de la coopération sud-sud </w:t>
      </w:r>
    </w:p>
    <w:p w:rsidR="00864EC1" w:rsidRDefault="00C6376C">
      <w:pPr>
        <w:jc w:val="both"/>
      </w:pPr>
      <w:r>
        <w:rPr>
          <w:rFonts w:ascii="Times New Roman" w:hAnsi="Times New Roman"/>
        </w:rPr>
        <w:t xml:space="preserve">Le programme conjoint a eu le mérite de renforcer les capacités de l’ONDH dans la promotion de la coopération sud-sud. Avec l’appui des agences des Nations Unies, il a </w:t>
      </w:r>
      <w:r>
        <w:rPr>
          <w:rFonts w:ascii="Times New Roman" w:hAnsi="Times New Roman"/>
        </w:rPr>
        <w:t>enregistré des avancées significatives dans le développement des partenariats avec nombre d’institutions des pays du sud. Les conférences internationales organisées par l’ONDH ont été des espaces d’échange de connaissances,  d’informations et d’expériences</w:t>
      </w:r>
      <w:r>
        <w:rPr>
          <w:rFonts w:ascii="Times New Roman" w:hAnsi="Times New Roman"/>
        </w:rPr>
        <w:t xml:space="preserve"> entre les pays du sud. Mais, le partenariat ONDH, CONEVAL et CRES demeure le fleuron de son positionnement dans la coopération sud-sud. Les résultats probants de cette expérience partenariale ont motivé l’ouverture à d’autres pays tels que le Brésil et l’</w:t>
      </w:r>
      <w:r>
        <w:rPr>
          <w:rFonts w:ascii="Times New Roman" w:hAnsi="Times New Roman"/>
        </w:rPr>
        <w:t>Algérie. Dans la perspective de la programmation future, l’ONDH devrait œuvrer davantage pour s’affirmer comme une plateforme de la coopération sud-sud. De ce fait, la Déclaration de Rabat constitue un levier important pour la concrétisation d’une telle am</w:t>
      </w:r>
      <w:r>
        <w:rPr>
          <w:rFonts w:ascii="Times New Roman" w:hAnsi="Times New Roman"/>
        </w:rPr>
        <w:t>bition. La première piste à explorer est la  coordination du suivi de l’application des recommandations de la Déclaration de Rabat qui a réaffirmé « </w:t>
      </w:r>
      <w:r>
        <w:rPr>
          <w:rFonts w:ascii="Times New Roman" w:hAnsi="Times New Roman"/>
          <w:b/>
          <w:i/>
        </w:rPr>
        <w:t>l’attachement des pays du sud au renforcement des capacités nationales, à la professionnalisation des évalu</w:t>
      </w:r>
      <w:r>
        <w:rPr>
          <w:rFonts w:ascii="Times New Roman" w:hAnsi="Times New Roman"/>
          <w:b/>
          <w:i/>
        </w:rPr>
        <w:t>ations et à l’échange des compétences entre les pays du sud dans le but de construire des systèmes d’évaluation à même d’aider à la prise de décisions </w:t>
      </w:r>
      <w:r>
        <w:rPr>
          <w:rFonts w:ascii="Times New Roman" w:hAnsi="Times New Roman"/>
        </w:rPr>
        <w:t>». Il avait été également recommandé « </w:t>
      </w:r>
      <w:r>
        <w:rPr>
          <w:rFonts w:ascii="Times New Roman" w:hAnsi="Times New Roman"/>
          <w:b/>
          <w:i/>
        </w:rPr>
        <w:t>la mise en place des réseaux régionaux d’évaluation indépendants s</w:t>
      </w:r>
      <w:r>
        <w:rPr>
          <w:rFonts w:ascii="Times New Roman" w:hAnsi="Times New Roman"/>
          <w:b/>
          <w:i/>
        </w:rPr>
        <w:t>usceptibles d’enrichir les expériences nationales et de favoriser les échanges entre les institutions d’évaluation opérant dans des contextes similaires de développement </w:t>
      </w:r>
      <w:r>
        <w:rPr>
          <w:rFonts w:ascii="Times New Roman" w:hAnsi="Times New Roman"/>
        </w:rPr>
        <w:t xml:space="preserve">». Les participants s’étaient engagés à finaliser et à mettre en œuvre une feuille de </w:t>
      </w:r>
      <w:r>
        <w:rPr>
          <w:rFonts w:ascii="Times New Roman" w:hAnsi="Times New Roman"/>
        </w:rPr>
        <w:t xml:space="preserve">route qui fera l’objet d’une évaluation lors de la prochaine conférence prévue en 2017.  </w:t>
      </w:r>
    </w:p>
    <w:p w:rsidR="00864EC1" w:rsidRDefault="00C6376C">
      <w:pPr>
        <w:jc w:val="both"/>
        <w:rPr>
          <w:rFonts w:ascii="Times New Roman" w:hAnsi="Times New Roman"/>
        </w:rPr>
      </w:pPr>
      <w:r>
        <w:rPr>
          <w:rFonts w:ascii="Times New Roman" w:hAnsi="Times New Roman"/>
        </w:rPr>
        <w:t>L’ONDH devrait donc superviser et coordonner la finalisation de cette feuille de route, sa déclinaison en plan d’action et sa diffusion. Il serait aussi souhaitable d</w:t>
      </w:r>
      <w:r>
        <w:rPr>
          <w:rFonts w:ascii="Times New Roman" w:hAnsi="Times New Roman"/>
        </w:rPr>
        <w:t xml:space="preserve">e mettre en place une petite équipe sud-sud placée sous la supervision de l’ONDH. En outre, la Déclaration de Rabat laisse transparaître la nécessité de créer d’autres instruments pour stimuler la promotion de la coopération sud-sud notamment la promotion </w:t>
      </w:r>
      <w:r>
        <w:rPr>
          <w:rFonts w:ascii="Times New Roman" w:hAnsi="Times New Roman"/>
        </w:rPr>
        <w:t>de la recherche et de l’enseignement en évaluation. A ce propos, il convient d’admettre qu’il existe une multitude de forums, de réseaux, d’associations internationales qui pourraient être mis à contribution. Mais, il serait judicieux de créer des mécanism</w:t>
      </w:r>
      <w:r>
        <w:rPr>
          <w:rFonts w:ascii="Times New Roman" w:hAnsi="Times New Roman"/>
        </w:rPr>
        <w:t xml:space="preserve">es et des instruments qui permettraient de briser les cloisonnements linguistiques qui caractérisent ces instances. Il est fait allusion aux associations francophones,  anglophones, etc. d’évaluation. </w:t>
      </w:r>
    </w:p>
    <w:p w:rsidR="00864EC1" w:rsidRDefault="00C6376C">
      <w:pPr>
        <w:jc w:val="both"/>
        <w:rPr>
          <w:rFonts w:ascii="Times New Roman" w:hAnsi="Times New Roman"/>
        </w:rPr>
      </w:pPr>
      <w:r>
        <w:rPr>
          <w:rFonts w:ascii="Times New Roman" w:hAnsi="Times New Roman"/>
        </w:rPr>
        <w:t>La production et surtout la diffusion des travaux de r</w:t>
      </w:r>
      <w:r>
        <w:rPr>
          <w:rFonts w:ascii="Times New Roman" w:hAnsi="Times New Roman"/>
        </w:rPr>
        <w:t>echerche se heurtent également à ces barrières. Ces contraintes sont fortement ressenties par la majorité des pays de l’Afrique subsaharienne dont l’accès aux publications scientifiques relatives à l’évaluation est aussi très limité. La promotion de la coo</w:t>
      </w:r>
      <w:r>
        <w:rPr>
          <w:rFonts w:ascii="Times New Roman" w:hAnsi="Times New Roman"/>
        </w:rPr>
        <w:t xml:space="preserve">pération sud-sud devrait aider à surmonter ces cloisonnements et ces barrières qui sont préjudiciables pour le développement de la culture et de la pratique évaluatives dans nombre de pays du sud. On pourrait envisager : </w:t>
      </w:r>
    </w:p>
    <w:p w:rsidR="00864EC1" w:rsidRDefault="00C6376C">
      <w:pPr>
        <w:pStyle w:val="Paragraphedeliste"/>
        <w:numPr>
          <w:ilvl w:val="0"/>
          <w:numId w:val="15"/>
        </w:numPr>
        <w:jc w:val="both"/>
        <w:rPr>
          <w:rFonts w:ascii="Times New Roman" w:hAnsi="Times New Roman"/>
          <w:b/>
          <w:i/>
        </w:rPr>
      </w:pPr>
      <w:r>
        <w:rPr>
          <w:rFonts w:ascii="Times New Roman" w:hAnsi="Times New Roman"/>
          <w:b/>
          <w:i/>
        </w:rPr>
        <w:t xml:space="preserve">Le lancement d’une revue </w:t>
      </w:r>
      <w:r>
        <w:rPr>
          <w:rFonts w:ascii="Times New Roman" w:hAnsi="Times New Roman"/>
          <w:b/>
          <w:i/>
        </w:rPr>
        <w:t>internationale de l’évaluation dans le cadre de la coopération sud-sud. Ce serait un instrument d’échanges et de diffusion des travaux de recherche produits dans les pays du sud</w:t>
      </w:r>
    </w:p>
    <w:p w:rsidR="00864EC1" w:rsidRDefault="00C6376C">
      <w:pPr>
        <w:pStyle w:val="Paragraphedeliste"/>
        <w:numPr>
          <w:ilvl w:val="0"/>
          <w:numId w:val="15"/>
        </w:numPr>
        <w:jc w:val="both"/>
        <w:rPr>
          <w:rFonts w:ascii="Times New Roman" w:hAnsi="Times New Roman"/>
          <w:b/>
          <w:i/>
        </w:rPr>
      </w:pPr>
      <w:r>
        <w:rPr>
          <w:rFonts w:ascii="Times New Roman" w:hAnsi="Times New Roman"/>
          <w:b/>
          <w:i/>
        </w:rPr>
        <w:t>La création d’une bibliothèque ou d’un centre de documentation virtuelle spéci</w:t>
      </w:r>
      <w:r>
        <w:rPr>
          <w:rFonts w:ascii="Times New Roman" w:hAnsi="Times New Roman"/>
          <w:b/>
          <w:i/>
        </w:rPr>
        <w:t>alisé en évaluation accessible à toutes les parties prenantes à la coopération sud-sud</w:t>
      </w:r>
    </w:p>
    <w:p w:rsidR="00864EC1" w:rsidRDefault="00C6376C">
      <w:pPr>
        <w:pStyle w:val="Paragraphedeliste"/>
        <w:numPr>
          <w:ilvl w:val="0"/>
          <w:numId w:val="15"/>
        </w:numPr>
        <w:jc w:val="both"/>
        <w:rPr>
          <w:rFonts w:ascii="Times New Roman" w:hAnsi="Times New Roman"/>
          <w:b/>
          <w:i/>
        </w:rPr>
      </w:pPr>
      <w:r>
        <w:rPr>
          <w:rFonts w:ascii="Times New Roman" w:hAnsi="Times New Roman"/>
          <w:b/>
          <w:i/>
        </w:rPr>
        <w:t xml:space="preserve">La création d’un portail de la coopération sud-sud </w:t>
      </w:r>
    </w:p>
    <w:p w:rsidR="00864EC1" w:rsidRDefault="00C6376C">
      <w:pPr>
        <w:pStyle w:val="Paragraphedeliste"/>
        <w:numPr>
          <w:ilvl w:val="0"/>
          <w:numId w:val="15"/>
        </w:numPr>
        <w:jc w:val="both"/>
        <w:rPr>
          <w:rFonts w:ascii="Times New Roman" w:hAnsi="Times New Roman"/>
          <w:b/>
          <w:i/>
        </w:rPr>
      </w:pPr>
      <w:r>
        <w:rPr>
          <w:rFonts w:ascii="Times New Roman" w:hAnsi="Times New Roman"/>
          <w:b/>
          <w:i/>
        </w:rPr>
        <w:t>La création des réseaux de recherche ou des communautés de pratiques ouvertes à toutes les parties prenantes à la coo</w:t>
      </w:r>
      <w:r>
        <w:rPr>
          <w:rFonts w:ascii="Times New Roman" w:hAnsi="Times New Roman"/>
          <w:b/>
          <w:i/>
        </w:rPr>
        <w:t xml:space="preserve">pération sud-sud. </w:t>
      </w:r>
    </w:p>
    <w:p w:rsidR="00864EC1" w:rsidRDefault="00C6376C">
      <w:pPr>
        <w:jc w:val="both"/>
      </w:pPr>
      <w:r>
        <w:rPr>
          <w:rFonts w:ascii="Times New Roman" w:hAnsi="Times New Roman"/>
        </w:rPr>
        <w:t>Ces outils et ces mécanismes seront coordonnés par l’ONDH. Le financement de leur mise en place devrait être assuré au moyen des souscriptions financières</w:t>
      </w:r>
      <w:r>
        <w:rPr>
          <w:rFonts w:ascii="Times New Roman" w:hAnsi="Times New Roman"/>
          <w:b/>
          <w:i/>
        </w:rPr>
        <w:t xml:space="preserve"> </w:t>
      </w:r>
      <w:r>
        <w:rPr>
          <w:rFonts w:ascii="Times New Roman" w:hAnsi="Times New Roman"/>
        </w:rPr>
        <w:t>obligatoires des parties prenantes à la coopération sud-sud et la mobilisation des</w:t>
      </w:r>
      <w:r>
        <w:rPr>
          <w:rFonts w:ascii="Times New Roman" w:hAnsi="Times New Roman"/>
        </w:rPr>
        <w:t xml:space="preserve"> ressources auprès des partenaires financiers. </w:t>
      </w:r>
    </w:p>
    <w:p w:rsidR="00864EC1" w:rsidRDefault="00C6376C">
      <w:pPr>
        <w:pStyle w:val="Titre4"/>
      </w:pPr>
      <w:r>
        <w:t>VII.2.7  -  Renforcement du partenariat avec les Nations unies</w:t>
      </w:r>
    </w:p>
    <w:p w:rsidR="00864EC1" w:rsidRDefault="00C6376C">
      <w:pPr>
        <w:jc w:val="both"/>
        <w:rPr>
          <w:rFonts w:ascii="Times New Roman" w:hAnsi="Times New Roman"/>
        </w:rPr>
      </w:pPr>
      <w:r>
        <w:rPr>
          <w:rFonts w:ascii="Times New Roman" w:hAnsi="Times New Roman"/>
        </w:rPr>
        <w:t xml:space="preserve"> Depuis une décennie environ, l’ONDH et les Nations unies ont noué un partenariat solide et fructueux dans le domaine de l’évaluation des politiq</w:t>
      </w:r>
      <w:r>
        <w:rPr>
          <w:rFonts w:ascii="Times New Roman" w:hAnsi="Times New Roman"/>
        </w:rPr>
        <w:t>ues publiques. Le programme conjoint est indiscutablement une bonne pratique qui devrait être partagée avec d’autres pays du sud. Les Nations unies peuvent se réjouir d’avoir fourni à l’ONDH un appui technique pertinent et cohérent qui a abouti à des résul</w:t>
      </w:r>
      <w:r>
        <w:rPr>
          <w:rFonts w:ascii="Times New Roman" w:hAnsi="Times New Roman"/>
        </w:rPr>
        <w:t>tats palpables. Les résultats de l’évaluation finale de l’UNDAF 2012-2016 montrent que le programme conjoint a apporté une contribution significative aux effets de ce cadre de coopération. Son impact sur la cohérence des interventions des agences des Natio</w:t>
      </w:r>
      <w:r>
        <w:rPr>
          <w:rFonts w:ascii="Times New Roman" w:hAnsi="Times New Roman"/>
        </w:rPr>
        <w:t xml:space="preserve">ns unies contributrices  a été argumenté plus haut. L’ONDH s’est fortement impliqué dans le suivi et l’évaluation de l’UNDAF à travers son Secrétaire général qui a assuré la co-présidence du groupe de travail suivi et évaluation (GTSE). </w:t>
      </w:r>
    </w:p>
    <w:p w:rsidR="00864EC1" w:rsidRDefault="00864EC1">
      <w:pPr>
        <w:jc w:val="both"/>
        <w:rPr>
          <w:rFonts w:ascii="Times New Roman" w:hAnsi="Times New Roman"/>
        </w:rPr>
      </w:pPr>
    </w:p>
    <w:p w:rsidR="00864EC1" w:rsidRDefault="00C6376C">
      <w:pPr>
        <w:jc w:val="both"/>
        <w:rPr>
          <w:rFonts w:ascii="Times New Roman" w:hAnsi="Times New Roman"/>
        </w:rPr>
      </w:pPr>
      <w:r>
        <w:rPr>
          <w:rFonts w:ascii="Times New Roman" w:hAnsi="Times New Roman"/>
        </w:rPr>
        <w:t xml:space="preserve">Dans le cadre de </w:t>
      </w:r>
      <w:r>
        <w:rPr>
          <w:rFonts w:ascii="Times New Roman" w:hAnsi="Times New Roman"/>
        </w:rPr>
        <w:t>la programmation future, le plan stratégique de l’ONDH, l’agenda 2030, les conférences de Bangkok et de Katmandu, la Déclaration de Rabat suggèrent des pistes intéressantes pour le renforcement de ce partenariat qui devrait s’inscrire dans le cadre de l’UN</w:t>
      </w:r>
      <w:r>
        <w:rPr>
          <w:rFonts w:ascii="Times New Roman" w:hAnsi="Times New Roman"/>
        </w:rPr>
        <w:t xml:space="preserve">DAF 2017-2021.  De façon plus concrète, on pourrait suggérer les pistes suivantes : </w:t>
      </w:r>
    </w:p>
    <w:p w:rsidR="00864EC1" w:rsidRDefault="00C6376C">
      <w:pPr>
        <w:pStyle w:val="Paragraphedeliste"/>
        <w:numPr>
          <w:ilvl w:val="0"/>
          <w:numId w:val="16"/>
        </w:numPr>
        <w:jc w:val="both"/>
        <w:rPr>
          <w:rFonts w:ascii="Times New Roman" w:hAnsi="Times New Roman"/>
        </w:rPr>
      </w:pPr>
      <w:r>
        <w:rPr>
          <w:rFonts w:ascii="Times New Roman" w:hAnsi="Times New Roman"/>
        </w:rPr>
        <w:t>Le partenariat avec les Nations unies devrait trouver un ancrage dans le plan stratégique  récemment élaboré  de l’ONDH. Précisément, les Nations unies devraient aider l’O</w:t>
      </w:r>
      <w:r>
        <w:rPr>
          <w:rFonts w:ascii="Times New Roman" w:hAnsi="Times New Roman"/>
        </w:rPr>
        <w:t>NDH à réaliser des progrès rapides vers la réalisation de sa vision et de ses objectifs stratégiques déclinés dans ce plan. Les choix des axes de partenariat devraient donc tenir compte de ce plan.</w:t>
      </w:r>
    </w:p>
    <w:p w:rsidR="00864EC1" w:rsidRDefault="00C6376C">
      <w:pPr>
        <w:pStyle w:val="Paragraphedeliste"/>
        <w:numPr>
          <w:ilvl w:val="0"/>
          <w:numId w:val="16"/>
        </w:numPr>
        <w:jc w:val="both"/>
        <w:rPr>
          <w:rFonts w:ascii="Times New Roman" w:hAnsi="Times New Roman"/>
        </w:rPr>
      </w:pPr>
      <w:r>
        <w:rPr>
          <w:rFonts w:ascii="Times New Roman" w:hAnsi="Times New Roman"/>
        </w:rPr>
        <w:t xml:space="preserve">L’opérationnalisation de l’agenda 2030 notamment sa prise </w:t>
      </w:r>
      <w:r>
        <w:rPr>
          <w:rFonts w:ascii="Times New Roman" w:hAnsi="Times New Roman"/>
        </w:rPr>
        <w:t>en compte dans les politiques, les stratégies et les programmes nationaux devrait être considérée comme un axe de partenariat important. Le partenariat devrait se focaliser sur la déclinaison des ODD dans les politiques et les plans régionaux et locaux ain</w:t>
      </w:r>
      <w:r>
        <w:rPr>
          <w:rFonts w:ascii="Times New Roman" w:hAnsi="Times New Roman"/>
        </w:rPr>
        <w:t xml:space="preserve">si que sur le renforcement de la territorialisation des outils de suivi que l’ONDH s’emploie à mettre en place.    </w:t>
      </w:r>
    </w:p>
    <w:p w:rsidR="00864EC1" w:rsidRDefault="00C6376C">
      <w:pPr>
        <w:pStyle w:val="Paragraphedeliste"/>
        <w:numPr>
          <w:ilvl w:val="0"/>
          <w:numId w:val="16"/>
        </w:numPr>
        <w:jc w:val="both"/>
      </w:pPr>
      <w:r>
        <w:rPr>
          <w:rFonts w:ascii="Times New Roman" w:hAnsi="Times New Roman"/>
        </w:rPr>
        <w:t xml:space="preserve">Les conférences de Bangkok et de Katmandu ont plaidé pour le rôle majeur de l’évaluation notamment le renforcement des capacités nationales </w:t>
      </w:r>
      <w:r>
        <w:rPr>
          <w:rFonts w:ascii="Times New Roman" w:hAnsi="Times New Roman"/>
        </w:rPr>
        <w:t>en évaluation afin de garantir le suivi de la mise en œuvre de l’agenda 2030 aux niveaux national, régional et international. L’opérationnalisation au niveau national de l’agenda global de l’évaluation 2016-2020 devrait bénéficier d’une attention particuli</w:t>
      </w:r>
      <w:r>
        <w:rPr>
          <w:rFonts w:ascii="Times New Roman" w:hAnsi="Times New Roman"/>
        </w:rPr>
        <w:t>ère. Le rôle essentiel  du suivi et évaluation a été aussi souligné par la Déclaration de Rabat qui a « </w:t>
      </w:r>
      <w:r>
        <w:rPr>
          <w:rFonts w:ascii="Times New Roman" w:hAnsi="Times New Roman"/>
          <w:b/>
          <w:i/>
        </w:rPr>
        <w:t xml:space="preserve">invité les agences des Nations unies …à poursuivre leur soutien aux initiatives des pays en vue d’accorder une place importante à l’évaluation dans les </w:t>
      </w:r>
      <w:r>
        <w:rPr>
          <w:rFonts w:ascii="Times New Roman" w:hAnsi="Times New Roman"/>
          <w:b/>
          <w:i/>
        </w:rPr>
        <w:t>plans nationaux de développement et les cadres communs de coopération </w:t>
      </w:r>
      <w:r>
        <w:rPr>
          <w:rFonts w:ascii="Times New Roman" w:hAnsi="Times New Roman"/>
        </w:rPr>
        <w:t xml:space="preserve">». </w:t>
      </w:r>
    </w:p>
    <w:p w:rsidR="00864EC1" w:rsidRDefault="00C6376C">
      <w:pPr>
        <w:pStyle w:val="Paragraphedeliste"/>
        <w:numPr>
          <w:ilvl w:val="0"/>
          <w:numId w:val="16"/>
        </w:numPr>
        <w:jc w:val="both"/>
        <w:rPr>
          <w:rFonts w:ascii="Times New Roman" w:hAnsi="Times New Roman"/>
        </w:rPr>
      </w:pPr>
      <w:r>
        <w:rPr>
          <w:rFonts w:ascii="Times New Roman" w:hAnsi="Times New Roman"/>
        </w:rPr>
        <w:t xml:space="preserve">Le financement du suivi et évaluation est un défi qui devra être relevé dans le cadre de ce partenariat. Le Maroc dispose certes d’un appareil statistique performant. Mais, le suivi </w:t>
      </w:r>
      <w:r>
        <w:rPr>
          <w:rFonts w:ascii="Times New Roman" w:hAnsi="Times New Roman"/>
        </w:rPr>
        <w:t xml:space="preserve">des ODD exigera des efforts considérables et d’importantes ressources financières. La Déclaration de Rabat a invité les Nations unies à mettre en place des mécanismes innovants d’appui particulièrement en matière de financement. Dans cette perspective, il </w:t>
      </w:r>
      <w:r>
        <w:rPr>
          <w:rFonts w:ascii="Times New Roman" w:hAnsi="Times New Roman"/>
        </w:rPr>
        <w:t xml:space="preserve">serait souhaitable d’accroître le budget de la troisième phase du programme conjoint et d’envisager  la prise en compte de l’enquête panel ménages. </w:t>
      </w:r>
    </w:p>
    <w:p w:rsidR="00864EC1" w:rsidRDefault="00C6376C">
      <w:pPr>
        <w:pStyle w:val="Titre3"/>
      </w:pPr>
      <w:bookmarkStart w:id="65" w:name="_Toc451442687"/>
      <w:bookmarkStart w:id="66" w:name="_Toc451652748"/>
      <w:bookmarkStart w:id="67" w:name="_Toc451653150"/>
      <w:r>
        <w:t>VII.3 - Pistes de réflexion à explorer sur l’articulation entre le positionnement stratégique et le  change</w:t>
      </w:r>
      <w:r>
        <w:t>ment organisationnel</w:t>
      </w:r>
      <w:bookmarkEnd w:id="65"/>
      <w:bookmarkEnd w:id="66"/>
      <w:bookmarkEnd w:id="67"/>
      <w:r>
        <w:t xml:space="preserve"> </w:t>
      </w:r>
    </w:p>
    <w:p w:rsidR="00864EC1" w:rsidRDefault="00C6376C">
      <w:pPr>
        <w:jc w:val="both"/>
        <w:rPr>
          <w:rFonts w:ascii="Times New Roman" w:hAnsi="Times New Roman"/>
        </w:rPr>
      </w:pPr>
      <w:r>
        <w:rPr>
          <w:rFonts w:ascii="Times New Roman" w:hAnsi="Times New Roman"/>
        </w:rPr>
        <w:t>Les pistes de réflexion et d’action pour le positionnement stratégique de l’ONDH laissent transparaître la nécessité d’un changement organisationnel qui pourrait requérir le renforcement du pilotage stratégique et opérationnel, l’alig</w:t>
      </w:r>
      <w:r>
        <w:rPr>
          <w:rFonts w:ascii="Times New Roman" w:hAnsi="Times New Roman"/>
        </w:rPr>
        <w:t>nement de la structure organisationnelle et des  compétences, le renforcement de la démarche qualité et un accroissement des besoins de financement. La programmation future devra tenir compte de ces défis, de ces enjeux et des atouts de ce changement organ</w:t>
      </w:r>
      <w:r>
        <w:rPr>
          <w:rFonts w:ascii="Times New Roman" w:hAnsi="Times New Roman"/>
        </w:rPr>
        <w:t xml:space="preserve">isationnel.   </w:t>
      </w:r>
    </w:p>
    <w:p w:rsidR="00864EC1" w:rsidRDefault="00C6376C">
      <w:pPr>
        <w:jc w:val="both"/>
        <w:rPr>
          <w:rFonts w:ascii="Times New Roman" w:hAnsi="Times New Roman"/>
        </w:rPr>
      </w:pPr>
      <w:r>
        <w:rPr>
          <w:rFonts w:ascii="Times New Roman" w:hAnsi="Times New Roman"/>
        </w:rPr>
        <w:t>Le renforcement du pilotage stratégique et opérationnel sera sans doute nécessaire pour la conduite du changement organisationnel. La mise en œuvre du plan stratégique de l’ONDH pourra induire des réajustements institutionnels ou organisatio</w:t>
      </w:r>
      <w:r>
        <w:rPr>
          <w:rFonts w:ascii="Times New Roman" w:hAnsi="Times New Roman"/>
        </w:rPr>
        <w:t>nnels. Mais, le leadership actuel paraît aguerri pour faire efficacement face à ces exigences. En effet, les instances de direction qui ont initié l’élaboration de ce plan stratégique connaissent parfaitement ses tenants et ses aboutissants. Elles pourraie</w:t>
      </w:r>
      <w:r>
        <w:rPr>
          <w:rFonts w:ascii="Times New Roman" w:hAnsi="Times New Roman"/>
        </w:rPr>
        <w:t>nt donc incarner et porter sa vision stratégique.</w:t>
      </w:r>
    </w:p>
    <w:p w:rsidR="00864EC1" w:rsidRDefault="00C6376C">
      <w:pPr>
        <w:jc w:val="both"/>
        <w:rPr>
          <w:rFonts w:ascii="Times New Roman" w:hAnsi="Times New Roman"/>
        </w:rPr>
      </w:pPr>
      <w:r>
        <w:rPr>
          <w:rFonts w:ascii="Times New Roman" w:hAnsi="Times New Roman"/>
        </w:rPr>
        <w:t>La mise en œuvre du plan stratégique pourrait avoir comme corollaire l’alignement de la structure organisationnelle et des  compétences de l’ONDH. Il sera sans doute nécessaire de revisiter la structure org</w:t>
      </w:r>
      <w:r>
        <w:rPr>
          <w:rFonts w:ascii="Times New Roman" w:hAnsi="Times New Roman"/>
        </w:rPr>
        <w:t>anisationnelle et de renforcer les compétences particulièrement les ressources humaines de l’ONDH en tenant compte de la vision et des orientations du plan stratégique. L’accroissement du personnel et de l’expertise de l’ONDH devra donc s’arrimer aux choix</w:t>
      </w:r>
      <w:r>
        <w:rPr>
          <w:rFonts w:ascii="Times New Roman" w:hAnsi="Times New Roman"/>
        </w:rPr>
        <w:t xml:space="preserve"> du plan stratégique. En d’autres termes, le développement du capital humain fondé sur un plan de développement des ressources humaines comprenant un plan de formation  est un volet  essentiel pour garantir la réalisation de la vision stratégique de l’ONDH</w:t>
      </w:r>
      <w:r>
        <w:rPr>
          <w:rFonts w:ascii="Times New Roman" w:hAnsi="Times New Roman"/>
        </w:rPr>
        <w:t>.</w:t>
      </w:r>
    </w:p>
    <w:p w:rsidR="00864EC1" w:rsidRDefault="00C6376C">
      <w:pPr>
        <w:jc w:val="both"/>
        <w:rPr>
          <w:rFonts w:ascii="Times New Roman" w:hAnsi="Times New Roman"/>
        </w:rPr>
      </w:pPr>
      <w:r>
        <w:rPr>
          <w:rFonts w:ascii="Times New Roman" w:hAnsi="Times New Roman"/>
        </w:rPr>
        <w:t>Le renforcement de la démarche qualité est une exigence qui découle de la réputation ou de la notoriété acquise par l’ONDH et de l’accroissement de la demande de ces services. Il convient de rappeler que la qualité d’un service désigne d’une part sa conf</w:t>
      </w:r>
      <w:r>
        <w:rPr>
          <w:rFonts w:ascii="Times New Roman" w:hAnsi="Times New Roman"/>
        </w:rPr>
        <w:t>ormité aux normes et aux standards professionnels reconnus au niveau  national et international et d’autre part sa capacité à satisfaire les besoins de la clientèle ciblée. De ce point de vue, les services fournis par l’ONDH sont effectivement labellisés o</w:t>
      </w:r>
      <w:r>
        <w:rPr>
          <w:rFonts w:ascii="Times New Roman" w:hAnsi="Times New Roman"/>
        </w:rPr>
        <w:t xml:space="preserve">u certifiés par des institutions internationales crédibles. L’augmentation du nombre de clics du SI Al Bacharia  pourrait témoigner de la satisfaction des utilisateurs de ces services. Une enquête d’opinions sera sans doute nécessaire pour confirmer cette </w:t>
      </w:r>
      <w:r>
        <w:rPr>
          <w:rFonts w:ascii="Times New Roman" w:hAnsi="Times New Roman"/>
        </w:rPr>
        <w:t xml:space="preserve">conclusion. Cependant, le plan stratégique offre à l’ONDH l’opportunité de renforcer la démarche qualité en mettant l’accent sur : </w:t>
      </w:r>
    </w:p>
    <w:p w:rsidR="00864EC1" w:rsidRDefault="00C6376C">
      <w:pPr>
        <w:pStyle w:val="Paragraphedeliste"/>
        <w:numPr>
          <w:ilvl w:val="0"/>
          <w:numId w:val="17"/>
        </w:numPr>
        <w:jc w:val="both"/>
        <w:rPr>
          <w:rFonts w:ascii="Times New Roman" w:hAnsi="Times New Roman"/>
        </w:rPr>
      </w:pPr>
      <w:r>
        <w:rPr>
          <w:rFonts w:ascii="Times New Roman" w:hAnsi="Times New Roman"/>
        </w:rPr>
        <w:t xml:space="preserve">La veille stratégique, la flexibilité et l’innovation pour s’adapter constamment à l’évolution de son environnement externe </w:t>
      </w:r>
      <w:r>
        <w:rPr>
          <w:rFonts w:ascii="Times New Roman" w:hAnsi="Times New Roman"/>
        </w:rPr>
        <w:t xml:space="preserve">particulièrement à la demande et à l’utilisation de ces services ; </w:t>
      </w:r>
    </w:p>
    <w:p w:rsidR="00864EC1" w:rsidRDefault="00C6376C">
      <w:pPr>
        <w:pStyle w:val="Paragraphedeliste"/>
        <w:numPr>
          <w:ilvl w:val="0"/>
          <w:numId w:val="17"/>
        </w:numPr>
        <w:jc w:val="both"/>
        <w:rPr>
          <w:rFonts w:ascii="Times New Roman" w:hAnsi="Times New Roman"/>
        </w:rPr>
      </w:pPr>
      <w:r>
        <w:rPr>
          <w:rFonts w:ascii="Times New Roman" w:hAnsi="Times New Roman"/>
        </w:rPr>
        <w:t xml:space="preserve">L’amélioration continue de l’efficacité organisationnelle pour réduire les coûts, accroître la productivité et respecter les délais de réalisation et de livraison des services. Il s’agira </w:t>
      </w:r>
      <w:r>
        <w:rPr>
          <w:rFonts w:ascii="Times New Roman" w:hAnsi="Times New Roman"/>
        </w:rPr>
        <w:t xml:space="preserve">aussi de veiller au renforcement régulier de l’expertise et à la motivation du personnel, à la  mise en place des procédures organisationnelles souples et efficaces ; </w:t>
      </w:r>
    </w:p>
    <w:p w:rsidR="00864EC1" w:rsidRDefault="00C6376C">
      <w:pPr>
        <w:pStyle w:val="Paragraphedeliste"/>
        <w:numPr>
          <w:ilvl w:val="0"/>
          <w:numId w:val="17"/>
        </w:numPr>
        <w:jc w:val="both"/>
        <w:rPr>
          <w:rFonts w:ascii="Times New Roman" w:hAnsi="Times New Roman"/>
        </w:rPr>
      </w:pPr>
      <w:r>
        <w:rPr>
          <w:rFonts w:ascii="Times New Roman" w:hAnsi="Times New Roman"/>
        </w:rPr>
        <w:t>La mesure de la qualité des prestations ou des services en mettant en place des mécanism</w:t>
      </w:r>
      <w:r>
        <w:rPr>
          <w:rFonts w:ascii="Times New Roman" w:hAnsi="Times New Roman"/>
        </w:rPr>
        <w:t xml:space="preserve">es appropriés pour apprécier la satisfaction des clients et prendre des mesures correctives dans les meilleurs délais. </w:t>
      </w:r>
    </w:p>
    <w:p w:rsidR="00864EC1" w:rsidRDefault="00C6376C">
      <w:pPr>
        <w:jc w:val="both"/>
        <w:rPr>
          <w:rFonts w:ascii="Times New Roman" w:hAnsi="Times New Roman"/>
        </w:rPr>
      </w:pPr>
      <w:r>
        <w:rPr>
          <w:rFonts w:ascii="Times New Roman" w:hAnsi="Times New Roman"/>
        </w:rPr>
        <w:t>L’accroissement des besoins de financement est une conséquence inévitable de la mise en œuvre du plan stratégique. L’ONDH devra mobilise</w:t>
      </w:r>
      <w:r>
        <w:rPr>
          <w:rFonts w:ascii="Times New Roman" w:hAnsi="Times New Roman"/>
        </w:rPr>
        <w:t xml:space="preserve">r des ressources financières supplémentaires pour assumer son positionnement stratégique. Une stratégie de mobilisation des ressources sera sans doute indispensable pour faire face efficacement à cette exigence.  </w:t>
      </w:r>
    </w:p>
    <w:p w:rsidR="00864EC1" w:rsidRDefault="00C6376C">
      <w:pPr>
        <w:pStyle w:val="Titre2"/>
      </w:pPr>
      <w:bookmarkStart w:id="68" w:name="_Toc451442688"/>
      <w:bookmarkStart w:id="69" w:name="_Toc451652749"/>
      <w:bookmarkStart w:id="70" w:name="_Toc451653151"/>
      <w:r>
        <w:t>VIII - Leçons apprises, bonnes pratiques e</w:t>
      </w:r>
      <w:r>
        <w:t>t recommandations</w:t>
      </w:r>
      <w:bookmarkEnd w:id="68"/>
      <w:bookmarkEnd w:id="69"/>
      <w:bookmarkEnd w:id="70"/>
    </w:p>
    <w:p w:rsidR="00864EC1" w:rsidRDefault="00C6376C">
      <w:pPr>
        <w:jc w:val="both"/>
        <w:rPr>
          <w:rFonts w:ascii="Times New Roman" w:hAnsi="Times New Roman"/>
        </w:rPr>
      </w:pPr>
      <w:r>
        <w:rPr>
          <w:rFonts w:ascii="Times New Roman" w:hAnsi="Times New Roman"/>
        </w:rPr>
        <w:t>A lumière de l’analyse de la pertinence et des performances de l’ONDH et de l’exploration des pistes de réflexion, il est apparu nécessaire de suggérer ci-après les leçons apprises, les bonnes pratiques et les recommandations qui devraien</w:t>
      </w:r>
      <w:r>
        <w:rPr>
          <w:rFonts w:ascii="Times New Roman" w:hAnsi="Times New Roman"/>
        </w:rPr>
        <w:t xml:space="preserve">t orienter la programmation future. </w:t>
      </w:r>
    </w:p>
    <w:p w:rsidR="00864EC1" w:rsidRDefault="00C6376C">
      <w:pPr>
        <w:pStyle w:val="Titre3"/>
      </w:pPr>
      <w:bookmarkStart w:id="71" w:name="_Toc451442689"/>
      <w:bookmarkStart w:id="72" w:name="_Toc451652750"/>
      <w:bookmarkStart w:id="73" w:name="_Toc451653152"/>
      <w:r>
        <w:t>VIII.1 - Leçons apprises</w:t>
      </w:r>
      <w:bookmarkEnd w:id="71"/>
      <w:bookmarkEnd w:id="72"/>
      <w:bookmarkEnd w:id="73"/>
      <w:r>
        <w:t xml:space="preserve"> </w:t>
      </w:r>
    </w:p>
    <w:p w:rsidR="00864EC1" w:rsidRDefault="00C6376C">
      <w:pPr>
        <w:pStyle w:val="Paragraphedeliste"/>
        <w:numPr>
          <w:ilvl w:val="0"/>
          <w:numId w:val="3"/>
        </w:numPr>
        <w:jc w:val="both"/>
        <w:rPr>
          <w:rFonts w:ascii="Times New Roman" w:hAnsi="Times New Roman"/>
        </w:rPr>
      </w:pPr>
      <w:r>
        <w:rPr>
          <w:rFonts w:ascii="Times New Roman" w:hAnsi="Times New Roman"/>
        </w:rPr>
        <w:t>L’appréciation des performances notamment de l’efficacité n’a pas été aisée en raison de la faiblesse de la prise en compte des principes programmatiques au niveau de l’analyse pays. Cet écueil</w:t>
      </w:r>
      <w:r>
        <w:rPr>
          <w:rFonts w:ascii="Times New Roman" w:hAnsi="Times New Roman"/>
        </w:rPr>
        <w:t xml:space="preserve">  a eu des répercussions sur la qualité de la matrice des résultats. Précisément, l’absence des données statistiques justifie l’absence des valeurs de base renseignées pour plusieurs indicateurs et cibles. L’analyse des rôles et des capacités des détenteur</w:t>
      </w:r>
      <w:r>
        <w:rPr>
          <w:rFonts w:ascii="Times New Roman" w:hAnsi="Times New Roman"/>
        </w:rPr>
        <w:t>s d’obligation et des titulaires de droit n’a pas été éludée. Mais, la revue interne a eu le mérite de corriger ces faiblesses. Les indicateurs proposés ont amélioré la qualité de la matrice des résultats. Ils ont aussi dévoilé la stratégie de renforcement</w:t>
      </w:r>
      <w:r>
        <w:rPr>
          <w:rFonts w:ascii="Times New Roman" w:hAnsi="Times New Roman"/>
        </w:rPr>
        <w:t xml:space="preserve"> des capacités du programme. </w:t>
      </w:r>
    </w:p>
    <w:p w:rsidR="00864EC1" w:rsidRDefault="00C6376C">
      <w:pPr>
        <w:pStyle w:val="Paragraphedeliste"/>
        <w:numPr>
          <w:ilvl w:val="0"/>
          <w:numId w:val="3"/>
        </w:numPr>
        <w:jc w:val="both"/>
        <w:rPr>
          <w:rFonts w:ascii="Times New Roman" w:hAnsi="Times New Roman"/>
        </w:rPr>
      </w:pPr>
      <w:r>
        <w:rPr>
          <w:rFonts w:ascii="Times New Roman" w:hAnsi="Times New Roman"/>
        </w:rPr>
        <w:t xml:space="preserve">Les Tdr ont retenu l’impact parmi les critères d’évaluation. Mais, l’appréciation de l’impact a été limitée. En effet, elle s’est fondée sur les opinions de quelques informateurs clés. Une appréciation approfondie de l’impact </w:t>
      </w:r>
      <w:r>
        <w:rPr>
          <w:rFonts w:ascii="Times New Roman" w:hAnsi="Times New Roman"/>
        </w:rPr>
        <w:t xml:space="preserve">aurait exigé le recours à des méthodes plus complexes.  La collecte des données quantitatives et qualitatives aurait également exigé plus de temps. </w:t>
      </w:r>
    </w:p>
    <w:p w:rsidR="00864EC1" w:rsidRDefault="00C6376C">
      <w:pPr>
        <w:pStyle w:val="Paragraphedeliste"/>
        <w:numPr>
          <w:ilvl w:val="0"/>
          <w:numId w:val="3"/>
        </w:numPr>
        <w:jc w:val="both"/>
        <w:rPr>
          <w:rFonts w:ascii="Times New Roman" w:hAnsi="Times New Roman"/>
        </w:rPr>
      </w:pPr>
      <w:r>
        <w:rPr>
          <w:rFonts w:ascii="Times New Roman" w:hAnsi="Times New Roman"/>
        </w:rPr>
        <w:t>L’analyse a montré que l’ONDH s’est positionné au carrefour de l’institutionnalisation, de la recherche, de</w:t>
      </w:r>
      <w:r>
        <w:rPr>
          <w:rFonts w:ascii="Times New Roman" w:hAnsi="Times New Roman"/>
        </w:rPr>
        <w:t xml:space="preserve"> l’enseignement et de la formation, de la professionnalisation. Il apparaît que son positionnement stratégique et son envergure opérationnelle ont desserré l’étau de son statut juridique. Sa posture actuelle est incontestablement un atout pour conduire des</w:t>
      </w:r>
      <w:r>
        <w:rPr>
          <w:rFonts w:ascii="Times New Roman" w:hAnsi="Times New Roman"/>
        </w:rPr>
        <w:t xml:space="preserve"> actions de plaidoyer plus audacieuses et promouvoir le dialogue en vue de la coordination de la production des données et de l’évaluation des politiques publiques en s’inscrivant dans une perspective stratégique. </w:t>
      </w:r>
    </w:p>
    <w:p w:rsidR="00864EC1" w:rsidRDefault="00C6376C">
      <w:pPr>
        <w:pStyle w:val="Paragraphedeliste"/>
        <w:numPr>
          <w:ilvl w:val="0"/>
          <w:numId w:val="3"/>
        </w:numPr>
        <w:jc w:val="both"/>
        <w:rPr>
          <w:rFonts w:ascii="Times New Roman" w:hAnsi="Times New Roman"/>
        </w:rPr>
      </w:pPr>
      <w:r>
        <w:rPr>
          <w:rFonts w:ascii="Times New Roman" w:hAnsi="Times New Roman"/>
        </w:rPr>
        <w:t xml:space="preserve">L’analyse a révélé que la Déclaration de </w:t>
      </w:r>
      <w:r>
        <w:rPr>
          <w:rFonts w:ascii="Times New Roman" w:hAnsi="Times New Roman"/>
        </w:rPr>
        <w:t>Rabat est un levier essentiel pour la promotion de la coopération sud-sud. Elle est également un atout pour l’affirmation de l’ONDH comme plateforme de la coopération sud-sud. Mais, on observe une lenteur dans sa mise en œuvre. Il paraît donc urgent de pre</w:t>
      </w:r>
      <w:r>
        <w:rPr>
          <w:rFonts w:ascii="Times New Roman" w:hAnsi="Times New Roman"/>
        </w:rPr>
        <w:t xml:space="preserve">ndre des mesures audacieuses pour valoriser son potentiel. </w:t>
      </w:r>
    </w:p>
    <w:p w:rsidR="00864EC1" w:rsidRDefault="00C6376C">
      <w:pPr>
        <w:pStyle w:val="Paragraphedeliste"/>
        <w:numPr>
          <w:ilvl w:val="0"/>
          <w:numId w:val="3"/>
        </w:numPr>
        <w:jc w:val="both"/>
        <w:rPr>
          <w:rFonts w:ascii="Times New Roman" w:hAnsi="Times New Roman"/>
        </w:rPr>
      </w:pPr>
      <w:r>
        <w:rPr>
          <w:rFonts w:ascii="Times New Roman" w:hAnsi="Times New Roman"/>
        </w:rPr>
        <w:t>Le succès du programme conjoint est imputable à l’engagement et à la cohérence des Nations Unies. Mais, son ancrage dans la mission et  les domaines d’intervention de l’ONDH, le leadership et l’ap</w:t>
      </w:r>
      <w:r>
        <w:rPr>
          <w:rFonts w:ascii="Times New Roman" w:hAnsi="Times New Roman"/>
        </w:rPr>
        <w:t>propriation nationale ont été déterminants. La programmation future devra s’adosser sur le plan stratégique de l’ONDH pour capitaliser les acquis, faire face aux défis et aux enjeux signalés plus haut et maximiser l’impact de ses interventions sur l’instit</w:t>
      </w:r>
      <w:r>
        <w:rPr>
          <w:rFonts w:ascii="Times New Roman" w:hAnsi="Times New Roman"/>
        </w:rPr>
        <w:t xml:space="preserve">utionnalisation de l’évaluation des politiques publiques. </w:t>
      </w:r>
    </w:p>
    <w:p w:rsidR="00864EC1" w:rsidRDefault="00C6376C">
      <w:pPr>
        <w:pStyle w:val="Titre3"/>
      </w:pPr>
      <w:bookmarkStart w:id="74" w:name="_Toc451442690"/>
      <w:bookmarkStart w:id="75" w:name="_Toc451652751"/>
      <w:bookmarkStart w:id="76" w:name="_Toc451653153"/>
      <w:r>
        <w:t>VIII.2 - Bonnes pratiques</w:t>
      </w:r>
      <w:bookmarkEnd w:id="74"/>
      <w:bookmarkEnd w:id="75"/>
      <w:bookmarkEnd w:id="76"/>
      <w:r>
        <w:t xml:space="preserve"> </w:t>
      </w:r>
    </w:p>
    <w:p w:rsidR="00864EC1" w:rsidRDefault="00C6376C">
      <w:pPr>
        <w:jc w:val="both"/>
        <w:rPr>
          <w:rFonts w:ascii="Times New Roman" w:hAnsi="Times New Roman"/>
        </w:rPr>
      </w:pPr>
      <w:r>
        <w:rPr>
          <w:rFonts w:ascii="Times New Roman" w:hAnsi="Times New Roman"/>
        </w:rPr>
        <w:t xml:space="preserve">En ce qui concerne les bonnes pratiques, l’analyse en a identifié quatre qui devraient être largement partagées avec les autres pays du sud :   </w:t>
      </w:r>
    </w:p>
    <w:p w:rsidR="00864EC1" w:rsidRDefault="00C6376C">
      <w:pPr>
        <w:pStyle w:val="Paragraphedeliste"/>
        <w:numPr>
          <w:ilvl w:val="0"/>
          <w:numId w:val="18"/>
        </w:numPr>
        <w:jc w:val="both"/>
        <w:rPr>
          <w:rFonts w:ascii="Times New Roman" w:hAnsi="Times New Roman"/>
          <w:b/>
          <w:i/>
        </w:rPr>
      </w:pPr>
      <w:r>
        <w:rPr>
          <w:rFonts w:ascii="Times New Roman" w:hAnsi="Times New Roman"/>
          <w:b/>
          <w:i/>
        </w:rPr>
        <w:t>L’arsenal d’outils de l’O</w:t>
      </w:r>
      <w:r>
        <w:rPr>
          <w:rFonts w:ascii="Times New Roman" w:hAnsi="Times New Roman"/>
          <w:b/>
          <w:i/>
        </w:rPr>
        <w:t xml:space="preserve">NDH notamment  l’enquête panel ménages, le SI Al Bacharia, le tableau de bord et la base des données ; </w:t>
      </w:r>
    </w:p>
    <w:p w:rsidR="00864EC1" w:rsidRDefault="00C6376C">
      <w:pPr>
        <w:pStyle w:val="Paragraphedeliste"/>
        <w:numPr>
          <w:ilvl w:val="0"/>
          <w:numId w:val="18"/>
        </w:numPr>
        <w:jc w:val="both"/>
        <w:rPr>
          <w:rFonts w:ascii="Times New Roman" w:hAnsi="Times New Roman"/>
          <w:b/>
          <w:i/>
        </w:rPr>
      </w:pPr>
      <w:r>
        <w:rPr>
          <w:rFonts w:ascii="Times New Roman" w:hAnsi="Times New Roman"/>
          <w:b/>
          <w:i/>
        </w:rPr>
        <w:t>La territorialisation du SI ;</w:t>
      </w:r>
    </w:p>
    <w:p w:rsidR="00864EC1" w:rsidRDefault="00C6376C">
      <w:pPr>
        <w:pStyle w:val="Paragraphedeliste"/>
        <w:numPr>
          <w:ilvl w:val="0"/>
          <w:numId w:val="18"/>
        </w:numPr>
        <w:jc w:val="both"/>
        <w:rPr>
          <w:rFonts w:ascii="Times New Roman" w:hAnsi="Times New Roman"/>
          <w:b/>
          <w:i/>
        </w:rPr>
      </w:pPr>
      <w:r>
        <w:rPr>
          <w:rFonts w:ascii="Times New Roman" w:hAnsi="Times New Roman"/>
          <w:b/>
          <w:i/>
        </w:rPr>
        <w:t xml:space="preserve">Le partenariat avec les universités y compris le développement des groupes de chercheurs et des pôles d’expertise ; </w:t>
      </w:r>
    </w:p>
    <w:p w:rsidR="00864EC1" w:rsidRDefault="00C6376C">
      <w:pPr>
        <w:pStyle w:val="Paragraphedeliste"/>
        <w:numPr>
          <w:ilvl w:val="0"/>
          <w:numId w:val="18"/>
        </w:numPr>
        <w:jc w:val="both"/>
        <w:rPr>
          <w:rFonts w:ascii="Times New Roman" w:hAnsi="Times New Roman"/>
          <w:b/>
          <w:i/>
        </w:rPr>
      </w:pPr>
      <w:r>
        <w:rPr>
          <w:rFonts w:ascii="Times New Roman" w:hAnsi="Times New Roman"/>
          <w:b/>
          <w:i/>
        </w:rPr>
        <w:t xml:space="preserve">L’expérience fructueuse du partenariat sud-sud ONDH, CONEVAL et CRES.  </w:t>
      </w:r>
    </w:p>
    <w:p w:rsidR="00864EC1" w:rsidRDefault="00C6376C">
      <w:pPr>
        <w:pStyle w:val="Titre3"/>
      </w:pPr>
      <w:bookmarkStart w:id="77" w:name="_Toc451442691"/>
      <w:bookmarkStart w:id="78" w:name="_Toc451652752"/>
      <w:bookmarkStart w:id="79" w:name="_Toc451653154"/>
      <w:r>
        <w:t>VIII.1 - Recommandations</w:t>
      </w:r>
      <w:bookmarkEnd w:id="77"/>
      <w:bookmarkEnd w:id="78"/>
      <w:bookmarkEnd w:id="79"/>
    </w:p>
    <w:p w:rsidR="00864EC1" w:rsidRDefault="00C6376C">
      <w:pPr>
        <w:jc w:val="both"/>
      </w:pPr>
      <w:r>
        <w:rPr>
          <w:rFonts w:ascii="Times New Roman" w:hAnsi="Times New Roman"/>
        </w:rPr>
        <w:t>L’analyse et les leçons apprises suggèrent les principales recommandations suivantes qui renvoient essentiellement aux pistes de réflexion et d’action à explor</w:t>
      </w:r>
      <w:r>
        <w:rPr>
          <w:rFonts w:ascii="Times New Roman" w:hAnsi="Times New Roman"/>
        </w:rPr>
        <w:t xml:space="preserve">er pour la future programmation. Les recommandations sont </w:t>
      </w:r>
      <w:r>
        <w:rPr>
          <w:rFonts w:ascii="Times New Roman" w:hAnsi="Times New Roman"/>
          <w:b/>
          <w:i/>
        </w:rPr>
        <w:t xml:space="preserve"> </w:t>
      </w:r>
      <w:r>
        <w:rPr>
          <w:rFonts w:ascii="Times New Roman" w:hAnsi="Times New Roman"/>
        </w:rPr>
        <w:t>étayées par  des actions indicatives qui devraient faciliter la formulation des réponses du management du programme  conjoint et leur mise en œuvre. Ces recommandations s’adressent à toutes les par</w:t>
      </w:r>
      <w:r>
        <w:rPr>
          <w:rFonts w:ascii="Times New Roman" w:hAnsi="Times New Roman"/>
        </w:rPr>
        <w:t xml:space="preserve">ties prenantes du programme conjoint. Le calendrier de la programmation future permettra de fixer les échéances pour la mise en application de ces différentes recommandations.  </w:t>
      </w:r>
    </w:p>
    <w:p w:rsidR="00864EC1" w:rsidRDefault="00C6376C">
      <w:pPr>
        <w:jc w:val="both"/>
      </w:pPr>
      <w:r>
        <w:rPr>
          <w:rFonts w:ascii="Times New Roman" w:hAnsi="Times New Roman"/>
          <w:b/>
          <w:u w:val="single"/>
        </w:rPr>
        <w:t>Recommandation 1 :</w:t>
      </w:r>
      <w:r>
        <w:rPr>
          <w:rFonts w:ascii="Times New Roman" w:hAnsi="Times New Roman"/>
        </w:rPr>
        <w:t xml:space="preserve"> </w:t>
      </w:r>
      <w:r>
        <w:rPr>
          <w:rFonts w:ascii="Times New Roman" w:hAnsi="Times New Roman"/>
          <w:b/>
          <w:i/>
        </w:rPr>
        <w:t xml:space="preserve">Améliorer la prise en compte des principes programmatiques </w:t>
      </w:r>
      <w:r>
        <w:rPr>
          <w:rFonts w:ascii="Times New Roman" w:hAnsi="Times New Roman"/>
          <w:b/>
          <w:i/>
        </w:rPr>
        <w:t>dans le document du programme de la troisième phase. Au niveau de l’analyse pays et de la matrice des résultats, cette recommandation suppose :</w:t>
      </w:r>
      <w:r>
        <w:rPr>
          <w:rFonts w:ascii="Times New Roman" w:hAnsi="Times New Roman"/>
        </w:rPr>
        <w:t xml:space="preserve"> </w:t>
      </w:r>
    </w:p>
    <w:p w:rsidR="00864EC1" w:rsidRDefault="00C6376C">
      <w:pPr>
        <w:pStyle w:val="Paragraphedeliste"/>
        <w:numPr>
          <w:ilvl w:val="0"/>
          <w:numId w:val="19"/>
        </w:numPr>
        <w:jc w:val="both"/>
        <w:rPr>
          <w:rFonts w:ascii="Times New Roman" w:hAnsi="Times New Roman"/>
          <w:b/>
          <w:i/>
        </w:rPr>
      </w:pPr>
      <w:r>
        <w:rPr>
          <w:rFonts w:ascii="Times New Roman" w:hAnsi="Times New Roman"/>
          <w:b/>
          <w:i/>
        </w:rPr>
        <w:t>Une claire identification des détenteurs d’obligations et des titulaires des droits, une analyse de leurs rôles</w:t>
      </w:r>
      <w:r>
        <w:rPr>
          <w:rFonts w:ascii="Times New Roman" w:hAnsi="Times New Roman"/>
          <w:b/>
          <w:i/>
        </w:rPr>
        <w:t xml:space="preserve"> et de leurs capacités pour orienter la formulation des produits ;  </w:t>
      </w:r>
    </w:p>
    <w:p w:rsidR="00864EC1" w:rsidRDefault="00C6376C">
      <w:pPr>
        <w:pStyle w:val="Paragraphedeliste"/>
        <w:numPr>
          <w:ilvl w:val="0"/>
          <w:numId w:val="19"/>
        </w:numPr>
        <w:jc w:val="both"/>
        <w:rPr>
          <w:rFonts w:ascii="Times New Roman" w:hAnsi="Times New Roman"/>
          <w:b/>
          <w:i/>
        </w:rPr>
      </w:pPr>
      <w:r>
        <w:rPr>
          <w:rFonts w:ascii="Times New Roman" w:hAnsi="Times New Roman"/>
          <w:b/>
          <w:i/>
        </w:rPr>
        <w:t xml:space="preserve">L’utilisation des données statistiques désagrégées par sexe ou d’autres critères pour étayer les faits ou les problèmes identifiés ; </w:t>
      </w:r>
    </w:p>
    <w:p w:rsidR="00864EC1" w:rsidRDefault="00C6376C">
      <w:pPr>
        <w:pStyle w:val="Paragraphedeliste"/>
        <w:numPr>
          <w:ilvl w:val="0"/>
          <w:numId w:val="19"/>
        </w:numPr>
        <w:jc w:val="both"/>
        <w:rPr>
          <w:rFonts w:ascii="Times New Roman" w:hAnsi="Times New Roman"/>
          <w:b/>
          <w:i/>
        </w:rPr>
      </w:pPr>
      <w:r>
        <w:rPr>
          <w:rFonts w:ascii="Times New Roman" w:hAnsi="Times New Roman"/>
          <w:b/>
          <w:i/>
        </w:rPr>
        <w:t>L’utilisation du langage du changement dans la formul</w:t>
      </w:r>
      <w:r>
        <w:rPr>
          <w:rFonts w:ascii="Times New Roman" w:hAnsi="Times New Roman"/>
          <w:b/>
          <w:i/>
        </w:rPr>
        <w:t xml:space="preserve">ation des produits ; </w:t>
      </w:r>
    </w:p>
    <w:p w:rsidR="00864EC1" w:rsidRDefault="00C6376C">
      <w:pPr>
        <w:pStyle w:val="Paragraphedeliste"/>
        <w:numPr>
          <w:ilvl w:val="0"/>
          <w:numId w:val="19"/>
        </w:numPr>
        <w:jc w:val="both"/>
        <w:rPr>
          <w:rFonts w:ascii="Times New Roman" w:hAnsi="Times New Roman"/>
          <w:b/>
          <w:i/>
        </w:rPr>
      </w:pPr>
      <w:r>
        <w:rPr>
          <w:rFonts w:ascii="Times New Roman" w:hAnsi="Times New Roman"/>
          <w:b/>
          <w:i/>
        </w:rPr>
        <w:t xml:space="preserve">La définition des valeurs de référence renseignées par des données quantitatives ou qualitatives pour tous les indicateurs et toutes les cibles ; </w:t>
      </w:r>
    </w:p>
    <w:p w:rsidR="00864EC1" w:rsidRDefault="00C6376C">
      <w:pPr>
        <w:pStyle w:val="Paragraphedeliste"/>
        <w:numPr>
          <w:ilvl w:val="0"/>
          <w:numId w:val="19"/>
        </w:numPr>
        <w:jc w:val="both"/>
        <w:rPr>
          <w:rFonts w:ascii="Times New Roman" w:hAnsi="Times New Roman"/>
          <w:b/>
          <w:i/>
        </w:rPr>
      </w:pPr>
      <w:r>
        <w:rPr>
          <w:rFonts w:ascii="Times New Roman" w:hAnsi="Times New Roman"/>
          <w:b/>
          <w:i/>
        </w:rPr>
        <w:t xml:space="preserve">La fixation des cibles finales du programme qui seront déclinées en cibles annuelles. </w:t>
      </w:r>
    </w:p>
    <w:p w:rsidR="00864EC1" w:rsidRDefault="00C6376C">
      <w:pPr>
        <w:jc w:val="both"/>
      </w:pPr>
      <w:r>
        <w:rPr>
          <w:rFonts w:ascii="Times New Roman" w:hAnsi="Times New Roman"/>
          <w:b/>
          <w:u w:val="single"/>
        </w:rPr>
        <w:t>Recommandation 2</w:t>
      </w:r>
      <w:r>
        <w:rPr>
          <w:rFonts w:ascii="Times New Roman" w:hAnsi="Times New Roman"/>
          <w:b/>
        </w:rPr>
        <w:t> :</w:t>
      </w:r>
      <w:r>
        <w:rPr>
          <w:rFonts w:ascii="Times New Roman" w:hAnsi="Times New Roman"/>
        </w:rPr>
        <w:t xml:space="preserve"> </w:t>
      </w:r>
      <w:r>
        <w:rPr>
          <w:rFonts w:ascii="Times New Roman" w:hAnsi="Times New Roman"/>
          <w:b/>
          <w:i/>
        </w:rPr>
        <w:t>Améliorer la cohérence externe du programme conjoint. Il s’agira d’envisager :</w:t>
      </w:r>
      <w:r>
        <w:rPr>
          <w:rFonts w:ascii="Times New Roman" w:hAnsi="Times New Roman"/>
        </w:rPr>
        <w:t xml:space="preserve"> </w:t>
      </w:r>
    </w:p>
    <w:p w:rsidR="00864EC1" w:rsidRDefault="00C6376C">
      <w:pPr>
        <w:pStyle w:val="Paragraphedeliste"/>
        <w:numPr>
          <w:ilvl w:val="0"/>
          <w:numId w:val="20"/>
        </w:numPr>
        <w:jc w:val="both"/>
        <w:rPr>
          <w:rFonts w:ascii="Times New Roman" w:hAnsi="Times New Roman"/>
          <w:b/>
          <w:i/>
        </w:rPr>
      </w:pPr>
      <w:r>
        <w:rPr>
          <w:rFonts w:ascii="Times New Roman" w:hAnsi="Times New Roman"/>
          <w:b/>
          <w:i/>
        </w:rPr>
        <w:t>La mise en place des mécanismes adéquats de coordination des interventions en matière de  production  des données et d’évaluation des politiques publiques en</w:t>
      </w:r>
      <w:r>
        <w:rPr>
          <w:rFonts w:ascii="Times New Roman" w:hAnsi="Times New Roman"/>
          <w:b/>
          <w:i/>
        </w:rPr>
        <w:t xml:space="preserve"> se basant sur une démarche participative et inclusive ; </w:t>
      </w:r>
    </w:p>
    <w:p w:rsidR="00864EC1" w:rsidRDefault="00C6376C">
      <w:pPr>
        <w:pStyle w:val="Paragraphedeliste"/>
        <w:numPr>
          <w:ilvl w:val="0"/>
          <w:numId w:val="20"/>
        </w:numPr>
        <w:jc w:val="both"/>
        <w:rPr>
          <w:rFonts w:ascii="Times New Roman" w:hAnsi="Times New Roman"/>
          <w:b/>
          <w:i/>
        </w:rPr>
      </w:pPr>
      <w:r>
        <w:rPr>
          <w:rFonts w:ascii="Times New Roman" w:hAnsi="Times New Roman"/>
          <w:b/>
          <w:i/>
        </w:rPr>
        <w:t>L’inscription de la coordination dans une perspective stratégique privilégiant la réflexion sur les outils et les mécanismes tels que la politique nationale d’évaluation, la charte de l’évaluation e</w:t>
      </w:r>
      <w:r>
        <w:rPr>
          <w:rFonts w:ascii="Times New Roman" w:hAnsi="Times New Roman"/>
          <w:b/>
          <w:i/>
        </w:rPr>
        <w:t>t éventuellement les lois.</w:t>
      </w:r>
    </w:p>
    <w:p w:rsidR="00864EC1" w:rsidRDefault="00C6376C">
      <w:pPr>
        <w:jc w:val="both"/>
      </w:pPr>
      <w:r>
        <w:rPr>
          <w:rFonts w:ascii="Times New Roman" w:hAnsi="Times New Roman"/>
          <w:b/>
          <w:u w:val="single"/>
        </w:rPr>
        <w:t>Recommandation 3 :</w:t>
      </w:r>
      <w:r>
        <w:rPr>
          <w:rFonts w:ascii="Times New Roman" w:hAnsi="Times New Roman"/>
        </w:rPr>
        <w:t xml:space="preserve"> </w:t>
      </w:r>
      <w:r>
        <w:rPr>
          <w:rFonts w:ascii="Times New Roman" w:hAnsi="Times New Roman"/>
          <w:b/>
          <w:i/>
        </w:rPr>
        <w:t xml:space="preserve">Veiller à élaborer un plan de développement des capacités de l’ONDH et des bénéficiaires du programme conjoint dans la perspective de la programmation future. Cette démarche suppose : </w:t>
      </w:r>
    </w:p>
    <w:p w:rsidR="00864EC1" w:rsidRDefault="00C6376C">
      <w:pPr>
        <w:pStyle w:val="Paragraphedeliste"/>
        <w:numPr>
          <w:ilvl w:val="0"/>
          <w:numId w:val="21"/>
        </w:numPr>
        <w:jc w:val="both"/>
        <w:rPr>
          <w:rFonts w:ascii="Times New Roman" w:hAnsi="Times New Roman"/>
          <w:b/>
          <w:i/>
        </w:rPr>
      </w:pPr>
      <w:r>
        <w:rPr>
          <w:rFonts w:ascii="Times New Roman" w:hAnsi="Times New Roman"/>
          <w:b/>
          <w:i/>
        </w:rPr>
        <w:t>Une évaluation des capaci</w:t>
      </w:r>
      <w:r>
        <w:rPr>
          <w:rFonts w:ascii="Times New Roman" w:hAnsi="Times New Roman"/>
          <w:b/>
          <w:i/>
        </w:rPr>
        <w:t xml:space="preserve">tés alignée au plan  stratégique de l’ONDH ; </w:t>
      </w:r>
    </w:p>
    <w:p w:rsidR="00864EC1" w:rsidRDefault="00C6376C">
      <w:pPr>
        <w:pStyle w:val="Paragraphedeliste"/>
        <w:numPr>
          <w:ilvl w:val="0"/>
          <w:numId w:val="21"/>
        </w:numPr>
        <w:jc w:val="both"/>
        <w:rPr>
          <w:rFonts w:ascii="Times New Roman" w:hAnsi="Times New Roman"/>
          <w:b/>
          <w:i/>
        </w:rPr>
      </w:pPr>
      <w:r>
        <w:rPr>
          <w:rFonts w:ascii="Times New Roman" w:hAnsi="Times New Roman"/>
          <w:b/>
          <w:i/>
        </w:rPr>
        <w:t>L’élaboration d’un plan de développement des capacités assorti des objectifs et des résultats clairs et d’un cadre de suivi et évaluation.</w:t>
      </w:r>
    </w:p>
    <w:p w:rsidR="00864EC1" w:rsidRDefault="00C6376C">
      <w:pPr>
        <w:jc w:val="both"/>
      </w:pPr>
      <w:r>
        <w:rPr>
          <w:rFonts w:ascii="Times New Roman" w:hAnsi="Times New Roman"/>
          <w:b/>
          <w:u w:val="single"/>
        </w:rPr>
        <w:t>Recommandation 4</w:t>
      </w:r>
      <w:r>
        <w:rPr>
          <w:rFonts w:ascii="Times New Roman" w:hAnsi="Times New Roman"/>
        </w:rPr>
        <w:t xml:space="preserve"> : </w:t>
      </w:r>
      <w:r>
        <w:rPr>
          <w:rFonts w:ascii="Times New Roman" w:hAnsi="Times New Roman"/>
          <w:b/>
          <w:i/>
        </w:rPr>
        <w:t xml:space="preserve">Explorer, prioriser et opérationnaliser les pistes </w:t>
      </w:r>
      <w:r>
        <w:rPr>
          <w:rFonts w:ascii="Times New Roman" w:hAnsi="Times New Roman"/>
          <w:b/>
          <w:i/>
        </w:rPr>
        <w:t>relatives au choix de la stratégie d’intervention. Il s’agira d’envisager :</w:t>
      </w:r>
    </w:p>
    <w:p w:rsidR="00864EC1" w:rsidRDefault="00C6376C">
      <w:pPr>
        <w:pStyle w:val="Paragraphedeliste"/>
        <w:numPr>
          <w:ilvl w:val="0"/>
          <w:numId w:val="1"/>
        </w:numPr>
        <w:jc w:val="both"/>
        <w:rPr>
          <w:rFonts w:ascii="Times New Roman" w:hAnsi="Times New Roman"/>
          <w:b/>
          <w:i/>
        </w:rPr>
      </w:pPr>
      <w:r>
        <w:rPr>
          <w:rFonts w:ascii="Times New Roman" w:hAnsi="Times New Roman"/>
          <w:b/>
          <w:i/>
        </w:rPr>
        <w:t xml:space="preserve">Le renforcement de la spécialisation de l’ONDH et l’appui au passage à l’échelle de l’évaluation des politiques de développement humain particulièrement des politiques sociales ;  </w:t>
      </w:r>
    </w:p>
    <w:p w:rsidR="00864EC1" w:rsidRDefault="00C6376C">
      <w:pPr>
        <w:pStyle w:val="Paragraphedeliste"/>
        <w:numPr>
          <w:ilvl w:val="0"/>
          <w:numId w:val="1"/>
        </w:numPr>
        <w:jc w:val="both"/>
        <w:rPr>
          <w:rFonts w:ascii="Times New Roman" w:hAnsi="Times New Roman"/>
          <w:b/>
          <w:i/>
        </w:rPr>
      </w:pPr>
      <w:r>
        <w:rPr>
          <w:rFonts w:ascii="Times New Roman" w:hAnsi="Times New Roman"/>
          <w:b/>
          <w:i/>
        </w:rPr>
        <w:t xml:space="preserve">L’adossement du positionnement stratégique de l’ONDH sur les choix fondamentaux de son plan stratégique qui devront aussi orienter la programmation future ; </w:t>
      </w:r>
    </w:p>
    <w:p w:rsidR="00864EC1" w:rsidRDefault="00C6376C">
      <w:pPr>
        <w:pStyle w:val="Paragraphedeliste"/>
        <w:numPr>
          <w:ilvl w:val="0"/>
          <w:numId w:val="1"/>
        </w:numPr>
        <w:jc w:val="both"/>
        <w:rPr>
          <w:rFonts w:ascii="Times New Roman" w:hAnsi="Times New Roman"/>
          <w:b/>
          <w:i/>
        </w:rPr>
      </w:pPr>
      <w:r>
        <w:rPr>
          <w:rFonts w:ascii="Times New Roman" w:hAnsi="Times New Roman"/>
          <w:b/>
          <w:i/>
        </w:rPr>
        <w:t>Le renforcement de l’approche d’intervention proactive axée sur la demande et l’utilisation des s</w:t>
      </w:r>
      <w:r>
        <w:rPr>
          <w:rFonts w:ascii="Times New Roman" w:hAnsi="Times New Roman"/>
          <w:b/>
          <w:i/>
        </w:rPr>
        <w:t xml:space="preserve">ervices. Cette démarche exigera : </w:t>
      </w:r>
    </w:p>
    <w:p w:rsidR="00864EC1" w:rsidRDefault="00C6376C">
      <w:pPr>
        <w:pStyle w:val="Paragraphedeliste"/>
        <w:numPr>
          <w:ilvl w:val="0"/>
          <w:numId w:val="22"/>
        </w:numPr>
        <w:jc w:val="both"/>
        <w:rPr>
          <w:rFonts w:ascii="Times New Roman" w:hAnsi="Times New Roman"/>
          <w:b/>
          <w:i/>
        </w:rPr>
      </w:pPr>
      <w:r>
        <w:rPr>
          <w:rFonts w:ascii="Times New Roman" w:hAnsi="Times New Roman"/>
          <w:b/>
          <w:i/>
        </w:rPr>
        <w:t>Une analyse de l’offre et de la demande de l’évaluation particulièrement de la demande et de l’utilisation des services de l’ONDH.  L’analyse devrait en priorité mettre en lumière les profils et les besoins des utilisateu</w:t>
      </w:r>
      <w:r>
        <w:rPr>
          <w:rFonts w:ascii="Times New Roman" w:hAnsi="Times New Roman"/>
          <w:b/>
          <w:i/>
        </w:rPr>
        <w:t xml:space="preserve">rs du SI Al Bacharia (Clics) ; </w:t>
      </w:r>
    </w:p>
    <w:p w:rsidR="00864EC1" w:rsidRDefault="00C6376C">
      <w:pPr>
        <w:pStyle w:val="Paragraphedeliste"/>
        <w:numPr>
          <w:ilvl w:val="0"/>
          <w:numId w:val="22"/>
        </w:numPr>
        <w:jc w:val="both"/>
        <w:rPr>
          <w:rFonts w:ascii="Times New Roman" w:hAnsi="Times New Roman"/>
          <w:b/>
          <w:i/>
        </w:rPr>
      </w:pPr>
      <w:r>
        <w:rPr>
          <w:rFonts w:ascii="Times New Roman" w:hAnsi="Times New Roman"/>
          <w:b/>
          <w:i/>
        </w:rPr>
        <w:t xml:space="preserve">Une communication stratégique agressive pour vulgariser largement et promouvoir l’utilisation des services et des produits de l’ONDH ; </w:t>
      </w:r>
    </w:p>
    <w:p w:rsidR="00864EC1" w:rsidRDefault="00C6376C">
      <w:pPr>
        <w:pStyle w:val="Paragraphedeliste"/>
        <w:numPr>
          <w:ilvl w:val="0"/>
          <w:numId w:val="22"/>
        </w:numPr>
        <w:jc w:val="both"/>
        <w:rPr>
          <w:rFonts w:ascii="Times New Roman" w:hAnsi="Times New Roman"/>
          <w:b/>
          <w:i/>
        </w:rPr>
      </w:pPr>
      <w:r>
        <w:rPr>
          <w:rFonts w:ascii="Times New Roman" w:hAnsi="Times New Roman"/>
          <w:b/>
          <w:i/>
        </w:rPr>
        <w:t>Le développement des partenariats avec les médias pour atteindre certains groupes cibles</w:t>
      </w:r>
      <w:r>
        <w:rPr>
          <w:rFonts w:ascii="Times New Roman" w:hAnsi="Times New Roman"/>
          <w:b/>
          <w:i/>
        </w:rPr>
        <w:t>.</w:t>
      </w:r>
    </w:p>
    <w:p w:rsidR="00864EC1" w:rsidRDefault="00C6376C">
      <w:pPr>
        <w:jc w:val="both"/>
      </w:pPr>
      <w:r>
        <w:rPr>
          <w:rFonts w:ascii="Times New Roman" w:hAnsi="Times New Roman"/>
        </w:rPr>
        <w:t xml:space="preserve">   </w:t>
      </w:r>
      <w:r>
        <w:rPr>
          <w:rFonts w:ascii="Times New Roman" w:hAnsi="Times New Roman"/>
          <w:b/>
          <w:u w:val="single"/>
        </w:rPr>
        <w:t>Recommandation 5 :</w:t>
      </w:r>
      <w:r>
        <w:rPr>
          <w:rFonts w:ascii="Times New Roman" w:hAnsi="Times New Roman"/>
        </w:rPr>
        <w:t xml:space="preserve"> </w:t>
      </w:r>
      <w:r>
        <w:rPr>
          <w:rFonts w:ascii="Times New Roman" w:hAnsi="Times New Roman"/>
          <w:b/>
          <w:i/>
        </w:rPr>
        <w:t xml:space="preserve">Explorer les chantiers stratégiques proposés pour le positionnement </w:t>
      </w:r>
      <w:r>
        <w:rPr>
          <w:rFonts w:ascii="Times New Roman" w:hAnsi="Times New Roman"/>
          <w:b/>
          <w:i/>
        </w:rPr>
        <w:br/>
      </w:r>
      <w:r>
        <w:rPr>
          <w:rFonts w:ascii="Times New Roman" w:hAnsi="Times New Roman"/>
          <w:b/>
          <w:i/>
        </w:rPr>
        <w:t xml:space="preserve">  stratégiques de l’ONDH. L’attention devra être portée sur le renforcement du positionnement stratégique dans les chantiers stratégiques ci-après :</w:t>
      </w:r>
    </w:p>
    <w:p w:rsidR="00864EC1" w:rsidRDefault="00C6376C">
      <w:pPr>
        <w:pStyle w:val="Paragraphedeliste"/>
        <w:numPr>
          <w:ilvl w:val="0"/>
          <w:numId w:val="2"/>
        </w:numPr>
        <w:jc w:val="both"/>
      </w:pPr>
      <w:r>
        <w:rPr>
          <w:rFonts w:ascii="Times New Roman" w:hAnsi="Times New Roman"/>
        </w:rPr>
        <w:t xml:space="preserve"> </w:t>
      </w:r>
      <w:r>
        <w:rPr>
          <w:rFonts w:ascii="Times New Roman" w:hAnsi="Times New Roman"/>
          <w:b/>
          <w:i/>
        </w:rPr>
        <w:t>L’opérationna</w:t>
      </w:r>
      <w:r>
        <w:rPr>
          <w:rFonts w:ascii="Times New Roman" w:hAnsi="Times New Roman"/>
          <w:b/>
          <w:i/>
        </w:rPr>
        <w:t xml:space="preserve">lisation de l’agenda 2030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 xml:space="preserve">La territorialisation du système d’information dans le sillage de la régionalisation avancée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 xml:space="preserve">La promotion de l’institutionnalisation de l’évaluation des politiques publiques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La promotion de la recherche, l’enseignement, l</w:t>
      </w:r>
      <w:r>
        <w:rPr>
          <w:rFonts w:ascii="Times New Roman" w:hAnsi="Times New Roman"/>
          <w:b/>
          <w:i/>
        </w:rPr>
        <w:t xml:space="preserve">a formation  et la professionnalisation de l’évaluation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 xml:space="preserve">La promotion de la participation citoyenne à l’évaluation des politiques publiques ; </w:t>
      </w:r>
    </w:p>
    <w:p w:rsidR="00864EC1" w:rsidRDefault="00C6376C">
      <w:pPr>
        <w:pStyle w:val="Paragraphedeliste"/>
        <w:numPr>
          <w:ilvl w:val="0"/>
          <w:numId w:val="2"/>
        </w:numPr>
        <w:jc w:val="both"/>
      </w:pPr>
      <w:r>
        <w:rPr>
          <w:rFonts w:ascii="Times New Roman" w:hAnsi="Times New Roman"/>
          <w:b/>
          <w:i/>
        </w:rPr>
        <w:t xml:space="preserve">La promotion de la coopération sud-sud ;        </w:t>
      </w:r>
    </w:p>
    <w:p w:rsidR="00864EC1" w:rsidRDefault="00C6376C">
      <w:pPr>
        <w:pStyle w:val="Paragraphedeliste"/>
        <w:numPr>
          <w:ilvl w:val="0"/>
          <w:numId w:val="2"/>
        </w:numPr>
        <w:jc w:val="both"/>
        <w:rPr>
          <w:rFonts w:ascii="Times New Roman" w:hAnsi="Times New Roman"/>
          <w:b/>
          <w:i/>
        </w:rPr>
      </w:pPr>
      <w:r>
        <w:rPr>
          <w:rFonts w:ascii="Times New Roman" w:hAnsi="Times New Roman"/>
          <w:b/>
          <w:i/>
        </w:rPr>
        <w:t xml:space="preserve">Le renforcement du partenariat avec les Nations unies. </w:t>
      </w:r>
    </w:p>
    <w:p w:rsidR="00864EC1" w:rsidRDefault="00C6376C">
      <w:pPr>
        <w:jc w:val="both"/>
      </w:pPr>
      <w:r>
        <w:rPr>
          <w:rFonts w:ascii="Times New Roman" w:hAnsi="Times New Roman"/>
          <w:b/>
          <w:u w:val="single"/>
        </w:rPr>
        <w:t>Recommandation 6 :</w:t>
      </w:r>
      <w:r>
        <w:rPr>
          <w:rFonts w:ascii="Times New Roman" w:hAnsi="Times New Roman"/>
        </w:rPr>
        <w:t xml:space="preserve"> </w:t>
      </w:r>
      <w:r>
        <w:rPr>
          <w:rFonts w:ascii="Times New Roman" w:hAnsi="Times New Roman"/>
          <w:b/>
          <w:i/>
        </w:rPr>
        <w:t>Utiliser la déclaration de Rabat comme levier de la coopération sud-sud. Il sera judicieux d’envisager :</w:t>
      </w:r>
    </w:p>
    <w:p w:rsidR="00864EC1" w:rsidRDefault="00C6376C">
      <w:pPr>
        <w:pStyle w:val="Paragraphedeliste"/>
        <w:numPr>
          <w:ilvl w:val="0"/>
          <w:numId w:val="23"/>
        </w:numPr>
        <w:jc w:val="both"/>
        <w:rPr>
          <w:rFonts w:ascii="Times New Roman" w:hAnsi="Times New Roman"/>
          <w:b/>
          <w:i/>
        </w:rPr>
      </w:pPr>
      <w:r>
        <w:rPr>
          <w:rFonts w:ascii="Times New Roman" w:hAnsi="Times New Roman"/>
          <w:b/>
          <w:i/>
        </w:rPr>
        <w:t>L’application effective des recommandations de cette déclaration. Sous la supervision de l’ONDH, il faudra procéder à la finalisatio</w:t>
      </w:r>
      <w:r>
        <w:rPr>
          <w:rFonts w:ascii="Times New Roman" w:hAnsi="Times New Roman"/>
          <w:b/>
          <w:i/>
        </w:rPr>
        <w:t xml:space="preserve">n de la feuille de route, sa déclinaison en plan d’action et sa diffusion ; </w:t>
      </w:r>
    </w:p>
    <w:p w:rsidR="00864EC1" w:rsidRDefault="00C6376C">
      <w:pPr>
        <w:pStyle w:val="Paragraphedeliste"/>
        <w:numPr>
          <w:ilvl w:val="0"/>
          <w:numId w:val="23"/>
        </w:numPr>
        <w:jc w:val="both"/>
        <w:rPr>
          <w:rFonts w:ascii="Times New Roman" w:hAnsi="Times New Roman"/>
          <w:b/>
          <w:i/>
        </w:rPr>
      </w:pPr>
      <w:r>
        <w:rPr>
          <w:rFonts w:ascii="Times New Roman" w:hAnsi="Times New Roman"/>
          <w:b/>
          <w:i/>
        </w:rPr>
        <w:t>La création d’autres instruments pour promouvoir la coopération sud-sud notamment :    Le lancement d’une revue internationale de l’évaluation dans le cadre de la coopération sud-</w:t>
      </w:r>
      <w:r>
        <w:rPr>
          <w:rFonts w:ascii="Times New Roman" w:hAnsi="Times New Roman"/>
          <w:b/>
          <w:i/>
        </w:rPr>
        <w:t>sud ; La création d’une bibliothèque ou d’un centre de documentation virtuel spécialisé en évaluation accessible à toutes les parties prenantes à la coopération sud-sud ;  La création des réseaux de recherche ou des communautés de pratiques ouvertes à tout</w:t>
      </w:r>
      <w:r>
        <w:rPr>
          <w:rFonts w:ascii="Times New Roman" w:hAnsi="Times New Roman"/>
          <w:b/>
          <w:i/>
        </w:rPr>
        <w:t xml:space="preserve">es les parties prenantes à la coopération sud-sud ; La création d’un portail dans le cadre de la coopération sud-sud. </w:t>
      </w:r>
    </w:p>
    <w:p w:rsidR="00864EC1" w:rsidRDefault="00C6376C">
      <w:pPr>
        <w:jc w:val="both"/>
      </w:pPr>
      <w:r>
        <w:rPr>
          <w:rFonts w:ascii="Times New Roman" w:hAnsi="Times New Roman"/>
          <w:b/>
          <w:i/>
        </w:rPr>
        <w:t xml:space="preserve"> </w:t>
      </w:r>
      <w:r>
        <w:rPr>
          <w:rFonts w:ascii="Times New Roman" w:hAnsi="Times New Roman"/>
          <w:b/>
          <w:u w:val="single"/>
        </w:rPr>
        <w:t>Recommandation 7 :</w:t>
      </w:r>
      <w:r>
        <w:rPr>
          <w:rFonts w:ascii="Times New Roman" w:hAnsi="Times New Roman"/>
        </w:rPr>
        <w:t xml:space="preserve"> </w:t>
      </w:r>
      <w:r>
        <w:rPr>
          <w:rFonts w:ascii="Times New Roman" w:hAnsi="Times New Roman"/>
          <w:b/>
          <w:i/>
        </w:rPr>
        <w:t xml:space="preserve">Renforcer le partenariat entre l’ONDH et les Nations unies. Il sera nécessaire d’explorer les pistes suivantes :  </w:t>
      </w:r>
    </w:p>
    <w:p w:rsidR="00864EC1" w:rsidRDefault="00C6376C">
      <w:pPr>
        <w:pStyle w:val="Paragraphedeliste"/>
        <w:numPr>
          <w:ilvl w:val="0"/>
          <w:numId w:val="16"/>
        </w:numPr>
        <w:jc w:val="both"/>
        <w:rPr>
          <w:rFonts w:ascii="Times New Roman" w:hAnsi="Times New Roman"/>
          <w:b/>
          <w:i/>
        </w:rPr>
      </w:pPr>
      <w:r>
        <w:rPr>
          <w:rFonts w:ascii="Times New Roman" w:hAnsi="Times New Roman"/>
          <w:b/>
          <w:i/>
        </w:rPr>
        <w:t>L’</w:t>
      </w:r>
      <w:r>
        <w:rPr>
          <w:rFonts w:ascii="Times New Roman" w:hAnsi="Times New Roman"/>
          <w:b/>
          <w:i/>
        </w:rPr>
        <w:t>ancrage de la programmation future dans le plan stratégique récemment élaboré  de l’ONDH. Les choix des axes de partenariat devraient donc tenir compte de ce plan.</w:t>
      </w:r>
    </w:p>
    <w:p w:rsidR="00864EC1" w:rsidRDefault="00C6376C">
      <w:pPr>
        <w:pStyle w:val="Paragraphedeliste"/>
        <w:numPr>
          <w:ilvl w:val="0"/>
          <w:numId w:val="16"/>
        </w:numPr>
        <w:jc w:val="both"/>
        <w:rPr>
          <w:rFonts w:ascii="Times New Roman" w:hAnsi="Times New Roman"/>
          <w:b/>
          <w:i/>
        </w:rPr>
      </w:pPr>
      <w:r>
        <w:rPr>
          <w:rFonts w:ascii="Times New Roman" w:hAnsi="Times New Roman"/>
          <w:b/>
          <w:i/>
        </w:rPr>
        <w:t>L’opérationnalisation de l’agenda 2030 notamment sa prise en compte dans les politiques, les</w:t>
      </w:r>
      <w:r>
        <w:rPr>
          <w:rFonts w:ascii="Times New Roman" w:hAnsi="Times New Roman"/>
          <w:b/>
          <w:i/>
        </w:rPr>
        <w:t xml:space="preserve"> stratégies et les programmes nationaux qui devrait être considérée comme un axe de partenariat important. Le partenariat devrait se focaliser sur la déclinaison des ODD dans les politiques et les plans régionaux et locaux ainsi que sur le renforcement de </w:t>
      </w:r>
      <w:r>
        <w:rPr>
          <w:rFonts w:ascii="Times New Roman" w:hAnsi="Times New Roman"/>
          <w:b/>
          <w:i/>
        </w:rPr>
        <w:t xml:space="preserve">la territorialisation des outils de suivi que l’ONDH s’emploie à mettre en place.    </w:t>
      </w:r>
    </w:p>
    <w:p w:rsidR="00864EC1" w:rsidRDefault="00C6376C">
      <w:pPr>
        <w:pStyle w:val="Paragraphedeliste"/>
        <w:numPr>
          <w:ilvl w:val="0"/>
          <w:numId w:val="16"/>
        </w:numPr>
        <w:jc w:val="both"/>
        <w:rPr>
          <w:rFonts w:ascii="Times New Roman" w:hAnsi="Times New Roman"/>
          <w:b/>
          <w:i/>
        </w:rPr>
      </w:pPr>
      <w:r>
        <w:rPr>
          <w:rFonts w:ascii="Times New Roman" w:hAnsi="Times New Roman"/>
          <w:b/>
          <w:i/>
        </w:rPr>
        <w:t xml:space="preserve">L’opérationnalisation au niveau national de l’agenda global de l’évaluation 2016-2020 adopté lors de la conférence de Katmandu ; </w:t>
      </w:r>
    </w:p>
    <w:p w:rsidR="00864EC1" w:rsidRDefault="00C6376C">
      <w:pPr>
        <w:pStyle w:val="Paragraphedeliste"/>
        <w:numPr>
          <w:ilvl w:val="0"/>
          <w:numId w:val="16"/>
        </w:numPr>
        <w:jc w:val="both"/>
      </w:pPr>
      <w:r>
        <w:rPr>
          <w:rFonts w:ascii="Times New Roman" w:hAnsi="Times New Roman"/>
          <w:b/>
          <w:i/>
        </w:rPr>
        <w:t xml:space="preserve">La mise en place des mécanismes </w:t>
      </w:r>
      <w:r>
        <w:rPr>
          <w:rFonts w:ascii="Times New Roman" w:hAnsi="Times New Roman"/>
          <w:b/>
          <w:i/>
        </w:rPr>
        <w:t>innovants de financement de  l’évaluation recommandée par la Déclaration de Rabat.  Dans cette perspective, la prise en compte de l’enquête panel ménages  devrait être envisagée dans la programmation future notamment dans la troisième phase du programme co</w:t>
      </w:r>
      <w:r>
        <w:rPr>
          <w:rFonts w:ascii="Times New Roman" w:hAnsi="Times New Roman"/>
          <w:b/>
          <w:i/>
        </w:rPr>
        <w:t xml:space="preserve">njoint ; </w:t>
      </w:r>
    </w:p>
    <w:p w:rsidR="00864EC1" w:rsidRDefault="00C6376C">
      <w:pPr>
        <w:pStyle w:val="Paragraphedeliste"/>
        <w:numPr>
          <w:ilvl w:val="0"/>
          <w:numId w:val="16"/>
        </w:numPr>
        <w:jc w:val="both"/>
      </w:pPr>
      <w:r>
        <w:rPr>
          <w:rFonts w:ascii="Times New Roman" w:hAnsi="Times New Roman"/>
          <w:b/>
          <w:i/>
        </w:rPr>
        <w:t xml:space="preserve">L’accroissement du budget du programme conjoint au cours de la troisième phase ; </w:t>
      </w:r>
    </w:p>
    <w:p w:rsidR="00864EC1" w:rsidRDefault="00C6376C">
      <w:pPr>
        <w:pStyle w:val="Paragraphedeliste"/>
        <w:numPr>
          <w:ilvl w:val="0"/>
          <w:numId w:val="16"/>
        </w:numPr>
        <w:jc w:val="both"/>
      </w:pPr>
      <w:r>
        <w:rPr>
          <w:rFonts w:ascii="Times New Roman" w:hAnsi="Times New Roman"/>
          <w:b/>
          <w:i/>
        </w:rPr>
        <w:t xml:space="preserve"> L’élaboration et la mise en œuvre de la troisième phase du programme conjoint d’appui à l’ONDH.</w:t>
      </w:r>
    </w:p>
    <w:p w:rsidR="00864EC1" w:rsidRDefault="00C6376C">
      <w:pPr>
        <w:pStyle w:val="Titre2"/>
      </w:pPr>
      <w:bookmarkStart w:id="80" w:name="_Toc451652753"/>
      <w:bookmarkStart w:id="81" w:name="_Toc451653155"/>
      <w:r>
        <w:t>Conclusion</w:t>
      </w:r>
      <w:bookmarkEnd w:id="80"/>
      <w:bookmarkEnd w:id="81"/>
    </w:p>
    <w:p w:rsidR="00864EC1" w:rsidRDefault="00C6376C">
      <w:pPr>
        <w:jc w:val="both"/>
        <w:rPr>
          <w:rFonts w:ascii="Times New Roman" w:hAnsi="Times New Roman"/>
        </w:rPr>
      </w:pPr>
      <w:r>
        <w:rPr>
          <w:rFonts w:ascii="Times New Roman" w:hAnsi="Times New Roman"/>
        </w:rPr>
        <w:t>En tenant compte des objectifs et des critères d’évaluat</w:t>
      </w:r>
      <w:r>
        <w:rPr>
          <w:rFonts w:ascii="Times New Roman" w:hAnsi="Times New Roman"/>
        </w:rPr>
        <w:t xml:space="preserve">ion proposés par les Tdr,  l’analyse de la pertinence et des performances a montré  que le programme conjoint s’est avéré pertinent. Sa mise en œuvre a été efficace et efficiente. Il sied de signaler qu’en dépit des progrès enregistrés vers l’atteinte des </w:t>
      </w:r>
      <w:r>
        <w:rPr>
          <w:rFonts w:ascii="Times New Roman" w:hAnsi="Times New Roman"/>
        </w:rPr>
        <w:t>cibles annuelles, les trois produits du programme restent actuels et pertinents parce qu’ils correspondent à des défis majeurs et des besoins en matière d’évaluation des politiques publiques. Le programme conjoint a été cohérent au niveau interne. Mais, sa</w:t>
      </w:r>
      <w:r>
        <w:rPr>
          <w:rFonts w:ascii="Times New Roman" w:hAnsi="Times New Roman"/>
        </w:rPr>
        <w:t xml:space="preserve"> cohérence externe devrait être renforcée à travers la mise en place des mécanismes de coordination adéquats et efficaces. Sa durabilité est attestée par ces deux phases d’exécution. Elle est fondée sur le leadership national exercé sur le pilotage et la g</w:t>
      </w:r>
      <w:r>
        <w:rPr>
          <w:rFonts w:ascii="Times New Roman" w:hAnsi="Times New Roman"/>
        </w:rPr>
        <w:t>estion du programme conjoint, l’appropriation de ces activités par l’ONDH et les autres parties prenantes nationales, la contribution financière du Gouvernement au financement, le renforcement continu des capacités du personnel de l’UGP et des bénéficiaire</w:t>
      </w:r>
      <w:r>
        <w:rPr>
          <w:rFonts w:ascii="Times New Roman" w:hAnsi="Times New Roman"/>
        </w:rPr>
        <w:t xml:space="preserve">s. </w:t>
      </w:r>
    </w:p>
    <w:p w:rsidR="00864EC1" w:rsidRDefault="00C6376C">
      <w:pPr>
        <w:jc w:val="both"/>
        <w:rPr>
          <w:rFonts w:ascii="Times New Roman" w:hAnsi="Times New Roman"/>
        </w:rPr>
      </w:pPr>
      <w:r>
        <w:rPr>
          <w:rFonts w:ascii="Times New Roman" w:hAnsi="Times New Roman"/>
        </w:rPr>
        <w:t>Le programme conjoint a eu un impact sur la réputation professionnelle de l’ONDH, la disponibilité, l’accès, l’utilisation et la qualité des données, des informations et des connaissances relatives au développement humain. Il a suscité des travaux de r</w:t>
      </w:r>
      <w:r>
        <w:rPr>
          <w:rFonts w:ascii="Times New Roman" w:hAnsi="Times New Roman"/>
        </w:rPr>
        <w:t>echerche et des initiatives d’enseignement et de formation en matière d’évaluation des politiques publiques. Il a permis à l’ONDH de développer des partenariats stratégiques et de jouer un rôle majeur dans la promotion de la coopération sud-sud. Sa gouvern</w:t>
      </w:r>
      <w:r>
        <w:rPr>
          <w:rFonts w:ascii="Times New Roman" w:hAnsi="Times New Roman"/>
        </w:rPr>
        <w:t xml:space="preserve">ance notamment sa gestion opérationnelle, le suivi et l’évaluation de sa mise en œuvre ont été opérationnels et efficaces. </w:t>
      </w:r>
    </w:p>
    <w:p w:rsidR="00864EC1" w:rsidRDefault="00C6376C">
      <w:pPr>
        <w:jc w:val="both"/>
        <w:rPr>
          <w:rFonts w:ascii="Times New Roman" w:hAnsi="Times New Roman"/>
        </w:rPr>
      </w:pPr>
      <w:r>
        <w:rPr>
          <w:rFonts w:ascii="Times New Roman" w:hAnsi="Times New Roman"/>
        </w:rPr>
        <w:t xml:space="preserve">A la faveur de ces acquis, l’élaboration de la troisième phase du programme conjoint paraît opportune pour soutenir le renforcement </w:t>
      </w:r>
      <w:r>
        <w:rPr>
          <w:rFonts w:ascii="Times New Roman" w:hAnsi="Times New Roman"/>
        </w:rPr>
        <w:t xml:space="preserve">de la spécialisation de l’ONDH et le passage à l’échelle dans la réalisation des évaluation des politiques sociales en utilisant une approche axée sur la demande et l’utilisation de services. Au cours de cette phase, le programme conjoint devrait soutenir </w:t>
      </w:r>
      <w:r>
        <w:rPr>
          <w:rFonts w:ascii="Times New Roman" w:hAnsi="Times New Roman"/>
        </w:rPr>
        <w:t>le renforcement du positionnement stratégique de l’ONDH en s’adossant sur son plan stratégique. La définition des objectifs et le choix des axes d’intervention du programme conjoint devraient être orientés par les chantiers stratégiques qui ont été exploré</w:t>
      </w:r>
      <w:r>
        <w:rPr>
          <w:rFonts w:ascii="Times New Roman" w:hAnsi="Times New Roman"/>
        </w:rPr>
        <w:t xml:space="preserve">s plus haut. Mais, il appartiendra à l’ONDH et aux agences des Nations unies d’apprécier la pertinence de ces chantiers stratégiques et de procéder à leur priorisation.  </w:t>
      </w:r>
    </w:p>
    <w:p w:rsidR="00864EC1" w:rsidRDefault="00864EC1">
      <w:pPr>
        <w:jc w:val="both"/>
        <w:rPr>
          <w:rFonts w:ascii="Times New Roman" w:hAnsi="Times New Roman"/>
        </w:rPr>
        <w:sectPr w:rsidR="00864EC1">
          <w:footerReference w:type="default" r:id="rId44"/>
          <w:pgSz w:w="11906" w:h="16838"/>
          <w:pgMar w:top="1418" w:right="1418" w:bottom="1418" w:left="1418" w:header="720" w:footer="720" w:gutter="0"/>
          <w:cols w:space="720"/>
        </w:sectPr>
      </w:pPr>
    </w:p>
    <w:p w:rsidR="00864EC1" w:rsidRDefault="00C6376C">
      <w:pPr>
        <w:pStyle w:val="Titre1"/>
      </w:pPr>
      <w:bookmarkStart w:id="82" w:name="_Toc451442692"/>
      <w:bookmarkStart w:id="83" w:name="_Toc451652754"/>
      <w:bookmarkStart w:id="84" w:name="_Toc451653156"/>
      <w:r>
        <w:t>ANNEXES</w:t>
      </w:r>
      <w:bookmarkEnd w:id="82"/>
      <w:bookmarkEnd w:id="83"/>
      <w:bookmarkEnd w:id="84"/>
      <w:r>
        <w:t xml:space="preserve"> </w:t>
      </w:r>
    </w:p>
    <w:p w:rsidR="00864EC1" w:rsidRDefault="00C6376C">
      <w:pPr>
        <w:pStyle w:val="Titre2"/>
      </w:pPr>
      <w:bookmarkStart w:id="85" w:name="_Toc451442693"/>
      <w:bookmarkStart w:id="86" w:name="_Toc451652755"/>
      <w:bookmarkStart w:id="87" w:name="_Toc451653157"/>
      <w:r>
        <w:t xml:space="preserve">Annexe 1 : </w:t>
      </w:r>
      <w:r>
        <w:rPr>
          <w:lang w:eastAsia="fr-FR"/>
        </w:rPr>
        <w:t>Matrice d’évaluation du programme conjoint d’appui à l’ONDH</w:t>
      </w:r>
      <w:bookmarkEnd w:id="85"/>
      <w:bookmarkEnd w:id="86"/>
      <w:bookmarkEnd w:id="87"/>
    </w:p>
    <w:tbl>
      <w:tblPr>
        <w:tblW w:w="14425" w:type="dxa"/>
        <w:tblCellMar>
          <w:left w:w="10" w:type="dxa"/>
          <w:right w:w="10" w:type="dxa"/>
        </w:tblCellMar>
        <w:tblLook w:val="04A0" w:firstRow="1" w:lastRow="0" w:firstColumn="1" w:lastColumn="0" w:noHBand="0" w:noVBand="1"/>
      </w:tblPr>
      <w:tblGrid>
        <w:gridCol w:w="1384"/>
        <w:gridCol w:w="1276"/>
        <w:gridCol w:w="3402"/>
        <w:gridCol w:w="2126"/>
        <w:gridCol w:w="2126"/>
        <w:gridCol w:w="2410"/>
        <w:gridCol w:w="1701"/>
      </w:tblGrid>
      <w:tr w:rsidR="00864EC1">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150" w:line="300" w:lineRule="atLeast"/>
              <w:jc w:val="center"/>
              <w:textAlignment w:val="auto"/>
              <w:rPr>
                <w:rFonts w:ascii="Times New Roman" w:eastAsia="Times New Roman" w:hAnsi="Times New Roman"/>
                <w:b/>
                <w:color w:val="303030"/>
                <w:sz w:val="21"/>
                <w:szCs w:val="21"/>
                <w:lang w:eastAsia="fr-FR"/>
              </w:rPr>
            </w:pPr>
            <w:r>
              <w:rPr>
                <w:rFonts w:ascii="Times New Roman" w:eastAsia="Times New Roman" w:hAnsi="Times New Roman"/>
                <w:b/>
                <w:color w:val="303030"/>
                <w:sz w:val="21"/>
                <w:szCs w:val="21"/>
                <w:lang w:eastAsia="fr-FR"/>
              </w:rPr>
              <w:t>Crit</w:t>
            </w:r>
            <w:r>
              <w:rPr>
                <w:rFonts w:ascii="Times New Roman" w:eastAsia="Times New Roman" w:hAnsi="Times New Roman"/>
                <w:b/>
                <w:color w:val="303030"/>
                <w:sz w:val="21"/>
                <w:szCs w:val="21"/>
                <w:lang w:eastAsia="fr-FR"/>
              </w:rPr>
              <w:t>ères d’évaluation</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150" w:line="300" w:lineRule="atLeast"/>
              <w:jc w:val="center"/>
              <w:textAlignment w:val="auto"/>
              <w:rPr>
                <w:rFonts w:ascii="Times New Roman" w:eastAsia="Times New Roman" w:hAnsi="Times New Roman"/>
                <w:b/>
                <w:color w:val="303030"/>
                <w:sz w:val="21"/>
                <w:szCs w:val="21"/>
                <w:lang w:eastAsia="fr-FR"/>
              </w:rPr>
            </w:pPr>
            <w:r>
              <w:rPr>
                <w:rFonts w:ascii="Times New Roman" w:eastAsia="Times New Roman" w:hAnsi="Times New Roman"/>
                <w:b/>
                <w:color w:val="303030"/>
                <w:sz w:val="21"/>
                <w:szCs w:val="21"/>
                <w:lang w:eastAsia="fr-FR"/>
              </w:rPr>
              <w:t>Questions</w:t>
            </w:r>
          </w:p>
          <w:p w:rsidR="00864EC1" w:rsidRDefault="00C6376C">
            <w:pPr>
              <w:spacing w:after="150" w:line="300" w:lineRule="atLeast"/>
              <w:jc w:val="center"/>
              <w:textAlignment w:val="auto"/>
            </w:pPr>
            <w:r>
              <w:rPr>
                <w:rFonts w:ascii="Times New Roman" w:eastAsia="Times New Roman" w:hAnsi="Times New Roman"/>
                <w:b/>
                <w:color w:val="303030"/>
                <w:sz w:val="21"/>
                <w:szCs w:val="21"/>
                <w:lang w:eastAsia="fr-FR"/>
              </w:rPr>
              <w:t>évaluatives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150" w:line="300" w:lineRule="atLeast"/>
              <w:jc w:val="center"/>
              <w:textAlignment w:val="auto"/>
            </w:pPr>
            <w:r>
              <w:rPr>
                <w:rFonts w:ascii="Times New Roman" w:eastAsia="Times New Roman" w:hAnsi="Times New Roman"/>
                <w:b/>
                <w:color w:val="303030"/>
                <w:sz w:val="21"/>
                <w:szCs w:val="21"/>
                <w:lang w:eastAsia="fr-FR"/>
              </w:rPr>
              <w:t>Sous Questions évaluatives</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150" w:line="300" w:lineRule="atLeast"/>
              <w:jc w:val="center"/>
              <w:textAlignment w:val="auto"/>
              <w:rPr>
                <w:rFonts w:ascii="Times New Roman" w:eastAsia="Times New Roman" w:hAnsi="Times New Roman"/>
                <w:b/>
                <w:color w:val="303030"/>
                <w:sz w:val="21"/>
                <w:szCs w:val="21"/>
                <w:lang w:eastAsia="fr-FR"/>
              </w:rPr>
            </w:pPr>
            <w:r>
              <w:rPr>
                <w:rFonts w:ascii="Times New Roman" w:eastAsia="Times New Roman" w:hAnsi="Times New Roman"/>
                <w:b/>
                <w:color w:val="303030"/>
                <w:sz w:val="21"/>
                <w:szCs w:val="21"/>
                <w:lang w:eastAsia="fr-FR"/>
              </w:rPr>
              <w:t>Indicateurs</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150" w:line="300" w:lineRule="atLeast"/>
              <w:jc w:val="center"/>
              <w:textAlignment w:val="auto"/>
              <w:rPr>
                <w:rFonts w:ascii="Times New Roman" w:eastAsia="Times New Roman" w:hAnsi="Times New Roman"/>
                <w:b/>
                <w:color w:val="303030"/>
                <w:sz w:val="21"/>
                <w:szCs w:val="21"/>
                <w:lang w:eastAsia="fr-FR"/>
              </w:rPr>
            </w:pPr>
            <w:r>
              <w:rPr>
                <w:rFonts w:ascii="Times New Roman" w:eastAsia="Times New Roman" w:hAnsi="Times New Roman"/>
                <w:b/>
                <w:color w:val="303030"/>
                <w:sz w:val="21"/>
                <w:szCs w:val="21"/>
                <w:lang w:eastAsia="fr-FR"/>
              </w:rPr>
              <w:t>Sources des</w:t>
            </w:r>
          </w:p>
          <w:p w:rsidR="00864EC1" w:rsidRDefault="00C6376C">
            <w:pPr>
              <w:spacing w:after="150" w:line="300" w:lineRule="atLeast"/>
              <w:jc w:val="center"/>
              <w:textAlignment w:val="auto"/>
            </w:pPr>
            <w:r>
              <w:rPr>
                <w:rFonts w:ascii="Times New Roman" w:eastAsia="Times New Roman" w:hAnsi="Times New Roman"/>
                <w:b/>
                <w:color w:val="303030"/>
                <w:sz w:val="21"/>
                <w:szCs w:val="21"/>
                <w:lang w:eastAsia="fr-FR"/>
              </w:rPr>
              <w:t>données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150" w:line="300" w:lineRule="atLeast"/>
              <w:jc w:val="center"/>
              <w:textAlignment w:val="auto"/>
            </w:pPr>
            <w:r>
              <w:rPr>
                <w:rFonts w:ascii="Times New Roman" w:eastAsia="Times New Roman" w:hAnsi="Times New Roman"/>
                <w:b/>
                <w:color w:val="303030"/>
                <w:sz w:val="21"/>
                <w:szCs w:val="21"/>
                <w:lang w:eastAsia="fr-FR"/>
              </w:rPr>
              <w:t>Méthodes de collecte des données</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150" w:line="300" w:lineRule="atLeast"/>
              <w:jc w:val="center"/>
              <w:textAlignment w:val="auto"/>
              <w:rPr>
                <w:rFonts w:ascii="Times New Roman" w:eastAsia="Times New Roman" w:hAnsi="Times New Roman"/>
                <w:b/>
                <w:color w:val="303030"/>
                <w:sz w:val="21"/>
                <w:szCs w:val="21"/>
                <w:lang w:eastAsia="fr-FR"/>
              </w:rPr>
            </w:pPr>
            <w:r>
              <w:rPr>
                <w:rFonts w:ascii="Times New Roman" w:eastAsia="Times New Roman" w:hAnsi="Times New Roman"/>
                <w:b/>
                <w:color w:val="303030"/>
                <w:sz w:val="21"/>
                <w:szCs w:val="21"/>
                <w:lang w:eastAsia="fr-FR"/>
              </w:rPr>
              <w:t>Approche d’analyse</w:t>
            </w:r>
          </w:p>
        </w:tc>
      </w:tr>
      <w:tr w:rsidR="00864EC1">
        <w:tblPrEx>
          <w:tblCellMar>
            <w:top w:w="0" w:type="dxa"/>
            <w:bottom w:w="0" w:type="dxa"/>
          </w:tblCellMar>
        </w:tblPrEx>
        <w:trPr>
          <w:trHeight w:val="1735"/>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Pertinence </w:t>
            </w:r>
          </w:p>
          <w:p w:rsidR="00864EC1" w:rsidRDefault="00864EC1">
            <w:pPr>
              <w:spacing w:after="150" w:line="300" w:lineRule="atLeast"/>
              <w:jc w:val="both"/>
              <w:textAlignment w:val="auto"/>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Le programme conjoint est-il pertinent ?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Le PC est-il pertinent par rapport aux priorités</w:t>
            </w:r>
            <w:r>
              <w:rPr>
                <w:rFonts w:ascii="Times New Roman" w:eastAsia="Times New Roman" w:hAnsi="Times New Roman"/>
                <w:b/>
                <w:color w:val="303030"/>
                <w:sz w:val="18"/>
                <w:szCs w:val="18"/>
                <w:lang w:eastAsia="fr-FR"/>
              </w:rPr>
              <w:t xml:space="preserve"> nationales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 ou degré d’alignement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Constitution 2011, discours du Trône, politiques sectorielles, politique générale du Gouvernement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w:t>
            </w:r>
          </w:p>
        </w:tc>
      </w:tr>
      <w:tr w:rsidR="00864EC1">
        <w:tblPrEx>
          <w:tblCellMar>
            <w:top w:w="0" w:type="dxa"/>
            <w:bottom w:w="0" w:type="dxa"/>
          </w:tblCellMar>
        </w:tblPrEx>
        <w:trPr>
          <w:trHeight w:val="856"/>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Le PC est-il pertinent par rapport à l’ONDH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 ou </w:t>
            </w:r>
            <w:r>
              <w:rPr>
                <w:rFonts w:ascii="Times New Roman" w:eastAsia="Times New Roman" w:hAnsi="Times New Roman"/>
                <w:b/>
                <w:color w:val="303030"/>
                <w:sz w:val="18"/>
                <w:szCs w:val="18"/>
                <w:lang w:eastAsia="fr-FR"/>
              </w:rPr>
              <w:t xml:space="preserve">degré d’alignement aux missions et axes d’intervention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Décret portant création de l’ONDH, Plans d’action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w:t>
            </w:r>
          </w:p>
        </w:tc>
      </w:tr>
      <w:tr w:rsidR="00864EC1">
        <w:tblPrEx>
          <w:tblCellMar>
            <w:top w:w="0" w:type="dxa"/>
            <w:bottom w:w="0" w:type="dxa"/>
          </w:tblCellMar>
        </w:tblPrEx>
        <w:trPr>
          <w:trHeight w:val="1677"/>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 PC est-il pertinent par rapport aux besoins des parties prenantes aux niveaux national, </w:t>
            </w:r>
            <w:r>
              <w:rPr>
                <w:rFonts w:ascii="Times New Roman" w:eastAsia="Times New Roman" w:hAnsi="Times New Roman"/>
                <w:b/>
                <w:color w:val="303030"/>
                <w:sz w:val="18"/>
                <w:szCs w:val="18"/>
                <w:lang w:eastAsia="fr-FR"/>
              </w:rPr>
              <w:t>régional et local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Niveau ou degré d’adéquation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Politiques sectorielles, Plans communaux de développement, stratégie régionalisation avancée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w:t>
            </w:r>
          </w:p>
        </w:tc>
      </w:tr>
      <w:tr w:rsidR="00864EC1">
        <w:tblPrEx>
          <w:tblCellMar>
            <w:top w:w="0" w:type="dxa"/>
            <w:bottom w:w="0" w:type="dxa"/>
          </w:tblCellMar>
        </w:tblPrEx>
        <w:trPr>
          <w:trHeight w:val="992"/>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 PC est-il pertinent par rapport à l’UNDAF 2012-2016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 ou degré d’alignement aux effets et produits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UNDAF, plans stratégiques des agences, documents des programmes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w:t>
            </w:r>
          </w:p>
        </w:tc>
      </w:tr>
      <w:tr w:rsidR="00864EC1">
        <w:tblPrEx>
          <w:tblCellMar>
            <w:top w:w="0" w:type="dxa"/>
            <w:bottom w:w="0" w:type="dxa"/>
          </w:tblCellMar>
        </w:tblPrEx>
        <w:trPr>
          <w:trHeight w:val="977"/>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 PC est-il pertinent par rapport aux plans stratégiques des agences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 ou degré d’alignement aux effets et produits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Plans stratégiques des agences, programmes et projets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w:t>
            </w:r>
          </w:p>
        </w:tc>
      </w:tr>
      <w:tr w:rsidR="00864EC1">
        <w:tblPrEx>
          <w:tblCellMar>
            <w:top w:w="0" w:type="dxa"/>
            <w:bottom w:w="0" w:type="dxa"/>
          </w:tblCellMar>
        </w:tblPrEx>
        <w:trPr>
          <w:trHeight w:val="900"/>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Efficacité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Dans quelle mesure les résultats escomptés du projet ont-ils été atteints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uppressAutoHyphens w:val="0"/>
              <w:autoSpaceDE w:val="0"/>
              <w:spacing w:after="0" w:line="240" w:lineRule="auto"/>
              <w:textAlignment w:val="auto"/>
            </w:pPr>
            <w:r>
              <w:rPr>
                <w:rFonts w:ascii="Times New Roman" w:eastAsia="Times New Roman" w:hAnsi="Times New Roman"/>
                <w:b/>
                <w:color w:val="303030"/>
                <w:sz w:val="18"/>
                <w:szCs w:val="18"/>
                <w:lang w:eastAsia="fr-FR"/>
              </w:rPr>
              <w:t>Quel est</w:t>
            </w:r>
            <w:r>
              <w:rPr>
                <w:rFonts w:ascii="Times New Roman" w:eastAsia="Times New Roman" w:hAnsi="Times New Roman"/>
                <w:b/>
                <w:color w:val="303030"/>
                <w:sz w:val="18"/>
                <w:szCs w:val="18"/>
                <w:lang w:eastAsia="fr-FR"/>
              </w:rPr>
              <w:t xml:space="preserve"> le degré de réalisation des résultats ciblés ? </w:t>
            </w:r>
          </w:p>
          <w:p w:rsidR="00864EC1" w:rsidRDefault="00864EC1">
            <w:pPr>
              <w:suppressAutoHyphens w:val="0"/>
              <w:autoSpaceDE w:val="0"/>
              <w:spacing w:after="0" w:line="240" w:lineRule="auto"/>
              <w:textAlignment w:val="auto"/>
              <w:rPr>
                <w:rFonts w:ascii="Times New Roman" w:eastAsia="Times New Roman" w:hAnsi="Times New Roman"/>
                <w:b/>
                <w:color w:val="303030"/>
                <w:sz w:val="18"/>
                <w:szCs w:val="18"/>
                <w:lang w:eastAsia="fr-F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Taux de réalisation des produits (Nombre/pourcentage des cibles atteintes), échelle de notation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Rapports narratifs et financiers du programme, rapports tirés d’Atlas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Excel </w:t>
            </w:r>
            <w:r>
              <w:rPr>
                <w:rFonts w:ascii="Times New Roman" w:eastAsia="Times New Roman" w:hAnsi="Times New Roman"/>
                <w:b/>
                <w:color w:val="303030"/>
                <w:sz w:val="18"/>
                <w:szCs w:val="18"/>
                <w:lang w:eastAsia="fr-FR"/>
              </w:rPr>
              <w:t>pour la production des tableaux, analyse des données</w:t>
            </w:r>
          </w:p>
        </w:tc>
      </w:tr>
      <w:tr w:rsidR="00864EC1">
        <w:tblPrEx>
          <w:tblCellMar>
            <w:top w:w="0" w:type="dxa"/>
            <w:bottom w:w="0" w:type="dxa"/>
          </w:tblCellMar>
        </w:tblPrEx>
        <w:trPr>
          <w:trHeight w:val="1455"/>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uppressAutoHyphens w:val="0"/>
              <w:autoSpaceDE w:val="0"/>
              <w:spacing w:after="0" w:line="240" w:lineRule="auto"/>
              <w:textAlignment w:val="auto"/>
            </w:pPr>
            <w:r>
              <w:rPr>
                <w:rFonts w:ascii="Times New Roman" w:eastAsia="Times New Roman" w:hAnsi="Times New Roman"/>
                <w:b/>
                <w:color w:val="303030"/>
                <w:sz w:val="18"/>
                <w:szCs w:val="18"/>
                <w:lang w:eastAsia="fr-FR"/>
              </w:rPr>
              <w:t xml:space="preserve">Dans quelle mesure ce programme a contribué (ou contribuera) dans la réalisation des effets initialement définis </w:t>
            </w:r>
          </w:p>
          <w:p w:rsidR="00864EC1" w:rsidRDefault="00864EC1">
            <w:pPr>
              <w:autoSpaceDE w:val="0"/>
              <w:spacing w:after="0" w:line="240" w:lineRule="auto"/>
              <w:textAlignment w:val="auto"/>
              <w:rPr>
                <w:rFonts w:ascii="Times New Roman" w:eastAsia="Times New Roman" w:hAnsi="Times New Roman"/>
                <w:b/>
                <w:color w:val="303030"/>
                <w:sz w:val="18"/>
                <w:szCs w:val="18"/>
                <w:lang w:eastAsia="fr-F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Indicateurs effet 3 et produits UNDAF </w:t>
            </w:r>
          </w:p>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Taux de réalisation des produits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Rapports </w:t>
            </w:r>
            <w:r>
              <w:rPr>
                <w:rFonts w:ascii="Times New Roman" w:eastAsia="Times New Roman" w:hAnsi="Times New Roman"/>
                <w:b/>
                <w:color w:val="303030"/>
                <w:sz w:val="18"/>
                <w:szCs w:val="18"/>
                <w:lang w:eastAsia="fr-FR"/>
              </w:rPr>
              <w:t>narratifs et financiers du programme, rapports tirés d’Atlas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analyse des données</w:t>
            </w:r>
          </w:p>
        </w:tc>
      </w:tr>
      <w:tr w:rsidR="00864EC1">
        <w:tblPrEx>
          <w:tblCellMar>
            <w:top w:w="0" w:type="dxa"/>
            <w:bottom w:w="0" w:type="dxa"/>
          </w:tblCellMar>
        </w:tblPrEx>
        <w:trPr>
          <w:trHeight w:val="2055"/>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uppressAutoHyphens w:val="0"/>
              <w:autoSpaceDE w:val="0"/>
              <w:spacing w:after="0" w:line="240" w:lineRule="auto"/>
              <w:textAlignment w:val="auto"/>
            </w:pPr>
            <w:r>
              <w:rPr>
                <w:rFonts w:ascii="Times New Roman" w:eastAsia="Times New Roman" w:hAnsi="Times New Roman"/>
                <w:b/>
                <w:color w:val="303030"/>
                <w:sz w:val="18"/>
                <w:szCs w:val="18"/>
                <w:lang w:eastAsia="fr-FR"/>
              </w:rPr>
              <w:t xml:space="preserve">Quels sont les niveaux d’utilisation et d’efficacité des services offerts (Formations, études, ateliers de concertation, </w:t>
            </w:r>
            <w:r>
              <w:rPr>
                <w:rFonts w:ascii="Times New Roman" w:eastAsia="Times New Roman" w:hAnsi="Times New Roman"/>
                <w:b/>
                <w:color w:val="303030"/>
                <w:sz w:val="18"/>
                <w:szCs w:val="18"/>
                <w:lang w:eastAsia="fr-FR"/>
              </w:rPr>
              <w:t xml:space="preserve">évaluation des politiques publiques) ? </w:t>
            </w:r>
          </w:p>
          <w:p w:rsidR="00864EC1" w:rsidRDefault="00864EC1">
            <w:pPr>
              <w:autoSpaceDE w:val="0"/>
              <w:spacing w:after="0" w:line="240" w:lineRule="auto"/>
              <w:textAlignment w:val="auto"/>
              <w:rPr>
                <w:rFonts w:ascii="Times New Roman" w:eastAsia="Times New Roman" w:hAnsi="Times New Roman"/>
                <w:b/>
                <w:color w:val="303030"/>
                <w:sz w:val="18"/>
                <w:szCs w:val="18"/>
                <w:lang w:eastAsia="fr-F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Nombre d’utilisateurs, nombre des cadres formés, nombre d’ateliers, de rencontres organisés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Rapports narratifs et financiers du programme, rapports tirés d’Atlas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Excel pour la </w:t>
            </w:r>
            <w:r>
              <w:rPr>
                <w:rFonts w:ascii="Times New Roman" w:eastAsia="Times New Roman" w:hAnsi="Times New Roman"/>
                <w:b/>
                <w:color w:val="303030"/>
                <w:sz w:val="18"/>
                <w:szCs w:val="18"/>
                <w:lang w:eastAsia="fr-FR"/>
              </w:rPr>
              <w:t>production des tableaux, analyse des données</w:t>
            </w:r>
          </w:p>
        </w:tc>
      </w:tr>
      <w:tr w:rsidR="00864EC1">
        <w:tblPrEx>
          <w:tblCellMar>
            <w:top w:w="0" w:type="dxa"/>
            <w:bottom w:w="0" w:type="dxa"/>
          </w:tblCellMar>
        </w:tblPrEx>
        <w:trPr>
          <w:trHeight w:val="870"/>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autoSpaceDE w:val="0"/>
              <w:spacing w:after="0" w:line="240" w:lineRule="auto"/>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 programme fait il preuve d’une bonne capacité d’adaptation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Niveau/degré d’adaptation, mesures d’adaptation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Rapports narratifs et financiers du programme, rapports tirés d’Atlas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w:t>
            </w:r>
            <w:r>
              <w:rPr>
                <w:rFonts w:ascii="Times New Roman" w:eastAsia="Times New Roman" w:hAnsi="Times New Roman"/>
                <w:b/>
                <w:color w:val="303030"/>
                <w:sz w:val="18"/>
                <w:szCs w:val="18"/>
                <w:lang w:eastAsia="fr-FR"/>
              </w:rPr>
              <w:t xml:space="preserve">entretiens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w:t>
            </w:r>
          </w:p>
        </w:tc>
      </w:tr>
    </w:tbl>
    <w:p w:rsidR="00864EC1" w:rsidRDefault="00864EC1">
      <w:pPr>
        <w:pageBreakBefore/>
        <w:rPr>
          <w:rFonts w:ascii="Times New Roman" w:hAnsi="Times New Roman"/>
          <w:sz w:val="18"/>
          <w:szCs w:val="18"/>
        </w:rPr>
      </w:pPr>
    </w:p>
    <w:tbl>
      <w:tblPr>
        <w:tblW w:w="14318" w:type="dxa"/>
        <w:tblInd w:w="-176" w:type="dxa"/>
        <w:tblLayout w:type="fixed"/>
        <w:tblCellMar>
          <w:left w:w="10" w:type="dxa"/>
          <w:right w:w="10" w:type="dxa"/>
        </w:tblCellMar>
        <w:tblLook w:val="04A0" w:firstRow="1" w:lastRow="0" w:firstColumn="1" w:lastColumn="0" w:noHBand="0" w:noVBand="1"/>
      </w:tblPr>
      <w:tblGrid>
        <w:gridCol w:w="1277"/>
        <w:gridCol w:w="2126"/>
        <w:gridCol w:w="2977"/>
        <w:gridCol w:w="2126"/>
        <w:gridCol w:w="1701"/>
        <w:gridCol w:w="2090"/>
        <w:gridCol w:w="2021"/>
      </w:tblGrid>
      <w:tr w:rsidR="00864EC1">
        <w:tblPrEx>
          <w:tblCellMar>
            <w:top w:w="0" w:type="dxa"/>
            <w:bottom w:w="0" w:type="dxa"/>
          </w:tblCellMar>
        </w:tblPrEx>
        <w:trPr>
          <w:trHeight w:val="1544"/>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Efficience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Le programme conjoint a-t-il été mis en œuvre de façon efficiente, conformément aux normes et standards nationaux et internationaux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Les ressources du programme (humaines, matérielles et techniques) ont-elles </w:t>
            </w:r>
            <w:r>
              <w:rPr>
                <w:rFonts w:ascii="Times New Roman" w:eastAsia="Times New Roman" w:hAnsi="Times New Roman"/>
                <w:b/>
                <w:color w:val="303030"/>
                <w:sz w:val="18"/>
                <w:szCs w:val="18"/>
                <w:lang w:eastAsia="fr-FR"/>
              </w:rPr>
              <w:t>été adéquates et utilisées de manière optimale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Taux d’exécution financière, échelle de notation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Rapports narratifs et financiers du programme, rapports tirés d’Atlas</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Excel pour la production des tableaux, analyse des don</w:t>
            </w:r>
            <w:r>
              <w:rPr>
                <w:rFonts w:ascii="Times New Roman" w:eastAsia="Times New Roman" w:hAnsi="Times New Roman"/>
                <w:b/>
                <w:color w:val="303030"/>
                <w:sz w:val="18"/>
                <w:szCs w:val="18"/>
                <w:lang w:eastAsia="fr-FR"/>
              </w:rPr>
              <w:t>nées</w:t>
            </w:r>
          </w:p>
        </w:tc>
      </w:tr>
      <w:tr w:rsidR="00864EC1">
        <w:tblPrEx>
          <w:tblCellMar>
            <w:top w:w="0" w:type="dxa"/>
            <w:bottom w:w="0" w:type="dxa"/>
          </w:tblCellMar>
        </w:tblPrEx>
        <w:trPr>
          <w:trHeight w:val="1028"/>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Les activités ont-elles été mises en œuvre en respectant le calendrier proposé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Délai de réalisation des activités, taux de réalisation des activités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Rapports narratifs et financiers du programme, rapports tirés d’Atlas</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w:t>
            </w:r>
            <w:r>
              <w:rPr>
                <w:rFonts w:ascii="Times New Roman" w:eastAsia="Times New Roman" w:hAnsi="Times New Roman"/>
                <w:b/>
                <w:color w:val="303030"/>
                <w:sz w:val="18"/>
                <w:szCs w:val="18"/>
                <w:lang w:eastAsia="fr-FR"/>
              </w:rPr>
              <w:t xml:space="preserve">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des données et des informations </w:t>
            </w:r>
          </w:p>
        </w:tc>
      </w:tr>
      <w:tr w:rsidR="00864EC1">
        <w:tblPrEx>
          <w:tblCellMar>
            <w:top w:w="0" w:type="dxa"/>
            <w:bottom w:w="0" w:type="dxa"/>
          </w:tblCellMar>
        </w:tblPrEx>
        <w:trPr>
          <w:trHeight w:val="81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La qualité des activités est-elle satisfaisante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 de Conformité aux normes et standards nationaux et internationaux, satisfaction des bénéficiaires et des parties prenantes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Rapports du </w:t>
            </w:r>
            <w:r>
              <w:rPr>
                <w:rFonts w:ascii="Times New Roman" w:eastAsia="Times New Roman" w:hAnsi="Times New Roman"/>
                <w:b/>
                <w:color w:val="303030"/>
                <w:sz w:val="18"/>
                <w:szCs w:val="18"/>
                <w:lang w:eastAsia="fr-FR"/>
              </w:rPr>
              <w:t>programme conjoint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des données et des informations</w:t>
            </w:r>
          </w:p>
        </w:tc>
      </w:tr>
      <w:tr w:rsidR="00864EC1">
        <w:tblPrEx>
          <w:tblCellMar>
            <w:top w:w="0" w:type="dxa"/>
            <w:bottom w:w="0" w:type="dxa"/>
          </w:tblCellMar>
        </w:tblPrEx>
        <w:trPr>
          <w:trHeight w:val="13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Les activités réalisées ou programmées permettront-elles d’atteindre les produits attendus (Résultats)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Niveau/degré de cohérence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Document et rapports du </w:t>
            </w:r>
            <w:r>
              <w:rPr>
                <w:rFonts w:ascii="Times New Roman" w:eastAsia="Times New Roman" w:hAnsi="Times New Roman"/>
                <w:b/>
                <w:color w:val="303030"/>
                <w:sz w:val="18"/>
                <w:szCs w:val="18"/>
                <w:lang w:eastAsia="fr-FR"/>
              </w:rPr>
              <w:t>programme conjoint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des données et des informations</w:t>
            </w:r>
          </w:p>
        </w:tc>
      </w:tr>
      <w:tr w:rsidR="00864EC1">
        <w:tblPrEx>
          <w:tblCellMar>
            <w:top w:w="0" w:type="dxa"/>
            <w:bottom w:w="0" w:type="dxa"/>
          </w:tblCellMar>
        </w:tblPrEx>
        <w:trPr>
          <w:trHeight w:val="984"/>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Quelle est la cohérence en matière de gestion et de mise en œuvre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Niveau/degré de cohérence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w:t>
            </w:r>
            <w:r>
              <w:rPr>
                <w:rFonts w:ascii="Times New Roman" w:eastAsia="Times New Roman" w:hAnsi="Times New Roman"/>
                <w:b/>
                <w:color w:val="303030"/>
                <w:sz w:val="18"/>
                <w:szCs w:val="18"/>
                <w:lang w:eastAsia="fr-FR"/>
              </w:rPr>
              <w:t xml:space="preserve">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des données et des informations</w:t>
            </w:r>
          </w:p>
        </w:tc>
      </w:tr>
      <w:tr w:rsidR="00864EC1">
        <w:tblPrEx>
          <w:tblCellMar>
            <w:top w:w="0" w:type="dxa"/>
            <w:bottom w:w="0" w:type="dxa"/>
          </w:tblCellMar>
        </w:tblPrEx>
        <w:trPr>
          <w:trHeight w:val="151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Dans quelle mesure le dispositif de gestion du programme conjoint et le dispositif de suivi -évaluation sont-ils efficients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Qualité des outils de suivi et évaluation, existence des procédures de </w:t>
            </w:r>
            <w:r>
              <w:rPr>
                <w:rFonts w:ascii="Times New Roman" w:eastAsia="Times New Roman" w:hAnsi="Times New Roman"/>
                <w:b/>
                <w:color w:val="303030"/>
                <w:sz w:val="18"/>
                <w:szCs w:val="18"/>
                <w:lang w:eastAsia="fr-FR"/>
              </w:rPr>
              <w:t xml:space="preserve">suivi claires, existence plan de suivi et évaluation, </w:t>
            </w:r>
          </w:p>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efficacité du dispositif de suivi et évaluation (fréquence/régularité de la mise en œuvre des activités de suivi et évaluation programmées, production des rapports, mise à jour des données dans Atlas)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Document et rapports du programme conjoint, rapports des revues du programme </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des données et des informations</w:t>
            </w:r>
          </w:p>
        </w:tc>
      </w:tr>
    </w:tbl>
    <w:p w:rsidR="00864EC1" w:rsidRDefault="00864EC1">
      <w:pPr>
        <w:pageBreakBefore/>
        <w:rPr>
          <w:rFonts w:ascii="Times New Roman" w:hAnsi="Times New Roman"/>
          <w:sz w:val="18"/>
          <w:szCs w:val="18"/>
        </w:rPr>
      </w:pPr>
    </w:p>
    <w:tbl>
      <w:tblPr>
        <w:tblW w:w="14460" w:type="dxa"/>
        <w:tblInd w:w="-318" w:type="dxa"/>
        <w:tblLayout w:type="fixed"/>
        <w:tblCellMar>
          <w:left w:w="10" w:type="dxa"/>
          <w:right w:w="10" w:type="dxa"/>
        </w:tblCellMar>
        <w:tblLook w:val="04A0" w:firstRow="1" w:lastRow="0" w:firstColumn="1" w:lastColumn="0" w:noHBand="0" w:noVBand="1"/>
      </w:tblPr>
      <w:tblGrid>
        <w:gridCol w:w="1277"/>
        <w:gridCol w:w="2268"/>
        <w:gridCol w:w="3260"/>
        <w:gridCol w:w="2410"/>
        <w:gridCol w:w="1701"/>
        <w:gridCol w:w="1523"/>
        <w:gridCol w:w="2021"/>
      </w:tblGrid>
      <w:tr w:rsidR="00864EC1">
        <w:tblPrEx>
          <w:tblCellMar>
            <w:top w:w="0" w:type="dxa"/>
            <w:bottom w:w="0" w:type="dxa"/>
          </w:tblCellMar>
        </w:tblPrEx>
        <w:trPr>
          <w:trHeight w:val="102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Cohérence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Le programme conjoint est- il en cohérence avec les orientations stratégiques et les </w:t>
            </w:r>
            <w:r>
              <w:rPr>
                <w:rFonts w:ascii="Times New Roman" w:hAnsi="Times New Roman"/>
                <w:b/>
                <w:sz w:val="18"/>
                <w:szCs w:val="18"/>
              </w:rPr>
              <w:t xml:space="preserve">priorités nationales ?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Les composantes sont-elles cohérentes pour répondre aux résultats escomptés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Niveau/degré de cohérence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des informations</w:t>
            </w:r>
          </w:p>
        </w:tc>
      </w:tr>
      <w:tr w:rsidR="00864EC1">
        <w:tblPrEx>
          <w:tblCellMar>
            <w:top w:w="0" w:type="dxa"/>
            <w:bottom w:w="0" w:type="dxa"/>
          </w:tblCellMar>
        </w:tblPrEx>
        <w:trPr>
          <w:trHeight w:val="79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 programme est-il aligné avec son contexte national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Niveau/degré de cohérence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des données et des informations</w:t>
            </w:r>
          </w:p>
        </w:tc>
      </w:tr>
      <w:tr w:rsidR="00864EC1">
        <w:tblPrEx>
          <w:tblCellMar>
            <w:top w:w="0" w:type="dxa"/>
            <w:bottom w:w="0" w:type="dxa"/>
          </w:tblCellMar>
        </w:tblPrEx>
        <w:trPr>
          <w:trHeight w:val="130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Dans quelle mesure la mise en œuvre du programme </w:t>
            </w:r>
            <w:r>
              <w:rPr>
                <w:rFonts w:ascii="Times New Roman" w:eastAsia="Times New Roman" w:hAnsi="Times New Roman"/>
                <w:b/>
                <w:color w:val="303030"/>
                <w:sz w:val="18"/>
                <w:szCs w:val="18"/>
                <w:lang w:eastAsia="fr-FR"/>
              </w:rPr>
              <w:t xml:space="preserve">répond-elle aux problèmes, besoins et priorités des institutions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Niveau/degré de cohérence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des informations</w:t>
            </w:r>
          </w:p>
        </w:tc>
      </w:tr>
      <w:tr w:rsidR="00864EC1">
        <w:tblPrEx>
          <w:tblCellMar>
            <w:top w:w="0" w:type="dxa"/>
            <w:bottom w:w="0" w:type="dxa"/>
          </w:tblCellMar>
        </w:tblPrEx>
        <w:trPr>
          <w:trHeight w:val="1008"/>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Durabilité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Dans quelle mesure </w:t>
            </w:r>
            <w:r>
              <w:rPr>
                <w:rFonts w:ascii="Times New Roman" w:hAnsi="Times New Roman"/>
                <w:b/>
                <w:sz w:val="18"/>
                <w:szCs w:val="18"/>
              </w:rPr>
              <w:t>existe-t-il des risques financiers, institutionnels, au maintien des résultats du projet à long terme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Quelles sont les chances que la dynamique induite par le programme se poursuivra dans l’après projet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Existence des mesures garantissant la durabilité</w:t>
            </w:r>
            <w:r>
              <w:rPr>
                <w:rFonts w:ascii="Times New Roman" w:eastAsia="Times New Roman" w:hAnsi="Times New Roman"/>
                <w:b/>
                <w:color w:val="303030"/>
                <w:sz w:val="18"/>
                <w:szCs w:val="18"/>
                <w:lang w:eastAsia="fr-F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des informations</w:t>
            </w:r>
          </w:p>
        </w:tc>
      </w:tr>
      <w:tr w:rsidR="00864EC1">
        <w:tblPrEx>
          <w:tblCellMar>
            <w:top w:w="0" w:type="dxa"/>
            <w:bottom w:w="0" w:type="dxa"/>
          </w:tblCellMar>
        </w:tblPrEx>
        <w:trPr>
          <w:trHeight w:val="138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Dans quelle mesure les solutions proposées et les approches acceptées sont-elles maîtrisés par les bénéficiaires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Degré </w:t>
            </w:r>
            <w:r>
              <w:rPr>
                <w:rFonts w:ascii="Times New Roman" w:eastAsia="Times New Roman" w:hAnsi="Times New Roman"/>
                <w:b/>
                <w:color w:val="303030"/>
                <w:sz w:val="18"/>
                <w:szCs w:val="18"/>
                <w:lang w:eastAsia="fr-FR"/>
              </w:rPr>
              <w:t>d’appropriation par les bénéficiaires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des informations</w:t>
            </w:r>
          </w:p>
        </w:tc>
      </w:tr>
    </w:tbl>
    <w:p w:rsidR="00864EC1" w:rsidRDefault="00864EC1">
      <w:pPr>
        <w:pageBreakBefore/>
      </w:pPr>
    </w:p>
    <w:tbl>
      <w:tblPr>
        <w:tblW w:w="14460" w:type="dxa"/>
        <w:tblInd w:w="-318" w:type="dxa"/>
        <w:tblLayout w:type="fixed"/>
        <w:tblCellMar>
          <w:left w:w="10" w:type="dxa"/>
          <w:right w:w="10" w:type="dxa"/>
        </w:tblCellMar>
        <w:tblLook w:val="04A0" w:firstRow="1" w:lastRow="0" w:firstColumn="1" w:lastColumn="0" w:noHBand="0" w:noVBand="1"/>
      </w:tblPr>
      <w:tblGrid>
        <w:gridCol w:w="1277"/>
        <w:gridCol w:w="2268"/>
        <w:gridCol w:w="3260"/>
        <w:gridCol w:w="2410"/>
        <w:gridCol w:w="1701"/>
        <w:gridCol w:w="1523"/>
        <w:gridCol w:w="2021"/>
      </w:tblGrid>
      <w:tr w:rsidR="00864EC1">
        <w:tblPrEx>
          <w:tblCellMar>
            <w:top w:w="0" w:type="dxa"/>
            <w:bottom w:w="0" w:type="dxa"/>
          </w:tblCellMar>
        </w:tblPrEx>
        <w:trPr>
          <w:trHeight w:val="1543"/>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Quel degré d’appropriation des conclusions du programme et quelles mesures, structures</w:t>
            </w:r>
            <w:r>
              <w:rPr>
                <w:rFonts w:ascii="Times New Roman" w:eastAsia="Times New Roman" w:hAnsi="Times New Roman"/>
                <w:b/>
                <w:color w:val="303030"/>
                <w:sz w:val="18"/>
                <w:szCs w:val="18"/>
                <w:lang w:eastAsia="fr-FR"/>
              </w:rPr>
              <w:t xml:space="preserve"> de capitalisation et d’intégration pour le renforcement des acquis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Degré d’appropriation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des informations</w:t>
            </w:r>
          </w:p>
        </w:tc>
      </w:tr>
      <w:tr w:rsidR="00864EC1">
        <w:tblPrEx>
          <w:tblCellMar>
            <w:top w:w="0" w:type="dxa"/>
            <w:bottom w:w="0" w:type="dxa"/>
          </w:tblCellMar>
        </w:tblPrEx>
        <w:trPr>
          <w:trHeight w:val="160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Quels sont les </w:t>
            </w:r>
            <w:r>
              <w:rPr>
                <w:rFonts w:ascii="Times New Roman" w:eastAsia="Times New Roman" w:hAnsi="Times New Roman"/>
                <w:b/>
                <w:color w:val="303030"/>
                <w:sz w:val="18"/>
                <w:szCs w:val="18"/>
                <w:lang w:eastAsia="fr-FR"/>
              </w:rPr>
              <w:t xml:space="preserve">dispositifs/mécanismes pris par la partie nationale pour assurer la durabilité des bénéfices de l’intervention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Existence des dispositifs opérationnels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des </w:t>
            </w:r>
            <w:r>
              <w:rPr>
                <w:rFonts w:ascii="Times New Roman" w:eastAsia="Times New Roman" w:hAnsi="Times New Roman"/>
                <w:b/>
                <w:color w:val="303030"/>
                <w:sz w:val="18"/>
                <w:szCs w:val="18"/>
                <w:lang w:eastAsia="fr-FR"/>
              </w:rPr>
              <w:t>données et des informations</w:t>
            </w:r>
          </w:p>
        </w:tc>
      </w:tr>
      <w:tr w:rsidR="00864EC1">
        <w:tblPrEx>
          <w:tblCellMar>
            <w:top w:w="0" w:type="dxa"/>
            <w:bottom w:w="0" w:type="dxa"/>
          </w:tblCellMar>
        </w:tblPrEx>
        <w:trPr>
          <w:trHeight w:val="78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Y’a-t-il une stratégie de sortie intégrée dans le programme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Existence et niveau de mise en œuvre de la stratégie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w:t>
            </w:r>
            <w:r>
              <w:rPr>
                <w:rFonts w:ascii="Times New Roman" w:eastAsia="Times New Roman" w:hAnsi="Times New Roman"/>
                <w:b/>
                <w:color w:val="303030"/>
                <w:sz w:val="18"/>
                <w:szCs w:val="18"/>
                <w:lang w:eastAsia="fr-FR"/>
              </w:rPr>
              <w:t xml:space="preserve"> des informations</w:t>
            </w:r>
          </w:p>
        </w:tc>
      </w:tr>
      <w:tr w:rsidR="00864EC1">
        <w:tblPrEx>
          <w:tblCellMar>
            <w:top w:w="0" w:type="dxa"/>
            <w:bottom w:w="0" w:type="dxa"/>
          </w:tblCellMar>
        </w:tblPrEx>
        <w:trPr>
          <w:trHeight w:val="72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Impact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Existe-t-il des indications à l’effet que le projet a contribué au (ou a permis le) progrès en matière d’amélioration de l’harmonisation et l’institutionnalisation de l’évaluation des Politiques publiques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Quels sont les effets </w:t>
            </w:r>
            <w:r>
              <w:rPr>
                <w:rFonts w:ascii="Times New Roman" w:eastAsia="Times New Roman" w:hAnsi="Times New Roman"/>
                <w:b/>
                <w:color w:val="303030"/>
                <w:sz w:val="18"/>
                <w:szCs w:val="18"/>
                <w:lang w:eastAsia="fr-FR"/>
              </w:rPr>
              <w:t xml:space="preserve">perçus par les bénéficiaires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Nombre d’utilisateurs des données et des évaluations, Niveau d’institutionnalisation de l’évaluation des politiques publiques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des </w:t>
            </w:r>
            <w:r>
              <w:rPr>
                <w:rFonts w:ascii="Times New Roman" w:eastAsia="Times New Roman" w:hAnsi="Times New Roman"/>
                <w:b/>
                <w:color w:val="303030"/>
                <w:sz w:val="18"/>
                <w:szCs w:val="18"/>
                <w:lang w:eastAsia="fr-FR"/>
              </w:rPr>
              <w:t>données et des informations</w:t>
            </w:r>
          </w:p>
        </w:tc>
      </w:tr>
      <w:tr w:rsidR="00864EC1">
        <w:tblPrEx>
          <w:tblCellMar>
            <w:top w:w="0" w:type="dxa"/>
            <w:bottom w:w="0" w:type="dxa"/>
          </w:tblCellMar>
        </w:tblPrEx>
        <w:trPr>
          <w:trHeight w:val="103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Est-ce les changements contribuent à l’objectif central visé vers la fin du programme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Niveau d’institutionnalisation de l’évaluation des politiques publiques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w:t>
            </w:r>
            <w:r>
              <w:rPr>
                <w:rFonts w:ascii="Times New Roman" w:eastAsia="Times New Roman" w:hAnsi="Times New Roman"/>
                <w:b/>
                <w:color w:val="303030"/>
                <w:sz w:val="18"/>
                <w:szCs w:val="18"/>
                <w:lang w:eastAsia="fr-FR"/>
              </w:rPr>
              <w:t xml:space="preserve">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des informations</w:t>
            </w:r>
          </w:p>
        </w:tc>
      </w:tr>
    </w:tbl>
    <w:p w:rsidR="00864EC1" w:rsidRDefault="00864EC1">
      <w:pPr>
        <w:pageBreakBefore/>
      </w:pPr>
    </w:p>
    <w:tbl>
      <w:tblPr>
        <w:tblW w:w="14460" w:type="dxa"/>
        <w:tblInd w:w="-318" w:type="dxa"/>
        <w:tblLayout w:type="fixed"/>
        <w:tblCellMar>
          <w:left w:w="10" w:type="dxa"/>
          <w:right w:w="10" w:type="dxa"/>
        </w:tblCellMar>
        <w:tblLook w:val="04A0" w:firstRow="1" w:lastRow="0" w:firstColumn="1" w:lastColumn="0" w:noHBand="0" w:noVBand="1"/>
      </w:tblPr>
      <w:tblGrid>
        <w:gridCol w:w="1277"/>
        <w:gridCol w:w="2268"/>
        <w:gridCol w:w="3260"/>
        <w:gridCol w:w="2410"/>
        <w:gridCol w:w="1701"/>
        <w:gridCol w:w="1523"/>
        <w:gridCol w:w="2021"/>
      </w:tblGrid>
      <w:tr w:rsidR="00864EC1">
        <w:tblPrEx>
          <w:tblCellMar>
            <w:top w:w="0" w:type="dxa"/>
            <w:bottom w:w="0" w:type="dxa"/>
          </w:tblCellMar>
        </w:tblPrEx>
        <w:trPr>
          <w:trHeight w:val="1035"/>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 programme a-t-il contribué au renforcement de la cohérence des interventions des agences des Nations Unies partenaires dans le domaine de l’appui à la production des données, de </w:t>
            </w:r>
            <w:r>
              <w:rPr>
                <w:rFonts w:ascii="Times New Roman" w:eastAsia="Times New Roman" w:hAnsi="Times New Roman"/>
                <w:b/>
                <w:color w:val="303030"/>
                <w:sz w:val="18"/>
                <w:szCs w:val="18"/>
                <w:lang w:eastAsia="fr-FR"/>
              </w:rPr>
              <w:t xml:space="preserve">renforcement des capacités nationales en suivi et évaluation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Niveau de participation/degré d’adhésion à la programmation conjointe</w:t>
            </w:r>
          </w:p>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 de participation des agences aux activités du programme (Réunions, événements)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w:t>
            </w:r>
            <w:r>
              <w:rPr>
                <w:rFonts w:ascii="Times New Roman" w:eastAsia="Times New Roman" w:hAnsi="Times New Roman"/>
                <w:b/>
                <w:color w:val="303030"/>
                <w:sz w:val="18"/>
                <w:szCs w:val="18"/>
                <w:lang w:eastAsia="fr-FR"/>
              </w:rPr>
              <w:t>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et des informations</w:t>
            </w:r>
          </w:p>
        </w:tc>
      </w:tr>
      <w:tr w:rsidR="00864EC1">
        <w:tblPrEx>
          <w:tblCellMar>
            <w:top w:w="0" w:type="dxa"/>
            <w:bottom w:w="0" w:type="dxa"/>
          </w:tblCellMar>
        </w:tblPrEx>
        <w:trPr>
          <w:trHeight w:val="168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Quel est l’impact prévisibles du programme après son achèvement sur le tissu institutionnel en matière de gouvernance des politiques publiques ?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Nombre d’utilisateurs des </w:t>
            </w:r>
            <w:r>
              <w:rPr>
                <w:rFonts w:ascii="Times New Roman" w:eastAsia="Times New Roman" w:hAnsi="Times New Roman"/>
                <w:b/>
                <w:color w:val="303030"/>
                <w:sz w:val="18"/>
                <w:szCs w:val="18"/>
                <w:lang w:eastAsia="fr-FR"/>
              </w:rPr>
              <w:t>données et des évaluations, Niveau d’institutionnalisation de l’évaluation des politiques publiques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des informations</w:t>
            </w:r>
          </w:p>
        </w:tc>
      </w:tr>
    </w:tbl>
    <w:p w:rsidR="00864EC1" w:rsidRDefault="00864EC1">
      <w:pPr>
        <w:pageBreakBefore/>
        <w:rPr>
          <w:rFonts w:ascii="Times New Roman" w:hAnsi="Times New Roman"/>
          <w:sz w:val="18"/>
          <w:szCs w:val="18"/>
        </w:rPr>
      </w:pPr>
    </w:p>
    <w:tbl>
      <w:tblPr>
        <w:tblW w:w="14743" w:type="dxa"/>
        <w:tblInd w:w="-601" w:type="dxa"/>
        <w:tblLayout w:type="fixed"/>
        <w:tblCellMar>
          <w:left w:w="10" w:type="dxa"/>
          <w:right w:w="10" w:type="dxa"/>
        </w:tblCellMar>
        <w:tblLook w:val="04A0" w:firstRow="1" w:lastRow="0" w:firstColumn="1" w:lastColumn="0" w:noHBand="0" w:noVBand="1"/>
      </w:tblPr>
      <w:tblGrid>
        <w:gridCol w:w="1843"/>
        <w:gridCol w:w="1418"/>
        <w:gridCol w:w="4394"/>
        <w:gridCol w:w="1559"/>
        <w:gridCol w:w="1843"/>
        <w:gridCol w:w="1665"/>
        <w:gridCol w:w="2021"/>
      </w:tblGrid>
      <w:tr w:rsidR="00864EC1">
        <w:tblPrEx>
          <w:tblCellMar>
            <w:top w:w="0" w:type="dxa"/>
            <w:bottom w:w="0" w:type="dxa"/>
          </w:tblCellMar>
        </w:tblPrEx>
        <w:trPr>
          <w:trHeight w:val="977"/>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Genre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Est-ce que le </w:t>
            </w:r>
            <w:r>
              <w:rPr>
                <w:rFonts w:ascii="Times New Roman" w:hAnsi="Times New Roman"/>
                <w:b/>
                <w:sz w:val="18"/>
                <w:szCs w:val="18"/>
              </w:rPr>
              <w:t>document du projet inclus une analyse du contexte genre et des besoins en matière de genre - en tant que partie intégrée de l’évaluation globale des besoins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 Est-ce que les données mentionnées dans le document du programme sont désagrégées par sexe ?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In</w:t>
            </w:r>
            <w:r>
              <w:rPr>
                <w:rFonts w:ascii="Times New Roman" w:eastAsia="Times New Roman" w:hAnsi="Times New Roman"/>
                <w:b/>
                <w:color w:val="303030"/>
                <w:sz w:val="18"/>
                <w:szCs w:val="18"/>
                <w:lang w:eastAsia="fr-FR"/>
              </w:rPr>
              <w:t xml:space="preserve">dicateurs, valeurs de référence et cibles  du programme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des informations</w:t>
            </w:r>
          </w:p>
        </w:tc>
      </w:tr>
      <w:tr w:rsidR="00864EC1">
        <w:tblPrEx>
          <w:tblCellMar>
            <w:top w:w="0" w:type="dxa"/>
            <w:bottom w:w="0" w:type="dxa"/>
          </w:tblCellMar>
        </w:tblPrEx>
        <w:trPr>
          <w:trHeight w:val="1204"/>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 document de programme identifie-t-il des objectifs, des résultats, </w:t>
            </w:r>
            <w:r>
              <w:rPr>
                <w:rFonts w:ascii="Times New Roman" w:eastAsia="Times New Roman" w:hAnsi="Times New Roman"/>
                <w:b/>
                <w:color w:val="303030"/>
                <w:sz w:val="18"/>
                <w:szCs w:val="18"/>
                <w:lang w:eastAsia="fr-FR"/>
              </w:rPr>
              <w:t xml:space="preserve">des indicateurs de performance réalisables, claires et sensibles au genre ?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Produits, Indicateurs, valeurs de référence et cibles  du programme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w:t>
            </w:r>
            <w:r>
              <w:rPr>
                <w:rFonts w:ascii="Times New Roman" w:eastAsia="Times New Roman" w:hAnsi="Times New Roman"/>
                <w:b/>
                <w:color w:val="303030"/>
                <w:sz w:val="18"/>
                <w:szCs w:val="18"/>
                <w:lang w:eastAsia="fr-FR"/>
              </w:rPr>
              <w:t>s informations</w:t>
            </w:r>
          </w:p>
        </w:tc>
      </w:tr>
      <w:tr w:rsidR="00864EC1">
        <w:tblPrEx>
          <w:tblCellMar>
            <w:top w:w="0" w:type="dxa"/>
            <w:bottom w:w="0" w:type="dxa"/>
          </w:tblCellMar>
        </w:tblPrEx>
        <w:trPr>
          <w:trHeight w:val="967"/>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la prise en compte du genre est-elle basée sur des analyses du contexte genre et des besoins en matière de genre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Existence des données et d’informations genre dans l’analyse de la situation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texte, des données et des informations</w:t>
            </w:r>
          </w:p>
        </w:tc>
      </w:tr>
      <w:tr w:rsidR="00864EC1">
        <w:tblPrEx>
          <w:tblCellMar>
            <w:top w:w="0" w:type="dxa"/>
            <w:bottom w:w="0" w:type="dxa"/>
          </w:tblCellMar>
        </w:tblPrEx>
        <w:trPr>
          <w:trHeight w:val="132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Les ressources humaines et financières pour la réalisation du programme sont-elles appropriées et suffisantes pour l’atteinte des d’objectifs spécifiques sensibles au </w:t>
            </w:r>
            <w:r>
              <w:rPr>
                <w:rFonts w:ascii="Times New Roman" w:eastAsia="Times New Roman" w:hAnsi="Times New Roman"/>
                <w:b/>
                <w:color w:val="303030"/>
                <w:sz w:val="18"/>
                <w:szCs w:val="18"/>
                <w:lang w:eastAsia="fr-FR"/>
              </w:rPr>
              <w:t xml:space="preserve">genre ?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Budget du programme, plan d’action, Effectif du personnel,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analyse du plan d’action, budget, de l’effectif et de la charge de travail du personnel, </w:t>
            </w:r>
          </w:p>
        </w:tc>
      </w:tr>
      <w:tr w:rsidR="00864EC1">
        <w:tblPrEx>
          <w:tblCellMar>
            <w:top w:w="0" w:type="dxa"/>
            <w:bottom w:w="0" w:type="dxa"/>
          </w:tblCellMar>
        </w:tblPrEx>
        <w:trPr>
          <w:trHeight w:val="127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Y’a-t-il une représentation équitable des hommes et des femmes dans l’unité de gestion  du programme ? (Au moins 30% de femmes)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Ratio hommes/</w:t>
            </w:r>
          </w:p>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femmes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l’effectif du perso</w:t>
            </w:r>
            <w:r>
              <w:rPr>
                <w:rFonts w:ascii="Times New Roman" w:eastAsia="Times New Roman" w:hAnsi="Times New Roman"/>
                <w:b/>
                <w:color w:val="303030"/>
                <w:sz w:val="18"/>
                <w:szCs w:val="18"/>
                <w:lang w:eastAsia="fr-FR"/>
              </w:rPr>
              <w:t>nnel, des rapports d’activités dans l’optique genre</w:t>
            </w:r>
          </w:p>
        </w:tc>
      </w:tr>
      <w:tr w:rsidR="00864EC1">
        <w:tblPrEx>
          <w:tblCellMar>
            <w:top w:w="0" w:type="dxa"/>
            <w:bottom w:w="0" w:type="dxa"/>
          </w:tblCellMar>
        </w:tblPrEx>
        <w:trPr>
          <w:trHeight w:val="8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Les objectifs spécifiques au genre figurent ils dans les plans d’évaluation des performances et de suivi ?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Niveau de prise en compte du genre dans les objectifs, les produits, les cibles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Document et </w:t>
            </w:r>
            <w:r>
              <w:rPr>
                <w:rFonts w:ascii="Times New Roman" w:eastAsia="Times New Roman" w:hAnsi="Times New Roman"/>
                <w:b/>
                <w:color w:val="303030"/>
                <w:sz w:val="18"/>
                <w:szCs w:val="18"/>
                <w:lang w:eastAsia="fr-FR"/>
              </w:rPr>
              <w:t>rapports du 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l’effectif du personnel, des rapports d’activités dans l’optique genre</w:t>
            </w:r>
          </w:p>
        </w:tc>
      </w:tr>
      <w:tr w:rsidR="00864EC1">
        <w:tblPrEx>
          <w:tblCellMar>
            <w:top w:w="0" w:type="dxa"/>
            <w:bottom w:w="0" w:type="dxa"/>
          </w:tblCellMar>
        </w:tblPrEx>
        <w:trPr>
          <w:trHeight w:val="71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pPr>
            <w:r>
              <w:rPr>
                <w:rFonts w:ascii="Times New Roman" w:eastAsia="Times New Roman" w:hAnsi="Times New Roman"/>
                <w:b/>
                <w:color w:val="303030"/>
                <w:sz w:val="18"/>
                <w:szCs w:val="18"/>
                <w:lang w:eastAsia="fr-FR"/>
              </w:rPr>
              <w:t xml:space="preserve">Principes programmatiques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Est-ce que le projet intègre les 5 approches programmatiques du PNUD : GAR, </w:t>
            </w:r>
            <w:r>
              <w:rPr>
                <w:rFonts w:ascii="Times New Roman" w:hAnsi="Times New Roman"/>
                <w:b/>
                <w:sz w:val="18"/>
                <w:szCs w:val="18"/>
              </w:rPr>
              <w:t>Environnement, Genre, Développement de capacités et droits humains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Quel est le degré de prise en compte des cinq principes dans l’analyse de la situation ?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Niveau/degré de prise en compte du dans l’analyse de la situation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w:t>
            </w:r>
            <w:r>
              <w:rPr>
                <w:rFonts w:ascii="Times New Roman" w:eastAsia="Times New Roman" w:hAnsi="Times New Roman"/>
                <w:b/>
                <w:color w:val="303030"/>
                <w:sz w:val="18"/>
                <w:szCs w:val="18"/>
                <w:lang w:eastAsia="fr-FR"/>
              </w:rPr>
              <w:t>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l’effectif du personnel, des rapports d’activités dans l’optique genre</w:t>
            </w:r>
          </w:p>
        </w:tc>
      </w:tr>
      <w:tr w:rsidR="00864EC1">
        <w:tblPrEx>
          <w:tblCellMar>
            <w:top w:w="0" w:type="dxa"/>
            <w:bottom w:w="0" w:type="dxa"/>
          </w:tblCellMar>
        </w:tblPrEx>
        <w:trPr>
          <w:trHeight w:val="6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Quel est le degré de prise en compte des cinq principes dans la matrice des résultats ?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 de prise en compte du genre </w:t>
            </w:r>
            <w:r>
              <w:rPr>
                <w:rFonts w:ascii="Times New Roman" w:eastAsia="Times New Roman" w:hAnsi="Times New Roman"/>
                <w:b/>
                <w:color w:val="303030"/>
                <w:sz w:val="18"/>
                <w:szCs w:val="18"/>
                <w:lang w:eastAsia="fr-FR"/>
              </w:rPr>
              <w:t xml:space="preserve">dans la matrice des résultats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l’effectif du personnel, des rapports d’activités dans l’optique genre</w:t>
            </w:r>
          </w:p>
        </w:tc>
      </w:tr>
      <w:tr w:rsidR="00864EC1">
        <w:tblPrEx>
          <w:tblCellMar>
            <w:top w:w="0" w:type="dxa"/>
            <w:bottom w:w="0" w:type="dxa"/>
          </w:tblCellMar>
        </w:tblPrEx>
        <w:trPr>
          <w:trHeight w:val="112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Quel est le degré de prise en compte des cinq principes dans les</w:t>
            </w:r>
            <w:r>
              <w:rPr>
                <w:rFonts w:ascii="Times New Roman" w:eastAsia="Times New Roman" w:hAnsi="Times New Roman"/>
                <w:b/>
                <w:color w:val="303030"/>
                <w:sz w:val="18"/>
                <w:szCs w:val="18"/>
                <w:lang w:eastAsia="fr-FR"/>
              </w:rPr>
              <w:t xml:space="preserve"> résultats réalisés par le programme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Niveau de prise en compte les résultats réalisés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l’effectif du personnel, des rapports d’activités dans l’optique genre</w:t>
            </w:r>
          </w:p>
        </w:tc>
      </w:tr>
    </w:tbl>
    <w:p w:rsidR="00864EC1" w:rsidRDefault="00864EC1">
      <w:pPr>
        <w:pageBreakBefore/>
        <w:rPr>
          <w:rFonts w:ascii="Times New Roman" w:hAnsi="Times New Roman"/>
          <w:sz w:val="18"/>
          <w:szCs w:val="18"/>
        </w:rPr>
      </w:pPr>
    </w:p>
    <w:tbl>
      <w:tblPr>
        <w:tblW w:w="14743" w:type="dxa"/>
        <w:tblInd w:w="-601" w:type="dxa"/>
        <w:tblLayout w:type="fixed"/>
        <w:tblCellMar>
          <w:left w:w="10" w:type="dxa"/>
          <w:right w:w="10" w:type="dxa"/>
        </w:tblCellMar>
        <w:tblLook w:val="04A0" w:firstRow="1" w:lastRow="0" w:firstColumn="1" w:lastColumn="0" w:noHBand="0" w:noVBand="1"/>
      </w:tblPr>
      <w:tblGrid>
        <w:gridCol w:w="1843"/>
        <w:gridCol w:w="1418"/>
        <w:gridCol w:w="4394"/>
        <w:gridCol w:w="1559"/>
        <w:gridCol w:w="1843"/>
        <w:gridCol w:w="1665"/>
        <w:gridCol w:w="2021"/>
      </w:tblGrid>
      <w:tr w:rsidR="00864EC1">
        <w:tblPrEx>
          <w:tblCellMar>
            <w:top w:w="0" w:type="dxa"/>
            <w:bottom w:w="0" w:type="dxa"/>
          </w:tblCellMar>
        </w:tblPrEx>
        <w:trPr>
          <w:trHeight w:val="657"/>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Coopération Sud –Sud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Quelles sont les  connaissances et les bonnes pratiques produites dans le cadre du projet au Maroc qui peuvent être valorisées dans le cadre de la coopération Sud-Sud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Comment ces acquis pourraient être capitalisés et exportés à d’</w:t>
            </w:r>
            <w:r>
              <w:rPr>
                <w:rFonts w:ascii="Times New Roman" w:hAnsi="Times New Roman"/>
                <w:b/>
                <w:sz w:val="18"/>
                <w:szCs w:val="18"/>
              </w:rPr>
              <w:t>autres pays de la région?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Nombre de publications, nombre de visites de travail des partenaires, nombre d’événements internationaux organisés,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 rapports des partenaires internationaux</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Revue documentaire, entretien</w:t>
            </w:r>
            <w:r>
              <w:rPr>
                <w:rFonts w:ascii="Times New Roman" w:eastAsia="Times New Roman" w:hAnsi="Times New Roman"/>
                <w:b/>
                <w:color w:val="303030"/>
                <w:sz w:val="18"/>
                <w:szCs w:val="18"/>
                <w:lang w:eastAsia="fr-FR"/>
              </w:rPr>
              <w:t xml:space="preserve">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l’effectif du personnel, des rapports d’activités dans l’optique genre</w:t>
            </w:r>
          </w:p>
        </w:tc>
      </w:tr>
      <w:tr w:rsidR="00864EC1">
        <w:tblPrEx>
          <w:tblCellMar>
            <w:top w:w="0" w:type="dxa"/>
            <w:bottom w:w="0" w:type="dxa"/>
          </w:tblCellMar>
        </w:tblPrEx>
        <w:trPr>
          <w:trHeight w:val="7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Quels sont les pays ayant un contexte similaire à celui du Maroc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Nombre de pays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w:t>
            </w:r>
            <w:r>
              <w:rPr>
                <w:rFonts w:ascii="Times New Roman" w:eastAsia="Times New Roman" w:hAnsi="Times New Roman"/>
                <w:b/>
                <w:color w:val="303030"/>
                <w:sz w:val="18"/>
                <w:szCs w:val="18"/>
                <w:lang w:eastAsia="fr-FR"/>
              </w:rPr>
              <w:t>de l’effectif du personnel, des rapports d’activités dans l’optique genre</w:t>
            </w:r>
          </w:p>
        </w:tc>
      </w:tr>
      <w:tr w:rsidR="00864EC1">
        <w:tblPrEx>
          <w:tblCellMar>
            <w:top w:w="0" w:type="dxa"/>
            <w:bottom w:w="0" w:type="dxa"/>
          </w:tblCellMar>
        </w:tblPrEx>
        <w:trPr>
          <w:trHeight w:val="130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Quels leviers le programme devrait il utiliser pour promouvoir la coopération Sud-Sud ?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Existence des choix stratégiques pour la promotion Sud-Sud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Document et rapports du </w:t>
            </w:r>
            <w:r>
              <w:rPr>
                <w:rFonts w:ascii="Times New Roman" w:eastAsia="Times New Roman" w:hAnsi="Times New Roman"/>
                <w:b/>
                <w:color w:val="303030"/>
                <w:sz w:val="18"/>
                <w:szCs w:val="18"/>
                <w:lang w:eastAsia="fr-FR"/>
              </w:rPr>
              <w:t>programme conjoint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Analyse de l’effectif du personnel, des rapports d’activités dans l’optique genre</w:t>
            </w:r>
          </w:p>
        </w:tc>
      </w:tr>
    </w:tbl>
    <w:p w:rsidR="00864EC1" w:rsidRDefault="00864EC1">
      <w:pPr>
        <w:pageBreakBefore/>
        <w:rPr>
          <w:rFonts w:ascii="Times New Roman" w:hAnsi="Times New Roman"/>
          <w:sz w:val="18"/>
          <w:szCs w:val="18"/>
        </w:rPr>
      </w:pPr>
    </w:p>
    <w:tbl>
      <w:tblPr>
        <w:tblW w:w="14743" w:type="dxa"/>
        <w:tblInd w:w="-601" w:type="dxa"/>
        <w:tblLayout w:type="fixed"/>
        <w:tblCellMar>
          <w:left w:w="10" w:type="dxa"/>
          <w:right w:w="10" w:type="dxa"/>
        </w:tblCellMar>
        <w:tblLook w:val="04A0" w:firstRow="1" w:lastRow="0" w:firstColumn="1" w:lastColumn="0" w:noHBand="0" w:noVBand="1"/>
      </w:tblPr>
      <w:tblGrid>
        <w:gridCol w:w="1843"/>
        <w:gridCol w:w="1985"/>
        <w:gridCol w:w="3402"/>
        <w:gridCol w:w="1843"/>
        <w:gridCol w:w="1559"/>
        <w:gridCol w:w="2090"/>
        <w:gridCol w:w="2021"/>
      </w:tblGrid>
      <w:tr w:rsidR="00864EC1">
        <w:tblPrEx>
          <w:tblCellMar>
            <w:top w:w="0" w:type="dxa"/>
            <w:bottom w:w="0" w:type="dxa"/>
          </w:tblCellMar>
        </w:tblPrEx>
        <w:trPr>
          <w:trHeight w:val="135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Ciblage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Est-ce que le ciblage est intégré explicitement dans le projet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Le programme a-t-il identifié ses </w:t>
            </w:r>
            <w:r>
              <w:rPr>
                <w:rFonts w:ascii="Times New Roman" w:hAnsi="Times New Roman"/>
                <w:b/>
                <w:sz w:val="18"/>
                <w:szCs w:val="18"/>
              </w:rPr>
              <w:t xml:space="preserve">bénéficiaires dans sa phase conceptuelle ? Si la définition des bénéficiaires est normalisée ?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Existence des données et informations dans l’analyse de la situation ou d’autres documents, existence des critères de sélection des bénéficiaires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w:t>
            </w:r>
            <w:r>
              <w:rPr>
                <w:rFonts w:ascii="Times New Roman" w:eastAsia="Times New Roman" w:hAnsi="Times New Roman"/>
                <w:b/>
                <w:color w:val="303030"/>
                <w:sz w:val="18"/>
                <w:szCs w:val="18"/>
                <w:lang w:eastAsia="fr-FR"/>
              </w:rPr>
              <w:t>apports du programme conjoint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ou de contenu </w:t>
            </w:r>
          </w:p>
        </w:tc>
      </w:tr>
      <w:tr w:rsidR="00864EC1">
        <w:tblPrEx>
          <w:tblCellMar>
            <w:top w:w="0" w:type="dxa"/>
            <w:bottom w:w="0" w:type="dxa"/>
          </w:tblCellMar>
        </w:tblPrEx>
        <w:trPr>
          <w:trHeight w:val="12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Le programme a-t-il atteint ses bénéficiaires ?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Nombre de bénéficiaires touchés (H/F)</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w:t>
            </w:r>
            <w:r>
              <w:rPr>
                <w:rFonts w:ascii="Times New Roman" w:eastAsia="Times New Roman" w:hAnsi="Times New Roman"/>
                <w:b/>
                <w:color w:val="303030"/>
                <w:sz w:val="18"/>
                <w:szCs w:val="18"/>
                <w:lang w:eastAsia="fr-FR"/>
              </w:rPr>
              <w:t xml:space="preserve">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ou de contenu </w:t>
            </w:r>
          </w:p>
        </w:tc>
      </w:tr>
      <w:tr w:rsidR="00864EC1">
        <w:tblPrEx>
          <w:tblCellMar>
            <w:top w:w="0" w:type="dxa"/>
            <w:bottom w:w="0" w:type="dxa"/>
          </w:tblCellMar>
        </w:tblPrEx>
        <w:trPr>
          <w:trHeight w:val="163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b/>
                <w:color w:val="303030"/>
                <w:sz w:val="18"/>
                <w:szCs w:val="18"/>
                <w:lang w:eastAsia="fr-FR"/>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Le programme a-t-il procédé à un ciblage institutionnel, géographique, genre, et par thématique (pauvreté et exclusion des jeunes, genre, personnes à besoins spécifiques)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Existence des informations dans </w:t>
            </w:r>
            <w:r>
              <w:rPr>
                <w:rFonts w:ascii="Times New Roman" w:eastAsia="Times New Roman" w:hAnsi="Times New Roman"/>
                <w:b/>
                <w:color w:val="303030"/>
                <w:sz w:val="18"/>
                <w:szCs w:val="18"/>
                <w:lang w:eastAsia="fr-FR"/>
              </w:rPr>
              <w:t>l’analyse de la situation ou d’autres documents, existence des critères de sélection des bénéficiaires, des régions, des groupes, etc.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ou de contenu </w:t>
            </w:r>
          </w:p>
        </w:tc>
      </w:tr>
    </w:tbl>
    <w:p w:rsidR="00864EC1" w:rsidRDefault="00864EC1">
      <w:pPr>
        <w:pageBreakBefore/>
      </w:pPr>
    </w:p>
    <w:tbl>
      <w:tblPr>
        <w:tblW w:w="14743" w:type="dxa"/>
        <w:tblInd w:w="-601" w:type="dxa"/>
        <w:tblLayout w:type="fixed"/>
        <w:tblCellMar>
          <w:left w:w="10" w:type="dxa"/>
          <w:right w:w="10" w:type="dxa"/>
        </w:tblCellMar>
        <w:tblLook w:val="04A0" w:firstRow="1" w:lastRow="0" w:firstColumn="1" w:lastColumn="0" w:noHBand="0" w:noVBand="1"/>
      </w:tblPr>
      <w:tblGrid>
        <w:gridCol w:w="1843"/>
        <w:gridCol w:w="1985"/>
        <w:gridCol w:w="3402"/>
        <w:gridCol w:w="1843"/>
        <w:gridCol w:w="1559"/>
        <w:gridCol w:w="2090"/>
        <w:gridCol w:w="2021"/>
      </w:tblGrid>
      <w:tr w:rsidR="00864EC1">
        <w:tblPrEx>
          <w:tblCellMar>
            <w:top w:w="0" w:type="dxa"/>
            <w:bottom w:w="0" w:type="dxa"/>
          </w:tblCellMar>
        </w:tblPrEx>
        <w:trPr>
          <w:trHeight w:val="1393"/>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 xml:space="preserve">Est-ce </w:t>
            </w:r>
            <w:r>
              <w:rPr>
                <w:rFonts w:ascii="Times New Roman" w:hAnsi="Times New Roman"/>
                <w:b/>
                <w:sz w:val="18"/>
                <w:szCs w:val="18"/>
              </w:rPr>
              <w:t>que des données ont été utilisées pour comprendre les besoins des groupes cibles et des zones géographiques dans la conception du programme ou du projet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Existence des données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An</w:t>
            </w:r>
            <w:r>
              <w:rPr>
                <w:rFonts w:ascii="Times New Roman" w:eastAsia="Times New Roman" w:hAnsi="Times New Roman"/>
                <w:b/>
                <w:color w:val="303030"/>
                <w:sz w:val="18"/>
                <w:szCs w:val="18"/>
                <w:lang w:eastAsia="fr-FR"/>
              </w:rPr>
              <w:t xml:space="preserve">alyse de texte ou de contenu </w:t>
            </w:r>
          </w:p>
        </w:tc>
      </w:tr>
      <w:tr w:rsidR="00864EC1">
        <w:tblPrEx>
          <w:tblCellMar>
            <w:top w:w="0" w:type="dxa"/>
            <w:bottom w:w="0" w:type="dxa"/>
          </w:tblCellMar>
        </w:tblPrEx>
        <w:trPr>
          <w:trHeight w:val="141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Y at-il des groupes cibles et / ou des zones qui ne sont pas suffisamment couvertes dans le programme ou les projets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Nombre de groupes cibles et de zones couverts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w:t>
            </w:r>
            <w:r>
              <w:rPr>
                <w:rFonts w:ascii="Times New Roman" w:eastAsia="Times New Roman" w:hAnsi="Times New Roman"/>
                <w:b/>
                <w:color w:val="303030"/>
                <w:sz w:val="18"/>
                <w:szCs w:val="18"/>
                <w:lang w:eastAsia="fr-FR"/>
              </w:rPr>
              <w:t xml:space="preserve">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ou de contenu </w:t>
            </w:r>
          </w:p>
        </w:tc>
      </w:tr>
      <w:tr w:rsidR="00864EC1">
        <w:tblPrEx>
          <w:tblCellMar>
            <w:top w:w="0" w:type="dxa"/>
            <w:bottom w:w="0" w:type="dxa"/>
          </w:tblCellMar>
        </w:tblPrEx>
        <w:trPr>
          <w:trHeight w:val="1558"/>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eastAsia="Times New Roman" w:hAnsi="Times New Roman"/>
                <w:color w:val="303030"/>
                <w:sz w:val="18"/>
                <w:szCs w:val="18"/>
                <w:lang w:eastAsia="fr-FR"/>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150" w:line="300" w:lineRule="atLeast"/>
              <w:jc w:val="both"/>
              <w:textAlignment w:val="auto"/>
              <w:rPr>
                <w:rFonts w:ascii="Times New Roman" w:hAnsi="Times New Roman"/>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hAnsi="Times New Roman"/>
                <w:b/>
                <w:sz w:val="18"/>
                <w:szCs w:val="18"/>
              </w:rPr>
            </w:pPr>
            <w:r>
              <w:rPr>
                <w:rFonts w:ascii="Times New Roman" w:hAnsi="Times New Roman"/>
                <w:b/>
                <w:sz w:val="18"/>
                <w:szCs w:val="18"/>
              </w:rPr>
              <w:t>Y’a-t-il une définition normalisée des groupes cibles à travers les programmes et projets ou sont-elles variables (normalisé / variable)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Existence de critères de sélection des groupes cibles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Document et rapports du programme conjoint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Revue documentaire, entretiens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150" w:line="300" w:lineRule="atLeast"/>
              <w:jc w:val="both"/>
              <w:textAlignment w:val="auto"/>
              <w:rPr>
                <w:rFonts w:ascii="Times New Roman" w:eastAsia="Times New Roman" w:hAnsi="Times New Roman"/>
                <w:b/>
                <w:color w:val="303030"/>
                <w:sz w:val="18"/>
                <w:szCs w:val="18"/>
                <w:lang w:eastAsia="fr-FR"/>
              </w:rPr>
            </w:pPr>
            <w:r>
              <w:rPr>
                <w:rFonts w:ascii="Times New Roman" w:eastAsia="Times New Roman" w:hAnsi="Times New Roman"/>
                <w:b/>
                <w:color w:val="303030"/>
                <w:sz w:val="18"/>
                <w:szCs w:val="18"/>
                <w:lang w:eastAsia="fr-FR"/>
              </w:rPr>
              <w:t xml:space="preserve">Analyse de texte ou de contenu </w:t>
            </w:r>
          </w:p>
        </w:tc>
      </w:tr>
    </w:tbl>
    <w:p w:rsidR="00864EC1" w:rsidRDefault="00864EC1">
      <w:pPr>
        <w:shd w:val="clear" w:color="auto" w:fill="FFFFFF"/>
        <w:spacing w:after="150" w:line="300" w:lineRule="atLeast"/>
        <w:jc w:val="both"/>
        <w:textAlignment w:val="auto"/>
        <w:rPr>
          <w:rFonts w:ascii="Times New Roman" w:eastAsia="Times New Roman" w:hAnsi="Times New Roman"/>
          <w:color w:val="303030"/>
          <w:sz w:val="18"/>
          <w:szCs w:val="18"/>
          <w:lang w:eastAsia="fr-FR"/>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C6376C">
      <w:pPr>
        <w:pStyle w:val="Titre2"/>
      </w:pPr>
      <w:bookmarkStart w:id="88" w:name="_Toc451442694"/>
      <w:bookmarkStart w:id="89" w:name="_Toc451652756"/>
      <w:bookmarkStart w:id="90" w:name="_Toc451653158"/>
      <w:r>
        <w:t>Annexe 2 : Matrice des recommandations</w:t>
      </w:r>
      <w:bookmarkEnd w:id="88"/>
      <w:bookmarkEnd w:id="89"/>
      <w:bookmarkEnd w:id="90"/>
      <w:r>
        <w:t xml:space="preserve"> </w:t>
      </w:r>
    </w:p>
    <w:tbl>
      <w:tblPr>
        <w:tblW w:w="14425" w:type="dxa"/>
        <w:tblCellMar>
          <w:left w:w="10" w:type="dxa"/>
          <w:right w:w="10" w:type="dxa"/>
        </w:tblCellMar>
        <w:tblLook w:val="04A0" w:firstRow="1" w:lastRow="0" w:firstColumn="1" w:lastColumn="0" w:noHBand="0" w:noVBand="1"/>
      </w:tblPr>
      <w:tblGrid>
        <w:gridCol w:w="7338"/>
        <w:gridCol w:w="4110"/>
        <w:gridCol w:w="2977"/>
      </w:tblGrid>
      <w:tr w:rsidR="00864EC1">
        <w:tblPrEx>
          <w:tblCellMar>
            <w:top w:w="0" w:type="dxa"/>
            <w:bottom w:w="0" w:type="dxa"/>
          </w:tblCellMar>
        </w:tblPrEx>
        <w:tc>
          <w:tcPr>
            <w:tcW w:w="73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64EC1" w:rsidRDefault="00C6376C">
            <w:pPr>
              <w:spacing w:after="0" w:line="240" w:lineRule="auto"/>
              <w:jc w:val="center"/>
              <w:rPr>
                <w:rFonts w:ascii="Times New Roman" w:hAnsi="Times New Roman"/>
                <w:b/>
                <w:sz w:val="28"/>
                <w:szCs w:val="28"/>
              </w:rPr>
            </w:pPr>
            <w:r>
              <w:rPr>
                <w:rFonts w:ascii="Times New Roman" w:hAnsi="Times New Roman"/>
                <w:b/>
                <w:sz w:val="28"/>
                <w:szCs w:val="28"/>
              </w:rPr>
              <w:t>Actions indicatives</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64EC1" w:rsidRDefault="00C6376C">
            <w:pPr>
              <w:spacing w:after="0" w:line="240" w:lineRule="auto"/>
              <w:jc w:val="center"/>
              <w:rPr>
                <w:rFonts w:ascii="Times New Roman" w:hAnsi="Times New Roman"/>
                <w:b/>
                <w:sz w:val="28"/>
                <w:szCs w:val="28"/>
              </w:rPr>
            </w:pPr>
            <w:r>
              <w:rPr>
                <w:rFonts w:ascii="Times New Roman" w:hAnsi="Times New Roman"/>
                <w:b/>
                <w:sz w:val="28"/>
                <w:szCs w:val="28"/>
              </w:rPr>
              <w:t>Institutions/Structures responsables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64EC1" w:rsidRDefault="00C6376C">
            <w:pPr>
              <w:spacing w:after="0" w:line="240" w:lineRule="auto"/>
              <w:jc w:val="center"/>
              <w:rPr>
                <w:rFonts w:ascii="Times New Roman" w:hAnsi="Times New Roman"/>
                <w:b/>
                <w:sz w:val="28"/>
                <w:szCs w:val="28"/>
              </w:rPr>
            </w:pPr>
            <w:r>
              <w:rPr>
                <w:rFonts w:ascii="Times New Roman" w:hAnsi="Times New Roman"/>
                <w:b/>
                <w:sz w:val="28"/>
                <w:szCs w:val="28"/>
              </w:rPr>
              <w:t>Délai de mise en œuvre</w:t>
            </w:r>
          </w:p>
        </w:tc>
      </w:tr>
      <w:tr w:rsidR="00864EC1">
        <w:tblPrEx>
          <w:tblCellMar>
            <w:top w:w="0" w:type="dxa"/>
            <w:bottom w:w="0" w:type="dxa"/>
          </w:tblCellMar>
        </w:tblPrEx>
        <w:tc>
          <w:tcPr>
            <w:tcW w:w="14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pPr>
            <w:r>
              <w:rPr>
                <w:rFonts w:ascii="Times New Roman" w:hAnsi="Times New Roman"/>
                <w:b/>
                <w:sz w:val="24"/>
                <w:szCs w:val="24"/>
              </w:rPr>
              <w:t xml:space="preserve">Recommandation </w:t>
            </w:r>
            <w:r>
              <w:rPr>
                <w:rFonts w:ascii="Times New Roman" w:hAnsi="Times New Roman"/>
                <w:b/>
                <w:sz w:val="24"/>
                <w:szCs w:val="24"/>
              </w:rPr>
              <w:t>1 :</w:t>
            </w:r>
            <w:r>
              <w:rPr>
                <w:rFonts w:ascii="Times New Roman" w:hAnsi="Times New Roman"/>
                <w:sz w:val="24"/>
                <w:szCs w:val="24"/>
              </w:rPr>
              <w:t xml:space="preserve"> </w:t>
            </w:r>
            <w:r>
              <w:rPr>
                <w:rFonts w:ascii="Times New Roman" w:hAnsi="Times New Roman"/>
                <w:b/>
                <w:i/>
                <w:sz w:val="24"/>
                <w:szCs w:val="24"/>
              </w:rPr>
              <w:t>Améliorer la prise en compte des principes programmatiques dans le document du programme de la troisième phase</w:t>
            </w:r>
          </w:p>
        </w:tc>
      </w:tr>
      <w:tr w:rsidR="00864EC1">
        <w:tblPrEx>
          <w:tblCellMar>
            <w:top w:w="0" w:type="dxa"/>
            <w:bottom w:w="0" w:type="dxa"/>
          </w:tblCellMar>
        </w:tblPrEx>
        <w:trPr>
          <w:trHeight w:val="954"/>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 xml:space="preserve">Identifier clairement les détenteurs d’obligations et les titulaires des droits, analyser leurs rôles et leurs capacités pour orienter la </w:t>
            </w:r>
            <w:r>
              <w:rPr>
                <w:rFonts w:ascii="Times New Roman" w:hAnsi="Times New Roman"/>
                <w:b/>
                <w:i/>
              </w:rPr>
              <w:t>formulation des produits </w:t>
            </w:r>
          </w:p>
          <w:p w:rsidR="00864EC1" w:rsidRDefault="00C6376C">
            <w:pPr>
              <w:spacing w:after="0" w:line="240" w:lineRule="auto"/>
              <w:jc w:val="both"/>
            </w:pPr>
            <w:r>
              <w:rPr>
                <w:rFonts w:ascii="Times New Roman" w:hAnsi="Times New Roman"/>
                <w:b/>
                <w:i/>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Equipe chargée de l’élaboration de la troisième phase du programme conjoint d’appui à l’ONDH &amp;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A déterminer </w:t>
            </w:r>
          </w:p>
        </w:tc>
      </w:tr>
      <w:tr w:rsidR="00864EC1">
        <w:tblPrEx>
          <w:tblCellMar>
            <w:top w:w="0" w:type="dxa"/>
            <w:bottom w:w="0" w:type="dxa"/>
          </w:tblCellMar>
        </w:tblPrEx>
        <w:trPr>
          <w:trHeight w:val="72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Utiliser des données statistiques désagrégées par sexe ou d’autres critères pour étayer le</w:t>
            </w:r>
            <w:r>
              <w:rPr>
                <w:rFonts w:ascii="Times New Roman" w:hAnsi="Times New Roman"/>
                <w:b/>
                <w:i/>
              </w:rPr>
              <w:t>s faits ou les problèmes identifiés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Equipe chargée de l’élaboration de la troisième phase du programme conjoint d’appui à l’ONDH&amp; GTSE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452"/>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Utiliser le  langage du changement dans la formulation des produits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Equipe</w:t>
            </w:r>
            <w:r>
              <w:rPr>
                <w:rFonts w:ascii="Times New Roman" w:hAnsi="Times New Roman"/>
              </w:rPr>
              <w:t xml:space="preserve"> chargée de l’élaboration de la troisième phase du programme conjoint d’appui à l’ONDH&amp; GTSE-UNICEF/UNFPA/PNUD/ONUFEMMES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67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 xml:space="preserve">Définir les valeurs de référence renseignées par des données quantitatives ou qualitatives pour tous les indicateurs et </w:t>
            </w:r>
            <w:r>
              <w:rPr>
                <w:rFonts w:ascii="Times New Roman" w:hAnsi="Times New Roman"/>
                <w:b/>
                <w:i/>
              </w:rPr>
              <w:t>toutes les cibles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Equipe chargée de l’élaboration de la troisième phase du programme conjoint d’appui à l’ONDH&amp; GTSE-UNICEF/UNFPA/PNUD/ONUFEMMES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687"/>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 xml:space="preserve">Fixer les cibles finales du programme qui seront déclinées en cibles annuelles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Equipe chargée</w:t>
            </w:r>
            <w:r>
              <w:rPr>
                <w:rFonts w:ascii="Times New Roman" w:hAnsi="Times New Roman"/>
              </w:rPr>
              <w:t xml:space="preserve"> de l’élaboration de la troisième phase du programme conjoint d’appui à l’ONDH&amp; GTSE-UNICEF/UNFPA/PNUD/ONUFEMMES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c>
          <w:tcPr>
            <w:tcW w:w="14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pPr>
            <w:r>
              <w:rPr>
                <w:rFonts w:ascii="Times New Roman" w:hAnsi="Times New Roman"/>
                <w:b/>
                <w:sz w:val="24"/>
                <w:szCs w:val="24"/>
              </w:rPr>
              <w:t>Recommandation 2 :</w:t>
            </w:r>
            <w:r>
              <w:rPr>
                <w:rFonts w:ascii="Times New Roman" w:hAnsi="Times New Roman"/>
                <w:sz w:val="24"/>
                <w:szCs w:val="24"/>
              </w:rPr>
              <w:t xml:space="preserve"> </w:t>
            </w:r>
            <w:r>
              <w:rPr>
                <w:rFonts w:ascii="Times New Roman" w:hAnsi="Times New Roman"/>
                <w:b/>
                <w:i/>
                <w:sz w:val="24"/>
                <w:szCs w:val="24"/>
              </w:rPr>
              <w:t>Améliorer la cohérence externe du programme conjoint</w:t>
            </w:r>
          </w:p>
        </w:tc>
      </w:tr>
      <w:tr w:rsidR="00864EC1">
        <w:tblPrEx>
          <w:tblCellMar>
            <w:top w:w="0" w:type="dxa"/>
            <w:bottom w:w="0" w:type="dxa"/>
          </w:tblCellMar>
        </w:tblPrEx>
        <w:trPr>
          <w:trHeight w:val="8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Mettre  en place des mécanismes adéquats de coordination</w:t>
            </w:r>
            <w:r>
              <w:rPr>
                <w:rFonts w:ascii="Times New Roman" w:hAnsi="Times New Roman"/>
                <w:b/>
                <w:i/>
              </w:rPr>
              <w:t xml:space="preserve"> des interventions en matière de  production  des données et d’évaluation des politiques publiques en se basant sur une démarche participative et inclusive </w:t>
            </w:r>
          </w:p>
          <w:p w:rsidR="00864EC1" w:rsidRDefault="00864EC1">
            <w:pPr>
              <w:spacing w:after="0" w:line="240" w:lineRule="auto"/>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et d’autres structures contribuant à la production des données  avec l’appui du SNU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w:t>
            </w:r>
            <w:r>
              <w:rPr>
                <w:rFonts w:ascii="Times New Roman" w:hAnsi="Times New Roman"/>
              </w:rPr>
              <w:t>ner</w:t>
            </w:r>
          </w:p>
        </w:tc>
      </w:tr>
      <w:tr w:rsidR="00864EC1">
        <w:tblPrEx>
          <w:tblCellMar>
            <w:top w:w="0" w:type="dxa"/>
            <w:bottom w:w="0" w:type="dxa"/>
          </w:tblCellMar>
        </w:tblPrEx>
        <w:trPr>
          <w:trHeight w:val="904"/>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Inscrire la coordination dans une perspective stratégique privilégiant la réflexion sur les outils et les mécanismes tels que la politique nationale d’évaluation, la charte de l’évaluation et éventuellement les lois.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ONDH et d’autres structures </w:t>
            </w:r>
            <w:r>
              <w:rPr>
                <w:rFonts w:ascii="Times New Roman" w:hAnsi="Times New Roman"/>
              </w:rPr>
              <w:t>contribuant à la production des données avec l’appui du SNU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bl>
    <w:p w:rsidR="00864EC1" w:rsidRDefault="00864EC1">
      <w:pPr>
        <w:pageBreakBefore/>
      </w:pPr>
    </w:p>
    <w:tbl>
      <w:tblPr>
        <w:tblW w:w="14425" w:type="dxa"/>
        <w:tblCellMar>
          <w:left w:w="10" w:type="dxa"/>
          <w:right w:w="10" w:type="dxa"/>
        </w:tblCellMar>
        <w:tblLook w:val="04A0" w:firstRow="1" w:lastRow="0" w:firstColumn="1" w:lastColumn="0" w:noHBand="0" w:noVBand="1"/>
      </w:tblPr>
      <w:tblGrid>
        <w:gridCol w:w="7338"/>
        <w:gridCol w:w="4110"/>
        <w:gridCol w:w="2977"/>
      </w:tblGrid>
      <w:tr w:rsidR="00864EC1">
        <w:tblPrEx>
          <w:tblCellMar>
            <w:top w:w="0" w:type="dxa"/>
            <w:bottom w:w="0" w:type="dxa"/>
          </w:tblCellMar>
        </w:tblPrEx>
        <w:tc>
          <w:tcPr>
            <w:tcW w:w="14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pPr>
            <w:r>
              <w:rPr>
                <w:rFonts w:ascii="Times New Roman" w:hAnsi="Times New Roman"/>
                <w:b/>
                <w:sz w:val="24"/>
                <w:szCs w:val="24"/>
              </w:rPr>
              <w:t>Recommandation 3 :</w:t>
            </w:r>
            <w:r>
              <w:rPr>
                <w:rFonts w:ascii="Times New Roman" w:hAnsi="Times New Roman"/>
                <w:sz w:val="24"/>
                <w:szCs w:val="24"/>
              </w:rPr>
              <w:t xml:space="preserve"> </w:t>
            </w:r>
            <w:r>
              <w:rPr>
                <w:rFonts w:ascii="Times New Roman" w:hAnsi="Times New Roman"/>
                <w:b/>
                <w:i/>
                <w:sz w:val="24"/>
                <w:szCs w:val="24"/>
              </w:rPr>
              <w:t>Veiller à élaborer un plan de développement des capacités de l’ONDH et des bénéficiaires du programme conjoint dans la perspective de la programmation future</w:t>
            </w:r>
          </w:p>
        </w:tc>
      </w:tr>
      <w:tr w:rsidR="00864EC1">
        <w:tblPrEx>
          <w:tblCellMar>
            <w:top w:w="0" w:type="dxa"/>
            <w:bottom w:w="0" w:type="dxa"/>
          </w:tblCellMar>
        </w:tblPrEx>
        <w:trPr>
          <w:trHeight w:val="436"/>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Procéder à l’évaluation des capacités alignée au plan  stratégique de l’ONDH</w:t>
            </w:r>
          </w:p>
          <w:p w:rsidR="00864EC1" w:rsidRDefault="00864EC1">
            <w:pPr>
              <w:spacing w:after="0" w:line="240" w:lineRule="auto"/>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Equipe chargée de l’élaboration de la troisième phase du programme conjoint d’appui à l’ONDH &amp;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82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 xml:space="preserve">Elaborer un plan de développement des </w:t>
            </w:r>
            <w:r>
              <w:rPr>
                <w:rFonts w:ascii="Times New Roman" w:hAnsi="Times New Roman"/>
                <w:b/>
                <w:i/>
              </w:rPr>
              <w:t>capacités assorti des objectifs et des résultats clairs et d’un cadre de suivi et évaluation.</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Equipe chargée de l’élaboration de la troisième phase du programme conjoint d’appui à l’ONDH &amp;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c>
          <w:tcPr>
            <w:tcW w:w="14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pPr>
            <w:r>
              <w:rPr>
                <w:rFonts w:ascii="Times New Roman" w:hAnsi="Times New Roman"/>
                <w:b/>
                <w:sz w:val="24"/>
                <w:szCs w:val="24"/>
              </w:rPr>
              <w:t>Recommandation 4</w:t>
            </w:r>
            <w:r>
              <w:rPr>
                <w:rFonts w:ascii="Times New Roman" w:hAnsi="Times New Roman"/>
                <w:sz w:val="24"/>
                <w:szCs w:val="24"/>
              </w:rPr>
              <w:t xml:space="preserve"> : </w:t>
            </w:r>
            <w:r>
              <w:rPr>
                <w:rFonts w:ascii="Times New Roman" w:hAnsi="Times New Roman"/>
                <w:b/>
                <w:i/>
                <w:sz w:val="24"/>
                <w:szCs w:val="24"/>
              </w:rPr>
              <w:t>Explorer, prioriser et opérationnaliser les pistes relatives à la stratégie d’intervention de l’ONDH</w:t>
            </w:r>
          </w:p>
        </w:tc>
      </w:tr>
      <w:tr w:rsidR="00864EC1">
        <w:tblPrEx>
          <w:tblCellMar>
            <w:top w:w="0" w:type="dxa"/>
            <w:bottom w:w="0" w:type="dxa"/>
          </w:tblCellMar>
        </w:tblPrEx>
        <w:trPr>
          <w:trHeight w:val="837"/>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Renforcer la spécialisation de l’ONDH et l’appui au passage à l’échelle de l’évaluation des politiques de développement humain particulièrement des politi</w:t>
            </w:r>
            <w:r>
              <w:rPr>
                <w:rFonts w:ascii="Times New Roman" w:hAnsi="Times New Roman"/>
                <w:b/>
                <w:i/>
              </w:rPr>
              <w:t xml:space="preserve">ques sociales   </w:t>
            </w:r>
          </w:p>
          <w:p w:rsidR="00864EC1" w:rsidRDefault="00864EC1">
            <w:pPr>
              <w:spacing w:after="0" w:line="240" w:lineRule="auto"/>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988"/>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Adosser le positionnement stratégique de l’ONDH sur les choix fondamentaux de son plan stratégique qui devront aussi orienter la programmation future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ONDH </w:t>
            </w:r>
            <w:r>
              <w:rPr>
                <w:rFonts w:ascii="Times New Roman" w:hAnsi="Times New Roman"/>
              </w:rPr>
              <w:t>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687"/>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Renforcer l’approche d’intervention proactive axée sur la demande et l’utilisation des services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bl>
    <w:p w:rsidR="00864EC1" w:rsidRDefault="00864EC1">
      <w:pPr>
        <w:pageBreakBefore/>
      </w:pPr>
    </w:p>
    <w:tbl>
      <w:tblPr>
        <w:tblW w:w="14425" w:type="dxa"/>
        <w:tblCellMar>
          <w:left w:w="10" w:type="dxa"/>
          <w:right w:w="10" w:type="dxa"/>
        </w:tblCellMar>
        <w:tblLook w:val="04A0" w:firstRow="1" w:lastRow="0" w:firstColumn="1" w:lastColumn="0" w:noHBand="0" w:noVBand="1"/>
      </w:tblPr>
      <w:tblGrid>
        <w:gridCol w:w="7338"/>
        <w:gridCol w:w="4110"/>
        <w:gridCol w:w="2977"/>
      </w:tblGrid>
      <w:tr w:rsidR="00864EC1">
        <w:tblPrEx>
          <w:tblCellMar>
            <w:top w:w="0" w:type="dxa"/>
            <w:bottom w:w="0" w:type="dxa"/>
          </w:tblCellMar>
        </w:tblPrEx>
        <w:tc>
          <w:tcPr>
            <w:tcW w:w="14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pPr>
            <w:r>
              <w:rPr>
                <w:rFonts w:ascii="Times New Roman" w:hAnsi="Times New Roman"/>
                <w:b/>
                <w:sz w:val="24"/>
                <w:szCs w:val="24"/>
              </w:rPr>
              <w:t>Recommandation 5 :</w:t>
            </w:r>
            <w:r>
              <w:rPr>
                <w:rFonts w:ascii="Times New Roman" w:hAnsi="Times New Roman"/>
                <w:sz w:val="24"/>
                <w:szCs w:val="24"/>
              </w:rPr>
              <w:t xml:space="preserve"> </w:t>
            </w:r>
            <w:r>
              <w:rPr>
                <w:rFonts w:ascii="Times New Roman" w:hAnsi="Times New Roman"/>
                <w:b/>
                <w:i/>
                <w:sz w:val="24"/>
                <w:szCs w:val="24"/>
              </w:rPr>
              <w:t>Explorer les chantiers stratégiques proposés pour le positionnement stratégiques de l’ONDH</w:t>
            </w:r>
          </w:p>
        </w:tc>
      </w:tr>
      <w:tr w:rsidR="00864EC1">
        <w:tblPrEx>
          <w:tblCellMar>
            <w:top w:w="0" w:type="dxa"/>
            <w:bottom w:w="0" w:type="dxa"/>
          </w:tblCellMar>
        </w:tblPrEx>
        <w:trPr>
          <w:trHeight w:val="402"/>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Procéder à l’opérationnalisation de l’agenda 2030</w:t>
            </w:r>
          </w:p>
          <w:p w:rsidR="00864EC1" w:rsidRDefault="00C6376C">
            <w:pPr>
              <w:spacing w:after="0" w:line="240" w:lineRule="auto"/>
              <w:jc w:val="both"/>
            </w:pPr>
            <w:r>
              <w:rPr>
                <w:rFonts w:ascii="Times New Roman" w:hAnsi="Times New Roman"/>
                <w:b/>
                <w:i/>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65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 xml:space="preserve">Renforcer </w:t>
            </w:r>
            <w:r>
              <w:rPr>
                <w:rFonts w:ascii="Times New Roman" w:hAnsi="Times New Roman"/>
                <w:b/>
                <w:i/>
              </w:rPr>
              <w:t>la territorialisation du système d’information dans le sillage de la régionalisation avancée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92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 xml:space="preserve">Promouvoir  l’institutionnalisation de l’évaluation des politiques publiques  </w:t>
            </w:r>
          </w:p>
          <w:p w:rsidR="00864EC1" w:rsidRDefault="00C6376C">
            <w:pPr>
              <w:spacing w:after="0" w:line="240" w:lineRule="auto"/>
              <w:jc w:val="both"/>
              <w:rPr>
                <w:rFonts w:ascii="Times New Roman" w:hAnsi="Times New Roman"/>
                <w:b/>
                <w:i/>
              </w:rPr>
            </w:pPr>
            <w:r>
              <w:rPr>
                <w:rFonts w:ascii="Times New Roman" w:hAnsi="Times New Roman"/>
                <w:b/>
                <w:i/>
              </w:rPr>
              <w:t>P</w:t>
            </w:r>
            <w:r>
              <w:rPr>
                <w:rFonts w:ascii="Times New Roman" w:hAnsi="Times New Roman"/>
                <w:b/>
                <w:i/>
              </w:rPr>
              <w:t>romouvoir la recherche, l’enseignement, la formation  et la professionnalisation de l’évaluation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686"/>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 xml:space="preserve">Promouvoir la participation citoyenne à l’évaluation des politiques </w:t>
            </w:r>
            <w:r>
              <w:rPr>
                <w:rFonts w:ascii="Times New Roman" w:hAnsi="Times New Roman"/>
                <w:b/>
                <w:i/>
              </w:rPr>
              <w:t xml:space="preserve">publiques ; </w:t>
            </w:r>
          </w:p>
          <w:p w:rsidR="00864EC1" w:rsidRDefault="00C6376C">
            <w:pPr>
              <w:spacing w:after="0" w:line="240" w:lineRule="auto"/>
              <w:jc w:val="both"/>
              <w:rPr>
                <w:rFonts w:ascii="Times New Roman" w:hAnsi="Times New Roman"/>
                <w:b/>
                <w:i/>
              </w:rPr>
            </w:pPr>
            <w:r>
              <w:rPr>
                <w:rFonts w:ascii="Times New Roman" w:hAnsi="Times New Roman"/>
                <w:b/>
                <w:i/>
              </w:rPr>
              <w:t>Promouvoir  la coopération sud-sud </w:t>
            </w:r>
          </w:p>
          <w:p w:rsidR="00864EC1" w:rsidRDefault="00C6376C">
            <w:pPr>
              <w:spacing w:after="0" w:line="240" w:lineRule="auto"/>
              <w:jc w:val="both"/>
              <w:rPr>
                <w:rFonts w:ascii="Times New Roman" w:hAnsi="Times New Roman"/>
                <w:b/>
                <w:i/>
              </w:rPr>
            </w:pPr>
            <w:r>
              <w:rPr>
                <w:rFonts w:ascii="Times New Roman" w:hAnsi="Times New Roman"/>
                <w:b/>
                <w:i/>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837"/>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jc w:val="both"/>
              <w:rPr>
                <w:rFonts w:ascii="Times New Roman" w:hAnsi="Times New Roman"/>
                <w:b/>
                <w:i/>
              </w:rPr>
            </w:pPr>
            <w:r>
              <w:rPr>
                <w:rFonts w:ascii="Times New Roman" w:hAnsi="Times New Roman"/>
                <w:b/>
                <w:i/>
              </w:rPr>
              <w:t xml:space="preserve">Renforcement le partenariat avec les Nations Unies.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ONDH avec l’appui  des agences du SNU </w:t>
            </w:r>
            <w:r>
              <w:rPr>
                <w:rFonts w:ascii="Times New Roman" w:hAnsi="Times New Roman"/>
              </w:rPr>
              <w:t>-UNICEF/UNFPA/PNUD/ONUFEMMES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c>
          <w:tcPr>
            <w:tcW w:w="14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pPr>
            <w:r>
              <w:rPr>
                <w:rFonts w:ascii="Times New Roman" w:hAnsi="Times New Roman"/>
                <w:b/>
                <w:sz w:val="24"/>
                <w:szCs w:val="24"/>
              </w:rPr>
              <w:t>Recommandation 6 :</w:t>
            </w:r>
            <w:r>
              <w:rPr>
                <w:rFonts w:ascii="Times New Roman" w:hAnsi="Times New Roman"/>
                <w:sz w:val="24"/>
                <w:szCs w:val="24"/>
              </w:rPr>
              <w:t xml:space="preserve"> </w:t>
            </w:r>
            <w:r>
              <w:rPr>
                <w:rFonts w:ascii="Times New Roman" w:hAnsi="Times New Roman"/>
                <w:b/>
                <w:i/>
                <w:sz w:val="24"/>
                <w:szCs w:val="24"/>
              </w:rPr>
              <w:t>Utiliser la déclaration de Rabat comme levier de la coopération sud-sud</w:t>
            </w:r>
          </w:p>
        </w:tc>
      </w:tr>
      <w:tr w:rsidR="00864EC1">
        <w:tblPrEx>
          <w:tblCellMar>
            <w:top w:w="0" w:type="dxa"/>
            <w:bottom w:w="0" w:type="dxa"/>
          </w:tblCellMar>
        </w:tblPrEx>
        <w:trPr>
          <w:trHeight w:val="687"/>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Veiller à l’application effective des recommandations de la déclaration de Rabat  sous la supervision de l’ONDH</w:t>
            </w:r>
          </w:p>
          <w:p w:rsidR="00864EC1" w:rsidRDefault="00864EC1">
            <w:pPr>
              <w:spacing w:after="0" w:line="240" w:lineRule="auto"/>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ONDH </w:t>
            </w:r>
            <w:r>
              <w:rPr>
                <w:rFonts w:ascii="Times New Roman" w:hAnsi="Times New Roman"/>
              </w:rPr>
              <w:t>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569"/>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Créer d’autres instruments pour promouvoir la coopération sud-sud (Revue internationale, Bibliothèque virtuelle, Réseau de recherche, portail)</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w:t>
            </w:r>
            <w:r>
              <w:rPr>
                <w:rFonts w:ascii="Times New Roman" w:hAnsi="Times New Roman"/>
              </w:rPr>
              <w:t xml:space="preserve">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bl>
    <w:p w:rsidR="00864EC1" w:rsidRDefault="00864EC1">
      <w:pPr>
        <w:pageBreakBefore/>
      </w:pPr>
    </w:p>
    <w:tbl>
      <w:tblPr>
        <w:tblW w:w="14425" w:type="dxa"/>
        <w:tblCellMar>
          <w:left w:w="10" w:type="dxa"/>
          <w:right w:w="10" w:type="dxa"/>
        </w:tblCellMar>
        <w:tblLook w:val="04A0" w:firstRow="1" w:lastRow="0" w:firstColumn="1" w:lastColumn="0" w:noHBand="0" w:noVBand="1"/>
      </w:tblPr>
      <w:tblGrid>
        <w:gridCol w:w="7338"/>
        <w:gridCol w:w="4110"/>
        <w:gridCol w:w="2977"/>
      </w:tblGrid>
      <w:tr w:rsidR="00864EC1">
        <w:tblPrEx>
          <w:tblCellMar>
            <w:top w:w="0" w:type="dxa"/>
            <w:bottom w:w="0" w:type="dxa"/>
          </w:tblCellMar>
        </w:tblPrEx>
        <w:tc>
          <w:tcPr>
            <w:tcW w:w="14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pPr>
            <w:r>
              <w:rPr>
                <w:rFonts w:ascii="Times New Roman" w:hAnsi="Times New Roman"/>
                <w:b/>
                <w:sz w:val="24"/>
                <w:szCs w:val="24"/>
              </w:rPr>
              <w:t>Recommandation 7 :</w:t>
            </w:r>
            <w:r>
              <w:rPr>
                <w:rFonts w:ascii="Times New Roman" w:hAnsi="Times New Roman"/>
                <w:sz w:val="24"/>
                <w:szCs w:val="24"/>
              </w:rPr>
              <w:t xml:space="preserve"> </w:t>
            </w:r>
            <w:r>
              <w:rPr>
                <w:rFonts w:ascii="Times New Roman" w:hAnsi="Times New Roman"/>
                <w:b/>
                <w:i/>
                <w:sz w:val="24"/>
                <w:szCs w:val="24"/>
              </w:rPr>
              <w:t>Renforcer le partenariat entre l’ONDH et les Nations Unies</w:t>
            </w:r>
          </w:p>
        </w:tc>
      </w:tr>
      <w:tr w:rsidR="00864EC1">
        <w:tblPrEx>
          <w:tblCellMar>
            <w:top w:w="0" w:type="dxa"/>
            <w:bottom w:w="0" w:type="dxa"/>
          </w:tblCellMar>
        </w:tblPrEx>
        <w:trPr>
          <w:trHeight w:val="402"/>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Veiller à l’ancrage de la programmation future dans le plan stratégique</w:t>
            </w:r>
          </w:p>
          <w:p w:rsidR="00864EC1" w:rsidRDefault="00864EC1">
            <w:pPr>
              <w:spacing w:after="0" w:line="240" w:lineRule="auto"/>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ONDH avec l’appui  des agences du SNU </w:t>
            </w:r>
            <w:r>
              <w:rPr>
                <w:rFonts w:ascii="Times New Roman" w:hAnsi="Times New Roman"/>
              </w:rPr>
              <w:t>-UNICEF/UNFPA/PNUD/ONUFEMMES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70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Procéder à l’opérationnalisation de l’agenda 2030 notamment sa prise en compte dans les politiques, les stratégies et les programmes nationaux</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A </w:t>
            </w:r>
            <w:r>
              <w:rPr>
                <w:rFonts w:ascii="Times New Roman" w:hAnsi="Times New Roman"/>
              </w:rPr>
              <w:t>déterminer</w:t>
            </w:r>
          </w:p>
        </w:tc>
      </w:tr>
      <w:tr w:rsidR="00864EC1">
        <w:tblPrEx>
          <w:tblCellMar>
            <w:top w:w="0" w:type="dxa"/>
            <w:bottom w:w="0" w:type="dxa"/>
          </w:tblCellMar>
        </w:tblPrEx>
        <w:trPr>
          <w:trHeight w:val="619"/>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Procéder à l’opérationnalisation au niveau national de l’agenda global de l’évaluation 2016-2020 adopté lors de la conférence de Katmandu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804"/>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Elaborer et mettre en </w:t>
            </w:r>
            <w:r>
              <w:rPr>
                <w:rFonts w:ascii="Times New Roman" w:hAnsi="Times New Roman"/>
                <w:b/>
                <w:i/>
              </w:rPr>
              <w:t>œuvre la troisième phase du programme conjoint d’appui à l’ONDH</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5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Mettre en œuvre des mécanismes de financement innovants pour l’évaluation des politiques publiques </w:t>
            </w:r>
          </w:p>
          <w:p w:rsidR="00864EC1" w:rsidRDefault="00864EC1">
            <w:pPr>
              <w:spacing w:after="0" w:line="240" w:lineRule="auto"/>
              <w:rPr>
                <w:rFonts w:ascii="Times New Roman" w:hAnsi="Times New Roman"/>
                <w:b/>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ONDH avec </w:t>
            </w:r>
            <w:r>
              <w:rPr>
                <w:rFonts w:ascii="Times New Roman" w:hAnsi="Times New Roman"/>
              </w:rPr>
              <w:t>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déterminer</w:t>
            </w:r>
          </w:p>
        </w:tc>
      </w:tr>
      <w:tr w:rsidR="00864EC1">
        <w:tblPrEx>
          <w:tblCellMar>
            <w:top w:w="0" w:type="dxa"/>
            <w:bottom w:w="0" w:type="dxa"/>
          </w:tblCellMar>
        </w:tblPrEx>
        <w:trPr>
          <w:trHeight w:val="66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Accroître le financement du programme conjoint et prendre en compte l’enquête panel ménages dans son budget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 avec l’appui  des agences du SNU -UNICEF/UNFPA/PNUD/ONUFEMMES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A détermi</w:t>
            </w:r>
            <w:r>
              <w:rPr>
                <w:rFonts w:ascii="Times New Roman" w:hAnsi="Times New Roman"/>
              </w:rPr>
              <w:t>ner</w:t>
            </w:r>
          </w:p>
        </w:tc>
      </w:tr>
    </w:tbl>
    <w:p w:rsidR="00864EC1" w:rsidRDefault="00864EC1">
      <w:pPr>
        <w:rPr>
          <w:rFonts w:ascii="Times New Roman" w:hAnsi="Times New Roman"/>
        </w:rPr>
        <w:sectPr w:rsidR="00864EC1">
          <w:footerReference w:type="default" r:id="rId45"/>
          <w:pgSz w:w="16838" w:h="11906" w:orient="landscape"/>
          <w:pgMar w:top="1418" w:right="1418" w:bottom="1418" w:left="1418" w:header="720" w:footer="720" w:gutter="0"/>
          <w:cols w:space="720"/>
        </w:sectPr>
      </w:pPr>
    </w:p>
    <w:p w:rsidR="00864EC1" w:rsidRDefault="00C6376C">
      <w:pPr>
        <w:pStyle w:val="Titre2"/>
      </w:pPr>
      <w:bookmarkStart w:id="91" w:name="_Toc451442695"/>
      <w:bookmarkStart w:id="92" w:name="_Toc451652757"/>
      <w:bookmarkStart w:id="93" w:name="_Toc451653159"/>
      <w:r>
        <w:t>Annexe 3 : Liste de personnes rencontrées</w:t>
      </w:r>
      <w:bookmarkEnd w:id="91"/>
      <w:bookmarkEnd w:id="92"/>
      <w:bookmarkEnd w:id="93"/>
    </w:p>
    <w:tbl>
      <w:tblPr>
        <w:tblW w:w="9212" w:type="dxa"/>
        <w:tblCellMar>
          <w:left w:w="10" w:type="dxa"/>
          <w:right w:w="10" w:type="dxa"/>
        </w:tblCellMar>
        <w:tblLook w:val="04A0" w:firstRow="1" w:lastRow="0" w:firstColumn="1" w:lastColumn="0" w:noHBand="0" w:noVBand="1"/>
      </w:tblPr>
      <w:tblGrid>
        <w:gridCol w:w="534"/>
        <w:gridCol w:w="4536"/>
        <w:gridCol w:w="4142"/>
      </w:tblGrid>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rPr>
                <w:rFonts w:ascii="Times New Roman" w:hAnsi="Times New Roman"/>
                <w:b/>
              </w:rPr>
            </w:pPr>
            <w:r>
              <w:rPr>
                <w:rFonts w:ascii="Times New Roman" w:hAnsi="Times New Roman"/>
                <w:b/>
              </w:rPr>
              <w:t>N°</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rPr>
                <w:rFonts w:ascii="Times New Roman" w:hAnsi="Times New Roman"/>
                <w:b/>
              </w:rPr>
            </w:pPr>
            <w:r>
              <w:rPr>
                <w:rFonts w:ascii="Times New Roman" w:hAnsi="Times New Roman"/>
                <w:b/>
              </w:rPr>
              <w:t xml:space="preserve">Noms &amp; prénoms </w:t>
            </w:r>
          </w:p>
        </w:tc>
        <w:tc>
          <w:tcPr>
            <w:tcW w:w="41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rPr>
                <w:rFonts w:ascii="Times New Roman" w:hAnsi="Times New Roman"/>
                <w:b/>
              </w:rPr>
            </w:pPr>
            <w:r>
              <w:rPr>
                <w:rFonts w:ascii="Times New Roman" w:hAnsi="Times New Roman"/>
                <w:b/>
              </w:rPr>
              <w:t xml:space="preserve">Fonctions/Institutions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Abdel-Ilah Yaakoubd</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Représentant  Assistant et Coordonnateur de programmes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Abdelhaq  El  HAYANI</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Direction de la stratégie, des statistiques et de la </w:t>
            </w:r>
            <w:r>
              <w:rPr>
                <w:rFonts w:ascii="Times New Roman" w:hAnsi="Times New Roman"/>
              </w:rPr>
              <w:t>planification - Ministère de l’éducation et de la formation professionnelle</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Abdelmalek Achergui</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Ministre plénipotentiaire –Chef de division Système des Nations Unies –Ministère des affaires étrangères et de la coopération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Abdouh Mohamed </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Professeur </w:t>
            </w:r>
            <w:r>
              <w:rPr>
                <w:rFonts w:ascii="Times New Roman" w:hAnsi="Times New Roman"/>
              </w:rPr>
              <w:t>à l’université Moulay-Ismaïl</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Ayshanie Medagangoda-Labe</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Représentante adjointe PNUD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Chafika Affaq</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Chargée de programme Gouvernance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El Hassan MANSOURI </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Secrétaire général ONDH, Coordonnateur du programme conjoint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Faouzia DRAOUI </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Chargée de </w:t>
            </w:r>
            <w:r>
              <w:rPr>
                <w:rFonts w:ascii="Times New Roman" w:hAnsi="Times New Roman"/>
              </w:rPr>
              <w:t xml:space="preserve">communication, PNDH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Hassan ISMAILI</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Direction de la stratégie, des statistiques et de la planification - Ministère de l’éducation et de la formation professionnelle</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Houda AYOUB</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Chargée de projets, Unité de gestion programme conjoint, ONDH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Ikaki</w:t>
            </w:r>
            <w:r>
              <w:rPr>
                <w:rFonts w:ascii="Times New Roman" w:hAnsi="Times New Roman"/>
                <w:b/>
                <w:i/>
              </w:rPr>
              <w:t xml:space="preserve"> AZIZ</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Professeur à l’Institut national d’aménagement et d’urbanisme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Jihane Roudias </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Analyste suivi &amp; évaluation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Mahdi HALMI</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Spécialiste politiques sociales - UNICEF</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Maryam  AITMOHOUCHT</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Direction de la stratégie, des statistiques et de la plan</w:t>
            </w:r>
            <w:r>
              <w:rPr>
                <w:rFonts w:ascii="Times New Roman" w:hAnsi="Times New Roman"/>
              </w:rPr>
              <w:t>ification - Ministère de l’éducation et de la formation professionnelle</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Mohamed MAHDAD</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Directeur de la gouvernance</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Mostafa BOUABDELLAH</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Direction de la stratégie, des statistiques et de la planification - Ministère de l’éducation et de la formation </w:t>
            </w:r>
            <w:r>
              <w:rPr>
                <w:rFonts w:ascii="Times New Roman" w:hAnsi="Times New Roman"/>
              </w:rPr>
              <w:t>professionnelle</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Myriem  ouchen Noussairi </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Chargée Suivi &amp; évaluatioon – Bureau du Coordonnateur résident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Saadia SIFI</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Associée au programme ONUFEMMES – Maroc </w:t>
            </w:r>
          </w:p>
        </w:tc>
      </w:tr>
      <w:tr w:rsidR="00864EC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Said ZARHOUTI</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Chef de division -Direction de la stratégie, des statistiques et de la </w:t>
            </w:r>
            <w:r>
              <w:rPr>
                <w:rFonts w:ascii="Times New Roman" w:hAnsi="Times New Roman"/>
              </w:rPr>
              <w:t xml:space="preserve">planification - Ministère de l’éducation et de la formation professionnelle </w:t>
            </w:r>
          </w:p>
        </w:tc>
      </w:tr>
    </w:tbl>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jc w:val="both"/>
        <w:rPr>
          <w:rFonts w:ascii="Times New Roman" w:hAnsi="Times New Roman"/>
        </w:rPr>
      </w:pPr>
    </w:p>
    <w:p w:rsidR="00864EC1" w:rsidRDefault="00864EC1">
      <w:pPr>
        <w:pStyle w:val="Titre2"/>
        <w:rPr>
          <w:rFonts w:ascii="Times New Roman" w:eastAsia="Calibri" w:hAnsi="Times New Roman"/>
          <w:b w:val="0"/>
          <w:bCs w:val="0"/>
          <w:color w:val="auto"/>
          <w:sz w:val="22"/>
          <w:szCs w:val="22"/>
        </w:rPr>
      </w:pPr>
      <w:bookmarkStart w:id="94" w:name="_Toc451442696"/>
    </w:p>
    <w:p w:rsidR="00864EC1" w:rsidRDefault="00864EC1"/>
    <w:p w:rsidR="00864EC1" w:rsidRDefault="00C6376C">
      <w:pPr>
        <w:pStyle w:val="Titre2"/>
      </w:pPr>
      <w:bookmarkStart w:id="95" w:name="_Toc451652758"/>
      <w:bookmarkStart w:id="96" w:name="_Toc451653160"/>
      <w:r>
        <w:t>Annexe 4 : Liste des documents consultés</w:t>
      </w:r>
      <w:bookmarkEnd w:id="94"/>
      <w:bookmarkEnd w:id="95"/>
      <w:bookmarkEnd w:id="96"/>
      <w:r>
        <w:t xml:space="preserve"> </w:t>
      </w:r>
    </w:p>
    <w:tbl>
      <w:tblPr>
        <w:tblW w:w="9212" w:type="dxa"/>
        <w:tblCellMar>
          <w:left w:w="10" w:type="dxa"/>
          <w:right w:w="10" w:type="dxa"/>
        </w:tblCellMar>
        <w:tblLook w:val="04A0" w:firstRow="1" w:lastRow="0" w:firstColumn="1" w:lastColumn="0" w:noHBand="0" w:noVBand="1"/>
      </w:tblPr>
      <w:tblGrid>
        <w:gridCol w:w="521"/>
        <w:gridCol w:w="4098"/>
        <w:gridCol w:w="4593"/>
      </w:tblGrid>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rPr>
                <w:rFonts w:ascii="Times New Roman" w:hAnsi="Times New Roman"/>
                <w:b/>
              </w:rPr>
            </w:pPr>
            <w:r>
              <w:rPr>
                <w:rFonts w:ascii="Times New Roman" w:hAnsi="Times New Roman"/>
                <w:b/>
              </w:rPr>
              <w:t>N°</w:t>
            </w:r>
          </w:p>
        </w:tc>
        <w:tc>
          <w:tcPr>
            <w:tcW w:w="409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rPr>
                <w:rFonts w:ascii="Times New Roman" w:hAnsi="Times New Roman"/>
                <w:b/>
              </w:rPr>
            </w:pPr>
            <w:r>
              <w:rPr>
                <w:rFonts w:ascii="Times New Roman" w:hAnsi="Times New Roman"/>
                <w:b/>
              </w:rPr>
              <w:t xml:space="preserve">Titre  </w:t>
            </w:r>
          </w:p>
        </w:tc>
        <w:tc>
          <w:tcPr>
            <w:tcW w:w="45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64EC1" w:rsidRDefault="00C6376C">
            <w:pPr>
              <w:spacing w:after="0" w:line="240" w:lineRule="auto"/>
              <w:rPr>
                <w:rFonts w:ascii="Times New Roman" w:hAnsi="Times New Roman"/>
                <w:b/>
              </w:rPr>
            </w:pPr>
            <w:r>
              <w:rPr>
                <w:rFonts w:ascii="Times New Roman" w:hAnsi="Times New Roman"/>
                <w:b/>
              </w:rPr>
              <w:t>Institutions/Auteurs/Editions</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Document du programme conjoint d’appui à l’ONDH 2012-2016</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ONDH/UNICEF/UNPFA/PNUD/ONUFEMMES</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2</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Plans de travail annuels 2012-2015 du programme conjoint d’appui à l’ONDH</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ONDH/UNICEF/UNPFA/PNUD/ONUFEMMES</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3</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Rapports des revues annuelles 2012-2015 du programme conjoint d’appui à l’ONDH</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ONDH/UNICEF/UNPFA/PNUD/ONUFEMMES</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4</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Combined delivery reportstobre 2015 (CDR) 2012-2015 du programme conjoint d’appui à l’ONDH</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PNUD/ONDH</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5</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Rapport de la revue interne du programme conjoint –Rabat, 11 février 2015</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ONDH/UNICEF/UNPFA/PNUD/ONUFEMMES</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6</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Rappor</w:t>
            </w:r>
            <w:r>
              <w:rPr>
                <w:rFonts w:ascii="Times New Roman" w:hAnsi="Times New Roman"/>
                <w:b/>
                <w:i/>
              </w:rPr>
              <w:t xml:space="preserve">t d’activités 2015 de l’ONDH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7</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Rapport synthèse de la conférence internationale sur l’institutionnalisation de l’évaluation des politiques publiques – Rabat, 5-6oc</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ONDH </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8</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Décret n° 2-08-394 du 23 chaoul 1429 (23 octobre 2008)  portant création de </w:t>
            </w:r>
            <w:r>
              <w:rPr>
                <w:rFonts w:ascii="Times New Roman" w:hAnsi="Times New Roman"/>
                <w:b/>
                <w:i/>
              </w:rPr>
              <w:t>l’ONDH</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ONDH</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9</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Termes de référence (Tdr) de la mission d’évaluation du programme conjoint d’appui à l’ONDH</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PNUD/ONDH</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10</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Constitution du Royaume du Maroc  Edition 2011</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864EC1">
            <w:pPr>
              <w:spacing w:after="0" w:line="240" w:lineRule="auto"/>
              <w:rPr>
                <w:rFonts w:ascii="Times New Roman" w:hAnsi="Times New Roman"/>
              </w:rPr>
            </w:pP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11</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Rapport synthèse du Secrétaire général sur le programme de développement pour </w:t>
            </w:r>
            <w:r>
              <w:rPr>
                <w:rFonts w:ascii="Times New Roman" w:hAnsi="Times New Roman"/>
                <w:b/>
                <w:i/>
              </w:rPr>
              <w:t xml:space="preserve">l’après 2015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Site Nations unies</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12</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pPr>
            <w:r>
              <w:rPr>
                <w:rFonts w:ascii="Times New Roman" w:hAnsi="Times New Roman"/>
                <w:b/>
                <w:i/>
              </w:rPr>
              <w:t>Projet de résolution renvoyé au Sommet des Nations unies consacré à l’adoption du programme de développement pour l’après 2015 par l’Assemblée générale à sa 70</w:t>
            </w:r>
            <w:r>
              <w:rPr>
                <w:rFonts w:ascii="Times New Roman" w:hAnsi="Times New Roman"/>
                <w:b/>
                <w:i/>
                <w:vertAlign w:val="superscript"/>
              </w:rPr>
              <w:t>ème</w:t>
            </w:r>
            <w:r>
              <w:rPr>
                <w:rFonts w:ascii="Times New Roman" w:hAnsi="Times New Roman"/>
                <w:b/>
                <w:i/>
              </w:rPr>
              <w:t xml:space="preserve"> session</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Site Nations unies</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13</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Rapport du groupe des exp</w:t>
            </w:r>
            <w:r>
              <w:rPr>
                <w:rFonts w:ascii="Times New Roman" w:hAnsi="Times New Roman"/>
                <w:b/>
                <w:i/>
              </w:rPr>
              <w:t xml:space="preserve">erts des Nations unies et de l’extérieur chargé des indicateurs relatifs aux objectifs de développement durable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Site Nations unies </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14</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L’évaluation des politiques publiques -Editions-La découverte -  Paris 2008</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Bernard Perret </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15</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 xml:space="preserve">Petit guide de </w:t>
            </w:r>
            <w:r>
              <w:rPr>
                <w:rFonts w:ascii="Times New Roman" w:hAnsi="Times New Roman"/>
                <w:b/>
                <w:i/>
              </w:rPr>
              <w:t>l’évaluation des politiques publiques -  Editions Documentation française - Paris 1996</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 xml:space="preserve">Site Documentation française </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16</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Rapport sur la convergence des politiques publiques : Etat des lieux - Janvier 2015</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Ministère des affaires générales et de la gouvernan</w:t>
            </w:r>
            <w:r>
              <w:rPr>
                <w:rFonts w:ascii="Times New Roman" w:hAnsi="Times New Roman"/>
              </w:rPr>
              <w:t xml:space="preserve">ce </w:t>
            </w:r>
          </w:p>
        </w:tc>
      </w:tr>
      <w:tr w:rsidR="00864EC1">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17</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b/>
                <w:i/>
              </w:rPr>
            </w:pPr>
            <w:r>
              <w:rPr>
                <w:rFonts w:ascii="Times New Roman" w:hAnsi="Times New Roman"/>
                <w:b/>
                <w:i/>
              </w:rPr>
              <w:t>Rapport sur la convergence des politiques publiques : Pistes d’action - Janvier 2015</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EC1" w:rsidRDefault="00C6376C">
            <w:pPr>
              <w:spacing w:after="0" w:line="240" w:lineRule="auto"/>
              <w:rPr>
                <w:rFonts w:ascii="Times New Roman" w:hAnsi="Times New Roman"/>
              </w:rPr>
            </w:pPr>
            <w:r>
              <w:rPr>
                <w:rFonts w:ascii="Times New Roman" w:hAnsi="Times New Roman"/>
              </w:rPr>
              <w:t>Ministère des affaires générales et de la gouvernance</w:t>
            </w:r>
          </w:p>
        </w:tc>
      </w:tr>
    </w:tbl>
    <w:p w:rsidR="00864EC1" w:rsidRDefault="00864EC1">
      <w:pPr>
        <w:rPr>
          <w:rFonts w:ascii="Times New Roman" w:hAnsi="Times New Roman"/>
        </w:rPr>
      </w:pPr>
    </w:p>
    <w:p w:rsidR="00864EC1" w:rsidRDefault="00864EC1">
      <w:pPr>
        <w:rPr>
          <w:rFonts w:ascii="Times New Roman" w:hAnsi="Times New Roman"/>
        </w:rPr>
      </w:pPr>
    </w:p>
    <w:p w:rsidR="00864EC1" w:rsidRDefault="00864EC1">
      <w:pPr>
        <w:jc w:val="both"/>
        <w:rPr>
          <w:rFonts w:ascii="Times New Roman" w:hAnsi="Times New Roman"/>
        </w:rPr>
      </w:pPr>
    </w:p>
    <w:sectPr w:rsidR="00864EC1">
      <w:footerReference w:type="default" r:id="rId46"/>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6C" w:rsidRDefault="00C6376C">
      <w:pPr>
        <w:spacing w:after="0" w:line="240" w:lineRule="auto"/>
      </w:pPr>
      <w:r>
        <w:separator/>
      </w:r>
    </w:p>
  </w:endnote>
  <w:endnote w:type="continuationSeparator" w:id="0">
    <w:p w:rsidR="00C6376C" w:rsidRDefault="00C6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B0" w:rsidRDefault="00C6376C">
    <w:pPr>
      <w:pStyle w:val="Pieddepage"/>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368302" cy="274320"/>
              <wp:effectExtent l="0" t="0" r="12698" b="11430"/>
              <wp:wrapNone/>
              <wp:docPr id="1" name="Forme automatique 1"/>
              <wp:cNvGraphicFramePr/>
              <a:graphic xmlns:a="http://schemas.openxmlformats.org/drawingml/2006/main">
                <a:graphicData uri="http://schemas.microsoft.com/office/word/2010/wordprocessingShape">
                  <wps:wsp>
                    <wps:cNvSpPr/>
                    <wps:spPr>
                      <a:xfrm>
                        <a:off x="0" y="0"/>
                        <a:ext cx="368302" cy="274320"/>
                      </a:xfrm>
                      <a:custGeom>
                        <a:avLst/>
                        <a:gdLst>
                          <a:gd name="f0" fmla="val w"/>
                          <a:gd name="f1" fmla="val h"/>
                          <a:gd name="f2" fmla="val ss"/>
                          <a:gd name="f3" fmla="val 0"/>
                          <a:gd name="f4" fmla="val 34560"/>
                          <a:gd name="f5" fmla="abs f0"/>
                          <a:gd name="f6" fmla="abs f1"/>
                          <a:gd name="f7" fmla="abs f2"/>
                          <a:gd name="f8" fmla="?: f5 f0 1"/>
                          <a:gd name="f9" fmla="?: f6 f1 1"/>
                          <a:gd name="f10" fmla="?: f7 f2 1"/>
                          <a:gd name="f11" fmla="*/ f8 1 21600"/>
                          <a:gd name="f12" fmla="*/ f9 1 21600"/>
                          <a:gd name="f13" fmla="*/ 21600 f8 1"/>
                          <a:gd name="f14" fmla="*/ 21600 f9 1"/>
                          <a:gd name="f15" fmla="min f12 f11"/>
                          <a:gd name="f16" fmla="*/ f13 1 f10"/>
                          <a:gd name="f17" fmla="*/ f14 1 f10"/>
                          <a:gd name="f18" fmla="val f16"/>
                          <a:gd name="f19" fmla="val f17"/>
                          <a:gd name="f20" fmla="*/ f3 f15 1"/>
                          <a:gd name="f21" fmla="+- f19 0 f3"/>
                          <a:gd name="f22" fmla="+- f18 0 f3"/>
                          <a:gd name="f23" fmla="*/ f18 f15 1"/>
                          <a:gd name="f24" fmla="*/ f19 f15 1"/>
                          <a:gd name="f25" fmla="min f22 f21"/>
                          <a:gd name="f26" fmla="*/ f25 f4 1"/>
                          <a:gd name="f27" fmla="*/ f26 1 100000"/>
                          <a:gd name="f28" fmla="*/ f27 1 5"/>
                          <a:gd name="f29" fmla="+- f18 0 f27"/>
                          <a:gd name="f30" fmla="+- f19 0 f27"/>
                          <a:gd name="f31" fmla="+- f29 f28 0"/>
                          <a:gd name="f32" fmla="+- f30 f28 0"/>
                          <a:gd name="f33" fmla="*/ f30 f15 1"/>
                          <a:gd name="f34" fmla="*/ f29 f15 1"/>
                          <a:gd name="f35" fmla="*/ f31 f15 1"/>
                          <a:gd name="f36" fmla="*/ f32 f15 1"/>
                        </a:gdLst>
                        <a:ahLst/>
                        <a:cxnLst>
                          <a:cxn ang="3cd4">
                            <a:pos x="hc" y="t"/>
                          </a:cxn>
                          <a:cxn ang="0">
                            <a:pos x="r" y="vc"/>
                          </a:cxn>
                          <a:cxn ang="cd4">
                            <a:pos x="hc" y="b"/>
                          </a:cxn>
                          <a:cxn ang="cd2">
                            <a:pos x="l" y="vc"/>
                          </a:cxn>
                        </a:cxnLst>
                        <a:rect l="f20" t="f20" r="f23" b="f33"/>
                        <a:pathLst>
                          <a:path stroke="0">
                            <a:moveTo>
                              <a:pt x="f20" y="f20"/>
                            </a:moveTo>
                            <a:lnTo>
                              <a:pt x="f23" y="f20"/>
                            </a:lnTo>
                            <a:lnTo>
                              <a:pt x="f23" y="f33"/>
                            </a:lnTo>
                            <a:lnTo>
                              <a:pt x="f34" y="f24"/>
                            </a:lnTo>
                            <a:lnTo>
                              <a:pt x="f20" y="f24"/>
                            </a:lnTo>
                            <a:close/>
                          </a:path>
                          <a:path stroke="0">
                            <a:moveTo>
                              <a:pt x="f34" y="f24"/>
                            </a:moveTo>
                            <a:lnTo>
                              <a:pt x="f35" y="f36"/>
                            </a:lnTo>
                            <a:lnTo>
                              <a:pt x="f23" y="f33"/>
                            </a:lnTo>
                            <a:close/>
                          </a:path>
                          <a:path fill="none">
                            <a:moveTo>
                              <a:pt x="f34" y="f24"/>
                            </a:moveTo>
                            <a:lnTo>
                              <a:pt x="f35" y="f36"/>
                            </a:lnTo>
                            <a:lnTo>
                              <a:pt x="f23" y="f33"/>
                            </a:lnTo>
                            <a:lnTo>
                              <a:pt x="f34" y="f24"/>
                            </a:lnTo>
                            <a:lnTo>
                              <a:pt x="f20" y="f24"/>
                            </a:lnTo>
                            <a:lnTo>
                              <a:pt x="f20" y="f20"/>
                            </a:lnTo>
                            <a:lnTo>
                              <a:pt x="f23" y="f20"/>
                            </a:lnTo>
                            <a:lnTo>
                              <a:pt x="f23" y="f33"/>
                            </a:lnTo>
                          </a:path>
                        </a:pathLst>
                      </a:custGeom>
                      <a:solidFill>
                        <a:srgbClr val="FFFFFF"/>
                      </a:solidFill>
                      <a:ln w="3172">
                        <a:solidFill>
                          <a:srgbClr val="808080"/>
                        </a:solidFill>
                        <a:prstDash val="solid"/>
                        <a:round/>
                      </a:ln>
                    </wps:spPr>
                    <wps:txbx>
                      <w:txbxContent>
                        <w:p w:rsidR="009B66B0" w:rsidRDefault="00C6376C">
                          <w:pPr>
                            <w:jc w:val="center"/>
                          </w:pPr>
                          <w:r>
                            <w:rPr>
                              <w:sz w:val="16"/>
                              <w:szCs w:val="16"/>
                            </w:rPr>
                            <w:fldChar w:fldCharType="begin"/>
                          </w:r>
                          <w:r>
                            <w:rPr>
                              <w:sz w:val="16"/>
                              <w:szCs w:val="16"/>
                            </w:rPr>
                            <w:instrText xml:space="preserve"> PAGE </w:instrText>
                          </w:r>
                          <w:r>
                            <w:rPr>
                              <w:sz w:val="16"/>
                              <w:szCs w:val="16"/>
                            </w:rPr>
                            <w:fldChar w:fldCharType="separate"/>
                          </w:r>
                          <w:r w:rsidR="00AD0B06">
                            <w:rPr>
                              <w:noProof/>
                              <w:sz w:val="16"/>
                              <w:szCs w:val="16"/>
                            </w:rPr>
                            <w:t>2</w:t>
                          </w:r>
                          <w:r>
                            <w:rPr>
                              <w:sz w:val="16"/>
                              <w:szCs w:val="16"/>
                            </w:rPr>
                            <w:fldChar w:fldCharType="end"/>
                          </w:r>
                        </w:p>
                      </w:txbxContent>
                    </wps:txbx>
                    <wps:bodyPr vert="horz" wrap="square" lIns="91440" tIns="45720" rIns="91440" bIns="45720" anchor="t" anchorCtr="0" compatLnSpc="0">
                      <a:noAutofit/>
                    </wps:bodyPr>
                  </wps:wsp>
                </a:graphicData>
              </a:graphic>
            </wp:anchor>
          </w:drawing>
        </mc:Choice>
        <mc:Fallback>
          <w:pict>
            <v:shape id="Forme automatique 1" o:spid="_x0000_s1026" style="position:absolute;margin-left:0;margin-top:0;width:29pt;height:21.6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368302,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" adj="-11796480,,5400" path="m,nsl368302,r,179515l273497,274320,,274320,,xem273497,274320nsl292458,198476r75844,-18961l273497,274320xem273497,274320nfl292458,198476r75844,-18961l273497,274320,,274320,,,368302,r,179515e" strokecolor="gray" strokeweight=".08811mm">
              <v:stroke joinstyle="round"/>
              <v:formulas/>
              <v:path arrowok="t" o:connecttype="custom" o:connectlocs="184151,0;368302,137160;184151,274320;0,137160" o:connectangles="270,0,90,180" textboxrect="0,0,368302,179515"/>
              <v:textbox>
                <w:txbxContent>
                  <w:p w:rsidR="009B66B0" w:rsidRDefault="00C6376C">
                    <w:pPr>
                      <w:jc w:val="center"/>
                    </w:pPr>
                    <w:r>
                      <w:rPr>
                        <w:sz w:val="16"/>
                        <w:szCs w:val="16"/>
                      </w:rPr>
                      <w:fldChar w:fldCharType="begin"/>
                    </w:r>
                    <w:r>
                      <w:rPr>
                        <w:sz w:val="16"/>
                        <w:szCs w:val="16"/>
                      </w:rPr>
                      <w:instrText xml:space="preserve"> PAGE </w:instrText>
                    </w:r>
                    <w:r>
                      <w:rPr>
                        <w:sz w:val="16"/>
                        <w:szCs w:val="16"/>
                      </w:rPr>
                      <w:fldChar w:fldCharType="separate"/>
                    </w:r>
                    <w:r w:rsidR="00AD0B06">
                      <w:rPr>
                        <w:noProof/>
                        <w:sz w:val="16"/>
                        <w:szCs w:val="16"/>
                      </w:rPr>
                      <w:t>2</w:t>
                    </w:r>
                    <w:r>
                      <w:rPr>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B0" w:rsidRDefault="00C6376C">
    <w:pPr>
      <w:pStyle w:val="Pieddepage"/>
    </w:pPr>
    <w:r>
      <w:rPr>
        <w:noProof/>
        <w:lang w:eastAsia="fr-FR"/>
      </w:rP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368302" cy="274320"/>
              <wp:effectExtent l="0" t="0" r="12698" b="11430"/>
              <wp:wrapNone/>
              <wp:docPr id="2" name="Forme automatique 1"/>
              <wp:cNvGraphicFramePr/>
              <a:graphic xmlns:a="http://schemas.openxmlformats.org/drawingml/2006/main">
                <a:graphicData uri="http://schemas.microsoft.com/office/word/2010/wordprocessingShape">
                  <wps:wsp>
                    <wps:cNvSpPr/>
                    <wps:spPr>
                      <a:xfrm>
                        <a:off x="0" y="0"/>
                        <a:ext cx="368302" cy="274320"/>
                      </a:xfrm>
                      <a:custGeom>
                        <a:avLst/>
                        <a:gdLst>
                          <a:gd name="f0" fmla="val w"/>
                          <a:gd name="f1" fmla="val h"/>
                          <a:gd name="f2" fmla="val ss"/>
                          <a:gd name="f3" fmla="val 0"/>
                          <a:gd name="f4" fmla="val 34560"/>
                          <a:gd name="f5" fmla="abs f0"/>
                          <a:gd name="f6" fmla="abs f1"/>
                          <a:gd name="f7" fmla="abs f2"/>
                          <a:gd name="f8" fmla="?: f5 f0 1"/>
                          <a:gd name="f9" fmla="?: f6 f1 1"/>
                          <a:gd name="f10" fmla="?: f7 f2 1"/>
                          <a:gd name="f11" fmla="*/ f8 1 21600"/>
                          <a:gd name="f12" fmla="*/ f9 1 21600"/>
                          <a:gd name="f13" fmla="*/ 21600 f8 1"/>
                          <a:gd name="f14" fmla="*/ 21600 f9 1"/>
                          <a:gd name="f15" fmla="min f12 f11"/>
                          <a:gd name="f16" fmla="*/ f13 1 f10"/>
                          <a:gd name="f17" fmla="*/ f14 1 f10"/>
                          <a:gd name="f18" fmla="val f16"/>
                          <a:gd name="f19" fmla="val f17"/>
                          <a:gd name="f20" fmla="*/ f3 f15 1"/>
                          <a:gd name="f21" fmla="+- f19 0 f3"/>
                          <a:gd name="f22" fmla="+- f18 0 f3"/>
                          <a:gd name="f23" fmla="*/ f18 f15 1"/>
                          <a:gd name="f24" fmla="*/ f19 f15 1"/>
                          <a:gd name="f25" fmla="min f22 f21"/>
                          <a:gd name="f26" fmla="*/ f25 f4 1"/>
                          <a:gd name="f27" fmla="*/ f26 1 100000"/>
                          <a:gd name="f28" fmla="*/ f27 1 5"/>
                          <a:gd name="f29" fmla="+- f18 0 f27"/>
                          <a:gd name="f30" fmla="+- f19 0 f27"/>
                          <a:gd name="f31" fmla="+- f29 f28 0"/>
                          <a:gd name="f32" fmla="+- f30 f28 0"/>
                          <a:gd name="f33" fmla="*/ f30 f15 1"/>
                          <a:gd name="f34" fmla="*/ f29 f15 1"/>
                          <a:gd name="f35" fmla="*/ f31 f15 1"/>
                          <a:gd name="f36" fmla="*/ f32 f15 1"/>
                        </a:gdLst>
                        <a:ahLst/>
                        <a:cxnLst>
                          <a:cxn ang="3cd4">
                            <a:pos x="hc" y="t"/>
                          </a:cxn>
                          <a:cxn ang="0">
                            <a:pos x="r" y="vc"/>
                          </a:cxn>
                          <a:cxn ang="cd4">
                            <a:pos x="hc" y="b"/>
                          </a:cxn>
                          <a:cxn ang="cd2">
                            <a:pos x="l" y="vc"/>
                          </a:cxn>
                        </a:cxnLst>
                        <a:rect l="f20" t="f20" r="f23" b="f33"/>
                        <a:pathLst>
                          <a:path stroke="0">
                            <a:moveTo>
                              <a:pt x="f20" y="f20"/>
                            </a:moveTo>
                            <a:lnTo>
                              <a:pt x="f23" y="f20"/>
                            </a:lnTo>
                            <a:lnTo>
                              <a:pt x="f23" y="f33"/>
                            </a:lnTo>
                            <a:lnTo>
                              <a:pt x="f34" y="f24"/>
                            </a:lnTo>
                            <a:lnTo>
                              <a:pt x="f20" y="f24"/>
                            </a:lnTo>
                            <a:close/>
                          </a:path>
                          <a:path stroke="0">
                            <a:moveTo>
                              <a:pt x="f34" y="f24"/>
                            </a:moveTo>
                            <a:lnTo>
                              <a:pt x="f35" y="f36"/>
                            </a:lnTo>
                            <a:lnTo>
                              <a:pt x="f23" y="f33"/>
                            </a:lnTo>
                            <a:close/>
                          </a:path>
                          <a:path fill="none">
                            <a:moveTo>
                              <a:pt x="f34" y="f24"/>
                            </a:moveTo>
                            <a:lnTo>
                              <a:pt x="f35" y="f36"/>
                            </a:lnTo>
                            <a:lnTo>
                              <a:pt x="f23" y="f33"/>
                            </a:lnTo>
                            <a:lnTo>
                              <a:pt x="f34" y="f24"/>
                            </a:lnTo>
                            <a:lnTo>
                              <a:pt x="f20" y="f24"/>
                            </a:lnTo>
                            <a:lnTo>
                              <a:pt x="f20" y="f20"/>
                            </a:lnTo>
                            <a:lnTo>
                              <a:pt x="f23" y="f20"/>
                            </a:lnTo>
                            <a:lnTo>
                              <a:pt x="f23" y="f33"/>
                            </a:lnTo>
                          </a:path>
                        </a:pathLst>
                      </a:custGeom>
                      <a:solidFill>
                        <a:srgbClr val="FFFFFF"/>
                      </a:solidFill>
                      <a:ln w="3172">
                        <a:solidFill>
                          <a:srgbClr val="808080"/>
                        </a:solidFill>
                        <a:prstDash val="solid"/>
                        <a:round/>
                      </a:ln>
                    </wps:spPr>
                    <wps:txbx>
                      <w:txbxContent>
                        <w:p w:rsidR="009B66B0" w:rsidRDefault="00C6376C">
                          <w:pPr>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27</w:t>
                          </w:r>
                          <w:r>
                            <w:rPr>
                              <w:sz w:val="16"/>
                              <w:szCs w:val="16"/>
                            </w:rPr>
                            <w:fldChar w:fldCharType="end"/>
                          </w:r>
                        </w:p>
                      </w:txbxContent>
                    </wps:txbx>
                    <wps:bodyPr vert="horz" wrap="square" lIns="91440" tIns="45720" rIns="91440" bIns="45720" anchor="t" anchorCtr="0" compatLnSpc="0">
                      <a:noAutofit/>
                    </wps:bodyPr>
                  </wps:wsp>
                </a:graphicData>
              </a:graphic>
            </wp:anchor>
          </w:drawing>
        </mc:Choice>
        <mc:Fallback>
          <w:pict>
            <v:shape id="_x0000_s1027" style="position:absolute;margin-left:0;margin-top:0;width:29pt;height:21.6pt;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368302,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" adj="-11796480,,5400" path="m,nsl368302,r,179515l273497,274320,,274320,,xem273497,274320nsl292458,198476r75844,-18961l273497,274320xem273497,274320nfl292458,198476r75844,-18961l273497,274320,,274320,,,368302,r,179515e" strokecolor="gray" strokeweight=".08811mm">
              <v:stroke joinstyle="round"/>
              <v:formulas/>
              <v:path arrowok="t" o:connecttype="custom" o:connectlocs="184151,0;368302,137160;184151,274320;0,137160" o:connectangles="270,0,90,180" textboxrect="0,0,368302,179515"/>
              <v:textbox>
                <w:txbxContent>
                  <w:p w:rsidR="009B66B0" w:rsidRDefault="00C6376C">
                    <w:pPr>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27</w:t>
                    </w:r>
                    <w:r>
                      <w:rPr>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B0" w:rsidRDefault="00C6376C">
    <w:pPr>
      <w:pStyle w:val="Pieddepage"/>
    </w:pPr>
    <w:r>
      <w:rPr>
        <w:noProof/>
        <w:lang w:eastAsia="fr-FR"/>
      </w:rPr>
      <mc:AlternateContent>
        <mc:Choice Requires="wps">
          <w:drawing>
            <wp:anchor distT="0" distB="0" distL="114300" distR="114300" simplePos="0" relativeHeight="251663360" behindDoc="0" locked="0" layoutInCell="1" allowOverlap="1">
              <wp:simplePos x="0" y="0"/>
              <wp:positionH relativeFrom="page">
                <wp:posOffset>0</wp:posOffset>
              </wp:positionH>
              <wp:positionV relativeFrom="page">
                <wp:posOffset>0</wp:posOffset>
              </wp:positionV>
              <wp:extent cx="368302" cy="274320"/>
              <wp:effectExtent l="0" t="0" r="12698" b="11430"/>
              <wp:wrapNone/>
              <wp:docPr id="3" name="Forme automatique 1"/>
              <wp:cNvGraphicFramePr/>
              <a:graphic xmlns:a="http://schemas.openxmlformats.org/drawingml/2006/main">
                <a:graphicData uri="http://schemas.microsoft.com/office/word/2010/wordprocessingShape">
                  <wps:wsp>
                    <wps:cNvSpPr/>
                    <wps:spPr>
                      <a:xfrm>
                        <a:off x="0" y="0"/>
                        <a:ext cx="368302" cy="274320"/>
                      </a:xfrm>
                      <a:custGeom>
                        <a:avLst/>
                        <a:gdLst>
                          <a:gd name="f0" fmla="val w"/>
                          <a:gd name="f1" fmla="val h"/>
                          <a:gd name="f2" fmla="val ss"/>
                          <a:gd name="f3" fmla="val 0"/>
                          <a:gd name="f4" fmla="val 34560"/>
                          <a:gd name="f5" fmla="abs f0"/>
                          <a:gd name="f6" fmla="abs f1"/>
                          <a:gd name="f7" fmla="abs f2"/>
                          <a:gd name="f8" fmla="?: f5 f0 1"/>
                          <a:gd name="f9" fmla="?: f6 f1 1"/>
                          <a:gd name="f10" fmla="?: f7 f2 1"/>
                          <a:gd name="f11" fmla="*/ f8 1 21600"/>
                          <a:gd name="f12" fmla="*/ f9 1 21600"/>
                          <a:gd name="f13" fmla="*/ 21600 f8 1"/>
                          <a:gd name="f14" fmla="*/ 21600 f9 1"/>
                          <a:gd name="f15" fmla="min f12 f11"/>
                          <a:gd name="f16" fmla="*/ f13 1 f10"/>
                          <a:gd name="f17" fmla="*/ f14 1 f10"/>
                          <a:gd name="f18" fmla="val f16"/>
                          <a:gd name="f19" fmla="val f17"/>
                          <a:gd name="f20" fmla="*/ f3 f15 1"/>
                          <a:gd name="f21" fmla="+- f19 0 f3"/>
                          <a:gd name="f22" fmla="+- f18 0 f3"/>
                          <a:gd name="f23" fmla="*/ f18 f15 1"/>
                          <a:gd name="f24" fmla="*/ f19 f15 1"/>
                          <a:gd name="f25" fmla="min f22 f21"/>
                          <a:gd name="f26" fmla="*/ f25 f4 1"/>
                          <a:gd name="f27" fmla="*/ f26 1 100000"/>
                          <a:gd name="f28" fmla="*/ f27 1 5"/>
                          <a:gd name="f29" fmla="+- f18 0 f27"/>
                          <a:gd name="f30" fmla="+- f19 0 f27"/>
                          <a:gd name="f31" fmla="+- f29 f28 0"/>
                          <a:gd name="f32" fmla="+- f30 f28 0"/>
                          <a:gd name="f33" fmla="*/ f30 f15 1"/>
                          <a:gd name="f34" fmla="*/ f29 f15 1"/>
                          <a:gd name="f35" fmla="*/ f31 f15 1"/>
                          <a:gd name="f36" fmla="*/ f32 f15 1"/>
                        </a:gdLst>
                        <a:ahLst/>
                        <a:cxnLst>
                          <a:cxn ang="3cd4">
                            <a:pos x="hc" y="t"/>
                          </a:cxn>
                          <a:cxn ang="0">
                            <a:pos x="r" y="vc"/>
                          </a:cxn>
                          <a:cxn ang="cd4">
                            <a:pos x="hc" y="b"/>
                          </a:cxn>
                          <a:cxn ang="cd2">
                            <a:pos x="l" y="vc"/>
                          </a:cxn>
                        </a:cxnLst>
                        <a:rect l="f20" t="f20" r="f23" b="f33"/>
                        <a:pathLst>
                          <a:path stroke="0">
                            <a:moveTo>
                              <a:pt x="f20" y="f20"/>
                            </a:moveTo>
                            <a:lnTo>
                              <a:pt x="f23" y="f20"/>
                            </a:lnTo>
                            <a:lnTo>
                              <a:pt x="f23" y="f33"/>
                            </a:lnTo>
                            <a:lnTo>
                              <a:pt x="f34" y="f24"/>
                            </a:lnTo>
                            <a:lnTo>
                              <a:pt x="f20" y="f24"/>
                            </a:lnTo>
                            <a:close/>
                          </a:path>
                          <a:path stroke="0">
                            <a:moveTo>
                              <a:pt x="f34" y="f24"/>
                            </a:moveTo>
                            <a:lnTo>
                              <a:pt x="f35" y="f36"/>
                            </a:lnTo>
                            <a:lnTo>
                              <a:pt x="f23" y="f33"/>
                            </a:lnTo>
                            <a:close/>
                          </a:path>
                          <a:path fill="none">
                            <a:moveTo>
                              <a:pt x="f34" y="f24"/>
                            </a:moveTo>
                            <a:lnTo>
                              <a:pt x="f35" y="f36"/>
                            </a:lnTo>
                            <a:lnTo>
                              <a:pt x="f23" y="f33"/>
                            </a:lnTo>
                            <a:lnTo>
                              <a:pt x="f34" y="f24"/>
                            </a:lnTo>
                            <a:lnTo>
                              <a:pt x="f20" y="f24"/>
                            </a:lnTo>
                            <a:lnTo>
                              <a:pt x="f20" y="f20"/>
                            </a:lnTo>
                            <a:lnTo>
                              <a:pt x="f23" y="f20"/>
                            </a:lnTo>
                            <a:lnTo>
                              <a:pt x="f23" y="f33"/>
                            </a:lnTo>
                          </a:path>
                        </a:pathLst>
                      </a:custGeom>
                      <a:solidFill>
                        <a:srgbClr val="FFFFFF"/>
                      </a:solidFill>
                      <a:ln w="3172">
                        <a:solidFill>
                          <a:srgbClr val="808080"/>
                        </a:solidFill>
                        <a:prstDash val="solid"/>
                        <a:round/>
                      </a:ln>
                    </wps:spPr>
                    <wps:txbx>
                      <w:txbxContent>
                        <w:p w:rsidR="009B66B0" w:rsidRDefault="00C6376C">
                          <w:pPr>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53</w:t>
                          </w:r>
                          <w:r>
                            <w:rPr>
                              <w:sz w:val="16"/>
                              <w:szCs w:val="16"/>
                            </w:rPr>
                            <w:fldChar w:fldCharType="end"/>
                          </w:r>
                        </w:p>
                      </w:txbxContent>
                    </wps:txbx>
                    <wps:bodyPr vert="horz" wrap="square" lIns="91440" tIns="45720" rIns="91440" bIns="45720" anchor="t" anchorCtr="0" compatLnSpc="0">
                      <a:noAutofit/>
                    </wps:bodyPr>
                  </wps:wsp>
                </a:graphicData>
              </a:graphic>
            </wp:anchor>
          </w:drawing>
        </mc:Choice>
        <mc:Fallback>
          <w:pict>
            <v:shape id="_x0000_s1028" style="position:absolute;margin-left:0;margin-top:0;width:29pt;height:21.6pt;z-index:251663360;visibility:visible;mso-wrap-style:square;mso-wrap-distance-left:9pt;mso-wrap-distance-top:0;mso-wrap-distance-right:9pt;mso-wrap-distance-bottom:0;mso-position-horizontal:absolute;mso-position-horizontal-relative:page;mso-position-vertical:absolute;mso-position-vertical-relative:page;v-text-anchor:top" coordsize="368302,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" adj="-11796480,,5400" path="m,nsl368302,r,179515l273497,274320,,274320,,xem273497,274320nsl292458,198476r75844,-18961l273497,274320xem273497,274320nfl292458,198476r75844,-18961l273497,274320,,274320,,,368302,r,179515e" strokecolor="gray" strokeweight=".08811mm">
              <v:stroke joinstyle="round"/>
              <v:formulas/>
              <v:path arrowok="t" o:connecttype="custom" o:connectlocs="184151,0;368302,137160;184151,274320;0,137160" o:connectangles="270,0,90,180" textboxrect="0,0,368302,179515"/>
              <v:textbox>
                <w:txbxContent>
                  <w:p w:rsidR="009B66B0" w:rsidRDefault="00C6376C">
                    <w:pPr>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53</w:t>
                    </w:r>
                    <w:r>
                      <w:rPr>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B0" w:rsidRDefault="00C6376C">
    <w:pPr>
      <w:pStyle w:val="Pieddepage"/>
      <w:jc w:val="center"/>
    </w:pPr>
    <w:r>
      <w:fldChar w:fldCharType="begin"/>
    </w:r>
    <w:r>
      <w:instrText xml:space="preserve"> PAGE </w:instrText>
    </w:r>
    <w:r>
      <w:fldChar w:fldCharType="separate"/>
    </w:r>
    <w:r>
      <w:t>55</w:t>
    </w:r>
    <w:r>
      <w:fldChar w:fldCharType="end"/>
    </w:r>
  </w:p>
  <w:p w:rsidR="009B66B0" w:rsidRDefault="00C6376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B0" w:rsidRDefault="00C6376C">
    <w:pPr>
      <w:pStyle w:val="Pieddepage"/>
      <w:jc w:val="center"/>
    </w:pPr>
    <w:r>
      <w:fldChar w:fldCharType="begin"/>
    </w:r>
    <w:r>
      <w:instrText xml:space="preserve"> PAGE </w:instrText>
    </w:r>
    <w:r>
      <w:fldChar w:fldCharType="separate"/>
    </w:r>
    <w:r>
      <w:t>71</w:t>
    </w:r>
    <w:r>
      <w:fldChar w:fldCharType="end"/>
    </w:r>
  </w:p>
  <w:p w:rsidR="009B66B0" w:rsidRDefault="00C637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6C" w:rsidRDefault="00C6376C">
      <w:pPr>
        <w:spacing w:after="0" w:line="240" w:lineRule="auto"/>
      </w:pPr>
      <w:r>
        <w:rPr>
          <w:color w:val="000000"/>
        </w:rPr>
        <w:separator/>
      </w:r>
    </w:p>
  </w:footnote>
  <w:footnote w:type="continuationSeparator" w:id="0">
    <w:p w:rsidR="00C6376C" w:rsidRDefault="00C6376C">
      <w:pPr>
        <w:spacing w:after="0" w:line="240" w:lineRule="auto"/>
      </w:pPr>
      <w:r>
        <w:continuationSeparator/>
      </w:r>
    </w:p>
  </w:footnote>
  <w:footnote w:id="1">
    <w:p w:rsidR="00864EC1" w:rsidRDefault="00C6376C">
      <w:pPr>
        <w:pStyle w:val="Notedebasdepage"/>
      </w:pPr>
      <w:r>
        <w:rPr>
          <w:rStyle w:val="Appelnotedebasdep"/>
        </w:rPr>
        <w:footnoteRef/>
      </w:r>
      <w:r>
        <w:t xml:space="preserve"> </w:t>
      </w:r>
      <w:r>
        <w:rPr>
          <w:rFonts w:ascii="Times New Roman" w:hAnsi="Times New Roman"/>
          <w:sz w:val="24"/>
          <w:szCs w:val="24"/>
        </w:rPr>
        <w:t xml:space="preserve">Cette évaluation a été conduite par </w:t>
      </w:r>
      <w:r>
        <w:rPr>
          <w:rFonts w:ascii="Times New Roman" w:hAnsi="Times New Roman"/>
          <w:b/>
          <w:sz w:val="24"/>
          <w:szCs w:val="24"/>
        </w:rPr>
        <w:t>Daniel Mikayoulou</w:t>
      </w:r>
      <w:r>
        <w:rPr>
          <w:rFonts w:ascii="Times New Roman" w:hAnsi="Times New Roman"/>
          <w:sz w:val="24"/>
          <w:szCs w:val="24"/>
        </w:rPr>
        <w:t>, consultant international, spécialiste en planification stratégique, suivi et évaluation des politiques publiques et des programmes de développement</w:t>
      </w:r>
    </w:p>
  </w:footnote>
  <w:footnote w:id="2">
    <w:p w:rsidR="00864EC1" w:rsidRDefault="00C6376C">
      <w:pPr>
        <w:pStyle w:val="Notedebasdepage"/>
        <w:jc w:val="both"/>
      </w:pPr>
      <w:r>
        <w:rPr>
          <w:rStyle w:val="Appelnotedebasdep"/>
        </w:rPr>
        <w:footnoteRef/>
      </w:r>
      <w:r>
        <w:t xml:space="preserve"> </w:t>
      </w:r>
      <w:r>
        <w:rPr>
          <w:rFonts w:ascii="Times New Roman" w:hAnsi="Times New Roman"/>
        </w:rPr>
        <w:t>Nous n’avons pas eu accès à ce rapport. Mais, lors de notre entretien avec le Secrétaire Général de l’ONDH, nous avons obtenu quelques informations sur les principales conclusions de cette évaluation du bil</w:t>
      </w:r>
      <w:r>
        <w:rPr>
          <w:rFonts w:ascii="Times New Roman" w:hAnsi="Times New Roman"/>
        </w:rPr>
        <w:t>an des réalisations de l’ONDH</w:t>
      </w:r>
      <w:r>
        <w:t xml:space="preserve"> </w:t>
      </w:r>
    </w:p>
  </w:footnote>
  <w:footnote w:id="3">
    <w:p w:rsidR="00864EC1" w:rsidRDefault="00C6376C">
      <w:pPr>
        <w:pStyle w:val="Notedebasdepage"/>
        <w:jc w:val="both"/>
      </w:pPr>
      <w:r>
        <w:rPr>
          <w:rStyle w:val="Appelnotedebasdep"/>
        </w:rPr>
        <w:footnoteRef/>
      </w:r>
      <w:r>
        <w:t xml:space="preserve"> </w:t>
      </w:r>
      <w:r>
        <w:rPr>
          <w:rFonts w:ascii="Times New Roman" w:hAnsi="Times New Roman"/>
        </w:rPr>
        <w:t>Cf. page 18 du document du programme conjoint d’appui à l’ONDH. Cet objectif général est cohérent avec celui de « </w:t>
      </w:r>
      <w:r>
        <w:rPr>
          <w:rFonts w:ascii="Times New Roman" w:hAnsi="Times New Roman"/>
          <w:b/>
          <w:i/>
        </w:rPr>
        <w:t xml:space="preserve">la première phase du programme qui visait appuyer et accompagner </w:t>
      </w:r>
      <w:r>
        <w:rPr>
          <w:rFonts w:ascii="Times New Roman" w:hAnsi="Times New Roman"/>
          <w:b/>
          <w:i/>
        </w:rPr>
        <w:t>l’ONDH dans la mise en place des outils lui permettant d’accomplir son mandat général à travers ses principales missions</w:t>
      </w:r>
      <w:r>
        <w:rPr>
          <w:rFonts w:ascii="Times New Roman" w:hAnsi="Times New Roman"/>
        </w:rPr>
        <w:t xml:space="preserve"> ». </w:t>
      </w:r>
    </w:p>
  </w:footnote>
  <w:footnote w:id="4">
    <w:p w:rsidR="00864EC1" w:rsidRDefault="00C6376C">
      <w:pPr>
        <w:pStyle w:val="Notedebasdepage"/>
        <w:jc w:val="both"/>
      </w:pPr>
      <w:r>
        <w:rPr>
          <w:rStyle w:val="Appelnotedebasdep"/>
        </w:rPr>
        <w:footnoteRef/>
      </w:r>
      <w:r>
        <w:t xml:space="preserve"> </w:t>
      </w:r>
      <w:r>
        <w:rPr>
          <w:rFonts w:ascii="Times New Roman" w:hAnsi="Times New Roman"/>
        </w:rPr>
        <w:t>Dans le document du programme signé, on note des estimations différentes du budget global du programme conjoint. Le cadre des résultats et des ressources 2012-2016 affiche un budg</w:t>
      </w:r>
      <w:r>
        <w:rPr>
          <w:rFonts w:ascii="Times New Roman" w:hAnsi="Times New Roman"/>
        </w:rPr>
        <w:t>et global estimé à 2.565000 $. Cependant, l’échéancier indicatif des versements (Annexe 6) fait ressortir un budget global estimé à 2.500.000 $. Dans le texte, il est indiqué la deuxième estimation du budget global signalée dans les Tdr.</w:t>
      </w:r>
      <w:r>
        <w:t xml:space="preserve">   </w:t>
      </w:r>
    </w:p>
  </w:footnote>
  <w:footnote w:id="5">
    <w:p w:rsidR="00864EC1" w:rsidRDefault="00C6376C">
      <w:pPr>
        <w:pStyle w:val="Notedebasdepage"/>
        <w:jc w:val="both"/>
      </w:pPr>
      <w:r>
        <w:rPr>
          <w:rStyle w:val="Appelnotedebasdep"/>
        </w:rPr>
        <w:footnoteRef/>
      </w:r>
      <w:r>
        <w:t xml:space="preserve"> </w:t>
      </w:r>
      <w:r>
        <w:rPr>
          <w:rFonts w:ascii="Times New Roman" w:hAnsi="Times New Roman"/>
        </w:rPr>
        <w:t xml:space="preserve">Cf. Note de présentation de la loi organique relative à la loi des finances (LOLF)  et  Projet de réforme de la loi organique relative à la loi des finances (LOLF) - Ministère de l’économie et des finances - Royaume du Maroc </w:t>
      </w:r>
    </w:p>
  </w:footnote>
  <w:footnote w:id="6">
    <w:p w:rsidR="00864EC1" w:rsidRDefault="00C6376C">
      <w:pPr>
        <w:pStyle w:val="Notedebasdepage"/>
        <w:jc w:val="both"/>
      </w:pPr>
      <w:r>
        <w:rPr>
          <w:rStyle w:val="Appelnotedebasdep"/>
        </w:rPr>
        <w:footnoteRef/>
      </w:r>
      <w:r>
        <w:rPr>
          <w:rFonts w:ascii="Times New Roman" w:hAnsi="Times New Roman"/>
        </w:rPr>
        <w:t xml:space="preserve"> Cf. Décret n° 2 -08-394 du 23 chaoual 1429 (</w:t>
      </w:r>
      <w:r>
        <w:rPr>
          <w:rFonts w:ascii="Times New Roman" w:hAnsi="Times New Roman"/>
        </w:rPr>
        <w:t xml:space="preserve">23 octobre 2008) portant création de l’Observatoire national de développement humain (ONDH). </w:t>
      </w:r>
    </w:p>
  </w:footnote>
  <w:footnote w:id="7">
    <w:p w:rsidR="00864EC1" w:rsidRDefault="00C6376C">
      <w:pPr>
        <w:pStyle w:val="Notedebasdepage"/>
        <w:jc w:val="both"/>
      </w:pPr>
      <w:r>
        <w:rPr>
          <w:rStyle w:val="Appelnotedebasdep"/>
        </w:rPr>
        <w:footnoteRef/>
      </w:r>
      <w:r>
        <w:rPr>
          <w:rFonts w:ascii="Times New Roman" w:hAnsi="Times New Roman"/>
        </w:rPr>
        <w:t xml:space="preserve"> Il s’agit des axes de partenariat suivants : Outils et app</w:t>
      </w:r>
      <w:r>
        <w:rPr>
          <w:rFonts w:ascii="Times New Roman" w:hAnsi="Times New Roman"/>
        </w:rPr>
        <w:t>roches innovants pour l’analyse du développement humain au Maroc ; Développer le pôle d’expertise pour une meilleure gestion des connaissances</w:t>
      </w:r>
      <w:r>
        <w:t xml:space="preserve"> ; </w:t>
      </w:r>
    </w:p>
  </w:footnote>
  <w:footnote w:id="8">
    <w:p w:rsidR="00864EC1" w:rsidRDefault="00C6376C">
      <w:pPr>
        <w:pStyle w:val="Notedebasdepage"/>
      </w:pPr>
      <w:r>
        <w:rPr>
          <w:rStyle w:val="Appelnotedebasdep"/>
        </w:rPr>
        <w:footnoteRef/>
      </w:r>
      <w:r>
        <w:t xml:space="preserve"> </w:t>
      </w:r>
      <w:r>
        <w:rPr>
          <w:rFonts w:ascii="Times New Roman" w:hAnsi="Times New Roman"/>
        </w:rPr>
        <w:t>Cf. Résolution 59/250</w:t>
      </w:r>
      <w:r>
        <w:rPr>
          <w:rFonts w:ascii="Times New Roman" w:hAnsi="Times New Roman"/>
        </w:rPr>
        <w:t>, Résolution 62/208 et résolution 67/226 adoptées par l’Assemblée Générale des Nations Unies respectivement lors de sa cinquantième neuvième session, sa soixante deuxième session et sa soixante septième session.</w:t>
      </w:r>
    </w:p>
  </w:footnote>
  <w:footnote w:id="9">
    <w:p w:rsidR="00864EC1" w:rsidRDefault="00C6376C">
      <w:pPr>
        <w:pStyle w:val="Notedebasdepage"/>
        <w:jc w:val="both"/>
      </w:pPr>
      <w:r>
        <w:rPr>
          <w:rStyle w:val="Appelnotedebasdep"/>
        </w:rPr>
        <w:footnoteRef/>
      </w:r>
      <w:r>
        <w:t xml:space="preserve"> </w:t>
      </w:r>
      <w:r>
        <w:rPr>
          <w:rFonts w:ascii="Times New Roman" w:hAnsi="Times New Roman"/>
        </w:rPr>
        <w:t>Cf. point 47 du projet de résolution renvoyé au Sommet des Nations Unies consacré à l’adoption du programme de développement pour l’après 2015 par l’Assemblée général</w:t>
      </w:r>
      <w:r>
        <w:rPr>
          <w:rFonts w:ascii="Times New Roman" w:hAnsi="Times New Roman"/>
        </w:rPr>
        <w:t>e lors de sa 69</w:t>
      </w:r>
      <w:r>
        <w:rPr>
          <w:rFonts w:ascii="Times New Roman" w:hAnsi="Times New Roman"/>
          <w:vertAlign w:val="superscript"/>
        </w:rPr>
        <w:t>ème</w:t>
      </w:r>
      <w:r>
        <w:rPr>
          <w:rFonts w:ascii="Times New Roman" w:hAnsi="Times New Roman"/>
        </w:rPr>
        <w:t xml:space="preserve"> session</w:t>
      </w:r>
    </w:p>
  </w:footnote>
  <w:footnote w:id="10">
    <w:p w:rsidR="00864EC1" w:rsidRDefault="00C6376C">
      <w:pPr>
        <w:pStyle w:val="Notedebasdepage"/>
      </w:pPr>
      <w:r>
        <w:rPr>
          <w:rStyle w:val="Appelnotedebasdep"/>
        </w:rPr>
        <w:footnoteRef/>
      </w:r>
      <w:r>
        <w:t xml:space="preserve"> </w:t>
      </w:r>
      <w:r>
        <w:rPr>
          <w:rFonts w:ascii="Times New Roman" w:hAnsi="Times New Roman"/>
        </w:rPr>
        <w:t>Cf. Résolution adoptée par l’Assemblée générale le 25 s</w:t>
      </w:r>
      <w:r>
        <w:rPr>
          <w:rFonts w:ascii="Times New Roman" w:hAnsi="Times New Roman"/>
        </w:rPr>
        <w:t xml:space="preserve">eptembre 2015 : Transformer notre monde - le programme de développement durable 2030 - Nations Unies </w:t>
      </w:r>
    </w:p>
  </w:footnote>
  <w:footnote w:id="11">
    <w:p w:rsidR="00864EC1" w:rsidRDefault="00C6376C">
      <w:pPr>
        <w:pStyle w:val="Notedebasdepage"/>
      </w:pPr>
      <w:r>
        <w:rPr>
          <w:rStyle w:val="Appelnotedebasdep"/>
        </w:rPr>
        <w:footnoteRef/>
      </w:r>
      <w:r>
        <w:rPr>
          <w:rFonts w:ascii="Times New Roman" w:hAnsi="Times New Roman"/>
        </w:rPr>
        <w:t xml:space="preserve"> L’ONDH a pris part à cette rencontre qui s’est tenue du 23 au 25 novembre 2015 à Katmandou au Népal. </w:t>
      </w:r>
    </w:p>
  </w:footnote>
  <w:footnote w:id="12">
    <w:p w:rsidR="00864EC1" w:rsidRDefault="00C6376C">
      <w:pPr>
        <w:pStyle w:val="Notedebasdepage"/>
      </w:pPr>
      <w:r>
        <w:rPr>
          <w:rStyle w:val="Appelnotedebasdep"/>
        </w:rPr>
        <w:footnoteRef/>
      </w:r>
      <w:r>
        <w:rPr>
          <w:rFonts w:ascii="Times New Roman" w:hAnsi="Times New Roman"/>
        </w:rPr>
        <w:t xml:space="preserve"> Cf. Perret B. « L’évaluation des politiques publiques » Editions La découverte, Paris 2008, page 103</w:t>
      </w:r>
    </w:p>
  </w:footnote>
  <w:footnote w:id="13">
    <w:p w:rsidR="00864EC1" w:rsidRDefault="00C6376C">
      <w:pPr>
        <w:pStyle w:val="Notedebasdepage"/>
        <w:jc w:val="both"/>
      </w:pPr>
      <w:r>
        <w:rPr>
          <w:rStyle w:val="Appelnotedebasdep"/>
        </w:rPr>
        <w:footnoteRef/>
      </w:r>
      <w:r>
        <w:t xml:space="preserve"> </w:t>
      </w:r>
      <w:r>
        <w:rPr>
          <w:rFonts w:ascii="Times New Roman" w:hAnsi="Times New Roman"/>
        </w:rPr>
        <w:t>La dimension cognitive de l’évaluation met l’accent sur la pr</w:t>
      </w:r>
      <w:r>
        <w:rPr>
          <w:rFonts w:ascii="Times New Roman" w:hAnsi="Times New Roman"/>
        </w:rPr>
        <w:t>oduction des connaissances. La dimension normative est centrée sur l’appréciation de la valeur. La dimension instrumentale ou utilitaire s’intéresse à la mesure ou l’appréciation de la performance  des politiques, des programmes ou des projets. Petit guide</w:t>
      </w:r>
      <w:r>
        <w:rPr>
          <w:rFonts w:ascii="Times New Roman" w:hAnsi="Times New Roman"/>
        </w:rPr>
        <w:t xml:space="preserve"> de l’évaluation des politiques publiques - Documentation française, Paris 1996</w:t>
      </w:r>
      <w:r>
        <w:t>.</w:t>
      </w:r>
    </w:p>
  </w:footnote>
  <w:footnote w:id="14">
    <w:p w:rsidR="00864EC1" w:rsidRDefault="00C6376C">
      <w:pPr>
        <w:pStyle w:val="Notedebasdepage"/>
        <w:jc w:val="both"/>
      </w:pPr>
      <w:r>
        <w:rPr>
          <w:rStyle w:val="Appelnotedebasdep"/>
        </w:rPr>
        <w:footnoteRef/>
      </w:r>
      <w:r>
        <w:rPr>
          <w:rFonts w:ascii="Times New Roman" w:hAnsi="Times New Roman"/>
        </w:rPr>
        <w:t xml:space="preserve"> Cf. Perret B,  op cité </w:t>
      </w:r>
    </w:p>
  </w:footnote>
  <w:footnote w:id="15">
    <w:p w:rsidR="00864EC1" w:rsidRDefault="00C6376C">
      <w:pPr>
        <w:pStyle w:val="Notedebasdepage"/>
        <w:jc w:val="both"/>
      </w:pPr>
      <w:r>
        <w:rPr>
          <w:rStyle w:val="Appelnotedebasdep"/>
        </w:rPr>
        <w:footnoteRef/>
      </w:r>
      <w:r>
        <w:rPr>
          <w:rFonts w:ascii="Times New Roman" w:hAnsi="Times New Roman"/>
        </w:rPr>
        <w:t xml:space="preserve"> Cf. Cauquil G. « Participation citoyenne à l’évaluation » - Communication à la conférence internationale sur l’institutionnalisation de l’évaluation des politiques publiques tenue du 05 au 06 octobre 2015 à Raba</w:t>
      </w:r>
      <w:r>
        <w:rPr>
          <w:rFonts w:ascii="Times New Roman" w:hAnsi="Times New Roman"/>
        </w:rPr>
        <w:t>t -  Rapport synthèse de la conférence, ONDH,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15:restartNumberingAfterBreak="0">
    <w:nsid w:val="084C6A11"/>
    <w:multiLevelType w:val="multilevel"/>
    <w:tmpl w:val="B502BCDE"/>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C56979"/>
    <w:multiLevelType w:val="multilevel"/>
    <w:tmpl w:val="1AACB9D8"/>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EB5FAD"/>
    <w:multiLevelType w:val="multilevel"/>
    <w:tmpl w:val="589491D8"/>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3D18DF"/>
    <w:multiLevelType w:val="multilevel"/>
    <w:tmpl w:val="8B18AED6"/>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2B51B4"/>
    <w:multiLevelType w:val="multilevel"/>
    <w:tmpl w:val="75B88BDA"/>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0828EC"/>
    <w:multiLevelType w:val="multilevel"/>
    <w:tmpl w:val="1E0ADD0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33B1D63"/>
    <w:multiLevelType w:val="multilevel"/>
    <w:tmpl w:val="31AAD180"/>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C90BF1"/>
    <w:multiLevelType w:val="multilevel"/>
    <w:tmpl w:val="7A92AE3C"/>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D2B5C65"/>
    <w:multiLevelType w:val="multilevel"/>
    <w:tmpl w:val="A97437BA"/>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5D25F99"/>
    <w:multiLevelType w:val="multilevel"/>
    <w:tmpl w:val="5D169374"/>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8AB1A91"/>
    <w:multiLevelType w:val="multilevel"/>
    <w:tmpl w:val="D4463B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62165CD"/>
    <w:multiLevelType w:val="multilevel"/>
    <w:tmpl w:val="7894306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A58188F"/>
    <w:multiLevelType w:val="multilevel"/>
    <w:tmpl w:val="98D0ECB6"/>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D42014F"/>
    <w:multiLevelType w:val="multilevel"/>
    <w:tmpl w:val="DF6249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874406"/>
    <w:multiLevelType w:val="multilevel"/>
    <w:tmpl w:val="CEDA40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D33591"/>
    <w:multiLevelType w:val="multilevel"/>
    <w:tmpl w:val="562C59B4"/>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565AD4"/>
    <w:multiLevelType w:val="multilevel"/>
    <w:tmpl w:val="70863F26"/>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4554E95"/>
    <w:multiLevelType w:val="multilevel"/>
    <w:tmpl w:val="D5943744"/>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C99726D"/>
    <w:multiLevelType w:val="multilevel"/>
    <w:tmpl w:val="104EEDE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6EDE1B0F"/>
    <w:multiLevelType w:val="multilevel"/>
    <w:tmpl w:val="9FBA1AFA"/>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0AD7345"/>
    <w:multiLevelType w:val="multilevel"/>
    <w:tmpl w:val="B7D2779C"/>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21D230C"/>
    <w:multiLevelType w:val="multilevel"/>
    <w:tmpl w:val="5D68CC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1C082D"/>
    <w:multiLevelType w:val="multilevel"/>
    <w:tmpl w:val="CFB049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1"/>
  </w:num>
  <w:num w:numId="3">
    <w:abstractNumId w:val="0"/>
  </w:num>
  <w:num w:numId="4">
    <w:abstractNumId w:val="5"/>
  </w:num>
  <w:num w:numId="5">
    <w:abstractNumId w:val="8"/>
  </w:num>
  <w:num w:numId="6">
    <w:abstractNumId w:val="22"/>
  </w:num>
  <w:num w:numId="7">
    <w:abstractNumId w:val="14"/>
  </w:num>
  <w:num w:numId="8">
    <w:abstractNumId w:val="11"/>
  </w:num>
  <w:num w:numId="9">
    <w:abstractNumId w:val="10"/>
  </w:num>
  <w:num w:numId="10">
    <w:abstractNumId w:val="21"/>
  </w:num>
  <w:num w:numId="11">
    <w:abstractNumId w:val="7"/>
  </w:num>
  <w:num w:numId="12">
    <w:abstractNumId w:val="17"/>
  </w:num>
  <w:num w:numId="13">
    <w:abstractNumId w:val="13"/>
  </w:num>
  <w:num w:numId="14">
    <w:abstractNumId w:val="3"/>
  </w:num>
  <w:num w:numId="15">
    <w:abstractNumId w:val="16"/>
  </w:num>
  <w:num w:numId="16">
    <w:abstractNumId w:val="20"/>
  </w:num>
  <w:num w:numId="17">
    <w:abstractNumId w:val="2"/>
  </w:num>
  <w:num w:numId="18">
    <w:abstractNumId w:val="9"/>
  </w:num>
  <w:num w:numId="19">
    <w:abstractNumId w:val="4"/>
  </w:num>
  <w:num w:numId="20">
    <w:abstractNumId w:val="12"/>
  </w:num>
  <w:num w:numId="21">
    <w:abstractNumId w:val="15"/>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64EC1"/>
    <w:rsid w:val="00864EC1"/>
    <w:rsid w:val="00AD0B06"/>
    <w:rsid w:val="00C63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5F757-3CF4-4527-ABA5-73E15315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paragraph" w:styleId="Titre1">
    <w:name w:val="heading 1"/>
    <w:basedOn w:val="Normal"/>
    <w:next w:val="Normal"/>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pPr>
      <w:keepNext/>
      <w:keepLines/>
      <w:spacing w:before="200" w:after="0"/>
      <w:outlineLvl w:val="2"/>
    </w:pPr>
    <w:rPr>
      <w:rFonts w:ascii="Cambria" w:eastAsia="Times New Roman" w:hAnsi="Cambria"/>
      <w:b/>
      <w:bCs/>
      <w:color w:val="4F81BD"/>
    </w:rPr>
  </w:style>
  <w:style w:type="paragraph" w:styleId="Titre4">
    <w:name w:val="heading 4"/>
    <w:basedOn w:val="Normal"/>
    <w:next w:val="Normal"/>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pPr>
      <w:keepNext/>
      <w:keepLines/>
      <w:spacing w:before="200" w:after="0"/>
      <w:outlineLvl w:val="4"/>
    </w:pPr>
    <w:rPr>
      <w:rFonts w:ascii="Cambria" w:eastAsia="Times New Roman" w:hAnsi="Cambria"/>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pPr>
      <w:spacing w:after="0" w:line="240" w:lineRule="auto"/>
    </w:pPr>
    <w:rPr>
      <w:sz w:val="20"/>
      <w:szCs w:val="20"/>
    </w:rPr>
  </w:style>
  <w:style w:type="character" w:customStyle="1" w:styleId="NotedebasdepageCar">
    <w:name w:val="Note de bas de page Car"/>
    <w:basedOn w:val="Policepardfaut"/>
    <w:rPr>
      <w:rFonts w:ascii="Calibri" w:eastAsia="Calibri" w:hAnsi="Calibri" w:cs="Times New Roman"/>
      <w:sz w:val="20"/>
      <w:szCs w:val="20"/>
    </w:rPr>
  </w:style>
  <w:style w:type="character" w:styleId="Appelnotedebasdep">
    <w:name w:val="footnote reference"/>
    <w:basedOn w:val="Policepardfaut"/>
    <w:rPr>
      <w:position w:val="0"/>
      <w:vertAlign w:val="superscript"/>
    </w:rPr>
  </w:style>
  <w:style w:type="paragraph" w:styleId="Paragraphedeliste">
    <w:name w:val="List Paragraph"/>
    <w:basedOn w:val="Normal"/>
    <w:pPr>
      <w:ind w:left="720"/>
    </w:pPr>
  </w:style>
  <w:style w:type="character" w:customStyle="1" w:styleId="Titre1Car">
    <w:name w:val="Titre 1 Car"/>
    <w:basedOn w:val="Policepardfaut"/>
    <w:rPr>
      <w:rFonts w:ascii="Cambria" w:eastAsia="Times New Roman" w:hAnsi="Cambria"/>
      <w:b/>
      <w:bCs/>
      <w:color w:val="365F91"/>
      <w:sz w:val="28"/>
      <w:szCs w:val="28"/>
    </w:rPr>
  </w:style>
  <w:style w:type="character" w:customStyle="1" w:styleId="Titre2Car">
    <w:name w:val="Titre 2 Car"/>
    <w:basedOn w:val="Policepardfaut"/>
    <w:rPr>
      <w:rFonts w:ascii="Cambria" w:eastAsia="Times New Roman" w:hAnsi="Cambria"/>
      <w:b/>
      <w:bCs/>
      <w:color w:val="4F81BD"/>
      <w:sz w:val="26"/>
      <w:szCs w:val="26"/>
    </w:rPr>
  </w:style>
  <w:style w:type="character" w:customStyle="1" w:styleId="Titre3Car">
    <w:name w:val="Titre 3 Car"/>
    <w:basedOn w:val="Policepardfaut"/>
    <w:rPr>
      <w:rFonts w:ascii="Cambria" w:eastAsia="Times New Roman" w:hAnsi="Cambria"/>
      <w:b/>
      <w:bCs/>
      <w:color w:val="4F81BD"/>
    </w:rPr>
  </w:style>
  <w:style w:type="character" w:customStyle="1" w:styleId="Titre4Car">
    <w:name w:val="Titre 4 Car"/>
    <w:basedOn w:val="Policepardfaut"/>
    <w:rPr>
      <w:rFonts w:ascii="Cambria" w:eastAsia="Times New Roman" w:hAnsi="Cambria"/>
      <w:b/>
      <w:bCs/>
      <w:i/>
      <w:iCs/>
      <w:color w:val="4F81BD"/>
    </w:rPr>
  </w:style>
  <w:style w:type="paragraph" w:customStyle="1" w:styleId="Default">
    <w:name w:val="Default"/>
    <w:pPr>
      <w:autoSpaceDE w:val="0"/>
      <w:spacing w:after="0" w:line="240" w:lineRule="auto"/>
      <w:textAlignment w:val="auto"/>
    </w:pPr>
    <w:rPr>
      <w:rFonts w:ascii="Times New Roman" w:hAnsi="Times New Roman"/>
      <w:color w:val="000000"/>
      <w:sz w:val="24"/>
      <w:szCs w:val="24"/>
    </w:r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styleId="Titre">
    <w:name w:val="Title"/>
    <w:basedOn w:val="Normal"/>
    <w:next w:val="Normal"/>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reCar">
    <w:name w:val="Titre Car"/>
    <w:basedOn w:val="Policepardfaut"/>
    <w:rPr>
      <w:rFonts w:ascii="Cambria" w:eastAsia="Times New Roman" w:hAnsi="Cambria" w:cs="Times New Roman"/>
      <w:color w:val="17365D"/>
      <w:spacing w:val="5"/>
      <w:kern w:val="3"/>
      <w:sz w:val="52"/>
      <w:szCs w:val="52"/>
    </w:rPr>
  </w:style>
  <w:style w:type="paragraph" w:styleId="Sansinterligne">
    <w:name w:val="No Spacing"/>
    <w:pPr>
      <w:suppressAutoHyphens/>
      <w:spacing w:after="0" w:line="240" w:lineRule="auto"/>
    </w:pPr>
  </w:style>
  <w:style w:type="character" w:customStyle="1" w:styleId="Titre5Car">
    <w:name w:val="Titre 5 Car"/>
    <w:basedOn w:val="Policepardfaut"/>
    <w:rPr>
      <w:rFonts w:ascii="Cambria" w:eastAsia="Times New Roman" w:hAnsi="Cambria" w:cs="Times New Roman"/>
      <w:color w:val="243F60"/>
    </w:rPr>
  </w:style>
  <w:style w:type="paragraph" w:styleId="En-ttedetabledesmatires">
    <w:name w:val="TOC Heading"/>
    <w:basedOn w:val="Titre1"/>
    <w:next w:val="Normal"/>
    <w:pPr>
      <w:suppressAutoHyphens w:val="0"/>
      <w:textAlignment w:val="auto"/>
    </w:pPr>
    <w:rPr>
      <w:lang w:eastAsia="fr-FR"/>
    </w:rPr>
  </w:style>
  <w:style w:type="paragraph" w:styleId="Sous-titre">
    <w:name w:val="Subtitle"/>
    <w:basedOn w:val="Normal"/>
    <w:next w:val="Normal"/>
    <w:rPr>
      <w:rFonts w:ascii="Cambria" w:eastAsia="Times New Roman" w:hAnsi="Cambria"/>
      <w:i/>
      <w:iCs/>
      <w:color w:val="4F81BD"/>
      <w:spacing w:val="15"/>
      <w:sz w:val="24"/>
      <w:szCs w:val="24"/>
    </w:rPr>
  </w:style>
  <w:style w:type="character" w:customStyle="1" w:styleId="Sous-titreCar">
    <w:name w:val="Sous-titre Car"/>
    <w:basedOn w:val="Policepardfaut"/>
    <w:rPr>
      <w:rFonts w:ascii="Cambria" w:eastAsia="Times New Roman" w:hAnsi="Cambria" w:cs="Times New Roman"/>
      <w:i/>
      <w:iCs/>
      <w:color w:val="4F81BD"/>
      <w:spacing w:val="15"/>
      <w:sz w:val="24"/>
      <w:szCs w:val="24"/>
    </w:rPr>
  </w:style>
  <w:style w:type="character" w:styleId="Accentuation">
    <w:name w:val="Emphasis"/>
    <w:basedOn w:val="Policepardfaut"/>
    <w:rPr>
      <w:i/>
      <w:iCs/>
    </w:rPr>
  </w:style>
  <w:style w:type="character" w:styleId="Emphaseple">
    <w:name w:val="Subtle Emphasis"/>
    <w:basedOn w:val="Policepardfaut"/>
    <w:rPr>
      <w:i/>
      <w:iCs/>
      <w:color w:val="808080"/>
    </w:rPr>
  </w:style>
  <w:style w:type="paragraph" w:styleId="TM1">
    <w:name w:val="toc 1"/>
    <w:basedOn w:val="Normal"/>
    <w:next w:val="Normal"/>
    <w:autoRedefine/>
    <w:pPr>
      <w:spacing w:after="100"/>
    </w:pPr>
  </w:style>
  <w:style w:type="paragraph" w:styleId="TM2">
    <w:name w:val="toc 2"/>
    <w:basedOn w:val="Normal"/>
    <w:next w:val="Normal"/>
    <w:autoRedefine/>
    <w:pPr>
      <w:spacing w:after="100"/>
      <w:ind w:left="220"/>
    </w:pPr>
  </w:style>
  <w:style w:type="paragraph" w:styleId="TM3">
    <w:name w:val="toc 3"/>
    <w:basedOn w:val="Normal"/>
    <w:next w:val="Normal"/>
    <w:autoRedefine/>
    <w:pPr>
      <w:spacing w:after="100"/>
      <w:ind w:left="440"/>
    </w:pPr>
  </w:style>
  <w:style w:type="character" w:styleId="Lienhypertexte">
    <w:name w:val="Hyperlink"/>
    <w:basedOn w:val="Policepardfau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Toc451653130" TargetMode="External"/><Relationship Id="rId13" Type="http://schemas.openxmlformats.org/officeDocument/2006/relationships/hyperlink" Target="#_Toc451653135" TargetMode="External"/><Relationship Id="rId18" Type="http://schemas.openxmlformats.org/officeDocument/2006/relationships/hyperlink" Target="#_Toc451653140" TargetMode="External"/><Relationship Id="rId26" Type="http://schemas.openxmlformats.org/officeDocument/2006/relationships/hyperlink" Target="#_Toc451653148" TargetMode="External"/><Relationship Id="rId39"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_Toc451653143" TargetMode="External"/><Relationship Id="rId34" Type="http://schemas.openxmlformats.org/officeDocument/2006/relationships/hyperlink" Target="#_Toc451653156" TargetMode="External"/><Relationship Id="rId42" Type="http://schemas.openxmlformats.org/officeDocument/2006/relationships/chart" Target="charts/chart2.xml"/><Relationship Id="rId47" Type="http://schemas.openxmlformats.org/officeDocument/2006/relationships/fontTable" Target="fontTable.xml"/><Relationship Id="rId7" Type="http://schemas.openxmlformats.org/officeDocument/2006/relationships/hyperlink" Target="#_Toc451653129" TargetMode="External"/><Relationship Id="rId12" Type="http://schemas.openxmlformats.org/officeDocument/2006/relationships/hyperlink" Target="#_Toc451653134" TargetMode="External"/><Relationship Id="rId17" Type="http://schemas.openxmlformats.org/officeDocument/2006/relationships/hyperlink" Target="#_Toc451653139" TargetMode="External"/><Relationship Id="rId25" Type="http://schemas.openxmlformats.org/officeDocument/2006/relationships/hyperlink" Target="#_Toc451653147" TargetMode="External"/><Relationship Id="rId33" Type="http://schemas.openxmlformats.org/officeDocument/2006/relationships/hyperlink" Target="#_Toc451653155" TargetMode="External"/><Relationship Id="rId38" Type="http://schemas.openxmlformats.org/officeDocument/2006/relationships/hyperlink" Target="#_Toc451653160" TargetMode="External"/><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_Toc451653138" TargetMode="External"/><Relationship Id="rId20" Type="http://schemas.openxmlformats.org/officeDocument/2006/relationships/hyperlink" Target="#_Toc451653142" TargetMode="External"/><Relationship Id="rId29" Type="http://schemas.openxmlformats.org/officeDocument/2006/relationships/hyperlink" Target="#_Toc45165315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451653133" TargetMode="External"/><Relationship Id="rId24" Type="http://schemas.openxmlformats.org/officeDocument/2006/relationships/hyperlink" Target="#_Toc451653146" TargetMode="External"/><Relationship Id="rId32" Type="http://schemas.openxmlformats.org/officeDocument/2006/relationships/hyperlink" Target="#_Toc451653154" TargetMode="External"/><Relationship Id="rId37" Type="http://schemas.openxmlformats.org/officeDocument/2006/relationships/hyperlink" Target="#_Toc451653159" TargetMode="External"/><Relationship Id="rId40" Type="http://schemas.openxmlformats.org/officeDocument/2006/relationships/footer" Target="footer1.xm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_Toc451653137" TargetMode="External"/><Relationship Id="rId23" Type="http://schemas.openxmlformats.org/officeDocument/2006/relationships/hyperlink" Target="#_Toc451653145" TargetMode="External"/><Relationship Id="rId28" Type="http://schemas.openxmlformats.org/officeDocument/2006/relationships/hyperlink" Target="#_Toc451653150" TargetMode="External"/><Relationship Id="rId36" Type="http://schemas.openxmlformats.org/officeDocument/2006/relationships/hyperlink" Target="#_Toc451653158" TargetMode="External"/><Relationship Id="rId10" Type="http://schemas.openxmlformats.org/officeDocument/2006/relationships/hyperlink" Target="#_Toc451653132" TargetMode="External"/><Relationship Id="rId19" Type="http://schemas.openxmlformats.org/officeDocument/2006/relationships/hyperlink" Target="#_Toc451653141" TargetMode="External"/><Relationship Id="rId31" Type="http://schemas.openxmlformats.org/officeDocument/2006/relationships/hyperlink" Target="#_Toc451653153"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_Toc451653131" TargetMode="External"/><Relationship Id="rId14" Type="http://schemas.openxmlformats.org/officeDocument/2006/relationships/hyperlink" Target="#_Toc451653136" TargetMode="External"/><Relationship Id="rId22" Type="http://schemas.openxmlformats.org/officeDocument/2006/relationships/hyperlink" Target="#_Toc451653144" TargetMode="External"/><Relationship Id="rId27" Type="http://schemas.openxmlformats.org/officeDocument/2006/relationships/hyperlink" Target="#_Toc451653149" TargetMode="External"/><Relationship Id="rId30" Type="http://schemas.openxmlformats.org/officeDocument/2006/relationships/hyperlink" Target="#_Toc451653152" TargetMode="External"/><Relationship Id="rId35" Type="http://schemas.openxmlformats.org/officeDocument/2006/relationships/hyperlink" Target="#_Toc451653157" TargetMode="External"/><Relationship Id="rId43" Type="http://schemas.openxmlformats.org/officeDocument/2006/relationships/chart" Target="charts/chart3.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c:style val="2"/>
  <c:chart>
    <c:autoTitleDeleted val="1"/>
    <c:view3D>
      <c:rotX val="0"/>
      <c:rotY val="1"/>
      <c:rAngAx val="0"/>
      <c:perspective val="46"/>
    </c:view3D>
    <c:floor>
      <c:thickness val="0"/>
      <c:spPr>
        <a:noFill/>
        <a:ln w="9528">
          <a:solidFill>
            <a:srgbClr val="868686"/>
          </a:solidFill>
          <a:prstDash val="solid"/>
          <a:round/>
        </a:ln>
      </c:spPr>
    </c:floor>
    <c:sideWall>
      <c:thickness val="0"/>
      <c:spPr>
        <a:noFill/>
        <a:ln>
          <a:noFill/>
        </a:ln>
      </c:spPr>
    </c:sideWall>
    <c:backWall>
      <c:thickness val="0"/>
      <c:spPr>
        <a:noFill/>
        <a:ln>
          <a:noFill/>
        </a:ln>
      </c:spPr>
    </c:backWall>
    <c:plotArea>
      <c:layout/>
      <c:bar3DChart>
        <c:barDir val="col"/>
        <c:grouping val="clustered"/>
        <c:varyColors val="0"/>
        <c:ser>
          <c:idx val="0"/>
          <c:order val="0"/>
          <c:tx>
            <c:v>Cibles 2012-2015</c:v>
          </c:tx>
          <c:spPr>
            <a:solidFill>
              <a:srgbClr val="4F81BD"/>
            </a:solidFill>
            <a:ln>
              <a:noFill/>
            </a:ln>
          </c:spPr>
          <c:invertIfNegative val="0"/>
          <c:cat>
            <c:strLit>
              <c:ptCount val="4"/>
              <c:pt idx="0">
                <c:v>Produit 1</c:v>
              </c:pt>
              <c:pt idx="1">
                <c:v>Produit 2</c:v>
              </c:pt>
              <c:pt idx="2">
                <c:v>Produit 3</c:v>
              </c:pt>
              <c:pt idx="3">
                <c:v>Total </c:v>
              </c:pt>
            </c:strLit>
          </c:cat>
          <c:val>
            <c:numLit>
              <c:formatCode>General</c:formatCode>
              <c:ptCount val="4"/>
              <c:pt idx="0">
                <c:v>13</c:v>
              </c:pt>
              <c:pt idx="1">
                <c:v>14</c:v>
              </c:pt>
              <c:pt idx="2">
                <c:v>12</c:v>
              </c:pt>
              <c:pt idx="3">
                <c:v>39</c:v>
              </c:pt>
            </c:numLit>
          </c:val>
          <c:extLst>
            <c:ext xmlns:c16="http://schemas.microsoft.com/office/drawing/2014/chart" uri="{C3380CC4-5D6E-409C-BE32-E72D297353CC}">
              <c16:uniqueId val="{00000000-66F3-4620-B1C2-0E79BC91BCE4}"/>
            </c:ext>
          </c:extLst>
        </c:ser>
        <c:ser>
          <c:idx val="1"/>
          <c:order val="1"/>
          <c:tx>
            <c:v>Cibles atteintes fin  2015</c:v>
          </c:tx>
          <c:spPr>
            <a:solidFill>
              <a:srgbClr val="C0504D"/>
            </a:solidFill>
            <a:ln>
              <a:noFill/>
            </a:ln>
          </c:spPr>
          <c:invertIfNegative val="0"/>
          <c:cat>
            <c:strLit>
              <c:ptCount val="4"/>
              <c:pt idx="0">
                <c:v>Produit 1</c:v>
              </c:pt>
              <c:pt idx="1">
                <c:v>Produit 2</c:v>
              </c:pt>
              <c:pt idx="2">
                <c:v>Produit 3</c:v>
              </c:pt>
              <c:pt idx="3">
                <c:v>Total </c:v>
              </c:pt>
            </c:strLit>
          </c:cat>
          <c:val>
            <c:numLit>
              <c:formatCode>General</c:formatCode>
              <c:ptCount val="4"/>
              <c:pt idx="0">
                <c:v>10</c:v>
              </c:pt>
              <c:pt idx="1">
                <c:v>13</c:v>
              </c:pt>
              <c:pt idx="2">
                <c:v>10</c:v>
              </c:pt>
              <c:pt idx="3">
                <c:v>33</c:v>
              </c:pt>
            </c:numLit>
          </c:val>
          <c:extLst>
            <c:ext xmlns:c16="http://schemas.microsoft.com/office/drawing/2014/chart" uri="{C3380CC4-5D6E-409C-BE32-E72D297353CC}">
              <c16:uniqueId val="{00000001-66F3-4620-B1C2-0E79BC91BCE4}"/>
            </c:ext>
          </c:extLst>
        </c:ser>
        <c:dLbls>
          <c:showLegendKey val="0"/>
          <c:showVal val="0"/>
          <c:showCatName val="0"/>
          <c:showSerName val="0"/>
          <c:showPercent val="0"/>
          <c:showBubbleSize val="0"/>
        </c:dLbls>
        <c:gapWidth val="150"/>
        <c:shape val="box"/>
        <c:axId val="342824240"/>
        <c:axId val="342822600"/>
        <c:axId val="0"/>
      </c:bar3DChart>
      <c:valAx>
        <c:axId val="342822600"/>
        <c:scaling>
          <c:orientation val="minMax"/>
        </c:scaling>
        <c:delete val="0"/>
        <c:axPos val="l"/>
        <c:majorGridlines>
          <c:spPr>
            <a:ln w="9528">
              <a:solidFill>
                <a:srgbClr val="868686"/>
              </a:solidFill>
              <a:prstDash val="solid"/>
              <a:round/>
            </a:ln>
          </c:spPr>
        </c:majorGridlines>
        <c:numFmt formatCode="General" sourceLinked="0"/>
        <c:majorTickMark val="none"/>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crossAx val="342824240"/>
        <c:crosses val="autoZero"/>
        <c:crossBetween val="between"/>
      </c:valAx>
      <c:catAx>
        <c:axId val="342824240"/>
        <c:scaling>
          <c:orientation val="minMax"/>
        </c:scaling>
        <c:delete val="0"/>
        <c:axPos val="b"/>
        <c:numFmt formatCode="General" sourceLinked="0"/>
        <c:majorTickMark val="none"/>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crossAx val="342822600"/>
        <c:crossesAt val="0"/>
        <c:auto val="1"/>
        <c:lblAlgn val="ctr"/>
        <c:lblOffset val="100"/>
        <c:noMultiLvlLbl val="0"/>
      </c:catAx>
      <c:spPr>
        <a:noFill/>
        <a:ln>
          <a:noFill/>
        </a:ln>
      </c:spPr>
    </c:plotArea>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c:style val="2"/>
  <c:chart>
    <c:autoTitleDeleted val="1"/>
    <c:view3D>
      <c:rotX val="4"/>
      <c:rotY val="9"/>
      <c:rAngAx val="0"/>
      <c:perspective val="46"/>
    </c:view3D>
    <c:floor>
      <c:thickness val="0"/>
      <c:spPr>
        <a:noFill/>
        <a:ln w="9528">
          <a:solidFill>
            <a:srgbClr val="868686"/>
          </a:solidFill>
          <a:prstDash val="solid"/>
          <a:round/>
        </a:ln>
      </c:spPr>
    </c:floor>
    <c:sideWall>
      <c:thickness val="0"/>
      <c:spPr>
        <a:noFill/>
        <a:ln>
          <a:noFill/>
        </a:ln>
      </c:spPr>
    </c:sideWall>
    <c:backWall>
      <c:thickness val="0"/>
      <c:spPr>
        <a:noFill/>
        <a:ln>
          <a:noFill/>
        </a:ln>
      </c:spPr>
    </c:backWall>
    <c:plotArea>
      <c:layout/>
      <c:bar3DChart>
        <c:barDir val="col"/>
        <c:grouping val="clustered"/>
        <c:varyColors val="0"/>
        <c:ser>
          <c:idx val="0"/>
          <c:order val="0"/>
          <c:tx>
            <c:v>Produit 1</c:v>
          </c:tx>
          <c:spPr>
            <a:solidFill>
              <a:srgbClr val="4F81BD"/>
            </a:solidFill>
            <a:ln>
              <a:noFill/>
            </a:ln>
          </c:spPr>
          <c:invertIfNegative val="0"/>
          <c:cat>
            <c:numLit>
              <c:formatCode>General</c:formatCode>
              <c:ptCount val="4"/>
              <c:pt idx="0">
                <c:v>2012</c:v>
              </c:pt>
              <c:pt idx="1">
                <c:v>2013</c:v>
              </c:pt>
              <c:pt idx="2">
                <c:v>2014</c:v>
              </c:pt>
              <c:pt idx="3">
                <c:v>2015</c:v>
              </c:pt>
            </c:numLit>
          </c:cat>
          <c:val>
            <c:numLit>
              <c:formatCode>General</c:formatCode>
              <c:ptCount val="4"/>
              <c:pt idx="0">
                <c:v>0.82</c:v>
              </c:pt>
              <c:pt idx="1">
                <c:v>0.93</c:v>
              </c:pt>
              <c:pt idx="2">
                <c:v>0.6</c:v>
              </c:pt>
              <c:pt idx="3">
                <c:v>0.98</c:v>
              </c:pt>
            </c:numLit>
          </c:val>
          <c:shape val="cylinder"/>
          <c:extLst>
            <c:ext xmlns:c16="http://schemas.microsoft.com/office/drawing/2014/chart" uri="{C3380CC4-5D6E-409C-BE32-E72D297353CC}">
              <c16:uniqueId val="{00000000-E6DC-4D7E-AF93-719331F8AEFB}"/>
            </c:ext>
          </c:extLst>
        </c:ser>
        <c:ser>
          <c:idx val="1"/>
          <c:order val="1"/>
          <c:tx>
            <c:v>Produit 2</c:v>
          </c:tx>
          <c:spPr>
            <a:solidFill>
              <a:srgbClr val="C0504D"/>
            </a:solidFill>
            <a:ln>
              <a:noFill/>
            </a:ln>
          </c:spPr>
          <c:invertIfNegative val="0"/>
          <c:cat>
            <c:numLit>
              <c:formatCode>General</c:formatCode>
              <c:ptCount val="4"/>
              <c:pt idx="0">
                <c:v>2012</c:v>
              </c:pt>
              <c:pt idx="1">
                <c:v>2013</c:v>
              </c:pt>
              <c:pt idx="2">
                <c:v>2014</c:v>
              </c:pt>
              <c:pt idx="3">
                <c:v>2015</c:v>
              </c:pt>
            </c:numLit>
          </c:cat>
          <c:val>
            <c:numLit>
              <c:formatCode>General</c:formatCode>
              <c:ptCount val="4"/>
              <c:pt idx="0">
                <c:v>0.83</c:v>
              </c:pt>
              <c:pt idx="1">
                <c:v>0.56000000000000005</c:v>
              </c:pt>
              <c:pt idx="2">
                <c:v>0.56999999999999995</c:v>
              </c:pt>
              <c:pt idx="3">
                <c:v>0.59</c:v>
              </c:pt>
            </c:numLit>
          </c:val>
          <c:shape val="cylinder"/>
          <c:extLst>
            <c:ext xmlns:c16="http://schemas.microsoft.com/office/drawing/2014/chart" uri="{C3380CC4-5D6E-409C-BE32-E72D297353CC}">
              <c16:uniqueId val="{00000001-E6DC-4D7E-AF93-719331F8AEFB}"/>
            </c:ext>
          </c:extLst>
        </c:ser>
        <c:ser>
          <c:idx val="2"/>
          <c:order val="2"/>
          <c:tx>
            <c:v>Produit 3</c:v>
          </c:tx>
          <c:spPr>
            <a:solidFill>
              <a:srgbClr val="9BBB59"/>
            </a:solidFill>
            <a:ln>
              <a:noFill/>
            </a:ln>
          </c:spPr>
          <c:invertIfNegative val="0"/>
          <c:cat>
            <c:numLit>
              <c:formatCode>General</c:formatCode>
              <c:ptCount val="4"/>
              <c:pt idx="0">
                <c:v>2012</c:v>
              </c:pt>
              <c:pt idx="1">
                <c:v>2013</c:v>
              </c:pt>
              <c:pt idx="2">
                <c:v>2014</c:v>
              </c:pt>
              <c:pt idx="3">
                <c:v>2015</c:v>
              </c:pt>
            </c:numLit>
          </c:cat>
          <c:val>
            <c:numLit>
              <c:formatCode>General</c:formatCode>
              <c:ptCount val="4"/>
              <c:pt idx="0">
                <c:v>0.59</c:v>
              </c:pt>
              <c:pt idx="1">
                <c:v>0.54</c:v>
              </c:pt>
              <c:pt idx="2">
                <c:v>0.95</c:v>
              </c:pt>
              <c:pt idx="3">
                <c:v>1.1000000000000001</c:v>
              </c:pt>
            </c:numLit>
          </c:val>
          <c:shape val="cylinder"/>
          <c:extLst>
            <c:ext xmlns:c16="http://schemas.microsoft.com/office/drawing/2014/chart" uri="{C3380CC4-5D6E-409C-BE32-E72D297353CC}">
              <c16:uniqueId val="{00000002-E6DC-4D7E-AF93-719331F8AEFB}"/>
            </c:ext>
          </c:extLst>
        </c:ser>
        <c:dLbls>
          <c:showLegendKey val="0"/>
          <c:showVal val="0"/>
          <c:showCatName val="0"/>
          <c:showSerName val="0"/>
          <c:showPercent val="0"/>
          <c:showBubbleSize val="0"/>
        </c:dLbls>
        <c:gapWidth val="150"/>
        <c:shape val="box"/>
        <c:axId val="346677944"/>
        <c:axId val="346671712"/>
        <c:axId val="0"/>
      </c:bar3DChart>
      <c:valAx>
        <c:axId val="346671712"/>
        <c:scaling>
          <c:orientation val="minMax"/>
        </c:scaling>
        <c:delete val="0"/>
        <c:axPos val="l"/>
        <c:majorGridlines>
          <c:spPr>
            <a:ln w="9528">
              <a:solidFill>
                <a:srgbClr val="868686"/>
              </a:solidFill>
              <a:prstDash val="solid"/>
              <a:round/>
            </a:ln>
          </c:spPr>
        </c:majorGridlines>
        <c:numFmt formatCode="0%"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crossAx val="346677944"/>
        <c:crosses val="autoZero"/>
        <c:crossBetween val="between"/>
      </c:valAx>
      <c:catAx>
        <c:axId val="346677944"/>
        <c:scaling>
          <c:orientation val="minMax"/>
        </c:scaling>
        <c:delete val="0"/>
        <c:axPos val="b"/>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crossAx val="346671712"/>
        <c:crossesAt val="0"/>
        <c:auto val="1"/>
        <c:lblAlgn val="ctr"/>
        <c:lblOffset val="100"/>
        <c:noMultiLvlLbl val="0"/>
      </c:catAx>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c:style val="2"/>
  <c:chart>
    <c:autoTitleDeleted val="1"/>
    <c:view3D>
      <c:rotX val="4"/>
      <c:rotY val="9"/>
      <c:rAngAx val="0"/>
      <c:perspective val="46"/>
    </c:view3D>
    <c:floor>
      <c:thickness val="0"/>
      <c:spPr>
        <a:noFill/>
        <a:ln w="9528">
          <a:solidFill>
            <a:srgbClr val="868686"/>
          </a:solidFill>
          <a:prstDash val="solid"/>
          <a:round/>
        </a:ln>
      </c:spPr>
    </c:floor>
    <c:sideWall>
      <c:thickness val="0"/>
      <c:spPr>
        <a:noFill/>
        <a:ln>
          <a:noFill/>
        </a:ln>
      </c:spPr>
    </c:sideWall>
    <c:backWall>
      <c:thickness val="0"/>
      <c:spPr>
        <a:noFill/>
        <a:ln>
          <a:noFill/>
        </a:ln>
      </c:spPr>
    </c:backWall>
    <c:plotArea>
      <c:layout/>
      <c:bar3DChart>
        <c:barDir val="bar"/>
        <c:grouping val="clustered"/>
        <c:varyColors val="0"/>
        <c:ser>
          <c:idx val="0"/>
          <c:order val="0"/>
          <c:tx>
            <c:v>% réalisation </c:v>
          </c:tx>
          <c:spPr>
            <a:solidFill>
              <a:srgbClr val="4F81BD"/>
            </a:solidFill>
            <a:ln>
              <a:noFill/>
            </a:ln>
          </c:spPr>
          <c:invertIfNegative val="0"/>
          <c:cat>
            <c:strLit>
              <c:ptCount val="3"/>
              <c:pt idx="0">
                <c:v>Produit 1</c:v>
              </c:pt>
              <c:pt idx="1">
                <c:v>Produit 2</c:v>
              </c:pt>
              <c:pt idx="2">
                <c:v>Produit 3</c:v>
              </c:pt>
            </c:strLit>
          </c:cat>
          <c:val>
            <c:numLit>
              <c:formatCode>General</c:formatCode>
              <c:ptCount val="3"/>
              <c:pt idx="0">
                <c:v>0.77</c:v>
              </c:pt>
              <c:pt idx="1">
                <c:v>0.93</c:v>
              </c:pt>
              <c:pt idx="2">
                <c:v>0.83</c:v>
              </c:pt>
            </c:numLit>
          </c:val>
          <c:shape val="cylinder"/>
          <c:extLst>
            <c:ext xmlns:c16="http://schemas.microsoft.com/office/drawing/2014/chart" uri="{C3380CC4-5D6E-409C-BE32-E72D297353CC}">
              <c16:uniqueId val="{00000000-5307-4693-9643-39CC16A95B53}"/>
            </c:ext>
          </c:extLst>
        </c:ser>
        <c:ser>
          <c:idx val="1"/>
          <c:order val="1"/>
          <c:tx>
            <c:v>% execution fin </c:v>
          </c:tx>
          <c:spPr>
            <a:solidFill>
              <a:srgbClr val="C0504D"/>
            </a:solidFill>
            <a:ln>
              <a:noFill/>
            </a:ln>
          </c:spPr>
          <c:invertIfNegative val="0"/>
          <c:cat>
            <c:strLit>
              <c:ptCount val="3"/>
              <c:pt idx="0">
                <c:v>Produit 1</c:v>
              </c:pt>
              <c:pt idx="1">
                <c:v>Produit 2</c:v>
              </c:pt>
              <c:pt idx="2">
                <c:v>Produit 3</c:v>
              </c:pt>
            </c:strLit>
          </c:cat>
          <c:val>
            <c:numLit>
              <c:formatCode>General</c:formatCode>
              <c:ptCount val="3"/>
              <c:pt idx="0">
                <c:v>0.81</c:v>
              </c:pt>
              <c:pt idx="1">
                <c:v>0.59</c:v>
              </c:pt>
              <c:pt idx="2">
                <c:v>0.88</c:v>
              </c:pt>
            </c:numLit>
          </c:val>
          <c:shape val="cylinder"/>
          <c:extLst>
            <c:ext xmlns:c16="http://schemas.microsoft.com/office/drawing/2014/chart" uri="{C3380CC4-5D6E-409C-BE32-E72D297353CC}">
              <c16:uniqueId val="{00000001-5307-4693-9643-39CC16A95B53}"/>
            </c:ext>
          </c:extLst>
        </c:ser>
        <c:dLbls>
          <c:showLegendKey val="0"/>
          <c:showVal val="0"/>
          <c:showCatName val="0"/>
          <c:showSerName val="0"/>
          <c:showPercent val="0"/>
          <c:showBubbleSize val="0"/>
        </c:dLbls>
        <c:gapWidth val="150"/>
        <c:shape val="box"/>
        <c:axId val="346675320"/>
        <c:axId val="346676304"/>
        <c:axId val="0"/>
      </c:bar3DChart>
      <c:valAx>
        <c:axId val="346676304"/>
        <c:scaling>
          <c:orientation val="minMax"/>
        </c:scaling>
        <c:delete val="0"/>
        <c:axPos val="b"/>
        <c:majorGridlines>
          <c:spPr>
            <a:ln w="9528">
              <a:solidFill>
                <a:srgbClr val="868686"/>
              </a:solidFill>
              <a:prstDash val="solid"/>
              <a:round/>
            </a:ln>
          </c:spPr>
        </c:majorGridlines>
        <c:numFmt formatCode="0%"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crossAx val="346675320"/>
        <c:crosses val="autoZero"/>
        <c:crossBetween val="between"/>
      </c:valAx>
      <c:catAx>
        <c:axId val="346675320"/>
        <c:scaling>
          <c:orientation val="minMax"/>
        </c:scaling>
        <c:delete val="0"/>
        <c:axPos val="l"/>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crossAx val="346676304"/>
        <c:crossesAt val="0"/>
        <c:auto val="1"/>
        <c:lblAlgn val="ctr"/>
        <c:lblOffset val="100"/>
        <c:noMultiLvlLbl val="0"/>
      </c:catAx>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29670</Words>
  <Characters>163185</Characters>
  <Application>Microsoft Office Word</Application>
  <DocSecurity>0</DocSecurity>
  <Lines>1359</Lines>
  <Paragraphs>384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Jihane Roudias</cp:lastModifiedBy>
  <cp:revision>2</cp:revision>
  <dcterms:created xsi:type="dcterms:W3CDTF">2016-11-30T16:17:00Z</dcterms:created>
  <dcterms:modified xsi:type="dcterms:W3CDTF">2016-11-30T16:17:00Z</dcterms:modified>
</cp:coreProperties>
</file>