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72" w:rsidRPr="001411CD" w:rsidRDefault="007A743B" w:rsidP="008C77F4">
      <w:pPr>
        <w:autoSpaceDE w:val="0"/>
        <w:autoSpaceDN w:val="0"/>
        <w:adjustRightInd w:val="0"/>
        <w:spacing w:after="0" w:line="240" w:lineRule="auto"/>
        <w:jc w:val="center"/>
        <w:rPr>
          <w:rFonts w:ascii="Arial" w:hAnsi="Arial" w:cs="Arial"/>
          <w:b/>
          <w:bCs/>
          <w:color w:val="0070C0"/>
          <w:sz w:val="32"/>
          <w:szCs w:val="32"/>
        </w:rPr>
      </w:pPr>
      <w:r w:rsidRPr="001411CD">
        <w:rPr>
          <w:rFonts w:ascii="Arial" w:hAnsi="Arial" w:cs="Arial"/>
          <w:b/>
          <w:bCs/>
          <w:color w:val="0070C0"/>
          <w:sz w:val="32"/>
          <w:szCs w:val="32"/>
        </w:rPr>
        <w:t xml:space="preserve">Termes de Références pour l’Evaluation </w:t>
      </w:r>
      <w:r w:rsidR="008C77F4" w:rsidRPr="001411CD">
        <w:rPr>
          <w:rFonts w:ascii="Arial" w:hAnsi="Arial" w:cs="Arial"/>
          <w:b/>
          <w:bCs/>
          <w:color w:val="0070C0"/>
          <w:sz w:val="32"/>
          <w:szCs w:val="32"/>
        </w:rPr>
        <w:t>finale du Projet de Promotion de l’entreprenariat agricole pour la transformation socioéconomique des zones rurales au Bénin (PPEA)</w:t>
      </w:r>
      <w:r w:rsidRPr="001411CD">
        <w:rPr>
          <w:rFonts w:ascii="Arial" w:hAnsi="Arial" w:cs="Arial"/>
          <w:b/>
          <w:bCs/>
          <w:color w:val="0070C0"/>
          <w:sz w:val="32"/>
          <w:szCs w:val="32"/>
        </w:rPr>
        <w:t>.</w:t>
      </w:r>
    </w:p>
    <w:p w:rsidR="00DD00D4" w:rsidRPr="001411CD" w:rsidRDefault="00DD00D4" w:rsidP="00945B72">
      <w:pPr>
        <w:autoSpaceDE w:val="0"/>
        <w:autoSpaceDN w:val="0"/>
        <w:adjustRightInd w:val="0"/>
        <w:spacing w:after="0" w:line="240" w:lineRule="auto"/>
        <w:jc w:val="both"/>
        <w:rPr>
          <w:rFonts w:ascii="Arial" w:hAnsi="Arial" w:cs="Arial"/>
          <w:b/>
          <w:bCs/>
          <w:color w:val="272627"/>
          <w:sz w:val="24"/>
          <w:szCs w:val="24"/>
        </w:rPr>
      </w:pPr>
    </w:p>
    <w:p w:rsidR="00F51C93" w:rsidRPr="001411CD" w:rsidRDefault="00F51C93" w:rsidP="00945B72">
      <w:pPr>
        <w:autoSpaceDE w:val="0"/>
        <w:autoSpaceDN w:val="0"/>
        <w:adjustRightInd w:val="0"/>
        <w:spacing w:after="0" w:line="240" w:lineRule="auto"/>
        <w:jc w:val="both"/>
        <w:rPr>
          <w:rFonts w:ascii="Arial" w:hAnsi="Arial" w:cs="Arial"/>
          <w:color w:val="272627"/>
        </w:rPr>
      </w:pPr>
    </w:p>
    <w:p w:rsidR="00945B72" w:rsidRPr="001411CD" w:rsidRDefault="00945B72" w:rsidP="00945B72">
      <w:p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1. CONTEXTE</w:t>
      </w:r>
      <w:r w:rsidR="00583609" w:rsidRPr="001411CD">
        <w:rPr>
          <w:rFonts w:ascii="Arial" w:hAnsi="Arial" w:cs="Arial"/>
          <w:b/>
          <w:bCs/>
          <w:color w:val="3A5EA9"/>
        </w:rPr>
        <w:t xml:space="preserve"> ET HISTORIQUE DU PAYS</w:t>
      </w:r>
    </w:p>
    <w:p w:rsidR="00DD00D4" w:rsidRPr="001411CD" w:rsidRDefault="00DD00D4" w:rsidP="00945B72">
      <w:pPr>
        <w:autoSpaceDE w:val="0"/>
        <w:autoSpaceDN w:val="0"/>
        <w:adjustRightInd w:val="0"/>
        <w:spacing w:after="0" w:line="240" w:lineRule="auto"/>
        <w:jc w:val="both"/>
        <w:rPr>
          <w:rFonts w:ascii="Arial" w:hAnsi="Arial" w:cs="Arial"/>
          <w:b/>
          <w:bCs/>
          <w:color w:val="3A5EA9"/>
        </w:rPr>
      </w:pPr>
    </w:p>
    <w:p w:rsidR="009617D6" w:rsidRPr="001411CD" w:rsidRDefault="009617D6" w:rsidP="002B0553">
      <w:pPr>
        <w:autoSpaceDE w:val="0"/>
        <w:autoSpaceDN w:val="0"/>
        <w:adjustRightInd w:val="0"/>
        <w:spacing w:after="0" w:line="240" w:lineRule="auto"/>
        <w:jc w:val="both"/>
        <w:rPr>
          <w:rFonts w:ascii="Arial" w:hAnsi="Arial" w:cs="Arial"/>
          <w:color w:val="272627"/>
        </w:rPr>
      </w:pPr>
    </w:p>
    <w:p w:rsidR="00583609" w:rsidRPr="001411CD" w:rsidRDefault="009617D6" w:rsidP="009617D6">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Le Bénin est un pays de l’Afrique de l’Ouest couvrant une superficie de 115 762 km². Sa population</w:t>
      </w:r>
      <w:r w:rsidR="00583609" w:rsidRPr="001411CD">
        <w:rPr>
          <w:rFonts w:ascii="Arial" w:hAnsi="Arial" w:cs="Arial"/>
          <w:color w:val="272627"/>
        </w:rPr>
        <w:t xml:space="preserve"> est</w:t>
      </w:r>
      <w:r w:rsidRPr="001411CD">
        <w:rPr>
          <w:rFonts w:ascii="Arial" w:hAnsi="Arial" w:cs="Arial"/>
          <w:color w:val="272627"/>
        </w:rPr>
        <w:t xml:space="preserve"> estimée à 10 008 749 habitants résidents en 2013</w:t>
      </w:r>
      <w:r w:rsidR="00583609" w:rsidRPr="001411CD">
        <w:rPr>
          <w:rFonts w:ascii="Arial" w:hAnsi="Arial" w:cs="Arial"/>
          <w:color w:val="272627"/>
        </w:rPr>
        <w:t xml:space="preserve"> contre 6 769 914 habitants en 2006, connaissant ainsi</w:t>
      </w:r>
      <w:r w:rsidRPr="001411CD">
        <w:rPr>
          <w:rFonts w:ascii="Arial" w:hAnsi="Arial" w:cs="Arial"/>
          <w:color w:val="272627"/>
        </w:rPr>
        <w:t xml:space="preserve"> une croissance moyenne annuelle de 3,25%. </w:t>
      </w:r>
      <w:r w:rsidR="00583609" w:rsidRPr="001411CD">
        <w:rPr>
          <w:rFonts w:ascii="Arial" w:hAnsi="Arial" w:cs="Arial"/>
          <w:color w:val="272627"/>
        </w:rPr>
        <w:t xml:space="preserve">Deux béninois sur trois ont moins de 25 ans </w:t>
      </w:r>
      <w:r w:rsidRPr="001411CD">
        <w:rPr>
          <w:rFonts w:ascii="Arial" w:hAnsi="Arial" w:cs="Arial"/>
          <w:color w:val="272627"/>
        </w:rPr>
        <w:t xml:space="preserve">et l’espérance de vie à la naissance est de 56,9 ans. </w:t>
      </w:r>
      <w:r w:rsidR="00583609" w:rsidRPr="001411CD">
        <w:rPr>
          <w:rFonts w:ascii="Arial" w:hAnsi="Arial" w:cs="Arial"/>
          <w:color w:val="272627"/>
        </w:rPr>
        <w:t xml:space="preserve">La population est très inégalement répartie avec d’intenses mouvements migratoires. </w:t>
      </w:r>
    </w:p>
    <w:p w:rsidR="009617D6" w:rsidRPr="001411CD" w:rsidRDefault="009617D6" w:rsidP="009617D6">
      <w:pPr>
        <w:autoSpaceDE w:val="0"/>
        <w:autoSpaceDN w:val="0"/>
        <w:adjustRightInd w:val="0"/>
        <w:spacing w:after="0" w:line="240" w:lineRule="auto"/>
        <w:jc w:val="both"/>
        <w:rPr>
          <w:rFonts w:ascii="Arial" w:hAnsi="Arial" w:cs="Arial"/>
          <w:color w:val="272627"/>
        </w:rPr>
      </w:pPr>
    </w:p>
    <w:p w:rsidR="009617D6" w:rsidRPr="001411CD" w:rsidRDefault="009617D6" w:rsidP="009617D6">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Le Bénin constitue un paradoxe économique. Il dispose d’une position géographique avantageuse (proximité du Nigeria, appartenance à l’UEMOA, trait d’Union entre l’Afrique de l’Ouest et l’Afrique centrale francophone) et de ressources importantes pour développer une économie diversifiée et prospère, mais évolue depuis 1960 avec une croissance faible et insuffisante pour relever de façon significative le niveau de vie de la population. Le tournant pris au début des années 90, vers une gestion plus rigoureuse de l’économie, a permis d’inscrire le Bénin dans une phase de croissance positive et stable, mais encore insuffisante. La croissance des années 90 a juste permis de rattraper le déclin du pays dans les années 80. L’économie est fragile, s’appuyant sur un secteur cotonnier en crise, du fait d’une réforme mal gérée et sur un port, qui constitue plus un entrepôt favorisant les réexportations vers le Nigeria qu’une véritable plateforme commerciale.</w:t>
      </w:r>
      <w:r w:rsidR="001411CD" w:rsidRPr="001411CD">
        <w:rPr>
          <w:rFonts w:ascii="Arial" w:hAnsi="Arial" w:cs="Arial"/>
          <w:color w:val="272627"/>
        </w:rPr>
        <w:t xml:space="preserve"> </w:t>
      </w:r>
      <w:r w:rsidR="008C77F4" w:rsidRPr="001411CD">
        <w:rPr>
          <w:rFonts w:ascii="Arial" w:hAnsi="Arial" w:cs="Arial"/>
          <w:color w:val="272627"/>
        </w:rPr>
        <w:t>Depuis 1991, le Bénin a enregistré des progrès sur le plan macro-économique, caractérisés par une croissance économique de 5% en moyenne sur la période 1991-2002. Mais entre 2003 et 2005, cette croissance a dépassé à peine 3% par an, en raison de causes exogènes et endogènes (coton, énergie, port, gestion des finances publiques…) avant de retrouver depuis 2006 à nouveau la moyenne des 5%.</w:t>
      </w:r>
    </w:p>
    <w:p w:rsidR="008C77F4" w:rsidRPr="001411CD" w:rsidRDefault="008C77F4" w:rsidP="009617D6">
      <w:pPr>
        <w:autoSpaceDE w:val="0"/>
        <w:autoSpaceDN w:val="0"/>
        <w:adjustRightInd w:val="0"/>
        <w:spacing w:after="0" w:line="240" w:lineRule="auto"/>
        <w:jc w:val="both"/>
        <w:rPr>
          <w:rFonts w:ascii="Arial" w:hAnsi="Arial" w:cs="Arial"/>
          <w:color w:val="272627"/>
        </w:rPr>
      </w:pPr>
    </w:p>
    <w:p w:rsidR="009617D6" w:rsidRPr="001411CD" w:rsidRDefault="009617D6" w:rsidP="009617D6">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Tout en étant le premier réservoir d’emplois, le secteur agricole constitue également la principale source de création des richesses économiques nationales. Plus de 60% des actifs masculins et 35,9% des actifs féminins réellement occupés exercent une profession agricole</w:t>
      </w:r>
      <w:r w:rsidRPr="001411CD">
        <w:rPr>
          <w:rFonts w:ascii="Arial" w:hAnsi="Arial" w:cs="Arial"/>
          <w:color w:val="272627"/>
        </w:rPr>
        <w:footnoteReference w:id="1"/>
      </w:r>
      <w:r w:rsidRPr="001411CD">
        <w:rPr>
          <w:rFonts w:ascii="Arial" w:hAnsi="Arial" w:cs="Arial"/>
          <w:color w:val="272627"/>
        </w:rPr>
        <w:t>. Par ailleurs, la contribution du secteur agricole au PIB a évolué de 34% en 1995 à 32,6% (30,20%) en 2005 puis à 29,89% en 2008, soit en moyenne un taux de 33,3% sur la période 1995-2005 et de 31,5% sur la période 2005-2008. La production végétale y est prépondérante et intervient en moyenne pour 24,1% tandis que les productions animale et halieutique ont contribué en moyenne respectivement pour 5,9% et 4,2% sur la période 1995-2005</w:t>
      </w:r>
      <w:r w:rsidR="008055B9" w:rsidRPr="001411CD">
        <w:rPr>
          <w:rFonts w:ascii="Arial" w:hAnsi="Arial" w:cs="Arial"/>
          <w:color w:val="272627"/>
        </w:rPr>
        <w:t xml:space="preserve">. Le secteur est dominé par de petites exploitations agricoles. Malgré la prédominance de l’agriculture paysanne familiale, on remarque de plus en plus de nos jours, quelques initiatives d’implantation de fermes modernes par des promoteurs privés, avec plus d’investissements en capitaux dans le foncier, les plantations pérennes (palmier à huile, anacardier et fruitiers comme les agrumes et manguiers) et l’élevage intensif de volaille principalement. La structure de ces investissements implique l’implantation de ces fermes à la fois en zones périurbaine et rurale. Mais ces initiatives sont encore peu nombreuses en raison surtout de la non maîtrise de l’eau, de l’étroitesse du marché local, et de l’absence d’une politique de financement adaptée aux caractéristiques de l’activité agricole. </w:t>
      </w:r>
    </w:p>
    <w:p w:rsidR="009617D6" w:rsidRPr="001411CD" w:rsidRDefault="009617D6" w:rsidP="002B0553">
      <w:pPr>
        <w:autoSpaceDE w:val="0"/>
        <w:autoSpaceDN w:val="0"/>
        <w:adjustRightInd w:val="0"/>
        <w:spacing w:after="0" w:line="240" w:lineRule="auto"/>
        <w:jc w:val="both"/>
        <w:rPr>
          <w:rFonts w:ascii="Arial" w:hAnsi="Arial" w:cs="Arial"/>
          <w:color w:val="272627"/>
        </w:rPr>
      </w:pPr>
    </w:p>
    <w:p w:rsidR="008055B9" w:rsidRPr="001411CD" w:rsidRDefault="008055B9" w:rsidP="008C77F4">
      <w:pPr>
        <w:autoSpaceDE w:val="0"/>
        <w:autoSpaceDN w:val="0"/>
        <w:adjustRightInd w:val="0"/>
        <w:spacing w:after="0" w:line="240" w:lineRule="auto"/>
        <w:jc w:val="both"/>
        <w:rPr>
          <w:rFonts w:ascii="Arial" w:hAnsi="Arial" w:cs="Arial"/>
          <w:b/>
          <w:bCs/>
          <w:color w:val="3A5EA9"/>
        </w:rPr>
      </w:pPr>
    </w:p>
    <w:p w:rsidR="008C77F4" w:rsidRPr="001411CD" w:rsidRDefault="008C77F4" w:rsidP="008C77F4">
      <w:p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 xml:space="preserve">2. </w:t>
      </w:r>
      <w:r w:rsidR="008055B9" w:rsidRPr="001411CD">
        <w:rPr>
          <w:rFonts w:ascii="Arial" w:hAnsi="Arial" w:cs="Arial"/>
          <w:b/>
          <w:bCs/>
          <w:color w:val="3A5EA9"/>
        </w:rPr>
        <w:t>CONTEXTE ET HISTORIQUE DU PROJET</w:t>
      </w:r>
    </w:p>
    <w:p w:rsidR="008C77F4" w:rsidRPr="001411CD" w:rsidRDefault="008C77F4" w:rsidP="002B0553">
      <w:pPr>
        <w:autoSpaceDE w:val="0"/>
        <w:autoSpaceDN w:val="0"/>
        <w:adjustRightInd w:val="0"/>
        <w:spacing w:after="0" w:line="240" w:lineRule="auto"/>
        <w:jc w:val="both"/>
        <w:rPr>
          <w:rFonts w:ascii="Arial" w:hAnsi="Arial" w:cs="Arial"/>
          <w:color w:val="272627"/>
        </w:rPr>
      </w:pPr>
    </w:p>
    <w:p w:rsidR="002B0553" w:rsidRPr="001411CD" w:rsidRDefault="002B0553" w:rsidP="002B0553">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 Bénin abrite </w:t>
      </w:r>
      <w:r w:rsidR="00EB2335" w:rsidRPr="001411CD">
        <w:rPr>
          <w:rFonts w:ascii="Arial" w:hAnsi="Arial" w:cs="Arial"/>
          <w:color w:val="272627"/>
        </w:rPr>
        <w:t xml:space="preserve">depuis </w:t>
      </w:r>
      <w:r w:rsidR="008C182F" w:rsidRPr="001411CD">
        <w:rPr>
          <w:rFonts w:ascii="Arial" w:hAnsi="Arial" w:cs="Arial"/>
          <w:color w:val="272627"/>
        </w:rPr>
        <w:t xml:space="preserve">1985 </w:t>
      </w:r>
      <w:r w:rsidRPr="001411CD">
        <w:rPr>
          <w:rFonts w:ascii="Arial" w:hAnsi="Arial" w:cs="Arial"/>
          <w:color w:val="272627"/>
        </w:rPr>
        <w:t xml:space="preserve">l’expérience Songhaï de promotion de l’entreprenariat agricole qui a connu un grand succès. Inspiré par le modèle Songhaï et son système de production intégrée, le Gouvernement </w:t>
      </w:r>
      <w:r w:rsidR="00EB2335" w:rsidRPr="001411CD">
        <w:rPr>
          <w:rFonts w:ascii="Arial" w:hAnsi="Arial" w:cs="Arial"/>
          <w:color w:val="272627"/>
        </w:rPr>
        <w:t>du Bénin</w:t>
      </w:r>
      <w:r w:rsidRPr="001411CD">
        <w:rPr>
          <w:rFonts w:ascii="Arial" w:hAnsi="Arial" w:cs="Arial"/>
          <w:color w:val="272627"/>
        </w:rPr>
        <w:t>, à travers le Projet de Promotion de l’Entreprenariat Agricole pour la transformation socio-économique des zones rurales au Bénin (PPEA), a décidé de créer neuf (09) centres dont deux (</w:t>
      </w:r>
      <w:proofErr w:type="spellStart"/>
      <w:r w:rsidRPr="001411CD">
        <w:rPr>
          <w:rFonts w:ascii="Arial" w:hAnsi="Arial" w:cs="Arial"/>
          <w:color w:val="272627"/>
        </w:rPr>
        <w:t>Kétou</w:t>
      </w:r>
      <w:proofErr w:type="spellEnd"/>
      <w:r w:rsidRPr="001411CD">
        <w:rPr>
          <w:rFonts w:ascii="Arial" w:hAnsi="Arial" w:cs="Arial"/>
          <w:color w:val="272627"/>
        </w:rPr>
        <w:t xml:space="preserve"> et </w:t>
      </w:r>
      <w:proofErr w:type="spellStart"/>
      <w:r w:rsidRPr="001411CD">
        <w:rPr>
          <w:rFonts w:ascii="Arial" w:hAnsi="Arial" w:cs="Arial"/>
          <w:color w:val="272627"/>
        </w:rPr>
        <w:t>Zangnanado</w:t>
      </w:r>
      <w:proofErr w:type="spellEnd"/>
      <w:r w:rsidRPr="001411CD">
        <w:rPr>
          <w:rFonts w:ascii="Arial" w:hAnsi="Arial" w:cs="Arial"/>
          <w:color w:val="272627"/>
        </w:rPr>
        <w:t xml:space="preserve">) sont déjà mis en place et un troisième est en cours de création à </w:t>
      </w:r>
      <w:proofErr w:type="spellStart"/>
      <w:r w:rsidRPr="001411CD">
        <w:rPr>
          <w:rFonts w:ascii="Arial" w:hAnsi="Arial" w:cs="Arial"/>
          <w:color w:val="272627"/>
        </w:rPr>
        <w:t>Daringa</w:t>
      </w:r>
      <w:proofErr w:type="spellEnd"/>
      <w:r w:rsidRPr="001411CD">
        <w:rPr>
          <w:rFonts w:ascii="Arial" w:hAnsi="Arial" w:cs="Arial"/>
          <w:color w:val="272627"/>
        </w:rPr>
        <w:t xml:space="preserve"> (Djougou). Le Projet vise à adresser le triple défi que sont l’emploi des jeunes, la pauvreté et l’exode rural et met l’accent sur la définition des pôles de concentration pour arrimer l’expérience de Songhaï à la stratégie nationale de développement agricole, dans une vision de développement intégré du territoire national. L’aboutissement naturel de cette démarche sera une croissance rurale durable et par conséquent, la création de richesses et la </w:t>
      </w:r>
      <w:r w:rsidR="00AE1029" w:rsidRPr="001411CD">
        <w:rPr>
          <w:rFonts w:ascii="Arial" w:hAnsi="Arial" w:cs="Arial"/>
          <w:color w:val="272627"/>
        </w:rPr>
        <w:t>réduction de</w:t>
      </w:r>
      <w:r w:rsidRPr="001411CD">
        <w:rPr>
          <w:rFonts w:ascii="Arial" w:hAnsi="Arial" w:cs="Arial"/>
          <w:color w:val="272627"/>
        </w:rPr>
        <w:t xml:space="preserve"> la pauvreté dans les zones rurales. Le PPEA </w:t>
      </w:r>
      <w:r w:rsidR="008D06AA" w:rsidRPr="001411CD">
        <w:rPr>
          <w:rFonts w:ascii="Arial" w:hAnsi="Arial" w:cs="Arial"/>
          <w:color w:val="272627"/>
        </w:rPr>
        <w:t xml:space="preserve">a été élaboré et </w:t>
      </w:r>
      <w:r w:rsidRPr="001411CD">
        <w:rPr>
          <w:rFonts w:ascii="Arial" w:hAnsi="Arial" w:cs="Arial"/>
          <w:color w:val="272627"/>
        </w:rPr>
        <w:t>mise en œuvre dans une démarche d’appropriation par les institutions nationales. La stratégie du projet est focalisée sur trois grands axes :</w:t>
      </w:r>
    </w:p>
    <w:p w:rsidR="00757E13" w:rsidRPr="001411CD" w:rsidRDefault="00757E13" w:rsidP="002B0553">
      <w:pPr>
        <w:autoSpaceDE w:val="0"/>
        <w:autoSpaceDN w:val="0"/>
        <w:adjustRightInd w:val="0"/>
        <w:spacing w:after="0" w:line="240" w:lineRule="auto"/>
        <w:jc w:val="both"/>
        <w:rPr>
          <w:rFonts w:ascii="Arial" w:hAnsi="Arial" w:cs="Arial"/>
          <w:color w:val="272627"/>
        </w:rPr>
      </w:pPr>
    </w:p>
    <w:p w:rsidR="002B0553" w:rsidRPr="001411CD" w:rsidRDefault="002B0553" w:rsidP="002B0553">
      <w:pPr>
        <w:numPr>
          <w:ilvl w:val="0"/>
          <w:numId w:val="2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 création des centres d’incubation pour la formation des jeunes ;</w:t>
      </w:r>
    </w:p>
    <w:p w:rsidR="002B0553" w:rsidRPr="001411CD" w:rsidRDefault="002B0553" w:rsidP="002B0553">
      <w:pPr>
        <w:numPr>
          <w:ilvl w:val="0"/>
          <w:numId w:val="2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la formation et l’accompagnement des jeunes formés à l’installation et à la création d’entreprises viables ; </w:t>
      </w:r>
    </w:p>
    <w:p w:rsidR="002B0553" w:rsidRPr="001411CD" w:rsidRDefault="002B0553" w:rsidP="002B0553">
      <w:pPr>
        <w:numPr>
          <w:ilvl w:val="0"/>
          <w:numId w:val="2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l’accompagnement des entrepreneurs à l’accès aux facteurs de production et aux marchés nationaux, régionaux et internationaux.</w:t>
      </w:r>
    </w:p>
    <w:p w:rsidR="008D06AA" w:rsidRPr="001411CD" w:rsidRDefault="008D06AA" w:rsidP="002B0553">
      <w:pPr>
        <w:autoSpaceDE w:val="0"/>
        <w:autoSpaceDN w:val="0"/>
        <w:adjustRightInd w:val="0"/>
        <w:spacing w:after="0" w:line="240" w:lineRule="auto"/>
        <w:jc w:val="both"/>
        <w:rPr>
          <w:rFonts w:ascii="Arial" w:hAnsi="Arial" w:cs="Arial"/>
          <w:color w:val="272627"/>
        </w:rPr>
      </w:pPr>
    </w:p>
    <w:p w:rsidR="002B0553" w:rsidRPr="001411CD" w:rsidRDefault="002B0553" w:rsidP="002B0553">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 finalité poursuivie par le PPEA est d’inverser la tendance des investissements afin de re</w:t>
      </w:r>
      <w:r w:rsidR="008D06AA" w:rsidRPr="001411CD">
        <w:rPr>
          <w:rFonts w:ascii="Arial" w:hAnsi="Arial" w:cs="Arial"/>
          <w:color w:val="272627"/>
        </w:rPr>
        <w:t xml:space="preserve">ndre le milieu rural attractif et </w:t>
      </w:r>
      <w:r w:rsidRPr="001411CD">
        <w:rPr>
          <w:rFonts w:ascii="Arial" w:hAnsi="Arial" w:cs="Arial"/>
          <w:color w:val="272627"/>
        </w:rPr>
        <w:t xml:space="preserve">de réduire significativement l’exode rural. La mise en œuvre du PPEA doit contribuer à transformer les avantages comparatifs du Bénin en des avantages compétitifs par l’amélioration de la fertilité des terres, de même que par la vulgarisation des variétés et essences technologies agricoles adaptées et de fortes productivités. Le projet </w:t>
      </w:r>
      <w:r w:rsidR="00BD5B46" w:rsidRPr="001411CD">
        <w:rPr>
          <w:rFonts w:ascii="Arial" w:hAnsi="Arial" w:cs="Arial"/>
          <w:color w:val="272627"/>
        </w:rPr>
        <w:t xml:space="preserve">s’est </w:t>
      </w:r>
      <w:r w:rsidRPr="001411CD">
        <w:rPr>
          <w:rFonts w:ascii="Arial" w:hAnsi="Arial" w:cs="Arial"/>
          <w:color w:val="272627"/>
        </w:rPr>
        <w:t>appu</w:t>
      </w:r>
      <w:r w:rsidR="00BD5B46" w:rsidRPr="001411CD">
        <w:rPr>
          <w:rFonts w:ascii="Arial" w:hAnsi="Arial" w:cs="Arial"/>
          <w:color w:val="272627"/>
        </w:rPr>
        <w:t>yé</w:t>
      </w:r>
      <w:r w:rsidRPr="001411CD">
        <w:rPr>
          <w:rFonts w:ascii="Arial" w:hAnsi="Arial" w:cs="Arial"/>
          <w:color w:val="272627"/>
        </w:rPr>
        <w:t xml:space="preserve"> sur l’amélioration du capital humain affecté à l’agriculture en renforçant les capacités des jeunes déscolarisés dévoués, engagés et motivés à faire carrière dans le secteur agricole. Le défi du projet est de rendre l’agriculture moins tributaire des aléas climatiques à travers une bonne maitrise de l’</w:t>
      </w:r>
      <w:r w:rsidR="008C182F" w:rsidRPr="001411CD">
        <w:rPr>
          <w:rFonts w:ascii="Arial" w:hAnsi="Arial" w:cs="Arial"/>
          <w:color w:val="272627"/>
        </w:rPr>
        <w:t>eau. Le</w:t>
      </w:r>
      <w:r w:rsidRPr="001411CD">
        <w:rPr>
          <w:rFonts w:ascii="Arial" w:hAnsi="Arial" w:cs="Arial"/>
          <w:color w:val="272627"/>
        </w:rPr>
        <w:t xml:space="preserve"> projet est articulé autour de quatre composantes techniques</w:t>
      </w:r>
      <w:r w:rsidR="008D06AA" w:rsidRPr="001411CD">
        <w:rPr>
          <w:rFonts w:ascii="Arial" w:hAnsi="Arial" w:cs="Arial"/>
          <w:color w:val="272627"/>
        </w:rPr>
        <w:t xml:space="preserve"> auxquels sont associés chacune, un ou plusieurs résultats spécifiques contenus dans le document de projet. Ces composantes sont</w:t>
      </w:r>
      <w:r w:rsidRPr="001411CD">
        <w:rPr>
          <w:rFonts w:ascii="Arial" w:hAnsi="Arial" w:cs="Arial"/>
          <w:color w:val="272627"/>
        </w:rPr>
        <w:t xml:space="preserve"> :</w:t>
      </w:r>
    </w:p>
    <w:p w:rsidR="00757E13" w:rsidRPr="001411CD" w:rsidRDefault="00757E13" w:rsidP="002B0553">
      <w:pPr>
        <w:autoSpaceDE w:val="0"/>
        <w:autoSpaceDN w:val="0"/>
        <w:adjustRightInd w:val="0"/>
        <w:spacing w:after="0" w:line="240" w:lineRule="auto"/>
        <w:jc w:val="both"/>
        <w:rPr>
          <w:rFonts w:ascii="Arial" w:hAnsi="Arial" w:cs="Arial"/>
          <w:color w:val="272627"/>
        </w:rPr>
      </w:pPr>
    </w:p>
    <w:p w:rsidR="002B0553" w:rsidRPr="001411CD" w:rsidRDefault="002B0553" w:rsidP="002B0553">
      <w:pPr>
        <w:numPr>
          <w:ilvl w:val="0"/>
          <w:numId w:val="22"/>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Composante 1: Renforcement des capacités des jeunes entrepreneurs agricoles dans des domaines en adéquation avec les potentialités agro écologiques de leurs localités ;</w:t>
      </w:r>
    </w:p>
    <w:p w:rsidR="002B0553" w:rsidRPr="001411CD" w:rsidRDefault="002B0553" w:rsidP="002B0553">
      <w:pPr>
        <w:numPr>
          <w:ilvl w:val="0"/>
          <w:numId w:val="22"/>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Composante 2: Promotion de la recherche-développement et des technologies adaptées, à travers :</w:t>
      </w:r>
    </w:p>
    <w:p w:rsidR="002B0553" w:rsidRPr="001411CD" w:rsidRDefault="002B0553" w:rsidP="002B0553">
      <w:pPr>
        <w:numPr>
          <w:ilvl w:val="1"/>
          <w:numId w:val="23"/>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1 : la Promotion des technologies protectrices de l’environnement </w:t>
      </w:r>
    </w:p>
    <w:p w:rsidR="002B0553" w:rsidRPr="001411CD" w:rsidRDefault="002B0553" w:rsidP="002B0553">
      <w:pPr>
        <w:numPr>
          <w:ilvl w:val="1"/>
          <w:numId w:val="23"/>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2 : le Développement des incubateurs entrepreneuriaux ;</w:t>
      </w:r>
    </w:p>
    <w:p w:rsidR="002B0553" w:rsidRPr="001411CD" w:rsidRDefault="002B0553" w:rsidP="002B0553">
      <w:pPr>
        <w:numPr>
          <w:ilvl w:val="0"/>
          <w:numId w:val="22"/>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Composante 3: Développement d’un cadre de suivi-accompagnement des jeunes et des femmes en entreprenariat agricole ;</w:t>
      </w:r>
    </w:p>
    <w:p w:rsidR="002B0553" w:rsidRPr="001411CD" w:rsidRDefault="002B0553" w:rsidP="002B0553">
      <w:pPr>
        <w:numPr>
          <w:ilvl w:val="0"/>
          <w:numId w:val="22"/>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Composante 4: Aménagement socioéconomique des zones d’implantation des centres Songhaï.</w:t>
      </w:r>
    </w:p>
    <w:p w:rsidR="00BD5B46" w:rsidRPr="001411CD" w:rsidRDefault="00BD5B46" w:rsidP="002B0553">
      <w:pPr>
        <w:autoSpaceDE w:val="0"/>
        <w:autoSpaceDN w:val="0"/>
        <w:adjustRightInd w:val="0"/>
        <w:spacing w:after="0" w:line="240" w:lineRule="auto"/>
        <w:jc w:val="both"/>
        <w:rPr>
          <w:rFonts w:ascii="Arial" w:hAnsi="Arial" w:cs="Arial"/>
          <w:color w:val="272627"/>
        </w:rPr>
      </w:pPr>
    </w:p>
    <w:p w:rsidR="008D06AA" w:rsidRPr="001411CD" w:rsidRDefault="00BD5B46" w:rsidP="002B0553">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 document initial du projet élaboré en 2010, a connu une révision en 2013 qui a clarifié son arrangement de gestion sans remettre en cause la modalité de mise en </w:t>
      </w:r>
      <w:r w:rsidR="009E6E8A" w:rsidRPr="001411CD">
        <w:rPr>
          <w:rFonts w:ascii="Arial" w:hAnsi="Arial" w:cs="Arial"/>
          <w:color w:val="272627"/>
        </w:rPr>
        <w:t xml:space="preserve">œuvre et sans toucher à la carte de résultats. La clarification des rôles et responsabilités des acteurs, notamment ceux du partenaire technique, a permis au Gouvernement de signer en 2013 avec ce dernier une lettre d’accord de gestion permettant au PNUD de lui transférer directement les ressources accordées pour la mise en œuvre des volets à lui confiés. </w:t>
      </w:r>
    </w:p>
    <w:p w:rsidR="009E6E8A" w:rsidRPr="001411CD" w:rsidRDefault="009E6E8A" w:rsidP="002B0553">
      <w:pPr>
        <w:autoSpaceDE w:val="0"/>
        <w:autoSpaceDN w:val="0"/>
        <w:adjustRightInd w:val="0"/>
        <w:spacing w:after="0" w:line="240" w:lineRule="auto"/>
        <w:jc w:val="both"/>
        <w:rPr>
          <w:rFonts w:ascii="Arial" w:hAnsi="Arial" w:cs="Arial"/>
          <w:color w:val="272627"/>
        </w:rPr>
      </w:pPr>
    </w:p>
    <w:p w:rsidR="00BD5B46" w:rsidRPr="001411CD" w:rsidRDefault="00BD5B46" w:rsidP="002B0553">
      <w:pPr>
        <w:autoSpaceDE w:val="0"/>
        <w:autoSpaceDN w:val="0"/>
        <w:adjustRightInd w:val="0"/>
        <w:spacing w:after="0" w:line="240" w:lineRule="auto"/>
        <w:jc w:val="both"/>
        <w:rPr>
          <w:rFonts w:ascii="Arial" w:hAnsi="Arial" w:cs="Arial"/>
          <w:color w:val="272627"/>
        </w:rPr>
      </w:pPr>
    </w:p>
    <w:p w:rsidR="00757E13" w:rsidRPr="001411CD" w:rsidRDefault="00757E13" w:rsidP="002B0553">
      <w:pPr>
        <w:autoSpaceDE w:val="0"/>
        <w:autoSpaceDN w:val="0"/>
        <w:adjustRightInd w:val="0"/>
        <w:spacing w:after="0" w:line="240" w:lineRule="auto"/>
        <w:jc w:val="both"/>
        <w:rPr>
          <w:rFonts w:ascii="Arial" w:hAnsi="Arial" w:cs="Arial"/>
          <w:color w:val="272627"/>
        </w:rPr>
      </w:pPr>
    </w:p>
    <w:p w:rsidR="00BD5B46" w:rsidRPr="001411CD" w:rsidRDefault="009E6E8A" w:rsidP="00BD5B46">
      <w:p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3</w:t>
      </w:r>
      <w:r w:rsidR="00BD5B46" w:rsidRPr="001411CD">
        <w:rPr>
          <w:rFonts w:ascii="Arial" w:hAnsi="Arial" w:cs="Arial"/>
          <w:b/>
          <w:bCs/>
          <w:color w:val="3A5EA9"/>
        </w:rPr>
        <w:t xml:space="preserve">. </w:t>
      </w:r>
      <w:r w:rsidRPr="001411CD">
        <w:rPr>
          <w:rFonts w:ascii="Arial" w:hAnsi="Arial" w:cs="Arial"/>
          <w:b/>
          <w:bCs/>
          <w:color w:val="3A5EA9"/>
        </w:rPr>
        <w:t>STATUT ACTUEL DE MISE EN ŒUVRE</w:t>
      </w:r>
      <w:r w:rsidR="00BD5B46" w:rsidRPr="001411CD">
        <w:rPr>
          <w:rFonts w:ascii="Arial" w:hAnsi="Arial" w:cs="Arial"/>
          <w:b/>
          <w:bCs/>
          <w:color w:val="3A5EA9"/>
        </w:rPr>
        <w:t xml:space="preserve"> DU PROJET</w:t>
      </w:r>
    </w:p>
    <w:p w:rsidR="00BD5B46" w:rsidRPr="001411CD" w:rsidRDefault="00BD5B46" w:rsidP="002B0553">
      <w:pPr>
        <w:autoSpaceDE w:val="0"/>
        <w:autoSpaceDN w:val="0"/>
        <w:adjustRightInd w:val="0"/>
        <w:spacing w:after="0" w:line="240" w:lineRule="auto"/>
        <w:jc w:val="both"/>
        <w:rPr>
          <w:rFonts w:ascii="Arial" w:hAnsi="Arial" w:cs="Arial"/>
          <w:color w:val="272627"/>
        </w:rPr>
      </w:pPr>
    </w:p>
    <w:p w:rsidR="000B7A40" w:rsidRPr="001411CD" w:rsidRDefault="00372825" w:rsidP="002B0553">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Après plus de six années d’exécution, le </w:t>
      </w:r>
      <w:r w:rsidR="000B7A40" w:rsidRPr="001411CD">
        <w:rPr>
          <w:rFonts w:ascii="Arial" w:hAnsi="Arial" w:cs="Arial"/>
          <w:color w:val="272627"/>
        </w:rPr>
        <w:t xml:space="preserve">PPEA a déjà obtenu quelques résultats : sur  9 centres de formation et d’incubation prévus, trois (03) sont en cours de création à </w:t>
      </w:r>
      <w:proofErr w:type="spellStart"/>
      <w:r w:rsidR="000B7A40" w:rsidRPr="001411CD">
        <w:rPr>
          <w:rFonts w:ascii="Arial" w:hAnsi="Arial" w:cs="Arial"/>
          <w:color w:val="272627"/>
        </w:rPr>
        <w:t>Kétou</w:t>
      </w:r>
      <w:proofErr w:type="spellEnd"/>
      <w:r w:rsidR="000B7A40" w:rsidRPr="001411CD">
        <w:rPr>
          <w:rFonts w:ascii="Arial" w:hAnsi="Arial" w:cs="Arial"/>
          <w:color w:val="272627"/>
        </w:rPr>
        <w:t xml:space="preserve">, </w:t>
      </w:r>
      <w:proofErr w:type="spellStart"/>
      <w:r w:rsidR="000B7A40" w:rsidRPr="001411CD">
        <w:rPr>
          <w:rFonts w:ascii="Arial" w:hAnsi="Arial" w:cs="Arial"/>
          <w:color w:val="272627"/>
        </w:rPr>
        <w:t>Zangnanado</w:t>
      </w:r>
      <w:proofErr w:type="spellEnd"/>
      <w:r w:rsidR="000B7A40" w:rsidRPr="001411CD">
        <w:rPr>
          <w:rFonts w:ascii="Arial" w:hAnsi="Arial" w:cs="Arial"/>
          <w:color w:val="272627"/>
        </w:rPr>
        <w:t xml:space="preserve"> et Djougou ; les deux (02) premiers sont suffisamment avancés et 427 jeunes ont formés et accompagnés à l’installation pour la création de leurs entreprises agricoles et 330 actuellement en cours de formation contre une cible de 2200 jeunes attendue</w:t>
      </w:r>
    </w:p>
    <w:p w:rsidR="000B7A40" w:rsidRPr="001411CD" w:rsidRDefault="000B7A40" w:rsidP="002B0553">
      <w:pPr>
        <w:autoSpaceDE w:val="0"/>
        <w:autoSpaceDN w:val="0"/>
        <w:adjustRightInd w:val="0"/>
        <w:spacing w:after="0" w:line="240" w:lineRule="auto"/>
        <w:jc w:val="both"/>
        <w:rPr>
          <w:rFonts w:ascii="Arial" w:hAnsi="Arial" w:cs="Arial"/>
          <w:color w:val="272627"/>
        </w:rPr>
      </w:pPr>
    </w:p>
    <w:p w:rsidR="007E5277" w:rsidRPr="001411CD" w:rsidRDefault="007E5277" w:rsidP="002B0553">
      <w:pPr>
        <w:autoSpaceDE w:val="0"/>
        <w:autoSpaceDN w:val="0"/>
        <w:adjustRightInd w:val="0"/>
        <w:spacing w:after="0" w:line="240" w:lineRule="auto"/>
        <w:jc w:val="both"/>
        <w:rPr>
          <w:rFonts w:ascii="Arial" w:hAnsi="Arial" w:cs="Arial"/>
          <w:color w:val="272627"/>
        </w:rPr>
      </w:pPr>
    </w:p>
    <w:p w:rsidR="007E5277" w:rsidRPr="001411CD" w:rsidRDefault="007E5277" w:rsidP="007E5277">
      <w:pPr>
        <w:pStyle w:val="Paragraphedeliste"/>
        <w:numPr>
          <w:ilvl w:val="0"/>
          <w:numId w:val="38"/>
        </w:numPr>
        <w:jc w:val="both"/>
        <w:rPr>
          <w:rFonts w:ascii="Arial" w:eastAsia="Calibri" w:hAnsi="Arial" w:cs="Arial"/>
          <w:kern w:val="24"/>
        </w:rPr>
      </w:pPr>
      <w:r w:rsidRPr="001411CD">
        <w:rPr>
          <w:rFonts w:ascii="Arial" w:eastAsia="Calibri" w:hAnsi="Arial" w:cs="Arial"/>
          <w:b/>
          <w:kern w:val="24"/>
        </w:rPr>
        <w:t>Par rapport à l’aménagement/construction des Centres de Promotion de l’Entreprenariat Agricole selon les potentialités agro-écologiques de chaque région :</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Deux centres de promotion de l’entreprenariat fonctionnel (</w:t>
      </w:r>
      <w:proofErr w:type="spellStart"/>
      <w:r w:rsidRPr="001411CD">
        <w:rPr>
          <w:rFonts w:ascii="Arial" w:eastAsia="Calibri" w:hAnsi="Arial" w:cs="Arial"/>
          <w:kern w:val="24"/>
          <w:sz w:val="22"/>
          <w:szCs w:val="22"/>
        </w:rPr>
        <w:t>Kétou</w:t>
      </w:r>
      <w:proofErr w:type="spellEnd"/>
      <w:r w:rsidRPr="001411CD">
        <w:rPr>
          <w:rFonts w:ascii="Arial" w:eastAsia="Calibri" w:hAnsi="Arial" w:cs="Arial"/>
          <w:kern w:val="24"/>
          <w:sz w:val="22"/>
          <w:szCs w:val="22"/>
        </w:rPr>
        <w:t xml:space="preserve"> et </w:t>
      </w:r>
      <w:proofErr w:type="spellStart"/>
      <w:r w:rsidRPr="001411CD">
        <w:rPr>
          <w:rFonts w:ascii="Arial" w:eastAsia="Calibri" w:hAnsi="Arial" w:cs="Arial"/>
          <w:kern w:val="24"/>
          <w:sz w:val="22"/>
          <w:szCs w:val="22"/>
        </w:rPr>
        <w:t>Zangnanado</w:t>
      </w:r>
      <w:proofErr w:type="spellEnd"/>
      <w:r w:rsidRPr="001411CD">
        <w:rPr>
          <w:rFonts w:ascii="Arial" w:eastAsia="Calibri" w:hAnsi="Arial" w:cs="Arial"/>
          <w:kern w:val="24"/>
          <w:sz w:val="22"/>
          <w:szCs w:val="22"/>
        </w:rPr>
        <w:t xml:space="preserve">) </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Un troisième centre de promotion de l’entreprenariat en cours de mise en place à Djougou (</w:t>
      </w:r>
      <w:proofErr w:type="spellStart"/>
      <w:r w:rsidRPr="001411CD">
        <w:rPr>
          <w:rFonts w:ascii="Arial" w:eastAsia="Calibri" w:hAnsi="Arial" w:cs="Arial"/>
          <w:kern w:val="24"/>
          <w:sz w:val="22"/>
          <w:szCs w:val="22"/>
        </w:rPr>
        <w:t>Daringa</w:t>
      </w:r>
      <w:proofErr w:type="spellEnd"/>
      <w:r w:rsidRPr="001411CD">
        <w:rPr>
          <w:rFonts w:ascii="Arial" w:eastAsia="Calibri" w:hAnsi="Arial" w:cs="Arial"/>
          <w:kern w:val="24"/>
          <w:sz w:val="22"/>
          <w:szCs w:val="22"/>
        </w:rPr>
        <w:t>)</w:t>
      </w:r>
    </w:p>
    <w:p w:rsidR="007E5277" w:rsidRPr="001411CD" w:rsidRDefault="007E5277" w:rsidP="007E5277">
      <w:pPr>
        <w:pStyle w:val="Sansinterligne"/>
        <w:rPr>
          <w:rFonts w:ascii="Arial" w:eastAsia="Calibri" w:hAnsi="Arial" w:cs="Arial"/>
          <w:kern w:val="24"/>
        </w:rPr>
      </w:pPr>
    </w:p>
    <w:p w:rsidR="007E5277" w:rsidRPr="001411CD" w:rsidRDefault="007E5277" w:rsidP="007E5277">
      <w:pPr>
        <w:pStyle w:val="Paragraphedeliste"/>
        <w:numPr>
          <w:ilvl w:val="0"/>
          <w:numId w:val="39"/>
        </w:numPr>
        <w:jc w:val="both"/>
        <w:rPr>
          <w:rFonts w:ascii="Arial" w:eastAsia="Calibri" w:hAnsi="Arial" w:cs="Arial"/>
          <w:kern w:val="24"/>
        </w:rPr>
      </w:pPr>
      <w:r w:rsidRPr="001411CD">
        <w:rPr>
          <w:rFonts w:ascii="Arial" w:eastAsia="Calibri" w:hAnsi="Arial" w:cs="Arial"/>
          <w:b/>
          <w:kern w:val="24"/>
        </w:rPr>
        <w:t>Par rapport à la formation/incubation des jeunes et femmes à l’entreprenariat agricole</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 xml:space="preserve">795 jeunes dont 135 femmes formés ; </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 xml:space="preserve">167 producteurs de </w:t>
      </w:r>
      <w:proofErr w:type="spellStart"/>
      <w:r w:rsidRPr="001411CD">
        <w:rPr>
          <w:rFonts w:ascii="Arial" w:eastAsia="Calibri" w:hAnsi="Arial" w:cs="Arial"/>
          <w:kern w:val="24"/>
          <w:sz w:val="22"/>
          <w:szCs w:val="22"/>
        </w:rPr>
        <w:t>Kétou</w:t>
      </w:r>
      <w:proofErr w:type="spellEnd"/>
      <w:r w:rsidRPr="001411CD">
        <w:rPr>
          <w:rFonts w:ascii="Arial" w:eastAsia="Calibri" w:hAnsi="Arial" w:cs="Arial"/>
          <w:kern w:val="24"/>
          <w:sz w:val="22"/>
          <w:szCs w:val="22"/>
        </w:rPr>
        <w:t xml:space="preserve"> et de </w:t>
      </w:r>
      <w:proofErr w:type="spellStart"/>
      <w:r w:rsidR="001411CD" w:rsidRPr="001411CD">
        <w:rPr>
          <w:rFonts w:ascii="Arial" w:eastAsia="Calibri" w:hAnsi="Arial" w:cs="Arial"/>
          <w:kern w:val="24"/>
          <w:sz w:val="22"/>
          <w:szCs w:val="22"/>
        </w:rPr>
        <w:t>Zangnanado</w:t>
      </w:r>
      <w:proofErr w:type="spellEnd"/>
      <w:r w:rsidRPr="001411CD">
        <w:rPr>
          <w:rFonts w:ascii="Arial" w:eastAsia="Calibri" w:hAnsi="Arial" w:cs="Arial"/>
          <w:kern w:val="24"/>
          <w:sz w:val="22"/>
          <w:szCs w:val="22"/>
        </w:rPr>
        <w:t xml:space="preserve"> dont 32 formés sur les techniques de maraîchage ;</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 xml:space="preserve">Recrutement de 480 jeunes pour leur formation en entreprenariat agricole dans le cadre du partenariat avec le PAIA-VO. L’avis de </w:t>
      </w:r>
      <w:r w:rsidR="001411CD" w:rsidRPr="001411CD">
        <w:rPr>
          <w:rFonts w:ascii="Arial" w:eastAsia="Calibri" w:hAnsi="Arial" w:cs="Arial"/>
          <w:kern w:val="24"/>
          <w:sz w:val="22"/>
          <w:szCs w:val="22"/>
        </w:rPr>
        <w:t>non objection</w:t>
      </w:r>
      <w:r w:rsidRPr="001411CD">
        <w:rPr>
          <w:rFonts w:ascii="Arial" w:eastAsia="Calibri" w:hAnsi="Arial" w:cs="Arial"/>
          <w:kern w:val="24"/>
          <w:sz w:val="22"/>
          <w:szCs w:val="22"/>
        </w:rPr>
        <w:t xml:space="preserve"> de la BAD est déjà obtenue sur le dossier ;</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 xml:space="preserve">Elaboration d’une nouvelle politique de formation ; </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Signature de convention de partenariat avec PAIA-VO/BAD.</w:t>
      </w:r>
    </w:p>
    <w:p w:rsidR="007E5277" w:rsidRPr="001411CD" w:rsidRDefault="007E5277" w:rsidP="007E5277">
      <w:pPr>
        <w:pStyle w:val="Sansinterligne"/>
        <w:jc w:val="both"/>
        <w:rPr>
          <w:rFonts w:ascii="Arial" w:eastAsia="Calibri" w:hAnsi="Arial" w:cs="Arial"/>
          <w:kern w:val="24"/>
          <w:sz w:val="22"/>
          <w:szCs w:val="22"/>
        </w:rPr>
      </w:pPr>
    </w:p>
    <w:p w:rsidR="007E5277" w:rsidRPr="001411CD" w:rsidRDefault="007E5277" w:rsidP="007E5277">
      <w:pPr>
        <w:pStyle w:val="Sansinterligne"/>
        <w:numPr>
          <w:ilvl w:val="0"/>
          <w:numId w:val="40"/>
        </w:numPr>
        <w:jc w:val="both"/>
        <w:rPr>
          <w:rFonts w:ascii="Arial" w:hAnsi="Arial" w:cs="Arial"/>
          <w:sz w:val="22"/>
          <w:szCs w:val="22"/>
        </w:rPr>
      </w:pPr>
      <w:r w:rsidRPr="001411CD">
        <w:rPr>
          <w:rFonts w:ascii="Arial" w:eastAsia="Calibri" w:hAnsi="Arial" w:cs="Arial"/>
          <w:b/>
          <w:kern w:val="24"/>
          <w:sz w:val="22"/>
          <w:szCs w:val="22"/>
        </w:rPr>
        <w:t xml:space="preserve">Par rapport à </w:t>
      </w:r>
      <w:r w:rsidR="00DC2885" w:rsidRPr="001411CD">
        <w:rPr>
          <w:rFonts w:ascii="Arial" w:eastAsia="Calibri" w:hAnsi="Arial" w:cs="Arial"/>
          <w:b/>
          <w:kern w:val="24"/>
          <w:sz w:val="22"/>
          <w:szCs w:val="22"/>
        </w:rPr>
        <w:t>l’accompagnement et au</w:t>
      </w:r>
      <w:r w:rsidRPr="001411CD">
        <w:rPr>
          <w:rFonts w:ascii="Arial" w:eastAsia="Calibri" w:hAnsi="Arial" w:cs="Arial"/>
          <w:b/>
          <w:kern w:val="24"/>
          <w:sz w:val="22"/>
          <w:szCs w:val="22"/>
        </w:rPr>
        <w:t xml:space="preserve"> </w:t>
      </w:r>
      <w:r w:rsidR="001411CD" w:rsidRPr="001411CD">
        <w:rPr>
          <w:rFonts w:ascii="Arial" w:eastAsia="Calibri" w:hAnsi="Arial" w:cs="Arial"/>
          <w:b/>
          <w:kern w:val="24"/>
          <w:sz w:val="22"/>
          <w:szCs w:val="22"/>
        </w:rPr>
        <w:t>soutien des</w:t>
      </w:r>
      <w:r w:rsidRPr="001411CD">
        <w:rPr>
          <w:rFonts w:ascii="Arial" w:eastAsia="Calibri" w:hAnsi="Arial" w:cs="Arial"/>
          <w:b/>
          <w:kern w:val="24"/>
          <w:sz w:val="22"/>
          <w:szCs w:val="22"/>
        </w:rPr>
        <w:t xml:space="preserve"> entrepreneurs agricoles à l’installation et à la création d’entreprises viables pour le développement d’un réseau national d’agro-business</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 xml:space="preserve">Fonds levier mis en place pour tous jeunes formés </w:t>
      </w:r>
    </w:p>
    <w:p w:rsidR="007E5277" w:rsidRPr="001411CD" w:rsidRDefault="007E5277" w:rsidP="007E5277">
      <w:pPr>
        <w:pStyle w:val="Sansinterligne"/>
        <w:numPr>
          <w:ilvl w:val="0"/>
          <w:numId w:val="37"/>
        </w:numPr>
        <w:jc w:val="both"/>
        <w:rPr>
          <w:rFonts w:ascii="Arial" w:eastAsia="Calibri" w:hAnsi="Arial" w:cs="Arial"/>
          <w:kern w:val="24"/>
          <w:sz w:val="22"/>
          <w:szCs w:val="22"/>
        </w:rPr>
      </w:pPr>
      <w:proofErr w:type="spellStart"/>
      <w:r w:rsidRPr="001411CD">
        <w:rPr>
          <w:rFonts w:ascii="Arial" w:eastAsia="Calibri" w:hAnsi="Arial" w:cs="Arial"/>
          <w:kern w:val="24"/>
          <w:sz w:val="22"/>
          <w:szCs w:val="22"/>
        </w:rPr>
        <w:t>Mapping</w:t>
      </w:r>
      <w:proofErr w:type="spellEnd"/>
      <w:r w:rsidRPr="001411CD">
        <w:rPr>
          <w:rFonts w:ascii="Arial" w:eastAsia="Calibri" w:hAnsi="Arial" w:cs="Arial"/>
          <w:kern w:val="24"/>
          <w:sz w:val="22"/>
          <w:szCs w:val="22"/>
        </w:rPr>
        <w:t>/repérage de tous les installés sur l’ensemble du territoire national : Environ 375 jeunes installés ;</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 xml:space="preserve">Création d’une base données sur les installés </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 xml:space="preserve">Elaboration de plans d’affaires pour les jeunes et </w:t>
      </w:r>
      <w:r w:rsidR="00DC2885" w:rsidRPr="001411CD">
        <w:rPr>
          <w:rFonts w:ascii="Arial" w:eastAsia="Calibri" w:hAnsi="Arial" w:cs="Arial"/>
          <w:kern w:val="24"/>
          <w:sz w:val="22"/>
          <w:szCs w:val="22"/>
        </w:rPr>
        <w:t>femmes formées</w:t>
      </w:r>
      <w:r w:rsidRPr="001411CD">
        <w:rPr>
          <w:rFonts w:ascii="Arial" w:eastAsia="Calibri" w:hAnsi="Arial" w:cs="Arial"/>
          <w:kern w:val="24"/>
          <w:sz w:val="22"/>
          <w:szCs w:val="22"/>
        </w:rPr>
        <w:t xml:space="preserve"> avec l’appui du BPC </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 xml:space="preserve">Financement par le FNPEEJ de </w:t>
      </w:r>
      <w:r w:rsidR="00DC2885" w:rsidRPr="001411CD">
        <w:rPr>
          <w:rFonts w:ascii="Arial" w:eastAsia="Calibri" w:hAnsi="Arial" w:cs="Arial"/>
          <w:kern w:val="24"/>
          <w:sz w:val="22"/>
          <w:szCs w:val="22"/>
        </w:rPr>
        <w:t>trente-trois</w:t>
      </w:r>
      <w:r w:rsidRPr="001411CD">
        <w:rPr>
          <w:rFonts w:ascii="Arial" w:eastAsia="Calibri" w:hAnsi="Arial" w:cs="Arial"/>
          <w:kern w:val="24"/>
          <w:sz w:val="22"/>
          <w:szCs w:val="22"/>
        </w:rPr>
        <w:t xml:space="preserve"> (33) entreprises créées par les jeunes formés </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 xml:space="preserve">Financement par le PACER de </w:t>
      </w:r>
      <w:r w:rsidR="00DC2885" w:rsidRPr="001411CD">
        <w:rPr>
          <w:rFonts w:ascii="Arial" w:eastAsia="Calibri" w:hAnsi="Arial" w:cs="Arial"/>
          <w:kern w:val="24"/>
          <w:sz w:val="22"/>
          <w:szCs w:val="22"/>
        </w:rPr>
        <w:t>vingt-six</w:t>
      </w:r>
      <w:r w:rsidRPr="001411CD">
        <w:rPr>
          <w:rFonts w:ascii="Arial" w:eastAsia="Calibri" w:hAnsi="Arial" w:cs="Arial"/>
          <w:kern w:val="24"/>
          <w:sz w:val="22"/>
          <w:szCs w:val="22"/>
        </w:rPr>
        <w:t xml:space="preserve"> (26) entreprises créées par les jeunes formés</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 xml:space="preserve">Enregistrement à l’ANPE des plans d’affaires et au GUFE des entreprises créées par les jeunes </w:t>
      </w:r>
    </w:p>
    <w:p w:rsidR="007E5277" w:rsidRPr="001411CD" w:rsidRDefault="007E5277" w:rsidP="007E5277">
      <w:pPr>
        <w:pStyle w:val="Sansinterligne"/>
        <w:numPr>
          <w:ilvl w:val="0"/>
          <w:numId w:val="37"/>
        </w:numPr>
        <w:jc w:val="both"/>
        <w:rPr>
          <w:rFonts w:ascii="Arial" w:eastAsia="Calibri" w:hAnsi="Arial" w:cs="Arial"/>
          <w:kern w:val="24"/>
          <w:sz w:val="22"/>
          <w:szCs w:val="22"/>
        </w:rPr>
      </w:pPr>
      <w:r w:rsidRPr="001411CD">
        <w:rPr>
          <w:rFonts w:ascii="Arial" w:eastAsia="Calibri" w:hAnsi="Arial" w:cs="Arial"/>
          <w:kern w:val="24"/>
          <w:sz w:val="22"/>
          <w:szCs w:val="22"/>
        </w:rPr>
        <w:t>Construction d’une centrale d’achat pour faciliter l’accès aux marchés d’approvisionnement et de commercialisation ;</w:t>
      </w:r>
    </w:p>
    <w:p w:rsidR="007E5277" w:rsidRPr="001411CD" w:rsidRDefault="007E5277" w:rsidP="007E5277">
      <w:pPr>
        <w:pStyle w:val="Sansinterligne"/>
        <w:numPr>
          <w:ilvl w:val="0"/>
          <w:numId w:val="37"/>
        </w:numPr>
        <w:jc w:val="both"/>
        <w:rPr>
          <w:rFonts w:ascii="Arial" w:hAnsi="Arial" w:cs="Arial"/>
          <w:sz w:val="22"/>
          <w:szCs w:val="22"/>
        </w:rPr>
      </w:pPr>
      <w:r w:rsidRPr="001411CD">
        <w:rPr>
          <w:rFonts w:ascii="Arial" w:eastAsia="Calibri" w:hAnsi="Arial" w:cs="Arial"/>
          <w:kern w:val="24"/>
          <w:sz w:val="22"/>
          <w:szCs w:val="22"/>
        </w:rPr>
        <w:t>Mise en place d’un nouveau mécanisme de suivi-accompagnement des installés avec implication des communes et des CARDER.</w:t>
      </w:r>
    </w:p>
    <w:p w:rsidR="007E5277" w:rsidRPr="001411CD" w:rsidRDefault="007E5277" w:rsidP="002B0553">
      <w:pPr>
        <w:autoSpaceDE w:val="0"/>
        <w:autoSpaceDN w:val="0"/>
        <w:adjustRightInd w:val="0"/>
        <w:spacing w:after="0" w:line="240" w:lineRule="auto"/>
        <w:jc w:val="both"/>
        <w:rPr>
          <w:rFonts w:ascii="Arial" w:hAnsi="Arial" w:cs="Arial"/>
          <w:color w:val="272627"/>
        </w:rPr>
      </w:pPr>
    </w:p>
    <w:p w:rsidR="00BD5B46" w:rsidRPr="001411CD" w:rsidRDefault="002B0553" w:rsidP="002B0553">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En </w:t>
      </w:r>
      <w:r w:rsidR="00BD5B46" w:rsidRPr="001411CD">
        <w:rPr>
          <w:rFonts w:ascii="Arial" w:hAnsi="Arial" w:cs="Arial"/>
          <w:color w:val="272627"/>
        </w:rPr>
        <w:t>termes</w:t>
      </w:r>
      <w:r w:rsidRPr="001411CD">
        <w:rPr>
          <w:rFonts w:ascii="Arial" w:hAnsi="Arial" w:cs="Arial"/>
          <w:color w:val="272627"/>
        </w:rPr>
        <w:t xml:space="preserve"> de mise en œuvre, le PPEA, bien qu’étant un projet </w:t>
      </w:r>
      <w:r w:rsidR="000B7A40" w:rsidRPr="001411CD">
        <w:rPr>
          <w:rFonts w:ascii="Arial" w:hAnsi="Arial" w:cs="Arial"/>
          <w:color w:val="272627"/>
        </w:rPr>
        <w:t>en réalisation nationale</w:t>
      </w:r>
      <w:r w:rsidRPr="001411CD">
        <w:rPr>
          <w:rFonts w:ascii="Arial" w:hAnsi="Arial" w:cs="Arial"/>
          <w:color w:val="272627"/>
        </w:rPr>
        <w:t xml:space="preserve">, </w:t>
      </w:r>
      <w:r w:rsidR="000B7A40" w:rsidRPr="001411CD">
        <w:rPr>
          <w:rFonts w:ascii="Arial" w:hAnsi="Arial" w:cs="Arial"/>
          <w:color w:val="272627"/>
        </w:rPr>
        <w:t xml:space="preserve">est </w:t>
      </w:r>
      <w:r w:rsidR="00E211A9" w:rsidRPr="001411CD">
        <w:rPr>
          <w:rFonts w:ascii="Arial" w:hAnsi="Arial" w:cs="Arial"/>
          <w:color w:val="272627"/>
        </w:rPr>
        <w:t>exécuté</w:t>
      </w:r>
      <w:r w:rsidR="00726A62" w:rsidRPr="001411CD">
        <w:rPr>
          <w:rFonts w:ascii="Arial" w:hAnsi="Arial" w:cs="Arial"/>
          <w:color w:val="272627"/>
        </w:rPr>
        <w:t xml:space="preserve"> </w:t>
      </w:r>
      <w:r w:rsidR="00E211A9" w:rsidRPr="001411CD">
        <w:rPr>
          <w:rFonts w:ascii="Arial" w:hAnsi="Arial" w:cs="Arial"/>
          <w:color w:val="272627"/>
        </w:rPr>
        <w:t xml:space="preserve">pour certains volets par le PNUD sur la base d’une lettre d’accord signée avec le Gouvernement, et en grande partie par le </w:t>
      </w:r>
      <w:r w:rsidRPr="001411CD">
        <w:rPr>
          <w:rFonts w:ascii="Arial" w:hAnsi="Arial" w:cs="Arial"/>
          <w:color w:val="272627"/>
        </w:rPr>
        <w:t xml:space="preserve">Centre Régional Songhaï. Le coût global du projet s’élève à 23 000 000 000 FCFA (soit environ 46 000 000 US $) et est financé par le Gouvernement du Bénin, le PNUD et d’autres partenaires. </w:t>
      </w:r>
    </w:p>
    <w:p w:rsidR="00E211A9" w:rsidRPr="001411CD" w:rsidRDefault="00E211A9" w:rsidP="002B0553">
      <w:pPr>
        <w:autoSpaceDE w:val="0"/>
        <w:autoSpaceDN w:val="0"/>
        <w:adjustRightInd w:val="0"/>
        <w:spacing w:after="0" w:line="240" w:lineRule="auto"/>
        <w:jc w:val="both"/>
        <w:rPr>
          <w:rFonts w:ascii="Arial" w:hAnsi="Arial" w:cs="Arial"/>
          <w:color w:val="272627"/>
        </w:rPr>
      </w:pPr>
    </w:p>
    <w:p w:rsidR="001411CD" w:rsidRPr="001411CD" w:rsidRDefault="001411CD" w:rsidP="002B0553">
      <w:pPr>
        <w:autoSpaceDE w:val="0"/>
        <w:autoSpaceDN w:val="0"/>
        <w:adjustRightInd w:val="0"/>
        <w:spacing w:after="0" w:line="240" w:lineRule="auto"/>
        <w:jc w:val="both"/>
        <w:rPr>
          <w:rFonts w:ascii="Arial" w:hAnsi="Arial" w:cs="Arial"/>
          <w:color w:val="272627"/>
        </w:rPr>
      </w:pPr>
    </w:p>
    <w:p w:rsidR="001411CD" w:rsidRPr="001411CD" w:rsidRDefault="001411CD" w:rsidP="002B0553">
      <w:pPr>
        <w:autoSpaceDE w:val="0"/>
        <w:autoSpaceDN w:val="0"/>
        <w:adjustRightInd w:val="0"/>
        <w:spacing w:after="0" w:line="240" w:lineRule="auto"/>
        <w:jc w:val="both"/>
        <w:rPr>
          <w:rFonts w:ascii="Arial" w:hAnsi="Arial" w:cs="Arial"/>
          <w:color w:val="272627"/>
        </w:rPr>
      </w:pPr>
    </w:p>
    <w:p w:rsidR="001411CD" w:rsidRPr="001411CD" w:rsidRDefault="001411CD" w:rsidP="002B0553">
      <w:pPr>
        <w:autoSpaceDE w:val="0"/>
        <w:autoSpaceDN w:val="0"/>
        <w:adjustRightInd w:val="0"/>
        <w:spacing w:after="0" w:line="240" w:lineRule="auto"/>
        <w:jc w:val="both"/>
        <w:rPr>
          <w:rFonts w:ascii="Arial" w:hAnsi="Arial" w:cs="Arial"/>
          <w:color w:val="272627"/>
        </w:rPr>
      </w:pPr>
    </w:p>
    <w:p w:rsidR="001411CD" w:rsidRPr="001411CD" w:rsidRDefault="001411CD" w:rsidP="002B0553">
      <w:pPr>
        <w:autoSpaceDE w:val="0"/>
        <w:autoSpaceDN w:val="0"/>
        <w:adjustRightInd w:val="0"/>
        <w:spacing w:after="0" w:line="240" w:lineRule="auto"/>
        <w:jc w:val="both"/>
        <w:rPr>
          <w:rFonts w:ascii="Arial" w:hAnsi="Arial" w:cs="Arial"/>
          <w:color w:val="272627"/>
        </w:rPr>
      </w:pPr>
    </w:p>
    <w:p w:rsidR="001411CD" w:rsidRPr="001411CD" w:rsidRDefault="001411CD" w:rsidP="002B0553">
      <w:pPr>
        <w:autoSpaceDE w:val="0"/>
        <w:autoSpaceDN w:val="0"/>
        <w:adjustRightInd w:val="0"/>
        <w:spacing w:after="0" w:line="240" w:lineRule="auto"/>
        <w:jc w:val="both"/>
        <w:rPr>
          <w:rFonts w:ascii="Arial" w:hAnsi="Arial" w:cs="Arial"/>
          <w:color w:val="272627"/>
        </w:rPr>
      </w:pPr>
    </w:p>
    <w:p w:rsidR="001411CD" w:rsidRPr="001411CD" w:rsidRDefault="001411CD" w:rsidP="002B0553">
      <w:pPr>
        <w:autoSpaceDE w:val="0"/>
        <w:autoSpaceDN w:val="0"/>
        <w:adjustRightInd w:val="0"/>
        <w:spacing w:after="0" w:line="240" w:lineRule="auto"/>
        <w:jc w:val="both"/>
        <w:rPr>
          <w:rFonts w:ascii="Arial" w:hAnsi="Arial" w:cs="Arial"/>
          <w:color w:val="272627"/>
        </w:rPr>
      </w:pPr>
    </w:p>
    <w:p w:rsidR="00BD5B46" w:rsidRPr="001411CD" w:rsidRDefault="001411CD" w:rsidP="002B0553">
      <w:pPr>
        <w:autoSpaceDE w:val="0"/>
        <w:autoSpaceDN w:val="0"/>
        <w:adjustRightInd w:val="0"/>
        <w:spacing w:after="0" w:line="240" w:lineRule="auto"/>
        <w:jc w:val="both"/>
        <w:rPr>
          <w:rFonts w:ascii="Arial" w:eastAsia="Times New Roman" w:hAnsi="Arial" w:cs="Arial"/>
          <w:b/>
          <w:bCs/>
          <w:color w:val="000000"/>
          <w:sz w:val="20"/>
          <w:szCs w:val="20"/>
          <w:lang w:eastAsia="fr-FR"/>
        </w:rPr>
      </w:pPr>
      <w:r w:rsidRPr="001411CD">
        <w:rPr>
          <w:rFonts w:ascii="Arial" w:eastAsia="Times New Roman" w:hAnsi="Arial" w:cs="Arial"/>
          <w:b/>
          <w:bCs/>
          <w:color w:val="000000"/>
          <w:sz w:val="20"/>
          <w:szCs w:val="20"/>
          <w:highlight w:val="cyan"/>
          <w:lang w:eastAsia="fr-FR"/>
        </w:rPr>
        <w:t>ETAT DES RESSOURCES ET DEPENSES</w:t>
      </w:r>
    </w:p>
    <w:p w:rsidR="001411CD" w:rsidRPr="001411CD" w:rsidRDefault="001411CD" w:rsidP="002B0553">
      <w:pPr>
        <w:autoSpaceDE w:val="0"/>
        <w:autoSpaceDN w:val="0"/>
        <w:adjustRightInd w:val="0"/>
        <w:spacing w:after="0" w:line="240" w:lineRule="auto"/>
        <w:jc w:val="both"/>
        <w:rPr>
          <w:rFonts w:ascii="Arial" w:eastAsia="Times New Roman" w:hAnsi="Arial" w:cs="Arial"/>
          <w:b/>
          <w:bCs/>
          <w:color w:val="000000"/>
          <w:sz w:val="20"/>
          <w:szCs w:val="20"/>
          <w:lang w:eastAsia="fr-FR"/>
        </w:rPr>
      </w:pPr>
    </w:p>
    <w:tbl>
      <w:tblPr>
        <w:tblW w:w="11294" w:type="dxa"/>
        <w:jc w:val="center"/>
        <w:tblCellMar>
          <w:left w:w="70" w:type="dxa"/>
          <w:right w:w="70" w:type="dxa"/>
        </w:tblCellMar>
        <w:tblLook w:val="04A0" w:firstRow="1" w:lastRow="0" w:firstColumn="1" w:lastColumn="0" w:noHBand="0" w:noVBand="1"/>
      </w:tblPr>
      <w:tblGrid>
        <w:gridCol w:w="806"/>
        <w:gridCol w:w="1048"/>
        <w:gridCol w:w="942"/>
        <w:gridCol w:w="617"/>
        <w:gridCol w:w="1048"/>
        <w:gridCol w:w="942"/>
        <w:gridCol w:w="676"/>
        <w:gridCol w:w="1048"/>
        <w:gridCol w:w="942"/>
        <w:gridCol w:w="630"/>
        <w:gridCol w:w="1189"/>
        <w:gridCol w:w="942"/>
        <w:gridCol w:w="532"/>
      </w:tblGrid>
      <w:tr w:rsidR="001411CD" w:rsidRPr="001411CD" w:rsidTr="001411CD">
        <w:trPr>
          <w:trHeight w:val="315"/>
          <w:jc w:val="center"/>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Année</w:t>
            </w:r>
          </w:p>
        </w:tc>
        <w:tc>
          <w:tcPr>
            <w:tcW w:w="10488"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1411CD" w:rsidRPr="001411CD" w:rsidRDefault="001411CD" w:rsidP="001411CD">
            <w:pPr>
              <w:spacing w:after="0" w:line="240" w:lineRule="auto"/>
              <w:jc w:val="center"/>
              <w:rPr>
                <w:rFonts w:ascii="Arial" w:eastAsia="Times New Roman" w:hAnsi="Arial" w:cs="Arial"/>
                <w:b/>
                <w:bCs/>
                <w:color w:val="000000"/>
                <w:sz w:val="16"/>
                <w:szCs w:val="24"/>
                <w:lang w:eastAsia="fr-FR"/>
              </w:rPr>
            </w:pPr>
            <w:r w:rsidRPr="001411CD">
              <w:rPr>
                <w:rFonts w:ascii="Arial" w:eastAsia="Times New Roman" w:hAnsi="Arial" w:cs="Arial"/>
                <w:b/>
                <w:bCs/>
                <w:color w:val="000000"/>
                <w:sz w:val="16"/>
                <w:szCs w:val="24"/>
                <w:lang w:eastAsia="fr-FR"/>
              </w:rPr>
              <w:t>DEPENSES PAR SOURCES DE FINANCEMENT (en US$)</w:t>
            </w:r>
          </w:p>
        </w:tc>
      </w:tr>
      <w:tr w:rsidR="001411CD" w:rsidRPr="001411CD" w:rsidTr="001411CD">
        <w:trPr>
          <w:trHeight w:val="600"/>
          <w:jc w:val="center"/>
        </w:trPr>
        <w:tc>
          <w:tcPr>
            <w:tcW w:w="806" w:type="dxa"/>
            <w:vMerge/>
            <w:tcBorders>
              <w:top w:val="single" w:sz="4" w:space="0" w:color="auto"/>
              <w:left w:val="single" w:sz="4" w:space="0" w:color="auto"/>
              <w:bottom w:val="single" w:sz="4" w:space="0" w:color="auto"/>
              <w:right w:val="single" w:sz="4" w:space="0" w:color="auto"/>
            </w:tcBorders>
            <w:vAlign w:val="center"/>
            <w:hideMark/>
          </w:tcPr>
          <w:p w:rsidR="001411CD" w:rsidRPr="001411CD" w:rsidRDefault="001411CD" w:rsidP="001411CD">
            <w:pPr>
              <w:spacing w:after="0" w:line="240" w:lineRule="auto"/>
              <w:rPr>
                <w:rFonts w:ascii="Arial" w:eastAsia="Times New Roman" w:hAnsi="Arial" w:cs="Arial"/>
                <w:b/>
                <w:bCs/>
                <w:color w:val="000000"/>
                <w:sz w:val="16"/>
                <w:szCs w:val="20"/>
                <w:lang w:eastAsia="fr-FR"/>
              </w:rPr>
            </w:pPr>
          </w:p>
        </w:tc>
        <w:tc>
          <w:tcPr>
            <w:tcW w:w="2591" w:type="dxa"/>
            <w:gridSpan w:val="3"/>
            <w:tcBorders>
              <w:top w:val="single" w:sz="4" w:space="0" w:color="auto"/>
              <w:left w:val="nil"/>
              <w:bottom w:val="single" w:sz="4" w:space="0" w:color="auto"/>
              <w:right w:val="single" w:sz="4" w:space="0" w:color="auto"/>
            </w:tcBorders>
            <w:shd w:val="clear" w:color="FFFF00" w:fill="FFFF0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BUDGET NATIONAL</w:t>
            </w:r>
          </w:p>
        </w:tc>
        <w:tc>
          <w:tcPr>
            <w:tcW w:w="2640" w:type="dxa"/>
            <w:gridSpan w:val="3"/>
            <w:tcBorders>
              <w:top w:val="single" w:sz="4" w:space="0" w:color="auto"/>
              <w:left w:val="nil"/>
              <w:bottom w:val="single" w:sz="4" w:space="0" w:color="auto"/>
              <w:right w:val="single" w:sz="4" w:space="0" w:color="auto"/>
            </w:tcBorders>
            <w:shd w:val="clear" w:color="FFFF00" w:fill="FFFF0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PNUD</w:t>
            </w:r>
          </w:p>
        </w:tc>
        <w:tc>
          <w:tcPr>
            <w:tcW w:w="2594" w:type="dxa"/>
            <w:gridSpan w:val="3"/>
            <w:tcBorders>
              <w:top w:val="single" w:sz="4" w:space="0" w:color="auto"/>
              <w:left w:val="nil"/>
              <w:bottom w:val="single" w:sz="4" w:space="0" w:color="auto"/>
              <w:right w:val="single" w:sz="4" w:space="0" w:color="auto"/>
            </w:tcBorders>
            <w:shd w:val="clear" w:color="FFFF00" w:fill="FFFF0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LOTERIE NATIONALE DU BENIN</w:t>
            </w:r>
          </w:p>
        </w:tc>
        <w:tc>
          <w:tcPr>
            <w:tcW w:w="2663" w:type="dxa"/>
            <w:gridSpan w:val="3"/>
            <w:tcBorders>
              <w:top w:val="single" w:sz="4" w:space="0" w:color="auto"/>
              <w:left w:val="nil"/>
              <w:bottom w:val="single" w:sz="4" w:space="0" w:color="auto"/>
              <w:right w:val="single" w:sz="4" w:space="0" w:color="auto"/>
            </w:tcBorders>
            <w:shd w:val="clear" w:color="FFFF00" w:fill="FFFF0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TOTAL</w:t>
            </w:r>
          </w:p>
        </w:tc>
      </w:tr>
      <w:tr w:rsidR="001411CD" w:rsidRPr="001411CD" w:rsidTr="001411CD">
        <w:trPr>
          <w:trHeight w:val="660"/>
          <w:jc w:val="center"/>
        </w:trPr>
        <w:tc>
          <w:tcPr>
            <w:tcW w:w="806" w:type="dxa"/>
            <w:vMerge/>
            <w:tcBorders>
              <w:top w:val="single" w:sz="4" w:space="0" w:color="auto"/>
              <w:left w:val="single" w:sz="4" w:space="0" w:color="auto"/>
              <w:bottom w:val="single" w:sz="4" w:space="0" w:color="auto"/>
              <w:right w:val="single" w:sz="4" w:space="0" w:color="auto"/>
            </w:tcBorders>
            <w:vAlign w:val="center"/>
            <w:hideMark/>
          </w:tcPr>
          <w:p w:rsidR="001411CD" w:rsidRPr="001411CD" w:rsidRDefault="001411CD" w:rsidP="001411CD">
            <w:pPr>
              <w:spacing w:after="0" w:line="240" w:lineRule="auto"/>
              <w:rPr>
                <w:rFonts w:ascii="Arial" w:eastAsia="Times New Roman" w:hAnsi="Arial" w:cs="Arial"/>
                <w:b/>
                <w:bCs/>
                <w:color w:val="000000"/>
                <w:sz w:val="16"/>
                <w:szCs w:val="20"/>
                <w:lang w:eastAsia="fr-FR"/>
              </w:rPr>
            </w:pPr>
          </w:p>
        </w:tc>
        <w:tc>
          <w:tcPr>
            <w:tcW w:w="1032" w:type="dxa"/>
            <w:tcBorders>
              <w:top w:val="nil"/>
              <w:left w:val="nil"/>
              <w:bottom w:val="single" w:sz="4" w:space="0" w:color="auto"/>
              <w:right w:val="single" w:sz="4" w:space="0" w:color="auto"/>
            </w:tcBorders>
            <w:shd w:val="clear" w:color="FFFF00" w:fill="FFFF0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Ressources mobilisées</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Dépenses effectuées</w:t>
            </w:r>
          </w:p>
        </w:tc>
        <w:tc>
          <w:tcPr>
            <w:tcW w:w="617"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Taux</w:t>
            </w:r>
          </w:p>
        </w:tc>
        <w:tc>
          <w:tcPr>
            <w:tcW w:w="1022" w:type="dxa"/>
            <w:tcBorders>
              <w:top w:val="nil"/>
              <w:left w:val="nil"/>
              <w:bottom w:val="single" w:sz="4" w:space="0" w:color="auto"/>
              <w:right w:val="single" w:sz="4" w:space="0" w:color="auto"/>
            </w:tcBorders>
            <w:shd w:val="clear" w:color="FFFF00" w:fill="FFFF0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Ressources mobilisées</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Dépenses effectuées</w:t>
            </w:r>
          </w:p>
        </w:tc>
        <w:tc>
          <w:tcPr>
            <w:tcW w:w="676"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Taux</w:t>
            </w:r>
          </w:p>
        </w:tc>
        <w:tc>
          <w:tcPr>
            <w:tcW w:w="1022" w:type="dxa"/>
            <w:tcBorders>
              <w:top w:val="nil"/>
              <w:left w:val="nil"/>
              <w:bottom w:val="single" w:sz="4" w:space="0" w:color="auto"/>
              <w:right w:val="single" w:sz="4" w:space="0" w:color="auto"/>
            </w:tcBorders>
            <w:shd w:val="clear" w:color="FFFF00" w:fill="FFFF0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Ressources mobilisées</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Dépenses effectuées</w:t>
            </w:r>
          </w:p>
        </w:tc>
        <w:tc>
          <w:tcPr>
            <w:tcW w:w="630"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Taux</w:t>
            </w:r>
          </w:p>
        </w:tc>
        <w:tc>
          <w:tcPr>
            <w:tcW w:w="1189" w:type="dxa"/>
            <w:tcBorders>
              <w:top w:val="nil"/>
              <w:left w:val="nil"/>
              <w:bottom w:val="single" w:sz="4" w:space="0" w:color="auto"/>
              <w:right w:val="single" w:sz="4" w:space="0" w:color="auto"/>
            </w:tcBorders>
            <w:shd w:val="clear" w:color="FFFF00" w:fill="FFFF0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Ressources mobilisées</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Dépenses effectuées</w:t>
            </w:r>
          </w:p>
        </w:tc>
        <w:tc>
          <w:tcPr>
            <w:tcW w:w="53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Taux</w:t>
            </w:r>
          </w:p>
        </w:tc>
      </w:tr>
      <w:tr w:rsidR="001411CD" w:rsidRPr="001411CD" w:rsidTr="001411CD">
        <w:trPr>
          <w:trHeight w:val="36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2009</w:t>
            </w:r>
          </w:p>
        </w:tc>
        <w:tc>
          <w:tcPr>
            <w:tcW w:w="103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xml:space="preserve">               -     </w:t>
            </w:r>
          </w:p>
        </w:tc>
        <w:tc>
          <w:tcPr>
            <w:tcW w:w="617"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119 674</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119 674</w:t>
            </w:r>
          </w:p>
        </w:tc>
        <w:tc>
          <w:tcPr>
            <w:tcW w:w="676"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942" w:type="dxa"/>
            <w:tcBorders>
              <w:top w:val="nil"/>
              <w:left w:val="nil"/>
              <w:bottom w:val="single" w:sz="4" w:space="0" w:color="auto"/>
              <w:right w:val="single" w:sz="4" w:space="0" w:color="auto"/>
            </w:tcBorders>
            <w:shd w:val="clear" w:color="92D050" w:fill="92D050"/>
            <w:noWrap/>
            <w:vAlign w:val="bottom"/>
            <w:hideMark/>
          </w:tcPr>
          <w:p w:rsidR="001411CD" w:rsidRPr="001411CD" w:rsidRDefault="001411CD" w:rsidP="001411CD">
            <w:pPr>
              <w:spacing w:after="0" w:line="240" w:lineRule="auto"/>
              <w:rPr>
                <w:rFonts w:ascii="Arial" w:eastAsia="Times New Roman" w:hAnsi="Arial" w:cs="Arial"/>
                <w:color w:val="000000"/>
                <w:sz w:val="16"/>
                <w:lang w:eastAsia="fr-FR"/>
              </w:rPr>
            </w:pPr>
            <w:r w:rsidRPr="001411CD">
              <w:rPr>
                <w:rFonts w:ascii="Arial" w:eastAsia="Times New Roman" w:hAnsi="Arial" w:cs="Arial"/>
                <w:color w:val="000000"/>
                <w:sz w:val="16"/>
                <w:lang w:eastAsia="fr-FR"/>
              </w:rPr>
              <w:t> </w:t>
            </w:r>
          </w:p>
        </w:tc>
        <w:tc>
          <w:tcPr>
            <w:tcW w:w="630" w:type="dxa"/>
            <w:tcBorders>
              <w:top w:val="nil"/>
              <w:left w:val="nil"/>
              <w:bottom w:val="single" w:sz="4" w:space="0" w:color="auto"/>
              <w:right w:val="single" w:sz="4" w:space="0" w:color="auto"/>
            </w:tcBorders>
            <w:shd w:val="clear" w:color="92D050" w:fill="92D050"/>
            <w:noWrap/>
            <w:vAlign w:val="bottom"/>
            <w:hideMark/>
          </w:tcPr>
          <w:p w:rsidR="001411CD" w:rsidRPr="001411CD" w:rsidRDefault="001411CD" w:rsidP="001411CD">
            <w:pPr>
              <w:spacing w:after="0" w:line="240" w:lineRule="auto"/>
              <w:rPr>
                <w:rFonts w:ascii="Arial" w:eastAsia="Times New Roman" w:hAnsi="Arial" w:cs="Arial"/>
                <w:color w:val="000000"/>
                <w:sz w:val="16"/>
                <w:lang w:eastAsia="fr-FR"/>
              </w:rPr>
            </w:pPr>
            <w:r w:rsidRPr="001411CD">
              <w:rPr>
                <w:rFonts w:ascii="Arial" w:eastAsia="Times New Roman" w:hAnsi="Arial" w:cs="Arial"/>
                <w:color w:val="000000"/>
                <w:sz w:val="16"/>
                <w:lang w:eastAsia="fr-FR"/>
              </w:rPr>
              <w:t> </w:t>
            </w:r>
          </w:p>
        </w:tc>
        <w:tc>
          <w:tcPr>
            <w:tcW w:w="1189"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119 674</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119 674</w:t>
            </w:r>
          </w:p>
        </w:tc>
        <w:tc>
          <w:tcPr>
            <w:tcW w:w="53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rPr>
                <w:rFonts w:ascii="Arial" w:eastAsia="Times New Roman" w:hAnsi="Arial" w:cs="Arial"/>
                <w:b/>
                <w:bCs/>
                <w:color w:val="000000"/>
                <w:sz w:val="16"/>
                <w:lang w:eastAsia="fr-FR"/>
              </w:rPr>
            </w:pPr>
            <w:r w:rsidRPr="001411CD">
              <w:rPr>
                <w:rFonts w:ascii="Arial" w:eastAsia="Times New Roman" w:hAnsi="Arial" w:cs="Arial"/>
                <w:b/>
                <w:bCs/>
                <w:color w:val="000000"/>
                <w:sz w:val="16"/>
                <w:lang w:eastAsia="fr-FR"/>
              </w:rPr>
              <w:t> </w:t>
            </w:r>
          </w:p>
        </w:tc>
      </w:tr>
      <w:tr w:rsidR="001411CD" w:rsidRPr="001411CD" w:rsidTr="001411CD">
        <w:trPr>
          <w:trHeight w:val="36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2010</w:t>
            </w:r>
          </w:p>
        </w:tc>
        <w:tc>
          <w:tcPr>
            <w:tcW w:w="103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xml:space="preserve">               -     </w:t>
            </w:r>
          </w:p>
        </w:tc>
        <w:tc>
          <w:tcPr>
            <w:tcW w:w="617"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15 985</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15 985</w:t>
            </w:r>
          </w:p>
        </w:tc>
        <w:tc>
          <w:tcPr>
            <w:tcW w:w="676"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942" w:type="dxa"/>
            <w:tcBorders>
              <w:top w:val="nil"/>
              <w:left w:val="nil"/>
              <w:bottom w:val="single" w:sz="4" w:space="0" w:color="auto"/>
              <w:right w:val="single" w:sz="4" w:space="0" w:color="auto"/>
            </w:tcBorders>
            <w:shd w:val="clear" w:color="92D050" w:fill="92D050"/>
            <w:noWrap/>
            <w:vAlign w:val="bottom"/>
            <w:hideMark/>
          </w:tcPr>
          <w:p w:rsidR="001411CD" w:rsidRPr="001411CD" w:rsidRDefault="001411CD" w:rsidP="001411CD">
            <w:pPr>
              <w:spacing w:after="0" w:line="240" w:lineRule="auto"/>
              <w:rPr>
                <w:rFonts w:ascii="Arial" w:eastAsia="Times New Roman" w:hAnsi="Arial" w:cs="Arial"/>
                <w:color w:val="000000"/>
                <w:sz w:val="16"/>
                <w:lang w:eastAsia="fr-FR"/>
              </w:rPr>
            </w:pPr>
            <w:r w:rsidRPr="001411CD">
              <w:rPr>
                <w:rFonts w:ascii="Arial" w:eastAsia="Times New Roman" w:hAnsi="Arial" w:cs="Arial"/>
                <w:color w:val="000000"/>
                <w:sz w:val="16"/>
                <w:lang w:eastAsia="fr-FR"/>
              </w:rPr>
              <w:t> </w:t>
            </w:r>
          </w:p>
        </w:tc>
        <w:tc>
          <w:tcPr>
            <w:tcW w:w="630" w:type="dxa"/>
            <w:tcBorders>
              <w:top w:val="nil"/>
              <w:left w:val="nil"/>
              <w:bottom w:val="single" w:sz="4" w:space="0" w:color="auto"/>
              <w:right w:val="single" w:sz="4" w:space="0" w:color="auto"/>
            </w:tcBorders>
            <w:shd w:val="clear" w:color="92D050" w:fill="92D050"/>
            <w:noWrap/>
            <w:vAlign w:val="bottom"/>
            <w:hideMark/>
          </w:tcPr>
          <w:p w:rsidR="001411CD" w:rsidRPr="001411CD" w:rsidRDefault="001411CD" w:rsidP="001411CD">
            <w:pPr>
              <w:spacing w:after="0" w:line="240" w:lineRule="auto"/>
              <w:rPr>
                <w:rFonts w:ascii="Arial" w:eastAsia="Times New Roman" w:hAnsi="Arial" w:cs="Arial"/>
                <w:color w:val="000000"/>
                <w:sz w:val="16"/>
                <w:lang w:eastAsia="fr-FR"/>
              </w:rPr>
            </w:pPr>
            <w:r w:rsidRPr="001411CD">
              <w:rPr>
                <w:rFonts w:ascii="Arial" w:eastAsia="Times New Roman" w:hAnsi="Arial" w:cs="Arial"/>
                <w:color w:val="000000"/>
                <w:sz w:val="16"/>
                <w:lang w:eastAsia="fr-FR"/>
              </w:rPr>
              <w:t> </w:t>
            </w:r>
          </w:p>
        </w:tc>
        <w:tc>
          <w:tcPr>
            <w:tcW w:w="1189"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15 985</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15 985</w:t>
            </w:r>
          </w:p>
        </w:tc>
        <w:tc>
          <w:tcPr>
            <w:tcW w:w="53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rPr>
                <w:rFonts w:ascii="Arial" w:eastAsia="Times New Roman" w:hAnsi="Arial" w:cs="Arial"/>
                <w:b/>
                <w:bCs/>
                <w:color w:val="000000"/>
                <w:sz w:val="16"/>
                <w:lang w:eastAsia="fr-FR"/>
              </w:rPr>
            </w:pPr>
            <w:r w:rsidRPr="001411CD">
              <w:rPr>
                <w:rFonts w:ascii="Arial" w:eastAsia="Times New Roman" w:hAnsi="Arial" w:cs="Arial"/>
                <w:b/>
                <w:bCs/>
                <w:color w:val="000000"/>
                <w:sz w:val="16"/>
                <w:lang w:eastAsia="fr-FR"/>
              </w:rPr>
              <w:t> </w:t>
            </w:r>
          </w:p>
        </w:tc>
      </w:tr>
      <w:tr w:rsidR="001411CD" w:rsidRPr="001411CD" w:rsidTr="001411CD">
        <w:trPr>
          <w:trHeight w:val="36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2011</w:t>
            </w:r>
          </w:p>
        </w:tc>
        <w:tc>
          <w:tcPr>
            <w:tcW w:w="103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xml:space="preserve">               -     </w:t>
            </w:r>
          </w:p>
        </w:tc>
        <w:tc>
          <w:tcPr>
            <w:tcW w:w="617"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16 423</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16 423</w:t>
            </w:r>
          </w:p>
        </w:tc>
        <w:tc>
          <w:tcPr>
            <w:tcW w:w="676"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942" w:type="dxa"/>
            <w:tcBorders>
              <w:top w:val="nil"/>
              <w:left w:val="nil"/>
              <w:bottom w:val="single" w:sz="4" w:space="0" w:color="auto"/>
              <w:right w:val="single" w:sz="4" w:space="0" w:color="auto"/>
            </w:tcBorders>
            <w:shd w:val="clear" w:color="92D050" w:fill="92D050"/>
            <w:noWrap/>
            <w:vAlign w:val="bottom"/>
            <w:hideMark/>
          </w:tcPr>
          <w:p w:rsidR="001411CD" w:rsidRPr="001411CD" w:rsidRDefault="001411CD" w:rsidP="001411CD">
            <w:pPr>
              <w:spacing w:after="0" w:line="240" w:lineRule="auto"/>
              <w:rPr>
                <w:rFonts w:ascii="Arial" w:eastAsia="Times New Roman" w:hAnsi="Arial" w:cs="Arial"/>
                <w:color w:val="000000"/>
                <w:sz w:val="16"/>
                <w:lang w:eastAsia="fr-FR"/>
              </w:rPr>
            </w:pPr>
            <w:r w:rsidRPr="001411CD">
              <w:rPr>
                <w:rFonts w:ascii="Arial" w:eastAsia="Times New Roman" w:hAnsi="Arial" w:cs="Arial"/>
                <w:color w:val="000000"/>
                <w:sz w:val="16"/>
                <w:lang w:eastAsia="fr-FR"/>
              </w:rPr>
              <w:t> </w:t>
            </w:r>
          </w:p>
        </w:tc>
        <w:tc>
          <w:tcPr>
            <w:tcW w:w="630" w:type="dxa"/>
            <w:tcBorders>
              <w:top w:val="nil"/>
              <w:left w:val="nil"/>
              <w:bottom w:val="single" w:sz="4" w:space="0" w:color="auto"/>
              <w:right w:val="single" w:sz="4" w:space="0" w:color="auto"/>
            </w:tcBorders>
            <w:shd w:val="clear" w:color="92D050" w:fill="92D050"/>
            <w:noWrap/>
            <w:vAlign w:val="bottom"/>
            <w:hideMark/>
          </w:tcPr>
          <w:p w:rsidR="001411CD" w:rsidRPr="001411CD" w:rsidRDefault="001411CD" w:rsidP="001411CD">
            <w:pPr>
              <w:spacing w:after="0" w:line="240" w:lineRule="auto"/>
              <w:rPr>
                <w:rFonts w:ascii="Arial" w:eastAsia="Times New Roman" w:hAnsi="Arial" w:cs="Arial"/>
                <w:color w:val="000000"/>
                <w:sz w:val="16"/>
                <w:lang w:eastAsia="fr-FR"/>
              </w:rPr>
            </w:pPr>
            <w:r w:rsidRPr="001411CD">
              <w:rPr>
                <w:rFonts w:ascii="Arial" w:eastAsia="Times New Roman" w:hAnsi="Arial" w:cs="Arial"/>
                <w:color w:val="000000"/>
                <w:sz w:val="16"/>
                <w:lang w:eastAsia="fr-FR"/>
              </w:rPr>
              <w:t> </w:t>
            </w:r>
          </w:p>
        </w:tc>
        <w:tc>
          <w:tcPr>
            <w:tcW w:w="1189"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16 423</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16 423</w:t>
            </w:r>
          </w:p>
        </w:tc>
        <w:tc>
          <w:tcPr>
            <w:tcW w:w="53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rPr>
                <w:rFonts w:ascii="Arial" w:eastAsia="Times New Roman" w:hAnsi="Arial" w:cs="Arial"/>
                <w:b/>
                <w:bCs/>
                <w:color w:val="000000"/>
                <w:sz w:val="16"/>
                <w:lang w:eastAsia="fr-FR"/>
              </w:rPr>
            </w:pPr>
            <w:r w:rsidRPr="001411CD">
              <w:rPr>
                <w:rFonts w:ascii="Arial" w:eastAsia="Times New Roman" w:hAnsi="Arial" w:cs="Arial"/>
                <w:b/>
                <w:bCs/>
                <w:color w:val="000000"/>
                <w:sz w:val="16"/>
                <w:lang w:eastAsia="fr-FR"/>
              </w:rPr>
              <w:t> </w:t>
            </w:r>
          </w:p>
        </w:tc>
      </w:tr>
      <w:tr w:rsidR="001411CD" w:rsidRPr="001411CD" w:rsidTr="001411CD">
        <w:trPr>
          <w:trHeight w:val="36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2012</w:t>
            </w:r>
          </w:p>
        </w:tc>
        <w:tc>
          <w:tcPr>
            <w:tcW w:w="103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5 288 000</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1 229 614</w:t>
            </w:r>
          </w:p>
        </w:tc>
        <w:tc>
          <w:tcPr>
            <w:tcW w:w="617"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170 644</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170 644</w:t>
            </w:r>
          </w:p>
        </w:tc>
        <w:tc>
          <w:tcPr>
            <w:tcW w:w="676"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942" w:type="dxa"/>
            <w:tcBorders>
              <w:top w:val="nil"/>
              <w:left w:val="nil"/>
              <w:bottom w:val="single" w:sz="4" w:space="0" w:color="auto"/>
              <w:right w:val="single" w:sz="4" w:space="0" w:color="auto"/>
            </w:tcBorders>
            <w:shd w:val="clear" w:color="92D050" w:fill="92D050"/>
            <w:noWrap/>
            <w:vAlign w:val="bottom"/>
            <w:hideMark/>
          </w:tcPr>
          <w:p w:rsidR="001411CD" w:rsidRPr="001411CD" w:rsidRDefault="001411CD" w:rsidP="001411CD">
            <w:pPr>
              <w:spacing w:after="0" w:line="240" w:lineRule="auto"/>
              <w:rPr>
                <w:rFonts w:ascii="Arial" w:eastAsia="Times New Roman" w:hAnsi="Arial" w:cs="Arial"/>
                <w:color w:val="000000"/>
                <w:sz w:val="16"/>
                <w:lang w:eastAsia="fr-FR"/>
              </w:rPr>
            </w:pPr>
            <w:r w:rsidRPr="001411CD">
              <w:rPr>
                <w:rFonts w:ascii="Arial" w:eastAsia="Times New Roman" w:hAnsi="Arial" w:cs="Arial"/>
                <w:color w:val="000000"/>
                <w:sz w:val="16"/>
                <w:lang w:eastAsia="fr-FR"/>
              </w:rPr>
              <w:t> </w:t>
            </w:r>
          </w:p>
        </w:tc>
        <w:tc>
          <w:tcPr>
            <w:tcW w:w="630" w:type="dxa"/>
            <w:tcBorders>
              <w:top w:val="nil"/>
              <w:left w:val="nil"/>
              <w:bottom w:val="single" w:sz="4" w:space="0" w:color="auto"/>
              <w:right w:val="single" w:sz="4" w:space="0" w:color="auto"/>
            </w:tcBorders>
            <w:shd w:val="clear" w:color="92D050" w:fill="92D050"/>
            <w:noWrap/>
            <w:vAlign w:val="bottom"/>
            <w:hideMark/>
          </w:tcPr>
          <w:p w:rsidR="001411CD" w:rsidRPr="001411CD" w:rsidRDefault="001411CD" w:rsidP="001411CD">
            <w:pPr>
              <w:spacing w:after="0" w:line="240" w:lineRule="auto"/>
              <w:rPr>
                <w:rFonts w:ascii="Arial" w:eastAsia="Times New Roman" w:hAnsi="Arial" w:cs="Arial"/>
                <w:color w:val="000000"/>
                <w:sz w:val="16"/>
                <w:lang w:eastAsia="fr-FR"/>
              </w:rPr>
            </w:pPr>
            <w:r w:rsidRPr="001411CD">
              <w:rPr>
                <w:rFonts w:ascii="Arial" w:eastAsia="Times New Roman" w:hAnsi="Arial" w:cs="Arial"/>
                <w:color w:val="000000"/>
                <w:sz w:val="16"/>
                <w:lang w:eastAsia="fr-FR"/>
              </w:rPr>
              <w:t> </w:t>
            </w:r>
          </w:p>
        </w:tc>
        <w:tc>
          <w:tcPr>
            <w:tcW w:w="1189"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5 458 644</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1 400 258</w:t>
            </w:r>
          </w:p>
        </w:tc>
        <w:tc>
          <w:tcPr>
            <w:tcW w:w="53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rPr>
                <w:rFonts w:ascii="Arial" w:eastAsia="Times New Roman" w:hAnsi="Arial" w:cs="Arial"/>
                <w:b/>
                <w:bCs/>
                <w:color w:val="000000"/>
                <w:sz w:val="16"/>
                <w:lang w:eastAsia="fr-FR"/>
              </w:rPr>
            </w:pPr>
            <w:r w:rsidRPr="001411CD">
              <w:rPr>
                <w:rFonts w:ascii="Arial" w:eastAsia="Times New Roman" w:hAnsi="Arial" w:cs="Arial"/>
                <w:b/>
                <w:bCs/>
                <w:color w:val="000000"/>
                <w:sz w:val="16"/>
                <w:lang w:eastAsia="fr-FR"/>
              </w:rPr>
              <w:t> </w:t>
            </w:r>
          </w:p>
        </w:tc>
      </w:tr>
      <w:tr w:rsidR="001411CD" w:rsidRPr="001411CD" w:rsidTr="001411CD">
        <w:trPr>
          <w:trHeight w:val="36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2013</w:t>
            </w:r>
          </w:p>
        </w:tc>
        <w:tc>
          <w:tcPr>
            <w:tcW w:w="103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2 563 849</w:t>
            </w:r>
          </w:p>
        </w:tc>
        <w:tc>
          <w:tcPr>
            <w:tcW w:w="617"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51 688</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51 688</w:t>
            </w:r>
          </w:p>
        </w:tc>
        <w:tc>
          <w:tcPr>
            <w:tcW w:w="676"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942" w:type="dxa"/>
            <w:tcBorders>
              <w:top w:val="nil"/>
              <w:left w:val="nil"/>
              <w:bottom w:val="single" w:sz="4" w:space="0" w:color="auto"/>
              <w:right w:val="single" w:sz="4" w:space="0" w:color="auto"/>
            </w:tcBorders>
            <w:shd w:val="clear" w:color="92D050" w:fill="92D050"/>
            <w:noWrap/>
            <w:vAlign w:val="bottom"/>
            <w:hideMark/>
          </w:tcPr>
          <w:p w:rsidR="001411CD" w:rsidRPr="001411CD" w:rsidRDefault="001411CD" w:rsidP="001411CD">
            <w:pPr>
              <w:spacing w:after="0" w:line="240" w:lineRule="auto"/>
              <w:rPr>
                <w:rFonts w:ascii="Arial" w:eastAsia="Times New Roman" w:hAnsi="Arial" w:cs="Arial"/>
                <w:color w:val="000000"/>
                <w:sz w:val="16"/>
                <w:lang w:eastAsia="fr-FR"/>
              </w:rPr>
            </w:pPr>
            <w:r w:rsidRPr="001411CD">
              <w:rPr>
                <w:rFonts w:ascii="Arial" w:eastAsia="Times New Roman" w:hAnsi="Arial" w:cs="Arial"/>
                <w:color w:val="000000"/>
                <w:sz w:val="16"/>
                <w:lang w:eastAsia="fr-FR"/>
              </w:rPr>
              <w:t> </w:t>
            </w:r>
          </w:p>
        </w:tc>
        <w:tc>
          <w:tcPr>
            <w:tcW w:w="630" w:type="dxa"/>
            <w:tcBorders>
              <w:top w:val="nil"/>
              <w:left w:val="nil"/>
              <w:bottom w:val="single" w:sz="4" w:space="0" w:color="auto"/>
              <w:right w:val="single" w:sz="4" w:space="0" w:color="auto"/>
            </w:tcBorders>
            <w:shd w:val="clear" w:color="92D050" w:fill="92D050"/>
            <w:noWrap/>
            <w:vAlign w:val="bottom"/>
            <w:hideMark/>
          </w:tcPr>
          <w:p w:rsidR="001411CD" w:rsidRPr="001411CD" w:rsidRDefault="001411CD" w:rsidP="001411CD">
            <w:pPr>
              <w:spacing w:after="0" w:line="240" w:lineRule="auto"/>
              <w:rPr>
                <w:rFonts w:ascii="Arial" w:eastAsia="Times New Roman" w:hAnsi="Arial" w:cs="Arial"/>
                <w:color w:val="000000"/>
                <w:sz w:val="16"/>
                <w:lang w:eastAsia="fr-FR"/>
              </w:rPr>
            </w:pPr>
            <w:r w:rsidRPr="001411CD">
              <w:rPr>
                <w:rFonts w:ascii="Arial" w:eastAsia="Times New Roman" w:hAnsi="Arial" w:cs="Arial"/>
                <w:color w:val="000000"/>
                <w:sz w:val="16"/>
                <w:lang w:eastAsia="fr-FR"/>
              </w:rPr>
              <w:t> </w:t>
            </w:r>
          </w:p>
        </w:tc>
        <w:tc>
          <w:tcPr>
            <w:tcW w:w="1189"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51 688</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2 615 537</w:t>
            </w:r>
          </w:p>
        </w:tc>
        <w:tc>
          <w:tcPr>
            <w:tcW w:w="53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rPr>
                <w:rFonts w:ascii="Arial" w:eastAsia="Times New Roman" w:hAnsi="Arial" w:cs="Arial"/>
                <w:b/>
                <w:bCs/>
                <w:color w:val="000000"/>
                <w:sz w:val="16"/>
                <w:lang w:eastAsia="fr-FR"/>
              </w:rPr>
            </w:pPr>
            <w:r w:rsidRPr="001411CD">
              <w:rPr>
                <w:rFonts w:ascii="Arial" w:eastAsia="Times New Roman" w:hAnsi="Arial" w:cs="Arial"/>
                <w:b/>
                <w:bCs/>
                <w:color w:val="000000"/>
                <w:sz w:val="16"/>
                <w:lang w:eastAsia="fr-FR"/>
              </w:rPr>
              <w:t> </w:t>
            </w:r>
          </w:p>
        </w:tc>
      </w:tr>
      <w:tr w:rsidR="001411CD" w:rsidRPr="001411CD" w:rsidTr="001411CD">
        <w:trPr>
          <w:trHeight w:val="36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2014</w:t>
            </w:r>
          </w:p>
        </w:tc>
        <w:tc>
          <w:tcPr>
            <w:tcW w:w="103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3 000 000</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1 095 796</w:t>
            </w:r>
          </w:p>
        </w:tc>
        <w:tc>
          <w:tcPr>
            <w:tcW w:w="617"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283 554</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283 554</w:t>
            </w:r>
          </w:p>
        </w:tc>
        <w:tc>
          <w:tcPr>
            <w:tcW w:w="676"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60 000</w:t>
            </w:r>
          </w:p>
        </w:tc>
        <w:tc>
          <w:tcPr>
            <w:tcW w:w="942" w:type="dxa"/>
            <w:tcBorders>
              <w:top w:val="nil"/>
              <w:left w:val="nil"/>
              <w:bottom w:val="single" w:sz="4" w:space="0" w:color="auto"/>
              <w:right w:val="single" w:sz="4" w:space="0" w:color="auto"/>
            </w:tcBorders>
            <w:shd w:val="clear" w:color="92D050" w:fill="92D050"/>
            <w:noWrap/>
            <w:vAlign w:val="bottom"/>
            <w:hideMark/>
          </w:tcPr>
          <w:p w:rsidR="001411CD" w:rsidRPr="001411CD" w:rsidRDefault="001411CD" w:rsidP="001411CD">
            <w:pPr>
              <w:spacing w:after="0" w:line="240" w:lineRule="auto"/>
              <w:rPr>
                <w:rFonts w:ascii="Arial" w:eastAsia="Times New Roman" w:hAnsi="Arial" w:cs="Arial"/>
                <w:color w:val="000000"/>
                <w:sz w:val="16"/>
                <w:lang w:eastAsia="fr-FR"/>
              </w:rPr>
            </w:pPr>
            <w:r w:rsidRPr="001411CD">
              <w:rPr>
                <w:rFonts w:ascii="Arial" w:eastAsia="Times New Roman" w:hAnsi="Arial" w:cs="Arial"/>
                <w:color w:val="000000"/>
                <w:sz w:val="16"/>
                <w:lang w:eastAsia="fr-FR"/>
              </w:rPr>
              <w:t> </w:t>
            </w:r>
          </w:p>
        </w:tc>
        <w:tc>
          <w:tcPr>
            <w:tcW w:w="630" w:type="dxa"/>
            <w:tcBorders>
              <w:top w:val="nil"/>
              <w:left w:val="nil"/>
              <w:bottom w:val="single" w:sz="4" w:space="0" w:color="auto"/>
              <w:right w:val="single" w:sz="4" w:space="0" w:color="auto"/>
            </w:tcBorders>
            <w:shd w:val="clear" w:color="92D050" w:fill="92D050"/>
            <w:noWrap/>
            <w:vAlign w:val="bottom"/>
            <w:hideMark/>
          </w:tcPr>
          <w:p w:rsidR="001411CD" w:rsidRPr="001411CD" w:rsidRDefault="001411CD" w:rsidP="001411CD">
            <w:pPr>
              <w:spacing w:after="0" w:line="240" w:lineRule="auto"/>
              <w:rPr>
                <w:rFonts w:ascii="Arial" w:eastAsia="Times New Roman" w:hAnsi="Arial" w:cs="Arial"/>
                <w:color w:val="000000"/>
                <w:sz w:val="16"/>
                <w:lang w:eastAsia="fr-FR"/>
              </w:rPr>
            </w:pPr>
            <w:r w:rsidRPr="001411CD">
              <w:rPr>
                <w:rFonts w:ascii="Arial" w:eastAsia="Times New Roman" w:hAnsi="Arial" w:cs="Arial"/>
                <w:color w:val="000000"/>
                <w:sz w:val="16"/>
                <w:lang w:eastAsia="fr-FR"/>
              </w:rPr>
              <w:t> </w:t>
            </w:r>
          </w:p>
        </w:tc>
        <w:tc>
          <w:tcPr>
            <w:tcW w:w="1189"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3 343 554</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1 379 350</w:t>
            </w:r>
          </w:p>
        </w:tc>
        <w:tc>
          <w:tcPr>
            <w:tcW w:w="53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rPr>
                <w:rFonts w:ascii="Arial" w:eastAsia="Times New Roman" w:hAnsi="Arial" w:cs="Arial"/>
                <w:b/>
                <w:bCs/>
                <w:color w:val="000000"/>
                <w:sz w:val="16"/>
                <w:lang w:eastAsia="fr-FR"/>
              </w:rPr>
            </w:pPr>
            <w:r w:rsidRPr="001411CD">
              <w:rPr>
                <w:rFonts w:ascii="Arial" w:eastAsia="Times New Roman" w:hAnsi="Arial" w:cs="Arial"/>
                <w:b/>
                <w:bCs/>
                <w:color w:val="000000"/>
                <w:sz w:val="16"/>
                <w:lang w:eastAsia="fr-FR"/>
              </w:rPr>
              <w:t> </w:t>
            </w:r>
          </w:p>
        </w:tc>
      </w:tr>
      <w:tr w:rsidR="001411CD" w:rsidRPr="001411CD" w:rsidTr="001411CD">
        <w:trPr>
          <w:trHeight w:val="36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1411CD" w:rsidRPr="001411CD" w:rsidRDefault="001411CD" w:rsidP="001411CD">
            <w:pPr>
              <w:spacing w:after="0" w:line="240" w:lineRule="auto"/>
              <w:jc w:val="center"/>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2015</w:t>
            </w:r>
          </w:p>
        </w:tc>
        <w:tc>
          <w:tcPr>
            <w:tcW w:w="103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1 743 484</w:t>
            </w:r>
          </w:p>
        </w:tc>
        <w:tc>
          <w:tcPr>
            <w:tcW w:w="617"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55 156</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55 156</w:t>
            </w:r>
          </w:p>
        </w:tc>
        <w:tc>
          <w:tcPr>
            <w:tcW w:w="676"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022"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28 513</w:t>
            </w:r>
          </w:p>
        </w:tc>
        <w:tc>
          <w:tcPr>
            <w:tcW w:w="630"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w:t>
            </w:r>
          </w:p>
        </w:tc>
        <w:tc>
          <w:tcPr>
            <w:tcW w:w="1189"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55 156</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1 827 153</w:t>
            </w:r>
          </w:p>
        </w:tc>
        <w:tc>
          <w:tcPr>
            <w:tcW w:w="53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rPr>
                <w:rFonts w:ascii="Arial" w:eastAsia="Times New Roman" w:hAnsi="Arial" w:cs="Arial"/>
                <w:b/>
                <w:bCs/>
                <w:color w:val="000000"/>
                <w:sz w:val="16"/>
                <w:lang w:eastAsia="fr-FR"/>
              </w:rPr>
            </w:pPr>
            <w:r w:rsidRPr="001411CD">
              <w:rPr>
                <w:rFonts w:ascii="Arial" w:eastAsia="Times New Roman" w:hAnsi="Arial" w:cs="Arial"/>
                <w:b/>
                <w:bCs/>
                <w:color w:val="000000"/>
                <w:sz w:val="16"/>
                <w:lang w:eastAsia="fr-FR"/>
              </w:rPr>
              <w:t> </w:t>
            </w:r>
          </w:p>
        </w:tc>
      </w:tr>
      <w:tr w:rsidR="001411CD" w:rsidRPr="001411CD" w:rsidTr="001411CD">
        <w:trPr>
          <w:trHeight w:val="360"/>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1411CD" w:rsidRPr="001411CD" w:rsidRDefault="001411CD" w:rsidP="001411CD">
            <w:pPr>
              <w:spacing w:after="0" w:line="240" w:lineRule="auto"/>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TOTAUX</w:t>
            </w:r>
          </w:p>
        </w:tc>
        <w:tc>
          <w:tcPr>
            <w:tcW w:w="1032" w:type="dxa"/>
            <w:tcBorders>
              <w:top w:val="nil"/>
              <w:left w:val="nil"/>
              <w:bottom w:val="single" w:sz="4" w:space="0" w:color="auto"/>
              <w:right w:val="single" w:sz="4" w:space="0" w:color="auto"/>
            </w:tcBorders>
            <w:shd w:val="clear" w:color="FFFF00" w:fill="FFFF00"/>
            <w:vAlign w:val="center"/>
            <w:hideMark/>
          </w:tcPr>
          <w:p w:rsidR="001411CD" w:rsidRPr="001411CD" w:rsidRDefault="001411CD" w:rsidP="001411CD">
            <w:pPr>
              <w:spacing w:after="0" w:line="240" w:lineRule="auto"/>
              <w:jc w:val="right"/>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8 288 000</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6 632 743</w:t>
            </w:r>
          </w:p>
        </w:tc>
        <w:tc>
          <w:tcPr>
            <w:tcW w:w="617"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80%</w:t>
            </w:r>
          </w:p>
        </w:tc>
        <w:tc>
          <w:tcPr>
            <w:tcW w:w="1022" w:type="dxa"/>
            <w:tcBorders>
              <w:top w:val="nil"/>
              <w:left w:val="nil"/>
              <w:bottom w:val="single" w:sz="4" w:space="0" w:color="auto"/>
              <w:right w:val="single" w:sz="4" w:space="0" w:color="auto"/>
            </w:tcBorders>
            <w:shd w:val="clear" w:color="FFFF00" w:fill="FFFF00"/>
            <w:vAlign w:val="center"/>
            <w:hideMark/>
          </w:tcPr>
          <w:p w:rsidR="001411CD" w:rsidRPr="001411CD" w:rsidRDefault="001411CD" w:rsidP="001411CD">
            <w:pPr>
              <w:spacing w:after="0" w:line="240" w:lineRule="auto"/>
              <w:jc w:val="right"/>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713 124</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713 124</w:t>
            </w:r>
          </w:p>
        </w:tc>
        <w:tc>
          <w:tcPr>
            <w:tcW w:w="676"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100%</w:t>
            </w:r>
          </w:p>
        </w:tc>
        <w:tc>
          <w:tcPr>
            <w:tcW w:w="1022" w:type="dxa"/>
            <w:tcBorders>
              <w:top w:val="nil"/>
              <w:left w:val="nil"/>
              <w:bottom w:val="single" w:sz="4" w:space="0" w:color="auto"/>
              <w:right w:val="single" w:sz="4" w:space="0" w:color="auto"/>
            </w:tcBorders>
            <w:shd w:val="clear" w:color="FFFF00" w:fill="FFFF00"/>
            <w:vAlign w:val="center"/>
            <w:hideMark/>
          </w:tcPr>
          <w:p w:rsidR="001411CD" w:rsidRPr="001411CD" w:rsidRDefault="001411CD" w:rsidP="001411CD">
            <w:pPr>
              <w:spacing w:after="0" w:line="240" w:lineRule="auto"/>
              <w:jc w:val="right"/>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60 000</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28 513</w:t>
            </w:r>
          </w:p>
        </w:tc>
        <w:tc>
          <w:tcPr>
            <w:tcW w:w="630"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b/>
                <w:bCs/>
                <w:color w:val="000000"/>
                <w:sz w:val="16"/>
                <w:szCs w:val="20"/>
                <w:lang w:eastAsia="fr-FR"/>
              </w:rPr>
            </w:pPr>
            <w:r w:rsidRPr="001411CD">
              <w:rPr>
                <w:rFonts w:ascii="Arial" w:eastAsia="Times New Roman" w:hAnsi="Arial" w:cs="Arial"/>
                <w:b/>
                <w:bCs/>
                <w:color w:val="000000"/>
                <w:sz w:val="16"/>
                <w:szCs w:val="20"/>
                <w:lang w:eastAsia="fr-FR"/>
              </w:rPr>
              <w:t>48%</w:t>
            </w:r>
          </w:p>
        </w:tc>
        <w:tc>
          <w:tcPr>
            <w:tcW w:w="1189" w:type="dxa"/>
            <w:tcBorders>
              <w:top w:val="nil"/>
              <w:left w:val="nil"/>
              <w:bottom w:val="single" w:sz="4" w:space="0" w:color="auto"/>
              <w:right w:val="single" w:sz="4" w:space="0" w:color="auto"/>
            </w:tcBorders>
            <w:shd w:val="clear" w:color="FFFF00" w:fill="FFFF00"/>
            <w:noWrap/>
            <w:vAlign w:val="center"/>
            <w:hideMark/>
          </w:tcPr>
          <w:p w:rsidR="001411CD" w:rsidRPr="001411CD" w:rsidRDefault="001411CD" w:rsidP="001411CD">
            <w:pPr>
              <w:spacing w:after="0" w:line="240" w:lineRule="auto"/>
              <w:jc w:val="right"/>
              <w:rPr>
                <w:rFonts w:ascii="Arial" w:eastAsia="Times New Roman" w:hAnsi="Arial" w:cs="Arial"/>
                <w:b/>
                <w:bCs/>
                <w:color w:val="000000"/>
                <w:sz w:val="16"/>
                <w:lang w:eastAsia="fr-FR"/>
              </w:rPr>
            </w:pPr>
            <w:r w:rsidRPr="001411CD">
              <w:rPr>
                <w:rFonts w:ascii="Arial" w:eastAsia="Times New Roman" w:hAnsi="Arial" w:cs="Arial"/>
                <w:b/>
                <w:bCs/>
                <w:color w:val="000000"/>
                <w:sz w:val="16"/>
                <w:lang w:eastAsia="fr-FR"/>
              </w:rPr>
              <w:t>9 061 124</w:t>
            </w:r>
          </w:p>
        </w:tc>
        <w:tc>
          <w:tcPr>
            <w:tcW w:w="94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b/>
                <w:bCs/>
                <w:color w:val="000000"/>
                <w:sz w:val="16"/>
                <w:lang w:eastAsia="fr-FR"/>
              </w:rPr>
            </w:pPr>
            <w:r w:rsidRPr="001411CD">
              <w:rPr>
                <w:rFonts w:ascii="Arial" w:eastAsia="Times New Roman" w:hAnsi="Arial" w:cs="Arial"/>
                <w:b/>
                <w:bCs/>
                <w:color w:val="000000"/>
                <w:sz w:val="16"/>
                <w:lang w:eastAsia="fr-FR"/>
              </w:rPr>
              <w:t>7 374 380</w:t>
            </w:r>
          </w:p>
        </w:tc>
        <w:tc>
          <w:tcPr>
            <w:tcW w:w="532" w:type="dxa"/>
            <w:tcBorders>
              <w:top w:val="nil"/>
              <w:left w:val="nil"/>
              <w:bottom w:val="single" w:sz="4" w:space="0" w:color="auto"/>
              <w:right w:val="single" w:sz="4" w:space="0" w:color="auto"/>
            </w:tcBorders>
            <w:shd w:val="clear" w:color="92D050" w:fill="92D050"/>
            <w:vAlign w:val="center"/>
            <w:hideMark/>
          </w:tcPr>
          <w:p w:rsidR="001411CD" w:rsidRPr="001411CD" w:rsidRDefault="001411CD" w:rsidP="001411CD">
            <w:pPr>
              <w:spacing w:after="0" w:line="240" w:lineRule="auto"/>
              <w:jc w:val="right"/>
              <w:rPr>
                <w:rFonts w:ascii="Arial" w:eastAsia="Times New Roman" w:hAnsi="Arial" w:cs="Arial"/>
                <w:b/>
                <w:bCs/>
                <w:color w:val="000000"/>
                <w:sz w:val="16"/>
                <w:lang w:eastAsia="fr-FR"/>
              </w:rPr>
            </w:pPr>
            <w:r w:rsidRPr="001411CD">
              <w:rPr>
                <w:rFonts w:ascii="Arial" w:eastAsia="Times New Roman" w:hAnsi="Arial" w:cs="Arial"/>
                <w:b/>
                <w:bCs/>
                <w:color w:val="000000"/>
                <w:sz w:val="16"/>
                <w:lang w:eastAsia="fr-FR"/>
              </w:rPr>
              <w:t>81%</w:t>
            </w:r>
          </w:p>
        </w:tc>
      </w:tr>
      <w:tr w:rsidR="001411CD" w:rsidRPr="001411CD" w:rsidTr="001411CD">
        <w:trPr>
          <w:trHeight w:val="300"/>
          <w:jc w:val="center"/>
        </w:trPr>
        <w:tc>
          <w:tcPr>
            <w:tcW w:w="806" w:type="dxa"/>
            <w:tcBorders>
              <w:top w:val="nil"/>
              <w:left w:val="nil"/>
              <w:bottom w:val="nil"/>
              <w:right w:val="nil"/>
            </w:tcBorders>
            <w:shd w:val="clear" w:color="auto" w:fill="auto"/>
            <w:vAlign w:val="center"/>
            <w:hideMark/>
          </w:tcPr>
          <w:p w:rsidR="001411CD" w:rsidRPr="001411CD" w:rsidRDefault="001411CD" w:rsidP="001411CD">
            <w:pPr>
              <w:spacing w:after="0" w:line="240" w:lineRule="auto"/>
              <w:jc w:val="right"/>
              <w:rPr>
                <w:rFonts w:ascii="Arial" w:eastAsia="Times New Roman" w:hAnsi="Arial" w:cs="Arial"/>
                <w:b/>
                <w:bCs/>
                <w:color w:val="000000"/>
                <w:sz w:val="16"/>
                <w:lang w:eastAsia="fr-FR"/>
              </w:rPr>
            </w:pPr>
          </w:p>
        </w:tc>
        <w:tc>
          <w:tcPr>
            <w:tcW w:w="1032" w:type="dxa"/>
            <w:tcBorders>
              <w:top w:val="nil"/>
              <w:left w:val="nil"/>
              <w:bottom w:val="nil"/>
              <w:right w:val="nil"/>
            </w:tcBorders>
            <w:shd w:val="clear" w:color="auto" w:fill="auto"/>
            <w:vAlign w:val="center"/>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942"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617"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1022" w:type="dxa"/>
            <w:tcBorders>
              <w:top w:val="nil"/>
              <w:left w:val="nil"/>
              <w:bottom w:val="nil"/>
              <w:right w:val="nil"/>
            </w:tcBorders>
            <w:shd w:val="clear" w:color="auto" w:fill="auto"/>
            <w:vAlign w:val="center"/>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942"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676"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1022" w:type="dxa"/>
            <w:tcBorders>
              <w:top w:val="nil"/>
              <w:left w:val="nil"/>
              <w:bottom w:val="nil"/>
              <w:right w:val="nil"/>
            </w:tcBorders>
            <w:shd w:val="clear" w:color="auto" w:fill="auto"/>
            <w:vAlign w:val="center"/>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942"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630"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1189" w:type="dxa"/>
            <w:tcBorders>
              <w:top w:val="nil"/>
              <w:left w:val="nil"/>
              <w:bottom w:val="nil"/>
              <w:right w:val="nil"/>
            </w:tcBorders>
            <w:shd w:val="clear" w:color="auto" w:fill="auto"/>
            <w:vAlign w:val="center"/>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942"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532"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r>
      <w:tr w:rsidR="001411CD" w:rsidRPr="001411CD" w:rsidTr="001411CD">
        <w:trPr>
          <w:trHeight w:val="330"/>
          <w:jc w:val="center"/>
        </w:trPr>
        <w:tc>
          <w:tcPr>
            <w:tcW w:w="806" w:type="dxa"/>
            <w:tcBorders>
              <w:top w:val="nil"/>
              <w:left w:val="nil"/>
              <w:bottom w:val="nil"/>
              <w:right w:val="nil"/>
            </w:tcBorders>
            <w:shd w:val="clear" w:color="auto" w:fill="auto"/>
            <w:noWrap/>
            <w:vAlign w:val="center"/>
            <w:hideMark/>
          </w:tcPr>
          <w:p w:rsidR="001411CD" w:rsidRPr="001411CD" w:rsidRDefault="001411CD" w:rsidP="001411CD">
            <w:pPr>
              <w:spacing w:after="0" w:line="240" w:lineRule="auto"/>
              <w:jc w:val="right"/>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 xml:space="preserve">Taux : </w:t>
            </w:r>
          </w:p>
        </w:tc>
        <w:tc>
          <w:tcPr>
            <w:tcW w:w="1974" w:type="dxa"/>
            <w:gridSpan w:val="2"/>
            <w:tcBorders>
              <w:top w:val="nil"/>
              <w:left w:val="nil"/>
              <w:bottom w:val="nil"/>
              <w:right w:val="nil"/>
            </w:tcBorders>
            <w:shd w:val="clear" w:color="auto" w:fill="auto"/>
            <w:noWrap/>
            <w:vAlign w:val="center"/>
            <w:hideMark/>
          </w:tcPr>
          <w:p w:rsidR="001411CD" w:rsidRPr="001411CD" w:rsidRDefault="001411CD" w:rsidP="001411CD">
            <w:pPr>
              <w:spacing w:after="0" w:line="240" w:lineRule="auto"/>
              <w:rPr>
                <w:rFonts w:ascii="Arial" w:eastAsia="Times New Roman" w:hAnsi="Arial" w:cs="Arial"/>
                <w:color w:val="000000"/>
                <w:sz w:val="16"/>
                <w:szCs w:val="20"/>
                <w:lang w:eastAsia="fr-FR"/>
              </w:rPr>
            </w:pPr>
            <w:r w:rsidRPr="001411CD">
              <w:rPr>
                <w:rFonts w:ascii="Arial" w:eastAsia="Times New Roman" w:hAnsi="Arial" w:cs="Arial"/>
                <w:color w:val="000000"/>
                <w:sz w:val="16"/>
                <w:szCs w:val="20"/>
                <w:lang w:eastAsia="fr-FR"/>
              </w:rPr>
              <w:t>1 USD = 500 F CFA</w:t>
            </w:r>
          </w:p>
        </w:tc>
        <w:tc>
          <w:tcPr>
            <w:tcW w:w="617"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color w:val="000000"/>
                <w:sz w:val="16"/>
                <w:szCs w:val="20"/>
                <w:lang w:eastAsia="fr-FR"/>
              </w:rPr>
            </w:pPr>
          </w:p>
        </w:tc>
        <w:tc>
          <w:tcPr>
            <w:tcW w:w="1022" w:type="dxa"/>
            <w:tcBorders>
              <w:top w:val="nil"/>
              <w:left w:val="nil"/>
              <w:bottom w:val="nil"/>
              <w:right w:val="nil"/>
            </w:tcBorders>
            <w:shd w:val="clear" w:color="auto" w:fill="auto"/>
            <w:noWrap/>
            <w:vAlign w:val="center"/>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942"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676"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1022" w:type="dxa"/>
            <w:tcBorders>
              <w:top w:val="nil"/>
              <w:left w:val="nil"/>
              <w:bottom w:val="nil"/>
              <w:right w:val="nil"/>
            </w:tcBorders>
            <w:shd w:val="clear" w:color="auto" w:fill="auto"/>
            <w:noWrap/>
            <w:vAlign w:val="center"/>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942"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630"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1189" w:type="dxa"/>
            <w:tcBorders>
              <w:top w:val="nil"/>
              <w:left w:val="nil"/>
              <w:bottom w:val="nil"/>
              <w:right w:val="nil"/>
            </w:tcBorders>
            <w:shd w:val="clear" w:color="auto" w:fill="auto"/>
            <w:noWrap/>
            <w:vAlign w:val="center"/>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942"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c>
          <w:tcPr>
            <w:tcW w:w="532" w:type="dxa"/>
            <w:tcBorders>
              <w:top w:val="nil"/>
              <w:left w:val="nil"/>
              <w:bottom w:val="nil"/>
              <w:right w:val="nil"/>
            </w:tcBorders>
            <w:shd w:val="clear" w:color="auto" w:fill="auto"/>
            <w:noWrap/>
            <w:vAlign w:val="bottom"/>
            <w:hideMark/>
          </w:tcPr>
          <w:p w:rsidR="001411CD" w:rsidRPr="001411CD" w:rsidRDefault="001411CD" w:rsidP="001411CD">
            <w:pPr>
              <w:spacing w:after="0" w:line="240" w:lineRule="auto"/>
              <w:rPr>
                <w:rFonts w:ascii="Arial" w:eastAsia="Times New Roman" w:hAnsi="Arial" w:cs="Arial"/>
                <w:sz w:val="16"/>
                <w:szCs w:val="20"/>
                <w:lang w:eastAsia="fr-FR"/>
              </w:rPr>
            </w:pPr>
          </w:p>
        </w:tc>
      </w:tr>
    </w:tbl>
    <w:p w:rsidR="00BD5B46" w:rsidRPr="001411CD" w:rsidRDefault="00BD5B46" w:rsidP="002B0553">
      <w:pPr>
        <w:autoSpaceDE w:val="0"/>
        <w:autoSpaceDN w:val="0"/>
        <w:adjustRightInd w:val="0"/>
        <w:spacing w:after="0" w:line="240" w:lineRule="auto"/>
        <w:jc w:val="both"/>
        <w:rPr>
          <w:rFonts w:ascii="Arial" w:hAnsi="Arial" w:cs="Arial"/>
          <w:color w:val="272627"/>
        </w:rPr>
      </w:pPr>
    </w:p>
    <w:p w:rsidR="00924038" w:rsidRPr="001411CD" w:rsidRDefault="00924038" w:rsidP="00924038">
      <w:p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4. CONTEXTE DE L’EVALUATION</w:t>
      </w:r>
    </w:p>
    <w:p w:rsidR="00BD5B46" w:rsidRPr="001411CD" w:rsidRDefault="00BD5B46" w:rsidP="002B0553">
      <w:pPr>
        <w:autoSpaceDE w:val="0"/>
        <w:autoSpaceDN w:val="0"/>
        <w:adjustRightInd w:val="0"/>
        <w:spacing w:after="0" w:line="240" w:lineRule="auto"/>
        <w:jc w:val="both"/>
        <w:rPr>
          <w:rFonts w:ascii="Arial" w:hAnsi="Arial" w:cs="Arial"/>
          <w:color w:val="272627"/>
        </w:rPr>
      </w:pPr>
    </w:p>
    <w:p w:rsidR="00DA5823" w:rsidRPr="001411CD" w:rsidRDefault="00DA5823" w:rsidP="00DA5823">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 PPEA s’inscrit au rang des initiatives du gouvernement pour la relance du secteur agricole au Bénin. Sa stratégie de mise en œuvre est basée sur une approche d’appropriation nationale et de transfert de compétence aux acteurs nationaux en vue de faciliter une prise en charge effective et durable des acquis du projet par les populations bénéficiaires. </w:t>
      </w:r>
    </w:p>
    <w:p w:rsidR="00DA5823" w:rsidRPr="001411CD" w:rsidRDefault="00DA5823" w:rsidP="00DA5823">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L’évaluation du PPEA s’inscrit dans un contexte de recherche de solution durable pour la sécurité alimentaire et l’emploi des jeunes selon l’hypothèse que l’entreprenariat agricole peut dynamiser l’économie locale à travers le passage d’une agriculture familiale de subsistance à une agriculture génératrice de revenu, d’amélioration des conditions de vie et de travail de l’agriculteur. Cette évaluation se déroule également, dans un contexte de fin/début de cycle des instances de décision de la République notamment, au niveau décentralisé avec le renouvellement des autorités locales considérées comme des acteurs bénéficiaires du projet, au niveau parlementaire avec les élections législatives et au niveau central avec l’élection présidentielle de mars 2016. La définition des pôles régionaux de développement agricole par le nouveau gouvernement pourra capitaliser les 757 jeunes entrepreneurs agricoles installés à travers le territoire national. L’appropriation par les Maires, du mécanisme de suivi-accompagnement post installation des jeunes entrepreneurs pourra faciliter la territorialisation du programme de développement agricole du nouveau gouvernement. Les acquis du projet en matière de facilitation d’accès aux facteurs de production et au marché aux jeunes entrepreneurs agricoles pourront constituer des bases pour les orientations législatives relatives au foncier et à l’amélioration du climat d’affaire dans le secteur agricole. En ce qui concerne les Centres de Promotion de l’Entreprenariat Agricole (CPEA) de </w:t>
      </w:r>
      <w:proofErr w:type="spellStart"/>
      <w:r w:rsidRPr="001411CD">
        <w:rPr>
          <w:rFonts w:ascii="Arial" w:hAnsi="Arial" w:cs="Arial"/>
          <w:color w:val="272627"/>
        </w:rPr>
        <w:t>Kétou</w:t>
      </w:r>
      <w:proofErr w:type="spellEnd"/>
      <w:r w:rsidRPr="001411CD">
        <w:rPr>
          <w:rFonts w:ascii="Arial" w:hAnsi="Arial" w:cs="Arial"/>
          <w:color w:val="272627"/>
        </w:rPr>
        <w:t xml:space="preserve">, de </w:t>
      </w:r>
      <w:proofErr w:type="spellStart"/>
      <w:r w:rsidRPr="001411CD">
        <w:rPr>
          <w:rFonts w:ascii="Arial" w:hAnsi="Arial" w:cs="Arial"/>
          <w:color w:val="272627"/>
        </w:rPr>
        <w:t>Zangnanado</w:t>
      </w:r>
      <w:proofErr w:type="spellEnd"/>
      <w:r w:rsidRPr="001411CD">
        <w:rPr>
          <w:rFonts w:ascii="Arial" w:hAnsi="Arial" w:cs="Arial"/>
          <w:color w:val="272627"/>
        </w:rPr>
        <w:t xml:space="preserve"> et de </w:t>
      </w:r>
      <w:proofErr w:type="spellStart"/>
      <w:r w:rsidRPr="001411CD">
        <w:rPr>
          <w:rFonts w:ascii="Arial" w:hAnsi="Arial" w:cs="Arial"/>
          <w:color w:val="272627"/>
        </w:rPr>
        <w:t>Daringa</w:t>
      </w:r>
      <w:proofErr w:type="spellEnd"/>
      <w:r w:rsidRPr="001411CD">
        <w:rPr>
          <w:rFonts w:ascii="Arial" w:hAnsi="Arial" w:cs="Arial"/>
          <w:color w:val="272627"/>
        </w:rPr>
        <w:t xml:space="preserve">, ils pourront servir de véritables hubs pour le développement des services, de renforcement de capacité, d’espace d’application et d’expérimentation pour la vulgarisation des technologies appropriées à chaque zone agro écologique des pôles régionaux de développement agricole. </w:t>
      </w:r>
    </w:p>
    <w:p w:rsidR="00DA5823" w:rsidRPr="001411CD" w:rsidRDefault="00DA5823" w:rsidP="00DA5823">
      <w:pPr>
        <w:autoSpaceDE w:val="0"/>
        <w:autoSpaceDN w:val="0"/>
        <w:adjustRightInd w:val="0"/>
        <w:spacing w:after="0" w:line="240" w:lineRule="auto"/>
        <w:jc w:val="both"/>
        <w:rPr>
          <w:rFonts w:ascii="Arial" w:hAnsi="Arial" w:cs="Arial"/>
          <w:color w:val="272627"/>
        </w:rPr>
      </w:pPr>
    </w:p>
    <w:p w:rsidR="00DA5823" w:rsidRPr="001411CD" w:rsidRDefault="00DA5823" w:rsidP="00DA5823">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Au plan institutionnel, les centres créés ne sont pas encore dotés d’un statut juridique, ni d’un organigramme de gestion. La convention d’assistance technique pour la gestion des centres signée entre le Gouvernement et le Centre Régional Songhaï est arrivée à expiration le 22 décembre 2015. Une étude est lancée en vue de l’élaboration de la stratégie d’autonomisation des centres créés. </w:t>
      </w:r>
    </w:p>
    <w:p w:rsidR="00DA5823" w:rsidRPr="001411CD" w:rsidRDefault="00DA5823" w:rsidP="002B0553">
      <w:pPr>
        <w:autoSpaceDE w:val="0"/>
        <w:autoSpaceDN w:val="0"/>
        <w:adjustRightInd w:val="0"/>
        <w:spacing w:after="0" w:line="240" w:lineRule="auto"/>
        <w:jc w:val="both"/>
        <w:rPr>
          <w:rFonts w:ascii="Arial" w:hAnsi="Arial" w:cs="Arial"/>
          <w:color w:val="272627"/>
        </w:rPr>
      </w:pPr>
    </w:p>
    <w:p w:rsidR="008D06AA" w:rsidRPr="001411CD" w:rsidRDefault="008D06AA" w:rsidP="002B0553">
      <w:pPr>
        <w:autoSpaceDE w:val="0"/>
        <w:autoSpaceDN w:val="0"/>
        <w:adjustRightInd w:val="0"/>
        <w:spacing w:after="0" w:line="240" w:lineRule="auto"/>
        <w:jc w:val="both"/>
        <w:rPr>
          <w:rFonts w:ascii="Arial" w:hAnsi="Arial" w:cs="Arial"/>
          <w:color w:val="272627"/>
        </w:rPr>
      </w:pPr>
    </w:p>
    <w:p w:rsidR="008D06AA" w:rsidRPr="001411CD" w:rsidRDefault="00205BC8" w:rsidP="002B0553">
      <w:pPr>
        <w:autoSpaceDE w:val="0"/>
        <w:autoSpaceDN w:val="0"/>
        <w:adjustRightInd w:val="0"/>
        <w:spacing w:after="0" w:line="240" w:lineRule="auto"/>
        <w:jc w:val="both"/>
        <w:rPr>
          <w:rFonts w:ascii="Arial" w:hAnsi="Arial" w:cs="Arial"/>
          <w:color w:val="272627"/>
        </w:rPr>
      </w:pPr>
      <w:r w:rsidRPr="001411CD">
        <w:rPr>
          <w:rFonts w:ascii="Arial" w:hAnsi="Arial" w:cs="Arial"/>
          <w:b/>
          <w:bCs/>
          <w:color w:val="3A5EA9"/>
        </w:rPr>
        <w:t xml:space="preserve">5. </w:t>
      </w:r>
      <w:r w:rsidR="00B513DB" w:rsidRPr="001411CD">
        <w:rPr>
          <w:rFonts w:ascii="Arial" w:hAnsi="Arial" w:cs="Arial"/>
          <w:b/>
          <w:bCs/>
          <w:color w:val="3A5EA9"/>
        </w:rPr>
        <w:t>BUT</w:t>
      </w:r>
      <w:r w:rsidRPr="001411CD">
        <w:rPr>
          <w:rFonts w:ascii="Arial" w:hAnsi="Arial" w:cs="Arial"/>
          <w:b/>
          <w:bCs/>
          <w:color w:val="3A5EA9"/>
        </w:rPr>
        <w:t xml:space="preserve"> DE L’EVALUATION</w:t>
      </w:r>
    </w:p>
    <w:p w:rsidR="008D06AA" w:rsidRPr="001411CD" w:rsidRDefault="008D06AA" w:rsidP="002B0553">
      <w:pPr>
        <w:autoSpaceDE w:val="0"/>
        <w:autoSpaceDN w:val="0"/>
        <w:adjustRightInd w:val="0"/>
        <w:spacing w:after="0" w:line="240" w:lineRule="auto"/>
        <w:jc w:val="both"/>
        <w:rPr>
          <w:rFonts w:ascii="Arial" w:hAnsi="Arial" w:cs="Arial"/>
          <w:color w:val="272627"/>
        </w:rPr>
      </w:pPr>
    </w:p>
    <w:p w:rsidR="00C44CF3" w:rsidRPr="001411CD" w:rsidRDefault="00C44CF3" w:rsidP="001D3393">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w:t>
      </w:r>
      <w:r w:rsidR="001D3393" w:rsidRPr="001411CD">
        <w:rPr>
          <w:rFonts w:ascii="Arial" w:hAnsi="Arial" w:cs="Arial"/>
          <w:color w:val="272627"/>
        </w:rPr>
        <w:t xml:space="preserve">’évaluation finale de PPEA est </w:t>
      </w:r>
      <w:r w:rsidR="00DA5823" w:rsidRPr="001411CD">
        <w:rPr>
          <w:rFonts w:ascii="Arial" w:hAnsi="Arial" w:cs="Arial"/>
          <w:color w:val="272627"/>
        </w:rPr>
        <w:t>commanditée conjointement par le Gouvernement (représenté par la</w:t>
      </w:r>
      <w:r w:rsidRPr="001411CD">
        <w:rPr>
          <w:rFonts w:ascii="Arial" w:hAnsi="Arial" w:cs="Arial"/>
          <w:color w:val="272627"/>
        </w:rPr>
        <w:t xml:space="preserve"> Direction Nationale du Proj</w:t>
      </w:r>
      <w:r w:rsidR="00DA5823" w:rsidRPr="001411CD">
        <w:rPr>
          <w:rFonts w:ascii="Arial" w:hAnsi="Arial" w:cs="Arial"/>
          <w:color w:val="272627"/>
        </w:rPr>
        <w:t>et</w:t>
      </w:r>
      <w:r w:rsidR="00AA5CCB" w:rsidRPr="001411CD">
        <w:rPr>
          <w:rFonts w:ascii="Arial" w:hAnsi="Arial" w:cs="Arial"/>
          <w:color w:val="272627"/>
        </w:rPr>
        <w:t>)</w:t>
      </w:r>
      <w:r w:rsidR="004A6CEC" w:rsidRPr="001411CD">
        <w:rPr>
          <w:rFonts w:ascii="Arial" w:hAnsi="Arial" w:cs="Arial"/>
          <w:color w:val="272627"/>
        </w:rPr>
        <w:t xml:space="preserve"> le PNUD</w:t>
      </w:r>
      <w:r w:rsidR="00AA5CCB" w:rsidRPr="001411CD">
        <w:rPr>
          <w:rFonts w:ascii="Arial" w:hAnsi="Arial" w:cs="Arial"/>
          <w:color w:val="272627"/>
        </w:rPr>
        <w:t xml:space="preserve"> et le Centre régional Songhaï ;</w:t>
      </w:r>
      <w:r w:rsidRPr="001411CD">
        <w:rPr>
          <w:rFonts w:ascii="Arial" w:hAnsi="Arial" w:cs="Arial"/>
          <w:color w:val="272627"/>
        </w:rPr>
        <w:t xml:space="preserve"> et conformément à la politique d’évaluation du PNUD.</w:t>
      </w:r>
    </w:p>
    <w:p w:rsidR="00C44CF3" w:rsidRPr="001411CD" w:rsidRDefault="00C44CF3" w:rsidP="001D3393">
      <w:pPr>
        <w:autoSpaceDE w:val="0"/>
        <w:autoSpaceDN w:val="0"/>
        <w:adjustRightInd w:val="0"/>
        <w:spacing w:after="0" w:line="240" w:lineRule="auto"/>
        <w:jc w:val="both"/>
        <w:rPr>
          <w:rFonts w:ascii="Arial" w:hAnsi="Arial" w:cs="Arial"/>
          <w:color w:val="272627"/>
        </w:rPr>
      </w:pPr>
    </w:p>
    <w:p w:rsidR="001D3393" w:rsidRPr="001411CD" w:rsidRDefault="001D3393" w:rsidP="001D3393">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 but </w:t>
      </w:r>
      <w:r w:rsidR="00C44CF3" w:rsidRPr="001411CD">
        <w:rPr>
          <w:rFonts w:ascii="Arial" w:hAnsi="Arial" w:cs="Arial"/>
          <w:color w:val="272627"/>
        </w:rPr>
        <w:t>de l’évaluation</w:t>
      </w:r>
      <w:r w:rsidRPr="001411CD">
        <w:rPr>
          <w:rFonts w:ascii="Arial" w:hAnsi="Arial" w:cs="Arial"/>
          <w:color w:val="272627"/>
        </w:rPr>
        <w:t xml:space="preserve"> est</w:t>
      </w:r>
      <w:r w:rsidR="00BA0DB9" w:rsidRPr="001411CD">
        <w:rPr>
          <w:rFonts w:ascii="Arial" w:hAnsi="Arial" w:cs="Arial"/>
          <w:color w:val="272627"/>
        </w:rPr>
        <w:t xml:space="preserve"> de</w:t>
      </w:r>
      <w:r w:rsidRPr="001411CD">
        <w:rPr>
          <w:rFonts w:ascii="Arial" w:hAnsi="Arial" w:cs="Arial"/>
          <w:color w:val="272627"/>
        </w:rPr>
        <w:t> :</w:t>
      </w:r>
    </w:p>
    <w:p w:rsidR="001D3393" w:rsidRPr="001411CD" w:rsidRDefault="001D3393" w:rsidP="001D3393">
      <w:pPr>
        <w:autoSpaceDE w:val="0"/>
        <w:autoSpaceDN w:val="0"/>
        <w:adjustRightInd w:val="0"/>
        <w:spacing w:after="0" w:line="240" w:lineRule="auto"/>
        <w:jc w:val="both"/>
        <w:rPr>
          <w:rFonts w:ascii="Arial" w:hAnsi="Arial" w:cs="Arial"/>
          <w:color w:val="272627"/>
        </w:rPr>
      </w:pPr>
    </w:p>
    <w:p w:rsidR="00BA0DB9" w:rsidRPr="001411CD" w:rsidRDefault="00BA0DB9" w:rsidP="00BA0DB9">
      <w:pPr>
        <w:pStyle w:val="Paragraphedeliste"/>
        <w:numPr>
          <w:ilvl w:val="0"/>
          <w:numId w:val="1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Mesurer le statut réel des résultats actuel du projet,</w:t>
      </w:r>
    </w:p>
    <w:p w:rsidR="00BA0DB9" w:rsidRPr="001411CD" w:rsidRDefault="00BA0DB9" w:rsidP="001D3393">
      <w:pPr>
        <w:pStyle w:val="Paragraphedeliste"/>
        <w:numPr>
          <w:ilvl w:val="0"/>
          <w:numId w:val="1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Aider </w:t>
      </w:r>
      <w:r w:rsidR="00C44CF3" w:rsidRPr="001411CD">
        <w:rPr>
          <w:rFonts w:ascii="Arial" w:hAnsi="Arial" w:cs="Arial"/>
          <w:color w:val="272627"/>
        </w:rPr>
        <w:t xml:space="preserve">e Gouvernement du Bénin et le PNUD à mieux comprendre l’efficience, l’efficacité, la pertinence, </w:t>
      </w:r>
      <w:r w:rsidRPr="001411CD">
        <w:rPr>
          <w:rFonts w:ascii="Arial" w:hAnsi="Arial" w:cs="Arial"/>
          <w:color w:val="272627"/>
        </w:rPr>
        <w:t>et la durabilité des résultats obtenus,</w:t>
      </w:r>
    </w:p>
    <w:p w:rsidR="001D3393" w:rsidRPr="001411CD" w:rsidRDefault="00BA0DB9" w:rsidP="001D3393">
      <w:pPr>
        <w:pStyle w:val="Paragraphedeliste"/>
        <w:numPr>
          <w:ilvl w:val="0"/>
          <w:numId w:val="1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Evaluer le niveau de satisfaction des parties prenantes du projet et des groupes cibles (bénéficiaires des résultats)</w:t>
      </w:r>
    </w:p>
    <w:p w:rsidR="001D3393" w:rsidRPr="001411CD" w:rsidRDefault="00AE5A47" w:rsidP="001D3393">
      <w:pPr>
        <w:pStyle w:val="Paragraphedeliste"/>
        <w:numPr>
          <w:ilvl w:val="0"/>
          <w:numId w:val="1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E</w:t>
      </w:r>
      <w:r w:rsidR="001D3393" w:rsidRPr="001411CD">
        <w:rPr>
          <w:rFonts w:ascii="Arial" w:hAnsi="Arial" w:cs="Arial"/>
          <w:color w:val="272627"/>
        </w:rPr>
        <w:t xml:space="preserve">valuer la pertinence et la justesse des sous-produits et des activités développés par les organes chargés de leur mise en œuvre, </w:t>
      </w:r>
    </w:p>
    <w:p w:rsidR="001D3393" w:rsidRPr="001411CD" w:rsidRDefault="00AE5A47" w:rsidP="001D3393">
      <w:pPr>
        <w:pStyle w:val="Paragraphedeliste"/>
        <w:numPr>
          <w:ilvl w:val="0"/>
          <w:numId w:val="1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Déterminer la raison pour laquelle certains produits seraient réalisés et pourquoi pas d’autres,</w:t>
      </w:r>
    </w:p>
    <w:p w:rsidR="00AE5A47" w:rsidRPr="001411CD" w:rsidRDefault="00AE5A47" w:rsidP="001D3393">
      <w:pPr>
        <w:pStyle w:val="Paragraphedeliste"/>
        <w:numPr>
          <w:ilvl w:val="0"/>
          <w:numId w:val="1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Déterminer si le PNUD était positionné efficacement pour obtenir des résultats,</w:t>
      </w:r>
    </w:p>
    <w:p w:rsidR="00AE5A47" w:rsidRPr="001411CD" w:rsidRDefault="00AE5A47" w:rsidP="001D3393">
      <w:pPr>
        <w:pStyle w:val="Paragraphedeliste"/>
        <w:numPr>
          <w:ilvl w:val="0"/>
          <w:numId w:val="1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Déterminer le niveau de pertinence de la contribution du PNUD à l’atteinte des résultats obtenus,</w:t>
      </w:r>
    </w:p>
    <w:p w:rsidR="00AE5A47" w:rsidRPr="001411CD" w:rsidRDefault="00AE5A47" w:rsidP="001D3393">
      <w:pPr>
        <w:pStyle w:val="Paragraphedeliste"/>
        <w:numPr>
          <w:ilvl w:val="0"/>
          <w:numId w:val="1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Contribuer à l’apprentissage du PNUD et de ses partenaires nationaux sur l’expérience du projet,</w:t>
      </w:r>
    </w:p>
    <w:p w:rsidR="00AE5A47" w:rsidRPr="001411CD" w:rsidRDefault="00AE5A47" w:rsidP="001D3393">
      <w:pPr>
        <w:pStyle w:val="Paragraphedeliste"/>
        <w:numPr>
          <w:ilvl w:val="0"/>
          <w:numId w:val="1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Aider le PNUD et les parties prenantes du projet à évaluer </w:t>
      </w:r>
      <w:r w:rsidR="009C7AA6" w:rsidRPr="001411CD">
        <w:rPr>
          <w:rFonts w:ascii="Arial" w:hAnsi="Arial" w:cs="Arial"/>
          <w:color w:val="272627"/>
        </w:rPr>
        <w:t>la valeur de l’initiative et la possibilité pour la réplication à plus large échelle,</w:t>
      </w:r>
    </w:p>
    <w:p w:rsidR="009C7AA6" w:rsidRPr="001411CD" w:rsidRDefault="009C7AA6" w:rsidP="001D3393">
      <w:pPr>
        <w:pStyle w:val="Paragraphedeliste"/>
        <w:numPr>
          <w:ilvl w:val="0"/>
          <w:numId w:val="1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Aider les parties prenantes à déterminer la nécessité d’un suivi de l’intervention et son évolution future. </w:t>
      </w:r>
    </w:p>
    <w:p w:rsidR="009C7AA6" w:rsidRPr="001411CD" w:rsidRDefault="009C7AA6" w:rsidP="009C7AA6">
      <w:pPr>
        <w:autoSpaceDE w:val="0"/>
        <w:autoSpaceDN w:val="0"/>
        <w:adjustRightInd w:val="0"/>
        <w:spacing w:after="0" w:line="240" w:lineRule="auto"/>
        <w:jc w:val="both"/>
        <w:rPr>
          <w:rFonts w:ascii="Arial" w:hAnsi="Arial" w:cs="Arial"/>
          <w:color w:val="272627"/>
        </w:rPr>
      </w:pPr>
    </w:p>
    <w:p w:rsidR="009C7AA6" w:rsidRPr="001411CD" w:rsidRDefault="009C7AA6" w:rsidP="009C7AA6">
      <w:pPr>
        <w:autoSpaceDE w:val="0"/>
        <w:autoSpaceDN w:val="0"/>
        <w:adjustRightInd w:val="0"/>
        <w:spacing w:after="0" w:line="240" w:lineRule="auto"/>
        <w:jc w:val="both"/>
        <w:rPr>
          <w:rFonts w:ascii="Arial" w:hAnsi="Arial" w:cs="Arial"/>
          <w:color w:val="272627"/>
        </w:rPr>
      </w:pPr>
    </w:p>
    <w:p w:rsidR="001D3393" w:rsidRPr="001411CD" w:rsidRDefault="001D3393" w:rsidP="001D3393">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Ainsi cette évaluation devra fournir des recommandations sur comment le PNUD </w:t>
      </w:r>
      <w:r w:rsidR="009C7AA6" w:rsidRPr="001411CD">
        <w:rPr>
          <w:rFonts w:ascii="Arial" w:hAnsi="Arial" w:cs="Arial"/>
          <w:color w:val="272627"/>
        </w:rPr>
        <w:t xml:space="preserve">et le Gouvernement vont améliorer les perspectives de </w:t>
      </w:r>
      <w:r w:rsidRPr="001411CD">
        <w:rPr>
          <w:rFonts w:ascii="Arial" w:hAnsi="Arial" w:cs="Arial"/>
          <w:color w:val="272627"/>
        </w:rPr>
        <w:t xml:space="preserve">réalisation </w:t>
      </w:r>
      <w:r w:rsidR="009C7AA6" w:rsidRPr="001411CD">
        <w:rPr>
          <w:rFonts w:ascii="Arial" w:hAnsi="Arial" w:cs="Arial"/>
          <w:color w:val="272627"/>
        </w:rPr>
        <w:t xml:space="preserve">d’interventions similaires, </w:t>
      </w:r>
      <w:r w:rsidRPr="001411CD">
        <w:rPr>
          <w:rFonts w:ascii="Arial" w:hAnsi="Arial" w:cs="Arial"/>
          <w:color w:val="272627"/>
        </w:rPr>
        <w:t xml:space="preserve">les partenariats </w:t>
      </w:r>
      <w:r w:rsidR="009C7AA6" w:rsidRPr="001411CD">
        <w:rPr>
          <w:rFonts w:ascii="Arial" w:hAnsi="Arial" w:cs="Arial"/>
          <w:color w:val="272627"/>
        </w:rPr>
        <w:t xml:space="preserve">à développer, </w:t>
      </w:r>
      <w:r w:rsidRPr="001411CD">
        <w:rPr>
          <w:rFonts w:ascii="Arial" w:hAnsi="Arial" w:cs="Arial"/>
          <w:color w:val="272627"/>
        </w:rPr>
        <w:t xml:space="preserve">les stratégies de mobilisation de ressources, les méthodes de travail et les </w:t>
      </w:r>
      <w:r w:rsidR="009C7AA6" w:rsidRPr="001411CD">
        <w:rPr>
          <w:rFonts w:ascii="Arial" w:hAnsi="Arial" w:cs="Arial"/>
          <w:color w:val="272627"/>
        </w:rPr>
        <w:t xml:space="preserve">arrangements </w:t>
      </w:r>
      <w:r w:rsidRPr="001411CD">
        <w:rPr>
          <w:rFonts w:ascii="Arial" w:hAnsi="Arial" w:cs="Arial"/>
          <w:color w:val="272627"/>
        </w:rPr>
        <w:t xml:space="preserve">de gestion </w:t>
      </w:r>
      <w:r w:rsidR="009C7AA6" w:rsidRPr="001411CD">
        <w:rPr>
          <w:rFonts w:ascii="Arial" w:hAnsi="Arial" w:cs="Arial"/>
          <w:color w:val="272627"/>
        </w:rPr>
        <w:t>à mettre en plac</w:t>
      </w:r>
      <w:r w:rsidRPr="001411CD">
        <w:rPr>
          <w:rFonts w:ascii="Arial" w:hAnsi="Arial" w:cs="Arial"/>
          <w:color w:val="272627"/>
        </w:rPr>
        <w:t xml:space="preserve">e. </w:t>
      </w:r>
    </w:p>
    <w:p w:rsidR="00160EBA" w:rsidRPr="001411CD" w:rsidRDefault="00160EBA" w:rsidP="008B7B1D">
      <w:pPr>
        <w:autoSpaceDE w:val="0"/>
        <w:autoSpaceDN w:val="0"/>
        <w:adjustRightInd w:val="0"/>
        <w:spacing w:after="0" w:line="240" w:lineRule="auto"/>
        <w:jc w:val="both"/>
        <w:rPr>
          <w:rFonts w:ascii="Arial" w:hAnsi="Arial" w:cs="Arial"/>
          <w:color w:val="272627"/>
        </w:rPr>
      </w:pPr>
    </w:p>
    <w:p w:rsidR="003A3A8B" w:rsidRPr="001411CD" w:rsidRDefault="003A3A8B" w:rsidP="003A3A8B">
      <w:pPr>
        <w:autoSpaceDE w:val="0"/>
        <w:autoSpaceDN w:val="0"/>
        <w:adjustRightInd w:val="0"/>
        <w:spacing w:after="0" w:line="240" w:lineRule="auto"/>
        <w:jc w:val="both"/>
        <w:rPr>
          <w:rFonts w:ascii="Arial" w:hAnsi="Arial" w:cs="Arial"/>
          <w:b/>
          <w:bCs/>
          <w:color w:val="3A5EA9"/>
        </w:rPr>
      </w:pPr>
    </w:p>
    <w:p w:rsidR="003A3A8B" w:rsidRPr="001411CD" w:rsidRDefault="005208C5" w:rsidP="003A3A8B">
      <w:p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6</w:t>
      </w:r>
      <w:r w:rsidR="003A3A8B" w:rsidRPr="001411CD">
        <w:rPr>
          <w:rFonts w:ascii="Arial" w:hAnsi="Arial" w:cs="Arial"/>
          <w:b/>
          <w:bCs/>
          <w:color w:val="3A5EA9"/>
        </w:rPr>
        <w:t>. PORTÉE DE L’ÉVALUATION ET OBJECTIFS</w:t>
      </w:r>
    </w:p>
    <w:p w:rsidR="003A3A8B" w:rsidRPr="001411CD" w:rsidRDefault="003A3A8B" w:rsidP="008B7B1D">
      <w:pPr>
        <w:autoSpaceDE w:val="0"/>
        <w:autoSpaceDN w:val="0"/>
        <w:adjustRightInd w:val="0"/>
        <w:spacing w:after="0" w:line="240" w:lineRule="auto"/>
        <w:jc w:val="both"/>
        <w:rPr>
          <w:rFonts w:ascii="Arial" w:hAnsi="Arial" w:cs="Arial"/>
          <w:color w:val="272627"/>
        </w:rPr>
      </w:pPr>
    </w:p>
    <w:p w:rsidR="00AB1593" w:rsidRPr="001411CD" w:rsidRDefault="002D1DB1" w:rsidP="00AB1593">
      <w:pPr>
        <w:autoSpaceDE w:val="0"/>
        <w:autoSpaceDN w:val="0"/>
        <w:adjustRightInd w:val="0"/>
        <w:spacing w:after="0" w:line="240" w:lineRule="auto"/>
        <w:jc w:val="both"/>
        <w:rPr>
          <w:rFonts w:ascii="Arial" w:hAnsi="Arial" w:cs="Arial"/>
          <w:bCs/>
          <w:color w:val="272627"/>
        </w:rPr>
      </w:pPr>
      <w:r w:rsidRPr="001411CD">
        <w:rPr>
          <w:rFonts w:ascii="Arial" w:hAnsi="Arial" w:cs="Arial"/>
          <w:bCs/>
          <w:color w:val="272627"/>
        </w:rPr>
        <w:t>L</w:t>
      </w:r>
      <w:r w:rsidRPr="001411CD">
        <w:rPr>
          <w:rFonts w:ascii="Arial" w:hAnsi="Arial" w:cs="Arial"/>
          <w:color w:val="272627"/>
        </w:rPr>
        <w:t>’évaluation finale du projet PPEA</w:t>
      </w:r>
      <w:r w:rsidR="00686B76" w:rsidRPr="001411CD">
        <w:rPr>
          <w:rFonts w:ascii="Arial" w:hAnsi="Arial" w:cs="Arial"/>
          <w:color w:val="272627"/>
        </w:rPr>
        <w:t xml:space="preserve"> </w:t>
      </w:r>
      <w:r w:rsidR="00AB1593" w:rsidRPr="001411CD">
        <w:rPr>
          <w:rFonts w:ascii="Arial" w:hAnsi="Arial" w:cs="Arial"/>
          <w:bCs/>
          <w:color w:val="272627"/>
        </w:rPr>
        <w:t>s’opèrera sur toute l’étendue du territoire national et concerne les cibles ci-après</w:t>
      </w:r>
      <w:r w:rsidR="002279E8" w:rsidRPr="001411CD">
        <w:rPr>
          <w:rFonts w:ascii="Arial" w:hAnsi="Arial" w:cs="Arial"/>
          <w:bCs/>
          <w:color w:val="272627"/>
        </w:rPr>
        <w:t xml:space="preserve"> </w:t>
      </w:r>
      <w:r w:rsidR="00AB1593" w:rsidRPr="001411CD">
        <w:rPr>
          <w:rFonts w:ascii="Arial" w:hAnsi="Arial" w:cs="Arial"/>
          <w:bCs/>
          <w:color w:val="272627"/>
        </w:rPr>
        <w:t>:</w:t>
      </w:r>
    </w:p>
    <w:p w:rsidR="002279E8" w:rsidRPr="001411CD" w:rsidRDefault="002279E8" w:rsidP="00AB1593">
      <w:pPr>
        <w:autoSpaceDE w:val="0"/>
        <w:autoSpaceDN w:val="0"/>
        <w:adjustRightInd w:val="0"/>
        <w:spacing w:after="0" w:line="240" w:lineRule="auto"/>
        <w:jc w:val="both"/>
        <w:rPr>
          <w:rFonts w:ascii="Arial" w:hAnsi="Arial" w:cs="Arial"/>
          <w:bCs/>
          <w:color w:val="272627"/>
        </w:rPr>
      </w:pPr>
    </w:p>
    <w:p w:rsidR="00AB1593" w:rsidRPr="001411CD" w:rsidRDefault="009F4CB8" w:rsidP="00AB1593">
      <w:pPr>
        <w:numPr>
          <w:ilvl w:val="0"/>
          <w:numId w:val="29"/>
        </w:numPr>
        <w:autoSpaceDE w:val="0"/>
        <w:autoSpaceDN w:val="0"/>
        <w:adjustRightInd w:val="0"/>
        <w:spacing w:after="0" w:line="240" w:lineRule="auto"/>
        <w:jc w:val="both"/>
        <w:rPr>
          <w:rFonts w:ascii="Arial" w:hAnsi="Arial" w:cs="Arial"/>
          <w:bCs/>
          <w:color w:val="272627"/>
        </w:rPr>
      </w:pPr>
      <w:r w:rsidRPr="001411CD">
        <w:rPr>
          <w:rFonts w:ascii="Arial" w:hAnsi="Arial" w:cs="Arial"/>
          <w:bCs/>
          <w:color w:val="272627"/>
        </w:rPr>
        <w:t xml:space="preserve">Les </w:t>
      </w:r>
      <w:r w:rsidR="00AB1593" w:rsidRPr="001411CD">
        <w:rPr>
          <w:rFonts w:ascii="Arial" w:hAnsi="Arial" w:cs="Arial"/>
          <w:bCs/>
          <w:color w:val="272627"/>
        </w:rPr>
        <w:t xml:space="preserve">jeunes </w:t>
      </w:r>
      <w:proofErr w:type="spellStart"/>
      <w:r w:rsidR="00AB1593" w:rsidRPr="001411CD">
        <w:rPr>
          <w:rFonts w:ascii="Arial" w:hAnsi="Arial" w:cs="Arial"/>
          <w:bCs/>
          <w:color w:val="272627"/>
        </w:rPr>
        <w:t>farm</w:t>
      </w:r>
      <w:proofErr w:type="spellEnd"/>
      <w:r w:rsidR="00AB1593" w:rsidRPr="001411CD">
        <w:rPr>
          <w:rFonts w:ascii="Arial" w:hAnsi="Arial" w:cs="Arial"/>
          <w:bCs/>
          <w:color w:val="272627"/>
        </w:rPr>
        <w:t xml:space="preserve"> managers bénéficiaires du PPEA déjà formés ;</w:t>
      </w:r>
    </w:p>
    <w:p w:rsidR="00AB1593" w:rsidRPr="001411CD" w:rsidRDefault="00AB1593" w:rsidP="00AB1593">
      <w:pPr>
        <w:numPr>
          <w:ilvl w:val="0"/>
          <w:numId w:val="29"/>
        </w:numPr>
        <w:autoSpaceDE w:val="0"/>
        <w:autoSpaceDN w:val="0"/>
        <w:adjustRightInd w:val="0"/>
        <w:spacing w:after="0" w:line="240" w:lineRule="auto"/>
        <w:jc w:val="both"/>
        <w:rPr>
          <w:rFonts w:ascii="Arial" w:hAnsi="Arial" w:cs="Arial"/>
          <w:bCs/>
          <w:color w:val="272627"/>
        </w:rPr>
      </w:pPr>
      <w:r w:rsidRPr="001411CD">
        <w:rPr>
          <w:rFonts w:ascii="Arial" w:hAnsi="Arial" w:cs="Arial"/>
          <w:bCs/>
          <w:color w:val="272627"/>
        </w:rPr>
        <w:t xml:space="preserve">les </w:t>
      </w:r>
      <w:r w:rsidRPr="001411CD">
        <w:rPr>
          <w:rFonts w:ascii="Arial" w:hAnsi="Arial" w:cs="Arial"/>
          <w:color w:val="272627"/>
        </w:rPr>
        <w:t>Centres de Promotion de l’Entreprenariat Agricole Songhaï (CPEAS) créés</w:t>
      </w:r>
      <w:r w:rsidRPr="001411CD">
        <w:rPr>
          <w:rFonts w:ascii="Arial" w:hAnsi="Arial" w:cs="Arial"/>
          <w:bCs/>
          <w:color w:val="272627"/>
        </w:rPr>
        <w:t>,</w:t>
      </w:r>
    </w:p>
    <w:p w:rsidR="00AB1593" w:rsidRPr="001411CD" w:rsidRDefault="00AB1593" w:rsidP="00AB1593">
      <w:pPr>
        <w:numPr>
          <w:ilvl w:val="0"/>
          <w:numId w:val="29"/>
        </w:numPr>
        <w:autoSpaceDE w:val="0"/>
        <w:autoSpaceDN w:val="0"/>
        <w:adjustRightInd w:val="0"/>
        <w:spacing w:after="0" w:line="240" w:lineRule="auto"/>
        <w:jc w:val="both"/>
        <w:rPr>
          <w:rFonts w:ascii="Arial" w:hAnsi="Arial" w:cs="Arial"/>
          <w:bCs/>
          <w:color w:val="272627"/>
        </w:rPr>
      </w:pPr>
      <w:r w:rsidRPr="001411CD">
        <w:rPr>
          <w:rFonts w:ascii="Arial" w:hAnsi="Arial" w:cs="Arial"/>
          <w:bCs/>
          <w:color w:val="272627"/>
        </w:rPr>
        <w:t>les différentes instances chargées de la gestion du PPEA (la DNP, le Centre Régional Songhaï, les intervenants du PNUD et institutions partenaires au projet, les institutions membres du COPS-PPEA) ;</w:t>
      </w:r>
    </w:p>
    <w:p w:rsidR="00AB1593" w:rsidRPr="001411CD" w:rsidRDefault="00AB1593" w:rsidP="00AB1593">
      <w:pPr>
        <w:numPr>
          <w:ilvl w:val="0"/>
          <w:numId w:val="29"/>
        </w:numPr>
        <w:autoSpaceDE w:val="0"/>
        <w:autoSpaceDN w:val="0"/>
        <w:adjustRightInd w:val="0"/>
        <w:spacing w:after="0" w:line="240" w:lineRule="auto"/>
        <w:jc w:val="both"/>
        <w:rPr>
          <w:rFonts w:ascii="Arial" w:hAnsi="Arial" w:cs="Arial"/>
          <w:bCs/>
          <w:color w:val="272627"/>
        </w:rPr>
      </w:pPr>
      <w:r w:rsidRPr="001411CD">
        <w:rPr>
          <w:rFonts w:ascii="Arial" w:hAnsi="Arial" w:cs="Arial"/>
          <w:bCs/>
          <w:color w:val="272627"/>
        </w:rPr>
        <w:t>les autorités locales, les entités concentrées des ministères parties prenantes du PPEA comme les CARDER, les agences ANPE, BPC, et les populations riveraines des CPEAS.</w:t>
      </w:r>
    </w:p>
    <w:p w:rsidR="00F51976" w:rsidRPr="001411CD" w:rsidRDefault="00AB1593" w:rsidP="008B7B1D">
      <w:pPr>
        <w:numPr>
          <w:ilvl w:val="0"/>
          <w:numId w:val="29"/>
        </w:numPr>
        <w:autoSpaceDE w:val="0"/>
        <w:autoSpaceDN w:val="0"/>
        <w:adjustRightInd w:val="0"/>
        <w:spacing w:after="0" w:line="240" w:lineRule="auto"/>
        <w:jc w:val="both"/>
        <w:rPr>
          <w:rFonts w:ascii="Arial" w:hAnsi="Arial" w:cs="Arial"/>
          <w:bCs/>
          <w:color w:val="272627"/>
        </w:rPr>
      </w:pPr>
      <w:r w:rsidRPr="001411CD">
        <w:rPr>
          <w:rFonts w:ascii="Arial" w:hAnsi="Arial" w:cs="Arial"/>
          <w:bCs/>
          <w:color w:val="272627"/>
        </w:rPr>
        <w:lastRenderedPageBreak/>
        <w:t>les partenaires à la mise en œuvre du PPEA intervenants sur les mêmes thématiques que le PPEA</w:t>
      </w:r>
    </w:p>
    <w:p w:rsidR="00F51976" w:rsidRPr="001411CD" w:rsidRDefault="00F51976" w:rsidP="008B7B1D">
      <w:pPr>
        <w:autoSpaceDE w:val="0"/>
        <w:autoSpaceDN w:val="0"/>
        <w:adjustRightInd w:val="0"/>
        <w:spacing w:after="0" w:line="240" w:lineRule="auto"/>
        <w:jc w:val="both"/>
        <w:rPr>
          <w:rFonts w:ascii="Arial" w:hAnsi="Arial" w:cs="Arial"/>
          <w:color w:val="272627"/>
        </w:rPr>
      </w:pPr>
    </w:p>
    <w:p w:rsidR="00160EBA" w:rsidRPr="001411CD" w:rsidRDefault="00160EBA" w:rsidP="008B7B1D">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De manière spécifique, </w:t>
      </w:r>
      <w:r w:rsidR="005208C5" w:rsidRPr="001411CD">
        <w:rPr>
          <w:rFonts w:ascii="Arial" w:hAnsi="Arial" w:cs="Arial"/>
          <w:color w:val="272627"/>
        </w:rPr>
        <w:t xml:space="preserve">l’évaluation </w:t>
      </w:r>
      <w:r w:rsidRPr="001411CD">
        <w:rPr>
          <w:rFonts w:ascii="Arial" w:hAnsi="Arial" w:cs="Arial"/>
          <w:color w:val="272627"/>
        </w:rPr>
        <w:t xml:space="preserve">doit adresser les questions suivantes sans se limiter à ces </w:t>
      </w:r>
      <w:r w:rsidR="00E8141A" w:rsidRPr="001411CD">
        <w:rPr>
          <w:rFonts w:ascii="Arial" w:hAnsi="Arial" w:cs="Arial"/>
          <w:color w:val="272627"/>
        </w:rPr>
        <w:t>dernières :</w:t>
      </w:r>
    </w:p>
    <w:p w:rsidR="00160EBA" w:rsidRPr="001411CD" w:rsidRDefault="00160EBA" w:rsidP="008B7B1D">
      <w:pPr>
        <w:autoSpaceDE w:val="0"/>
        <w:autoSpaceDN w:val="0"/>
        <w:adjustRightInd w:val="0"/>
        <w:spacing w:after="0" w:line="240" w:lineRule="auto"/>
        <w:jc w:val="both"/>
        <w:rPr>
          <w:rFonts w:ascii="Arial" w:hAnsi="Arial" w:cs="Arial"/>
          <w:color w:val="272627"/>
        </w:rPr>
      </w:pPr>
    </w:p>
    <w:p w:rsidR="00E16BA4" w:rsidRPr="001411CD" w:rsidRDefault="00E16BA4" w:rsidP="00E16BA4">
      <w:pPr>
        <w:autoSpaceDE w:val="0"/>
        <w:autoSpaceDN w:val="0"/>
        <w:adjustRightInd w:val="0"/>
        <w:spacing w:after="0" w:line="240" w:lineRule="auto"/>
        <w:jc w:val="both"/>
        <w:rPr>
          <w:rFonts w:ascii="Arial" w:hAnsi="Arial" w:cs="Arial"/>
          <w:b/>
          <w:color w:val="272627"/>
        </w:rPr>
      </w:pPr>
      <w:r w:rsidRPr="001411CD">
        <w:rPr>
          <w:rFonts w:ascii="Arial" w:hAnsi="Arial" w:cs="Arial"/>
          <w:b/>
          <w:color w:val="272627"/>
        </w:rPr>
        <w:t xml:space="preserve">6.1. La pertinence : </w:t>
      </w:r>
    </w:p>
    <w:p w:rsidR="00E16BA4" w:rsidRPr="001411CD" w:rsidRDefault="00E16BA4" w:rsidP="00E16BA4">
      <w:pPr>
        <w:autoSpaceDE w:val="0"/>
        <w:autoSpaceDN w:val="0"/>
        <w:adjustRightInd w:val="0"/>
        <w:spacing w:after="0" w:line="240" w:lineRule="auto"/>
        <w:jc w:val="both"/>
        <w:rPr>
          <w:rFonts w:ascii="Arial" w:hAnsi="Arial" w:cs="Arial"/>
          <w:b/>
          <w:color w:val="272627"/>
        </w:rPr>
      </w:pPr>
    </w:p>
    <w:p w:rsidR="00E16BA4" w:rsidRPr="001411CD" w:rsidRDefault="00E16BA4"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L’adéquation entre les composantes du pro</w:t>
      </w:r>
      <w:r w:rsidR="00E36700" w:rsidRPr="001411CD">
        <w:rPr>
          <w:rFonts w:ascii="Arial" w:hAnsi="Arial" w:cs="Arial"/>
          <w:color w:val="272627"/>
        </w:rPr>
        <w:t>jet</w:t>
      </w:r>
      <w:r w:rsidRPr="001411CD">
        <w:rPr>
          <w:rFonts w:ascii="Arial" w:hAnsi="Arial" w:cs="Arial"/>
          <w:color w:val="272627"/>
        </w:rPr>
        <w:t xml:space="preserve">, </w:t>
      </w:r>
      <w:r w:rsidR="00E36700" w:rsidRPr="001411CD">
        <w:rPr>
          <w:rFonts w:ascii="Arial" w:hAnsi="Arial" w:cs="Arial"/>
          <w:color w:val="272627"/>
        </w:rPr>
        <w:t>le document de programme pays (CPD), et</w:t>
      </w:r>
      <w:r w:rsidRPr="001411CD">
        <w:rPr>
          <w:rFonts w:ascii="Arial" w:hAnsi="Arial" w:cs="Arial"/>
          <w:color w:val="272627"/>
        </w:rPr>
        <w:t xml:space="preserve"> les priorités </w:t>
      </w:r>
      <w:r w:rsidR="00E8141A" w:rsidRPr="001411CD">
        <w:rPr>
          <w:rFonts w:ascii="Arial" w:hAnsi="Arial" w:cs="Arial"/>
          <w:color w:val="272627"/>
        </w:rPr>
        <w:t>nationales ;</w:t>
      </w:r>
      <w:r w:rsidRPr="001411CD">
        <w:rPr>
          <w:rFonts w:ascii="Arial" w:hAnsi="Arial" w:cs="Arial"/>
          <w:color w:val="272627"/>
        </w:rPr>
        <w:t xml:space="preserve">  </w:t>
      </w:r>
    </w:p>
    <w:p w:rsidR="00E16BA4" w:rsidRPr="001411CD" w:rsidRDefault="00E16BA4"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L’adéquation entre les axes du pro</w:t>
      </w:r>
      <w:r w:rsidR="00E36700" w:rsidRPr="001411CD">
        <w:rPr>
          <w:rFonts w:ascii="Arial" w:hAnsi="Arial" w:cs="Arial"/>
          <w:color w:val="272627"/>
        </w:rPr>
        <w:t xml:space="preserve">jet et ceux </w:t>
      </w:r>
      <w:r w:rsidRPr="001411CD">
        <w:rPr>
          <w:rFonts w:ascii="Arial" w:hAnsi="Arial" w:cs="Arial"/>
          <w:color w:val="272627"/>
        </w:rPr>
        <w:t>du plan stratégique du PNUD</w:t>
      </w:r>
      <w:r w:rsidR="00E36700" w:rsidRPr="001411CD">
        <w:rPr>
          <w:rFonts w:ascii="Arial" w:hAnsi="Arial" w:cs="Arial"/>
          <w:color w:val="272627"/>
        </w:rPr>
        <w:t>,</w:t>
      </w:r>
    </w:p>
    <w:p w:rsidR="00B84E77" w:rsidRPr="001411CD" w:rsidRDefault="00B84E77"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La compatibilité entre la perception des besoins tels que planifiés et exécutés par le projet et la réalité des besoins du point de vue des bénéficiaires visés, </w:t>
      </w:r>
    </w:p>
    <w:p w:rsidR="00E36700" w:rsidRPr="001411CD" w:rsidRDefault="00E36700"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w:t>
      </w:r>
      <w:r w:rsidR="00B84E77" w:rsidRPr="001411CD">
        <w:rPr>
          <w:rFonts w:ascii="Arial" w:hAnsi="Arial" w:cs="Arial"/>
          <w:color w:val="272627"/>
        </w:rPr>
        <w:t xml:space="preserve">’adéquation du choix des sites pour abriter les centres d’incubation, avec la politique de développement locale. </w:t>
      </w:r>
    </w:p>
    <w:p w:rsidR="00E16BA4" w:rsidRPr="001411CD" w:rsidRDefault="00E16BA4" w:rsidP="00E16BA4">
      <w:pPr>
        <w:autoSpaceDE w:val="0"/>
        <w:autoSpaceDN w:val="0"/>
        <w:adjustRightInd w:val="0"/>
        <w:spacing w:after="0" w:line="240" w:lineRule="auto"/>
        <w:jc w:val="both"/>
        <w:rPr>
          <w:rFonts w:ascii="Arial" w:hAnsi="Arial" w:cs="Arial"/>
          <w:color w:val="272627"/>
        </w:rPr>
      </w:pPr>
    </w:p>
    <w:p w:rsidR="00E16BA4" w:rsidRPr="001411CD" w:rsidRDefault="00E36700" w:rsidP="00E16BA4">
      <w:pPr>
        <w:autoSpaceDE w:val="0"/>
        <w:autoSpaceDN w:val="0"/>
        <w:adjustRightInd w:val="0"/>
        <w:spacing w:after="0" w:line="240" w:lineRule="auto"/>
        <w:jc w:val="both"/>
        <w:rPr>
          <w:rFonts w:ascii="Arial" w:hAnsi="Arial" w:cs="Arial"/>
          <w:b/>
          <w:color w:val="272627"/>
        </w:rPr>
      </w:pPr>
      <w:r w:rsidRPr="001411CD">
        <w:rPr>
          <w:rFonts w:ascii="Arial" w:hAnsi="Arial" w:cs="Arial"/>
          <w:b/>
          <w:color w:val="272627"/>
        </w:rPr>
        <w:t>6</w:t>
      </w:r>
      <w:r w:rsidR="00E16BA4" w:rsidRPr="001411CD">
        <w:rPr>
          <w:rFonts w:ascii="Arial" w:hAnsi="Arial" w:cs="Arial"/>
          <w:b/>
          <w:color w:val="272627"/>
        </w:rPr>
        <w:t xml:space="preserve">.2. L’efficience : </w:t>
      </w:r>
    </w:p>
    <w:p w:rsidR="00E16BA4" w:rsidRPr="001411CD" w:rsidRDefault="00E16BA4" w:rsidP="00E16BA4">
      <w:pPr>
        <w:autoSpaceDE w:val="0"/>
        <w:autoSpaceDN w:val="0"/>
        <w:adjustRightInd w:val="0"/>
        <w:spacing w:after="0" w:line="240" w:lineRule="auto"/>
        <w:jc w:val="both"/>
        <w:rPr>
          <w:rFonts w:ascii="Arial" w:hAnsi="Arial" w:cs="Arial"/>
          <w:b/>
          <w:color w:val="272627"/>
        </w:rPr>
      </w:pPr>
    </w:p>
    <w:p w:rsidR="00E16BA4" w:rsidRPr="001411CD" w:rsidRDefault="00E16BA4" w:rsidP="00E16BA4">
      <w:pPr>
        <w:numPr>
          <w:ilvl w:val="0"/>
          <w:numId w:val="25"/>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 planification, la mise en œuvre et l’évaluation quantitative et qualitative des résultats tels que inscrits dans le document de pro</w:t>
      </w:r>
      <w:r w:rsidR="00B84E77" w:rsidRPr="001411CD">
        <w:rPr>
          <w:rFonts w:ascii="Arial" w:hAnsi="Arial" w:cs="Arial"/>
          <w:color w:val="272627"/>
        </w:rPr>
        <w:t>jet,</w:t>
      </w:r>
      <w:r w:rsidRPr="001411CD">
        <w:rPr>
          <w:rFonts w:ascii="Arial" w:hAnsi="Arial" w:cs="Arial"/>
          <w:color w:val="272627"/>
        </w:rPr>
        <w:t xml:space="preserve"> le cadre de résultats, les plans de travail, en rapport avec les </w:t>
      </w:r>
      <w:r w:rsidR="00B84E77" w:rsidRPr="001411CD">
        <w:rPr>
          <w:rFonts w:ascii="Arial" w:hAnsi="Arial" w:cs="Arial"/>
          <w:color w:val="272627"/>
        </w:rPr>
        <w:t xml:space="preserve">changements </w:t>
      </w:r>
      <w:r w:rsidRPr="001411CD">
        <w:rPr>
          <w:rFonts w:ascii="Arial" w:hAnsi="Arial" w:cs="Arial"/>
          <w:color w:val="272627"/>
        </w:rPr>
        <w:t>escomptés ainsi que les efforts d’utilisation efficiente des ressources. </w:t>
      </w:r>
    </w:p>
    <w:p w:rsidR="005C2A6A" w:rsidRPr="001411CD" w:rsidRDefault="005C2A6A" w:rsidP="00E16BA4">
      <w:pPr>
        <w:numPr>
          <w:ilvl w:val="0"/>
          <w:numId w:val="25"/>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 gestion administrative globale du projet, coût et efficacité </w:t>
      </w:r>
    </w:p>
    <w:p w:rsidR="00E16BA4" w:rsidRPr="001411CD" w:rsidRDefault="00E16BA4" w:rsidP="00E16BA4">
      <w:pPr>
        <w:autoSpaceDE w:val="0"/>
        <w:autoSpaceDN w:val="0"/>
        <w:adjustRightInd w:val="0"/>
        <w:spacing w:after="0" w:line="240" w:lineRule="auto"/>
        <w:jc w:val="both"/>
        <w:rPr>
          <w:rFonts w:ascii="Arial" w:hAnsi="Arial" w:cs="Arial"/>
          <w:b/>
          <w:color w:val="272627"/>
        </w:rPr>
      </w:pPr>
    </w:p>
    <w:p w:rsidR="00E16BA4" w:rsidRPr="001411CD" w:rsidRDefault="00E36700" w:rsidP="00E16BA4">
      <w:pPr>
        <w:autoSpaceDE w:val="0"/>
        <w:autoSpaceDN w:val="0"/>
        <w:adjustRightInd w:val="0"/>
        <w:spacing w:after="0" w:line="240" w:lineRule="auto"/>
        <w:jc w:val="both"/>
        <w:rPr>
          <w:rFonts w:ascii="Arial" w:hAnsi="Arial" w:cs="Arial"/>
          <w:b/>
          <w:color w:val="272627"/>
        </w:rPr>
      </w:pPr>
      <w:r w:rsidRPr="001411CD">
        <w:rPr>
          <w:rFonts w:ascii="Arial" w:hAnsi="Arial" w:cs="Arial"/>
          <w:b/>
          <w:color w:val="272627"/>
        </w:rPr>
        <w:t>6</w:t>
      </w:r>
      <w:r w:rsidR="00E16BA4" w:rsidRPr="001411CD">
        <w:rPr>
          <w:rFonts w:ascii="Arial" w:hAnsi="Arial" w:cs="Arial"/>
          <w:b/>
          <w:color w:val="272627"/>
        </w:rPr>
        <w:t>.3. L’efficacité :</w:t>
      </w:r>
    </w:p>
    <w:p w:rsidR="00E71065" w:rsidRPr="001411CD" w:rsidRDefault="00E71065"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Les résultats des activités financées par le projet sur les groupes </w:t>
      </w:r>
      <w:r w:rsidR="00E8141A" w:rsidRPr="001411CD">
        <w:rPr>
          <w:rFonts w:ascii="Arial" w:hAnsi="Arial" w:cs="Arial"/>
          <w:color w:val="272627"/>
        </w:rPr>
        <w:t>cibles et</w:t>
      </w:r>
      <w:r w:rsidRPr="001411CD">
        <w:rPr>
          <w:rFonts w:ascii="Arial" w:hAnsi="Arial" w:cs="Arial"/>
          <w:color w:val="272627"/>
        </w:rPr>
        <w:t xml:space="preserve"> les structures impliquées en termes de renforcement des capacités ainsi que des avantages et bénéfices produits par le projet</w:t>
      </w:r>
    </w:p>
    <w:p w:rsidR="002D710E" w:rsidRPr="001411CD" w:rsidRDefault="002D710E"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 capacité des Centres de Promotion de l’Entreprenariat Agricole de type Songhaï (CPEAS) installés, à assurer la formation et l’accompagnement continu des jeunes de manière autonome ;</w:t>
      </w:r>
    </w:p>
    <w:p w:rsidR="002D710E" w:rsidRPr="001411CD" w:rsidRDefault="002D710E"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 degré de montage des centres de type Songhaï (notamment la réplication effective du Label Songhaï et leur redimensionnement, le taux et la qualité de la </w:t>
      </w:r>
      <w:r w:rsidR="006C4C89" w:rsidRPr="001411CD">
        <w:rPr>
          <w:rFonts w:ascii="Arial" w:hAnsi="Arial" w:cs="Arial"/>
          <w:color w:val="272627"/>
        </w:rPr>
        <w:t>réalisation</w:t>
      </w:r>
      <w:r w:rsidRPr="001411CD">
        <w:rPr>
          <w:rFonts w:ascii="Arial" w:hAnsi="Arial" w:cs="Arial"/>
          <w:color w:val="272627"/>
        </w:rPr>
        <w:t xml:space="preserve">) ; </w:t>
      </w:r>
    </w:p>
    <w:p w:rsidR="00A56552" w:rsidRPr="001411CD" w:rsidRDefault="00E71065" w:rsidP="00A56552">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Le niveau d</w:t>
      </w:r>
      <w:r w:rsidR="00A56552" w:rsidRPr="001411CD">
        <w:rPr>
          <w:rFonts w:ascii="Arial" w:hAnsi="Arial" w:cs="Arial"/>
          <w:color w:val="272627"/>
        </w:rPr>
        <w:t>’atteinte de l’objectif de transformation socio-économique à travers :</w:t>
      </w:r>
    </w:p>
    <w:p w:rsidR="00A56552" w:rsidRPr="001411CD" w:rsidRDefault="00A56552" w:rsidP="00A56552">
      <w:pPr>
        <w:pStyle w:val="Paragraphedeliste"/>
        <w:spacing w:after="240"/>
        <w:jc w:val="both"/>
        <w:rPr>
          <w:rFonts w:ascii="Arial" w:hAnsi="Arial" w:cs="Arial"/>
          <w:color w:val="272627"/>
        </w:rPr>
      </w:pPr>
    </w:p>
    <w:p w:rsidR="00A56552" w:rsidRPr="001411CD" w:rsidRDefault="00A56552" w:rsidP="00A56552">
      <w:pPr>
        <w:pStyle w:val="Paragraphedeliste"/>
        <w:numPr>
          <w:ilvl w:val="0"/>
          <w:numId w:val="27"/>
        </w:numPr>
        <w:spacing w:after="240" w:line="240" w:lineRule="auto"/>
        <w:jc w:val="both"/>
        <w:rPr>
          <w:rFonts w:ascii="Arial" w:hAnsi="Arial" w:cs="Arial"/>
          <w:color w:val="272627"/>
        </w:rPr>
      </w:pPr>
      <w:r w:rsidRPr="001411CD">
        <w:rPr>
          <w:rFonts w:ascii="Arial" w:hAnsi="Arial" w:cs="Arial"/>
          <w:color w:val="272627"/>
        </w:rPr>
        <w:t>le niveau de mise en œuvre du cahier de charge du partenaire technique et son impact sur la gestion des centres conformément à la Convention d’assistance technique du 23 décembre 2015 relative à la gestion des CPEAS ;</w:t>
      </w:r>
    </w:p>
    <w:p w:rsidR="00A56552" w:rsidRPr="001411CD" w:rsidRDefault="00A56552" w:rsidP="00A56552">
      <w:pPr>
        <w:pStyle w:val="Paragraphedeliste"/>
        <w:numPr>
          <w:ilvl w:val="0"/>
          <w:numId w:val="27"/>
        </w:numPr>
        <w:spacing w:after="240" w:line="240" w:lineRule="auto"/>
        <w:jc w:val="both"/>
        <w:rPr>
          <w:rFonts w:ascii="Arial" w:hAnsi="Arial" w:cs="Arial"/>
          <w:color w:val="272627"/>
        </w:rPr>
      </w:pPr>
      <w:r w:rsidRPr="001411CD">
        <w:rPr>
          <w:rFonts w:ascii="Arial" w:hAnsi="Arial" w:cs="Arial"/>
          <w:color w:val="272627"/>
        </w:rPr>
        <w:t>la contribution des CPEAS en tant que véritables pôles de transformation socio-économique des zones d’implantation ;</w:t>
      </w:r>
    </w:p>
    <w:p w:rsidR="00A56552" w:rsidRPr="001411CD" w:rsidRDefault="00A56552" w:rsidP="00A56552">
      <w:pPr>
        <w:pStyle w:val="Paragraphedeliste"/>
        <w:numPr>
          <w:ilvl w:val="0"/>
          <w:numId w:val="27"/>
        </w:numPr>
        <w:spacing w:after="240" w:line="240" w:lineRule="auto"/>
        <w:jc w:val="both"/>
        <w:rPr>
          <w:rFonts w:ascii="Arial" w:hAnsi="Arial" w:cs="Arial"/>
          <w:color w:val="272627"/>
        </w:rPr>
      </w:pPr>
      <w:r w:rsidRPr="001411CD">
        <w:rPr>
          <w:rFonts w:ascii="Arial" w:hAnsi="Arial" w:cs="Arial"/>
          <w:color w:val="272627"/>
        </w:rPr>
        <w:t xml:space="preserve">la création de valeurs ajoutées à partir des ressources locales disponibles ; </w:t>
      </w:r>
    </w:p>
    <w:p w:rsidR="00A56552" w:rsidRPr="001411CD" w:rsidRDefault="00A56552" w:rsidP="00A56552">
      <w:pPr>
        <w:pStyle w:val="Paragraphedeliste"/>
        <w:numPr>
          <w:ilvl w:val="0"/>
          <w:numId w:val="27"/>
        </w:numPr>
        <w:spacing w:after="240" w:line="240" w:lineRule="auto"/>
        <w:jc w:val="both"/>
        <w:rPr>
          <w:rFonts w:ascii="Arial" w:hAnsi="Arial" w:cs="Arial"/>
          <w:color w:val="272627"/>
        </w:rPr>
      </w:pPr>
      <w:r w:rsidRPr="001411CD">
        <w:rPr>
          <w:rFonts w:ascii="Arial" w:hAnsi="Arial" w:cs="Arial"/>
          <w:color w:val="272627"/>
        </w:rPr>
        <w:t>le renforcement des capacités des populations tant en connaissances entrepreneuriales qu’en systèmes technique, technologique et organisationnel d’activités agricoles et para-agricoles ;</w:t>
      </w:r>
    </w:p>
    <w:p w:rsidR="00A56552" w:rsidRPr="001411CD" w:rsidRDefault="00A56552" w:rsidP="00A56552">
      <w:pPr>
        <w:pStyle w:val="Paragraphedeliste"/>
        <w:numPr>
          <w:ilvl w:val="0"/>
          <w:numId w:val="27"/>
        </w:numPr>
        <w:spacing w:after="240" w:line="240" w:lineRule="auto"/>
        <w:jc w:val="both"/>
        <w:rPr>
          <w:rFonts w:ascii="Arial" w:hAnsi="Arial" w:cs="Arial"/>
          <w:color w:val="272627"/>
        </w:rPr>
      </w:pPr>
      <w:r w:rsidRPr="001411CD">
        <w:rPr>
          <w:rFonts w:ascii="Arial" w:hAnsi="Arial" w:cs="Arial"/>
          <w:color w:val="272627"/>
        </w:rPr>
        <w:t>la mise en réseau des entrepreneurs dans une perspective de promotion des filières agricoles intégrées sous forme de grappes industrielles ;</w:t>
      </w:r>
    </w:p>
    <w:p w:rsidR="00E16BA4" w:rsidRPr="001411CD" w:rsidRDefault="00A56552" w:rsidP="006C4C89">
      <w:pPr>
        <w:pStyle w:val="Paragraphedeliste"/>
        <w:numPr>
          <w:ilvl w:val="0"/>
          <w:numId w:val="27"/>
        </w:numPr>
        <w:spacing w:after="240" w:line="240" w:lineRule="auto"/>
        <w:jc w:val="both"/>
        <w:rPr>
          <w:rFonts w:ascii="Arial" w:hAnsi="Arial" w:cs="Arial"/>
          <w:color w:val="272627"/>
        </w:rPr>
      </w:pPr>
      <w:r w:rsidRPr="001411CD">
        <w:rPr>
          <w:rFonts w:ascii="Arial" w:hAnsi="Arial" w:cs="Arial"/>
          <w:color w:val="272627"/>
        </w:rPr>
        <w:t>la promotion de la transformation agroalimentaire et la mise en marché des produits agricoles et dérivés.</w:t>
      </w:r>
    </w:p>
    <w:p w:rsidR="00E16BA4" w:rsidRPr="001411CD" w:rsidRDefault="00E16BA4" w:rsidP="00E16BA4">
      <w:pPr>
        <w:autoSpaceDE w:val="0"/>
        <w:autoSpaceDN w:val="0"/>
        <w:adjustRightInd w:val="0"/>
        <w:spacing w:after="0" w:line="240" w:lineRule="auto"/>
        <w:jc w:val="both"/>
        <w:rPr>
          <w:rFonts w:ascii="Arial" w:hAnsi="Arial" w:cs="Arial"/>
          <w:color w:val="272627"/>
        </w:rPr>
      </w:pPr>
    </w:p>
    <w:p w:rsidR="00E16BA4" w:rsidRPr="001411CD" w:rsidRDefault="00E36700" w:rsidP="00E16BA4">
      <w:pPr>
        <w:autoSpaceDE w:val="0"/>
        <w:autoSpaceDN w:val="0"/>
        <w:adjustRightInd w:val="0"/>
        <w:spacing w:after="0" w:line="240" w:lineRule="auto"/>
        <w:jc w:val="both"/>
        <w:rPr>
          <w:rFonts w:ascii="Arial" w:hAnsi="Arial" w:cs="Arial"/>
          <w:b/>
          <w:color w:val="272627"/>
        </w:rPr>
      </w:pPr>
      <w:r w:rsidRPr="001411CD">
        <w:rPr>
          <w:rFonts w:ascii="Arial" w:hAnsi="Arial" w:cs="Arial"/>
          <w:b/>
          <w:color w:val="272627"/>
        </w:rPr>
        <w:t>6</w:t>
      </w:r>
      <w:r w:rsidR="00E16BA4" w:rsidRPr="001411CD">
        <w:rPr>
          <w:rFonts w:ascii="Arial" w:hAnsi="Arial" w:cs="Arial"/>
          <w:b/>
          <w:color w:val="272627"/>
        </w:rPr>
        <w:t xml:space="preserve">.4. La durabilité </w:t>
      </w:r>
    </w:p>
    <w:p w:rsidR="00E16BA4" w:rsidRPr="001411CD" w:rsidRDefault="00E16BA4" w:rsidP="00E16BA4">
      <w:pPr>
        <w:autoSpaceDE w:val="0"/>
        <w:autoSpaceDN w:val="0"/>
        <w:adjustRightInd w:val="0"/>
        <w:spacing w:after="0" w:line="240" w:lineRule="auto"/>
        <w:jc w:val="both"/>
        <w:rPr>
          <w:rFonts w:ascii="Arial" w:hAnsi="Arial" w:cs="Arial"/>
          <w:b/>
          <w:color w:val="272627"/>
        </w:rPr>
      </w:pPr>
    </w:p>
    <w:p w:rsidR="00E16BA4" w:rsidRPr="001411CD" w:rsidRDefault="00E16BA4"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L’appropriation nationale et la durabilité des résultats; </w:t>
      </w:r>
    </w:p>
    <w:p w:rsidR="00E16BA4" w:rsidRPr="001411CD" w:rsidRDefault="006C4C89"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L’intégration du genre</w:t>
      </w:r>
      <w:r w:rsidR="00E16BA4" w:rsidRPr="001411CD">
        <w:rPr>
          <w:rFonts w:ascii="Arial" w:hAnsi="Arial" w:cs="Arial"/>
          <w:color w:val="272627"/>
        </w:rPr>
        <w:t> et le développement des capacités;</w:t>
      </w:r>
    </w:p>
    <w:p w:rsidR="006C4C89" w:rsidRPr="001411CD" w:rsidRDefault="006C4C89"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lastRenderedPageBreak/>
        <w:t>La viabilité des exploitations agricoles des jeunes ayant bénéficié du PPEA, ainsi que les effets économique et social de leur installation sur leur milieu ;</w:t>
      </w:r>
    </w:p>
    <w:p w:rsidR="00E16BA4" w:rsidRPr="001411CD" w:rsidRDefault="006C4C89"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Le niveau d’autonomisation financière des centres ;</w:t>
      </w:r>
    </w:p>
    <w:p w:rsidR="00E16BA4" w:rsidRPr="001411CD" w:rsidRDefault="006C4C89" w:rsidP="006C4C89">
      <w:pPr>
        <w:pStyle w:val="Paragraphedeliste"/>
        <w:numPr>
          <w:ilvl w:val="0"/>
          <w:numId w:val="24"/>
        </w:numPr>
        <w:rPr>
          <w:rFonts w:ascii="Arial" w:hAnsi="Arial" w:cs="Arial"/>
          <w:color w:val="272627"/>
        </w:rPr>
      </w:pPr>
      <w:r w:rsidRPr="001411CD">
        <w:rPr>
          <w:rFonts w:ascii="Arial" w:hAnsi="Arial" w:cs="Arial"/>
          <w:color w:val="272627"/>
        </w:rPr>
        <w:t xml:space="preserve">le niveau de capitalisation et d’appropriation de l’assistance technique du Centre Régional Songhaï par les CPEAS. </w:t>
      </w:r>
    </w:p>
    <w:p w:rsidR="00E16BA4" w:rsidRPr="001411CD" w:rsidRDefault="00E16BA4" w:rsidP="00E16BA4">
      <w:pPr>
        <w:autoSpaceDE w:val="0"/>
        <w:autoSpaceDN w:val="0"/>
        <w:adjustRightInd w:val="0"/>
        <w:spacing w:after="0" w:line="240" w:lineRule="auto"/>
        <w:jc w:val="both"/>
        <w:rPr>
          <w:rFonts w:ascii="Arial" w:hAnsi="Arial" w:cs="Arial"/>
          <w:color w:val="272627"/>
        </w:rPr>
      </w:pPr>
    </w:p>
    <w:p w:rsidR="00E16BA4" w:rsidRPr="001411CD" w:rsidRDefault="00E36700" w:rsidP="00E16BA4">
      <w:pPr>
        <w:autoSpaceDE w:val="0"/>
        <w:autoSpaceDN w:val="0"/>
        <w:adjustRightInd w:val="0"/>
        <w:spacing w:after="0" w:line="240" w:lineRule="auto"/>
        <w:jc w:val="both"/>
        <w:rPr>
          <w:rFonts w:ascii="Arial" w:hAnsi="Arial" w:cs="Arial"/>
          <w:b/>
          <w:color w:val="272627"/>
        </w:rPr>
      </w:pPr>
      <w:r w:rsidRPr="001411CD">
        <w:rPr>
          <w:rFonts w:ascii="Arial" w:hAnsi="Arial" w:cs="Arial"/>
          <w:b/>
          <w:color w:val="272627"/>
        </w:rPr>
        <w:t>6</w:t>
      </w:r>
      <w:r w:rsidR="00E16BA4" w:rsidRPr="001411CD">
        <w:rPr>
          <w:rFonts w:ascii="Arial" w:hAnsi="Arial" w:cs="Arial"/>
          <w:b/>
          <w:color w:val="272627"/>
        </w:rPr>
        <w:t>.5. L’impact</w:t>
      </w:r>
    </w:p>
    <w:p w:rsidR="00E16BA4" w:rsidRPr="001411CD" w:rsidRDefault="00E16BA4" w:rsidP="00E16BA4">
      <w:pPr>
        <w:autoSpaceDE w:val="0"/>
        <w:autoSpaceDN w:val="0"/>
        <w:adjustRightInd w:val="0"/>
        <w:spacing w:after="0" w:line="240" w:lineRule="auto"/>
        <w:jc w:val="both"/>
        <w:rPr>
          <w:rFonts w:ascii="Arial" w:hAnsi="Arial" w:cs="Arial"/>
          <w:b/>
          <w:color w:val="272627"/>
        </w:rPr>
      </w:pPr>
    </w:p>
    <w:p w:rsidR="00E16BA4" w:rsidRPr="001411CD" w:rsidRDefault="00E16BA4"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 changement ou l’impact que les bénéficiaires, les institutions partenaires et même les groupes non ciblés ont ressenti du programme. La durabilité de ces changements. </w:t>
      </w:r>
    </w:p>
    <w:p w:rsidR="00E16BA4" w:rsidRPr="001411CD" w:rsidRDefault="00E16BA4"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 nature de ces changements : positifs, négatifs, directs, indirects, intentionnels, non-intentionnels. Les relations causales entre ces changements et la présence du pro</w:t>
      </w:r>
      <w:r w:rsidR="006C4C89" w:rsidRPr="001411CD">
        <w:rPr>
          <w:rFonts w:ascii="Arial" w:hAnsi="Arial" w:cs="Arial"/>
          <w:color w:val="272627"/>
        </w:rPr>
        <w:t>jet</w:t>
      </w:r>
      <w:r w:rsidRPr="001411CD">
        <w:rPr>
          <w:rFonts w:ascii="Arial" w:hAnsi="Arial" w:cs="Arial"/>
          <w:color w:val="272627"/>
        </w:rPr>
        <w:t xml:space="preserve">. </w:t>
      </w:r>
    </w:p>
    <w:p w:rsidR="00E16BA4" w:rsidRPr="001411CD" w:rsidRDefault="00E16BA4"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Les Effets et les impacts possibles qui peuvent surgir après la fin du pro</w:t>
      </w:r>
      <w:r w:rsidR="00892905" w:rsidRPr="001411CD">
        <w:rPr>
          <w:rFonts w:ascii="Arial" w:hAnsi="Arial" w:cs="Arial"/>
          <w:color w:val="272627"/>
        </w:rPr>
        <w:t>jet</w:t>
      </w:r>
      <w:r w:rsidRPr="001411CD">
        <w:rPr>
          <w:rFonts w:ascii="Arial" w:hAnsi="Arial" w:cs="Arial"/>
          <w:color w:val="272627"/>
        </w:rPr>
        <w:t xml:space="preserve">.  </w:t>
      </w:r>
    </w:p>
    <w:p w:rsidR="00E16BA4" w:rsidRPr="001411CD" w:rsidRDefault="00E16BA4" w:rsidP="00E16BA4">
      <w:pPr>
        <w:autoSpaceDE w:val="0"/>
        <w:autoSpaceDN w:val="0"/>
        <w:adjustRightInd w:val="0"/>
        <w:spacing w:after="0" w:line="240" w:lineRule="auto"/>
        <w:jc w:val="both"/>
        <w:rPr>
          <w:rFonts w:ascii="Arial" w:hAnsi="Arial" w:cs="Arial"/>
          <w:color w:val="272627"/>
        </w:rPr>
      </w:pPr>
    </w:p>
    <w:p w:rsidR="00E16BA4" w:rsidRPr="001411CD" w:rsidRDefault="00E16BA4" w:rsidP="00E16BA4">
      <w:pPr>
        <w:autoSpaceDE w:val="0"/>
        <w:autoSpaceDN w:val="0"/>
        <w:adjustRightInd w:val="0"/>
        <w:spacing w:after="0" w:line="240" w:lineRule="auto"/>
        <w:jc w:val="both"/>
        <w:rPr>
          <w:rFonts w:ascii="Arial" w:hAnsi="Arial" w:cs="Arial"/>
          <w:color w:val="272627"/>
        </w:rPr>
      </w:pPr>
    </w:p>
    <w:p w:rsidR="00E16BA4" w:rsidRPr="001411CD" w:rsidRDefault="00E36700" w:rsidP="00E16BA4">
      <w:pPr>
        <w:autoSpaceDE w:val="0"/>
        <w:autoSpaceDN w:val="0"/>
        <w:adjustRightInd w:val="0"/>
        <w:spacing w:after="0" w:line="240" w:lineRule="auto"/>
        <w:jc w:val="both"/>
        <w:rPr>
          <w:rFonts w:ascii="Arial" w:hAnsi="Arial" w:cs="Arial"/>
          <w:b/>
          <w:color w:val="272627"/>
        </w:rPr>
      </w:pPr>
      <w:r w:rsidRPr="001411CD">
        <w:rPr>
          <w:rFonts w:ascii="Arial" w:hAnsi="Arial" w:cs="Arial"/>
          <w:b/>
          <w:color w:val="272627"/>
        </w:rPr>
        <w:t>6</w:t>
      </w:r>
      <w:r w:rsidR="00E16BA4" w:rsidRPr="001411CD">
        <w:rPr>
          <w:rFonts w:ascii="Arial" w:hAnsi="Arial" w:cs="Arial"/>
          <w:b/>
          <w:color w:val="272627"/>
        </w:rPr>
        <w:t>.6. Les stratégies de partenariat</w:t>
      </w:r>
    </w:p>
    <w:p w:rsidR="00E16BA4" w:rsidRPr="001411CD" w:rsidRDefault="00E16BA4" w:rsidP="00E16BA4">
      <w:pPr>
        <w:autoSpaceDE w:val="0"/>
        <w:autoSpaceDN w:val="0"/>
        <w:adjustRightInd w:val="0"/>
        <w:spacing w:after="0" w:line="240" w:lineRule="auto"/>
        <w:jc w:val="both"/>
        <w:rPr>
          <w:rFonts w:ascii="Arial" w:hAnsi="Arial" w:cs="Arial"/>
          <w:b/>
          <w:color w:val="272627"/>
        </w:rPr>
      </w:pPr>
    </w:p>
    <w:p w:rsidR="00E16BA4" w:rsidRPr="001411CD" w:rsidRDefault="00E16BA4"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Les efforts de partenariats </w:t>
      </w:r>
      <w:r w:rsidR="00892905" w:rsidRPr="001411CD">
        <w:rPr>
          <w:rFonts w:ascii="Arial" w:hAnsi="Arial" w:cs="Arial"/>
          <w:color w:val="272627"/>
        </w:rPr>
        <w:t>et les arrangements de gestion du projet</w:t>
      </w:r>
      <w:r w:rsidRPr="001411CD">
        <w:rPr>
          <w:rFonts w:ascii="Arial" w:hAnsi="Arial" w:cs="Arial"/>
          <w:color w:val="272627"/>
        </w:rPr>
        <w:t> ;</w:t>
      </w:r>
    </w:p>
    <w:p w:rsidR="00892905" w:rsidRPr="001411CD" w:rsidRDefault="00E16BA4" w:rsidP="007F44E9">
      <w:pPr>
        <w:numPr>
          <w:ilvl w:val="0"/>
          <w:numId w:val="24"/>
        </w:numPr>
        <w:autoSpaceDE w:val="0"/>
        <w:autoSpaceDN w:val="0"/>
        <w:adjustRightInd w:val="0"/>
        <w:spacing w:after="0" w:line="240" w:lineRule="auto"/>
        <w:jc w:val="both"/>
        <w:rPr>
          <w:rFonts w:ascii="Arial" w:hAnsi="Arial" w:cs="Arial"/>
          <w:b/>
          <w:color w:val="272627"/>
        </w:rPr>
      </w:pPr>
      <w:r w:rsidRPr="001411CD">
        <w:rPr>
          <w:rFonts w:ascii="Arial" w:hAnsi="Arial" w:cs="Arial"/>
          <w:color w:val="272627"/>
        </w:rPr>
        <w:t>Le niveau et la qualité des r</w:t>
      </w:r>
      <w:r w:rsidR="00892905" w:rsidRPr="001411CD">
        <w:rPr>
          <w:rFonts w:ascii="Arial" w:hAnsi="Arial" w:cs="Arial"/>
          <w:color w:val="272627"/>
        </w:rPr>
        <w:t xml:space="preserve">elations avec le Gouvernement et avec le Centre </w:t>
      </w:r>
      <w:proofErr w:type="spellStart"/>
      <w:r w:rsidR="00892905" w:rsidRPr="001411CD">
        <w:rPr>
          <w:rFonts w:ascii="Arial" w:hAnsi="Arial" w:cs="Arial"/>
          <w:color w:val="272627"/>
        </w:rPr>
        <w:t>Songhai</w:t>
      </w:r>
      <w:proofErr w:type="spellEnd"/>
      <w:r w:rsidR="00892905" w:rsidRPr="001411CD">
        <w:rPr>
          <w:rFonts w:ascii="Arial" w:hAnsi="Arial" w:cs="Arial"/>
          <w:color w:val="272627"/>
        </w:rPr>
        <w:t xml:space="preserve"> Régional, </w:t>
      </w:r>
    </w:p>
    <w:p w:rsidR="00E16BA4" w:rsidRPr="001411CD" w:rsidRDefault="00E16BA4" w:rsidP="00E16BA4">
      <w:pPr>
        <w:numPr>
          <w:ilvl w:val="0"/>
          <w:numId w:val="24"/>
        </w:numPr>
        <w:autoSpaceDE w:val="0"/>
        <w:autoSpaceDN w:val="0"/>
        <w:adjustRightInd w:val="0"/>
        <w:spacing w:after="0" w:line="240" w:lineRule="auto"/>
        <w:jc w:val="both"/>
        <w:rPr>
          <w:rFonts w:ascii="Arial" w:hAnsi="Arial" w:cs="Arial"/>
          <w:b/>
          <w:color w:val="272627"/>
        </w:rPr>
      </w:pPr>
      <w:r w:rsidRPr="001411CD">
        <w:rPr>
          <w:rFonts w:ascii="Arial" w:hAnsi="Arial" w:cs="Arial"/>
          <w:color w:val="272627"/>
        </w:rPr>
        <w:t xml:space="preserve">La </w:t>
      </w:r>
      <w:r w:rsidR="00892905" w:rsidRPr="001411CD">
        <w:rPr>
          <w:rFonts w:ascii="Arial" w:hAnsi="Arial" w:cs="Arial"/>
          <w:color w:val="272627"/>
        </w:rPr>
        <w:t>mobilisation des ressources selon l’accord de financement</w:t>
      </w:r>
      <w:r w:rsidR="00336A3A" w:rsidRPr="001411CD">
        <w:rPr>
          <w:rFonts w:ascii="Arial" w:hAnsi="Arial" w:cs="Arial"/>
          <w:color w:val="272627"/>
        </w:rPr>
        <w:t>,</w:t>
      </w:r>
    </w:p>
    <w:p w:rsidR="00E16BA4" w:rsidRPr="001411CD" w:rsidRDefault="00E16BA4"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Le fonctionnement du dispositif de coordination, la perce</w:t>
      </w:r>
      <w:r w:rsidR="00336A3A" w:rsidRPr="001411CD">
        <w:rPr>
          <w:rFonts w:ascii="Arial" w:hAnsi="Arial" w:cs="Arial"/>
          <w:color w:val="272627"/>
        </w:rPr>
        <w:t>ption de ce dispositif par les autres acteurs</w:t>
      </w:r>
      <w:r w:rsidRPr="001411CD">
        <w:rPr>
          <w:rFonts w:ascii="Arial" w:hAnsi="Arial" w:cs="Arial"/>
          <w:color w:val="272627"/>
        </w:rPr>
        <w:t>;</w:t>
      </w:r>
    </w:p>
    <w:p w:rsidR="00E16BA4" w:rsidRPr="001411CD" w:rsidRDefault="00E16BA4"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L’expérience de l</w:t>
      </w:r>
      <w:r w:rsidR="00336A3A" w:rsidRPr="001411CD">
        <w:rPr>
          <w:rFonts w:ascii="Arial" w:hAnsi="Arial" w:cs="Arial"/>
          <w:color w:val="272627"/>
        </w:rPr>
        <w:t xml:space="preserve">a contractualisation avec </w:t>
      </w:r>
      <w:proofErr w:type="spellStart"/>
      <w:r w:rsidR="00336A3A" w:rsidRPr="001411CD">
        <w:rPr>
          <w:rFonts w:ascii="Arial" w:hAnsi="Arial" w:cs="Arial"/>
          <w:color w:val="272627"/>
        </w:rPr>
        <w:t>Songhai</w:t>
      </w:r>
      <w:proofErr w:type="spellEnd"/>
      <w:r w:rsidR="00336A3A" w:rsidRPr="001411CD">
        <w:rPr>
          <w:rFonts w:ascii="Arial" w:hAnsi="Arial" w:cs="Arial"/>
          <w:color w:val="272627"/>
        </w:rPr>
        <w:t xml:space="preserve"> e</w:t>
      </w:r>
      <w:r w:rsidRPr="001411CD">
        <w:rPr>
          <w:rFonts w:ascii="Arial" w:hAnsi="Arial" w:cs="Arial"/>
          <w:color w:val="272627"/>
        </w:rPr>
        <w:t>t les enseignements à tirer.</w:t>
      </w:r>
    </w:p>
    <w:p w:rsidR="00E16BA4" w:rsidRPr="001411CD" w:rsidRDefault="00E16BA4" w:rsidP="00E16BA4">
      <w:pPr>
        <w:autoSpaceDE w:val="0"/>
        <w:autoSpaceDN w:val="0"/>
        <w:adjustRightInd w:val="0"/>
        <w:spacing w:after="0" w:line="240" w:lineRule="auto"/>
        <w:jc w:val="both"/>
        <w:rPr>
          <w:rFonts w:ascii="Arial" w:hAnsi="Arial" w:cs="Arial"/>
          <w:b/>
          <w:color w:val="272627"/>
        </w:rPr>
      </w:pPr>
    </w:p>
    <w:p w:rsidR="00E16BA4" w:rsidRPr="001411CD" w:rsidRDefault="00E16BA4" w:rsidP="00E16BA4">
      <w:pPr>
        <w:autoSpaceDE w:val="0"/>
        <w:autoSpaceDN w:val="0"/>
        <w:adjustRightInd w:val="0"/>
        <w:spacing w:after="0" w:line="240" w:lineRule="auto"/>
        <w:jc w:val="both"/>
        <w:rPr>
          <w:rFonts w:ascii="Arial" w:hAnsi="Arial" w:cs="Arial"/>
          <w:b/>
          <w:color w:val="272627"/>
        </w:rPr>
      </w:pPr>
    </w:p>
    <w:p w:rsidR="00E16BA4" w:rsidRPr="001411CD" w:rsidRDefault="00E36700" w:rsidP="00E16BA4">
      <w:pPr>
        <w:autoSpaceDE w:val="0"/>
        <w:autoSpaceDN w:val="0"/>
        <w:adjustRightInd w:val="0"/>
        <w:spacing w:after="0" w:line="240" w:lineRule="auto"/>
        <w:jc w:val="both"/>
        <w:rPr>
          <w:rFonts w:ascii="Arial" w:hAnsi="Arial" w:cs="Arial"/>
          <w:b/>
          <w:color w:val="272627"/>
        </w:rPr>
      </w:pPr>
      <w:r w:rsidRPr="001411CD">
        <w:rPr>
          <w:rFonts w:ascii="Arial" w:hAnsi="Arial" w:cs="Arial"/>
          <w:b/>
          <w:color w:val="272627"/>
        </w:rPr>
        <w:t>6</w:t>
      </w:r>
      <w:r w:rsidR="00E16BA4" w:rsidRPr="001411CD">
        <w:rPr>
          <w:rFonts w:ascii="Arial" w:hAnsi="Arial" w:cs="Arial"/>
          <w:b/>
          <w:color w:val="272627"/>
        </w:rPr>
        <w:t>.7. Les thèmes transversaux</w:t>
      </w:r>
    </w:p>
    <w:p w:rsidR="00E16BA4" w:rsidRPr="001411CD" w:rsidRDefault="00E16BA4" w:rsidP="00E16BA4">
      <w:pPr>
        <w:autoSpaceDE w:val="0"/>
        <w:autoSpaceDN w:val="0"/>
        <w:adjustRightInd w:val="0"/>
        <w:spacing w:after="0" w:line="240" w:lineRule="auto"/>
        <w:jc w:val="both"/>
        <w:rPr>
          <w:rFonts w:ascii="Arial" w:hAnsi="Arial" w:cs="Arial"/>
          <w:b/>
          <w:color w:val="272627"/>
        </w:rPr>
      </w:pPr>
    </w:p>
    <w:p w:rsidR="00E16BA4" w:rsidRPr="001411CD" w:rsidRDefault="00E16BA4" w:rsidP="00E16BA4">
      <w:pPr>
        <w:autoSpaceDE w:val="0"/>
        <w:autoSpaceDN w:val="0"/>
        <w:adjustRightInd w:val="0"/>
        <w:spacing w:after="0" w:line="240" w:lineRule="auto"/>
        <w:jc w:val="both"/>
        <w:rPr>
          <w:rFonts w:ascii="Arial" w:hAnsi="Arial" w:cs="Arial"/>
          <w:b/>
          <w:color w:val="272627"/>
        </w:rPr>
      </w:pPr>
      <w:r w:rsidRPr="001411CD">
        <w:rPr>
          <w:rFonts w:ascii="Arial" w:hAnsi="Arial" w:cs="Arial"/>
          <w:color w:val="272627"/>
        </w:rPr>
        <w:t>Devront être évalués, la prise en compte des éléments transversaux ci-après :</w:t>
      </w:r>
    </w:p>
    <w:p w:rsidR="00E16BA4" w:rsidRPr="001411CD" w:rsidRDefault="00E16BA4"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Les droits de l’homme,</w:t>
      </w:r>
    </w:p>
    <w:p w:rsidR="00E16BA4" w:rsidRPr="001411CD" w:rsidRDefault="00E16BA4"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 renforcement des capacités, </w:t>
      </w:r>
    </w:p>
    <w:p w:rsidR="00E16BA4" w:rsidRPr="001411CD" w:rsidRDefault="00E16BA4" w:rsidP="00E16BA4">
      <w:pPr>
        <w:numPr>
          <w:ilvl w:val="0"/>
          <w:numId w:val="2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 genre.  </w:t>
      </w:r>
    </w:p>
    <w:p w:rsidR="00F51976" w:rsidRPr="001411CD" w:rsidRDefault="00F51976" w:rsidP="00525101">
      <w:pPr>
        <w:autoSpaceDE w:val="0"/>
        <w:autoSpaceDN w:val="0"/>
        <w:adjustRightInd w:val="0"/>
        <w:spacing w:after="0" w:line="240" w:lineRule="auto"/>
        <w:jc w:val="both"/>
        <w:rPr>
          <w:rFonts w:ascii="Arial" w:hAnsi="Arial" w:cs="Arial"/>
          <w:color w:val="272627"/>
        </w:rPr>
      </w:pPr>
    </w:p>
    <w:p w:rsidR="0074071E" w:rsidRPr="001411CD" w:rsidRDefault="0074071E" w:rsidP="00945B72">
      <w:pPr>
        <w:autoSpaceDE w:val="0"/>
        <w:autoSpaceDN w:val="0"/>
        <w:adjustRightInd w:val="0"/>
        <w:spacing w:after="0" w:line="240" w:lineRule="auto"/>
        <w:jc w:val="both"/>
        <w:rPr>
          <w:rFonts w:ascii="Arial" w:hAnsi="Arial" w:cs="Arial"/>
          <w:color w:val="272627"/>
        </w:rPr>
      </w:pPr>
    </w:p>
    <w:p w:rsidR="003A3A8B" w:rsidRPr="001411CD" w:rsidRDefault="00336A3A" w:rsidP="003A3A8B">
      <w:p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7</w:t>
      </w:r>
      <w:r w:rsidR="003A3A8B" w:rsidRPr="001411CD">
        <w:rPr>
          <w:rFonts w:ascii="Arial" w:hAnsi="Arial" w:cs="Arial"/>
          <w:b/>
          <w:bCs/>
          <w:color w:val="3A5EA9"/>
        </w:rPr>
        <w:t>. PRODUITS ATTENDUS DE L’ÉVALUATION (PRESTATIONS)</w:t>
      </w:r>
      <w:r w:rsidR="00897F6D" w:rsidRPr="001411CD">
        <w:rPr>
          <w:rFonts w:ascii="Arial" w:hAnsi="Arial" w:cs="Arial"/>
          <w:b/>
          <w:bCs/>
          <w:color w:val="3A5EA9"/>
        </w:rPr>
        <w:t xml:space="preserve"> ET CALENDRIER</w:t>
      </w:r>
    </w:p>
    <w:p w:rsidR="003A3A8B" w:rsidRPr="001411CD" w:rsidRDefault="003A3A8B" w:rsidP="003A3A8B">
      <w:pPr>
        <w:autoSpaceDE w:val="0"/>
        <w:autoSpaceDN w:val="0"/>
        <w:adjustRightInd w:val="0"/>
        <w:spacing w:after="0" w:line="240" w:lineRule="auto"/>
        <w:jc w:val="both"/>
        <w:rPr>
          <w:rFonts w:ascii="Arial" w:hAnsi="Arial" w:cs="Arial"/>
          <w:color w:val="272627"/>
        </w:rPr>
      </w:pPr>
    </w:p>
    <w:p w:rsidR="00852C01" w:rsidRPr="001411CD" w:rsidRDefault="00852C01" w:rsidP="00852C01">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T0 étant la date de démarrage de la mission, les consultants produiront les rapports comme suit :</w:t>
      </w:r>
    </w:p>
    <w:p w:rsidR="00852C01" w:rsidRPr="001411CD" w:rsidRDefault="00852C01" w:rsidP="00852C01">
      <w:pPr>
        <w:autoSpaceDE w:val="0"/>
        <w:autoSpaceDN w:val="0"/>
        <w:adjustRightInd w:val="0"/>
        <w:spacing w:after="0" w:line="240" w:lineRule="auto"/>
        <w:jc w:val="both"/>
        <w:rPr>
          <w:rFonts w:ascii="Arial" w:hAnsi="Arial" w:cs="Arial"/>
          <w:color w:val="272627"/>
        </w:rPr>
      </w:pPr>
    </w:p>
    <w:p w:rsidR="00852C01" w:rsidRPr="001411CD" w:rsidRDefault="00852C01" w:rsidP="00852C01">
      <w:pPr>
        <w:numPr>
          <w:ilvl w:val="0"/>
          <w:numId w:val="2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T1 = T0+ 5 jours : </w:t>
      </w:r>
      <w:r w:rsidRPr="001411CD">
        <w:rPr>
          <w:rFonts w:ascii="Arial" w:hAnsi="Arial" w:cs="Arial"/>
          <w:b/>
          <w:color w:val="272627"/>
        </w:rPr>
        <w:t>Le rapport initial de la mission</w:t>
      </w:r>
    </w:p>
    <w:p w:rsidR="00852C01" w:rsidRPr="001411CD" w:rsidRDefault="00852C01" w:rsidP="00852C01">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Dans ce rapport consacré à la revue documentaire, le consultant présentera le contexte de la mission, la méthodologie de conduite de la mission, la méthodologie de collecte et d’analyse des données, le chronogramme de conduite de la mission.</w:t>
      </w:r>
      <w:r w:rsidR="00BB58DA" w:rsidRPr="001411CD">
        <w:rPr>
          <w:rFonts w:ascii="Arial" w:hAnsi="Arial" w:cs="Arial"/>
          <w:color w:val="272627"/>
        </w:rPr>
        <w:t xml:space="preserve"> Ce rapport doit contenir une matrice d’évaluation qui expose pour chaque critère d’évaluation, les questions et sous-questions auxquelles l’évaluation apportera une réponse en s’appuyant s’inspirant sans se limiter aux descriptions définies dans le champ de l’évaluation. La matrice d’évaluation devra préciser pour chaque question, les données à collecter qui renseigneront celle-ci ainsi que les méthodes à suivre pour la collecte de ces informations. </w:t>
      </w:r>
    </w:p>
    <w:p w:rsidR="00852C01" w:rsidRPr="001411CD" w:rsidRDefault="00852C01" w:rsidP="00852C01">
      <w:pPr>
        <w:autoSpaceDE w:val="0"/>
        <w:autoSpaceDN w:val="0"/>
        <w:adjustRightInd w:val="0"/>
        <w:spacing w:after="0" w:line="240" w:lineRule="auto"/>
        <w:jc w:val="both"/>
        <w:rPr>
          <w:rFonts w:ascii="Arial" w:hAnsi="Arial" w:cs="Arial"/>
          <w:color w:val="272627"/>
        </w:rPr>
      </w:pPr>
    </w:p>
    <w:p w:rsidR="00852C01" w:rsidRPr="001411CD" w:rsidRDefault="00852C01" w:rsidP="00852C01">
      <w:pPr>
        <w:numPr>
          <w:ilvl w:val="0"/>
          <w:numId w:val="2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T2 = T1+15 jours (T0+20 jours): </w:t>
      </w:r>
      <w:r w:rsidRPr="001411CD">
        <w:rPr>
          <w:rFonts w:ascii="Arial" w:hAnsi="Arial" w:cs="Arial"/>
          <w:b/>
          <w:color w:val="272627"/>
        </w:rPr>
        <w:t>L</w:t>
      </w:r>
      <w:r w:rsidR="00952CF5" w:rsidRPr="001411CD">
        <w:rPr>
          <w:rFonts w:ascii="Arial" w:hAnsi="Arial" w:cs="Arial"/>
          <w:b/>
          <w:color w:val="272627"/>
        </w:rPr>
        <w:t xml:space="preserve">’aide-mémoire </w:t>
      </w:r>
      <w:r w:rsidRPr="001411CD">
        <w:rPr>
          <w:rFonts w:ascii="Arial" w:hAnsi="Arial" w:cs="Arial"/>
          <w:b/>
          <w:color w:val="272627"/>
        </w:rPr>
        <w:t>de la mission</w:t>
      </w:r>
    </w:p>
    <w:p w:rsidR="00852C01" w:rsidRPr="001411CD" w:rsidRDefault="00852C01" w:rsidP="00852C01">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Dans ce rapport, le</w:t>
      </w:r>
      <w:r w:rsidR="006A1418" w:rsidRPr="001411CD">
        <w:rPr>
          <w:rFonts w:ascii="Arial" w:hAnsi="Arial" w:cs="Arial"/>
          <w:color w:val="272627"/>
        </w:rPr>
        <w:t>s</w:t>
      </w:r>
      <w:r w:rsidRPr="001411CD">
        <w:rPr>
          <w:rFonts w:ascii="Arial" w:hAnsi="Arial" w:cs="Arial"/>
          <w:color w:val="272627"/>
        </w:rPr>
        <w:t xml:space="preserve"> consultant</w:t>
      </w:r>
      <w:r w:rsidR="006A1418" w:rsidRPr="001411CD">
        <w:rPr>
          <w:rFonts w:ascii="Arial" w:hAnsi="Arial" w:cs="Arial"/>
          <w:color w:val="272627"/>
        </w:rPr>
        <w:t>s</w:t>
      </w:r>
      <w:r w:rsidRPr="001411CD">
        <w:rPr>
          <w:rFonts w:ascii="Arial" w:hAnsi="Arial" w:cs="Arial"/>
          <w:color w:val="272627"/>
        </w:rPr>
        <w:t xml:space="preserve"> fer</w:t>
      </w:r>
      <w:r w:rsidR="006A1418" w:rsidRPr="001411CD">
        <w:rPr>
          <w:rFonts w:ascii="Arial" w:hAnsi="Arial" w:cs="Arial"/>
          <w:color w:val="272627"/>
        </w:rPr>
        <w:t>ont</w:t>
      </w:r>
      <w:r w:rsidR="00E8141A" w:rsidRPr="001411CD">
        <w:rPr>
          <w:rFonts w:ascii="Arial" w:hAnsi="Arial" w:cs="Arial"/>
          <w:color w:val="272627"/>
        </w:rPr>
        <w:t xml:space="preserve"> </w:t>
      </w:r>
      <w:r w:rsidR="00952CF5" w:rsidRPr="001411CD">
        <w:rPr>
          <w:rFonts w:ascii="Arial" w:hAnsi="Arial" w:cs="Arial"/>
          <w:color w:val="272627"/>
        </w:rPr>
        <w:t xml:space="preserve">un sommaire des conclusions clés et recommandations de la mission qui sera soumis au Groupe conjoint de référence PNUD-Gouvernement et au Représentant Résident du PNUD au moins deux (02) jours avant la réunion de débriefing sur </w:t>
      </w:r>
      <w:r w:rsidR="00952CF5" w:rsidRPr="001411CD">
        <w:rPr>
          <w:rFonts w:ascii="Arial" w:hAnsi="Arial" w:cs="Arial"/>
          <w:color w:val="272627"/>
        </w:rPr>
        <w:lastRenderedPageBreak/>
        <w:t xml:space="preserve">place de la mission. Ce rapport fera une </w:t>
      </w:r>
      <w:r w:rsidRPr="001411CD">
        <w:rPr>
          <w:rFonts w:ascii="Arial" w:hAnsi="Arial" w:cs="Arial"/>
          <w:color w:val="272627"/>
        </w:rPr>
        <w:t xml:space="preserve">synthèse des données collectées sur le terrain en les situant dans le temps et selon la </w:t>
      </w:r>
      <w:r w:rsidR="00E8141A" w:rsidRPr="001411CD">
        <w:rPr>
          <w:rFonts w:ascii="Arial" w:hAnsi="Arial" w:cs="Arial"/>
          <w:color w:val="272627"/>
        </w:rPr>
        <w:t>responsabilité ;</w:t>
      </w:r>
      <w:r w:rsidRPr="001411CD">
        <w:rPr>
          <w:rFonts w:ascii="Arial" w:hAnsi="Arial" w:cs="Arial"/>
          <w:color w:val="272627"/>
        </w:rPr>
        <w:t xml:space="preserve"> l’état des lieux des Centres du projet, l’état des exploitations de l’échantillonnage des jeunes entrepreneurs, l’impact des centres PPEA sur les zones d’implantation, etc. </w:t>
      </w:r>
    </w:p>
    <w:p w:rsidR="00852C01" w:rsidRPr="001411CD" w:rsidRDefault="00852C01" w:rsidP="00852C01">
      <w:pPr>
        <w:autoSpaceDE w:val="0"/>
        <w:autoSpaceDN w:val="0"/>
        <w:adjustRightInd w:val="0"/>
        <w:spacing w:after="0" w:line="240" w:lineRule="auto"/>
        <w:jc w:val="both"/>
        <w:rPr>
          <w:rFonts w:ascii="Arial" w:hAnsi="Arial" w:cs="Arial"/>
          <w:color w:val="272627"/>
        </w:rPr>
      </w:pPr>
    </w:p>
    <w:p w:rsidR="00852C01" w:rsidRPr="001411CD" w:rsidRDefault="00852C01" w:rsidP="00852C01">
      <w:pPr>
        <w:numPr>
          <w:ilvl w:val="0"/>
          <w:numId w:val="2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T3 = T2+ 5 jours (T0+25jours): </w:t>
      </w:r>
      <w:r w:rsidRPr="001411CD">
        <w:rPr>
          <w:rFonts w:ascii="Arial" w:hAnsi="Arial" w:cs="Arial"/>
          <w:b/>
          <w:color w:val="272627"/>
        </w:rPr>
        <w:t>version provisoire du rapport final de la mission</w:t>
      </w:r>
      <w:r w:rsidRPr="001411CD">
        <w:rPr>
          <w:rFonts w:ascii="Arial" w:hAnsi="Arial" w:cs="Arial"/>
          <w:color w:val="272627"/>
        </w:rPr>
        <w:t>:</w:t>
      </w:r>
    </w:p>
    <w:p w:rsidR="00FF6E56" w:rsidRPr="001411CD" w:rsidRDefault="00FF6E56" w:rsidP="00FF6E56">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La version provisoire du rapport final prendra en compte les commentaires reçus sur l’Aide-Mémoire. </w:t>
      </w:r>
    </w:p>
    <w:p w:rsidR="00852C01" w:rsidRPr="001411CD" w:rsidRDefault="00852C01" w:rsidP="00852C01">
      <w:pPr>
        <w:autoSpaceDE w:val="0"/>
        <w:autoSpaceDN w:val="0"/>
        <w:adjustRightInd w:val="0"/>
        <w:spacing w:after="0" w:line="240" w:lineRule="auto"/>
        <w:jc w:val="both"/>
        <w:rPr>
          <w:rFonts w:ascii="Arial" w:hAnsi="Arial" w:cs="Arial"/>
          <w:color w:val="272627"/>
        </w:rPr>
      </w:pPr>
    </w:p>
    <w:p w:rsidR="00DC0A39" w:rsidRPr="001411CD" w:rsidRDefault="00852C01" w:rsidP="003A3A8B">
      <w:pPr>
        <w:numPr>
          <w:ilvl w:val="0"/>
          <w:numId w:val="2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T4 = T3+5 jours mois (T0+30 jours): </w:t>
      </w:r>
      <w:r w:rsidRPr="001411CD">
        <w:rPr>
          <w:rFonts w:ascii="Arial" w:hAnsi="Arial" w:cs="Arial"/>
          <w:b/>
          <w:color w:val="272627"/>
        </w:rPr>
        <w:t>version définitive du rapport global de la mission</w:t>
      </w:r>
      <w:r w:rsidRPr="001411CD">
        <w:rPr>
          <w:rFonts w:ascii="Arial" w:hAnsi="Arial" w:cs="Arial"/>
          <w:color w:val="272627"/>
        </w:rPr>
        <w:t xml:space="preserve"> </w:t>
      </w:r>
      <w:proofErr w:type="gramStart"/>
      <w:r w:rsidRPr="001411CD">
        <w:rPr>
          <w:rFonts w:ascii="Arial" w:hAnsi="Arial" w:cs="Arial"/>
          <w:color w:val="272627"/>
        </w:rPr>
        <w:t>:Ce</w:t>
      </w:r>
      <w:proofErr w:type="gramEnd"/>
      <w:r w:rsidRPr="001411CD">
        <w:rPr>
          <w:rFonts w:ascii="Arial" w:hAnsi="Arial" w:cs="Arial"/>
          <w:color w:val="272627"/>
        </w:rPr>
        <w:t xml:space="preserve"> rapport reprend et corrige le rapport précédent, en tenant compte des observations et recommandations du comité de validation (Partie nationale, PNUD et Songhaï).</w:t>
      </w:r>
    </w:p>
    <w:p w:rsidR="00897F6D" w:rsidRPr="001411CD" w:rsidRDefault="00897F6D" w:rsidP="003A3A8B">
      <w:pPr>
        <w:autoSpaceDE w:val="0"/>
        <w:autoSpaceDN w:val="0"/>
        <w:adjustRightInd w:val="0"/>
        <w:spacing w:after="0" w:line="240" w:lineRule="auto"/>
        <w:jc w:val="both"/>
        <w:rPr>
          <w:rFonts w:ascii="Arial" w:hAnsi="Arial" w:cs="Arial"/>
          <w:color w:val="272627"/>
        </w:rPr>
      </w:pPr>
    </w:p>
    <w:p w:rsidR="00DC0A39" w:rsidRPr="001411CD" w:rsidRDefault="00897F6D" w:rsidP="003A3A8B">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La durée totale de la mission sera de trente (30) jours calendaires. </w:t>
      </w:r>
    </w:p>
    <w:p w:rsidR="003A3A8B" w:rsidRPr="001411CD" w:rsidRDefault="003A3A8B" w:rsidP="00945B72">
      <w:pPr>
        <w:autoSpaceDE w:val="0"/>
        <w:autoSpaceDN w:val="0"/>
        <w:adjustRightInd w:val="0"/>
        <w:spacing w:after="0" w:line="240" w:lineRule="auto"/>
        <w:jc w:val="both"/>
        <w:rPr>
          <w:rFonts w:ascii="Arial" w:hAnsi="Arial" w:cs="Arial"/>
          <w:color w:val="272627"/>
        </w:rPr>
      </w:pPr>
    </w:p>
    <w:p w:rsidR="00945B72" w:rsidRPr="001411CD" w:rsidRDefault="002D1DB1" w:rsidP="00945B72">
      <w:p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8</w:t>
      </w:r>
      <w:r w:rsidR="00945B72" w:rsidRPr="001411CD">
        <w:rPr>
          <w:rFonts w:ascii="Arial" w:hAnsi="Arial" w:cs="Arial"/>
          <w:b/>
          <w:bCs/>
          <w:color w:val="3A5EA9"/>
        </w:rPr>
        <w:t>. MÉTHODOLOGIE</w:t>
      </w:r>
      <w:r w:rsidR="004C4233" w:rsidRPr="001411CD">
        <w:rPr>
          <w:rFonts w:ascii="Arial" w:hAnsi="Arial" w:cs="Arial"/>
          <w:b/>
          <w:bCs/>
          <w:color w:val="3A5EA9"/>
        </w:rPr>
        <w:t xml:space="preserve"> DE L’EVALUATION</w:t>
      </w:r>
    </w:p>
    <w:p w:rsidR="0074071E" w:rsidRPr="001411CD" w:rsidRDefault="0074071E" w:rsidP="00945B72">
      <w:pPr>
        <w:autoSpaceDE w:val="0"/>
        <w:autoSpaceDN w:val="0"/>
        <w:adjustRightInd w:val="0"/>
        <w:spacing w:after="0" w:line="240" w:lineRule="auto"/>
        <w:jc w:val="both"/>
        <w:rPr>
          <w:rFonts w:ascii="Arial" w:hAnsi="Arial" w:cs="Arial"/>
          <w:b/>
          <w:bCs/>
          <w:color w:val="3A5EA9"/>
        </w:rPr>
      </w:pPr>
    </w:p>
    <w:p w:rsidR="002D1DB1" w:rsidRPr="001411CD" w:rsidRDefault="002D1DB1" w:rsidP="002D1DB1">
      <w:pPr>
        <w:autoSpaceDE w:val="0"/>
        <w:autoSpaceDN w:val="0"/>
        <w:adjustRightInd w:val="0"/>
        <w:spacing w:after="0" w:line="240" w:lineRule="auto"/>
        <w:jc w:val="both"/>
        <w:rPr>
          <w:rFonts w:ascii="Arial" w:hAnsi="Arial" w:cs="Arial"/>
          <w:b/>
          <w:color w:val="272627"/>
        </w:rPr>
      </w:pPr>
      <w:r w:rsidRPr="001411CD">
        <w:rPr>
          <w:rFonts w:ascii="Arial" w:hAnsi="Arial" w:cs="Arial"/>
          <w:b/>
          <w:color w:val="272627"/>
        </w:rPr>
        <w:t>8.1</w:t>
      </w:r>
      <w:r w:rsidR="0016477C" w:rsidRPr="001411CD">
        <w:rPr>
          <w:rFonts w:ascii="Arial" w:hAnsi="Arial" w:cs="Arial"/>
          <w:b/>
          <w:color w:val="272627"/>
        </w:rPr>
        <w:t xml:space="preserve">. </w:t>
      </w:r>
      <w:r w:rsidRPr="001411CD">
        <w:rPr>
          <w:rFonts w:ascii="Arial" w:hAnsi="Arial" w:cs="Arial"/>
          <w:b/>
          <w:color w:val="272627"/>
        </w:rPr>
        <w:t xml:space="preserve"> Approche de l’évaluation</w:t>
      </w:r>
    </w:p>
    <w:p w:rsidR="002D1DB1" w:rsidRPr="001411CD" w:rsidRDefault="002D1DB1" w:rsidP="002D1DB1">
      <w:pPr>
        <w:autoSpaceDE w:val="0"/>
        <w:autoSpaceDN w:val="0"/>
        <w:adjustRightInd w:val="0"/>
        <w:spacing w:after="0" w:line="240" w:lineRule="auto"/>
        <w:jc w:val="both"/>
        <w:rPr>
          <w:rFonts w:ascii="Arial" w:hAnsi="Arial" w:cs="Arial"/>
          <w:color w:val="272627"/>
        </w:rPr>
      </w:pPr>
    </w:p>
    <w:p w:rsidR="002D1DB1" w:rsidRPr="001411CD" w:rsidRDefault="002D1DB1" w:rsidP="002D1DB1">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Les évaluateurs doivent adopter une approche participative et consultative garantissant une collaboration étroite du bureau de pays du PNUD, l’équipe chargée du projet, et le</w:t>
      </w:r>
      <w:r w:rsidR="009F4CB8" w:rsidRPr="001411CD">
        <w:rPr>
          <w:rFonts w:ascii="Arial" w:hAnsi="Arial" w:cs="Arial"/>
          <w:color w:val="272627"/>
        </w:rPr>
        <w:t>s principales parties prenantes, en particulier les parties r</w:t>
      </w:r>
      <w:r w:rsidRPr="001411CD">
        <w:rPr>
          <w:rFonts w:ascii="Arial" w:hAnsi="Arial" w:cs="Arial"/>
          <w:color w:val="272627"/>
        </w:rPr>
        <w:t xml:space="preserve">esponsables du projet. Les évaluateurs </w:t>
      </w:r>
      <w:r w:rsidR="004C4233" w:rsidRPr="001411CD">
        <w:rPr>
          <w:rFonts w:ascii="Arial" w:hAnsi="Arial" w:cs="Arial"/>
          <w:color w:val="272627"/>
        </w:rPr>
        <w:t xml:space="preserve">doivent </w:t>
      </w:r>
      <w:r w:rsidRPr="001411CD">
        <w:rPr>
          <w:rFonts w:ascii="Arial" w:hAnsi="Arial" w:cs="Arial"/>
          <w:color w:val="272627"/>
        </w:rPr>
        <w:t xml:space="preserve">effectuer une mission sur le terrain dans les zones d’intervention du PPEA. </w:t>
      </w:r>
      <w:r w:rsidR="004C4233" w:rsidRPr="001411CD">
        <w:rPr>
          <w:rFonts w:ascii="Arial" w:hAnsi="Arial" w:cs="Arial"/>
          <w:color w:val="272627"/>
        </w:rPr>
        <w:t xml:space="preserve">Ils visiteront </w:t>
      </w:r>
      <w:r w:rsidR="009F4CB8" w:rsidRPr="001411CD">
        <w:rPr>
          <w:rFonts w:ascii="Arial" w:hAnsi="Arial" w:cs="Arial"/>
          <w:color w:val="272627"/>
        </w:rPr>
        <w:t xml:space="preserve">également les unités de jeunes formés et installés. </w:t>
      </w:r>
    </w:p>
    <w:p w:rsidR="004D7C6A" w:rsidRPr="001411CD" w:rsidRDefault="004D7C6A" w:rsidP="002D1DB1">
      <w:pPr>
        <w:autoSpaceDE w:val="0"/>
        <w:autoSpaceDN w:val="0"/>
        <w:adjustRightInd w:val="0"/>
        <w:spacing w:after="0" w:line="240" w:lineRule="auto"/>
        <w:jc w:val="both"/>
        <w:rPr>
          <w:rFonts w:ascii="Arial" w:hAnsi="Arial" w:cs="Arial"/>
          <w:color w:val="272627"/>
        </w:rPr>
      </w:pPr>
    </w:p>
    <w:p w:rsidR="004D7C6A" w:rsidRPr="001411CD" w:rsidRDefault="004D7C6A" w:rsidP="002D1DB1">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L’évaluation portera sur la cohérence de la théorie de changement du projet, ses progrès vers les résultats attendus, l’influence des facteurs externes sur l’atteinte des résultats et les enseignements tirés à ce jour la conception et la mise en œuvre du projet.</w:t>
      </w:r>
    </w:p>
    <w:p w:rsidR="004D7C6A" w:rsidRPr="001411CD" w:rsidRDefault="004D7C6A" w:rsidP="002D1DB1">
      <w:pPr>
        <w:autoSpaceDE w:val="0"/>
        <w:autoSpaceDN w:val="0"/>
        <w:adjustRightInd w:val="0"/>
        <w:spacing w:after="0" w:line="240" w:lineRule="auto"/>
        <w:jc w:val="both"/>
        <w:rPr>
          <w:rFonts w:ascii="Arial" w:hAnsi="Arial" w:cs="Arial"/>
          <w:color w:val="272627"/>
        </w:rPr>
      </w:pPr>
    </w:p>
    <w:p w:rsidR="0016477C" w:rsidRPr="001411CD" w:rsidRDefault="0016477C" w:rsidP="0016477C">
      <w:pPr>
        <w:autoSpaceDE w:val="0"/>
        <w:autoSpaceDN w:val="0"/>
        <w:adjustRightInd w:val="0"/>
        <w:spacing w:after="0" w:line="240" w:lineRule="auto"/>
        <w:jc w:val="both"/>
        <w:rPr>
          <w:rFonts w:ascii="Arial" w:hAnsi="Arial" w:cs="Arial"/>
          <w:b/>
          <w:color w:val="272627"/>
        </w:rPr>
      </w:pPr>
      <w:r w:rsidRPr="001411CD">
        <w:rPr>
          <w:rFonts w:ascii="Arial" w:hAnsi="Arial" w:cs="Arial"/>
          <w:b/>
          <w:color w:val="272627"/>
        </w:rPr>
        <w:t>8.2.  Méthodologie</w:t>
      </w:r>
    </w:p>
    <w:p w:rsidR="0016477C" w:rsidRPr="001411CD" w:rsidRDefault="0016477C" w:rsidP="002D1DB1">
      <w:pPr>
        <w:autoSpaceDE w:val="0"/>
        <w:autoSpaceDN w:val="0"/>
        <w:adjustRightInd w:val="0"/>
        <w:spacing w:after="0" w:line="240" w:lineRule="auto"/>
        <w:jc w:val="both"/>
        <w:rPr>
          <w:rFonts w:ascii="Arial" w:hAnsi="Arial" w:cs="Arial"/>
          <w:color w:val="272627"/>
        </w:rPr>
      </w:pPr>
    </w:p>
    <w:p w:rsidR="004D7C6A" w:rsidRPr="001411CD" w:rsidRDefault="004D7C6A" w:rsidP="0016477C">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 méthodologie utilisée pour cette évaluation finale est basée sur la méthode d’évaluation du PNUD telle que définie dans la politique d’évaluation du PNUD et décrite dans le Guide du PNUD en matière de Planification, du Suivi et de l’Evaluation axés sur les Résultats de Développement</w:t>
      </w:r>
      <w:r w:rsidR="00214A50" w:rsidRPr="001411CD">
        <w:rPr>
          <w:rFonts w:ascii="Arial" w:hAnsi="Arial" w:cs="Arial"/>
          <w:color w:val="272627"/>
        </w:rPr>
        <w:t xml:space="preserve">. </w:t>
      </w:r>
    </w:p>
    <w:p w:rsidR="004D7C6A" w:rsidRPr="001411CD" w:rsidRDefault="004D7C6A" w:rsidP="0016477C">
      <w:pPr>
        <w:autoSpaceDE w:val="0"/>
        <w:autoSpaceDN w:val="0"/>
        <w:adjustRightInd w:val="0"/>
        <w:spacing w:after="0" w:line="240" w:lineRule="auto"/>
        <w:jc w:val="both"/>
        <w:rPr>
          <w:rFonts w:ascii="Arial" w:hAnsi="Arial" w:cs="Arial"/>
          <w:color w:val="272627"/>
        </w:rPr>
      </w:pPr>
    </w:p>
    <w:p w:rsidR="0016477C" w:rsidRPr="001411CD" w:rsidRDefault="00BD5DB1" w:rsidP="0016477C">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Cinq</w:t>
      </w:r>
      <w:r w:rsidR="00214A50" w:rsidRPr="001411CD">
        <w:rPr>
          <w:rFonts w:ascii="Arial" w:hAnsi="Arial" w:cs="Arial"/>
          <w:color w:val="272627"/>
        </w:rPr>
        <w:t xml:space="preserve"> étapes majeures sont </w:t>
      </w:r>
      <w:r w:rsidR="0016477C" w:rsidRPr="001411CD">
        <w:rPr>
          <w:rFonts w:ascii="Arial" w:hAnsi="Arial" w:cs="Arial"/>
          <w:color w:val="272627"/>
        </w:rPr>
        <w:t>demandées dans la conduite du travail :</w:t>
      </w:r>
    </w:p>
    <w:p w:rsidR="00214A50" w:rsidRPr="001411CD" w:rsidRDefault="00214A50" w:rsidP="0016477C">
      <w:pPr>
        <w:autoSpaceDE w:val="0"/>
        <w:autoSpaceDN w:val="0"/>
        <w:adjustRightInd w:val="0"/>
        <w:spacing w:after="0" w:line="240" w:lineRule="auto"/>
        <w:jc w:val="both"/>
        <w:rPr>
          <w:rFonts w:ascii="Arial" w:hAnsi="Arial" w:cs="Arial"/>
          <w:color w:val="272627"/>
        </w:rPr>
      </w:pPr>
    </w:p>
    <w:p w:rsidR="00BB58DA" w:rsidRPr="001411CD" w:rsidRDefault="00BB58DA" w:rsidP="0016477C">
      <w:pPr>
        <w:autoSpaceDE w:val="0"/>
        <w:autoSpaceDN w:val="0"/>
        <w:adjustRightInd w:val="0"/>
        <w:spacing w:after="0" w:line="240" w:lineRule="auto"/>
        <w:jc w:val="both"/>
        <w:rPr>
          <w:rFonts w:ascii="Arial" w:hAnsi="Arial" w:cs="Arial"/>
          <w:color w:val="272627"/>
        </w:rPr>
      </w:pPr>
    </w:p>
    <w:p w:rsidR="000F3A8F" w:rsidRPr="001411CD" w:rsidRDefault="00214A50" w:rsidP="0016477C">
      <w:pPr>
        <w:numPr>
          <w:ilvl w:val="0"/>
          <w:numId w:val="3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u w:val="single"/>
        </w:rPr>
        <w:t>Utilisation du système de suivi et d’évaluation du projet et exploitation des rapports et documents existants</w:t>
      </w:r>
      <w:r w:rsidR="00E8141A" w:rsidRPr="001411CD">
        <w:rPr>
          <w:rFonts w:ascii="Arial" w:hAnsi="Arial" w:cs="Arial"/>
          <w:color w:val="272627"/>
          <w:u w:val="single"/>
        </w:rPr>
        <w:t> :</w:t>
      </w:r>
      <w:r w:rsidR="00E8141A" w:rsidRPr="001411CD">
        <w:rPr>
          <w:rFonts w:ascii="Arial" w:hAnsi="Arial" w:cs="Arial"/>
          <w:color w:val="272627"/>
        </w:rPr>
        <w:t xml:space="preserve"> Utilisation</w:t>
      </w:r>
      <w:r w:rsidRPr="001411CD">
        <w:rPr>
          <w:rFonts w:ascii="Arial" w:hAnsi="Arial" w:cs="Arial"/>
          <w:color w:val="272627"/>
        </w:rPr>
        <w:t xml:space="preserve"> des indicateurs de performance pour mesurer le progrès, particulièrement des résultats actuels face aux résultats escomptés. Examen des rapports d’activité et de performance ainsi que des analyses disponibles</w:t>
      </w:r>
      <w:r w:rsidR="000F3A8F" w:rsidRPr="001411CD">
        <w:rPr>
          <w:rFonts w:ascii="Arial" w:hAnsi="Arial" w:cs="Arial"/>
          <w:color w:val="272627"/>
        </w:rPr>
        <w:t>. Les évaluateurs passeront en revue toutes les sources pertinentes d’informations, telles que le descriptif du projet et sa version révisée, les rapports de progrès, les révisions budgétaires du projet, le rapport d’état des lieux des sites PPEA, les comptes rendus de revues trimestrielles et annuelles, les rapports sur l’état d’avancement, les documents stratégiques et juridiques nationaux et tous les autres documents qu’ils jugerons utiles pour cette évaluation fondée sur les faits.</w:t>
      </w:r>
    </w:p>
    <w:p w:rsidR="000F3A8F" w:rsidRPr="001411CD" w:rsidRDefault="000F3A8F" w:rsidP="0016477C">
      <w:pPr>
        <w:numPr>
          <w:ilvl w:val="0"/>
          <w:numId w:val="3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u w:val="single"/>
        </w:rPr>
        <w:t>Observation sur le terrain et réalisation d’enquête </w:t>
      </w:r>
      <w:r w:rsidRPr="001411CD">
        <w:rPr>
          <w:rFonts w:ascii="Arial" w:hAnsi="Arial" w:cs="Arial"/>
          <w:color w:val="272627"/>
        </w:rPr>
        <w:t xml:space="preserve">: les évaluateurs devront faire des visites de terrain afin d’enregistrer les plus pertinentes informations </w:t>
      </w:r>
      <w:r w:rsidR="00986B1F" w:rsidRPr="001411CD">
        <w:rPr>
          <w:rFonts w:ascii="Arial" w:hAnsi="Arial" w:cs="Arial"/>
          <w:color w:val="272627"/>
        </w:rPr>
        <w:t xml:space="preserve">sur le fonctionnement du projet et de ses activités en cours et ses processus. La mission pourra également effectuer au besoin des enquêtes et se faire aider notamment par </w:t>
      </w:r>
      <w:r w:rsidR="00986B1F" w:rsidRPr="001411CD">
        <w:rPr>
          <w:rFonts w:ascii="Arial" w:hAnsi="Arial" w:cs="Arial"/>
          <w:color w:val="272627"/>
        </w:rPr>
        <w:lastRenderedPageBreak/>
        <w:t xml:space="preserve">des agents enquêteurs pour le respect du chronogramme et compléter les informations non disponibles au niveau des rapports précédemment étudiés. </w:t>
      </w:r>
    </w:p>
    <w:p w:rsidR="00986B1F" w:rsidRPr="001411CD" w:rsidRDefault="00986B1F" w:rsidP="0016477C">
      <w:pPr>
        <w:numPr>
          <w:ilvl w:val="0"/>
          <w:numId w:val="3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u w:val="single"/>
        </w:rPr>
        <w:t>Entretien de groupes et individuels </w:t>
      </w:r>
      <w:r w:rsidRPr="001411CD">
        <w:rPr>
          <w:rFonts w:ascii="Arial" w:hAnsi="Arial" w:cs="Arial"/>
          <w:color w:val="272627"/>
        </w:rPr>
        <w:t>: Les entretiens auront lieu au minimum avec les organisations et les particuliers suivants :</w:t>
      </w:r>
    </w:p>
    <w:p w:rsidR="00986B1F" w:rsidRPr="001411CD" w:rsidRDefault="00986B1F" w:rsidP="00986B1F">
      <w:pPr>
        <w:pStyle w:val="Paragraphedeliste"/>
        <w:numPr>
          <w:ilvl w:val="0"/>
          <w:numId w:val="33"/>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Administrations de tutelle : Ministère du développement (</w:t>
      </w:r>
      <w:proofErr w:type="spellStart"/>
      <w:r w:rsidRPr="001411CD">
        <w:rPr>
          <w:rFonts w:ascii="Arial" w:hAnsi="Arial" w:cs="Arial"/>
          <w:color w:val="272627"/>
        </w:rPr>
        <w:t>CePED</w:t>
      </w:r>
      <w:proofErr w:type="spellEnd"/>
      <w:r w:rsidRPr="001411CD">
        <w:rPr>
          <w:rFonts w:ascii="Arial" w:hAnsi="Arial" w:cs="Arial"/>
          <w:color w:val="272627"/>
        </w:rPr>
        <w:t>);</w:t>
      </w:r>
    </w:p>
    <w:p w:rsidR="00986B1F" w:rsidRPr="001411CD" w:rsidRDefault="00986B1F" w:rsidP="00986B1F">
      <w:pPr>
        <w:pStyle w:val="Paragraphedeliste"/>
        <w:numPr>
          <w:ilvl w:val="0"/>
          <w:numId w:val="33"/>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Bureau Pays du PNUD : (Unité Croissance Inclusive) ;</w:t>
      </w:r>
    </w:p>
    <w:p w:rsidR="00986B1F" w:rsidRPr="001411CD" w:rsidRDefault="00986B1F" w:rsidP="00986B1F">
      <w:pPr>
        <w:pStyle w:val="Paragraphedeliste"/>
        <w:numPr>
          <w:ilvl w:val="0"/>
          <w:numId w:val="33"/>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Equipe du Projet basé au </w:t>
      </w:r>
      <w:proofErr w:type="spellStart"/>
      <w:r w:rsidRPr="001411CD">
        <w:rPr>
          <w:rFonts w:ascii="Arial" w:hAnsi="Arial" w:cs="Arial"/>
          <w:color w:val="272627"/>
        </w:rPr>
        <w:t>CePED</w:t>
      </w:r>
      <w:proofErr w:type="spellEnd"/>
      <w:r w:rsidRPr="001411CD">
        <w:rPr>
          <w:rFonts w:ascii="Arial" w:hAnsi="Arial" w:cs="Arial"/>
          <w:color w:val="272627"/>
        </w:rPr>
        <w:t> ;</w:t>
      </w:r>
    </w:p>
    <w:p w:rsidR="00986B1F" w:rsidRPr="001411CD" w:rsidRDefault="00986B1F" w:rsidP="00986B1F">
      <w:pPr>
        <w:pStyle w:val="Paragraphedeliste"/>
        <w:numPr>
          <w:ilvl w:val="0"/>
          <w:numId w:val="33"/>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Partenaire Technique (le Centre Régional Songhaï)</w:t>
      </w:r>
    </w:p>
    <w:p w:rsidR="00986B1F" w:rsidRPr="001411CD" w:rsidRDefault="00986B1F" w:rsidP="00BD5DB1">
      <w:pPr>
        <w:pStyle w:val="Paragraphedeliste"/>
        <w:numPr>
          <w:ilvl w:val="0"/>
          <w:numId w:val="33"/>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Quelques bénéficiaires (entrepreneurs agricoles installés)</w:t>
      </w:r>
    </w:p>
    <w:p w:rsidR="00986B1F" w:rsidRPr="001411CD" w:rsidRDefault="00986B1F" w:rsidP="00BD5DB1">
      <w:pPr>
        <w:pStyle w:val="Paragraphedeliste"/>
        <w:numPr>
          <w:ilvl w:val="0"/>
          <w:numId w:val="33"/>
        </w:numPr>
        <w:autoSpaceDE w:val="0"/>
        <w:autoSpaceDN w:val="0"/>
        <w:adjustRightInd w:val="0"/>
        <w:spacing w:after="0" w:line="240" w:lineRule="auto"/>
        <w:jc w:val="both"/>
        <w:rPr>
          <w:rFonts w:ascii="Arial" w:hAnsi="Arial" w:cs="Arial"/>
          <w:color w:val="272627"/>
        </w:rPr>
      </w:pPr>
      <w:r w:rsidRPr="001411CD">
        <w:rPr>
          <w:rFonts w:ascii="Arial" w:hAnsi="Arial" w:cs="Arial"/>
          <w:iCs/>
          <w:color w:val="272627"/>
        </w:rPr>
        <w:t xml:space="preserve">Organes consultatifs et </w:t>
      </w:r>
      <w:r w:rsidRPr="001411CD">
        <w:rPr>
          <w:rFonts w:ascii="Arial" w:hAnsi="Arial" w:cs="Arial"/>
          <w:color w:val="272627"/>
        </w:rPr>
        <w:t xml:space="preserve">communautés bénéficiaires au niveau locale </w:t>
      </w:r>
      <w:r w:rsidRPr="001411CD">
        <w:rPr>
          <w:rFonts w:ascii="Arial" w:hAnsi="Arial" w:cs="Arial"/>
          <w:iCs/>
          <w:color w:val="272627"/>
        </w:rPr>
        <w:t>: Quelques entrepreneurs agricoles installés, les mairies et les Business Promotion Center, les membres du COPS et l’ANPE.</w:t>
      </w:r>
    </w:p>
    <w:p w:rsidR="0016477C" w:rsidRPr="001411CD" w:rsidRDefault="0016477C" w:rsidP="000F3A8F">
      <w:pPr>
        <w:numPr>
          <w:ilvl w:val="0"/>
          <w:numId w:val="3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u w:val="single"/>
        </w:rPr>
        <w:t>Organisation de séances de cadrage de la mission :</w:t>
      </w:r>
      <w:r w:rsidRPr="001411CD">
        <w:rPr>
          <w:rFonts w:ascii="Arial" w:hAnsi="Arial" w:cs="Arial"/>
          <w:color w:val="272627"/>
        </w:rPr>
        <w:t xml:space="preserve"> Les commanditaires organiseront des séances d’orientation pour le</w:t>
      </w:r>
      <w:r w:rsidR="00202DB7" w:rsidRPr="001411CD">
        <w:rPr>
          <w:rFonts w:ascii="Arial" w:hAnsi="Arial" w:cs="Arial"/>
          <w:color w:val="272627"/>
        </w:rPr>
        <w:t>s</w:t>
      </w:r>
      <w:r w:rsidRPr="001411CD">
        <w:rPr>
          <w:rFonts w:ascii="Arial" w:hAnsi="Arial" w:cs="Arial"/>
          <w:color w:val="272627"/>
        </w:rPr>
        <w:t xml:space="preserve"> Consultant</w:t>
      </w:r>
      <w:r w:rsidR="00202DB7" w:rsidRPr="001411CD">
        <w:rPr>
          <w:rFonts w:ascii="Arial" w:hAnsi="Arial" w:cs="Arial"/>
          <w:color w:val="272627"/>
        </w:rPr>
        <w:t>s</w:t>
      </w:r>
      <w:r w:rsidRPr="001411CD">
        <w:rPr>
          <w:rFonts w:ascii="Arial" w:hAnsi="Arial" w:cs="Arial"/>
          <w:color w:val="272627"/>
        </w:rPr>
        <w:t xml:space="preserve"> afin de l</w:t>
      </w:r>
      <w:r w:rsidR="00202DB7" w:rsidRPr="001411CD">
        <w:rPr>
          <w:rFonts w:ascii="Arial" w:hAnsi="Arial" w:cs="Arial"/>
          <w:color w:val="272627"/>
        </w:rPr>
        <w:t>eur</w:t>
      </w:r>
      <w:r w:rsidRPr="001411CD">
        <w:rPr>
          <w:rFonts w:ascii="Arial" w:hAnsi="Arial" w:cs="Arial"/>
          <w:color w:val="272627"/>
        </w:rPr>
        <w:t xml:space="preserve"> faciliter une meilleure appropriation du contexte de l’étude et surtout des attentes vis-à-vis du travail ;</w:t>
      </w:r>
    </w:p>
    <w:p w:rsidR="0016477C" w:rsidRPr="001411CD" w:rsidRDefault="0016477C" w:rsidP="0016477C">
      <w:pPr>
        <w:numPr>
          <w:ilvl w:val="0"/>
          <w:numId w:val="3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Le traitement des données, l’élaboration des synthèses et recommandations en un document.</w:t>
      </w:r>
    </w:p>
    <w:p w:rsidR="00BB58DA" w:rsidRPr="001411CD" w:rsidRDefault="00BB58DA" w:rsidP="0016477C">
      <w:pPr>
        <w:autoSpaceDE w:val="0"/>
        <w:autoSpaceDN w:val="0"/>
        <w:adjustRightInd w:val="0"/>
        <w:spacing w:after="0" w:line="240" w:lineRule="auto"/>
        <w:jc w:val="both"/>
        <w:rPr>
          <w:rFonts w:ascii="Arial" w:hAnsi="Arial" w:cs="Arial"/>
          <w:color w:val="272627"/>
        </w:rPr>
      </w:pPr>
    </w:p>
    <w:p w:rsidR="00FC1AE2" w:rsidRPr="001411CD" w:rsidRDefault="0016477C" w:rsidP="0016477C">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 Direction Nationale du Projet assure toutes les facilitations à la mission d’évaluation en matière d’accès et de production des données nécessaires à l’évaluation.</w:t>
      </w:r>
    </w:p>
    <w:p w:rsidR="00FC1AE2" w:rsidRPr="001411CD" w:rsidRDefault="00FC1AE2" w:rsidP="00945B72">
      <w:pPr>
        <w:autoSpaceDE w:val="0"/>
        <w:autoSpaceDN w:val="0"/>
        <w:adjustRightInd w:val="0"/>
        <w:spacing w:after="0" w:line="240" w:lineRule="auto"/>
        <w:jc w:val="both"/>
        <w:rPr>
          <w:rFonts w:ascii="Arial" w:hAnsi="Arial" w:cs="Arial"/>
          <w:color w:val="272627"/>
        </w:rPr>
      </w:pPr>
    </w:p>
    <w:p w:rsidR="00945B72" w:rsidRPr="001411CD" w:rsidRDefault="00202DB7" w:rsidP="00945B72">
      <w:p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9</w:t>
      </w:r>
      <w:r w:rsidR="00945B72" w:rsidRPr="001411CD">
        <w:rPr>
          <w:rFonts w:ascii="Arial" w:hAnsi="Arial" w:cs="Arial"/>
          <w:b/>
          <w:bCs/>
          <w:color w:val="3A5EA9"/>
        </w:rPr>
        <w:t>. COMPOSITION DE L’ÉQUIPE D’ÉVALUATION</w:t>
      </w:r>
      <w:r w:rsidR="00742176">
        <w:rPr>
          <w:rFonts w:ascii="Arial" w:hAnsi="Arial" w:cs="Arial"/>
          <w:b/>
          <w:bCs/>
          <w:color w:val="3A5EA9"/>
        </w:rPr>
        <w:t xml:space="preserve"> </w:t>
      </w:r>
      <w:bookmarkStart w:id="0" w:name="_GoBack"/>
      <w:bookmarkEnd w:id="0"/>
      <w:r w:rsidR="00945B72" w:rsidRPr="001411CD">
        <w:rPr>
          <w:rFonts w:ascii="Arial" w:hAnsi="Arial" w:cs="Arial"/>
          <w:b/>
          <w:bCs/>
          <w:color w:val="3A5EA9"/>
        </w:rPr>
        <w:t>ET COMPÉTENCES REQUISES</w:t>
      </w:r>
    </w:p>
    <w:p w:rsidR="006E72A8" w:rsidRPr="001411CD" w:rsidRDefault="006E72A8" w:rsidP="00945B72">
      <w:pPr>
        <w:autoSpaceDE w:val="0"/>
        <w:autoSpaceDN w:val="0"/>
        <w:adjustRightInd w:val="0"/>
        <w:spacing w:after="0" w:line="240" w:lineRule="auto"/>
        <w:jc w:val="both"/>
        <w:rPr>
          <w:rFonts w:ascii="Arial" w:hAnsi="Arial" w:cs="Arial"/>
          <w:color w:val="272627"/>
        </w:rPr>
      </w:pPr>
    </w:p>
    <w:p w:rsidR="008F6F2A" w:rsidRPr="001411CD" w:rsidRDefault="008F6F2A" w:rsidP="00945B72">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L’évaluation finale de PPEA sera effectuée par une équipe de deux (02) </w:t>
      </w:r>
      <w:r w:rsidR="00E8141A" w:rsidRPr="001411CD">
        <w:rPr>
          <w:rFonts w:ascii="Arial" w:hAnsi="Arial" w:cs="Arial"/>
          <w:color w:val="272627"/>
        </w:rPr>
        <w:t>consultants :</w:t>
      </w:r>
      <w:r w:rsidR="00685787" w:rsidRPr="001411CD">
        <w:rPr>
          <w:rFonts w:ascii="Arial" w:hAnsi="Arial" w:cs="Arial"/>
          <w:color w:val="272627"/>
        </w:rPr>
        <w:t xml:space="preserve"> un consultant international </w:t>
      </w:r>
      <w:r w:rsidRPr="001411CD">
        <w:rPr>
          <w:rFonts w:ascii="Arial" w:hAnsi="Arial" w:cs="Arial"/>
          <w:color w:val="272627"/>
        </w:rPr>
        <w:t xml:space="preserve">chef d’équipe </w:t>
      </w:r>
      <w:r w:rsidR="00685787" w:rsidRPr="001411CD">
        <w:rPr>
          <w:rFonts w:ascii="Arial" w:hAnsi="Arial" w:cs="Arial"/>
          <w:color w:val="272627"/>
        </w:rPr>
        <w:t>(</w:t>
      </w:r>
      <w:r w:rsidR="00F63790" w:rsidRPr="001411CD">
        <w:rPr>
          <w:rFonts w:ascii="Arial" w:hAnsi="Arial" w:cs="Arial"/>
          <w:color w:val="272627"/>
        </w:rPr>
        <w:t>de préférence sexe féminin</w:t>
      </w:r>
      <w:r w:rsidR="00685787" w:rsidRPr="001411CD">
        <w:rPr>
          <w:rFonts w:ascii="Arial" w:hAnsi="Arial" w:cs="Arial"/>
          <w:color w:val="272627"/>
        </w:rPr>
        <w:t>) et un consultant national à plein temps</w:t>
      </w:r>
      <w:r w:rsidR="00945B72" w:rsidRPr="001411CD">
        <w:rPr>
          <w:rFonts w:ascii="Arial" w:hAnsi="Arial" w:cs="Arial"/>
          <w:color w:val="272627"/>
        </w:rPr>
        <w:t>.</w:t>
      </w:r>
    </w:p>
    <w:p w:rsidR="008F6F2A" w:rsidRPr="001411CD" w:rsidRDefault="008F6F2A" w:rsidP="00945B72">
      <w:pPr>
        <w:autoSpaceDE w:val="0"/>
        <w:autoSpaceDN w:val="0"/>
        <w:adjustRightInd w:val="0"/>
        <w:spacing w:after="0" w:line="240" w:lineRule="auto"/>
        <w:jc w:val="both"/>
        <w:rPr>
          <w:rFonts w:ascii="Arial" w:hAnsi="Arial" w:cs="Arial"/>
          <w:color w:val="272627"/>
        </w:rPr>
      </w:pPr>
    </w:p>
    <w:p w:rsidR="00E8141A" w:rsidRPr="001411CD" w:rsidRDefault="008450E7" w:rsidP="00945B72">
      <w:pPr>
        <w:autoSpaceDE w:val="0"/>
        <w:autoSpaceDN w:val="0"/>
        <w:adjustRightInd w:val="0"/>
        <w:spacing w:after="0" w:line="240" w:lineRule="auto"/>
        <w:jc w:val="both"/>
        <w:rPr>
          <w:rFonts w:ascii="Arial" w:hAnsi="Arial" w:cs="Arial"/>
          <w:color w:val="272627"/>
        </w:rPr>
      </w:pPr>
      <w:r w:rsidRPr="001411CD">
        <w:rPr>
          <w:rFonts w:ascii="Arial" w:hAnsi="Arial" w:cs="Arial"/>
          <w:b/>
          <w:color w:val="272627"/>
        </w:rPr>
        <w:t>Responsabilités et profil du consultant international, chef de d’équipe de l’évaluation</w:t>
      </w:r>
      <w:r w:rsidRPr="001411CD">
        <w:rPr>
          <w:rFonts w:ascii="Arial" w:hAnsi="Arial" w:cs="Arial"/>
          <w:color w:val="272627"/>
        </w:rPr>
        <w:t xml:space="preserve"> : </w:t>
      </w:r>
    </w:p>
    <w:p w:rsidR="00E8141A" w:rsidRPr="001411CD" w:rsidRDefault="00E8141A" w:rsidP="00945B72">
      <w:pPr>
        <w:autoSpaceDE w:val="0"/>
        <w:autoSpaceDN w:val="0"/>
        <w:adjustRightInd w:val="0"/>
        <w:spacing w:after="0" w:line="240" w:lineRule="auto"/>
        <w:jc w:val="both"/>
        <w:rPr>
          <w:rFonts w:ascii="Arial" w:hAnsi="Arial" w:cs="Arial"/>
          <w:color w:val="272627"/>
        </w:rPr>
      </w:pPr>
    </w:p>
    <w:p w:rsidR="00945B72" w:rsidRPr="001411CD" w:rsidRDefault="00685787" w:rsidP="00945B72">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 consultant international </w:t>
      </w:r>
      <w:r w:rsidR="009D31DB" w:rsidRPr="001411CD">
        <w:rPr>
          <w:rFonts w:ascii="Arial" w:hAnsi="Arial" w:cs="Arial"/>
          <w:color w:val="272627"/>
        </w:rPr>
        <w:t>va exécuter les tâches suivantes :</w:t>
      </w:r>
    </w:p>
    <w:p w:rsidR="009D31DB" w:rsidRPr="001411CD" w:rsidRDefault="009D31DB" w:rsidP="00945B72">
      <w:pPr>
        <w:autoSpaceDE w:val="0"/>
        <w:autoSpaceDN w:val="0"/>
        <w:adjustRightInd w:val="0"/>
        <w:spacing w:after="0" w:line="240" w:lineRule="auto"/>
        <w:jc w:val="both"/>
        <w:rPr>
          <w:rFonts w:ascii="Arial" w:hAnsi="Arial" w:cs="Arial"/>
          <w:color w:val="272627"/>
        </w:rPr>
      </w:pPr>
    </w:p>
    <w:p w:rsidR="00FF6E56" w:rsidRPr="001411CD" w:rsidRDefault="00FF6E56" w:rsidP="00FF6E56">
      <w:pPr>
        <w:numPr>
          <w:ilvl w:val="0"/>
          <w:numId w:val="19"/>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Diriger et gérer la mission d’évaluation,</w:t>
      </w:r>
    </w:p>
    <w:p w:rsidR="00FF6E56" w:rsidRPr="001411CD" w:rsidRDefault="00FF6E56" w:rsidP="00FF6E56">
      <w:pPr>
        <w:numPr>
          <w:ilvl w:val="0"/>
          <w:numId w:val="19"/>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Préparer le rapport initial, comprenant le plan détaillé sur la portée, la méthodologie et l’approche de l’évaluation,</w:t>
      </w:r>
    </w:p>
    <w:p w:rsidR="00FF6E56" w:rsidRPr="001411CD" w:rsidRDefault="00FF6E56" w:rsidP="00FF6E56">
      <w:pPr>
        <w:numPr>
          <w:ilvl w:val="0"/>
          <w:numId w:val="19"/>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Assurer une division efficace et efficiente des tâches entre les membres de la mission,</w:t>
      </w:r>
    </w:p>
    <w:p w:rsidR="00FF6E56" w:rsidRPr="001411CD" w:rsidRDefault="00FF6E56" w:rsidP="00FF6E56">
      <w:pPr>
        <w:numPr>
          <w:ilvl w:val="0"/>
          <w:numId w:val="19"/>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Conduire l’évaluation conformément aux objectifs proposés et sa portée,</w:t>
      </w:r>
    </w:p>
    <w:p w:rsidR="00E55F67" w:rsidRPr="001411CD" w:rsidRDefault="00E55F67" w:rsidP="00FF6E56">
      <w:pPr>
        <w:numPr>
          <w:ilvl w:val="0"/>
          <w:numId w:val="19"/>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Respecter les modèles dévaluations du PNUD et de l’UNEG,</w:t>
      </w:r>
    </w:p>
    <w:p w:rsidR="00E55F67" w:rsidRPr="001411CD" w:rsidRDefault="00E55F67" w:rsidP="00FF6E56">
      <w:pPr>
        <w:numPr>
          <w:ilvl w:val="0"/>
          <w:numId w:val="19"/>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Mettre à jour régulièrement le PNUD et le Gouvernement béninois à travers la Direction Nationale du Projet, sur l’état d’avancement de l’évaluation, </w:t>
      </w:r>
    </w:p>
    <w:p w:rsidR="00FF6E56" w:rsidRPr="001411CD" w:rsidRDefault="00FF6E56" w:rsidP="00FF6E56">
      <w:pPr>
        <w:numPr>
          <w:ilvl w:val="0"/>
          <w:numId w:val="19"/>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Préparer et communiquer l’aide-mémoire,</w:t>
      </w:r>
    </w:p>
    <w:p w:rsidR="00FF6E56" w:rsidRPr="001411CD" w:rsidRDefault="00FF6E56" w:rsidP="00FF6E56">
      <w:pPr>
        <w:numPr>
          <w:ilvl w:val="0"/>
          <w:numId w:val="19"/>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Préparer le rapport provisoire, le finaliser (en français) et le</w:t>
      </w:r>
      <w:r w:rsidR="00E55F67" w:rsidRPr="001411CD">
        <w:rPr>
          <w:rFonts w:ascii="Arial" w:hAnsi="Arial" w:cs="Arial"/>
          <w:color w:val="272627"/>
        </w:rPr>
        <w:t xml:space="preserve">s </w:t>
      </w:r>
      <w:r w:rsidRPr="001411CD">
        <w:rPr>
          <w:rFonts w:ascii="Arial" w:hAnsi="Arial" w:cs="Arial"/>
          <w:color w:val="272627"/>
        </w:rPr>
        <w:t xml:space="preserve">soumettre </w:t>
      </w:r>
      <w:r w:rsidR="00E55F67" w:rsidRPr="001411CD">
        <w:rPr>
          <w:rFonts w:ascii="Arial" w:hAnsi="Arial" w:cs="Arial"/>
          <w:color w:val="272627"/>
        </w:rPr>
        <w:t xml:space="preserve">suivant leurs délais </w:t>
      </w:r>
      <w:r w:rsidRPr="001411CD">
        <w:rPr>
          <w:rFonts w:ascii="Arial" w:hAnsi="Arial" w:cs="Arial"/>
          <w:color w:val="272627"/>
        </w:rPr>
        <w:t xml:space="preserve">au PNUD et à la Direction Nationale du Projet. </w:t>
      </w:r>
    </w:p>
    <w:p w:rsidR="00F63790" w:rsidRPr="001411CD" w:rsidRDefault="00F63790" w:rsidP="00F63790">
      <w:pPr>
        <w:autoSpaceDE w:val="0"/>
        <w:autoSpaceDN w:val="0"/>
        <w:adjustRightInd w:val="0"/>
        <w:spacing w:after="0" w:line="240" w:lineRule="auto"/>
        <w:jc w:val="both"/>
        <w:rPr>
          <w:rFonts w:ascii="Arial" w:hAnsi="Arial" w:cs="Arial"/>
          <w:color w:val="272627"/>
        </w:rPr>
      </w:pPr>
    </w:p>
    <w:p w:rsidR="00CF2253" w:rsidRPr="001411CD" w:rsidRDefault="00CF2253" w:rsidP="00F63790">
      <w:pPr>
        <w:autoSpaceDE w:val="0"/>
        <w:autoSpaceDN w:val="0"/>
        <w:adjustRightInd w:val="0"/>
        <w:spacing w:after="0" w:line="240" w:lineRule="auto"/>
        <w:jc w:val="both"/>
        <w:rPr>
          <w:rFonts w:ascii="Arial" w:hAnsi="Arial" w:cs="Arial"/>
          <w:color w:val="272627"/>
        </w:rPr>
      </w:pPr>
    </w:p>
    <w:p w:rsidR="00DE35B5" w:rsidRPr="001411CD" w:rsidRDefault="00DE35B5" w:rsidP="00F63790">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Profil du consultant international : </w:t>
      </w:r>
    </w:p>
    <w:p w:rsidR="00FB21AD" w:rsidRPr="001411CD" w:rsidRDefault="00DE35B5" w:rsidP="00DE35B5">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Education : </w:t>
      </w:r>
      <w:r w:rsidR="00BF0DB1" w:rsidRPr="001411CD">
        <w:rPr>
          <w:rFonts w:ascii="Arial" w:hAnsi="Arial" w:cs="Arial"/>
          <w:color w:val="272627"/>
        </w:rPr>
        <w:t xml:space="preserve">Formation supérieur (Master ou Doctorat) </w:t>
      </w:r>
      <w:r w:rsidRPr="001411CD">
        <w:rPr>
          <w:rFonts w:ascii="Arial" w:hAnsi="Arial" w:cs="Arial"/>
          <w:color w:val="272627"/>
        </w:rPr>
        <w:t xml:space="preserve">en </w:t>
      </w:r>
      <w:r w:rsidR="00C110EF" w:rsidRPr="001411CD">
        <w:rPr>
          <w:rFonts w:ascii="Arial" w:hAnsi="Arial" w:cs="Arial"/>
          <w:color w:val="272627"/>
        </w:rPr>
        <w:t xml:space="preserve">Economie, </w:t>
      </w:r>
      <w:r w:rsidR="00BF0DB1" w:rsidRPr="001411CD">
        <w:rPr>
          <w:rFonts w:ascii="Arial" w:hAnsi="Arial" w:cs="Arial"/>
          <w:color w:val="272627"/>
        </w:rPr>
        <w:t>Agronomie ou Agroéconomie, avec des formations complémentaires en d</w:t>
      </w:r>
      <w:r w:rsidRPr="001411CD">
        <w:rPr>
          <w:rFonts w:ascii="Arial" w:hAnsi="Arial" w:cs="Arial"/>
          <w:color w:val="272627"/>
        </w:rPr>
        <w:t xml:space="preserve">éveloppement durable, </w:t>
      </w:r>
      <w:r w:rsidR="00F83833" w:rsidRPr="001411CD">
        <w:rPr>
          <w:rFonts w:ascii="Arial" w:hAnsi="Arial" w:cs="Arial"/>
          <w:color w:val="272627"/>
        </w:rPr>
        <w:t xml:space="preserve">entreprenariat agricole, </w:t>
      </w:r>
      <w:r w:rsidRPr="001411CD">
        <w:rPr>
          <w:rFonts w:ascii="Arial" w:hAnsi="Arial" w:cs="Arial"/>
          <w:color w:val="272627"/>
        </w:rPr>
        <w:t xml:space="preserve">évaluation des politiques et programmes, </w:t>
      </w:r>
      <w:r w:rsidR="00F83833" w:rsidRPr="001411CD">
        <w:rPr>
          <w:rFonts w:ascii="Arial" w:hAnsi="Arial" w:cs="Arial"/>
          <w:color w:val="272627"/>
        </w:rPr>
        <w:t>gestion des projets</w:t>
      </w:r>
      <w:proofErr w:type="gramStart"/>
      <w:r w:rsidR="00F83833" w:rsidRPr="001411CD">
        <w:rPr>
          <w:rFonts w:ascii="Arial" w:hAnsi="Arial" w:cs="Arial"/>
          <w:color w:val="272627"/>
        </w:rPr>
        <w:t>.</w:t>
      </w:r>
      <w:r w:rsidR="00367BA2" w:rsidRPr="001411CD">
        <w:rPr>
          <w:rFonts w:ascii="Arial" w:hAnsi="Arial" w:cs="Arial"/>
          <w:b/>
          <w:color w:val="272627"/>
        </w:rPr>
        <w:t>(</w:t>
      </w:r>
      <w:proofErr w:type="gramEnd"/>
      <w:r w:rsidR="00367BA2" w:rsidRPr="001411CD">
        <w:rPr>
          <w:rFonts w:ascii="Arial" w:hAnsi="Arial" w:cs="Arial"/>
          <w:b/>
          <w:color w:val="272627"/>
        </w:rPr>
        <w:t>10 points)</w:t>
      </w:r>
    </w:p>
    <w:p w:rsidR="008450E7" w:rsidRPr="001411CD" w:rsidRDefault="00FB21AD" w:rsidP="00DE35B5">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Disposer d’une forte expérience </w:t>
      </w:r>
      <w:r w:rsidR="00EF77BA" w:rsidRPr="001411CD">
        <w:rPr>
          <w:rFonts w:ascii="Arial" w:hAnsi="Arial" w:cs="Arial"/>
          <w:color w:val="272627"/>
        </w:rPr>
        <w:t xml:space="preserve">comparative </w:t>
      </w:r>
      <w:r w:rsidRPr="001411CD">
        <w:rPr>
          <w:rFonts w:ascii="Arial" w:hAnsi="Arial" w:cs="Arial"/>
          <w:color w:val="272627"/>
        </w:rPr>
        <w:t>internationale d’au moins quinze (15) ans en développement local et en particulier en développement économique local</w:t>
      </w:r>
      <w:r w:rsidR="00EF77BA" w:rsidRPr="001411CD">
        <w:rPr>
          <w:rFonts w:ascii="Arial" w:hAnsi="Arial" w:cs="Arial"/>
          <w:color w:val="272627"/>
        </w:rPr>
        <w:t>, surtout dans la conception, la mise en œuvre (l’exécution), le suivi et l’évaluation de projets d’appui au développement local</w:t>
      </w:r>
      <w:proofErr w:type="gramStart"/>
      <w:r w:rsidR="00EF77BA" w:rsidRPr="001411CD">
        <w:rPr>
          <w:rFonts w:ascii="Arial" w:hAnsi="Arial" w:cs="Arial"/>
          <w:color w:val="272627"/>
        </w:rPr>
        <w:t>.</w:t>
      </w:r>
      <w:r w:rsidR="006B2538" w:rsidRPr="001411CD">
        <w:rPr>
          <w:rFonts w:ascii="Arial" w:hAnsi="Arial" w:cs="Arial"/>
          <w:b/>
          <w:color w:val="272627"/>
        </w:rPr>
        <w:t>(</w:t>
      </w:r>
      <w:proofErr w:type="gramEnd"/>
      <w:r w:rsidR="006B2538" w:rsidRPr="001411CD">
        <w:rPr>
          <w:rFonts w:ascii="Arial" w:hAnsi="Arial" w:cs="Arial"/>
          <w:b/>
          <w:color w:val="272627"/>
        </w:rPr>
        <w:t>15 points)</w:t>
      </w:r>
    </w:p>
    <w:p w:rsidR="00EF77BA" w:rsidRPr="001411CD" w:rsidRDefault="00EF77BA" w:rsidP="00DE35B5">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lastRenderedPageBreak/>
        <w:t xml:space="preserve">Pratique professionnelle avérée dans la gestion axée sur les résultats de développement, si possible </w:t>
      </w:r>
      <w:r w:rsidR="00BC4DCF" w:rsidRPr="001411CD">
        <w:rPr>
          <w:rFonts w:ascii="Arial" w:hAnsi="Arial" w:cs="Arial"/>
          <w:color w:val="272627"/>
        </w:rPr>
        <w:t>dans le développement des initiatives locales d’emploi</w:t>
      </w:r>
      <w:r w:rsidR="006B2538" w:rsidRPr="001411CD">
        <w:rPr>
          <w:rFonts w:ascii="Arial" w:hAnsi="Arial" w:cs="Arial"/>
          <w:color w:val="272627"/>
        </w:rPr>
        <w:t xml:space="preserve">. </w:t>
      </w:r>
      <w:r w:rsidR="006B2538" w:rsidRPr="001411CD">
        <w:rPr>
          <w:rFonts w:ascii="Arial" w:hAnsi="Arial" w:cs="Arial"/>
          <w:b/>
          <w:color w:val="272627"/>
        </w:rPr>
        <w:t>(10 points)</w:t>
      </w:r>
    </w:p>
    <w:p w:rsidR="00EF77BA" w:rsidRPr="001411CD" w:rsidRDefault="00EF77BA" w:rsidP="00DE35B5">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Avoir conduit </w:t>
      </w:r>
      <w:r w:rsidR="00BC4DCF" w:rsidRPr="001411CD">
        <w:rPr>
          <w:rFonts w:ascii="Arial" w:hAnsi="Arial" w:cs="Arial"/>
          <w:color w:val="272627"/>
        </w:rPr>
        <w:t>avec succès plusieurs travaux, notamment dans le domaine agricole et du développement local, avec des connaissances pratiques dans le développement des capacités et une bonne expérience dans la formulation, le suivi et l’évaluation de projet de développement</w:t>
      </w:r>
      <w:r w:rsidR="006B2538" w:rsidRPr="001411CD">
        <w:rPr>
          <w:rFonts w:ascii="Arial" w:hAnsi="Arial" w:cs="Arial"/>
          <w:color w:val="272627"/>
        </w:rPr>
        <w:t xml:space="preserve">. </w:t>
      </w:r>
      <w:r w:rsidR="006B2538" w:rsidRPr="001411CD">
        <w:rPr>
          <w:rFonts w:ascii="Arial" w:hAnsi="Arial" w:cs="Arial"/>
          <w:b/>
          <w:color w:val="272627"/>
        </w:rPr>
        <w:t>(15 points)</w:t>
      </w:r>
    </w:p>
    <w:p w:rsidR="00BC4DCF" w:rsidRPr="001411CD" w:rsidRDefault="00BC4DCF" w:rsidP="00DE35B5">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Une expérience démontrée dans la conduite d’évaluations de programme et projets de développement local, y compris l’expérience d’évaluation utilisant des méthodes quantitatives et qualitatives afin d’évaluer les résultats du programme au niveau individuel, institutionnel, sectoriel et politique</w:t>
      </w:r>
      <w:proofErr w:type="gramStart"/>
      <w:r w:rsidRPr="001411CD">
        <w:rPr>
          <w:rFonts w:ascii="Arial" w:hAnsi="Arial" w:cs="Arial"/>
          <w:color w:val="272627"/>
        </w:rPr>
        <w:t>.</w:t>
      </w:r>
      <w:r w:rsidR="006B2538" w:rsidRPr="001411CD">
        <w:rPr>
          <w:rFonts w:ascii="Arial" w:hAnsi="Arial" w:cs="Arial"/>
          <w:b/>
          <w:color w:val="272627"/>
        </w:rPr>
        <w:t>(</w:t>
      </w:r>
      <w:proofErr w:type="gramEnd"/>
      <w:r w:rsidR="006B2538" w:rsidRPr="001411CD">
        <w:rPr>
          <w:rFonts w:ascii="Arial" w:hAnsi="Arial" w:cs="Arial"/>
          <w:b/>
          <w:color w:val="272627"/>
        </w:rPr>
        <w:t>20 points)</w:t>
      </w:r>
    </w:p>
    <w:p w:rsidR="00BC4DCF" w:rsidRPr="001411CD" w:rsidRDefault="00BC4DCF" w:rsidP="00DE35B5">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Capacité démontrée de réflexion stratégique et d’excellentes compétences analytiques et d’</w:t>
      </w:r>
      <w:r w:rsidR="006B2538" w:rsidRPr="001411CD">
        <w:rPr>
          <w:rFonts w:ascii="Arial" w:hAnsi="Arial" w:cs="Arial"/>
          <w:color w:val="272627"/>
        </w:rPr>
        <w:t xml:space="preserve">écriture. </w:t>
      </w:r>
      <w:r w:rsidR="006B2538" w:rsidRPr="001411CD">
        <w:rPr>
          <w:rFonts w:ascii="Arial" w:hAnsi="Arial" w:cs="Arial"/>
          <w:b/>
          <w:color w:val="272627"/>
        </w:rPr>
        <w:t>(5 points)</w:t>
      </w:r>
    </w:p>
    <w:p w:rsidR="00BC4DCF" w:rsidRPr="001411CD" w:rsidRDefault="00BC4DCF" w:rsidP="00DE35B5">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Solides connaissance et conscience sur les questions liées </w:t>
      </w:r>
      <w:r w:rsidR="00E55F67" w:rsidRPr="001411CD">
        <w:rPr>
          <w:rFonts w:ascii="Arial" w:hAnsi="Arial" w:cs="Arial"/>
          <w:color w:val="272627"/>
        </w:rPr>
        <w:t xml:space="preserve">aux droits de l’homme et </w:t>
      </w:r>
      <w:r w:rsidRPr="001411CD">
        <w:rPr>
          <w:rFonts w:ascii="Arial" w:hAnsi="Arial" w:cs="Arial"/>
          <w:color w:val="272627"/>
        </w:rPr>
        <w:t>à l’égalité des sex</w:t>
      </w:r>
      <w:r w:rsidR="00E55F67" w:rsidRPr="001411CD">
        <w:rPr>
          <w:rFonts w:ascii="Arial" w:hAnsi="Arial" w:cs="Arial"/>
          <w:color w:val="272627"/>
        </w:rPr>
        <w:t>es</w:t>
      </w:r>
      <w:proofErr w:type="gramStart"/>
      <w:r w:rsidR="00E55F67" w:rsidRPr="001411CD">
        <w:rPr>
          <w:rFonts w:ascii="Arial" w:hAnsi="Arial" w:cs="Arial"/>
          <w:color w:val="272627"/>
        </w:rPr>
        <w:t>.</w:t>
      </w:r>
      <w:r w:rsidR="006B2538" w:rsidRPr="001411CD">
        <w:rPr>
          <w:rFonts w:ascii="Arial" w:hAnsi="Arial" w:cs="Arial"/>
          <w:b/>
          <w:color w:val="272627"/>
        </w:rPr>
        <w:t>(</w:t>
      </w:r>
      <w:proofErr w:type="gramEnd"/>
      <w:r w:rsidR="006B2538" w:rsidRPr="001411CD">
        <w:rPr>
          <w:rFonts w:ascii="Arial" w:hAnsi="Arial" w:cs="Arial"/>
          <w:b/>
          <w:color w:val="272627"/>
        </w:rPr>
        <w:t>10 points)</w:t>
      </w:r>
    </w:p>
    <w:p w:rsidR="00E55F67" w:rsidRPr="001411CD" w:rsidRDefault="00E55F67" w:rsidP="00DE35B5">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Familiarité avec les normes et standards d’évaluation du PNUD et de l’UNEG</w:t>
      </w:r>
      <w:r w:rsidR="006B2538" w:rsidRPr="001411CD">
        <w:rPr>
          <w:rFonts w:ascii="Arial" w:hAnsi="Arial" w:cs="Arial"/>
          <w:color w:val="272627"/>
        </w:rPr>
        <w:t xml:space="preserve">. </w:t>
      </w:r>
      <w:r w:rsidR="006B2538" w:rsidRPr="001411CD">
        <w:rPr>
          <w:rFonts w:ascii="Arial" w:hAnsi="Arial" w:cs="Arial"/>
          <w:b/>
          <w:color w:val="272627"/>
        </w:rPr>
        <w:t>(10 points)</w:t>
      </w:r>
    </w:p>
    <w:p w:rsidR="00E55F67" w:rsidRPr="001411CD" w:rsidRDefault="00E55F67" w:rsidP="00DE35B5">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La connaissance du Bénin et/ou de la région ouest-africaine serait un atout. </w:t>
      </w:r>
      <w:r w:rsidR="006B2538" w:rsidRPr="001411CD">
        <w:rPr>
          <w:rFonts w:ascii="Arial" w:hAnsi="Arial" w:cs="Arial"/>
          <w:b/>
          <w:color w:val="272627"/>
        </w:rPr>
        <w:t>(5 points)</w:t>
      </w:r>
    </w:p>
    <w:p w:rsidR="008450E7" w:rsidRPr="001411CD" w:rsidRDefault="008450E7" w:rsidP="00F63790">
      <w:pPr>
        <w:autoSpaceDE w:val="0"/>
        <w:autoSpaceDN w:val="0"/>
        <w:adjustRightInd w:val="0"/>
        <w:spacing w:after="0" w:line="240" w:lineRule="auto"/>
        <w:jc w:val="both"/>
        <w:rPr>
          <w:rFonts w:ascii="Arial" w:hAnsi="Arial" w:cs="Arial"/>
          <w:color w:val="272627"/>
        </w:rPr>
      </w:pPr>
    </w:p>
    <w:p w:rsidR="008450E7" w:rsidRPr="001411CD" w:rsidRDefault="008450E7" w:rsidP="00F63790">
      <w:pPr>
        <w:autoSpaceDE w:val="0"/>
        <w:autoSpaceDN w:val="0"/>
        <w:adjustRightInd w:val="0"/>
        <w:spacing w:after="0" w:line="240" w:lineRule="auto"/>
        <w:jc w:val="both"/>
        <w:rPr>
          <w:rFonts w:ascii="Arial" w:hAnsi="Arial" w:cs="Arial"/>
          <w:color w:val="272627"/>
        </w:rPr>
      </w:pPr>
    </w:p>
    <w:p w:rsidR="007C4993" w:rsidRPr="001411CD" w:rsidRDefault="007C4993" w:rsidP="007C4993">
      <w:pPr>
        <w:autoSpaceDE w:val="0"/>
        <w:autoSpaceDN w:val="0"/>
        <w:adjustRightInd w:val="0"/>
        <w:spacing w:after="0" w:line="240" w:lineRule="auto"/>
        <w:jc w:val="both"/>
        <w:rPr>
          <w:rFonts w:ascii="Arial" w:hAnsi="Arial" w:cs="Arial"/>
          <w:color w:val="272627"/>
        </w:rPr>
      </w:pPr>
      <w:r w:rsidRPr="001411CD">
        <w:rPr>
          <w:rFonts w:ascii="Arial" w:hAnsi="Arial" w:cs="Arial"/>
          <w:b/>
          <w:color w:val="272627"/>
        </w:rPr>
        <w:t>Responsabilités et profil du consultant national, membre</w:t>
      </w:r>
      <w:r w:rsidR="00811F73" w:rsidRPr="001411CD">
        <w:rPr>
          <w:rFonts w:ascii="Arial" w:hAnsi="Arial" w:cs="Arial"/>
          <w:b/>
          <w:color w:val="272627"/>
        </w:rPr>
        <w:t xml:space="preserve"> de l</w:t>
      </w:r>
      <w:r w:rsidRPr="001411CD">
        <w:rPr>
          <w:rFonts w:ascii="Arial" w:hAnsi="Arial" w:cs="Arial"/>
          <w:b/>
          <w:color w:val="272627"/>
        </w:rPr>
        <w:t>’</w:t>
      </w:r>
      <w:r w:rsidR="00811F73" w:rsidRPr="001411CD">
        <w:rPr>
          <w:rFonts w:ascii="Arial" w:hAnsi="Arial" w:cs="Arial"/>
          <w:b/>
          <w:color w:val="272627"/>
        </w:rPr>
        <w:t>équipe d</w:t>
      </w:r>
      <w:r w:rsidRPr="001411CD">
        <w:rPr>
          <w:rFonts w:ascii="Arial" w:hAnsi="Arial" w:cs="Arial"/>
          <w:b/>
          <w:color w:val="272627"/>
        </w:rPr>
        <w:t>’évaluation</w:t>
      </w:r>
      <w:r w:rsidRPr="001411CD">
        <w:rPr>
          <w:rFonts w:ascii="Arial" w:hAnsi="Arial" w:cs="Arial"/>
          <w:color w:val="272627"/>
        </w:rPr>
        <w:t xml:space="preserve"> : </w:t>
      </w:r>
      <w:r w:rsidR="00811F73" w:rsidRPr="001411CD">
        <w:rPr>
          <w:rFonts w:ascii="Arial" w:hAnsi="Arial" w:cs="Arial"/>
          <w:color w:val="272627"/>
        </w:rPr>
        <w:t xml:space="preserve">Le consultant </w:t>
      </w:r>
      <w:r w:rsidRPr="001411CD">
        <w:rPr>
          <w:rFonts w:ascii="Arial" w:hAnsi="Arial" w:cs="Arial"/>
          <w:color w:val="272627"/>
        </w:rPr>
        <w:t>national va exécuter les tâches suivantes :</w:t>
      </w:r>
    </w:p>
    <w:p w:rsidR="00F63790" w:rsidRPr="001411CD" w:rsidRDefault="00F63790" w:rsidP="00F63790">
      <w:pPr>
        <w:autoSpaceDE w:val="0"/>
        <w:autoSpaceDN w:val="0"/>
        <w:adjustRightInd w:val="0"/>
        <w:spacing w:after="0" w:line="240" w:lineRule="auto"/>
        <w:jc w:val="both"/>
        <w:rPr>
          <w:rFonts w:ascii="Arial" w:hAnsi="Arial" w:cs="Arial"/>
          <w:color w:val="272627"/>
        </w:rPr>
      </w:pPr>
    </w:p>
    <w:p w:rsidR="00F63790" w:rsidRPr="001411CD" w:rsidRDefault="00F63790" w:rsidP="00F63790">
      <w:pPr>
        <w:pStyle w:val="Paragraphedeliste"/>
        <w:numPr>
          <w:ilvl w:val="0"/>
          <w:numId w:val="20"/>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Faire la revue documentaire,</w:t>
      </w:r>
    </w:p>
    <w:p w:rsidR="00F63790" w:rsidRPr="001411CD" w:rsidRDefault="00F63790" w:rsidP="00F63790">
      <w:pPr>
        <w:pStyle w:val="Paragraphedeliste"/>
        <w:numPr>
          <w:ilvl w:val="0"/>
          <w:numId w:val="20"/>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Participer à la préparation de la méthodologie de l’évaluation,</w:t>
      </w:r>
    </w:p>
    <w:p w:rsidR="00F63790" w:rsidRPr="001411CD" w:rsidRDefault="00BF0DB1" w:rsidP="00F63790">
      <w:pPr>
        <w:pStyle w:val="Paragraphedeliste"/>
        <w:numPr>
          <w:ilvl w:val="0"/>
          <w:numId w:val="20"/>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Exécuter avec le consultant international</w:t>
      </w:r>
      <w:r w:rsidR="00F63790" w:rsidRPr="001411CD">
        <w:rPr>
          <w:rFonts w:ascii="Arial" w:hAnsi="Arial" w:cs="Arial"/>
          <w:color w:val="272627"/>
        </w:rPr>
        <w:t xml:space="preserve"> l’évaluation </w:t>
      </w:r>
      <w:r w:rsidRPr="001411CD">
        <w:rPr>
          <w:rFonts w:ascii="Arial" w:hAnsi="Arial" w:cs="Arial"/>
          <w:color w:val="272627"/>
        </w:rPr>
        <w:t>finale</w:t>
      </w:r>
      <w:r w:rsidR="00F63790" w:rsidRPr="001411CD">
        <w:rPr>
          <w:rFonts w:ascii="Arial" w:hAnsi="Arial" w:cs="Arial"/>
          <w:color w:val="272627"/>
        </w:rPr>
        <w:t xml:space="preserve"> conformément </w:t>
      </w:r>
      <w:r w:rsidR="00B97B34" w:rsidRPr="001411CD">
        <w:rPr>
          <w:rFonts w:ascii="Arial" w:hAnsi="Arial" w:cs="Arial"/>
          <w:color w:val="272627"/>
        </w:rPr>
        <w:t>aux</w:t>
      </w:r>
      <w:r w:rsidR="00F63790" w:rsidRPr="001411CD">
        <w:rPr>
          <w:rFonts w:ascii="Arial" w:hAnsi="Arial" w:cs="Arial"/>
          <w:color w:val="272627"/>
        </w:rPr>
        <w:t xml:space="preserve"> objectifs </w:t>
      </w:r>
      <w:r w:rsidR="00B97B34" w:rsidRPr="001411CD">
        <w:rPr>
          <w:rFonts w:ascii="Arial" w:hAnsi="Arial" w:cs="Arial"/>
          <w:color w:val="272627"/>
        </w:rPr>
        <w:t xml:space="preserve">proposés </w:t>
      </w:r>
      <w:r w:rsidR="00F63790" w:rsidRPr="001411CD">
        <w:rPr>
          <w:rFonts w:ascii="Arial" w:hAnsi="Arial" w:cs="Arial"/>
          <w:color w:val="272627"/>
        </w:rPr>
        <w:t>et sa portée,</w:t>
      </w:r>
    </w:p>
    <w:p w:rsidR="00F63790" w:rsidRPr="001411CD" w:rsidRDefault="00F63790" w:rsidP="00F63790">
      <w:pPr>
        <w:pStyle w:val="Paragraphedeliste"/>
        <w:numPr>
          <w:ilvl w:val="0"/>
          <w:numId w:val="20"/>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Participer à la rédaction d</w:t>
      </w:r>
      <w:r w:rsidR="00BF0DB1" w:rsidRPr="001411CD">
        <w:rPr>
          <w:rFonts w:ascii="Arial" w:hAnsi="Arial" w:cs="Arial"/>
          <w:color w:val="272627"/>
        </w:rPr>
        <w:t>es différents produits attendus de l</w:t>
      </w:r>
      <w:r w:rsidRPr="001411CD">
        <w:rPr>
          <w:rFonts w:ascii="Arial" w:hAnsi="Arial" w:cs="Arial"/>
          <w:color w:val="272627"/>
        </w:rPr>
        <w:t>’évaluation,</w:t>
      </w:r>
    </w:p>
    <w:p w:rsidR="006E72A8" w:rsidRPr="001411CD" w:rsidRDefault="006E72A8" w:rsidP="00945B72">
      <w:pPr>
        <w:autoSpaceDE w:val="0"/>
        <w:autoSpaceDN w:val="0"/>
        <w:adjustRightInd w:val="0"/>
        <w:spacing w:after="0" w:line="240" w:lineRule="auto"/>
        <w:jc w:val="both"/>
        <w:rPr>
          <w:rFonts w:ascii="Arial" w:hAnsi="Arial" w:cs="Arial"/>
          <w:color w:val="272627"/>
        </w:rPr>
      </w:pPr>
    </w:p>
    <w:p w:rsidR="00BF0DB1" w:rsidRPr="001411CD" w:rsidRDefault="00BF0DB1" w:rsidP="00BF0DB1">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Profil du consultant national : </w:t>
      </w:r>
    </w:p>
    <w:p w:rsidR="00F83833" w:rsidRPr="001411CD" w:rsidRDefault="00BF0DB1" w:rsidP="00F83833">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Education : Minimum BAC+5 en</w:t>
      </w:r>
      <w:r w:rsidR="00F83833" w:rsidRPr="001411CD">
        <w:rPr>
          <w:rFonts w:ascii="Arial" w:hAnsi="Arial" w:cs="Arial"/>
          <w:color w:val="272627"/>
        </w:rPr>
        <w:t xml:space="preserve"> économie, </w:t>
      </w:r>
      <w:proofErr w:type="spellStart"/>
      <w:r w:rsidR="0016234C" w:rsidRPr="001411CD">
        <w:rPr>
          <w:rFonts w:ascii="Arial" w:hAnsi="Arial" w:cs="Arial"/>
          <w:color w:val="272627"/>
        </w:rPr>
        <w:t>a</w:t>
      </w:r>
      <w:r w:rsidR="00AA5CCB" w:rsidRPr="001411CD">
        <w:rPr>
          <w:rFonts w:ascii="Arial" w:hAnsi="Arial" w:cs="Arial"/>
          <w:color w:val="272627"/>
        </w:rPr>
        <w:t>gro</w:t>
      </w:r>
      <w:r w:rsidR="0016234C" w:rsidRPr="001411CD">
        <w:rPr>
          <w:rFonts w:ascii="Arial" w:hAnsi="Arial" w:cs="Arial"/>
          <w:color w:val="272627"/>
        </w:rPr>
        <w:t>-é</w:t>
      </w:r>
      <w:r w:rsidR="00DD265B" w:rsidRPr="001411CD">
        <w:rPr>
          <w:rFonts w:ascii="Arial" w:hAnsi="Arial" w:cs="Arial"/>
          <w:color w:val="272627"/>
        </w:rPr>
        <w:t>conomie</w:t>
      </w:r>
      <w:proofErr w:type="spellEnd"/>
      <w:r w:rsidR="00245741" w:rsidRPr="001411CD">
        <w:rPr>
          <w:rFonts w:ascii="Arial" w:hAnsi="Arial" w:cs="Arial"/>
          <w:color w:val="272627"/>
        </w:rPr>
        <w:t xml:space="preserve">, </w:t>
      </w:r>
      <w:r w:rsidR="00F83833" w:rsidRPr="001411CD">
        <w:rPr>
          <w:rFonts w:ascii="Arial" w:hAnsi="Arial" w:cs="Arial"/>
          <w:color w:val="272627"/>
        </w:rPr>
        <w:t>d</w:t>
      </w:r>
      <w:r w:rsidRPr="001411CD">
        <w:rPr>
          <w:rFonts w:ascii="Arial" w:hAnsi="Arial" w:cs="Arial"/>
          <w:color w:val="272627"/>
        </w:rPr>
        <w:t xml:space="preserve">éveloppement </w:t>
      </w:r>
      <w:r w:rsidR="00F83833" w:rsidRPr="001411CD">
        <w:rPr>
          <w:rFonts w:ascii="Arial" w:hAnsi="Arial" w:cs="Arial"/>
          <w:color w:val="272627"/>
        </w:rPr>
        <w:t xml:space="preserve">local, ou tout autre diplôme équivalent, avec des formations complémentaires en évaluation de projets </w:t>
      </w:r>
      <w:r w:rsidRPr="001411CD">
        <w:rPr>
          <w:rFonts w:ascii="Arial" w:hAnsi="Arial" w:cs="Arial"/>
          <w:color w:val="272627"/>
        </w:rPr>
        <w:t xml:space="preserve">et programmes, </w:t>
      </w:r>
      <w:r w:rsidR="00F83833" w:rsidRPr="001411CD">
        <w:rPr>
          <w:rFonts w:ascii="Arial" w:hAnsi="Arial" w:cs="Arial"/>
          <w:color w:val="272627"/>
        </w:rPr>
        <w:t>en</w:t>
      </w:r>
      <w:r w:rsidRPr="001411CD">
        <w:rPr>
          <w:rFonts w:ascii="Arial" w:hAnsi="Arial" w:cs="Arial"/>
          <w:color w:val="272627"/>
        </w:rPr>
        <w:t xml:space="preserve"> gestion de projets</w:t>
      </w:r>
      <w:r w:rsidR="00DD265B" w:rsidRPr="001411CD">
        <w:rPr>
          <w:rFonts w:ascii="Arial" w:hAnsi="Arial" w:cs="Arial"/>
          <w:color w:val="272627"/>
        </w:rPr>
        <w:t xml:space="preserve"> agricoles</w:t>
      </w:r>
      <w:r w:rsidRPr="001411CD">
        <w:rPr>
          <w:rFonts w:ascii="Arial" w:hAnsi="Arial" w:cs="Arial"/>
          <w:color w:val="272627"/>
        </w:rPr>
        <w:t xml:space="preserve">, </w:t>
      </w:r>
      <w:r w:rsidR="00E8141A" w:rsidRPr="001411CD">
        <w:rPr>
          <w:rFonts w:ascii="Arial" w:hAnsi="Arial" w:cs="Arial"/>
          <w:color w:val="272627"/>
        </w:rPr>
        <w:t>etc.</w:t>
      </w:r>
      <w:r w:rsidR="00E8141A" w:rsidRPr="001411CD">
        <w:rPr>
          <w:rFonts w:ascii="Arial" w:hAnsi="Arial" w:cs="Arial"/>
          <w:b/>
          <w:color w:val="272627"/>
        </w:rPr>
        <w:t xml:space="preserve"> (</w:t>
      </w:r>
      <w:r w:rsidR="001C24BA" w:rsidRPr="001411CD">
        <w:rPr>
          <w:rFonts w:ascii="Arial" w:hAnsi="Arial" w:cs="Arial"/>
          <w:b/>
          <w:color w:val="272627"/>
        </w:rPr>
        <w:t>10 points)</w:t>
      </w:r>
    </w:p>
    <w:p w:rsidR="00BF0DB1" w:rsidRPr="001411CD" w:rsidRDefault="00BF0DB1" w:rsidP="00245741">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Disposer d’une expérience d’au moins </w:t>
      </w:r>
      <w:r w:rsidR="00F83833" w:rsidRPr="001411CD">
        <w:rPr>
          <w:rFonts w:ascii="Arial" w:hAnsi="Arial" w:cs="Arial"/>
          <w:color w:val="272627"/>
        </w:rPr>
        <w:t>dix</w:t>
      </w:r>
      <w:r w:rsidR="00245741" w:rsidRPr="001411CD">
        <w:rPr>
          <w:rFonts w:ascii="Arial" w:hAnsi="Arial" w:cs="Arial"/>
          <w:color w:val="272627"/>
        </w:rPr>
        <w:t xml:space="preserve"> (10</w:t>
      </w:r>
      <w:r w:rsidRPr="001411CD">
        <w:rPr>
          <w:rFonts w:ascii="Arial" w:hAnsi="Arial" w:cs="Arial"/>
          <w:color w:val="272627"/>
        </w:rPr>
        <w:t>) ans en développement local</w:t>
      </w:r>
      <w:r w:rsidR="00DD265B" w:rsidRPr="001411CD">
        <w:rPr>
          <w:rFonts w:ascii="Arial" w:hAnsi="Arial" w:cs="Arial"/>
          <w:color w:val="272627"/>
        </w:rPr>
        <w:t xml:space="preserve"> et en particulier des projets de développement agricoles et de gestion des exploitations agricoles</w:t>
      </w:r>
      <w:r w:rsidR="00245741" w:rsidRPr="001411CD">
        <w:rPr>
          <w:rFonts w:ascii="Arial" w:hAnsi="Arial" w:cs="Arial"/>
          <w:color w:val="272627"/>
        </w:rPr>
        <w:t xml:space="preserve">, notamment dans la </w:t>
      </w:r>
      <w:r w:rsidRPr="001411CD">
        <w:rPr>
          <w:rFonts w:ascii="Arial" w:hAnsi="Arial" w:cs="Arial"/>
          <w:color w:val="272627"/>
        </w:rPr>
        <w:t xml:space="preserve">conception, la mise en œuvre (l’exécution), le suivi et l’évaluation de projets d’appui au développement </w:t>
      </w:r>
      <w:r w:rsidR="00E8141A" w:rsidRPr="001411CD">
        <w:rPr>
          <w:rFonts w:ascii="Arial" w:hAnsi="Arial" w:cs="Arial"/>
          <w:color w:val="272627"/>
        </w:rPr>
        <w:t>agricole.</w:t>
      </w:r>
      <w:r w:rsidR="00E8141A" w:rsidRPr="001411CD">
        <w:rPr>
          <w:rFonts w:ascii="Arial" w:hAnsi="Arial" w:cs="Arial"/>
          <w:b/>
          <w:color w:val="272627"/>
        </w:rPr>
        <w:t xml:space="preserve"> (</w:t>
      </w:r>
      <w:r w:rsidR="00ED5A26" w:rsidRPr="001411CD">
        <w:rPr>
          <w:rFonts w:ascii="Arial" w:hAnsi="Arial" w:cs="Arial"/>
          <w:b/>
          <w:color w:val="272627"/>
        </w:rPr>
        <w:t>20</w:t>
      </w:r>
      <w:r w:rsidR="001C24BA" w:rsidRPr="001411CD">
        <w:rPr>
          <w:rFonts w:ascii="Arial" w:hAnsi="Arial" w:cs="Arial"/>
          <w:b/>
          <w:color w:val="272627"/>
        </w:rPr>
        <w:t xml:space="preserve"> points)</w:t>
      </w:r>
    </w:p>
    <w:p w:rsidR="00245741" w:rsidRPr="001411CD" w:rsidRDefault="00245741" w:rsidP="00245741">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Connaissance approfondie en matière d’analyse de la dynamique des</w:t>
      </w:r>
      <w:r w:rsidR="001C24BA" w:rsidRPr="001411CD">
        <w:rPr>
          <w:rFonts w:ascii="Arial" w:hAnsi="Arial" w:cs="Arial"/>
          <w:color w:val="272627"/>
        </w:rPr>
        <w:t xml:space="preserve"> économies locales et nationale. </w:t>
      </w:r>
      <w:r w:rsidR="001C24BA" w:rsidRPr="001411CD">
        <w:rPr>
          <w:rFonts w:ascii="Arial" w:hAnsi="Arial" w:cs="Arial"/>
          <w:b/>
          <w:color w:val="272627"/>
        </w:rPr>
        <w:t>(15 points)</w:t>
      </w:r>
    </w:p>
    <w:p w:rsidR="0018615E" w:rsidRPr="001411CD" w:rsidRDefault="0018615E" w:rsidP="00245741">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Connaissance en matière d’appui au démarrage d’entreprises et l’</w:t>
      </w:r>
      <w:r w:rsidR="001C24BA" w:rsidRPr="001411CD">
        <w:rPr>
          <w:rFonts w:ascii="Arial" w:hAnsi="Arial" w:cs="Arial"/>
          <w:color w:val="272627"/>
        </w:rPr>
        <w:t>appui conseil aux entrepreneurs</w:t>
      </w:r>
      <w:r w:rsidR="00DD265B" w:rsidRPr="001411CD">
        <w:rPr>
          <w:rFonts w:ascii="Arial" w:hAnsi="Arial" w:cs="Arial"/>
          <w:color w:val="272627"/>
        </w:rPr>
        <w:t xml:space="preserve"> agricoles</w:t>
      </w:r>
      <w:r w:rsidR="001C24BA" w:rsidRPr="001411CD">
        <w:rPr>
          <w:rFonts w:ascii="Arial" w:hAnsi="Arial" w:cs="Arial"/>
          <w:color w:val="272627"/>
        </w:rPr>
        <w:t xml:space="preserve">. </w:t>
      </w:r>
      <w:r w:rsidR="001C24BA" w:rsidRPr="001411CD">
        <w:rPr>
          <w:rFonts w:ascii="Arial" w:hAnsi="Arial" w:cs="Arial"/>
          <w:b/>
          <w:color w:val="272627"/>
        </w:rPr>
        <w:t>(15 points)</w:t>
      </w:r>
    </w:p>
    <w:p w:rsidR="00BF0DB1" w:rsidRPr="001411CD" w:rsidRDefault="00BF0DB1" w:rsidP="00EB4B5A">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Pratique professionnelle </w:t>
      </w:r>
      <w:r w:rsidR="00245741" w:rsidRPr="001411CD">
        <w:rPr>
          <w:rFonts w:ascii="Arial" w:hAnsi="Arial" w:cs="Arial"/>
          <w:color w:val="272627"/>
        </w:rPr>
        <w:t xml:space="preserve">de la démarche de </w:t>
      </w:r>
      <w:r w:rsidRPr="001411CD">
        <w:rPr>
          <w:rFonts w:ascii="Arial" w:hAnsi="Arial" w:cs="Arial"/>
          <w:color w:val="272627"/>
        </w:rPr>
        <w:t>gestion axée sur les résultats</w:t>
      </w:r>
      <w:r w:rsidR="00245741" w:rsidRPr="001411CD">
        <w:rPr>
          <w:rFonts w:ascii="Arial" w:hAnsi="Arial" w:cs="Arial"/>
          <w:color w:val="272627"/>
        </w:rPr>
        <w:t>, et d’appréciation de l’aspect « genre »</w:t>
      </w:r>
      <w:r w:rsidR="001C24BA" w:rsidRPr="001411CD">
        <w:rPr>
          <w:rFonts w:ascii="Arial" w:hAnsi="Arial" w:cs="Arial"/>
          <w:color w:val="272627"/>
        </w:rPr>
        <w:t xml:space="preserve">. </w:t>
      </w:r>
      <w:r w:rsidR="001C24BA" w:rsidRPr="001411CD">
        <w:rPr>
          <w:rFonts w:ascii="Arial" w:hAnsi="Arial" w:cs="Arial"/>
          <w:b/>
          <w:color w:val="272627"/>
        </w:rPr>
        <w:t>(</w:t>
      </w:r>
      <w:r w:rsidR="00ED5A26" w:rsidRPr="001411CD">
        <w:rPr>
          <w:rFonts w:ascii="Arial" w:hAnsi="Arial" w:cs="Arial"/>
          <w:b/>
          <w:color w:val="272627"/>
        </w:rPr>
        <w:t>15</w:t>
      </w:r>
      <w:r w:rsidR="001C24BA" w:rsidRPr="001411CD">
        <w:rPr>
          <w:rFonts w:ascii="Arial" w:hAnsi="Arial" w:cs="Arial"/>
          <w:b/>
          <w:color w:val="272627"/>
        </w:rPr>
        <w:t xml:space="preserve"> points)</w:t>
      </w:r>
    </w:p>
    <w:p w:rsidR="00245741" w:rsidRPr="001411CD" w:rsidRDefault="00245741" w:rsidP="00EB4B5A">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Excellente maîtrise des approches participatives</w:t>
      </w:r>
      <w:r w:rsidR="001C24BA" w:rsidRPr="001411CD">
        <w:rPr>
          <w:rFonts w:ascii="Arial" w:hAnsi="Arial" w:cs="Arial"/>
          <w:color w:val="272627"/>
        </w:rPr>
        <w:t xml:space="preserve">. </w:t>
      </w:r>
      <w:r w:rsidR="001C24BA" w:rsidRPr="001411CD">
        <w:rPr>
          <w:rFonts w:ascii="Arial" w:hAnsi="Arial" w:cs="Arial"/>
          <w:b/>
          <w:color w:val="272627"/>
        </w:rPr>
        <w:t>(</w:t>
      </w:r>
      <w:r w:rsidR="00ED5A26" w:rsidRPr="001411CD">
        <w:rPr>
          <w:rFonts w:ascii="Arial" w:hAnsi="Arial" w:cs="Arial"/>
          <w:b/>
          <w:color w:val="272627"/>
        </w:rPr>
        <w:t>15</w:t>
      </w:r>
      <w:r w:rsidR="001C24BA" w:rsidRPr="001411CD">
        <w:rPr>
          <w:rFonts w:ascii="Arial" w:hAnsi="Arial" w:cs="Arial"/>
          <w:b/>
          <w:color w:val="272627"/>
        </w:rPr>
        <w:t xml:space="preserve"> points)</w:t>
      </w:r>
    </w:p>
    <w:p w:rsidR="0018615E" w:rsidRPr="001411CD" w:rsidRDefault="0018615E" w:rsidP="00EB4B5A">
      <w:pPr>
        <w:pStyle w:val="Paragraphedeliste"/>
        <w:numPr>
          <w:ilvl w:val="0"/>
          <w:numId w:val="34"/>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La familiarité avec les normes et standards d’évaluation du PNUD et de l’UNEG serait un atout. </w:t>
      </w:r>
      <w:r w:rsidR="001C24BA" w:rsidRPr="001411CD">
        <w:rPr>
          <w:rFonts w:ascii="Arial" w:hAnsi="Arial" w:cs="Arial"/>
          <w:b/>
          <w:color w:val="272627"/>
        </w:rPr>
        <w:t>(10 points)</w:t>
      </w:r>
    </w:p>
    <w:p w:rsidR="00BF0DB1" w:rsidRPr="001411CD" w:rsidRDefault="00BF0DB1" w:rsidP="00945B72">
      <w:pPr>
        <w:autoSpaceDE w:val="0"/>
        <w:autoSpaceDN w:val="0"/>
        <w:adjustRightInd w:val="0"/>
        <w:spacing w:after="0" w:line="240" w:lineRule="auto"/>
        <w:jc w:val="both"/>
        <w:rPr>
          <w:rFonts w:ascii="Arial" w:hAnsi="Arial" w:cs="Arial"/>
          <w:color w:val="272627"/>
        </w:rPr>
      </w:pPr>
    </w:p>
    <w:p w:rsidR="00BF0DB1" w:rsidRPr="001411CD" w:rsidRDefault="00BF0DB1" w:rsidP="00945B72">
      <w:pPr>
        <w:autoSpaceDE w:val="0"/>
        <w:autoSpaceDN w:val="0"/>
        <w:adjustRightInd w:val="0"/>
        <w:spacing w:after="0" w:line="240" w:lineRule="auto"/>
        <w:jc w:val="both"/>
        <w:rPr>
          <w:rFonts w:ascii="Arial" w:hAnsi="Arial" w:cs="Arial"/>
          <w:color w:val="272627"/>
        </w:rPr>
      </w:pPr>
    </w:p>
    <w:p w:rsidR="006E72A8" w:rsidRPr="001411CD" w:rsidRDefault="006E72A8" w:rsidP="00945B72">
      <w:pPr>
        <w:autoSpaceDE w:val="0"/>
        <w:autoSpaceDN w:val="0"/>
        <w:adjustRightInd w:val="0"/>
        <w:spacing w:after="0" w:line="240" w:lineRule="auto"/>
        <w:jc w:val="both"/>
        <w:rPr>
          <w:rFonts w:ascii="Arial" w:hAnsi="Arial" w:cs="Arial"/>
          <w:color w:val="272627"/>
        </w:rPr>
      </w:pPr>
    </w:p>
    <w:p w:rsidR="00945B72" w:rsidRPr="001411CD" w:rsidRDefault="0018615E" w:rsidP="00945B72">
      <w:p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10</w:t>
      </w:r>
      <w:r w:rsidR="00945B72" w:rsidRPr="001411CD">
        <w:rPr>
          <w:rFonts w:ascii="Arial" w:hAnsi="Arial" w:cs="Arial"/>
          <w:b/>
          <w:bCs/>
          <w:color w:val="3A5EA9"/>
        </w:rPr>
        <w:t>. ÉTHIQUE D’ÉVALUATION</w:t>
      </w:r>
    </w:p>
    <w:p w:rsidR="006E72A8" w:rsidRPr="001411CD" w:rsidRDefault="006E72A8" w:rsidP="00945B72">
      <w:pPr>
        <w:autoSpaceDE w:val="0"/>
        <w:autoSpaceDN w:val="0"/>
        <w:adjustRightInd w:val="0"/>
        <w:spacing w:after="0" w:line="240" w:lineRule="auto"/>
        <w:jc w:val="both"/>
        <w:rPr>
          <w:rFonts w:ascii="Arial" w:hAnsi="Arial" w:cs="Arial"/>
          <w:b/>
          <w:bCs/>
          <w:color w:val="3A5EA9"/>
        </w:rPr>
      </w:pPr>
    </w:p>
    <w:p w:rsidR="00A404B9" w:rsidRPr="001411CD" w:rsidRDefault="00A404B9" w:rsidP="00945B72">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 PNUD détient le droit d’auteur du rapport d’évaluation. </w:t>
      </w:r>
      <w:r w:rsidR="00DA32BE" w:rsidRPr="001411CD">
        <w:rPr>
          <w:rFonts w:ascii="Arial" w:hAnsi="Arial" w:cs="Arial"/>
          <w:color w:val="272627"/>
        </w:rPr>
        <w:t xml:space="preserve">L’évaluation sera </w:t>
      </w:r>
      <w:r w:rsidR="00CD135E" w:rsidRPr="001411CD">
        <w:rPr>
          <w:rFonts w:ascii="Arial" w:hAnsi="Arial" w:cs="Arial"/>
          <w:color w:val="272627"/>
        </w:rPr>
        <w:t>conduite</w:t>
      </w:r>
      <w:r w:rsidR="00945B72" w:rsidRPr="001411CD">
        <w:rPr>
          <w:rFonts w:ascii="Arial" w:hAnsi="Arial" w:cs="Arial"/>
          <w:color w:val="272627"/>
        </w:rPr>
        <w:t xml:space="preserve"> conformément aux principes mis en avant dans les « Directives éthiques pour</w:t>
      </w:r>
      <w:r w:rsidR="001411CD" w:rsidRPr="001411CD">
        <w:rPr>
          <w:rFonts w:ascii="Arial" w:hAnsi="Arial" w:cs="Arial"/>
          <w:color w:val="272627"/>
        </w:rPr>
        <w:t xml:space="preserve"> </w:t>
      </w:r>
      <w:r w:rsidR="00945B72" w:rsidRPr="001411CD">
        <w:rPr>
          <w:rFonts w:ascii="Arial" w:hAnsi="Arial" w:cs="Arial"/>
          <w:color w:val="272627"/>
        </w:rPr>
        <w:t>l’évaluation » de l’UNEG’64</w:t>
      </w:r>
      <w:r w:rsidR="00CD135E" w:rsidRPr="001411CD">
        <w:rPr>
          <w:rFonts w:ascii="Arial" w:hAnsi="Arial" w:cs="Arial"/>
          <w:color w:val="272627"/>
        </w:rPr>
        <w:t xml:space="preserve">. Les évaluateurs doivent veiller à sauvegarder </w:t>
      </w:r>
      <w:r w:rsidR="00945B72" w:rsidRPr="001411CD">
        <w:rPr>
          <w:rFonts w:ascii="Arial" w:hAnsi="Arial" w:cs="Arial"/>
          <w:color w:val="272627"/>
        </w:rPr>
        <w:t xml:space="preserve">les droits et la confidentialité des </w:t>
      </w:r>
      <w:r w:rsidR="00945B72" w:rsidRPr="001411CD">
        <w:rPr>
          <w:rFonts w:ascii="Arial" w:hAnsi="Arial" w:cs="Arial"/>
          <w:color w:val="272627"/>
        </w:rPr>
        <w:lastRenderedPageBreak/>
        <w:t>personnes fournissant</w:t>
      </w:r>
      <w:r w:rsidR="001411CD" w:rsidRPr="001411CD">
        <w:rPr>
          <w:rFonts w:ascii="Arial" w:hAnsi="Arial" w:cs="Arial"/>
          <w:color w:val="272627"/>
        </w:rPr>
        <w:t xml:space="preserve"> </w:t>
      </w:r>
      <w:r w:rsidR="00945B72" w:rsidRPr="001411CD">
        <w:rPr>
          <w:rFonts w:ascii="Arial" w:hAnsi="Arial" w:cs="Arial"/>
          <w:color w:val="272627"/>
        </w:rPr>
        <w:t>les informations, par exemple : mesures pour garantir la conformité avec les codes juridiques</w:t>
      </w:r>
      <w:r w:rsidR="001411CD" w:rsidRPr="001411CD">
        <w:rPr>
          <w:rFonts w:ascii="Arial" w:hAnsi="Arial" w:cs="Arial"/>
          <w:color w:val="272627"/>
        </w:rPr>
        <w:t xml:space="preserve"> </w:t>
      </w:r>
      <w:r w:rsidR="00945B72" w:rsidRPr="001411CD">
        <w:rPr>
          <w:rFonts w:ascii="Arial" w:hAnsi="Arial" w:cs="Arial"/>
          <w:color w:val="272627"/>
        </w:rPr>
        <w:t xml:space="preserve">régissant les </w:t>
      </w:r>
      <w:r w:rsidR="00B97B34" w:rsidRPr="001411CD">
        <w:rPr>
          <w:rFonts w:ascii="Arial" w:hAnsi="Arial" w:cs="Arial"/>
          <w:color w:val="272627"/>
        </w:rPr>
        <w:t>domaines</w:t>
      </w:r>
      <w:r w:rsidR="00945B72" w:rsidRPr="001411CD">
        <w:rPr>
          <w:rFonts w:ascii="Arial" w:hAnsi="Arial" w:cs="Arial"/>
          <w:color w:val="272627"/>
        </w:rPr>
        <w:t xml:space="preserve"> tels que les dispositions pour collecter et rapporter les données, particulièrement</w:t>
      </w:r>
      <w:r w:rsidR="001411CD" w:rsidRPr="001411CD">
        <w:rPr>
          <w:rFonts w:ascii="Arial" w:hAnsi="Arial" w:cs="Arial"/>
          <w:color w:val="272627"/>
        </w:rPr>
        <w:t xml:space="preserve"> </w:t>
      </w:r>
      <w:r w:rsidR="00945B72" w:rsidRPr="001411CD">
        <w:rPr>
          <w:rFonts w:ascii="Arial" w:hAnsi="Arial" w:cs="Arial"/>
          <w:color w:val="272627"/>
        </w:rPr>
        <w:t>les autorisations nécessaires pour interviewer ou obtenir des informations au sujet des</w:t>
      </w:r>
      <w:r w:rsidR="001411CD" w:rsidRPr="001411CD">
        <w:rPr>
          <w:rFonts w:ascii="Arial" w:hAnsi="Arial" w:cs="Arial"/>
          <w:color w:val="272627"/>
        </w:rPr>
        <w:t xml:space="preserve"> </w:t>
      </w:r>
      <w:r w:rsidR="00945B72" w:rsidRPr="001411CD">
        <w:rPr>
          <w:rFonts w:ascii="Arial" w:hAnsi="Arial" w:cs="Arial"/>
          <w:color w:val="272627"/>
        </w:rPr>
        <w:t>enfants et des adolescents ; dispositions permettant de stocker et de garder la sécurité des</w:t>
      </w:r>
      <w:r w:rsidR="001411CD" w:rsidRPr="001411CD">
        <w:rPr>
          <w:rFonts w:ascii="Arial" w:hAnsi="Arial" w:cs="Arial"/>
          <w:color w:val="272627"/>
        </w:rPr>
        <w:t xml:space="preserve"> </w:t>
      </w:r>
      <w:r w:rsidR="00945B72" w:rsidRPr="001411CD">
        <w:rPr>
          <w:rFonts w:ascii="Arial" w:hAnsi="Arial" w:cs="Arial"/>
          <w:color w:val="272627"/>
        </w:rPr>
        <w:t>informations collectées et protocoles permettant de garantir l’anonymat et la confidentialité.</w:t>
      </w:r>
    </w:p>
    <w:p w:rsidR="006E72A8" w:rsidRPr="001411CD" w:rsidRDefault="006E72A8" w:rsidP="00945B72">
      <w:pPr>
        <w:autoSpaceDE w:val="0"/>
        <w:autoSpaceDN w:val="0"/>
        <w:adjustRightInd w:val="0"/>
        <w:spacing w:after="0" w:line="240" w:lineRule="auto"/>
        <w:jc w:val="both"/>
        <w:rPr>
          <w:rFonts w:ascii="Arial" w:hAnsi="Arial" w:cs="Arial"/>
          <w:color w:val="272627"/>
        </w:rPr>
      </w:pPr>
    </w:p>
    <w:p w:rsidR="006E72A8" w:rsidRPr="001411CD" w:rsidRDefault="006E72A8" w:rsidP="00945B72">
      <w:pPr>
        <w:autoSpaceDE w:val="0"/>
        <w:autoSpaceDN w:val="0"/>
        <w:adjustRightInd w:val="0"/>
        <w:spacing w:after="0" w:line="240" w:lineRule="auto"/>
        <w:jc w:val="both"/>
        <w:rPr>
          <w:rFonts w:ascii="Arial" w:hAnsi="Arial" w:cs="Arial"/>
          <w:color w:val="272627"/>
        </w:rPr>
      </w:pPr>
    </w:p>
    <w:p w:rsidR="00945B72" w:rsidRPr="001411CD" w:rsidRDefault="0018615E" w:rsidP="00945B72">
      <w:p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11</w:t>
      </w:r>
      <w:r w:rsidR="00945B72" w:rsidRPr="001411CD">
        <w:rPr>
          <w:rFonts w:ascii="Arial" w:hAnsi="Arial" w:cs="Arial"/>
          <w:b/>
          <w:bCs/>
          <w:color w:val="3A5EA9"/>
        </w:rPr>
        <w:t>. MODALITÉS D’EXÉCUTION</w:t>
      </w:r>
    </w:p>
    <w:p w:rsidR="006E72A8" w:rsidRPr="001411CD" w:rsidRDefault="006E72A8" w:rsidP="00945B72">
      <w:pPr>
        <w:autoSpaceDE w:val="0"/>
        <w:autoSpaceDN w:val="0"/>
        <w:adjustRightInd w:val="0"/>
        <w:spacing w:after="0" w:line="240" w:lineRule="auto"/>
        <w:jc w:val="both"/>
        <w:rPr>
          <w:rFonts w:ascii="Arial" w:hAnsi="Arial" w:cs="Arial"/>
          <w:b/>
          <w:bCs/>
          <w:color w:val="3A5EA9"/>
        </w:rPr>
      </w:pPr>
    </w:p>
    <w:p w:rsidR="00496F2C" w:rsidRPr="001411CD" w:rsidRDefault="00F8505F" w:rsidP="00945B72">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Le point focal de cette évaluation est l</w:t>
      </w:r>
      <w:r w:rsidR="00496F2C" w:rsidRPr="001411CD">
        <w:rPr>
          <w:rFonts w:ascii="Arial" w:hAnsi="Arial" w:cs="Arial"/>
          <w:color w:val="272627"/>
        </w:rPr>
        <w:t>’Expert chargé du Suivi et de l’Evaluation de la thématique Croissance Inclusive du PNUD.</w:t>
      </w:r>
      <w:r w:rsidRPr="001411CD">
        <w:rPr>
          <w:rFonts w:ascii="Arial" w:hAnsi="Arial" w:cs="Arial"/>
          <w:color w:val="272627"/>
        </w:rPr>
        <w:t xml:space="preserve"> Pour faciliter le processus </w:t>
      </w:r>
      <w:r w:rsidR="00557026" w:rsidRPr="001411CD">
        <w:rPr>
          <w:rFonts w:ascii="Arial" w:hAnsi="Arial" w:cs="Arial"/>
          <w:color w:val="272627"/>
        </w:rPr>
        <w:t>de l</w:t>
      </w:r>
      <w:r w:rsidRPr="001411CD">
        <w:rPr>
          <w:rFonts w:ascii="Arial" w:hAnsi="Arial" w:cs="Arial"/>
          <w:color w:val="272627"/>
        </w:rPr>
        <w:t xml:space="preserve">’évaluation </w:t>
      </w:r>
      <w:r w:rsidR="00557026" w:rsidRPr="001411CD">
        <w:rPr>
          <w:rFonts w:ascii="Arial" w:hAnsi="Arial" w:cs="Arial"/>
          <w:color w:val="272627"/>
        </w:rPr>
        <w:t>finale du projet</w:t>
      </w:r>
      <w:r w:rsidRPr="001411CD">
        <w:rPr>
          <w:rFonts w:ascii="Arial" w:hAnsi="Arial" w:cs="Arial"/>
          <w:color w:val="272627"/>
        </w:rPr>
        <w:t xml:space="preserve">, </w:t>
      </w:r>
      <w:r w:rsidR="00557026" w:rsidRPr="001411CD">
        <w:rPr>
          <w:rFonts w:ascii="Arial" w:hAnsi="Arial" w:cs="Arial"/>
          <w:color w:val="272627"/>
        </w:rPr>
        <w:t xml:space="preserve">il sera mis en place </w:t>
      </w:r>
      <w:r w:rsidRPr="001411CD">
        <w:rPr>
          <w:rFonts w:ascii="Arial" w:hAnsi="Arial" w:cs="Arial"/>
          <w:color w:val="272627"/>
        </w:rPr>
        <w:t>un</w:t>
      </w:r>
      <w:r w:rsidR="00557026" w:rsidRPr="001411CD">
        <w:rPr>
          <w:rFonts w:ascii="Arial" w:hAnsi="Arial" w:cs="Arial"/>
          <w:color w:val="272627"/>
        </w:rPr>
        <w:t xml:space="preserve"> groupe de référence composé du </w:t>
      </w:r>
      <w:r w:rsidR="00496F2C" w:rsidRPr="001411CD">
        <w:rPr>
          <w:rFonts w:ascii="Arial" w:hAnsi="Arial" w:cs="Arial"/>
          <w:color w:val="272627"/>
        </w:rPr>
        <w:t xml:space="preserve">Directeur National du Projet, du Point Focal National du Projet, d’un Représentant de Songhaï, du Team Leader </w:t>
      </w:r>
      <w:r w:rsidR="00557026" w:rsidRPr="001411CD">
        <w:rPr>
          <w:rFonts w:ascii="Arial" w:hAnsi="Arial" w:cs="Arial"/>
          <w:color w:val="272627"/>
        </w:rPr>
        <w:t xml:space="preserve">de la thématique Croissance Inclusive du PNUD, de l’Economiste Nationale du PNUD, </w:t>
      </w:r>
      <w:r w:rsidR="00496F2C" w:rsidRPr="001411CD">
        <w:rPr>
          <w:rFonts w:ascii="Arial" w:hAnsi="Arial" w:cs="Arial"/>
          <w:color w:val="272627"/>
        </w:rPr>
        <w:t xml:space="preserve">du Chargé de Programme Agriculture de la thématique Croissance Inclusive du PNUD, du Chargé de Programme Suivi et Evaluation du PNUD, et du Point focal de l’évaluation. </w:t>
      </w:r>
    </w:p>
    <w:p w:rsidR="00496F2C" w:rsidRPr="001411CD" w:rsidRDefault="00496F2C" w:rsidP="00945B72">
      <w:pPr>
        <w:autoSpaceDE w:val="0"/>
        <w:autoSpaceDN w:val="0"/>
        <w:adjustRightInd w:val="0"/>
        <w:spacing w:after="0" w:line="240" w:lineRule="auto"/>
        <w:jc w:val="both"/>
        <w:rPr>
          <w:rFonts w:ascii="Arial" w:hAnsi="Arial" w:cs="Arial"/>
          <w:color w:val="272627"/>
        </w:rPr>
      </w:pPr>
    </w:p>
    <w:p w:rsidR="00945B72" w:rsidRPr="001411CD" w:rsidRDefault="00F8505F" w:rsidP="00945B72">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Ce groupe </w:t>
      </w:r>
      <w:r w:rsidR="00496F2C" w:rsidRPr="001411CD">
        <w:rPr>
          <w:rFonts w:ascii="Arial" w:hAnsi="Arial" w:cs="Arial"/>
          <w:color w:val="272627"/>
        </w:rPr>
        <w:t>va assurer un processus participatif de l’évaluation et les commentaires sur le</w:t>
      </w:r>
      <w:r w:rsidR="00B605C8" w:rsidRPr="001411CD">
        <w:rPr>
          <w:rFonts w:ascii="Arial" w:hAnsi="Arial" w:cs="Arial"/>
          <w:color w:val="272627"/>
        </w:rPr>
        <w:t>s différents produits notamment sur le rapport final. Il aidera</w:t>
      </w:r>
      <w:r w:rsidR="006E3437" w:rsidRPr="001411CD">
        <w:rPr>
          <w:rFonts w:ascii="Arial" w:hAnsi="Arial" w:cs="Arial"/>
          <w:color w:val="272627"/>
        </w:rPr>
        <w:t xml:space="preserve"> à </w:t>
      </w:r>
      <w:r w:rsidR="00B605C8" w:rsidRPr="001411CD">
        <w:rPr>
          <w:rFonts w:ascii="Arial" w:hAnsi="Arial" w:cs="Arial"/>
          <w:color w:val="272627"/>
        </w:rPr>
        <w:t xml:space="preserve">mettre </w:t>
      </w:r>
      <w:r w:rsidRPr="001411CD">
        <w:rPr>
          <w:rFonts w:ascii="Arial" w:hAnsi="Arial" w:cs="Arial"/>
          <w:color w:val="272627"/>
        </w:rPr>
        <w:t xml:space="preserve">l’équipe d’évaluation </w:t>
      </w:r>
      <w:r w:rsidR="00B605C8" w:rsidRPr="001411CD">
        <w:rPr>
          <w:rFonts w:ascii="Arial" w:hAnsi="Arial" w:cs="Arial"/>
          <w:color w:val="272627"/>
        </w:rPr>
        <w:t xml:space="preserve">en contact avec </w:t>
      </w:r>
      <w:r w:rsidR="006E3437" w:rsidRPr="001411CD">
        <w:rPr>
          <w:rFonts w:ascii="Arial" w:hAnsi="Arial" w:cs="Arial"/>
          <w:color w:val="272627"/>
        </w:rPr>
        <w:t xml:space="preserve">la direction du PNUD, le Comité de </w:t>
      </w:r>
      <w:r w:rsidR="00B605C8" w:rsidRPr="001411CD">
        <w:rPr>
          <w:rFonts w:ascii="Arial" w:hAnsi="Arial" w:cs="Arial"/>
          <w:color w:val="272627"/>
        </w:rPr>
        <w:t>technique de gestion du projet</w:t>
      </w:r>
      <w:r w:rsidR="006E3437" w:rsidRPr="001411CD">
        <w:rPr>
          <w:rFonts w:ascii="Arial" w:hAnsi="Arial" w:cs="Arial"/>
          <w:color w:val="272627"/>
        </w:rPr>
        <w:t xml:space="preserve"> et les principales parties prenantes. De plus ce groupe va apporter un appui substantif et logisti</w:t>
      </w:r>
      <w:r w:rsidR="00B605C8" w:rsidRPr="001411CD">
        <w:rPr>
          <w:rFonts w:ascii="Arial" w:hAnsi="Arial" w:cs="Arial"/>
          <w:color w:val="272627"/>
        </w:rPr>
        <w:t xml:space="preserve">que à l’équipe d’évaluation. </w:t>
      </w:r>
    </w:p>
    <w:p w:rsidR="00B605C8" w:rsidRPr="001411CD" w:rsidRDefault="00B605C8" w:rsidP="00945B72">
      <w:pPr>
        <w:autoSpaceDE w:val="0"/>
        <w:autoSpaceDN w:val="0"/>
        <w:adjustRightInd w:val="0"/>
        <w:spacing w:after="0" w:line="240" w:lineRule="auto"/>
        <w:jc w:val="both"/>
        <w:rPr>
          <w:rFonts w:ascii="Arial" w:hAnsi="Arial" w:cs="Arial"/>
          <w:color w:val="272627"/>
        </w:rPr>
      </w:pPr>
    </w:p>
    <w:p w:rsidR="006E3437" w:rsidRPr="001411CD" w:rsidRDefault="006E3437" w:rsidP="00945B72">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 </w:t>
      </w:r>
      <w:r w:rsidR="00B605C8" w:rsidRPr="001411CD">
        <w:rPr>
          <w:rFonts w:ascii="Arial" w:hAnsi="Arial" w:cs="Arial"/>
          <w:color w:val="272627"/>
        </w:rPr>
        <w:t xml:space="preserve">Point Focal de l’évaluation ensemble le Chargé de Programme Agriculture de la thématique Croissance Inclusive du PNUD, et le Point Focal National du projet, </w:t>
      </w:r>
      <w:r w:rsidR="00E8141A" w:rsidRPr="001411CD">
        <w:rPr>
          <w:rFonts w:ascii="Arial" w:hAnsi="Arial" w:cs="Arial"/>
          <w:color w:val="272627"/>
        </w:rPr>
        <w:t>assisteront l’équipe</w:t>
      </w:r>
      <w:r w:rsidR="00B605C8" w:rsidRPr="001411CD">
        <w:rPr>
          <w:rFonts w:ascii="Arial" w:hAnsi="Arial" w:cs="Arial"/>
          <w:color w:val="272627"/>
        </w:rPr>
        <w:t xml:space="preserve"> des évaluateurs dans la conduit</w:t>
      </w:r>
      <w:r w:rsidR="00E8141A" w:rsidRPr="001411CD">
        <w:rPr>
          <w:rFonts w:ascii="Arial" w:hAnsi="Arial" w:cs="Arial"/>
          <w:color w:val="272627"/>
        </w:rPr>
        <w:t>e d</w:t>
      </w:r>
      <w:r w:rsidR="00A62D63" w:rsidRPr="001411CD">
        <w:rPr>
          <w:rFonts w:ascii="Arial" w:hAnsi="Arial" w:cs="Arial"/>
          <w:color w:val="272627"/>
        </w:rPr>
        <w:t xml:space="preserve">es visites de terrain et </w:t>
      </w:r>
      <w:r w:rsidR="00B605C8" w:rsidRPr="001411CD">
        <w:rPr>
          <w:rFonts w:ascii="Arial" w:hAnsi="Arial" w:cs="Arial"/>
          <w:color w:val="272627"/>
        </w:rPr>
        <w:t xml:space="preserve">à </w:t>
      </w:r>
      <w:r w:rsidR="00A62D63" w:rsidRPr="001411CD">
        <w:rPr>
          <w:rFonts w:ascii="Arial" w:hAnsi="Arial" w:cs="Arial"/>
          <w:color w:val="272627"/>
        </w:rPr>
        <w:t xml:space="preserve">organiser les rencontres.  </w:t>
      </w:r>
    </w:p>
    <w:p w:rsidR="006E72A8" w:rsidRPr="001411CD" w:rsidRDefault="006E72A8" w:rsidP="00945B72">
      <w:pPr>
        <w:autoSpaceDE w:val="0"/>
        <w:autoSpaceDN w:val="0"/>
        <w:adjustRightInd w:val="0"/>
        <w:spacing w:after="0" w:line="240" w:lineRule="auto"/>
        <w:jc w:val="both"/>
        <w:rPr>
          <w:rFonts w:ascii="Arial" w:hAnsi="Arial" w:cs="Arial"/>
          <w:color w:val="272627"/>
        </w:rPr>
      </w:pPr>
    </w:p>
    <w:p w:rsidR="006E72A8" w:rsidRPr="001411CD" w:rsidRDefault="006E72A8" w:rsidP="00945B72">
      <w:pPr>
        <w:autoSpaceDE w:val="0"/>
        <w:autoSpaceDN w:val="0"/>
        <w:adjustRightInd w:val="0"/>
        <w:spacing w:after="0" w:line="240" w:lineRule="auto"/>
        <w:jc w:val="both"/>
        <w:rPr>
          <w:rFonts w:ascii="Arial" w:hAnsi="Arial" w:cs="Arial"/>
          <w:color w:val="272627"/>
        </w:rPr>
      </w:pPr>
    </w:p>
    <w:p w:rsidR="00945B72" w:rsidRPr="001411CD" w:rsidRDefault="00897F6D" w:rsidP="00945B72">
      <w:p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12</w:t>
      </w:r>
      <w:r w:rsidR="00945B72" w:rsidRPr="001411CD">
        <w:rPr>
          <w:rFonts w:ascii="Arial" w:hAnsi="Arial" w:cs="Arial"/>
          <w:b/>
          <w:bCs/>
          <w:color w:val="3A5EA9"/>
        </w:rPr>
        <w:t xml:space="preserve">. </w:t>
      </w:r>
      <w:r w:rsidRPr="001411CD">
        <w:rPr>
          <w:rFonts w:ascii="Arial" w:hAnsi="Arial" w:cs="Arial"/>
          <w:b/>
          <w:bCs/>
          <w:color w:val="3A5EA9"/>
        </w:rPr>
        <w:t>METHODES D’EVALUATION DES OFFRES</w:t>
      </w:r>
    </w:p>
    <w:p w:rsidR="006E72A8" w:rsidRPr="001411CD" w:rsidRDefault="006E72A8" w:rsidP="00945B72">
      <w:pPr>
        <w:autoSpaceDE w:val="0"/>
        <w:autoSpaceDN w:val="0"/>
        <w:adjustRightInd w:val="0"/>
        <w:spacing w:after="0" w:line="240" w:lineRule="auto"/>
        <w:jc w:val="both"/>
        <w:rPr>
          <w:rFonts w:ascii="Arial" w:hAnsi="Arial" w:cs="Arial"/>
          <w:b/>
          <w:bCs/>
          <w:color w:val="3A5EA9"/>
        </w:rPr>
      </w:pPr>
    </w:p>
    <w:p w:rsidR="00025A35" w:rsidRPr="001411CD" w:rsidRDefault="00DB4CFC" w:rsidP="00025A35">
      <w:pPr>
        <w:autoSpaceDE w:val="0"/>
        <w:autoSpaceDN w:val="0"/>
        <w:adjustRightInd w:val="0"/>
        <w:spacing w:after="0" w:line="240" w:lineRule="auto"/>
        <w:jc w:val="both"/>
        <w:rPr>
          <w:rFonts w:ascii="Arial" w:hAnsi="Arial" w:cs="Arial"/>
          <w:color w:val="272627"/>
        </w:rPr>
      </w:pPr>
      <w:r w:rsidRPr="001411CD">
        <w:rPr>
          <w:rFonts w:ascii="Arial" w:hAnsi="Arial" w:cs="Arial"/>
          <w:b/>
          <w:color w:val="272627"/>
        </w:rPr>
        <w:t>Evaluation technique</w:t>
      </w:r>
      <w:r w:rsidRPr="001411CD">
        <w:rPr>
          <w:rFonts w:ascii="Arial" w:hAnsi="Arial" w:cs="Arial"/>
          <w:color w:val="272627"/>
        </w:rPr>
        <w:t xml:space="preserve"> : </w:t>
      </w:r>
      <w:r w:rsidR="00025A35" w:rsidRPr="001411CD">
        <w:rPr>
          <w:rFonts w:ascii="Arial" w:hAnsi="Arial" w:cs="Arial"/>
          <w:color w:val="272627"/>
        </w:rPr>
        <w:t xml:space="preserve">L’évaluation </w:t>
      </w:r>
      <w:r w:rsidRPr="001411CD">
        <w:rPr>
          <w:rFonts w:ascii="Arial" w:hAnsi="Arial" w:cs="Arial"/>
          <w:color w:val="272627"/>
        </w:rPr>
        <w:t xml:space="preserve">technique </w:t>
      </w:r>
      <w:r w:rsidR="00025A35" w:rsidRPr="001411CD">
        <w:rPr>
          <w:rFonts w:ascii="Arial" w:hAnsi="Arial" w:cs="Arial"/>
          <w:color w:val="272627"/>
        </w:rPr>
        <w:t xml:space="preserve">des offres se fera sur la base de la grille d’évaluation de </w:t>
      </w:r>
      <w:r w:rsidR="00E8141A" w:rsidRPr="001411CD">
        <w:rPr>
          <w:rFonts w:ascii="Arial" w:hAnsi="Arial" w:cs="Arial"/>
          <w:color w:val="272627"/>
        </w:rPr>
        <w:t>chaque consultant</w:t>
      </w:r>
      <w:r w:rsidR="00025A35" w:rsidRPr="001411CD">
        <w:rPr>
          <w:rFonts w:ascii="Arial" w:hAnsi="Arial" w:cs="Arial"/>
          <w:color w:val="272627"/>
        </w:rPr>
        <w:t> </w:t>
      </w:r>
      <w:r w:rsidRPr="001411CD">
        <w:rPr>
          <w:rFonts w:ascii="Arial" w:hAnsi="Arial" w:cs="Arial"/>
          <w:color w:val="272627"/>
        </w:rPr>
        <w:t xml:space="preserve">suivant les exigences de chaque profil (cf. Point 9 sur les compétences requises). </w:t>
      </w:r>
    </w:p>
    <w:p w:rsidR="00DB4CFC" w:rsidRPr="001411CD" w:rsidRDefault="00DB4CFC" w:rsidP="00025A35">
      <w:pPr>
        <w:autoSpaceDE w:val="0"/>
        <w:autoSpaceDN w:val="0"/>
        <w:adjustRightInd w:val="0"/>
        <w:spacing w:after="0" w:line="240" w:lineRule="auto"/>
        <w:jc w:val="both"/>
        <w:rPr>
          <w:rFonts w:ascii="Arial" w:hAnsi="Arial" w:cs="Arial"/>
          <w:color w:val="272627"/>
        </w:rPr>
      </w:pPr>
    </w:p>
    <w:p w:rsidR="00DB4CFC" w:rsidRPr="001411CD" w:rsidRDefault="00DB4CFC" w:rsidP="00DB4CFC">
      <w:pPr>
        <w:autoSpaceDE w:val="0"/>
        <w:autoSpaceDN w:val="0"/>
        <w:adjustRightInd w:val="0"/>
        <w:spacing w:after="0" w:line="240" w:lineRule="auto"/>
        <w:jc w:val="both"/>
        <w:rPr>
          <w:rFonts w:ascii="Arial" w:hAnsi="Arial" w:cs="Arial"/>
          <w:color w:val="272627"/>
        </w:rPr>
      </w:pPr>
      <w:r w:rsidRPr="001411CD">
        <w:rPr>
          <w:rFonts w:ascii="Arial" w:hAnsi="Arial" w:cs="Arial"/>
          <w:b/>
          <w:color w:val="272627"/>
        </w:rPr>
        <w:t>Evaluation financière</w:t>
      </w:r>
      <w:r w:rsidRPr="001411CD">
        <w:rPr>
          <w:rFonts w:ascii="Arial" w:hAnsi="Arial" w:cs="Arial"/>
          <w:color w:val="272627"/>
        </w:rPr>
        <w:t xml:space="preserve"> : La formule utilisée pour déterminer les scores financiers est la suivante </w:t>
      </w:r>
      <w:proofErr w:type="gramStart"/>
      <w:r w:rsidRPr="001411CD">
        <w:rPr>
          <w:rFonts w:ascii="Arial" w:hAnsi="Arial" w:cs="Arial"/>
          <w:color w:val="272627"/>
        </w:rPr>
        <w:t>:SF</w:t>
      </w:r>
      <w:proofErr w:type="gramEnd"/>
      <w:r w:rsidRPr="001411CD">
        <w:rPr>
          <w:rFonts w:ascii="Arial" w:hAnsi="Arial" w:cs="Arial"/>
          <w:color w:val="272627"/>
        </w:rPr>
        <w:t xml:space="preserve">=100 x Fm /F, où SF est le score financier, Fm est la proposition la moins </w:t>
      </w:r>
      <w:proofErr w:type="spellStart"/>
      <w:r w:rsidRPr="001411CD">
        <w:rPr>
          <w:rFonts w:ascii="Arial" w:hAnsi="Arial" w:cs="Arial"/>
          <w:color w:val="272627"/>
        </w:rPr>
        <w:t>disant</w:t>
      </w:r>
      <w:r w:rsidR="0016234C" w:rsidRPr="001411CD">
        <w:rPr>
          <w:rFonts w:ascii="Arial" w:hAnsi="Arial" w:cs="Arial"/>
          <w:color w:val="272627"/>
        </w:rPr>
        <w:t>e</w:t>
      </w:r>
      <w:proofErr w:type="spellEnd"/>
      <w:r w:rsidRPr="001411CD">
        <w:rPr>
          <w:rFonts w:ascii="Arial" w:hAnsi="Arial" w:cs="Arial"/>
          <w:color w:val="272627"/>
        </w:rPr>
        <w:t xml:space="preserve"> et F le prix de la proposition considérée</w:t>
      </w:r>
    </w:p>
    <w:p w:rsidR="00025A35" w:rsidRPr="001411CD" w:rsidRDefault="00025A35" w:rsidP="00025A35">
      <w:pPr>
        <w:autoSpaceDE w:val="0"/>
        <w:autoSpaceDN w:val="0"/>
        <w:adjustRightInd w:val="0"/>
        <w:spacing w:after="0" w:line="240" w:lineRule="auto"/>
        <w:jc w:val="both"/>
        <w:rPr>
          <w:rFonts w:ascii="Arial" w:hAnsi="Arial" w:cs="Arial"/>
          <w:color w:val="272627"/>
        </w:rPr>
      </w:pPr>
    </w:p>
    <w:p w:rsidR="00025A35" w:rsidRPr="001411CD" w:rsidRDefault="00025A35" w:rsidP="00025A35">
      <w:pPr>
        <w:autoSpaceDE w:val="0"/>
        <w:autoSpaceDN w:val="0"/>
        <w:adjustRightInd w:val="0"/>
        <w:spacing w:after="0" w:line="240" w:lineRule="auto"/>
        <w:jc w:val="both"/>
        <w:rPr>
          <w:rFonts w:ascii="Arial" w:hAnsi="Arial" w:cs="Arial"/>
          <w:color w:val="272627"/>
        </w:rPr>
      </w:pPr>
    </w:p>
    <w:p w:rsidR="00025A35" w:rsidRPr="001411CD" w:rsidRDefault="00DB4CFC" w:rsidP="00DB4CFC">
      <w:pPr>
        <w:autoSpaceDE w:val="0"/>
        <w:autoSpaceDN w:val="0"/>
        <w:adjustRightInd w:val="0"/>
        <w:spacing w:after="0" w:line="240" w:lineRule="auto"/>
        <w:jc w:val="both"/>
        <w:rPr>
          <w:rFonts w:ascii="Arial" w:hAnsi="Arial" w:cs="Arial"/>
          <w:color w:val="272627"/>
        </w:rPr>
      </w:pPr>
      <w:r w:rsidRPr="001411CD">
        <w:rPr>
          <w:rFonts w:ascii="Arial" w:hAnsi="Arial" w:cs="Arial"/>
          <w:b/>
          <w:color w:val="272627"/>
        </w:rPr>
        <w:t xml:space="preserve">Evaluation finale : </w:t>
      </w:r>
      <w:r w:rsidRPr="001411CD">
        <w:rPr>
          <w:rFonts w:ascii="Arial" w:hAnsi="Arial" w:cs="Arial"/>
          <w:color w:val="272627"/>
        </w:rPr>
        <w:t xml:space="preserve">La notation finale sera la moyenne pondérée de la note technique et de la note financière avec les coefficients de pondération suivants : score technique (70%) et score financier (30%). Les pondérations attribuées aux propositions techniques et financières sont </w:t>
      </w:r>
      <w:proofErr w:type="gramStart"/>
      <w:r w:rsidRPr="001411CD">
        <w:rPr>
          <w:rFonts w:ascii="Arial" w:hAnsi="Arial" w:cs="Arial"/>
          <w:color w:val="272627"/>
        </w:rPr>
        <w:t>:T</w:t>
      </w:r>
      <w:proofErr w:type="gramEnd"/>
      <w:r w:rsidRPr="001411CD">
        <w:rPr>
          <w:rFonts w:ascii="Arial" w:hAnsi="Arial" w:cs="Arial"/>
          <w:color w:val="272627"/>
        </w:rPr>
        <w:t>= 0,70 et F=0,30</w:t>
      </w:r>
    </w:p>
    <w:p w:rsidR="00822A5F" w:rsidRPr="001411CD" w:rsidRDefault="00822A5F" w:rsidP="00DB4CFC">
      <w:pPr>
        <w:autoSpaceDE w:val="0"/>
        <w:autoSpaceDN w:val="0"/>
        <w:adjustRightInd w:val="0"/>
        <w:spacing w:after="0" w:line="240" w:lineRule="auto"/>
        <w:jc w:val="both"/>
        <w:rPr>
          <w:rFonts w:ascii="Arial" w:hAnsi="Arial" w:cs="Arial"/>
          <w:color w:val="272627"/>
        </w:rPr>
      </w:pPr>
    </w:p>
    <w:p w:rsidR="00822A5F" w:rsidRPr="001411CD" w:rsidRDefault="00822A5F" w:rsidP="00822A5F">
      <w:p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13. PRESENTATION ET CONSTITUTION DE L’OFFRE</w:t>
      </w:r>
    </w:p>
    <w:p w:rsidR="00822A5F" w:rsidRPr="001411CD" w:rsidRDefault="00822A5F" w:rsidP="00822A5F">
      <w:pPr>
        <w:autoSpaceDE w:val="0"/>
        <w:autoSpaceDN w:val="0"/>
        <w:adjustRightInd w:val="0"/>
        <w:spacing w:after="0" w:line="240" w:lineRule="auto"/>
        <w:jc w:val="both"/>
        <w:rPr>
          <w:rFonts w:ascii="Arial" w:hAnsi="Arial" w:cs="Arial"/>
          <w:b/>
          <w:bCs/>
          <w:color w:val="3A5EA9"/>
        </w:rPr>
      </w:pPr>
    </w:p>
    <w:p w:rsidR="00822A5F" w:rsidRPr="001411CD" w:rsidRDefault="00822A5F" w:rsidP="00822A5F">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La soumission doit comporter une offre technique et une offre financière.                                                                                                                                                                                                                                                                                                                             Les dossiers de soumission doivent être dans deux enveloppes séparées (offre technique et offre financière) incluant un original et deux copies. </w:t>
      </w:r>
    </w:p>
    <w:p w:rsidR="00822A5F" w:rsidRPr="001411CD" w:rsidRDefault="00822A5F" w:rsidP="00822A5F">
      <w:pPr>
        <w:autoSpaceDE w:val="0"/>
        <w:autoSpaceDN w:val="0"/>
        <w:adjustRightInd w:val="0"/>
        <w:spacing w:after="0" w:line="240" w:lineRule="auto"/>
        <w:jc w:val="both"/>
        <w:rPr>
          <w:rFonts w:ascii="Arial" w:hAnsi="Arial" w:cs="Arial"/>
          <w:color w:val="272627"/>
        </w:rPr>
      </w:pPr>
    </w:p>
    <w:p w:rsidR="00822A5F" w:rsidRPr="001411CD" w:rsidRDefault="00822A5F" w:rsidP="00822A5F">
      <w:pPr>
        <w:numPr>
          <w:ilvl w:val="0"/>
          <w:numId w:val="35"/>
        </w:numPr>
        <w:autoSpaceDE w:val="0"/>
        <w:autoSpaceDN w:val="0"/>
        <w:adjustRightInd w:val="0"/>
        <w:spacing w:after="0" w:line="240" w:lineRule="auto"/>
        <w:jc w:val="both"/>
        <w:rPr>
          <w:rFonts w:ascii="Arial" w:hAnsi="Arial" w:cs="Arial"/>
          <w:b/>
          <w:bCs/>
          <w:color w:val="272627"/>
        </w:rPr>
      </w:pPr>
      <w:r w:rsidRPr="001411CD">
        <w:rPr>
          <w:rFonts w:ascii="Arial" w:hAnsi="Arial" w:cs="Arial"/>
          <w:b/>
          <w:bCs/>
          <w:color w:val="272627"/>
        </w:rPr>
        <w:t xml:space="preserve">Offre technique </w:t>
      </w:r>
    </w:p>
    <w:p w:rsidR="00822A5F" w:rsidRPr="001411CD" w:rsidRDefault="00822A5F" w:rsidP="00822A5F">
      <w:pPr>
        <w:autoSpaceDE w:val="0"/>
        <w:autoSpaceDN w:val="0"/>
        <w:adjustRightInd w:val="0"/>
        <w:spacing w:after="0" w:line="240" w:lineRule="auto"/>
        <w:jc w:val="both"/>
        <w:rPr>
          <w:rFonts w:ascii="Arial" w:hAnsi="Arial" w:cs="Arial"/>
          <w:color w:val="272627"/>
        </w:rPr>
      </w:pPr>
    </w:p>
    <w:p w:rsidR="00822A5F" w:rsidRPr="001411CD" w:rsidRDefault="00822A5F" w:rsidP="00822A5F">
      <w:pPr>
        <w:autoSpaceDE w:val="0"/>
        <w:autoSpaceDN w:val="0"/>
        <w:adjustRightInd w:val="0"/>
        <w:spacing w:after="0" w:line="240" w:lineRule="auto"/>
        <w:jc w:val="both"/>
        <w:rPr>
          <w:rFonts w:ascii="Arial" w:hAnsi="Arial" w:cs="Arial"/>
          <w:color w:val="272627"/>
        </w:rPr>
      </w:pPr>
      <w:r w:rsidRPr="001411CD">
        <w:rPr>
          <w:rFonts w:ascii="Arial" w:hAnsi="Arial" w:cs="Arial"/>
          <w:b/>
          <w:color w:val="272627"/>
        </w:rPr>
        <w:t xml:space="preserve">L’offre technique comprendra </w:t>
      </w:r>
      <w:r w:rsidRPr="001411CD">
        <w:rPr>
          <w:rFonts w:ascii="Arial" w:hAnsi="Arial" w:cs="Arial"/>
          <w:color w:val="272627"/>
        </w:rPr>
        <w:t>:</w:t>
      </w:r>
    </w:p>
    <w:p w:rsidR="00822A5F" w:rsidRPr="001411CD" w:rsidRDefault="00822A5F" w:rsidP="00822A5F">
      <w:pPr>
        <w:numPr>
          <w:ilvl w:val="0"/>
          <w:numId w:val="3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lastRenderedPageBreak/>
        <w:t>Un curriculum vitae précisant les expériences pertinentes et les projets similaires conduits ;</w:t>
      </w:r>
    </w:p>
    <w:p w:rsidR="00822A5F" w:rsidRPr="001411CD" w:rsidRDefault="00822A5F" w:rsidP="00822A5F">
      <w:pPr>
        <w:numPr>
          <w:ilvl w:val="0"/>
          <w:numId w:val="3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Une note de compréhension des termes de référence ;</w:t>
      </w:r>
    </w:p>
    <w:p w:rsidR="00822A5F" w:rsidRPr="001411CD" w:rsidRDefault="00822A5F" w:rsidP="00822A5F">
      <w:pPr>
        <w:numPr>
          <w:ilvl w:val="0"/>
          <w:numId w:val="3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Une note méthodologique ;</w:t>
      </w:r>
    </w:p>
    <w:p w:rsidR="00822A5F" w:rsidRPr="001411CD" w:rsidRDefault="00822A5F" w:rsidP="00822A5F">
      <w:pPr>
        <w:numPr>
          <w:ilvl w:val="0"/>
          <w:numId w:val="3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Un programme indicatif du travail ;</w:t>
      </w:r>
    </w:p>
    <w:p w:rsidR="00822A5F" w:rsidRPr="001411CD" w:rsidRDefault="00822A5F" w:rsidP="00822A5F">
      <w:pPr>
        <w:numPr>
          <w:ilvl w:val="0"/>
          <w:numId w:val="36"/>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Un formulaire P11 rempli ;</w:t>
      </w:r>
    </w:p>
    <w:p w:rsidR="00822A5F" w:rsidRPr="001411CD" w:rsidRDefault="00822A5F" w:rsidP="00822A5F">
      <w:pPr>
        <w:autoSpaceDE w:val="0"/>
        <w:autoSpaceDN w:val="0"/>
        <w:adjustRightInd w:val="0"/>
        <w:spacing w:after="0" w:line="240" w:lineRule="auto"/>
        <w:jc w:val="both"/>
        <w:rPr>
          <w:rFonts w:ascii="Arial" w:hAnsi="Arial" w:cs="Arial"/>
          <w:b/>
          <w:color w:val="272627"/>
        </w:rPr>
      </w:pPr>
    </w:p>
    <w:p w:rsidR="00822A5F" w:rsidRPr="001411CD" w:rsidRDefault="00822A5F" w:rsidP="00822A5F">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L’absence d’une pièce entraîne le rejet immédiat du dossier.</w:t>
      </w:r>
    </w:p>
    <w:p w:rsidR="000D6B07" w:rsidRPr="001411CD" w:rsidRDefault="000D6B07" w:rsidP="00822A5F">
      <w:pPr>
        <w:autoSpaceDE w:val="0"/>
        <w:autoSpaceDN w:val="0"/>
        <w:adjustRightInd w:val="0"/>
        <w:spacing w:after="0" w:line="240" w:lineRule="auto"/>
        <w:jc w:val="both"/>
        <w:rPr>
          <w:rFonts w:ascii="Arial" w:hAnsi="Arial" w:cs="Arial"/>
          <w:b/>
          <w:color w:val="272627"/>
        </w:rPr>
      </w:pPr>
    </w:p>
    <w:p w:rsidR="000D6B07" w:rsidRPr="001411CD" w:rsidRDefault="000D6B07" w:rsidP="00822A5F">
      <w:pPr>
        <w:autoSpaceDE w:val="0"/>
        <w:autoSpaceDN w:val="0"/>
        <w:adjustRightInd w:val="0"/>
        <w:spacing w:after="0" w:line="240" w:lineRule="auto"/>
        <w:jc w:val="both"/>
        <w:rPr>
          <w:rFonts w:ascii="Arial" w:hAnsi="Arial" w:cs="Arial"/>
          <w:b/>
          <w:color w:val="272627"/>
        </w:rPr>
      </w:pPr>
    </w:p>
    <w:p w:rsidR="00822A5F" w:rsidRPr="001411CD" w:rsidRDefault="00822A5F" w:rsidP="00822A5F">
      <w:pPr>
        <w:numPr>
          <w:ilvl w:val="0"/>
          <w:numId w:val="35"/>
        </w:numPr>
        <w:autoSpaceDE w:val="0"/>
        <w:autoSpaceDN w:val="0"/>
        <w:adjustRightInd w:val="0"/>
        <w:spacing w:after="0" w:line="240" w:lineRule="auto"/>
        <w:jc w:val="both"/>
        <w:rPr>
          <w:rFonts w:ascii="Arial" w:hAnsi="Arial" w:cs="Arial"/>
          <w:color w:val="272627"/>
        </w:rPr>
      </w:pPr>
      <w:r w:rsidRPr="001411CD">
        <w:rPr>
          <w:rFonts w:ascii="Arial" w:hAnsi="Arial" w:cs="Arial"/>
          <w:b/>
          <w:bCs/>
          <w:color w:val="272627"/>
        </w:rPr>
        <w:t>Offre financière</w:t>
      </w:r>
    </w:p>
    <w:p w:rsidR="00822A5F" w:rsidRPr="001411CD" w:rsidRDefault="00822A5F" w:rsidP="00822A5F">
      <w:pPr>
        <w:autoSpaceDE w:val="0"/>
        <w:autoSpaceDN w:val="0"/>
        <w:adjustRightInd w:val="0"/>
        <w:spacing w:after="0" w:line="240" w:lineRule="auto"/>
        <w:jc w:val="both"/>
        <w:rPr>
          <w:rFonts w:ascii="Arial" w:hAnsi="Arial" w:cs="Arial"/>
          <w:color w:val="272627"/>
        </w:rPr>
      </w:pPr>
    </w:p>
    <w:p w:rsidR="00822A5F" w:rsidRPr="001411CD" w:rsidRDefault="00822A5F" w:rsidP="00822A5F">
      <w:pPr>
        <w:autoSpaceDE w:val="0"/>
        <w:autoSpaceDN w:val="0"/>
        <w:adjustRightInd w:val="0"/>
        <w:spacing w:after="0" w:line="240" w:lineRule="auto"/>
        <w:jc w:val="both"/>
        <w:rPr>
          <w:rFonts w:ascii="Arial" w:hAnsi="Arial" w:cs="Arial"/>
          <w:b/>
          <w:bCs/>
          <w:color w:val="272627"/>
        </w:rPr>
      </w:pPr>
      <w:r w:rsidRPr="001411CD">
        <w:rPr>
          <w:rFonts w:ascii="Arial" w:hAnsi="Arial" w:cs="Arial"/>
          <w:bCs/>
          <w:color w:val="272627"/>
        </w:rPr>
        <w:t xml:space="preserve">Le consultant doit nous faire une </w:t>
      </w:r>
      <w:proofErr w:type="spellStart"/>
      <w:r w:rsidRPr="001411CD">
        <w:rPr>
          <w:rFonts w:ascii="Arial" w:hAnsi="Arial" w:cs="Arial"/>
          <w:bCs/>
          <w:color w:val="272627"/>
        </w:rPr>
        <w:t>proforma</w:t>
      </w:r>
      <w:proofErr w:type="spellEnd"/>
      <w:r w:rsidRPr="001411CD">
        <w:rPr>
          <w:rFonts w:ascii="Arial" w:hAnsi="Arial" w:cs="Arial"/>
          <w:bCs/>
          <w:color w:val="272627"/>
        </w:rPr>
        <w:t xml:space="preserve"> à un prix forfaitaire pour toute la mission. Ce prix forfaitaire doit prendre en compte les honoraires du consultant.</w:t>
      </w:r>
    </w:p>
    <w:p w:rsidR="00822A5F" w:rsidRPr="001411CD" w:rsidRDefault="00822A5F" w:rsidP="00822A5F">
      <w:pPr>
        <w:autoSpaceDE w:val="0"/>
        <w:autoSpaceDN w:val="0"/>
        <w:adjustRightInd w:val="0"/>
        <w:spacing w:after="0" w:line="240" w:lineRule="auto"/>
        <w:jc w:val="both"/>
        <w:rPr>
          <w:rFonts w:ascii="Arial" w:hAnsi="Arial" w:cs="Arial"/>
          <w:color w:val="272627"/>
        </w:rPr>
      </w:pPr>
    </w:p>
    <w:p w:rsidR="00822A5F" w:rsidRPr="001411CD" w:rsidRDefault="00822A5F" w:rsidP="00822A5F">
      <w:pPr>
        <w:autoSpaceDE w:val="0"/>
        <w:autoSpaceDN w:val="0"/>
        <w:adjustRightInd w:val="0"/>
        <w:spacing w:after="0" w:line="240" w:lineRule="auto"/>
        <w:jc w:val="both"/>
        <w:rPr>
          <w:rFonts w:ascii="Arial" w:hAnsi="Arial" w:cs="Arial"/>
          <w:color w:val="272627"/>
        </w:rPr>
      </w:pPr>
    </w:p>
    <w:p w:rsidR="00822A5F" w:rsidRPr="001411CD" w:rsidRDefault="00822A5F" w:rsidP="00822A5F">
      <w:pPr>
        <w:numPr>
          <w:ilvl w:val="0"/>
          <w:numId w:val="35"/>
        </w:numPr>
        <w:autoSpaceDE w:val="0"/>
        <w:autoSpaceDN w:val="0"/>
        <w:adjustRightInd w:val="0"/>
        <w:spacing w:after="0" w:line="240" w:lineRule="auto"/>
        <w:jc w:val="both"/>
        <w:rPr>
          <w:rFonts w:ascii="Arial" w:hAnsi="Arial" w:cs="Arial"/>
          <w:b/>
          <w:bCs/>
          <w:color w:val="272627"/>
        </w:rPr>
      </w:pPr>
      <w:r w:rsidRPr="001411CD">
        <w:rPr>
          <w:rFonts w:ascii="Arial" w:hAnsi="Arial" w:cs="Arial"/>
          <w:b/>
          <w:bCs/>
          <w:color w:val="272627"/>
        </w:rPr>
        <w:t>Dépôt des offres</w:t>
      </w:r>
    </w:p>
    <w:p w:rsidR="00822A5F" w:rsidRPr="001411CD" w:rsidRDefault="00822A5F" w:rsidP="00822A5F">
      <w:pPr>
        <w:autoSpaceDE w:val="0"/>
        <w:autoSpaceDN w:val="0"/>
        <w:adjustRightInd w:val="0"/>
        <w:spacing w:after="0" w:line="240" w:lineRule="auto"/>
        <w:jc w:val="both"/>
        <w:rPr>
          <w:rFonts w:ascii="Arial" w:hAnsi="Arial" w:cs="Arial"/>
          <w:b/>
          <w:bCs/>
          <w:color w:val="272627"/>
        </w:rPr>
      </w:pPr>
    </w:p>
    <w:p w:rsidR="00822A5F" w:rsidRPr="001411CD" w:rsidRDefault="00822A5F" w:rsidP="00822A5F">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Les dossiers doivent être reçus sous plis fermé au plus tard le </w:t>
      </w:r>
      <w:r w:rsidR="000D6B07" w:rsidRPr="001411CD">
        <w:rPr>
          <w:rFonts w:ascii="Arial" w:hAnsi="Arial" w:cs="Arial"/>
          <w:b/>
          <w:color w:val="272627"/>
        </w:rPr>
        <w:t>XX Juin</w:t>
      </w:r>
      <w:r w:rsidRPr="001411CD">
        <w:rPr>
          <w:rFonts w:ascii="Arial" w:hAnsi="Arial" w:cs="Arial"/>
          <w:b/>
          <w:color w:val="272627"/>
        </w:rPr>
        <w:t xml:space="preserve"> 2016 à 15 h00</w:t>
      </w:r>
      <w:r w:rsidRPr="001411CD">
        <w:rPr>
          <w:rFonts w:ascii="Arial" w:hAnsi="Arial" w:cs="Arial"/>
          <w:color w:val="272627"/>
        </w:rPr>
        <w:t xml:space="preserve">à l’adresse suivante : </w:t>
      </w:r>
    </w:p>
    <w:p w:rsidR="00822A5F" w:rsidRPr="001411CD" w:rsidRDefault="00822A5F" w:rsidP="00822A5F">
      <w:pPr>
        <w:autoSpaceDE w:val="0"/>
        <w:autoSpaceDN w:val="0"/>
        <w:adjustRightInd w:val="0"/>
        <w:spacing w:after="0" w:line="240" w:lineRule="auto"/>
        <w:jc w:val="both"/>
        <w:rPr>
          <w:rFonts w:ascii="Arial" w:hAnsi="Arial" w:cs="Arial"/>
          <w:color w:val="272627"/>
        </w:rPr>
      </w:pPr>
    </w:p>
    <w:p w:rsidR="00822A5F" w:rsidRPr="001411CD" w:rsidRDefault="00822A5F" w:rsidP="00822A5F">
      <w:pPr>
        <w:autoSpaceDE w:val="0"/>
        <w:autoSpaceDN w:val="0"/>
        <w:adjustRightInd w:val="0"/>
        <w:spacing w:after="0" w:line="240" w:lineRule="auto"/>
        <w:jc w:val="both"/>
        <w:rPr>
          <w:rFonts w:ascii="Arial" w:hAnsi="Arial" w:cs="Arial"/>
          <w:b/>
          <w:color w:val="272627"/>
        </w:rPr>
      </w:pPr>
      <w:r w:rsidRPr="001411CD">
        <w:rPr>
          <w:rFonts w:ascii="Arial" w:hAnsi="Arial" w:cs="Arial"/>
          <w:b/>
          <w:color w:val="272627"/>
        </w:rPr>
        <w:t xml:space="preserve">Représentant Résident du PNUD </w:t>
      </w:r>
    </w:p>
    <w:p w:rsidR="00822A5F" w:rsidRPr="001411CD" w:rsidRDefault="00822A5F" w:rsidP="00822A5F">
      <w:pPr>
        <w:autoSpaceDE w:val="0"/>
        <w:autoSpaceDN w:val="0"/>
        <w:adjustRightInd w:val="0"/>
        <w:spacing w:after="0" w:line="240" w:lineRule="auto"/>
        <w:jc w:val="both"/>
        <w:rPr>
          <w:rFonts w:ascii="Arial" w:hAnsi="Arial" w:cs="Arial"/>
          <w:b/>
          <w:color w:val="272627"/>
        </w:rPr>
      </w:pPr>
      <w:r w:rsidRPr="001411CD">
        <w:rPr>
          <w:rFonts w:ascii="Arial" w:hAnsi="Arial" w:cs="Arial"/>
          <w:b/>
          <w:color w:val="272627"/>
        </w:rPr>
        <w:t>Lot 11 Zone Résidentielle, Cotonou</w:t>
      </w:r>
    </w:p>
    <w:p w:rsidR="00822A5F" w:rsidRPr="001411CD" w:rsidRDefault="00822A5F" w:rsidP="00822A5F">
      <w:pPr>
        <w:autoSpaceDE w:val="0"/>
        <w:autoSpaceDN w:val="0"/>
        <w:adjustRightInd w:val="0"/>
        <w:spacing w:after="0" w:line="240" w:lineRule="auto"/>
        <w:jc w:val="both"/>
        <w:rPr>
          <w:rFonts w:ascii="Arial" w:hAnsi="Arial" w:cs="Arial"/>
          <w:b/>
          <w:color w:val="272627"/>
        </w:rPr>
      </w:pPr>
      <w:r w:rsidRPr="001411CD">
        <w:rPr>
          <w:rFonts w:ascii="Arial" w:hAnsi="Arial" w:cs="Arial"/>
          <w:b/>
          <w:color w:val="272627"/>
        </w:rPr>
        <w:t>Tél : 229 21.31.30.79</w:t>
      </w:r>
    </w:p>
    <w:p w:rsidR="00822A5F" w:rsidRPr="001411CD" w:rsidRDefault="00822A5F" w:rsidP="00822A5F">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Avec la mention</w:t>
      </w:r>
    </w:p>
    <w:p w:rsidR="00822A5F" w:rsidRPr="001411CD" w:rsidRDefault="00822A5F" w:rsidP="00822A5F">
      <w:pPr>
        <w:autoSpaceDE w:val="0"/>
        <w:autoSpaceDN w:val="0"/>
        <w:adjustRightInd w:val="0"/>
        <w:spacing w:after="0" w:line="240" w:lineRule="auto"/>
        <w:jc w:val="both"/>
        <w:rPr>
          <w:rFonts w:ascii="Arial" w:hAnsi="Arial" w:cs="Arial"/>
          <w:b/>
          <w:i/>
          <w:color w:val="272627"/>
        </w:rPr>
      </w:pPr>
      <w:r w:rsidRPr="001411CD">
        <w:rPr>
          <w:rFonts w:ascii="Arial" w:hAnsi="Arial" w:cs="Arial"/>
          <w:b/>
          <w:color w:val="272627"/>
        </w:rPr>
        <w:t xml:space="preserve">Offre pour </w:t>
      </w:r>
      <w:r w:rsidRPr="001411CD">
        <w:rPr>
          <w:rFonts w:ascii="Arial" w:hAnsi="Arial" w:cs="Arial"/>
          <w:b/>
          <w:bCs/>
          <w:color w:val="272627"/>
        </w:rPr>
        <w:t>«RECRUTEMENT D’UN CONSULTANT POUR L’EVALUATION FINALE DU PROJET DE PROMOTION DE L’ENTREPRENARIAT AGRICOLE (PPEA)</w:t>
      </w:r>
      <w:r w:rsidRPr="001411CD">
        <w:rPr>
          <w:rFonts w:ascii="Arial" w:hAnsi="Arial" w:cs="Arial"/>
          <w:b/>
          <w:i/>
          <w:color w:val="272627"/>
        </w:rPr>
        <w:t>»</w:t>
      </w:r>
    </w:p>
    <w:p w:rsidR="00822A5F" w:rsidRPr="001411CD" w:rsidRDefault="00822A5F" w:rsidP="00822A5F">
      <w:pPr>
        <w:autoSpaceDE w:val="0"/>
        <w:autoSpaceDN w:val="0"/>
        <w:adjustRightInd w:val="0"/>
        <w:spacing w:after="0" w:line="240" w:lineRule="auto"/>
        <w:jc w:val="both"/>
        <w:rPr>
          <w:rFonts w:ascii="Arial" w:hAnsi="Arial" w:cs="Arial"/>
          <w:b/>
          <w:color w:val="272627"/>
        </w:rPr>
      </w:pPr>
      <w:r w:rsidRPr="001411CD">
        <w:rPr>
          <w:rFonts w:ascii="Arial" w:hAnsi="Arial" w:cs="Arial"/>
          <w:b/>
          <w:i/>
          <w:color w:val="272627"/>
        </w:rPr>
        <w:t>A n’ouvrir qu’en séance</w:t>
      </w:r>
    </w:p>
    <w:p w:rsidR="00822A5F" w:rsidRPr="001411CD" w:rsidRDefault="00822A5F" w:rsidP="00822A5F">
      <w:pPr>
        <w:autoSpaceDE w:val="0"/>
        <w:autoSpaceDN w:val="0"/>
        <w:adjustRightInd w:val="0"/>
        <w:spacing w:after="0" w:line="240" w:lineRule="auto"/>
        <w:jc w:val="both"/>
        <w:rPr>
          <w:rFonts w:ascii="Arial" w:hAnsi="Arial" w:cs="Arial"/>
          <w:color w:val="272627"/>
        </w:rPr>
      </w:pPr>
    </w:p>
    <w:p w:rsidR="00822A5F" w:rsidRPr="001411CD" w:rsidRDefault="00822A5F" w:rsidP="00DB4CFC">
      <w:pPr>
        <w:autoSpaceDE w:val="0"/>
        <w:autoSpaceDN w:val="0"/>
        <w:adjustRightInd w:val="0"/>
        <w:spacing w:after="0" w:line="240" w:lineRule="auto"/>
        <w:jc w:val="both"/>
        <w:rPr>
          <w:rFonts w:ascii="Arial" w:hAnsi="Arial" w:cs="Arial"/>
          <w:b/>
          <w:color w:val="272627"/>
        </w:rPr>
      </w:pPr>
    </w:p>
    <w:sectPr w:rsidR="00822A5F" w:rsidRPr="001411CD" w:rsidSect="00D23C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13C" w:rsidRDefault="002E013C" w:rsidP="00EC11C6">
      <w:pPr>
        <w:spacing w:after="0" w:line="240" w:lineRule="auto"/>
      </w:pPr>
      <w:r>
        <w:separator/>
      </w:r>
    </w:p>
  </w:endnote>
  <w:endnote w:type="continuationSeparator" w:id="0">
    <w:p w:rsidR="002E013C" w:rsidRDefault="002E013C" w:rsidP="00EC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Caslo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8292"/>
      <w:docPartObj>
        <w:docPartGallery w:val="Page Numbers (Bottom of Page)"/>
        <w:docPartUnique/>
      </w:docPartObj>
    </w:sdtPr>
    <w:sdtEndPr/>
    <w:sdtContent>
      <w:sdt>
        <w:sdtPr>
          <w:id w:val="123787606"/>
          <w:docPartObj>
            <w:docPartGallery w:val="Page Numbers (Top of Page)"/>
            <w:docPartUnique/>
          </w:docPartObj>
        </w:sdtPr>
        <w:sdtEndPr/>
        <w:sdtContent>
          <w:p w:rsidR="00A404B9" w:rsidRDefault="00A404B9">
            <w:pPr>
              <w:pStyle w:val="Pieddepage"/>
              <w:jc w:val="right"/>
            </w:pPr>
            <w:r>
              <w:t xml:space="preserve">Page </w:t>
            </w:r>
            <w:r w:rsidR="00FA5017">
              <w:rPr>
                <w:b/>
                <w:sz w:val="24"/>
                <w:szCs w:val="24"/>
              </w:rPr>
              <w:fldChar w:fldCharType="begin"/>
            </w:r>
            <w:r>
              <w:rPr>
                <w:b/>
              </w:rPr>
              <w:instrText>PAGE</w:instrText>
            </w:r>
            <w:r w:rsidR="00FA5017">
              <w:rPr>
                <w:b/>
                <w:sz w:val="24"/>
                <w:szCs w:val="24"/>
              </w:rPr>
              <w:fldChar w:fldCharType="separate"/>
            </w:r>
            <w:r w:rsidR="00742176">
              <w:rPr>
                <w:b/>
                <w:noProof/>
              </w:rPr>
              <w:t>12</w:t>
            </w:r>
            <w:r w:rsidR="00FA5017">
              <w:rPr>
                <w:b/>
                <w:sz w:val="24"/>
                <w:szCs w:val="24"/>
              </w:rPr>
              <w:fldChar w:fldCharType="end"/>
            </w:r>
            <w:r>
              <w:t xml:space="preserve"> sur </w:t>
            </w:r>
            <w:r w:rsidR="00FA5017">
              <w:rPr>
                <w:b/>
                <w:sz w:val="24"/>
                <w:szCs w:val="24"/>
              </w:rPr>
              <w:fldChar w:fldCharType="begin"/>
            </w:r>
            <w:r>
              <w:rPr>
                <w:b/>
              </w:rPr>
              <w:instrText>NUMPAGES</w:instrText>
            </w:r>
            <w:r w:rsidR="00FA5017">
              <w:rPr>
                <w:b/>
                <w:sz w:val="24"/>
                <w:szCs w:val="24"/>
              </w:rPr>
              <w:fldChar w:fldCharType="separate"/>
            </w:r>
            <w:r w:rsidR="00742176">
              <w:rPr>
                <w:b/>
                <w:noProof/>
              </w:rPr>
              <w:t>12</w:t>
            </w:r>
            <w:r w:rsidR="00FA5017">
              <w:rPr>
                <w:b/>
                <w:sz w:val="24"/>
                <w:szCs w:val="24"/>
              </w:rPr>
              <w:fldChar w:fldCharType="end"/>
            </w:r>
          </w:p>
        </w:sdtContent>
      </w:sdt>
    </w:sdtContent>
  </w:sdt>
  <w:p w:rsidR="00A404B9" w:rsidRDefault="00A404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13C" w:rsidRDefault="002E013C" w:rsidP="00EC11C6">
      <w:pPr>
        <w:spacing w:after="0" w:line="240" w:lineRule="auto"/>
      </w:pPr>
      <w:r>
        <w:separator/>
      </w:r>
    </w:p>
  </w:footnote>
  <w:footnote w:type="continuationSeparator" w:id="0">
    <w:p w:rsidR="002E013C" w:rsidRDefault="002E013C" w:rsidP="00EC11C6">
      <w:pPr>
        <w:spacing w:after="0" w:line="240" w:lineRule="auto"/>
      </w:pPr>
      <w:r>
        <w:continuationSeparator/>
      </w:r>
    </w:p>
  </w:footnote>
  <w:footnote w:id="1">
    <w:p w:rsidR="009617D6" w:rsidRPr="006F5E4E" w:rsidRDefault="009617D6" w:rsidP="009617D6">
      <w:pPr>
        <w:pStyle w:val="Notedebasdepage"/>
        <w:rPr>
          <w:rFonts w:ascii="Calibri" w:hAnsi="Calibri"/>
        </w:rPr>
      </w:pPr>
      <w:r w:rsidRPr="006F5E4E">
        <w:rPr>
          <w:rStyle w:val="Appelnotedebasdep"/>
          <w:rFonts w:ascii="Calibri" w:hAnsi="Calibri"/>
        </w:rPr>
        <w:footnoteRef/>
      </w:r>
      <w:r w:rsidRPr="006F5E4E">
        <w:rPr>
          <w:rFonts w:ascii="Calibri" w:hAnsi="Calibri"/>
        </w:rPr>
        <w:t xml:space="preserve"> Selon les résultats du RGPH de  2002 (INSAE)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D2"/>
      </v:shape>
    </w:pict>
  </w:numPicBullet>
  <w:abstractNum w:abstractNumId="0" w15:restartNumberingAfterBreak="0">
    <w:nsid w:val="015C60E2"/>
    <w:multiLevelType w:val="hybridMultilevel"/>
    <w:tmpl w:val="50F4F7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F10304"/>
    <w:multiLevelType w:val="hybridMultilevel"/>
    <w:tmpl w:val="BE80C7F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4402E04"/>
    <w:multiLevelType w:val="multilevel"/>
    <w:tmpl w:val="1E26D7A0"/>
    <w:lvl w:ilvl="0">
      <w:numFmt w:val="bullet"/>
      <w:lvlText w:val="-"/>
      <w:lvlJc w:val="left"/>
      <w:pPr>
        <w:tabs>
          <w:tab w:val="num" w:pos="360"/>
        </w:tabs>
        <w:ind w:left="360" w:hanging="360"/>
      </w:pPr>
      <w:rPr>
        <w:rFonts w:ascii="Arial" w:eastAsia="MS Mincho"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53B6AD4"/>
    <w:multiLevelType w:val="hybridMultilevel"/>
    <w:tmpl w:val="2272E0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59962E8"/>
    <w:multiLevelType w:val="hybridMultilevel"/>
    <w:tmpl w:val="8EE8D4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2C7192"/>
    <w:multiLevelType w:val="hybridMultilevel"/>
    <w:tmpl w:val="791479C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1570E0"/>
    <w:multiLevelType w:val="hybridMultilevel"/>
    <w:tmpl w:val="FD44C7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C01132"/>
    <w:multiLevelType w:val="hybridMultilevel"/>
    <w:tmpl w:val="C6EE252E"/>
    <w:lvl w:ilvl="0" w:tplc="040C000B">
      <w:start w:val="1"/>
      <w:numFmt w:val="bullet"/>
      <w:lvlText w:val=""/>
      <w:lvlJc w:val="left"/>
      <w:pPr>
        <w:ind w:left="720" w:hanging="360"/>
      </w:pPr>
      <w:rPr>
        <w:rFonts w:ascii="Wingdings" w:hAnsi="Wingdings" w:hint="default"/>
      </w:rPr>
    </w:lvl>
    <w:lvl w:ilvl="1" w:tplc="353CB75E">
      <w:numFmt w:val="bullet"/>
      <w:lvlText w:val="-"/>
      <w:lvlJc w:val="left"/>
      <w:pPr>
        <w:ind w:left="1440" w:hanging="360"/>
      </w:pPr>
      <w:rPr>
        <w:rFonts w:ascii="TimesNewRoman" w:eastAsia="Times New Roman" w:hAnsi="TimesNewRoman" w:cs="TimesNew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E61A06"/>
    <w:multiLevelType w:val="hybridMultilevel"/>
    <w:tmpl w:val="7F7E99B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775674"/>
    <w:multiLevelType w:val="hybridMultilevel"/>
    <w:tmpl w:val="445876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CA69B7"/>
    <w:multiLevelType w:val="hybridMultilevel"/>
    <w:tmpl w:val="9B2C74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6F64C5"/>
    <w:multiLevelType w:val="hybridMultilevel"/>
    <w:tmpl w:val="408829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9453E2"/>
    <w:multiLevelType w:val="hybridMultilevel"/>
    <w:tmpl w:val="92D47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721CE7"/>
    <w:multiLevelType w:val="hybridMultilevel"/>
    <w:tmpl w:val="0B064FE0"/>
    <w:lvl w:ilvl="0" w:tplc="0750C86E">
      <w:start w:val="1"/>
      <w:numFmt w:val="bullet"/>
      <w:lvlText w:val="-"/>
      <w:lvlJc w:val="left"/>
      <w:pPr>
        <w:ind w:left="720" w:hanging="360"/>
      </w:pPr>
      <w:rPr>
        <w:rFonts w:ascii="Stencil" w:hAnsi="Stenci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1D421C"/>
    <w:multiLevelType w:val="hybridMultilevel"/>
    <w:tmpl w:val="74A680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4658D9"/>
    <w:multiLevelType w:val="hybridMultilevel"/>
    <w:tmpl w:val="A446AA7C"/>
    <w:lvl w:ilvl="0" w:tplc="D96814F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C139A5"/>
    <w:multiLevelType w:val="hybridMultilevel"/>
    <w:tmpl w:val="42AABEE2"/>
    <w:lvl w:ilvl="0" w:tplc="040C0007">
      <w:start w:val="1"/>
      <w:numFmt w:val="bullet"/>
      <w:lvlText w:val=""/>
      <w:lvlPicBulletId w:val="0"/>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7" w15:restartNumberingAfterBreak="0">
    <w:nsid w:val="2EDE42FC"/>
    <w:multiLevelType w:val="hybridMultilevel"/>
    <w:tmpl w:val="C1FC6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71BB3"/>
    <w:multiLevelType w:val="hybridMultilevel"/>
    <w:tmpl w:val="B6D0E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1A7940"/>
    <w:multiLevelType w:val="hybridMultilevel"/>
    <w:tmpl w:val="99528E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475638"/>
    <w:multiLevelType w:val="hybridMultilevel"/>
    <w:tmpl w:val="1DC8EE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9141BE"/>
    <w:multiLevelType w:val="hybridMultilevel"/>
    <w:tmpl w:val="B120AB0E"/>
    <w:lvl w:ilvl="0" w:tplc="61D0BD00">
      <w:start w:val="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5B279A8"/>
    <w:multiLevelType w:val="hybridMultilevel"/>
    <w:tmpl w:val="F6D4B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C61079"/>
    <w:multiLevelType w:val="hybridMultilevel"/>
    <w:tmpl w:val="68CCB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F328BE"/>
    <w:multiLevelType w:val="hybridMultilevel"/>
    <w:tmpl w:val="630A0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BC2F05"/>
    <w:multiLevelType w:val="hybridMultilevel"/>
    <w:tmpl w:val="4D4AA5D0"/>
    <w:lvl w:ilvl="0" w:tplc="FFFFFFF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EE5391"/>
    <w:multiLevelType w:val="hybridMultilevel"/>
    <w:tmpl w:val="DBCCC0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1518F4"/>
    <w:multiLevelType w:val="hybridMultilevel"/>
    <w:tmpl w:val="02D609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A513FF"/>
    <w:multiLevelType w:val="hybridMultilevel"/>
    <w:tmpl w:val="8542B622"/>
    <w:lvl w:ilvl="0" w:tplc="D5E66914">
      <w:numFmt w:val="bullet"/>
      <w:lvlText w:val="-"/>
      <w:lvlJc w:val="left"/>
      <w:pPr>
        <w:ind w:left="720" w:hanging="360"/>
      </w:pPr>
      <w:rPr>
        <w:rFonts w:ascii="ACaslon-Regular" w:eastAsiaTheme="minorHAns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0A0C3F"/>
    <w:multiLevelType w:val="hybridMultilevel"/>
    <w:tmpl w:val="675833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0D69F1"/>
    <w:multiLevelType w:val="hybridMultilevel"/>
    <w:tmpl w:val="071E4E76"/>
    <w:lvl w:ilvl="0" w:tplc="D5E66914">
      <w:numFmt w:val="bullet"/>
      <w:lvlText w:val="-"/>
      <w:lvlJc w:val="left"/>
      <w:pPr>
        <w:ind w:left="1508" w:hanging="360"/>
      </w:pPr>
      <w:rPr>
        <w:rFonts w:ascii="ACaslon-Regular" w:eastAsia="Calibri" w:hAnsi="ACaslon-Regular" w:cs="ACaslon-Regular" w:hint="default"/>
      </w:rPr>
    </w:lvl>
    <w:lvl w:ilvl="1" w:tplc="040C0003" w:tentative="1">
      <w:start w:val="1"/>
      <w:numFmt w:val="bullet"/>
      <w:lvlText w:val="o"/>
      <w:lvlJc w:val="left"/>
      <w:pPr>
        <w:ind w:left="2228" w:hanging="360"/>
      </w:pPr>
      <w:rPr>
        <w:rFonts w:ascii="Courier New" w:hAnsi="Courier New" w:cs="Courier New" w:hint="default"/>
      </w:rPr>
    </w:lvl>
    <w:lvl w:ilvl="2" w:tplc="040C0005" w:tentative="1">
      <w:start w:val="1"/>
      <w:numFmt w:val="bullet"/>
      <w:lvlText w:val=""/>
      <w:lvlJc w:val="left"/>
      <w:pPr>
        <w:ind w:left="2948" w:hanging="360"/>
      </w:pPr>
      <w:rPr>
        <w:rFonts w:ascii="Wingdings" w:hAnsi="Wingdings" w:hint="default"/>
      </w:rPr>
    </w:lvl>
    <w:lvl w:ilvl="3" w:tplc="040C0001" w:tentative="1">
      <w:start w:val="1"/>
      <w:numFmt w:val="bullet"/>
      <w:lvlText w:val=""/>
      <w:lvlJc w:val="left"/>
      <w:pPr>
        <w:ind w:left="3668" w:hanging="360"/>
      </w:pPr>
      <w:rPr>
        <w:rFonts w:ascii="Symbol" w:hAnsi="Symbol" w:hint="default"/>
      </w:rPr>
    </w:lvl>
    <w:lvl w:ilvl="4" w:tplc="040C0003" w:tentative="1">
      <w:start w:val="1"/>
      <w:numFmt w:val="bullet"/>
      <w:lvlText w:val="o"/>
      <w:lvlJc w:val="left"/>
      <w:pPr>
        <w:ind w:left="4388" w:hanging="360"/>
      </w:pPr>
      <w:rPr>
        <w:rFonts w:ascii="Courier New" w:hAnsi="Courier New" w:cs="Courier New" w:hint="default"/>
      </w:rPr>
    </w:lvl>
    <w:lvl w:ilvl="5" w:tplc="040C0005" w:tentative="1">
      <w:start w:val="1"/>
      <w:numFmt w:val="bullet"/>
      <w:lvlText w:val=""/>
      <w:lvlJc w:val="left"/>
      <w:pPr>
        <w:ind w:left="5108" w:hanging="360"/>
      </w:pPr>
      <w:rPr>
        <w:rFonts w:ascii="Wingdings" w:hAnsi="Wingdings" w:hint="default"/>
      </w:rPr>
    </w:lvl>
    <w:lvl w:ilvl="6" w:tplc="040C0001" w:tentative="1">
      <w:start w:val="1"/>
      <w:numFmt w:val="bullet"/>
      <w:lvlText w:val=""/>
      <w:lvlJc w:val="left"/>
      <w:pPr>
        <w:ind w:left="5828" w:hanging="360"/>
      </w:pPr>
      <w:rPr>
        <w:rFonts w:ascii="Symbol" w:hAnsi="Symbol" w:hint="default"/>
      </w:rPr>
    </w:lvl>
    <w:lvl w:ilvl="7" w:tplc="040C0003" w:tentative="1">
      <w:start w:val="1"/>
      <w:numFmt w:val="bullet"/>
      <w:lvlText w:val="o"/>
      <w:lvlJc w:val="left"/>
      <w:pPr>
        <w:ind w:left="6548" w:hanging="360"/>
      </w:pPr>
      <w:rPr>
        <w:rFonts w:ascii="Courier New" w:hAnsi="Courier New" w:cs="Courier New" w:hint="default"/>
      </w:rPr>
    </w:lvl>
    <w:lvl w:ilvl="8" w:tplc="040C0005" w:tentative="1">
      <w:start w:val="1"/>
      <w:numFmt w:val="bullet"/>
      <w:lvlText w:val=""/>
      <w:lvlJc w:val="left"/>
      <w:pPr>
        <w:ind w:left="7268" w:hanging="360"/>
      </w:pPr>
      <w:rPr>
        <w:rFonts w:ascii="Wingdings" w:hAnsi="Wingdings" w:hint="default"/>
      </w:rPr>
    </w:lvl>
  </w:abstractNum>
  <w:abstractNum w:abstractNumId="31" w15:restartNumberingAfterBreak="0">
    <w:nsid w:val="65C347F0"/>
    <w:multiLevelType w:val="hybridMultilevel"/>
    <w:tmpl w:val="15BAE2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9C5289"/>
    <w:multiLevelType w:val="hybridMultilevel"/>
    <w:tmpl w:val="A6AA5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586D97"/>
    <w:multiLevelType w:val="hybridMultilevel"/>
    <w:tmpl w:val="F5D818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E877F7"/>
    <w:multiLevelType w:val="hybridMultilevel"/>
    <w:tmpl w:val="03B6B7A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5" w15:restartNumberingAfterBreak="0">
    <w:nsid w:val="6DE3723C"/>
    <w:multiLevelType w:val="hybridMultilevel"/>
    <w:tmpl w:val="F1387B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3D4EE4"/>
    <w:multiLevelType w:val="hybridMultilevel"/>
    <w:tmpl w:val="3BAE06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ED06CE"/>
    <w:multiLevelType w:val="hybridMultilevel"/>
    <w:tmpl w:val="CCC670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422E1B"/>
    <w:multiLevelType w:val="hybridMultilevel"/>
    <w:tmpl w:val="0B0C2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9E7B50"/>
    <w:multiLevelType w:val="hybridMultilevel"/>
    <w:tmpl w:val="E4C87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4"/>
  </w:num>
  <w:num w:numId="4">
    <w:abstractNumId w:val="36"/>
  </w:num>
  <w:num w:numId="5">
    <w:abstractNumId w:val="29"/>
  </w:num>
  <w:num w:numId="6">
    <w:abstractNumId w:val="31"/>
  </w:num>
  <w:num w:numId="7">
    <w:abstractNumId w:val="6"/>
  </w:num>
  <w:num w:numId="8">
    <w:abstractNumId w:val="32"/>
  </w:num>
  <w:num w:numId="9">
    <w:abstractNumId w:val="37"/>
  </w:num>
  <w:num w:numId="10">
    <w:abstractNumId w:val="33"/>
  </w:num>
  <w:num w:numId="11">
    <w:abstractNumId w:val="26"/>
  </w:num>
  <w:num w:numId="12">
    <w:abstractNumId w:val="9"/>
  </w:num>
  <w:num w:numId="13">
    <w:abstractNumId w:val="20"/>
  </w:num>
  <w:num w:numId="14">
    <w:abstractNumId w:val="11"/>
  </w:num>
  <w:num w:numId="15">
    <w:abstractNumId w:val="35"/>
  </w:num>
  <w:num w:numId="16">
    <w:abstractNumId w:val="28"/>
  </w:num>
  <w:num w:numId="17">
    <w:abstractNumId w:val="10"/>
  </w:num>
  <w:num w:numId="18">
    <w:abstractNumId w:val="38"/>
  </w:num>
  <w:num w:numId="19">
    <w:abstractNumId w:val="12"/>
  </w:num>
  <w:num w:numId="20">
    <w:abstractNumId w:val="39"/>
  </w:num>
  <w:num w:numId="21">
    <w:abstractNumId w:val="25"/>
  </w:num>
  <w:num w:numId="22">
    <w:abstractNumId w:val="5"/>
  </w:num>
  <w:num w:numId="23">
    <w:abstractNumId w:val="7"/>
  </w:num>
  <w:num w:numId="24">
    <w:abstractNumId w:val="24"/>
  </w:num>
  <w:num w:numId="25">
    <w:abstractNumId w:val="23"/>
  </w:num>
  <w:num w:numId="26">
    <w:abstractNumId w:val="17"/>
  </w:num>
  <w:num w:numId="27">
    <w:abstractNumId w:val="21"/>
  </w:num>
  <w:num w:numId="28">
    <w:abstractNumId w:val="8"/>
  </w:num>
  <w:num w:numId="29">
    <w:abstractNumId w:val="15"/>
  </w:num>
  <w:num w:numId="30">
    <w:abstractNumId w:val="2"/>
  </w:num>
  <w:num w:numId="31">
    <w:abstractNumId w:val="0"/>
  </w:num>
  <w:num w:numId="32">
    <w:abstractNumId w:val="30"/>
  </w:num>
  <w:num w:numId="33">
    <w:abstractNumId w:val="3"/>
  </w:num>
  <w:num w:numId="34">
    <w:abstractNumId w:val="18"/>
  </w:num>
  <w:num w:numId="35">
    <w:abstractNumId w:val="16"/>
  </w:num>
  <w:num w:numId="36">
    <w:abstractNumId w:val="1"/>
  </w:num>
  <w:num w:numId="37">
    <w:abstractNumId w:val="13"/>
  </w:num>
  <w:num w:numId="38">
    <w:abstractNumId w:val="27"/>
  </w:num>
  <w:num w:numId="39">
    <w:abstractNumId w:val="1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72"/>
    <w:rsid w:val="00006A6D"/>
    <w:rsid w:val="00025A35"/>
    <w:rsid w:val="000364F2"/>
    <w:rsid w:val="00057105"/>
    <w:rsid w:val="000604D8"/>
    <w:rsid w:val="000873B4"/>
    <w:rsid w:val="000B53E9"/>
    <w:rsid w:val="000B7A40"/>
    <w:rsid w:val="000D6B07"/>
    <w:rsid w:val="000E75B4"/>
    <w:rsid w:val="000F3A8F"/>
    <w:rsid w:val="000F4B70"/>
    <w:rsid w:val="00102E38"/>
    <w:rsid w:val="001411CD"/>
    <w:rsid w:val="00150094"/>
    <w:rsid w:val="001600FA"/>
    <w:rsid w:val="00160EBA"/>
    <w:rsid w:val="0016234C"/>
    <w:rsid w:val="0016477C"/>
    <w:rsid w:val="0018615E"/>
    <w:rsid w:val="001928DA"/>
    <w:rsid w:val="001C0C84"/>
    <w:rsid w:val="001C24BA"/>
    <w:rsid w:val="001C3A5F"/>
    <w:rsid w:val="001D3393"/>
    <w:rsid w:val="001E052F"/>
    <w:rsid w:val="001F1C0B"/>
    <w:rsid w:val="001F7051"/>
    <w:rsid w:val="00202DB7"/>
    <w:rsid w:val="00205BC8"/>
    <w:rsid w:val="00214A50"/>
    <w:rsid w:val="00227190"/>
    <w:rsid w:val="002279E8"/>
    <w:rsid w:val="00243A75"/>
    <w:rsid w:val="00245741"/>
    <w:rsid w:val="00264209"/>
    <w:rsid w:val="00291248"/>
    <w:rsid w:val="002B0553"/>
    <w:rsid w:val="002D1DB1"/>
    <w:rsid w:val="002D5845"/>
    <w:rsid w:val="002D710E"/>
    <w:rsid w:val="002E013C"/>
    <w:rsid w:val="00301980"/>
    <w:rsid w:val="00332778"/>
    <w:rsid w:val="00336A3A"/>
    <w:rsid w:val="00367BA2"/>
    <w:rsid w:val="00372825"/>
    <w:rsid w:val="00385E6E"/>
    <w:rsid w:val="003A2B7A"/>
    <w:rsid w:val="003A3A8B"/>
    <w:rsid w:val="003B194A"/>
    <w:rsid w:val="003E44DC"/>
    <w:rsid w:val="0042032E"/>
    <w:rsid w:val="00426E68"/>
    <w:rsid w:val="00496F2C"/>
    <w:rsid w:val="004A5EDD"/>
    <w:rsid w:val="004A6CEC"/>
    <w:rsid w:val="004C05A0"/>
    <w:rsid w:val="004C4233"/>
    <w:rsid w:val="004D5FEE"/>
    <w:rsid w:val="004D7C6A"/>
    <w:rsid w:val="004E31B9"/>
    <w:rsid w:val="004F6F4A"/>
    <w:rsid w:val="00502B69"/>
    <w:rsid w:val="005208C5"/>
    <w:rsid w:val="00525101"/>
    <w:rsid w:val="00535258"/>
    <w:rsid w:val="00557026"/>
    <w:rsid w:val="00565494"/>
    <w:rsid w:val="00583609"/>
    <w:rsid w:val="00583B7D"/>
    <w:rsid w:val="00597A27"/>
    <w:rsid w:val="005A57BF"/>
    <w:rsid w:val="005B2867"/>
    <w:rsid w:val="005C2A6A"/>
    <w:rsid w:val="00600B02"/>
    <w:rsid w:val="00647731"/>
    <w:rsid w:val="00666869"/>
    <w:rsid w:val="00685787"/>
    <w:rsid w:val="00686B76"/>
    <w:rsid w:val="006A1418"/>
    <w:rsid w:val="006B2538"/>
    <w:rsid w:val="006B280A"/>
    <w:rsid w:val="006C4C89"/>
    <w:rsid w:val="006E181E"/>
    <w:rsid w:val="006E3437"/>
    <w:rsid w:val="006E58E9"/>
    <w:rsid w:val="006E72A8"/>
    <w:rsid w:val="00724B85"/>
    <w:rsid w:val="00726A62"/>
    <w:rsid w:val="00726A7C"/>
    <w:rsid w:val="007400C2"/>
    <w:rsid w:val="0074071E"/>
    <w:rsid w:val="00742176"/>
    <w:rsid w:val="00757E13"/>
    <w:rsid w:val="00777471"/>
    <w:rsid w:val="007A743B"/>
    <w:rsid w:val="007C4993"/>
    <w:rsid w:val="007D2936"/>
    <w:rsid w:val="007E5277"/>
    <w:rsid w:val="007F2EAE"/>
    <w:rsid w:val="008007DE"/>
    <w:rsid w:val="008055B9"/>
    <w:rsid w:val="00811F73"/>
    <w:rsid w:val="00822A5F"/>
    <w:rsid w:val="00822FF8"/>
    <w:rsid w:val="00830742"/>
    <w:rsid w:val="008450E7"/>
    <w:rsid w:val="00852C01"/>
    <w:rsid w:val="00877A3E"/>
    <w:rsid w:val="00892905"/>
    <w:rsid w:val="00897F6D"/>
    <w:rsid w:val="008B537B"/>
    <w:rsid w:val="008B7B1D"/>
    <w:rsid w:val="008C182F"/>
    <w:rsid w:val="008C33CE"/>
    <w:rsid w:val="008C77F4"/>
    <w:rsid w:val="008D06AA"/>
    <w:rsid w:val="008F2CB6"/>
    <w:rsid w:val="008F6F2A"/>
    <w:rsid w:val="008F7BEF"/>
    <w:rsid w:val="009051CC"/>
    <w:rsid w:val="00924038"/>
    <w:rsid w:val="00924D11"/>
    <w:rsid w:val="0093442A"/>
    <w:rsid w:val="00945B72"/>
    <w:rsid w:val="00946A81"/>
    <w:rsid w:val="00952CF5"/>
    <w:rsid w:val="009617D6"/>
    <w:rsid w:val="00986B1F"/>
    <w:rsid w:val="009C37A6"/>
    <w:rsid w:val="009C7091"/>
    <w:rsid w:val="009C7AA6"/>
    <w:rsid w:val="009D3083"/>
    <w:rsid w:val="009D31DB"/>
    <w:rsid w:val="009E6E8A"/>
    <w:rsid w:val="009F4CB8"/>
    <w:rsid w:val="009F7EAD"/>
    <w:rsid w:val="00A01BE2"/>
    <w:rsid w:val="00A34C2F"/>
    <w:rsid w:val="00A404B9"/>
    <w:rsid w:val="00A413C8"/>
    <w:rsid w:val="00A546C3"/>
    <w:rsid w:val="00A56552"/>
    <w:rsid w:val="00A61CF1"/>
    <w:rsid w:val="00A62D63"/>
    <w:rsid w:val="00A653B1"/>
    <w:rsid w:val="00A919E9"/>
    <w:rsid w:val="00AA5352"/>
    <w:rsid w:val="00AA5CCB"/>
    <w:rsid w:val="00AB1593"/>
    <w:rsid w:val="00AE1029"/>
    <w:rsid w:val="00AE5A47"/>
    <w:rsid w:val="00B02F2A"/>
    <w:rsid w:val="00B12168"/>
    <w:rsid w:val="00B32268"/>
    <w:rsid w:val="00B513DB"/>
    <w:rsid w:val="00B55047"/>
    <w:rsid w:val="00B605C8"/>
    <w:rsid w:val="00B63612"/>
    <w:rsid w:val="00B67403"/>
    <w:rsid w:val="00B76730"/>
    <w:rsid w:val="00B84E77"/>
    <w:rsid w:val="00B96E9F"/>
    <w:rsid w:val="00B97B34"/>
    <w:rsid w:val="00BA0DB9"/>
    <w:rsid w:val="00BA6FFA"/>
    <w:rsid w:val="00BB3825"/>
    <w:rsid w:val="00BB4DB0"/>
    <w:rsid w:val="00BB58DA"/>
    <w:rsid w:val="00BB5B60"/>
    <w:rsid w:val="00BC4DCF"/>
    <w:rsid w:val="00BD5B46"/>
    <w:rsid w:val="00BD5DB1"/>
    <w:rsid w:val="00BE28D5"/>
    <w:rsid w:val="00BE73DA"/>
    <w:rsid w:val="00BF0DB1"/>
    <w:rsid w:val="00C03396"/>
    <w:rsid w:val="00C110EF"/>
    <w:rsid w:val="00C44CF3"/>
    <w:rsid w:val="00C539BC"/>
    <w:rsid w:val="00C6168E"/>
    <w:rsid w:val="00CD135E"/>
    <w:rsid w:val="00CF2253"/>
    <w:rsid w:val="00CF662F"/>
    <w:rsid w:val="00D01971"/>
    <w:rsid w:val="00D205B3"/>
    <w:rsid w:val="00D23C43"/>
    <w:rsid w:val="00D24621"/>
    <w:rsid w:val="00DA32BE"/>
    <w:rsid w:val="00DA5823"/>
    <w:rsid w:val="00DB2A15"/>
    <w:rsid w:val="00DB4CFC"/>
    <w:rsid w:val="00DC0A39"/>
    <w:rsid w:val="00DC2182"/>
    <w:rsid w:val="00DC2885"/>
    <w:rsid w:val="00DC34E1"/>
    <w:rsid w:val="00DC3D57"/>
    <w:rsid w:val="00DD00D4"/>
    <w:rsid w:val="00DD265B"/>
    <w:rsid w:val="00DD67AF"/>
    <w:rsid w:val="00DE35B5"/>
    <w:rsid w:val="00E16BA4"/>
    <w:rsid w:val="00E211A9"/>
    <w:rsid w:val="00E236ED"/>
    <w:rsid w:val="00E36700"/>
    <w:rsid w:val="00E54173"/>
    <w:rsid w:val="00E55F67"/>
    <w:rsid w:val="00E71065"/>
    <w:rsid w:val="00E8141A"/>
    <w:rsid w:val="00E87E48"/>
    <w:rsid w:val="00EB2335"/>
    <w:rsid w:val="00EC11C6"/>
    <w:rsid w:val="00ED5A26"/>
    <w:rsid w:val="00EF77BA"/>
    <w:rsid w:val="00F01CE7"/>
    <w:rsid w:val="00F404E1"/>
    <w:rsid w:val="00F46804"/>
    <w:rsid w:val="00F5127E"/>
    <w:rsid w:val="00F51976"/>
    <w:rsid w:val="00F51C93"/>
    <w:rsid w:val="00F63790"/>
    <w:rsid w:val="00F717CB"/>
    <w:rsid w:val="00F724F5"/>
    <w:rsid w:val="00F83833"/>
    <w:rsid w:val="00F8505F"/>
    <w:rsid w:val="00F85E69"/>
    <w:rsid w:val="00F917EA"/>
    <w:rsid w:val="00F9265F"/>
    <w:rsid w:val="00FA5017"/>
    <w:rsid w:val="00FB21AD"/>
    <w:rsid w:val="00FC1AE2"/>
    <w:rsid w:val="00FD41DD"/>
    <w:rsid w:val="00FE37EC"/>
    <w:rsid w:val="00FF6C1E"/>
    <w:rsid w:val="00FF6E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F11DF-6ED2-4B6A-844E-486ABBB3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
    <w:basedOn w:val="Normal"/>
    <w:link w:val="ParagraphedelisteCar"/>
    <w:uiPriority w:val="34"/>
    <w:qFormat/>
    <w:rsid w:val="00DD00D4"/>
    <w:pPr>
      <w:ind w:left="720"/>
      <w:contextualSpacing/>
    </w:pPr>
  </w:style>
  <w:style w:type="table" w:styleId="Grilledutableau">
    <w:name w:val="Table Grid"/>
    <w:basedOn w:val="TableauNormal"/>
    <w:uiPriority w:val="59"/>
    <w:rsid w:val="006E18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EC11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11C6"/>
  </w:style>
  <w:style w:type="paragraph" w:styleId="Pieddepage">
    <w:name w:val="footer"/>
    <w:basedOn w:val="Normal"/>
    <w:link w:val="PieddepageCar"/>
    <w:uiPriority w:val="99"/>
    <w:unhideWhenUsed/>
    <w:rsid w:val="00EC11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11C6"/>
  </w:style>
  <w:style w:type="paragraph" w:styleId="Notedebasdepage">
    <w:name w:val="footnote text"/>
    <w:aliases w:val="Texte de note de bas de page,single space,ALTS FOOTNOTE,ADB,fn,ft,Footnote Text Char1,Footnote Text Char Char,FOOTNOTES,Footnote,12pt,Footnote Text1,Fodnotetekst Tegn,Fodnotetekst Tegn Char,footnote text,Geneva 9,Font: Geneva 9,f"/>
    <w:basedOn w:val="Normal"/>
    <w:link w:val="NotedebasdepageCar"/>
    <w:rsid w:val="009617D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Texte de note de bas de page Car,single space Car,ALTS FOOTNOTE Car,ADB Car,fn Car,ft Car,Footnote Text Char1 Car,Footnote Text Char Char Car,FOOTNOTES Car,Footnote Car,12pt Car,Footnote Text1 Car,Fodnotetekst Tegn Car,f Car"/>
    <w:basedOn w:val="Policepardfaut"/>
    <w:link w:val="Notedebasdepage"/>
    <w:rsid w:val="009617D6"/>
    <w:rPr>
      <w:rFonts w:ascii="Times New Roman" w:eastAsia="Times New Roman" w:hAnsi="Times New Roman" w:cs="Times New Roman"/>
      <w:sz w:val="20"/>
      <w:szCs w:val="20"/>
      <w:lang w:eastAsia="fr-FR"/>
    </w:rPr>
  </w:style>
  <w:style w:type="character" w:styleId="Appelnotedebasdep">
    <w:name w:val="footnote reference"/>
    <w:aliases w:val="16 Point,Superscript 6 Point"/>
    <w:rsid w:val="009617D6"/>
    <w:rPr>
      <w:rFonts w:cs="Times New Roman"/>
      <w:vertAlign w:val="superscript"/>
    </w:rPr>
  </w:style>
  <w:style w:type="character" w:customStyle="1" w:styleId="ParagraphedelisteCar">
    <w:name w:val="Paragraphe de liste Car"/>
    <w:aliases w:val="Bullets Car"/>
    <w:link w:val="Paragraphedeliste"/>
    <w:uiPriority w:val="34"/>
    <w:rsid w:val="00A56552"/>
  </w:style>
  <w:style w:type="paragraph" w:styleId="Sansinterligne">
    <w:name w:val="No Spacing"/>
    <w:link w:val="SansinterligneCar"/>
    <w:uiPriority w:val="1"/>
    <w:qFormat/>
    <w:rsid w:val="007E5277"/>
    <w:pPr>
      <w:spacing w:after="0" w:line="240" w:lineRule="auto"/>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locked/>
    <w:rsid w:val="007E527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0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9DCE-3852-4F7D-9767-2BB1C085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5284</Words>
  <Characters>29062</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adrien.tigo</dc:creator>
  <cp:lastModifiedBy>Adrien Tigo</cp:lastModifiedBy>
  <cp:revision>6</cp:revision>
  <cp:lastPrinted>2010-11-04T14:58:00Z</cp:lastPrinted>
  <dcterms:created xsi:type="dcterms:W3CDTF">2016-06-13T15:25:00Z</dcterms:created>
  <dcterms:modified xsi:type="dcterms:W3CDTF">2016-06-15T07:54:00Z</dcterms:modified>
</cp:coreProperties>
</file>