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B2994" w14:textId="77777777" w:rsidR="000E5F18" w:rsidRPr="00A06FAD" w:rsidRDefault="000E5F18" w:rsidP="00F655D7">
      <w:pPr>
        <w:tabs>
          <w:tab w:val="left" w:pos="1080"/>
        </w:tabs>
        <w:rPr>
          <w:sz w:val="20"/>
          <w:szCs w:val="20"/>
          <w:lang w:val="en-GB"/>
        </w:rPr>
      </w:pPr>
      <w:bookmarkStart w:id="0" w:name="_GoBack"/>
      <w:bookmarkEnd w:id="0"/>
    </w:p>
    <w:p w14:paraId="0026FCA5" w14:textId="77777777" w:rsidR="00F655D7" w:rsidRPr="00A00679" w:rsidRDefault="00F655D7" w:rsidP="007F1CFC">
      <w:pPr>
        <w:rPr>
          <w:sz w:val="16"/>
          <w:szCs w:val="16"/>
          <w:lang w:val="en-GB"/>
        </w:rPr>
        <w:sectPr w:rsidR="00F655D7" w:rsidRPr="00A00679" w:rsidSect="002979FA">
          <w:headerReference w:type="even" r:id="rId8"/>
          <w:headerReference w:type="default" r:id="rId9"/>
          <w:footerReference w:type="even" r:id="rId10"/>
          <w:footerReference w:type="default" r:id="rId11"/>
          <w:headerReference w:type="first" r:id="rId12"/>
          <w:footerReference w:type="first" r:id="rId13"/>
          <w:pgSz w:w="12240" w:h="15840" w:code="1"/>
          <w:pgMar w:top="1742" w:right="1195" w:bottom="1901" w:left="1195" w:header="576" w:footer="890" w:gutter="0"/>
          <w:pgNumType w:start="1"/>
          <w:cols w:space="720"/>
          <w:titlePg/>
          <w:docGrid w:linePitch="326"/>
        </w:sectPr>
      </w:pPr>
    </w:p>
    <w:p w14:paraId="72B6EC4D" w14:textId="77777777" w:rsidR="00F655D7" w:rsidRPr="00A06FAD" w:rsidRDefault="00013C8C" w:rsidP="00C64ECA">
      <w:pPr>
        <w:tabs>
          <w:tab w:val="left" w:pos="1080"/>
        </w:tabs>
        <w:ind w:left="180"/>
        <w:rPr>
          <w:b/>
          <w:sz w:val="20"/>
          <w:szCs w:val="20"/>
          <w:lang w:val="en-GB"/>
        </w:rPr>
      </w:pPr>
      <w:r w:rsidRPr="00A06FAD">
        <w:rPr>
          <w:b/>
          <w:sz w:val="20"/>
          <w:szCs w:val="20"/>
          <w:lang w:val="en-GB"/>
        </w:rPr>
        <w:t xml:space="preserve">First </w:t>
      </w:r>
      <w:r w:rsidR="000B4535" w:rsidRPr="00A06FAD">
        <w:rPr>
          <w:b/>
          <w:sz w:val="20"/>
          <w:szCs w:val="20"/>
          <w:lang w:val="en-GB"/>
        </w:rPr>
        <w:t>regular</w:t>
      </w:r>
      <w:r w:rsidR="002756B9" w:rsidRPr="00A06FAD">
        <w:rPr>
          <w:b/>
          <w:sz w:val="20"/>
          <w:szCs w:val="20"/>
          <w:lang w:val="en-GB"/>
        </w:rPr>
        <w:t xml:space="preserve"> </w:t>
      </w:r>
      <w:r w:rsidR="00F325A0" w:rsidRPr="00A06FAD">
        <w:rPr>
          <w:b/>
          <w:sz w:val="20"/>
          <w:szCs w:val="20"/>
          <w:lang w:val="en-GB"/>
        </w:rPr>
        <w:t xml:space="preserve">session </w:t>
      </w:r>
      <w:r w:rsidR="00F655D7" w:rsidRPr="00A06FAD">
        <w:rPr>
          <w:b/>
          <w:sz w:val="20"/>
          <w:szCs w:val="20"/>
          <w:lang w:val="en-GB"/>
        </w:rPr>
        <w:t>20</w:t>
      </w:r>
      <w:r w:rsidR="000B4535" w:rsidRPr="00A06FAD">
        <w:rPr>
          <w:b/>
          <w:sz w:val="20"/>
          <w:szCs w:val="20"/>
          <w:lang w:val="en-GB"/>
        </w:rPr>
        <w:t>1</w:t>
      </w:r>
      <w:r w:rsidRPr="00A06FAD">
        <w:rPr>
          <w:b/>
          <w:sz w:val="20"/>
          <w:szCs w:val="20"/>
          <w:lang w:val="en-GB"/>
        </w:rPr>
        <w:t>7</w:t>
      </w:r>
    </w:p>
    <w:p w14:paraId="6E94462D" w14:textId="27C4B92E" w:rsidR="00F655D7" w:rsidRPr="00A06FAD" w:rsidRDefault="00013C8C" w:rsidP="00C64ECA">
      <w:pPr>
        <w:tabs>
          <w:tab w:val="left" w:pos="1080"/>
        </w:tabs>
        <w:ind w:left="180"/>
        <w:rPr>
          <w:sz w:val="20"/>
          <w:szCs w:val="20"/>
          <w:lang w:val="en-GB"/>
        </w:rPr>
      </w:pPr>
      <w:r w:rsidRPr="00A06FAD">
        <w:rPr>
          <w:sz w:val="20"/>
          <w:szCs w:val="20"/>
          <w:lang w:val="en-GB"/>
        </w:rPr>
        <w:t>30 January</w:t>
      </w:r>
      <w:r w:rsidR="000C5992" w:rsidRPr="00A06FAD">
        <w:rPr>
          <w:sz w:val="20"/>
          <w:szCs w:val="20"/>
          <w:lang w:val="en-GB"/>
        </w:rPr>
        <w:t> - </w:t>
      </w:r>
      <w:r w:rsidRPr="00A06FAD">
        <w:rPr>
          <w:sz w:val="20"/>
          <w:szCs w:val="20"/>
          <w:lang w:val="en-GB"/>
        </w:rPr>
        <w:t>3 February 2017</w:t>
      </w:r>
      <w:r w:rsidR="00F655D7" w:rsidRPr="00A06FAD">
        <w:rPr>
          <w:sz w:val="20"/>
          <w:szCs w:val="20"/>
          <w:lang w:val="en-GB"/>
        </w:rPr>
        <w:t>, New York</w:t>
      </w:r>
    </w:p>
    <w:p w14:paraId="49550C7B" w14:textId="77777777" w:rsidR="00F655D7" w:rsidRPr="00A06FAD" w:rsidRDefault="00F655D7" w:rsidP="00C64ECA">
      <w:pPr>
        <w:pStyle w:val="H56"/>
        <w:keepNext w:val="0"/>
        <w:keepLines w:val="0"/>
        <w:tabs>
          <w:tab w:val="clear" w:pos="360"/>
          <w:tab w:val="left" w:pos="1080"/>
        </w:tabs>
        <w:suppressAutoHyphens w:val="0"/>
        <w:spacing w:line="240" w:lineRule="auto"/>
        <w:ind w:left="180"/>
        <w:outlineLvl w:val="9"/>
        <w:rPr>
          <w:spacing w:val="0"/>
          <w:w w:val="100"/>
          <w:kern w:val="0"/>
        </w:rPr>
      </w:pPr>
      <w:r w:rsidRPr="00A06FAD">
        <w:rPr>
          <w:spacing w:val="0"/>
          <w:w w:val="100"/>
          <w:kern w:val="0"/>
        </w:rPr>
        <w:t xml:space="preserve">Item </w:t>
      </w:r>
      <w:r w:rsidR="00013C8C" w:rsidRPr="00A06FAD">
        <w:rPr>
          <w:spacing w:val="0"/>
          <w:w w:val="100"/>
          <w:kern w:val="0"/>
        </w:rPr>
        <w:t>3</w:t>
      </w:r>
      <w:r w:rsidRPr="00A06FAD">
        <w:rPr>
          <w:spacing w:val="0"/>
          <w:w w:val="100"/>
          <w:kern w:val="0"/>
        </w:rPr>
        <w:t xml:space="preserve"> of the provisional agenda</w:t>
      </w:r>
    </w:p>
    <w:p w14:paraId="5ECCA652" w14:textId="77777777" w:rsidR="00F655D7" w:rsidRPr="00A06FAD" w:rsidRDefault="00F655D7" w:rsidP="00C64ECA">
      <w:pPr>
        <w:pStyle w:val="Heading4"/>
        <w:tabs>
          <w:tab w:val="left" w:pos="1080"/>
        </w:tabs>
        <w:ind w:left="180"/>
        <w:rPr>
          <w:lang w:val="en-GB"/>
        </w:rPr>
      </w:pPr>
      <w:r w:rsidRPr="00A06FAD">
        <w:rPr>
          <w:lang w:val="en-GB"/>
        </w:rPr>
        <w:t>Evaluation</w:t>
      </w:r>
    </w:p>
    <w:p w14:paraId="6C15773F" w14:textId="77777777" w:rsidR="00F655D7" w:rsidRPr="00A06FAD" w:rsidRDefault="00F655D7" w:rsidP="00C64ECA">
      <w:pPr>
        <w:tabs>
          <w:tab w:val="left" w:pos="1080"/>
        </w:tabs>
        <w:spacing w:line="120" w:lineRule="exact"/>
        <w:ind w:left="180"/>
        <w:rPr>
          <w:sz w:val="20"/>
          <w:szCs w:val="20"/>
          <w:lang w:val="en-GB"/>
        </w:rPr>
      </w:pPr>
    </w:p>
    <w:p w14:paraId="0E8C9577" w14:textId="77777777" w:rsidR="00F655D7" w:rsidRPr="00A06FAD" w:rsidRDefault="00F655D7" w:rsidP="00C64ECA">
      <w:pPr>
        <w:tabs>
          <w:tab w:val="left" w:pos="1080"/>
        </w:tabs>
        <w:spacing w:line="120" w:lineRule="exact"/>
        <w:ind w:left="180"/>
        <w:rPr>
          <w:sz w:val="28"/>
          <w:szCs w:val="28"/>
          <w:lang w:val="en-GB"/>
        </w:rPr>
      </w:pPr>
    </w:p>
    <w:p w14:paraId="424EA729" w14:textId="77777777" w:rsidR="00F655D7" w:rsidRPr="00A06FAD" w:rsidRDefault="00F655D7" w:rsidP="00C64ECA">
      <w:pPr>
        <w:tabs>
          <w:tab w:val="left" w:pos="1080"/>
        </w:tabs>
        <w:spacing w:line="120" w:lineRule="exact"/>
        <w:ind w:left="180"/>
        <w:rPr>
          <w:sz w:val="28"/>
          <w:szCs w:val="28"/>
          <w:lang w:val="en-GB"/>
        </w:rPr>
      </w:pPr>
    </w:p>
    <w:p w14:paraId="5E6F9AD2" w14:textId="77777777" w:rsidR="000B4535" w:rsidRPr="00A06FAD" w:rsidRDefault="00F655D7" w:rsidP="00C64ECA">
      <w:pPr>
        <w:pStyle w:val="HM"/>
        <w:ind w:left="180"/>
        <w:rPr>
          <w:sz w:val="32"/>
          <w:szCs w:val="32"/>
        </w:rPr>
      </w:pPr>
      <w:r w:rsidRPr="00A06FAD">
        <w:rPr>
          <w:sz w:val="32"/>
          <w:szCs w:val="32"/>
        </w:rPr>
        <w:t xml:space="preserve">Management </w:t>
      </w:r>
      <w:r w:rsidR="00D440D7" w:rsidRPr="00A06FAD">
        <w:rPr>
          <w:sz w:val="32"/>
          <w:szCs w:val="32"/>
        </w:rPr>
        <w:t xml:space="preserve">response </w:t>
      </w:r>
      <w:r w:rsidRPr="00A06FAD">
        <w:rPr>
          <w:sz w:val="32"/>
          <w:szCs w:val="32"/>
        </w:rPr>
        <w:t xml:space="preserve">to </w:t>
      </w:r>
      <w:r w:rsidR="000A1680" w:rsidRPr="00A06FAD">
        <w:rPr>
          <w:sz w:val="32"/>
          <w:szCs w:val="32"/>
        </w:rPr>
        <w:t xml:space="preserve">the </w:t>
      </w:r>
      <w:r w:rsidR="00D440D7" w:rsidRPr="00A06FAD">
        <w:rPr>
          <w:sz w:val="32"/>
          <w:szCs w:val="32"/>
        </w:rPr>
        <w:t xml:space="preserve">evaluation </w:t>
      </w:r>
      <w:r w:rsidR="000B4535" w:rsidRPr="00A06FAD">
        <w:rPr>
          <w:sz w:val="32"/>
          <w:szCs w:val="32"/>
        </w:rPr>
        <w:t>of</w:t>
      </w:r>
      <w:r w:rsidR="0052141E" w:rsidRPr="00A06FAD">
        <w:rPr>
          <w:sz w:val="32"/>
          <w:szCs w:val="32"/>
        </w:rPr>
        <w:t xml:space="preserve"> </w:t>
      </w:r>
      <w:r w:rsidR="000B4535" w:rsidRPr="00A06FAD">
        <w:rPr>
          <w:sz w:val="32"/>
          <w:szCs w:val="32"/>
        </w:rPr>
        <w:t xml:space="preserve">UNDP </w:t>
      </w:r>
      <w:r w:rsidR="00D440D7" w:rsidRPr="00A06FAD">
        <w:rPr>
          <w:sz w:val="32"/>
          <w:szCs w:val="32"/>
        </w:rPr>
        <w:t xml:space="preserve">contribution </w:t>
      </w:r>
      <w:r w:rsidR="000B4535" w:rsidRPr="00A06FAD">
        <w:rPr>
          <w:sz w:val="32"/>
          <w:szCs w:val="32"/>
        </w:rPr>
        <w:t xml:space="preserve">to </w:t>
      </w:r>
      <w:r w:rsidR="00674A9C" w:rsidRPr="00A06FAD">
        <w:rPr>
          <w:sz w:val="32"/>
          <w:szCs w:val="32"/>
        </w:rPr>
        <w:t xml:space="preserve">anti-corruption and </w:t>
      </w:r>
      <w:r w:rsidR="0086265D" w:rsidRPr="00A06FAD">
        <w:rPr>
          <w:sz w:val="32"/>
          <w:szCs w:val="32"/>
        </w:rPr>
        <w:t xml:space="preserve">addressing drivers of corruption </w:t>
      </w:r>
      <w:r w:rsidR="00674A9C" w:rsidRPr="00A06FAD">
        <w:rPr>
          <w:sz w:val="32"/>
          <w:szCs w:val="32"/>
        </w:rPr>
        <w:t xml:space="preserve"> </w:t>
      </w:r>
    </w:p>
    <w:p w14:paraId="7A935CB4" w14:textId="621176B2" w:rsidR="008600E2" w:rsidRPr="00A06FAD" w:rsidRDefault="008600E2" w:rsidP="008600E2">
      <w:pPr>
        <w:rPr>
          <w:sz w:val="28"/>
          <w:szCs w:val="28"/>
          <w:lang w:val="en-GB"/>
        </w:rPr>
      </w:pPr>
    </w:p>
    <w:p w14:paraId="3546DA7F" w14:textId="01E1A430" w:rsidR="00F655D7" w:rsidRPr="00A06FAD" w:rsidRDefault="00F655D7" w:rsidP="007333B7">
      <w:pPr>
        <w:pStyle w:val="SingleTxt"/>
        <w:tabs>
          <w:tab w:val="clear" w:pos="1267"/>
          <w:tab w:val="left" w:pos="900"/>
          <w:tab w:val="left" w:pos="1170"/>
          <w:tab w:val="left" w:pos="1260"/>
          <w:tab w:val="left" w:pos="1620"/>
        </w:tabs>
        <w:spacing w:after="0"/>
        <w:ind w:left="900" w:right="1378"/>
        <w:rPr>
          <w:b/>
          <w:sz w:val="28"/>
          <w:szCs w:val="28"/>
        </w:rPr>
      </w:pPr>
      <w:r w:rsidRPr="00A06FAD">
        <w:rPr>
          <w:b/>
          <w:sz w:val="28"/>
          <w:szCs w:val="28"/>
        </w:rPr>
        <w:t>Context</w:t>
      </w:r>
      <w:r w:rsidR="00D07E9F" w:rsidRPr="00A06FAD">
        <w:rPr>
          <w:b/>
          <w:sz w:val="28"/>
          <w:szCs w:val="28"/>
        </w:rPr>
        <w:t xml:space="preserve"> and</w:t>
      </w:r>
      <w:r w:rsidRPr="00A06FAD">
        <w:rPr>
          <w:b/>
          <w:sz w:val="28"/>
          <w:szCs w:val="28"/>
        </w:rPr>
        <w:t xml:space="preserve"> </w:t>
      </w:r>
      <w:r w:rsidR="00D440D7" w:rsidRPr="00A06FAD">
        <w:rPr>
          <w:b/>
          <w:sz w:val="28"/>
          <w:szCs w:val="28"/>
        </w:rPr>
        <w:t>background</w:t>
      </w:r>
      <w:r w:rsidR="006704BF" w:rsidRPr="00A06FAD">
        <w:rPr>
          <w:b/>
          <w:sz w:val="28"/>
          <w:szCs w:val="28"/>
        </w:rPr>
        <w:t xml:space="preserve"> </w:t>
      </w:r>
    </w:p>
    <w:p w14:paraId="7A391073" w14:textId="77777777" w:rsidR="00760126" w:rsidRPr="00A06FAD" w:rsidRDefault="00760126" w:rsidP="007333B7">
      <w:pPr>
        <w:pStyle w:val="SingleTxt"/>
        <w:tabs>
          <w:tab w:val="clear" w:pos="1267"/>
          <w:tab w:val="left" w:pos="90"/>
          <w:tab w:val="left" w:pos="630"/>
          <w:tab w:val="left" w:pos="900"/>
          <w:tab w:val="left" w:pos="1170"/>
          <w:tab w:val="left" w:pos="1260"/>
          <w:tab w:val="left" w:pos="1620"/>
        </w:tabs>
        <w:spacing w:after="0" w:line="240" w:lineRule="auto"/>
        <w:ind w:left="900" w:right="1378"/>
      </w:pPr>
    </w:p>
    <w:p w14:paraId="7A391591" w14:textId="06F14327" w:rsidR="00760126" w:rsidRPr="00A06FAD" w:rsidRDefault="00BE03CC" w:rsidP="007333B7">
      <w:pPr>
        <w:pStyle w:val="SingleTxt"/>
        <w:numPr>
          <w:ilvl w:val="0"/>
          <w:numId w:val="1"/>
        </w:numPr>
        <w:tabs>
          <w:tab w:val="clear" w:pos="1267"/>
          <w:tab w:val="left" w:pos="90"/>
          <w:tab w:val="left" w:pos="630"/>
          <w:tab w:val="left" w:pos="900"/>
          <w:tab w:val="left" w:pos="1170"/>
          <w:tab w:val="left" w:pos="1260"/>
          <w:tab w:val="left" w:pos="1620"/>
        </w:tabs>
        <w:spacing w:line="240" w:lineRule="auto"/>
        <w:ind w:left="900" w:right="1378" w:firstLine="0"/>
      </w:pPr>
      <w:r w:rsidRPr="00A06FAD">
        <w:t xml:space="preserve">UNDP recognizes that this </w:t>
      </w:r>
      <w:r w:rsidR="00DD39F2" w:rsidRPr="00A06FAD">
        <w:t>evaluation was conducted</w:t>
      </w:r>
      <w:r w:rsidR="00760126" w:rsidRPr="00A06FAD">
        <w:t xml:space="preserve"> at an opportune moment, as major events and developments </w:t>
      </w:r>
      <w:r w:rsidR="009D4135" w:rsidRPr="00A06FAD">
        <w:t xml:space="preserve">are </w:t>
      </w:r>
      <w:r w:rsidR="00760126" w:rsidRPr="00A06FAD">
        <w:t>shap</w:t>
      </w:r>
      <w:r w:rsidR="009D4135" w:rsidRPr="00A06FAD">
        <w:t>ing</w:t>
      </w:r>
      <w:r w:rsidR="00760126" w:rsidRPr="00A06FAD">
        <w:t xml:space="preserve"> the discourse on the </w:t>
      </w:r>
      <w:r w:rsidR="00B94E7E" w:rsidRPr="00A06FAD">
        <w:t xml:space="preserve">importance </w:t>
      </w:r>
      <w:r w:rsidR="009D4135" w:rsidRPr="00A06FAD">
        <w:t xml:space="preserve">of </w:t>
      </w:r>
      <w:r w:rsidR="00760126" w:rsidRPr="00A06FAD">
        <w:t xml:space="preserve">anti-corruption efforts </w:t>
      </w:r>
      <w:r w:rsidR="00D73D5B" w:rsidRPr="00A06FAD">
        <w:t xml:space="preserve">in </w:t>
      </w:r>
      <w:r w:rsidR="00F61ED3" w:rsidRPr="00A06FAD">
        <w:t>accelerating development progress</w:t>
      </w:r>
      <w:r w:rsidR="005A5277" w:rsidRPr="00A06FAD">
        <w:t xml:space="preserve"> </w:t>
      </w:r>
      <w:r w:rsidR="003749EE" w:rsidRPr="00A06FAD">
        <w:t xml:space="preserve">and </w:t>
      </w:r>
      <w:r w:rsidR="0062727E" w:rsidRPr="00A06FAD">
        <w:t xml:space="preserve">in </w:t>
      </w:r>
      <w:r w:rsidR="00BA421B" w:rsidRPr="00A06FAD">
        <w:t>implementing the 2030 Agenda</w:t>
      </w:r>
      <w:r w:rsidR="00590603" w:rsidRPr="00A06FAD">
        <w:t xml:space="preserve"> for Sustainable Development</w:t>
      </w:r>
      <w:r w:rsidR="00760126" w:rsidRPr="00A06FAD">
        <w:t xml:space="preserve">. There is increasing evidence that </w:t>
      </w:r>
      <w:r w:rsidR="00B94E7E" w:rsidRPr="00A06FAD">
        <w:t>addressing corruption</w:t>
      </w:r>
      <w:r w:rsidR="00760126" w:rsidRPr="00A06FAD">
        <w:t xml:space="preserve"> promot</w:t>
      </w:r>
      <w:r w:rsidR="00590603" w:rsidRPr="00A06FAD">
        <w:t>es</w:t>
      </w:r>
      <w:r w:rsidR="00760126" w:rsidRPr="00A06FAD">
        <w:t xml:space="preserve"> transparency and accountability in decision-making processes</w:t>
      </w:r>
      <w:r w:rsidR="00590603" w:rsidRPr="00A06FAD">
        <w:t>,</w:t>
      </w:r>
      <w:r w:rsidR="0086265D" w:rsidRPr="00A06FAD">
        <w:t xml:space="preserve"> </w:t>
      </w:r>
      <w:r w:rsidR="00870F34">
        <w:t>and</w:t>
      </w:r>
      <w:r w:rsidR="0086265D" w:rsidRPr="00A06FAD">
        <w:t xml:space="preserve"> enhanc</w:t>
      </w:r>
      <w:r w:rsidR="00870F34">
        <w:t>es</w:t>
      </w:r>
      <w:r w:rsidR="0086265D" w:rsidRPr="00A06FAD">
        <w:t xml:space="preserve"> development outcomes</w:t>
      </w:r>
      <w:r w:rsidR="00760126" w:rsidRPr="00A06FAD">
        <w:t>. While corruption is a difficult phenomenon to measure due to its complexity, correlations between corruption indicators and economic and human development indicators</w:t>
      </w:r>
      <w:r w:rsidR="00A730FD" w:rsidRPr="00A06FAD">
        <w:t xml:space="preserve"> have become more </w:t>
      </w:r>
      <w:r w:rsidR="00590603" w:rsidRPr="00A06FAD">
        <w:t xml:space="preserve">evident </w:t>
      </w:r>
      <w:r w:rsidR="003D0210" w:rsidRPr="00A06FAD">
        <w:t>in context</w:t>
      </w:r>
      <w:r w:rsidR="00590603" w:rsidRPr="00A06FAD">
        <w:t>ual</w:t>
      </w:r>
      <w:r w:rsidR="003D0210" w:rsidRPr="00A06FAD">
        <w:t xml:space="preserve"> analyses of </w:t>
      </w:r>
      <w:r w:rsidR="00870F34">
        <w:t xml:space="preserve">the </w:t>
      </w:r>
      <w:r w:rsidR="003D0210" w:rsidRPr="00A06FAD">
        <w:t>underlying drivers of stability and development</w:t>
      </w:r>
      <w:r w:rsidR="00760126" w:rsidRPr="00A06FAD">
        <w:t>. Countries scoring low on corruption prevalence or perceptions tend to be countries that enjoy greater prosperity, opportunity, and individual liberty.</w:t>
      </w:r>
    </w:p>
    <w:p w14:paraId="64F415E6" w14:textId="60270F1D" w:rsidR="00810B9F" w:rsidRPr="00A06FAD" w:rsidRDefault="00760126" w:rsidP="007333B7">
      <w:pPr>
        <w:pStyle w:val="SingleTxt"/>
        <w:numPr>
          <w:ilvl w:val="0"/>
          <w:numId w:val="1"/>
        </w:numPr>
        <w:tabs>
          <w:tab w:val="clear" w:pos="1267"/>
          <w:tab w:val="left" w:pos="90"/>
          <w:tab w:val="left" w:pos="630"/>
          <w:tab w:val="left" w:pos="900"/>
          <w:tab w:val="left" w:pos="1170"/>
          <w:tab w:val="left" w:pos="1260"/>
          <w:tab w:val="left" w:pos="1620"/>
        </w:tabs>
        <w:spacing w:line="240" w:lineRule="auto"/>
        <w:ind w:left="900" w:right="1378" w:firstLine="0"/>
      </w:pPr>
      <w:r w:rsidRPr="00A06FAD">
        <w:t>The 2030 Agenda emphasizes the need to fight corruption and illicit financial flows</w:t>
      </w:r>
      <w:r w:rsidR="00B61F71" w:rsidRPr="00A06FAD">
        <w:t xml:space="preserve"> to build peaceful, just and inclusive societies</w:t>
      </w:r>
      <w:r w:rsidR="00EE56D0" w:rsidRPr="00A06FAD">
        <w:t xml:space="preserve">. Fighting corruption and other targets under </w:t>
      </w:r>
      <w:r w:rsidR="00590603" w:rsidRPr="00A06FAD">
        <w:t>g</w:t>
      </w:r>
      <w:r w:rsidR="00EE56D0" w:rsidRPr="00A06FAD">
        <w:t xml:space="preserve">oal 16 </w:t>
      </w:r>
      <w:r w:rsidR="00870F34">
        <w:t>is</w:t>
      </w:r>
      <w:r w:rsidR="00870F34" w:rsidRPr="00A06FAD">
        <w:t xml:space="preserve"> </w:t>
      </w:r>
      <w:r w:rsidR="00EE56D0" w:rsidRPr="00A06FAD">
        <w:t>considered equally important for the</w:t>
      </w:r>
      <w:r w:rsidR="00B61F71" w:rsidRPr="00A06FAD">
        <w:t xml:space="preserve"> achieve</w:t>
      </w:r>
      <w:r w:rsidR="00EE56D0" w:rsidRPr="00A06FAD">
        <w:t>ment</w:t>
      </w:r>
      <w:r w:rsidR="00B61F71" w:rsidRPr="00A06FAD">
        <w:t xml:space="preserve"> </w:t>
      </w:r>
      <w:r w:rsidR="00EE56D0" w:rsidRPr="00A06FAD">
        <w:t xml:space="preserve">of the </w:t>
      </w:r>
      <w:r w:rsidR="00B61F71" w:rsidRPr="00A06FAD">
        <w:t xml:space="preserve">other sustainable </w:t>
      </w:r>
      <w:r w:rsidR="00590603" w:rsidRPr="00A06FAD">
        <w:t xml:space="preserve">development </w:t>
      </w:r>
      <w:r w:rsidR="00B61F71" w:rsidRPr="00A06FAD">
        <w:t>goals.</w:t>
      </w:r>
      <w:r w:rsidR="00372BC1" w:rsidRPr="00A06FAD">
        <w:t xml:space="preserve"> </w:t>
      </w:r>
      <w:r w:rsidR="00B61F71" w:rsidRPr="00A06FAD">
        <w:t>Moreover, t</w:t>
      </w:r>
      <w:r w:rsidR="00810B9F" w:rsidRPr="00A06FAD">
        <w:t xml:space="preserve">he global demand </w:t>
      </w:r>
      <w:r w:rsidRPr="00A06FAD">
        <w:t>for greater transparency and accountability</w:t>
      </w:r>
      <w:r w:rsidR="00810B9F" w:rsidRPr="00A06FAD">
        <w:t xml:space="preserve"> is increasing, with 1</w:t>
      </w:r>
      <w:r w:rsidR="00B61F71" w:rsidRPr="00A06FAD">
        <w:t>80</w:t>
      </w:r>
      <w:r w:rsidR="0023791E" w:rsidRPr="00A06FAD">
        <w:t> </w:t>
      </w:r>
      <w:r w:rsidR="00810B9F" w:rsidRPr="00A06FAD">
        <w:t>state parties ratifying</w:t>
      </w:r>
      <w:r w:rsidR="00372BC1" w:rsidRPr="00A06FAD">
        <w:t xml:space="preserve"> or </w:t>
      </w:r>
      <w:r w:rsidR="00B61F71" w:rsidRPr="00A06FAD">
        <w:t>acceding</w:t>
      </w:r>
      <w:r w:rsidR="00810B9F" w:rsidRPr="00A06FAD">
        <w:t xml:space="preserve"> </w:t>
      </w:r>
      <w:r w:rsidR="00372BC1" w:rsidRPr="00A06FAD">
        <w:t xml:space="preserve">to </w:t>
      </w:r>
      <w:r w:rsidRPr="00A06FAD">
        <w:t>the United Nations Convention Against Corruption</w:t>
      </w:r>
      <w:r w:rsidR="00810B9F" w:rsidRPr="00A06FAD">
        <w:t>.</w:t>
      </w:r>
      <w:r w:rsidR="00B61F71" w:rsidRPr="00A06FAD">
        <w:rPr>
          <w:rStyle w:val="FootnoteReference"/>
        </w:rPr>
        <w:footnoteReference w:id="2"/>
      </w:r>
    </w:p>
    <w:p w14:paraId="02F8F34C" w14:textId="0960BE54" w:rsidR="00810B9F" w:rsidRPr="00A06FAD" w:rsidRDefault="00810B9F" w:rsidP="007333B7">
      <w:pPr>
        <w:pStyle w:val="SingleTxt"/>
        <w:numPr>
          <w:ilvl w:val="0"/>
          <w:numId w:val="1"/>
        </w:numPr>
        <w:tabs>
          <w:tab w:val="clear" w:pos="1267"/>
          <w:tab w:val="left" w:pos="90"/>
          <w:tab w:val="left" w:pos="630"/>
          <w:tab w:val="left" w:pos="900"/>
          <w:tab w:val="left" w:pos="1170"/>
          <w:tab w:val="left" w:pos="1260"/>
          <w:tab w:val="left" w:pos="1620"/>
        </w:tabs>
        <w:spacing w:line="240" w:lineRule="auto"/>
        <w:ind w:left="900" w:right="1378" w:firstLine="0"/>
      </w:pPr>
      <w:r w:rsidRPr="00A06FAD">
        <w:t xml:space="preserve">UNDP contributions to global anti-corruption efforts </w:t>
      </w:r>
      <w:r w:rsidR="009A4530" w:rsidRPr="00A06FAD">
        <w:t xml:space="preserve">have been </w:t>
      </w:r>
      <w:r w:rsidRPr="00A06FAD">
        <w:t>significant and distinct, focus</w:t>
      </w:r>
      <w:r w:rsidR="00372BC1" w:rsidRPr="00A06FAD">
        <w:t>ed</w:t>
      </w:r>
      <w:r w:rsidRPr="00A06FAD">
        <w:t xml:space="preserve"> on building national anti-corruption capacities</w:t>
      </w:r>
      <w:r w:rsidR="00AA4A0B" w:rsidRPr="00A06FAD">
        <w:t xml:space="preserve">, </w:t>
      </w:r>
      <w:r w:rsidRPr="00A06FAD">
        <w:t>strengthening relevant institutions</w:t>
      </w:r>
      <w:r w:rsidR="00AA4A0B" w:rsidRPr="00A06FAD">
        <w:t xml:space="preserve"> and promoting corruption risk assessments in selected sectors</w:t>
      </w:r>
      <w:r w:rsidRPr="00A06FAD">
        <w:t xml:space="preserve">. </w:t>
      </w:r>
      <w:r w:rsidR="00760126" w:rsidRPr="00A06FAD">
        <w:t xml:space="preserve">During the </w:t>
      </w:r>
      <w:r w:rsidR="00870F34">
        <w:t xml:space="preserve">period </w:t>
      </w:r>
      <w:r w:rsidR="00760126" w:rsidRPr="00A06FAD">
        <w:t>20</w:t>
      </w:r>
      <w:r w:rsidR="00B61F71" w:rsidRPr="00A06FAD">
        <w:t>10</w:t>
      </w:r>
      <w:r w:rsidR="00372BC1" w:rsidRPr="00A06FAD">
        <w:t>-</w:t>
      </w:r>
      <w:r w:rsidR="00760126" w:rsidRPr="00A06FAD">
        <w:t>201</w:t>
      </w:r>
      <w:r w:rsidR="00B61F71" w:rsidRPr="00A06FAD">
        <w:t>5</w:t>
      </w:r>
      <w:r w:rsidR="00760126" w:rsidRPr="00A06FAD">
        <w:t xml:space="preserve">, anti-corruption </w:t>
      </w:r>
      <w:r w:rsidR="00870F34">
        <w:t>w</w:t>
      </w:r>
      <w:r w:rsidR="00760126" w:rsidRPr="00A06FAD">
        <w:t>as one of the fastest</w:t>
      </w:r>
      <w:r w:rsidR="00372BC1" w:rsidRPr="00A06FAD">
        <w:t>-</w:t>
      </w:r>
      <w:r w:rsidR="00760126" w:rsidRPr="00A06FAD">
        <w:t xml:space="preserve">growing policy service areas in UNDP. </w:t>
      </w:r>
    </w:p>
    <w:p w14:paraId="239A5CD0" w14:textId="0C99785B" w:rsidR="00674A9C" w:rsidRPr="00A06FAD" w:rsidRDefault="00810B9F" w:rsidP="0035123C">
      <w:pPr>
        <w:pStyle w:val="SingleTxt"/>
        <w:numPr>
          <w:ilvl w:val="0"/>
          <w:numId w:val="1"/>
        </w:numPr>
        <w:tabs>
          <w:tab w:val="clear" w:pos="1267"/>
          <w:tab w:val="left" w:pos="900"/>
          <w:tab w:val="left" w:pos="1170"/>
          <w:tab w:val="left" w:pos="1260"/>
        </w:tabs>
        <w:spacing w:after="0" w:line="240" w:lineRule="auto"/>
        <w:ind w:left="900" w:right="1378" w:firstLine="0"/>
      </w:pPr>
      <w:r w:rsidRPr="00A06FAD">
        <w:t xml:space="preserve">The evaluation assessed </w:t>
      </w:r>
      <w:r w:rsidR="00760126" w:rsidRPr="00A06FAD">
        <w:t>the contribution of UNDP to</w:t>
      </w:r>
      <w:r w:rsidR="00372BC1" w:rsidRPr="00A06FAD">
        <w:t>:</w:t>
      </w:r>
      <w:r w:rsidR="00760126" w:rsidRPr="00A06FAD">
        <w:t xml:space="preserve"> </w:t>
      </w:r>
      <w:r w:rsidR="00372BC1" w:rsidRPr="00A06FAD">
        <w:t xml:space="preserve">(a) </w:t>
      </w:r>
      <w:r w:rsidR="00760126" w:rsidRPr="00A06FAD">
        <w:t>strengthening national capacities in anti-corr</w:t>
      </w:r>
      <w:r w:rsidRPr="00A06FAD">
        <w:t xml:space="preserve">uption and </w:t>
      </w:r>
      <w:r w:rsidR="00B269A6" w:rsidRPr="00A06FAD">
        <w:t xml:space="preserve">addressing drivers of corruption in </w:t>
      </w:r>
      <w:r w:rsidR="00AA4A0B" w:rsidRPr="00A06FAD">
        <w:t xml:space="preserve">different </w:t>
      </w:r>
      <w:r w:rsidR="00B269A6" w:rsidRPr="00A06FAD">
        <w:t>development contexts</w:t>
      </w:r>
      <w:r w:rsidR="00372BC1" w:rsidRPr="00A06FAD">
        <w:t>;</w:t>
      </w:r>
      <w:r w:rsidR="00560552" w:rsidRPr="00A06FAD">
        <w:t xml:space="preserve"> and </w:t>
      </w:r>
      <w:r w:rsidR="00372BC1" w:rsidRPr="00A06FAD">
        <w:t>(b) </w:t>
      </w:r>
      <w:r w:rsidR="002E73D8" w:rsidRPr="00A06FAD">
        <w:t>global and regional anti-corruption policy debates and advocacy</w:t>
      </w:r>
      <w:r w:rsidR="00372BC1" w:rsidRPr="00A06FAD">
        <w:t>.</w:t>
      </w:r>
      <w:r w:rsidR="002E73D8" w:rsidRPr="00A06FAD">
        <w:t xml:space="preserve"> </w:t>
      </w:r>
      <w:r w:rsidR="00372BC1" w:rsidRPr="00A06FAD">
        <w:t>I</w:t>
      </w:r>
      <w:r w:rsidR="002E73D8" w:rsidRPr="00A06FAD">
        <w:t xml:space="preserve">t </w:t>
      </w:r>
      <w:r w:rsidR="00372BC1" w:rsidRPr="00A06FAD">
        <w:t xml:space="preserve">also </w:t>
      </w:r>
      <w:r w:rsidR="002E73D8" w:rsidRPr="00A06FAD">
        <w:t>identified factors that explain UNDP contributions.</w:t>
      </w:r>
      <w:r w:rsidR="00560552" w:rsidRPr="00A06FAD">
        <w:t xml:space="preserve"> </w:t>
      </w:r>
      <w:r w:rsidR="00AA4A0B" w:rsidRPr="00A06FAD">
        <w:t>The evaluation covers</w:t>
      </w:r>
      <w:r w:rsidR="00B269A6" w:rsidRPr="00A06FAD">
        <w:t xml:space="preserve"> the period 2008</w:t>
      </w:r>
      <w:r w:rsidR="00372BC1" w:rsidRPr="00A06FAD">
        <w:t>-</w:t>
      </w:r>
      <w:r w:rsidR="00B269A6" w:rsidRPr="00A06FAD">
        <w:lastRenderedPageBreak/>
        <w:t>2016</w:t>
      </w:r>
      <w:r w:rsidRPr="00A06FAD">
        <w:t>, and p</w:t>
      </w:r>
      <w:r w:rsidR="00760126" w:rsidRPr="00A06FAD">
        <w:t>resent</w:t>
      </w:r>
      <w:r w:rsidR="00AA4A0B" w:rsidRPr="00A06FAD">
        <w:t>s</w:t>
      </w:r>
      <w:r w:rsidR="00760126" w:rsidRPr="00A06FAD">
        <w:t xml:space="preserve"> key findings, conclusions, and recommendations t</w:t>
      </w:r>
      <w:r w:rsidRPr="00A06FAD">
        <w:t xml:space="preserve">hat will </w:t>
      </w:r>
      <w:r w:rsidR="00760126" w:rsidRPr="00A06FAD">
        <w:t xml:space="preserve">inform </w:t>
      </w:r>
      <w:r w:rsidR="0023791E" w:rsidRPr="00A06FAD">
        <w:t xml:space="preserve">future </w:t>
      </w:r>
      <w:r w:rsidR="00760126" w:rsidRPr="00A06FAD">
        <w:t>management decisions</w:t>
      </w:r>
      <w:r w:rsidRPr="00A06FAD">
        <w:t xml:space="preserve"> and priority</w:t>
      </w:r>
      <w:r w:rsidR="00372BC1" w:rsidRPr="00A06FAD">
        <w:t>-</w:t>
      </w:r>
      <w:r w:rsidR="009476D5" w:rsidRPr="00A06FAD">
        <w:t xml:space="preserve">setting </w:t>
      </w:r>
      <w:r w:rsidRPr="00A06FAD">
        <w:t xml:space="preserve">for UNDP </w:t>
      </w:r>
      <w:r w:rsidR="009476D5" w:rsidRPr="00A06FAD">
        <w:t>strategic engagement</w:t>
      </w:r>
      <w:r w:rsidRPr="00A06FAD">
        <w:t>.</w:t>
      </w:r>
    </w:p>
    <w:p w14:paraId="79EC295D" w14:textId="77777777" w:rsidR="00372BC1" w:rsidRPr="00A06FAD" w:rsidRDefault="00372BC1" w:rsidP="007333B7">
      <w:pPr>
        <w:pStyle w:val="SingleTxt"/>
        <w:tabs>
          <w:tab w:val="clear" w:pos="1267"/>
          <w:tab w:val="left" w:pos="900"/>
          <w:tab w:val="left" w:pos="1170"/>
          <w:tab w:val="left" w:pos="1260"/>
        </w:tabs>
        <w:spacing w:after="0" w:line="240" w:lineRule="auto"/>
        <w:ind w:left="900" w:right="1378"/>
      </w:pPr>
    </w:p>
    <w:p w14:paraId="0F3BB903" w14:textId="283BE6BE" w:rsidR="00F3388D" w:rsidRPr="00870F34" w:rsidRDefault="00F3388D" w:rsidP="007333B7">
      <w:pPr>
        <w:tabs>
          <w:tab w:val="left" w:pos="900"/>
          <w:tab w:val="left" w:pos="1170"/>
          <w:tab w:val="left" w:pos="1260"/>
        </w:tabs>
        <w:ind w:left="900" w:right="1378"/>
        <w:jc w:val="both"/>
        <w:rPr>
          <w:b/>
          <w:sz w:val="28"/>
          <w:szCs w:val="28"/>
          <w:lang w:val="en-GB"/>
        </w:rPr>
      </w:pPr>
      <w:r w:rsidRPr="00870F34">
        <w:rPr>
          <w:b/>
          <w:sz w:val="28"/>
          <w:szCs w:val="28"/>
          <w:lang w:val="en-GB"/>
        </w:rPr>
        <w:t xml:space="preserve">Findings and </w:t>
      </w:r>
      <w:r w:rsidR="007E151D" w:rsidRPr="00870F34">
        <w:rPr>
          <w:b/>
          <w:sz w:val="28"/>
          <w:szCs w:val="28"/>
          <w:lang w:val="en-GB"/>
        </w:rPr>
        <w:t>conclusions</w:t>
      </w:r>
    </w:p>
    <w:p w14:paraId="0CD8D7B7" w14:textId="77777777" w:rsidR="00372BC1" w:rsidRPr="00A06FAD" w:rsidRDefault="00372BC1" w:rsidP="007333B7">
      <w:pPr>
        <w:pStyle w:val="SingleTxt"/>
        <w:tabs>
          <w:tab w:val="clear" w:pos="1267"/>
          <w:tab w:val="left" w:pos="90"/>
          <w:tab w:val="left" w:pos="360"/>
          <w:tab w:val="left" w:pos="900"/>
          <w:tab w:val="left" w:pos="1170"/>
          <w:tab w:val="left" w:pos="1260"/>
          <w:tab w:val="left" w:pos="1620"/>
        </w:tabs>
        <w:spacing w:after="0" w:line="240" w:lineRule="auto"/>
        <w:ind w:left="900" w:right="1378"/>
      </w:pPr>
    </w:p>
    <w:p w14:paraId="08588218" w14:textId="3C578F7C" w:rsidR="00870F34" w:rsidRDefault="001B76E1" w:rsidP="007333B7">
      <w:pPr>
        <w:pStyle w:val="SingleTxt"/>
        <w:numPr>
          <w:ilvl w:val="0"/>
          <w:numId w:val="1"/>
        </w:numPr>
        <w:tabs>
          <w:tab w:val="clear" w:pos="1267"/>
          <w:tab w:val="left" w:pos="90"/>
          <w:tab w:val="left" w:pos="360"/>
          <w:tab w:val="left" w:pos="900"/>
          <w:tab w:val="left" w:pos="1170"/>
          <w:tab w:val="left" w:pos="1260"/>
          <w:tab w:val="left" w:pos="1620"/>
        </w:tabs>
        <w:spacing w:line="240" w:lineRule="auto"/>
        <w:ind w:left="900" w:right="1378" w:firstLine="0"/>
      </w:pPr>
      <w:r w:rsidRPr="00A06FAD">
        <w:t xml:space="preserve">UNDP management </w:t>
      </w:r>
      <w:r w:rsidR="00BC19D5" w:rsidRPr="00A06FAD">
        <w:t xml:space="preserve">welcomes </w:t>
      </w:r>
      <w:r w:rsidRPr="00A06FAD">
        <w:t xml:space="preserve">the acknowledgement </w:t>
      </w:r>
      <w:r w:rsidR="004F6E32" w:rsidRPr="00A06FAD">
        <w:t>that</w:t>
      </w:r>
      <w:r w:rsidR="009476D5" w:rsidRPr="00A06FAD">
        <w:t>,</w:t>
      </w:r>
      <w:r w:rsidR="004F6E32" w:rsidRPr="00A06FAD">
        <w:t xml:space="preserve"> with the overarching goal of achieving development outcomes such as </w:t>
      </w:r>
      <w:r w:rsidR="00AA4A0B" w:rsidRPr="00A06FAD">
        <w:t xml:space="preserve">the </w:t>
      </w:r>
      <w:r w:rsidR="00590603" w:rsidRPr="00A06FAD">
        <w:t>Millennium Development Goals</w:t>
      </w:r>
      <w:r w:rsidR="004F6E32" w:rsidRPr="00A06FAD">
        <w:t xml:space="preserve"> and </w:t>
      </w:r>
      <w:r w:rsidR="00AA4A0B" w:rsidRPr="00A06FAD">
        <w:t xml:space="preserve">the </w:t>
      </w:r>
      <w:r w:rsidR="00590603" w:rsidRPr="00A06FAD">
        <w:t>sustainable development goals</w:t>
      </w:r>
      <w:r w:rsidR="004F6E32" w:rsidRPr="00A06FAD">
        <w:t xml:space="preserve">, UNDP has given high priority to anti-corruption work across UNDP country programmes. </w:t>
      </w:r>
    </w:p>
    <w:p w14:paraId="72CC3896" w14:textId="416AD051" w:rsidR="00870F34" w:rsidRDefault="004F6E32" w:rsidP="007333B7">
      <w:pPr>
        <w:pStyle w:val="SingleTxt"/>
        <w:numPr>
          <w:ilvl w:val="0"/>
          <w:numId w:val="1"/>
        </w:numPr>
        <w:tabs>
          <w:tab w:val="clear" w:pos="1267"/>
          <w:tab w:val="left" w:pos="90"/>
          <w:tab w:val="left" w:pos="360"/>
          <w:tab w:val="left" w:pos="900"/>
          <w:tab w:val="left" w:pos="1170"/>
          <w:tab w:val="left" w:pos="1260"/>
          <w:tab w:val="left" w:pos="1620"/>
        </w:tabs>
        <w:spacing w:line="240" w:lineRule="auto"/>
        <w:ind w:left="900" w:right="1378" w:firstLine="0"/>
      </w:pPr>
      <w:r w:rsidRPr="00A06FAD">
        <w:t>UNDP management acknowledge</w:t>
      </w:r>
      <w:r w:rsidR="00AA4A0B" w:rsidRPr="00A06FAD">
        <w:t>s</w:t>
      </w:r>
      <w:r w:rsidRPr="00A06FAD">
        <w:t xml:space="preserve"> the finding</w:t>
      </w:r>
      <w:r w:rsidR="00870F34">
        <w:t>s indicating</w:t>
      </w:r>
      <w:r w:rsidRPr="00A06FAD">
        <w:t xml:space="preserve"> that </w:t>
      </w:r>
      <w:r w:rsidR="001B76E1" w:rsidRPr="00A06FAD">
        <w:t xml:space="preserve">UNDP </w:t>
      </w:r>
      <w:r w:rsidRPr="00A06FAD">
        <w:t xml:space="preserve">is </w:t>
      </w:r>
      <w:r w:rsidR="001B76E1" w:rsidRPr="00A06FAD">
        <w:t xml:space="preserve">a </w:t>
      </w:r>
      <w:r w:rsidR="00674A9C" w:rsidRPr="00A06FAD">
        <w:t>key actor in</w:t>
      </w:r>
      <w:r w:rsidR="000C511A" w:rsidRPr="00A06FAD">
        <w:t xml:space="preserve"> providing democratic governance assistance, play</w:t>
      </w:r>
      <w:r w:rsidR="00870F34">
        <w:t>s</w:t>
      </w:r>
      <w:r w:rsidR="000C511A" w:rsidRPr="00A06FAD">
        <w:t xml:space="preserve"> an important role in assisting developing countries to strengthen public poli</w:t>
      </w:r>
      <w:r w:rsidR="00676717" w:rsidRPr="00A06FAD">
        <w:t>cies and institutional systems</w:t>
      </w:r>
      <w:r w:rsidR="0023791E" w:rsidRPr="00A06FAD">
        <w:t>,</w:t>
      </w:r>
      <w:r w:rsidR="00676717" w:rsidRPr="00A06FAD">
        <w:t xml:space="preserve"> and proactively engag</w:t>
      </w:r>
      <w:r w:rsidR="00870F34">
        <w:t>es</w:t>
      </w:r>
      <w:r w:rsidR="00676717" w:rsidRPr="00A06FAD">
        <w:t xml:space="preserve"> in debates, advocacy, knowledge </w:t>
      </w:r>
      <w:r w:rsidR="00F51565" w:rsidRPr="00A06FAD">
        <w:t xml:space="preserve">management </w:t>
      </w:r>
      <w:r w:rsidR="00676717" w:rsidRPr="00A06FAD">
        <w:t xml:space="preserve">and partnerships on anti-corruption at the global </w:t>
      </w:r>
      <w:r w:rsidR="00F47A59" w:rsidRPr="00A06FAD">
        <w:t xml:space="preserve">and regional </w:t>
      </w:r>
      <w:r w:rsidR="00676717" w:rsidRPr="00A06FAD">
        <w:t>level</w:t>
      </w:r>
      <w:r w:rsidR="00F47A59" w:rsidRPr="00A06FAD">
        <w:t>s</w:t>
      </w:r>
      <w:r w:rsidR="0023791E" w:rsidRPr="00A06FAD">
        <w:t xml:space="preserve"> – </w:t>
      </w:r>
      <w:r w:rsidR="00676717" w:rsidRPr="00A06FAD">
        <w:t xml:space="preserve">including its contribution to </w:t>
      </w:r>
      <w:r w:rsidR="007D277E" w:rsidRPr="00A06FAD">
        <w:t>the integration of</w:t>
      </w:r>
      <w:r w:rsidR="00676717" w:rsidRPr="00A06FAD">
        <w:t xml:space="preserve"> anti-corruption,</w:t>
      </w:r>
      <w:r w:rsidR="00C127A3" w:rsidRPr="00A06FAD">
        <w:t xml:space="preserve"> </w:t>
      </w:r>
      <w:r w:rsidR="00C127A3" w:rsidRPr="00A06FAD">
        <w:rPr>
          <w:shd w:val="clear" w:color="auto" w:fill="FFFFFF" w:themeFill="background1"/>
        </w:rPr>
        <w:t>accountability</w:t>
      </w:r>
      <w:r w:rsidR="00676717" w:rsidRPr="00A06FAD">
        <w:rPr>
          <w:shd w:val="clear" w:color="auto" w:fill="FFFFFF" w:themeFill="background1"/>
        </w:rPr>
        <w:t xml:space="preserve"> and transparency </w:t>
      </w:r>
      <w:r w:rsidR="00AA4A0B" w:rsidRPr="00A06FAD">
        <w:rPr>
          <w:shd w:val="clear" w:color="auto" w:fill="FFFFFF" w:themeFill="background1"/>
        </w:rPr>
        <w:t xml:space="preserve">targets </w:t>
      </w:r>
      <w:r w:rsidR="0023791E" w:rsidRPr="00A06FAD">
        <w:rPr>
          <w:shd w:val="clear" w:color="auto" w:fill="FFFFFF" w:themeFill="background1"/>
        </w:rPr>
        <w:t xml:space="preserve">of </w:t>
      </w:r>
      <w:r w:rsidR="00590603" w:rsidRPr="00A06FAD">
        <w:t>sustainable development goal</w:t>
      </w:r>
      <w:r w:rsidR="00676717" w:rsidRPr="00A06FAD">
        <w:rPr>
          <w:shd w:val="clear" w:color="auto" w:fill="FFFFFF" w:themeFill="background1"/>
        </w:rPr>
        <w:t xml:space="preserve"> 16</w:t>
      </w:r>
      <w:r w:rsidR="00D570D0" w:rsidRPr="00A06FAD">
        <w:rPr>
          <w:shd w:val="clear" w:color="auto" w:fill="FFFFFF" w:themeFill="background1"/>
        </w:rPr>
        <w:t>.</w:t>
      </w:r>
      <w:r w:rsidR="002E73D8" w:rsidRPr="00A06FAD">
        <w:rPr>
          <w:shd w:val="clear" w:color="auto" w:fill="FFFFFF" w:themeFill="background1"/>
        </w:rPr>
        <w:t xml:space="preserve"> In several countries,</w:t>
      </w:r>
      <w:r w:rsidR="00C127A3" w:rsidRPr="00A06FAD">
        <w:rPr>
          <w:shd w:val="clear" w:color="auto" w:fill="FFFFFF" w:themeFill="background1"/>
        </w:rPr>
        <w:t xml:space="preserve"> </w:t>
      </w:r>
      <w:r w:rsidR="00531C42" w:rsidRPr="00A06FAD">
        <w:t xml:space="preserve">UNDP </w:t>
      </w:r>
      <w:r w:rsidR="00870F34">
        <w:t>wa</w:t>
      </w:r>
      <w:r w:rsidR="003C0620" w:rsidRPr="00A06FAD">
        <w:t xml:space="preserve">s </w:t>
      </w:r>
      <w:r w:rsidR="00531C42" w:rsidRPr="00A06FAD">
        <w:t xml:space="preserve">one of the first </w:t>
      </w:r>
      <w:r w:rsidR="0023791E" w:rsidRPr="00A06FAD">
        <w:t xml:space="preserve">organizations to </w:t>
      </w:r>
      <w:r w:rsidR="00531C42" w:rsidRPr="00A06FAD">
        <w:t xml:space="preserve">support governments in strengthening governance and building national </w:t>
      </w:r>
      <w:r w:rsidR="0023791E" w:rsidRPr="00A06FAD">
        <w:t xml:space="preserve">capacities and </w:t>
      </w:r>
      <w:r w:rsidR="00531C42" w:rsidRPr="00A06FAD">
        <w:t xml:space="preserve">institutions </w:t>
      </w:r>
      <w:r w:rsidR="007D277E" w:rsidRPr="00A06FAD">
        <w:t xml:space="preserve">in which fighting corruption and enhancing </w:t>
      </w:r>
      <w:r w:rsidR="00EE202A" w:rsidRPr="00A06FAD">
        <w:t>transparency are critical objectives</w:t>
      </w:r>
      <w:r w:rsidR="00646184" w:rsidRPr="00A06FAD">
        <w:t xml:space="preserve">. UNDP </w:t>
      </w:r>
      <w:r w:rsidR="003C0620" w:rsidRPr="00A06FAD">
        <w:t xml:space="preserve">has been </w:t>
      </w:r>
      <w:r w:rsidR="00646184" w:rsidRPr="00A06FAD">
        <w:t xml:space="preserve">responsive to evolving national governance issues in complex </w:t>
      </w:r>
      <w:r w:rsidR="00EE202A" w:rsidRPr="00A06FAD">
        <w:t xml:space="preserve">and fragile </w:t>
      </w:r>
      <w:r w:rsidR="003C0620" w:rsidRPr="00A06FAD">
        <w:t xml:space="preserve">development </w:t>
      </w:r>
      <w:r w:rsidR="00646184" w:rsidRPr="00A06FAD">
        <w:t>context</w:t>
      </w:r>
      <w:r w:rsidR="003C0620" w:rsidRPr="00A06FAD">
        <w:t>s</w:t>
      </w:r>
      <w:r w:rsidR="00646184" w:rsidRPr="00A06FAD">
        <w:t xml:space="preserve">. </w:t>
      </w:r>
    </w:p>
    <w:p w14:paraId="013566F5" w14:textId="0F8EBB19" w:rsidR="00674A9C" w:rsidRPr="00A06FAD" w:rsidRDefault="000C511A" w:rsidP="007333B7">
      <w:pPr>
        <w:pStyle w:val="SingleTxt"/>
        <w:numPr>
          <w:ilvl w:val="0"/>
          <w:numId w:val="1"/>
        </w:numPr>
        <w:tabs>
          <w:tab w:val="clear" w:pos="1267"/>
          <w:tab w:val="left" w:pos="90"/>
          <w:tab w:val="left" w:pos="360"/>
          <w:tab w:val="left" w:pos="900"/>
          <w:tab w:val="left" w:pos="1170"/>
          <w:tab w:val="left" w:pos="1260"/>
          <w:tab w:val="left" w:pos="1620"/>
        </w:tabs>
        <w:spacing w:line="240" w:lineRule="auto"/>
        <w:ind w:left="900" w:right="1378" w:firstLine="0"/>
      </w:pPr>
      <w:r w:rsidRPr="00A06FAD">
        <w:t xml:space="preserve">UNDP welcomes the acknowledgement </w:t>
      </w:r>
      <w:r w:rsidR="00196F9D" w:rsidRPr="00A06FAD">
        <w:t xml:space="preserve">that our programme support </w:t>
      </w:r>
      <w:r w:rsidR="003C0620" w:rsidRPr="00A06FAD">
        <w:t xml:space="preserve">is </w:t>
      </w:r>
      <w:r w:rsidR="00196F9D" w:rsidRPr="00A06FAD">
        <w:t>based on the principle that ownership and responsibility for development outcomes rest with national authorities</w:t>
      </w:r>
      <w:r w:rsidR="00275B66" w:rsidRPr="00A06FAD">
        <w:t>. UNDP programmes align with national priorities</w:t>
      </w:r>
      <w:r w:rsidR="00EE202A" w:rsidRPr="00A06FAD">
        <w:t xml:space="preserve"> and promote national ownership as part of our commitment to the principles of the Global Partnership for Effective Development Cooperation</w:t>
      </w:r>
      <w:r w:rsidR="00275B66" w:rsidRPr="00A06FAD">
        <w:t>.</w:t>
      </w:r>
      <w:r w:rsidR="00196F9D" w:rsidRPr="00A06FAD">
        <w:t xml:space="preserve"> </w:t>
      </w:r>
      <w:r w:rsidR="001C664A" w:rsidRPr="00A06FAD">
        <w:t xml:space="preserve">The </w:t>
      </w:r>
      <w:r w:rsidR="00196F9D" w:rsidRPr="00A06FAD">
        <w:t>UNDP focus on</w:t>
      </w:r>
      <w:r w:rsidRPr="00A06FAD">
        <w:t xml:space="preserve"> accountability, transparency and other integrity </w:t>
      </w:r>
      <w:r w:rsidR="00EE202A" w:rsidRPr="00A06FAD">
        <w:t>aspects of</w:t>
      </w:r>
      <w:r w:rsidRPr="00A06FAD">
        <w:t xml:space="preserve"> governance </w:t>
      </w:r>
      <w:r w:rsidR="003C0620" w:rsidRPr="00A06FAD">
        <w:t xml:space="preserve">aims </w:t>
      </w:r>
      <w:r w:rsidR="00196F9D" w:rsidRPr="00A06FAD">
        <w:t>to address issues of corruption more systematically</w:t>
      </w:r>
      <w:r w:rsidR="001C664A" w:rsidRPr="00A06FAD">
        <w:t>,</w:t>
      </w:r>
      <w:r w:rsidR="00196F9D" w:rsidRPr="00A06FAD">
        <w:t xml:space="preserve"> </w:t>
      </w:r>
      <w:r w:rsidR="001C664A" w:rsidRPr="00A06FAD">
        <w:t xml:space="preserve">by </w:t>
      </w:r>
      <w:r w:rsidR="00870F34">
        <w:t xml:space="preserve">(a) </w:t>
      </w:r>
      <w:r w:rsidRPr="00A06FAD">
        <w:t>prevent</w:t>
      </w:r>
      <w:r w:rsidR="00196F9D" w:rsidRPr="00A06FAD">
        <w:t>ing</w:t>
      </w:r>
      <w:r w:rsidRPr="00A06FAD">
        <w:t xml:space="preserve"> </w:t>
      </w:r>
      <w:r w:rsidR="00870F34">
        <w:t>corruption</w:t>
      </w:r>
      <w:r w:rsidR="00870F34" w:rsidRPr="00A06FAD">
        <w:t xml:space="preserve"> </w:t>
      </w:r>
      <w:r w:rsidR="00196F9D" w:rsidRPr="00A06FAD">
        <w:t>in public management</w:t>
      </w:r>
      <w:r w:rsidRPr="00A06FAD">
        <w:t xml:space="preserve"> </w:t>
      </w:r>
      <w:r w:rsidR="003C0620" w:rsidRPr="00A06FAD">
        <w:t>and service delivery</w:t>
      </w:r>
      <w:r w:rsidR="001C664A" w:rsidRPr="00A06FAD">
        <w:t>,</w:t>
      </w:r>
      <w:r w:rsidR="003C0620" w:rsidRPr="00A06FAD">
        <w:t xml:space="preserve"> </w:t>
      </w:r>
      <w:r w:rsidR="001C664A" w:rsidRPr="00A06FAD">
        <w:t xml:space="preserve">so as </w:t>
      </w:r>
      <w:r w:rsidRPr="00A06FAD">
        <w:t>to increase development effectiveness</w:t>
      </w:r>
      <w:r w:rsidR="001C664A" w:rsidRPr="00A06FAD">
        <w:t>,</w:t>
      </w:r>
      <w:r w:rsidR="000E1E17" w:rsidRPr="00A06FAD">
        <w:t xml:space="preserve"> and </w:t>
      </w:r>
      <w:r w:rsidR="00870F34">
        <w:t>(</w:t>
      </w:r>
      <w:r w:rsidR="000E1E17" w:rsidRPr="00A06FAD">
        <w:t>b</w:t>
      </w:r>
      <w:r w:rsidR="00870F34">
        <w:t>)</w:t>
      </w:r>
      <w:r w:rsidR="000E1E17" w:rsidRPr="00A06FAD">
        <w:t xml:space="preserve"> engaging with all major stakeholders </w:t>
      </w:r>
      <w:r w:rsidR="001C664A" w:rsidRPr="00A06FAD">
        <w:t>(</w:t>
      </w:r>
      <w:r w:rsidR="000E1E17" w:rsidRPr="00A06FAD">
        <w:t>governments, parliament</w:t>
      </w:r>
      <w:r w:rsidR="00EE202A" w:rsidRPr="00A06FAD">
        <w:t>s</w:t>
      </w:r>
      <w:r w:rsidR="000E1E17" w:rsidRPr="00A06FAD">
        <w:t xml:space="preserve">, civil society and </w:t>
      </w:r>
      <w:r w:rsidR="00EE202A" w:rsidRPr="00A06FAD">
        <w:t xml:space="preserve">the </w:t>
      </w:r>
      <w:r w:rsidR="000E1E17" w:rsidRPr="00A06FAD">
        <w:t>private sector</w:t>
      </w:r>
      <w:r w:rsidR="001C664A" w:rsidRPr="00A06FAD">
        <w:t>)</w:t>
      </w:r>
      <w:r w:rsidRPr="00A06FAD">
        <w:t>.</w:t>
      </w:r>
      <w:r w:rsidR="00196F9D" w:rsidRPr="00A06FAD">
        <w:t xml:space="preserve"> </w:t>
      </w:r>
    </w:p>
    <w:p w14:paraId="7C0B9FD0" w14:textId="3096EA66" w:rsidR="00870F34" w:rsidRDefault="004E78E5" w:rsidP="007333B7">
      <w:pPr>
        <w:pStyle w:val="SingleTxt"/>
        <w:numPr>
          <w:ilvl w:val="0"/>
          <w:numId w:val="1"/>
        </w:numPr>
        <w:tabs>
          <w:tab w:val="clear" w:pos="1267"/>
          <w:tab w:val="left" w:pos="90"/>
          <w:tab w:val="left" w:pos="360"/>
          <w:tab w:val="left" w:pos="900"/>
          <w:tab w:val="left" w:pos="1170"/>
          <w:tab w:val="left" w:pos="1260"/>
          <w:tab w:val="left" w:pos="1620"/>
        </w:tabs>
        <w:spacing w:line="240" w:lineRule="auto"/>
        <w:ind w:left="900" w:right="1378" w:firstLine="0"/>
      </w:pPr>
      <w:r w:rsidRPr="00A06FAD">
        <w:t>UNDP management appreciate</w:t>
      </w:r>
      <w:r w:rsidR="004243AA" w:rsidRPr="00A06FAD">
        <w:t>s</w:t>
      </w:r>
      <w:r w:rsidRPr="00A06FAD">
        <w:t xml:space="preserve"> the findings of the evaluation </w:t>
      </w:r>
      <w:r w:rsidR="004243AA" w:rsidRPr="00A06FAD">
        <w:t xml:space="preserve">highlighting </w:t>
      </w:r>
      <w:r w:rsidRPr="00A06FAD">
        <w:t xml:space="preserve">that </w:t>
      </w:r>
      <w:r w:rsidR="0065288C" w:rsidRPr="00A06FAD">
        <w:t xml:space="preserve">the organization </w:t>
      </w:r>
      <w:r w:rsidR="004243AA" w:rsidRPr="00A06FAD">
        <w:t xml:space="preserve">has </w:t>
      </w:r>
      <w:r w:rsidRPr="00A06FAD">
        <w:t xml:space="preserve">complemented the normative role of </w:t>
      </w:r>
      <w:r w:rsidR="00222D42" w:rsidRPr="00A06FAD">
        <w:t xml:space="preserve">the </w:t>
      </w:r>
      <w:r w:rsidRPr="00A06FAD">
        <w:t>U</w:t>
      </w:r>
      <w:r w:rsidR="00222D42" w:rsidRPr="00A06FAD">
        <w:t xml:space="preserve">nited </w:t>
      </w:r>
      <w:r w:rsidRPr="00A06FAD">
        <w:t>N</w:t>
      </w:r>
      <w:r w:rsidR="00222D42" w:rsidRPr="00A06FAD">
        <w:t xml:space="preserve">ations </w:t>
      </w:r>
      <w:r w:rsidRPr="00A06FAD">
        <w:t>O</w:t>
      </w:r>
      <w:r w:rsidR="00222D42" w:rsidRPr="00A06FAD">
        <w:t xml:space="preserve">ffice of </w:t>
      </w:r>
      <w:r w:rsidRPr="00A06FAD">
        <w:t>D</w:t>
      </w:r>
      <w:r w:rsidR="00222D42" w:rsidRPr="00A06FAD">
        <w:t xml:space="preserve">rugs and </w:t>
      </w:r>
      <w:r w:rsidRPr="00A06FAD">
        <w:t>C</w:t>
      </w:r>
      <w:r w:rsidR="00222D42" w:rsidRPr="00A06FAD">
        <w:t>rime</w:t>
      </w:r>
      <w:r w:rsidRPr="00A06FAD">
        <w:t xml:space="preserve"> </w:t>
      </w:r>
      <w:r w:rsidR="00222D42" w:rsidRPr="00A06FAD">
        <w:t xml:space="preserve">(UNODC) </w:t>
      </w:r>
      <w:r w:rsidR="001C664A" w:rsidRPr="00A06FAD">
        <w:t>i</w:t>
      </w:r>
      <w:r w:rsidRPr="00A06FAD">
        <w:t xml:space="preserve">n </w:t>
      </w:r>
      <w:r w:rsidR="00222D42" w:rsidRPr="00A06FAD">
        <w:t xml:space="preserve">the </w:t>
      </w:r>
      <w:r w:rsidRPr="00A06FAD">
        <w:t>U</w:t>
      </w:r>
      <w:r w:rsidR="00222D42" w:rsidRPr="00A06FAD">
        <w:t xml:space="preserve">nited </w:t>
      </w:r>
      <w:r w:rsidRPr="00A06FAD">
        <w:t>N</w:t>
      </w:r>
      <w:r w:rsidR="00222D42" w:rsidRPr="00A06FAD">
        <w:t xml:space="preserve">ations </w:t>
      </w:r>
      <w:r w:rsidRPr="00A06FAD">
        <w:t>C</w:t>
      </w:r>
      <w:r w:rsidR="00222D42" w:rsidRPr="00A06FAD">
        <w:t xml:space="preserve">onvention Against </w:t>
      </w:r>
      <w:r w:rsidRPr="00A06FAD">
        <w:t>C</w:t>
      </w:r>
      <w:r w:rsidR="00222D42" w:rsidRPr="00A06FAD">
        <w:t>orruption</w:t>
      </w:r>
      <w:r w:rsidRPr="00A06FAD">
        <w:t xml:space="preserve">, facilitating initiatives to further </w:t>
      </w:r>
      <w:r w:rsidR="003C0620" w:rsidRPr="00A06FAD">
        <w:t xml:space="preserve">compliance with and </w:t>
      </w:r>
      <w:r w:rsidRPr="00A06FAD">
        <w:t xml:space="preserve">implementation of </w:t>
      </w:r>
      <w:r w:rsidR="00372BC1" w:rsidRPr="00A06FAD">
        <w:t>the Convention</w:t>
      </w:r>
      <w:r w:rsidRPr="00A06FAD">
        <w:t xml:space="preserve">. This is a </w:t>
      </w:r>
      <w:r w:rsidR="002E57AC" w:rsidRPr="00A06FAD">
        <w:t>centr</w:t>
      </w:r>
      <w:r w:rsidR="001C664A" w:rsidRPr="00A06FAD">
        <w:t xml:space="preserve">al </w:t>
      </w:r>
      <w:r w:rsidRPr="00A06FAD">
        <w:t xml:space="preserve">initiative of UNDP </w:t>
      </w:r>
      <w:r w:rsidR="00870F34">
        <w:t>in</w:t>
      </w:r>
      <w:r w:rsidRPr="00A06FAD">
        <w:t xml:space="preserve"> </w:t>
      </w:r>
      <w:r w:rsidR="001C664A" w:rsidRPr="00A06FAD">
        <w:t>‘</w:t>
      </w:r>
      <w:r w:rsidRPr="00A06FAD">
        <w:t>deliver</w:t>
      </w:r>
      <w:r w:rsidR="00870F34">
        <w:t>ing</w:t>
      </w:r>
      <w:r w:rsidRPr="00A06FAD">
        <w:t xml:space="preserve"> as </w:t>
      </w:r>
      <w:r w:rsidR="001C664A" w:rsidRPr="00A06FAD">
        <w:t>o</w:t>
      </w:r>
      <w:r w:rsidRPr="00A06FAD">
        <w:t>ne</w:t>
      </w:r>
      <w:r w:rsidR="001C664A" w:rsidRPr="00A06FAD">
        <w:t>’</w:t>
      </w:r>
      <w:r w:rsidRPr="00A06FAD">
        <w:t xml:space="preserve"> </w:t>
      </w:r>
      <w:r w:rsidR="00222D42" w:rsidRPr="00A06FAD">
        <w:t>and strengthen</w:t>
      </w:r>
      <w:r w:rsidR="00870F34">
        <w:t>ing</w:t>
      </w:r>
      <w:r w:rsidR="00222D42" w:rsidRPr="00A06FAD">
        <w:t xml:space="preserve"> </w:t>
      </w:r>
      <w:r w:rsidR="001C664A" w:rsidRPr="00A06FAD">
        <w:t xml:space="preserve">the </w:t>
      </w:r>
      <w:r w:rsidR="00222D42" w:rsidRPr="00A06FAD">
        <w:t>coherence and convergence of development interventions</w:t>
      </w:r>
      <w:r w:rsidRPr="00A06FAD">
        <w:t xml:space="preserve">. </w:t>
      </w:r>
    </w:p>
    <w:p w14:paraId="78BB87B0" w14:textId="105F69C2" w:rsidR="00283B3B" w:rsidRPr="00A06FAD" w:rsidRDefault="001C664A" w:rsidP="007333B7">
      <w:pPr>
        <w:pStyle w:val="SingleTxt"/>
        <w:numPr>
          <w:ilvl w:val="0"/>
          <w:numId w:val="1"/>
        </w:numPr>
        <w:tabs>
          <w:tab w:val="clear" w:pos="1267"/>
          <w:tab w:val="left" w:pos="90"/>
          <w:tab w:val="left" w:pos="360"/>
          <w:tab w:val="left" w:pos="900"/>
          <w:tab w:val="left" w:pos="1170"/>
          <w:tab w:val="left" w:pos="1260"/>
          <w:tab w:val="left" w:pos="1620"/>
        </w:tabs>
        <w:spacing w:line="240" w:lineRule="auto"/>
        <w:ind w:left="900" w:right="1378" w:firstLine="0"/>
      </w:pPr>
      <w:r w:rsidRPr="00A06FAD">
        <w:t>W</w:t>
      </w:r>
      <w:r w:rsidR="00283B3B" w:rsidRPr="00A06FAD">
        <w:t xml:space="preserve">e welcome the finding that </w:t>
      </w:r>
      <w:r w:rsidR="006106B5" w:rsidRPr="00A06FAD">
        <w:t>UNDP has made strong contribution</w:t>
      </w:r>
      <w:r w:rsidRPr="00A06FAD">
        <w:t>s</w:t>
      </w:r>
      <w:r w:rsidR="006106B5" w:rsidRPr="00A06FAD">
        <w:t xml:space="preserve"> to local-level transparency and accountability measures </w:t>
      </w:r>
      <w:r w:rsidR="003C0620" w:rsidRPr="00A06FAD">
        <w:t xml:space="preserve">through its </w:t>
      </w:r>
      <w:r w:rsidR="006106B5" w:rsidRPr="00A06FAD">
        <w:t xml:space="preserve">participatory local </w:t>
      </w:r>
      <w:r w:rsidR="003C0620" w:rsidRPr="00A06FAD">
        <w:t xml:space="preserve">governance and local </w:t>
      </w:r>
      <w:r w:rsidR="006106B5" w:rsidRPr="00A06FAD">
        <w:t>development</w:t>
      </w:r>
      <w:r w:rsidRPr="00A06FAD">
        <w:t xml:space="preserve"> initiatives</w:t>
      </w:r>
      <w:r w:rsidR="006106B5" w:rsidRPr="00A06FAD">
        <w:t xml:space="preserve">. </w:t>
      </w:r>
      <w:r w:rsidR="004E78E5" w:rsidRPr="00A06FAD">
        <w:t xml:space="preserve">UNDP supported </w:t>
      </w:r>
      <w:r w:rsidRPr="00A06FAD">
        <w:t xml:space="preserve">the </w:t>
      </w:r>
      <w:r w:rsidR="004E78E5" w:rsidRPr="00A06FAD">
        <w:t xml:space="preserve">efforts </w:t>
      </w:r>
      <w:r w:rsidRPr="00A06FAD">
        <w:t xml:space="preserve">of civil society organizations </w:t>
      </w:r>
      <w:r w:rsidR="004E78E5" w:rsidRPr="00A06FAD">
        <w:t>to take forward anti-corruption and transparency advocacy</w:t>
      </w:r>
      <w:r w:rsidRPr="00A06FAD">
        <w:t>,</w:t>
      </w:r>
      <w:r w:rsidR="00283B3B" w:rsidRPr="00A06FAD">
        <w:t xml:space="preserve"> and achieved its stated objectives in </w:t>
      </w:r>
      <w:r w:rsidR="00870F34">
        <w:t xml:space="preserve">several </w:t>
      </w:r>
      <w:r w:rsidR="00283B3B" w:rsidRPr="00A06FAD">
        <w:t>areas of governance integrity support</w:t>
      </w:r>
      <w:r w:rsidRPr="00A06FAD">
        <w:t>,</w:t>
      </w:r>
      <w:r w:rsidR="00283B3B" w:rsidRPr="00A06FAD">
        <w:t xml:space="preserve"> </w:t>
      </w:r>
      <w:r w:rsidR="00170FC1" w:rsidRPr="00A06FAD">
        <w:t>including local</w:t>
      </w:r>
      <w:r w:rsidRPr="00A06FAD">
        <w:t>-</w:t>
      </w:r>
      <w:r w:rsidR="00170FC1" w:rsidRPr="00A06FAD">
        <w:t>level access to public information</w:t>
      </w:r>
      <w:r w:rsidR="00381A5C" w:rsidRPr="00A06FAD">
        <w:t xml:space="preserve">. UNDP particularly promoted </w:t>
      </w:r>
      <w:r w:rsidR="00170FC1" w:rsidRPr="00A06FAD">
        <w:t>initiatives that facilitate citizen</w:t>
      </w:r>
      <w:r w:rsidR="00381A5C" w:rsidRPr="00A06FAD">
        <w:t xml:space="preserve">s’ and communities’ access to and </w:t>
      </w:r>
      <w:r w:rsidR="00170FC1" w:rsidRPr="00A06FAD">
        <w:t xml:space="preserve">utilization of information </w:t>
      </w:r>
      <w:r w:rsidR="00514FD3" w:rsidRPr="00A06FAD">
        <w:t xml:space="preserve">through </w:t>
      </w:r>
      <w:r w:rsidRPr="00A06FAD">
        <w:t xml:space="preserve">information and communication technologies </w:t>
      </w:r>
      <w:r w:rsidR="00170FC1" w:rsidRPr="00A06FAD">
        <w:t>to engage i</w:t>
      </w:r>
      <w:r w:rsidR="00514FD3" w:rsidRPr="00A06FAD">
        <w:t xml:space="preserve">n local planning and </w:t>
      </w:r>
      <w:r w:rsidR="00381A5C" w:rsidRPr="00A06FAD">
        <w:t>decision-making</w:t>
      </w:r>
      <w:r w:rsidR="00514FD3" w:rsidRPr="00A06FAD">
        <w:t xml:space="preserve">. </w:t>
      </w:r>
    </w:p>
    <w:p w14:paraId="2A1BC552" w14:textId="2170CF0E" w:rsidR="00870F34" w:rsidRDefault="00F37905" w:rsidP="000D1D0B">
      <w:pPr>
        <w:pStyle w:val="SingleTxt"/>
        <w:numPr>
          <w:ilvl w:val="0"/>
          <w:numId w:val="1"/>
        </w:numPr>
        <w:tabs>
          <w:tab w:val="clear" w:pos="1267"/>
          <w:tab w:val="left" w:pos="360"/>
          <w:tab w:val="left" w:pos="900"/>
          <w:tab w:val="left" w:pos="1170"/>
          <w:tab w:val="left" w:pos="1260"/>
          <w:tab w:val="left" w:pos="1620"/>
        </w:tabs>
        <w:spacing w:line="240" w:lineRule="auto"/>
        <w:ind w:left="900" w:right="1378" w:firstLine="0"/>
      </w:pPr>
      <w:r>
        <w:t xml:space="preserve"> </w:t>
      </w:r>
      <w:r w:rsidR="00EB0AB6" w:rsidRPr="00A06FAD">
        <w:t xml:space="preserve">We also welcome the finding that UNDP </w:t>
      </w:r>
      <w:r w:rsidR="001C664A" w:rsidRPr="00A06FAD">
        <w:t xml:space="preserve">institutional </w:t>
      </w:r>
      <w:r w:rsidR="00EB0AB6" w:rsidRPr="00A06FAD">
        <w:t xml:space="preserve">programme frameworks recognize anti-corruption as key to accelerating sustainable development outcomes. UNDP responded to a range of anti-corruption policy and capacity needs in </w:t>
      </w:r>
      <w:r w:rsidR="000E1E17" w:rsidRPr="00A06FAD">
        <w:t xml:space="preserve">all </w:t>
      </w:r>
      <w:r w:rsidR="001C664A" w:rsidRPr="00A06FAD">
        <w:t xml:space="preserve">of the </w:t>
      </w:r>
      <w:r w:rsidR="00EB0AB6" w:rsidRPr="00A06FAD">
        <w:t>65 countries</w:t>
      </w:r>
      <w:r w:rsidR="000E1E17" w:rsidRPr="00A06FAD">
        <w:t xml:space="preserve"> included in this evaluation</w:t>
      </w:r>
      <w:r w:rsidR="00EB0AB6" w:rsidRPr="00A06FAD">
        <w:t xml:space="preserve">. </w:t>
      </w:r>
    </w:p>
    <w:p w14:paraId="4D515E1A" w14:textId="2F142BCF" w:rsidR="009A49B9" w:rsidRPr="00A06FAD" w:rsidRDefault="00F37905" w:rsidP="000D1D0B">
      <w:pPr>
        <w:pStyle w:val="SingleTxt"/>
        <w:numPr>
          <w:ilvl w:val="0"/>
          <w:numId w:val="1"/>
        </w:numPr>
        <w:tabs>
          <w:tab w:val="clear" w:pos="1267"/>
          <w:tab w:val="left" w:pos="360"/>
          <w:tab w:val="left" w:pos="900"/>
          <w:tab w:val="left" w:pos="1170"/>
          <w:tab w:val="left" w:pos="1260"/>
          <w:tab w:val="left" w:pos="1620"/>
        </w:tabs>
        <w:spacing w:line="240" w:lineRule="auto"/>
        <w:ind w:left="900" w:right="1378" w:firstLine="0"/>
      </w:pPr>
      <w:r>
        <w:t xml:space="preserve"> </w:t>
      </w:r>
      <w:r w:rsidR="00EB0AB6" w:rsidRPr="00A06FAD">
        <w:t>UNDP appreciate</w:t>
      </w:r>
      <w:r w:rsidR="00E536A8">
        <w:t>s</w:t>
      </w:r>
      <w:r w:rsidR="00EB0AB6" w:rsidRPr="00A06FAD">
        <w:t xml:space="preserve"> the finding that the anti-corruption projects were largely mobilized by </w:t>
      </w:r>
      <w:r w:rsidR="001C664A" w:rsidRPr="00A06FAD">
        <w:t>c</w:t>
      </w:r>
      <w:r w:rsidR="00EB0AB6" w:rsidRPr="00A06FAD">
        <w:t xml:space="preserve">ountry </w:t>
      </w:r>
      <w:r w:rsidR="001C664A" w:rsidRPr="00A06FAD">
        <w:t>o</w:t>
      </w:r>
      <w:r w:rsidR="00EB0AB6" w:rsidRPr="00A06FAD">
        <w:t>ffices</w:t>
      </w:r>
      <w:r w:rsidR="001C664A" w:rsidRPr="00A06FAD">
        <w:t xml:space="preserve"> (underscoring the importance of local ownership)</w:t>
      </w:r>
      <w:r w:rsidR="00EB0AB6" w:rsidRPr="00A06FAD">
        <w:t xml:space="preserve">, with UNDP global and regional programmes providing technical and programme management support and seed funding </w:t>
      </w:r>
      <w:r w:rsidR="001C664A" w:rsidRPr="00A06FAD">
        <w:t xml:space="preserve">to </w:t>
      </w:r>
      <w:r w:rsidR="00EB0AB6" w:rsidRPr="00A06FAD">
        <w:t>initiat</w:t>
      </w:r>
      <w:r w:rsidR="001C664A" w:rsidRPr="00A06FAD">
        <w:t>e</w:t>
      </w:r>
      <w:r w:rsidR="00EB0AB6" w:rsidRPr="00A06FAD">
        <w:t xml:space="preserve"> </w:t>
      </w:r>
      <w:r w:rsidR="00381A5C" w:rsidRPr="00A06FAD">
        <w:t xml:space="preserve">new </w:t>
      </w:r>
      <w:r w:rsidR="00CA2CAD" w:rsidRPr="00A06FAD">
        <w:t>projects</w:t>
      </w:r>
      <w:r w:rsidR="00EB0AB6" w:rsidRPr="00A06FAD">
        <w:t xml:space="preserve">. </w:t>
      </w:r>
      <w:r w:rsidR="00381A5C" w:rsidRPr="00A06FAD">
        <w:t>The evaluation note</w:t>
      </w:r>
      <w:r w:rsidR="005904BD" w:rsidRPr="00A06FAD">
        <w:t>d</w:t>
      </w:r>
      <w:r w:rsidR="00381A5C" w:rsidRPr="00A06FAD">
        <w:t xml:space="preserve"> </w:t>
      </w:r>
      <w:r w:rsidR="00EB0AB6" w:rsidRPr="00A06FAD">
        <w:t xml:space="preserve">the </w:t>
      </w:r>
      <w:r w:rsidR="005904BD" w:rsidRPr="00A06FAD">
        <w:t xml:space="preserve">reduction </w:t>
      </w:r>
      <w:r w:rsidR="00EB0AB6" w:rsidRPr="00A06FAD">
        <w:t>in the scale of anti-</w:t>
      </w:r>
      <w:r w:rsidR="00EB0AB6" w:rsidRPr="00A06FAD">
        <w:lastRenderedPageBreak/>
        <w:t>corruption programmes and country coverage since</w:t>
      </w:r>
      <w:r w:rsidR="002E73D8" w:rsidRPr="00A06FAD">
        <w:t xml:space="preserve"> 2011</w:t>
      </w:r>
      <w:r w:rsidR="005904BD" w:rsidRPr="00A06FAD">
        <w:t>,</w:t>
      </w:r>
      <w:r w:rsidR="00EB0AB6" w:rsidRPr="00A06FAD">
        <w:t xml:space="preserve"> </w:t>
      </w:r>
      <w:r w:rsidR="00381A5C" w:rsidRPr="00A06FAD">
        <w:t>acknowledg</w:t>
      </w:r>
      <w:r w:rsidR="005904BD" w:rsidRPr="00A06FAD">
        <w:t>ing</w:t>
      </w:r>
      <w:r w:rsidR="00381A5C" w:rsidRPr="00A06FAD">
        <w:t xml:space="preserve"> that </w:t>
      </w:r>
      <w:r w:rsidR="00646184" w:rsidRPr="00A06FAD">
        <w:t>this correspond</w:t>
      </w:r>
      <w:r w:rsidR="005904BD" w:rsidRPr="00A06FAD">
        <w:t>ed</w:t>
      </w:r>
      <w:r w:rsidR="00646184" w:rsidRPr="00A06FAD">
        <w:t xml:space="preserve"> </w:t>
      </w:r>
      <w:r w:rsidR="00CA2CAD" w:rsidRPr="00A06FAD">
        <w:t xml:space="preserve">to </w:t>
      </w:r>
      <w:r w:rsidR="00646184" w:rsidRPr="00A06FAD">
        <w:t xml:space="preserve">a similar decrease in overall governance expenditure and </w:t>
      </w:r>
      <w:r w:rsidR="00CA2CAD" w:rsidRPr="00A06FAD">
        <w:t xml:space="preserve">decline </w:t>
      </w:r>
      <w:r w:rsidR="00646184" w:rsidRPr="00A06FAD">
        <w:t xml:space="preserve">in </w:t>
      </w:r>
      <w:r w:rsidR="00AA2DEC" w:rsidRPr="00A06FAD">
        <w:t xml:space="preserve">UNDP </w:t>
      </w:r>
      <w:r w:rsidR="00646184" w:rsidRPr="00A06FAD">
        <w:t xml:space="preserve">core funding. </w:t>
      </w:r>
      <w:r w:rsidR="0038075C" w:rsidRPr="00A06FAD">
        <w:t>The</w:t>
      </w:r>
      <w:r w:rsidR="00646184" w:rsidRPr="00A06FAD">
        <w:t xml:space="preserve"> reduction of expenditure</w:t>
      </w:r>
      <w:r w:rsidR="00AA2DEC" w:rsidRPr="00A06FAD">
        <w:t>s</w:t>
      </w:r>
      <w:r w:rsidR="00646184" w:rsidRPr="00A06FAD">
        <w:t xml:space="preserve"> in stand</w:t>
      </w:r>
      <w:r w:rsidR="00AA2DEC" w:rsidRPr="00A06FAD">
        <w:t>-</w:t>
      </w:r>
      <w:r w:rsidR="00646184" w:rsidRPr="00A06FAD">
        <w:t xml:space="preserve">alone anti-corruption </w:t>
      </w:r>
      <w:r w:rsidR="00AB0E4A" w:rsidRPr="00A06FAD">
        <w:t>project</w:t>
      </w:r>
      <w:r w:rsidR="00AA2DEC" w:rsidRPr="00A06FAD">
        <w:t>s</w:t>
      </w:r>
      <w:r w:rsidR="00AB0E4A" w:rsidRPr="00A06FAD">
        <w:t xml:space="preserve"> </w:t>
      </w:r>
      <w:r w:rsidR="005904BD" w:rsidRPr="00A06FAD">
        <w:t>wa</w:t>
      </w:r>
      <w:r w:rsidR="00AB0E4A" w:rsidRPr="00A06FAD">
        <w:t xml:space="preserve">s </w:t>
      </w:r>
      <w:r w:rsidR="00EB0AB6" w:rsidRPr="00A06FAD">
        <w:t>part</w:t>
      </w:r>
      <w:r w:rsidR="00AB0E4A" w:rsidRPr="00A06FAD">
        <w:t>l</w:t>
      </w:r>
      <w:r w:rsidR="00EB0AB6" w:rsidRPr="00A06FAD">
        <w:t>y due to the fact that</w:t>
      </w:r>
      <w:r w:rsidR="005904BD" w:rsidRPr="00A06FAD">
        <w:t>,</w:t>
      </w:r>
      <w:r w:rsidR="00EB0AB6" w:rsidRPr="00A06FAD">
        <w:t xml:space="preserve"> in recent years, UNDP anti-corruption projects at the county level </w:t>
      </w:r>
      <w:r w:rsidR="005904BD" w:rsidRPr="00A06FAD">
        <w:t xml:space="preserve">have been </w:t>
      </w:r>
      <w:r w:rsidR="00EB0AB6" w:rsidRPr="00A06FAD">
        <w:t xml:space="preserve">part of larger governance </w:t>
      </w:r>
      <w:r w:rsidR="00AA2DEC" w:rsidRPr="00A06FAD">
        <w:t xml:space="preserve">initiatives and </w:t>
      </w:r>
      <w:r w:rsidR="00EB0AB6" w:rsidRPr="00A06FAD">
        <w:t xml:space="preserve">programmes. However, at project levels, UNDP </w:t>
      </w:r>
      <w:r w:rsidR="005904BD" w:rsidRPr="00A06FAD">
        <w:t>Integrated Results and Resources Framework</w:t>
      </w:r>
      <w:r w:rsidR="00EB0AB6" w:rsidRPr="00A06FAD">
        <w:t xml:space="preserve"> performance data clearly show that</w:t>
      </w:r>
      <w:r w:rsidR="005904BD" w:rsidRPr="00A06FAD">
        <w:t>,</w:t>
      </w:r>
      <w:r w:rsidR="00EB0AB6" w:rsidRPr="00A06FAD">
        <w:t xml:space="preserve"> in 2015, overall UNDP expenditure on anti-corruption was </w:t>
      </w:r>
      <w:r w:rsidR="005904BD" w:rsidRPr="00A06FAD">
        <w:t>$</w:t>
      </w:r>
      <w:r w:rsidR="00EB0AB6" w:rsidRPr="00A06FAD">
        <w:t>40 million, a 19</w:t>
      </w:r>
      <w:r w:rsidR="005904BD" w:rsidRPr="00A06FAD">
        <w:t xml:space="preserve"> per cent</w:t>
      </w:r>
      <w:r w:rsidR="00EB0AB6" w:rsidRPr="00A06FAD">
        <w:t xml:space="preserve"> increase from 2014. Anti-corruption is</w:t>
      </w:r>
      <w:r w:rsidR="005904BD" w:rsidRPr="00A06FAD">
        <w:t>,</w:t>
      </w:r>
      <w:r w:rsidR="00EB0AB6" w:rsidRPr="00A06FAD">
        <w:t xml:space="preserve"> </w:t>
      </w:r>
      <w:r w:rsidR="00AA2DEC" w:rsidRPr="00A06FAD">
        <w:t>in fact</w:t>
      </w:r>
      <w:r w:rsidR="005904BD" w:rsidRPr="00A06FAD">
        <w:t>,</w:t>
      </w:r>
      <w:r w:rsidR="00AA2DEC" w:rsidRPr="00A06FAD">
        <w:t xml:space="preserve"> </w:t>
      </w:r>
      <w:r w:rsidR="00EB0AB6" w:rsidRPr="00A06FAD">
        <w:t xml:space="preserve">the only output in </w:t>
      </w:r>
      <w:r w:rsidR="005904BD" w:rsidRPr="00A06FAD">
        <w:t>o</w:t>
      </w:r>
      <w:r w:rsidR="00EB0AB6" w:rsidRPr="00A06FAD">
        <w:t xml:space="preserve">utcome 2 where UNDP expenditure increased in 2015, which indicates a growing interest in </w:t>
      </w:r>
      <w:r w:rsidR="005904BD" w:rsidRPr="00A06FAD">
        <w:t xml:space="preserve">its </w:t>
      </w:r>
      <w:r w:rsidR="00EB0AB6" w:rsidRPr="00A06FAD">
        <w:t xml:space="preserve">anti-corruption </w:t>
      </w:r>
      <w:r w:rsidR="005904BD" w:rsidRPr="00A06FAD">
        <w:t xml:space="preserve">work, </w:t>
      </w:r>
      <w:r w:rsidR="00EB0AB6" w:rsidRPr="00A06FAD">
        <w:t xml:space="preserve">with the Africa region accounting </w:t>
      </w:r>
      <w:r w:rsidR="00CA2CAD" w:rsidRPr="00A06FAD">
        <w:t xml:space="preserve">for </w:t>
      </w:r>
      <w:r w:rsidR="00EB0AB6" w:rsidRPr="00A06FAD">
        <w:t>nearly half of the expenditure.</w:t>
      </w:r>
      <w:r w:rsidR="0099015D" w:rsidRPr="00A06FAD">
        <w:t xml:space="preserve"> </w:t>
      </w:r>
    </w:p>
    <w:p w14:paraId="4593F7DE" w14:textId="2D045CA9" w:rsidR="005B4295" w:rsidRPr="00A06FAD" w:rsidRDefault="00F37905" w:rsidP="000D1D0B">
      <w:pPr>
        <w:pStyle w:val="SingleTxt"/>
        <w:numPr>
          <w:ilvl w:val="0"/>
          <w:numId w:val="1"/>
        </w:numPr>
        <w:tabs>
          <w:tab w:val="clear" w:pos="1267"/>
          <w:tab w:val="left" w:pos="360"/>
          <w:tab w:val="left" w:pos="900"/>
          <w:tab w:val="left" w:pos="1170"/>
          <w:tab w:val="left" w:pos="1260"/>
          <w:tab w:val="left" w:pos="1620"/>
        </w:tabs>
        <w:spacing w:line="240" w:lineRule="auto"/>
        <w:ind w:left="900" w:right="1378" w:firstLine="0"/>
      </w:pPr>
      <w:r>
        <w:t xml:space="preserve"> </w:t>
      </w:r>
      <w:r w:rsidR="0099015D" w:rsidRPr="00A06FAD">
        <w:t xml:space="preserve">UNDP </w:t>
      </w:r>
      <w:r w:rsidR="00AB0E4A" w:rsidRPr="00A06FAD">
        <w:t>notes the</w:t>
      </w:r>
      <w:r w:rsidR="0099015D" w:rsidRPr="00A06FAD">
        <w:t xml:space="preserve"> reduction </w:t>
      </w:r>
      <w:r w:rsidR="00ED4A88" w:rsidRPr="00A06FAD">
        <w:t>in</w:t>
      </w:r>
      <w:r w:rsidR="0099015D" w:rsidRPr="00A06FAD">
        <w:t xml:space="preserve"> resource</w:t>
      </w:r>
      <w:r w:rsidR="00E54840" w:rsidRPr="00A06FAD">
        <w:t>s</w:t>
      </w:r>
      <w:r w:rsidR="0099015D" w:rsidRPr="00A06FAD">
        <w:t xml:space="preserve"> </w:t>
      </w:r>
      <w:r w:rsidR="00E54840" w:rsidRPr="00A06FAD">
        <w:t xml:space="preserve">directed to </w:t>
      </w:r>
      <w:r w:rsidR="0099015D" w:rsidRPr="00A06FAD">
        <w:t>governance and anti-corruption in recent years</w:t>
      </w:r>
      <w:r w:rsidR="00ED4A88" w:rsidRPr="00A06FAD">
        <w:t>.</w:t>
      </w:r>
      <w:r w:rsidR="0099015D" w:rsidRPr="00A06FAD">
        <w:t xml:space="preserve"> </w:t>
      </w:r>
      <w:r w:rsidR="00ED4A88" w:rsidRPr="00A06FAD">
        <w:t xml:space="preserve">This </w:t>
      </w:r>
      <w:r w:rsidR="00AA2DEC" w:rsidRPr="00A06FAD">
        <w:t xml:space="preserve">is </w:t>
      </w:r>
      <w:r w:rsidR="0099015D" w:rsidRPr="00A06FAD">
        <w:t xml:space="preserve">partly </w:t>
      </w:r>
      <w:r w:rsidR="00ED4A88" w:rsidRPr="00A06FAD">
        <w:t xml:space="preserve">a </w:t>
      </w:r>
      <w:r w:rsidR="0099015D" w:rsidRPr="00A06FAD">
        <w:t xml:space="preserve">reflection of </w:t>
      </w:r>
      <w:r w:rsidR="00AA2DEC" w:rsidRPr="00A06FAD">
        <w:t xml:space="preserve">a </w:t>
      </w:r>
      <w:r w:rsidR="00E54840" w:rsidRPr="00A06FAD">
        <w:t>constrain</w:t>
      </w:r>
      <w:r w:rsidR="00ED4A88" w:rsidRPr="00A06FAD">
        <w:t>ed</w:t>
      </w:r>
      <w:r w:rsidR="00E54840" w:rsidRPr="00A06FAD">
        <w:t xml:space="preserve"> </w:t>
      </w:r>
      <w:r w:rsidR="0099015D" w:rsidRPr="00A06FAD">
        <w:t xml:space="preserve">global aid environment </w:t>
      </w:r>
      <w:r w:rsidR="000E4592" w:rsidRPr="00A06FAD">
        <w:t xml:space="preserve">that increasingly </w:t>
      </w:r>
      <w:r w:rsidR="00ED4A88" w:rsidRPr="00A06FAD">
        <w:t>prioritize</w:t>
      </w:r>
      <w:r w:rsidR="009B65E1" w:rsidRPr="00A06FAD">
        <w:t>s</w:t>
      </w:r>
      <w:r w:rsidR="00ED4A88" w:rsidRPr="00A06FAD">
        <w:t xml:space="preserve"> </w:t>
      </w:r>
      <w:r w:rsidR="000E4592" w:rsidRPr="00A06FAD">
        <w:t xml:space="preserve">resources </w:t>
      </w:r>
      <w:r w:rsidR="00ED4A88" w:rsidRPr="00A06FAD">
        <w:t>for</w:t>
      </w:r>
      <w:r w:rsidR="0099015D" w:rsidRPr="00A06FAD">
        <w:t xml:space="preserve"> </w:t>
      </w:r>
      <w:r w:rsidR="00AA2DEC" w:rsidRPr="00A06FAD">
        <w:t xml:space="preserve">short-term, </w:t>
      </w:r>
      <w:r w:rsidR="0099015D" w:rsidRPr="00A06FAD">
        <w:t>urgent humanitarian, security and migration issues</w:t>
      </w:r>
      <w:r w:rsidR="000E4592" w:rsidRPr="00A06FAD">
        <w:t xml:space="preserve">. </w:t>
      </w:r>
      <w:r w:rsidR="0099015D" w:rsidRPr="00A06FAD">
        <w:t xml:space="preserve">This </w:t>
      </w:r>
      <w:r w:rsidR="00870F34">
        <w:t>h</w:t>
      </w:r>
      <w:r w:rsidR="00AB58B0" w:rsidRPr="00A06FAD">
        <w:t xml:space="preserve">as </w:t>
      </w:r>
      <w:r w:rsidR="00870F34">
        <w:t xml:space="preserve">been </w:t>
      </w:r>
      <w:r w:rsidR="008077C5" w:rsidRPr="00A06FAD">
        <w:t xml:space="preserve">one of the </w:t>
      </w:r>
      <w:r w:rsidR="00AB58B0" w:rsidRPr="00A06FAD">
        <w:t xml:space="preserve">underlying </w:t>
      </w:r>
      <w:r w:rsidR="008077C5" w:rsidRPr="00A06FAD">
        <w:t xml:space="preserve">causes </w:t>
      </w:r>
      <w:r w:rsidR="00AA2DEC" w:rsidRPr="00A06FAD">
        <w:t>of the</w:t>
      </w:r>
      <w:r w:rsidR="0099015D" w:rsidRPr="00A06FAD">
        <w:t xml:space="preserve"> reduction </w:t>
      </w:r>
      <w:r w:rsidR="00ED4A88" w:rsidRPr="00A06FAD">
        <w:t>in</w:t>
      </w:r>
      <w:r w:rsidR="0099015D" w:rsidRPr="00A06FAD">
        <w:t xml:space="preserve"> core resources in UNDP</w:t>
      </w:r>
      <w:r w:rsidR="00AB58B0" w:rsidRPr="00A06FAD">
        <w:t xml:space="preserve"> </w:t>
      </w:r>
      <w:r w:rsidR="009B65E1" w:rsidRPr="00A06FAD">
        <w:t>in recent</w:t>
      </w:r>
      <w:r w:rsidR="00AB58B0" w:rsidRPr="00A06FAD">
        <w:t xml:space="preserve"> years</w:t>
      </w:r>
      <w:r w:rsidR="0099015D" w:rsidRPr="00A06FAD">
        <w:t xml:space="preserve">. </w:t>
      </w:r>
      <w:r w:rsidR="005B4295" w:rsidRPr="00A06FAD">
        <w:t xml:space="preserve">The cuts to core </w:t>
      </w:r>
      <w:r w:rsidR="00ED4A88" w:rsidRPr="00A06FAD">
        <w:t xml:space="preserve">have </w:t>
      </w:r>
      <w:r w:rsidR="005B4295" w:rsidRPr="00A06FAD">
        <w:t>direct</w:t>
      </w:r>
      <w:r w:rsidR="00ED4A88" w:rsidRPr="00A06FAD">
        <w:t>ly</w:t>
      </w:r>
      <w:r w:rsidR="005B4295" w:rsidRPr="00A06FAD">
        <w:t xml:space="preserve"> </w:t>
      </w:r>
      <w:r w:rsidR="00ED4A88" w:rsidRPr="00A06FAD">
        <w:t xml:space="preserve">affected </w:t>
      </w:r>
      <w:r w:rsidR="005B4295" w:rsidRPr="00A06FAD">
        <w:t xml:space="preserve">those programmatic areas that partners want UNDP to </w:t>
      </w:r>
      <w:r w:rsidR="000F5E2D" w:rsidRPr="00A06FAD">
        <w:t>prioriti</w:t>
      </w:r>
      <w:r w:rsidR="00ED4A88" w:rsidRPr="00A06FAD">
        <w:t>z</w:t>
      </w:r>
      <w:r w:rsidR="000F5E2D" w:rsidRPr="00A06FAD">
        <w:t xml:space="preserve">e and </w:t>
      </w:r>
      <w:r w:rsidR="005B4295" w:rsidRPr="00A06FAD">
        <w:t>invest in</w:t>
      </w:r>
      <w:r w:rsidR="009B65E1" w:rsidRPr="00A06FAD">
        <w:t xml:space="preserve"> – </w:t>
      </w:r>
      <w:r w:rsidR="000F5E2D" w:rsidRPr="00A06FAD">
        <w:t>such as the work on anti-corruption</w:t>
      </w:r>
      <w:r w:rsidR="009B65E1" w:rsidRPr="00A06FAD">
        <w:t>,</w:t>
      </w:r>
      <w:r w:rsidR="000F5E2D" w:rsidRPr="00A06FAD">
        <w:t xml:space="preserve"> an essential target </w:t>
      </w:r>
      <w:r w:rsidR="00560552" w:rsidRPr="00A06FAD">
        <w:t>under</w:t>
      </w:r>
      <w:r w:rsidR="000F5E2D" w:rsidRPr="00A06FAD">
        <w:t xml:space="preserve"> </w:t>
      </w:r>
      <w:r w:rsidR="00ED4A88" w:rsidRPr="00A06FAD">
        <w:t>g</w:t>
      </w:r>
      <w:r w:rsidR="000F5E2D" w:rsidRPr="00A06FAD">
        <w:t>oal 16</w:t>
      </w:r>
      <w:r w:rsidR="009B65E1" w:rsidRPr="00A06FAD">
        <w:t>, which is</w:t>
      </w:r>
      <w:r w:rsidR="000F5E2D" w:rsidRPr="00A06FAD">
        <w:t xml:space="preserve"> </w:t>
      </w:r>
      <w:r w:rsidR="009B65E1" w:rsidRPr="00A06FAD">
        <w:t>linked to</w:t>
      </w:r>
      <w:r w:rsidR="000F5E2D" w:rsidRPr="00A06FAD">
        <w:t xml:space="preserve"> most </w:t>
      </w:r>
      <w:r w:rsidR="00560552" w:rsidRPr="00A06FAD">
        <w:t xml:space="preserve">of the </w:t>
      </w:r>
      <w:r w:rsidR="000F5E2D" w:rsidRPr="00A06FAD">
        <w:t xml:space="preserve">other </w:t>
      </w:r>
      <w:r w:rsidR="00590603" w:rsidRPr="00A06FAD">
        <w:t>sustainable development goals</w:t>
      </w:r>
      <w:r w:rsidR="005B4295" w:rsidRPr="00A06FAD">
        <w:t xml:space="preserve">. </w:t>
      </w:r>
      <w:r w:rsidR="0099015D" w:rsidRPr="00A06FAD">
        <w:t xml:space="preserve">However, </w:t>
      </w:r>
      <w:r w:rsidR="009B65E1" w:rsidRPr="00A06FAD">
        <w:t xml:space="preserve">pursuant to </w:t>
      </w:r>
      <w:r w:rsidR="0099015D" w:rsidRPr="00A06FAD">
        <w:t xml:space="preserve">UNDP structural reform under the </w:t>
      </w:r>
      <w:r w:rsidR="009B65E1" w:rsidRPr="00A06FAD">
        <w:t>s</w:t>
      </w:r>
      <w:r w:rsidR="0099015D" w:rsidRPr="00A06FAD">
        <w:t xml:space="preserve">trategic </w:t>
      </w:r>
      <w:r w:rsidR="009B65E1" w:rsidRPr="00A06FAD">
        <w:t>p</w:t>
      </w:r>
      <w:r w:rsidR="0099015D" w:rsidRPr="00A06FAD">
        <w:t>lan</w:t>
      </w:r>
      <w:r w:rsidR="00AA2DEC" w:rsidRPr="00A06FAD">
        <w:t>,</w:t>
      </w:r>
      <w:r w:rsidR="009B65E1" w:rsidRPr="00A06FAD">
        <w:t xml:space="preserve"> 2014-2017,</w:t>
      </w:r>
      <w:r w:rsidR="00AA2DEC" w:rsidRPr="00A06FAD">
        <w:t xml:space="preserve"> and the consolidation of the </w:t>
      </w:r>
      <w:r w:rsidR="009B65E1" w:rsidRPr="00A06FAD">
        <w:t>g</w:t>
      </w:r>
      <w:r w:rsidR="00AA2DEC" w:rsidRPr="00A06FAD">
        <w:t xml:space="preserve">overnance and </w:t>
      </w:r>
      <w:r w:rsidR="009B65E1" w:rsidRPr="00A06FAD">
        <w:t>p</w:t>
      </w:r>
      <w:r w:rsidR="00AA2DEC" w:rsidRPr="00A06FAD">
        <w:t xml:space="preserve">eacebuilding </w:t>
      </w:r>
      <w:r w:rsidR="009B65E1" w:rsidRPr="00A06FAD">
        <w:t>p</w:t>
      </w:r>
      <w:r w:rsidR="00AA2DEC" w:rsidRPr="00A06FAD">
        <w:t>ortfolios</w:t>
      </w:r>
      <w:r w:rsidR="009B65E1" w:rsidRPr="00A06FAD">
        <w:t xml:space="preserve"> (</w:t>
      </w:r>
      <w:r w:rsidR="007B087B" w:rsidRPr="00A06FAD">
        <w:t>previously in two different bureaus</w:t>
      </w:r>
      <w:r w:rsidR="009B65E1" w:rsidRPr="00A06FAD">
        <w:t>)</w:t>
      </w:r>
      <w:r w:rsidR="007B087B" w:rsidRPr="00A06FAD">
        <w:t>,</w:t>
      </w:r>
      <w:r w:rsidR="00E54840" w:rsidRPr="00A06FAD">
        <w:t xml:space="preserve"> </w:t>
      </w:r>
      <w:r w:rsidR="0099015D" w:rsidRPr="00A06FAD">
        <w:t xml:space="preserve">the overall percentage </w:t>
      </w:r>
      <w:r w:rsidR="007B087B" w:rsidRPr="00A06FAD">
        <w:t xml:space="preserve">of UNDP expenditure on governance </w:t>
      </w:r>
      <w:r w:rsidR="009B65E1" w:rsidRPr="00A06FAD">
        <w:t>rose to</w:t>
      </w:r>
      <w:r w:rsidR="0099015D" w:rsidRPr="00A06FAD">
        <w:t xml:space="preserve"> approximately 47 per</w:t>
      </w:r>
      <w:r w:rsidR="009B65E1" w:rsidRPr="00A06FAD">
        <w:t xml:space="preserve"> </w:t>
      </w:r>
      <w:r w:rsidR="0099015D" w:rsidRPr="00A06FAD">
        <w:t xml:space="preserve">cent </w:t>
      </w:r>
      <w:r w:rsidR="000E4592" w:rsidRPr="00A06FAD">
        <w:t xml:space="preserve">of combined programme expenditure </w:t>
      </w:r>
      <w:r w:rsidR="0099015D" w:rsidRPr="00A06FAD">
        <w:t>in 2014</w:t>
      </w:r>
      <w:r w:rsidR="009B65E1" w:rsidRPr="00A06FAD">
        <w:t>,</w:t>
      </w:r>
      <w:r w:rsidR="0099015D" w:rsidRPr="00A06FAD">
        <w:t xml:space="preserve"> and 48 per</w:t>
      </w:r>
      <w:r w:rsidR="009B65E1" w:rsidRPr="00A06FAD">
        <w:t xml:space="preserve"> </w:t>
      </w:r>
      <w:r w:rsidR="0099015D" w:rsidRPr="00A06FAD">
        <w:t>cent in 2015</w:t>
      </w:r>
      <w:r w:rsidR="007B087B" w:rsidRPr="00A06FAD">
        <w:t xml:space="preserve"> (compared to 37</w:t>
      </w:r>
      <w:r w:rsidR="005904BD" w:rsidRPr="00A06FAD">
        <w:t xml:space="preserve"> per cent</w:t>
      </w:r>
      <w:r w:rsidR="007B087B" w:rsidRPr="00A06FAD">
        <w:t xml:space="preserve"> in 2008 and 2009)</w:t>
      </w:r>
      <w:r w:rsidR="0099015D" w:rsidRPr="00A06FAD">
        <w:t xml:space="preserve">. </w:t>
      </w:r>
    </w:p>
    <w:p w14:paraId="5898D31E" w14:textId="0A9B49E4" w:rsidR="00D10465" w:rsidRPr="00A06FAD" w:rsidRDefault="00F37905" w:rsidP="000D1D0B">
      <w:pPr>
        <w:pStyle w:val="SingleTxt"/>
        <w:numPr>
          <w:ilvl w:val="0"/>
          <w:numId w:val="1"/>
        </w:numPr>
        <w:tabs>
          <w:tab w:val="clear" w:pos="1267"/>
          <w:tab w:val="left" w:pos="900"/>
          <w:tab w:val="left" w:pos="1170"/>
          <w:tab w:val="left" w:pos="1260"/>
        </w:tabs>
        <w:spacing w:line="240" w:lineRule="auto"/>
        <w:ind w:left="900" w:right="1378" w:firstLine="0"/>
      </w:pPr>
      <w:r>
        <w:t xml:space="preserve"> </w:t>
      </w:r>
      <w:r w:rsidR="007E151D" w:rsidRPr="00A06FAD">
        <w:t>M</w:t>
      </w:r>
      <w:r w:rsidR="001B76E1" w:rsidRPr="00A06FAD">
        <w:t xml:space="preserve">anagement welcomes </w:t>
      </w:r>
      <w:r w:rsidR="00C95370" w:rsidRPr="00A06FAD">
        <w:t xml:space="preserve">the </w:t>
      </w:r>
      <w:r w:rsidR="00810B9F" w:rsidRPr="00A06FAD">
        <w:t>findings that recog</w:t>
      </w:r>
      <w:r w:rsidR="00D10465" w:rsidRPr="00A06FAD">
        <w:t xml:space="preserve">nize UNDP contributions to national anti-corruption priorities. </w:t>
      </w:r>
      <w:r w:rsidR="00805BB8" w:rsidRPr="00A06FAD">
        <w:t>T</w:t>
      </w:r>
      <w:r w:rsidR="00D10465" w:rsidRPr="00A06FAD">
        <w:t>hrough its support to anti-corruption policies and practices</w:t>
      </w:r>
      <w:r w:rsidR="00805BB8" w:rsidRPr="00A06FAD">
        <w:t xml:space="preserve"> UNDP</w:t>
      </w:r>
      <w:r w:rsidR="00D10465" w:rsidRPr="00A06FAD">
        <w:t xml:space="preserve"> informed, and in many instances shaped, government programmes and priorities.</w:t>
      </w:r>
      <w:r w:rsidR="002E73D8" w:rsidRPr="00A06FAD" w:rsidDel="002E73D8">
        <w:t xml:space="preserve"> </w:t>
      </w:r>
      <w:r w:rsidR="002E73D8" w:rsidRPr="00A06FAD">
        <w:t xml:space="preserve">There were improvements in the anti-corruption policies of about two-thirds of the countries assessed. </w:t>
      </w:r>
      <w:r w:rsidR="00805BB8" w:rsidRPr="00A06FAD">
        <w:t>Since</w:t>
      </w:r>
      <w:r w:rsidR="002E73D8" w:rsidRPr="00A06FAD">
        <w:t xml:space="preserve"> progress in anti-corruption and addressing the drivers of corruption is a complex phenomenon, we also note as positive the overall performance rating of relevant </w:t>
      </w:r>
      <w:r w:rsidR="00805BB8" w:rsidRPr="00A06FAD">
        <w:t xml:space="preserve">UNDP </w:t>
      </w:r>
      <w:r w:rsidR="002E73D8" w:rsidRPr="00A06FAD">
        <w:t>initiatives of 3.55 on a 5-point scale. Th</w:t>
      </w:r>
      <w:r w:rsidR="00870F34">
        <w:t>at</w:t>
      </w:r>
      <w:r w:rsidR="002E73D8" w:rsidRPr="00A06FAD">
        <w:t xml:space="preserve"> is a moderate</w:t>
      </w:r>
      <w:r w:rsidR="00805BB8" w:rsidRPr="00A06FAD">
        <w:t>-</w:t>
      </w:r>
      <w:r w:rsidR="002E73D8" w:rsidRPr="00A06FAD">
        <w:t>to</w:t>
      </w:r>
      <w:r w:rsidR="00805BB8" w:rsidRPr="00A06FAD">
        <w:t>-</w:t>
      </w:r>
      <w:r w:rsidR="002E73D8" w:rsidRPr="00A06FAD">
        <w:t>good score</w:t>
      </w:r>
      <w:r w:rsidR="00805BB8" w:rsidRPr="00A06FAD">
        <w:t>,</w:t>
      </w:r>
      <w:r w:rsidR="002E73D8" w:rsidRPr="00A06FAD">
        <w:t xml:space="preserve"> with </w:t>
      </w:r>
      <w:r w:rsidR="00805BB8" w:rsidRPr="00A06FAD">
        <w:t xml:space="preserve">high </w:t>
      </w:r>
      <w:r w:rsidR="002E73D8" w:rsidRPr="00A06FAD">
        <w:t>ranking</w:t>
      </w:r>
      <w:r w:rsidR="00805BB8" w:rsidRPr="00A06FAD">
        <w:t>s</w:t>
      </w:r>
      <w:r w:rsidR="002E73D8" w:rsidRPr="00A06FAD">
        <w:t xml:space="preserve"> on the relevance and effectiveness of the various initiatives undertaken</w:t>
      </w:r>
      <w:r w:rsidR="00805BB8" w:rsidRPr="00A06FAD">
        <w:t>;</w:t>
      </w:r>
      <w:r w:rsidR="002E73D8" w:rsidRPr="00A06FAD">
        <w:t xml:space="preserve"> timeliness and responsiveness to developing legislation</w:t>
      </w:r>
      <w:r w:rsidR="00805BB8" w:rsidRPr="00A06FAD">
        <w:t>;</w:t>
      </w:r>
      <w:r w:rsidR="002E73D8" w:rsidRPr="00A06FAD">
        <w:t xml:space="preserve"> and building the capacities of anti-corruption institutions</w:t>
      </w:r>
      <w:r w:rsidR="00805BB8" w:rsidRPr="00A06FAD">
        <w:t>.</w:t>
      </w:r>
    </w:p>
    <w:p w14:paraId="55F5BA56" w14:textId="0F8CBC12" w:rsidR="00922BFD" w:rsidRDefault="00F37905" w:rsidP="000D1D0B">
      <w:pPr>
        <w:pStyle w:val="SingleTxt"/>
        <w:numPr>
          <w:ilvl w:val="0"/>
          <w:numId w:val="1"/>
        </w:numPr>
        <w:tabs>
          <w:tab w:val="clear" w:pos="1267"/>
          <w:tab w:val="left" w:pos="900"/>
          <w:tab w:val="left" w:pos="1170"/>
          <w:tab w:val="left" w:pos="1260"/>
        </w:tabs>
        <w:spacing w:line="240" w:lineRule="auto"/>
        <w:ind w:left="900" w:right="1378" w:firstLine="0"/>
      </w:pPr>
      <w:r>
        <w:t xml:space="preserve"> </w:t>
      </w:r>
      <w:r w:rsidR="001B76E1" w:rsidRPr="00A06FAD">
        <w:t>UNDP management takes</w:t>
      </w:r>
      <w:r w:rsidR="008115E6" w:rsidRPr="00A06FAD">
        <w:t xml:space="preserve"> </w:t>
      </w:r>
      <w:r w:rsidR="001B76E1" w:rsidRPr="00A06FAD">
        <w:t>note of the</w:t>
      </w:r>
      <w:r w:rsidR="002E57AC" w:rsidRPr="00A06FAD">
        <w:t xml:space="preserve"> significant</w:t>
      </w:r>
      <w:r w:rsidR="007B087B" w:rsidRPr="00A06FAD">
        <w:t xml:space="preserve"> </w:t>
      </w:r>
      <w:r w:rsidR="001B76E1" w:rsidRPr="00A06FAD">
        <w:t xml:space="preserve">finding that </w:t>
      </w:r>
      <w:r w:rsidR="00185762" w:rsidRPr="00A06FAD">
        <w:t xml:space="preserve">anti-corruption legislation and institutions </w:t>
      </w:r>
      <w:r w:rsidR="00805BB8" w:rsidRPr="00A06FAD">
        <w:t xml:space="preserve">are not, </w:t>
      </w:r>
      <w:r w:rsidR="00185762" w:rsidRPr="00A06FAD">
        <w:t>by themselves</w:t>
      </w:r>
      <w:r w:rsidR="00805BB8" w:rsidRPr="00A06FAD">
        <w:t>,</w:t>
      </w:r>
      <w:r w:rsidR="00185762" w:rsidRPr="00A06FAD">
        <w:t xml:space="preserve"> sufficient to control corruption unless </w:t>
      </w:r>
      <w:r w:rsidR="00805BB8" w:rsidRPr="00A06FAD">
        <w:t>combined with</w:t>
      </w:r>
      <w:r w:rsidR="00185762" w:rsidRPr="00A06FAD">
        <w:t xml:space="preserve"> </w:t>
      </w:r>
      <w:r w:rsidR="00805BB8" w:rsidRPr="00A06FAD">
        <w:t xml:space="preserve">robust judicial prosecution and enforcement systems and </w:t>
      </w:r>
      <w:r w:rsidR="00185762" w:rsidRPr="00A06FAD">
        <w:t>measures to ensure government accountability. W</w:t>
      </w:r>
      <w:r w:rsidR="004243AA" w:rsidRPr="00A06FAD">
        <w:t>e</w:t>
      </w:r>
      <w:r w:rsidR="00185762" w:rsidRPr="00A06FAD">
        <w:t xml:space="preserve"> acknowledge the need to link anti-corruption efforts with governance measures such as public procurement</w:t>
      </w:r>
      <w:r w:rsidR="00805BB8" w:rsidRPr="00A06FAD">
        <w:t>,</w:t>
      </w:r>
      <w:r w:rsidR="00185762" w:rsidRPr="00A06FAD">
        <w:t xml:space="preserve"> public finance</w:t>
      </w:r>
      <w:r w:rsidR="00AB58B0" w:rsidRPr="00A06FAD">
        <w:t xml:space="preserve"> management</w:t>
      </w:r>
      <w:r w:rsidR="00185762" w:rsidRPr="00A06FAD">
        <w:t>, judicia</w:t>
      </w:r>
      <w:r w:rsidR="00805BB8" w:rsidRPr="00A06FAD">
        <w:t>l</w:t>
      </w:r>
      <w:r w:rsidR="00185762" w:rsidRPr="00A06FAD">
        <w:t xml:space="preserve"> and prosecution services, public sector management, </w:t>
      </w:r>
      <w:r w:rsidR="00AB58B0" w:rsidRPr="00A06FAD">
        <w:t xml:space="preserve">and </w:t>
      </w:r>
      <w:r w:rsidR="00185762" w:rsidRPr="00A06FAD">
        <w:t xml:space="preserve">public reporting. </w:t>
      </w:r>
    </w:p>
    <w:p w14:paraId="645F97C1" w14:textId="7953FB3D" w:rsidR="00E536A8" w:rsidRDefault="00F37905" w:rsidP="000D1D0B">
      <w:pPr>
        <w:pStyle w:val="SingleTxt"/>
        <w:numPr>
          <w:ilvl w:val="0"/>
          <w:numId w:val="1"/>
        </w:numPr>
        <w:tabs>
          <w:tab w:val="clear" w:pos="1267"/>
          <w:tab w:val="left" w:pos="360"/>
          <w:tab w:val="left" w:pos="900"/>
          <w:tab w:val="left" w:pos="1170"/>
          <w:tab w:val="left" w:pos="1260"/>
          <w:tab w:val="left" w:pos="1620"/>
        </w:tabs>
        <w:spacing w:line="240" w:lineRule="auto"/>
        <w:ind w:left="900" w:right="1378" w:firstLine="0"/>
      </w:pPr>
      <w:r>
        <w:t xml:space="preserve"> </w:t>
      </w:r>
      <w:r w:rsidR="00185762" w:rsidRPr="00A06FAD">
        <w:t xml:space="preserve">We agree with the conclusion that </w:t>
      </w:r>
      <w:r w:rsidR="00AB58B0" w:rsidRPr="00A06FAD">
        <w:t xml:space="preserve">the </w:t>
      </w:r>
      <w:r w:rsidR="00185762" w:rsidRPr="00A06FAD">
        <w:t xml:space="preserve">overall impact, particularly </w:t>
      </w:r>
      <w:r w:rsidR="00AB58B0" w:rsidRPr="00A06FAD">
        <w:t xml:space="preserve">in </w:t>
      </w:r>
      <w:r w:rsidR="00185762" w:rsidRPr="00A06FAD">
        <w:t xml:space="preserve">implementing comprehensive programmes that link with </w:t>
      </w:r>
      <w:r w:rsidR="00606344" w:rsidRPr="00A06FAD">
        <w:t>the central</w:t>
      </w:r>
      <w:r w:rsidR="00185762" w:rsidRPr="00A06FAD">
        <w:t xml:space="preserve"> components of governance reforms, depends on resources, political will, </w:t>
      </w:r>
      <w:r w:rsidR="0099015D" w:rsidRPr="00A06FAD">
        <w:t>e</w:t>
      </w:r>
      <w:r w:rsidR="0089166B" w:rsidRPr="00A06FAD">
        <w:t>ff</w:t>
      </w:r>
      <w:r w:rsidR="0099015D" w:rsidRPr="00A06FAD">
        <w:t xml:space="preserve">ective coordination among government agencies, </w:t>
      </w:r>
      <w:r w:rsidR="00185762" w:rsidRPr="00A06FAD">
        <w:t>susta</w:t>
      </w:r>
      <w:r w:rsidR="00150B27" w:rsidRPr="00A06FAD">
        <w:t>ina</w:t>
      </w:r>
      <w:r w:rsidR="00185762" w:rsidRPr="00A06FAD">
        <w:t>bility</w:t>
      </w:r>
      <w:r w:rsidR="00606344" w:rsidRPr="00A06FAD">
        <w:t>,</w:t>
      </w:r>
      <w:r w:rsidR="00185762" w:rsidRPr="00A06FAD">
        <w:t xml:space="preserve"> and many other factors.</w:t>
      </w:r>
      <w:r w:rsidR="008D5B12" w:rsidRPr="00A06FAD">
        <w:t xml:space="preserve"> T</w:t>
      </w:r>
      <w:r w:rsidR="0089166B" w:rsidRPr="00A06FAD">
        <w:t xml:space="preserve">he report </w:t>
      </w:r>
      <w:r w:rsidR="00606344" w:rsidRPr="00A06FAD">
        <w:t xml:space="preserve">emphatically states </w:t>
      </w:r>
      <w:r w:rsidR="0089166B" w:rsidRPr="00A06FAD">
        <w:t>that anti-corruption gains will remain limited if they are not combined with a wider set of initiatives</w:t>
      </w:r>
      <w:r w:rsidR="002E57AC" w:rsidRPr="00A06FAD">
        <w:t xml:space="preserve"> aimed at improving the quality of governance institutions and processes overall.</w:t>
      </w:r>
      <w:r w:rsidR="0089166B" w:rsidRPr="00A06FAD">
        <w:t xml:space="preserve"> </w:t>
      </w:r>
      <w:r w:rsidR="002E57AC" w:rsidRPr="00A06FAD">
        <w:t xml:space="preserve">In </w:t>
      </w:r>
      <w:r w:rsidR="00606344" w:rsidRPr="00A06FAD">
        <w:t xml:space="preserve">the </w:t>
      </w:r>
      <w:r w:rsidR="0089166B" w:rsidRPr="00A06FAD">
        <w:t>UNDP approach</w:t>
      </w:r>
      <w:r w:rsidR="008D5B12" w:rsidRPr="00A06FAD">
        <w:t>,</w:t>
      </w:r>
      <w:r w:rsidR="0089166B" w:rsidRPr="00A06FAD">
        <w:t xml:space="preserve"> anti-corruption is an essential cross-cutting component of governance and peace</w:t>
      </w:r>
      <w:r w:rsidR="002E57AC" w:rsidRPr="00A06FAD">
        <w:t>-</w:t>
      </w:r>
      <w:r w:rsidR="0089166B" w:rsidRPr="00A06FAD">
        <w:t>building work</w:t>
      </w:r>
      <w:r w:rsidR="008D5B12" w:rsidRPr="00A06FAD">
        <w:t>.</w:t>
      </w:r>
      <w:r w:rsidR="0089166B" w:rsidRPr="00A06FAD">
        <w:t xml:space="preserve"> </w:t>
      </w:r>
      <w:r w:rsidR="008D5B12" w:rsidRPr="00A06FAD">
        <w:t>A</w:t>
      </w:r>
      <w:r w:rsidR="0089166B" w:rsidRPr="00A06FAD">
        <w:t xml:space="preserve">ddressing </w:t>
      </w:r>
      <w:r w:rsidR="00922BFD">
        <w:t xml:space="preserve">the </w:t>
      </w:r>
      <w:r w:rsidR="0089166B" w:rsidRPr="00A06FAD">
        <w:t>drivers of corruption (</w:t>
      </w:r>
      <w:r w:rsidR="002E57AC" w:rsidRPr="00A06FAD">
        <w:t>by</w:t>
      </w:r>
      <w:r w:rsidR="0089166B" w:rsidRPr="00A06FAD">
        <w:t xml:space="preserve"> fostering effective democratic governance) is part of the strategy to prevent corruption (UNDP </w:t>
      </w:r>
      <w:r w:rsidR="002E57AC" w:rsidRPr="00A06FAD">
        <w:t>a</w:t>
      </w:r>
      <w:r w:rsidR="0089166B" w:rsidRPr="00A06FAD">
        <w:t>nti-</w:t>
      </w:r>
      <w:r w:rsidR="002E57AC" w:rsidRPr="00A06FAD">
        <w:t>c</w:t>
      </w:r>
      <w:r w:rsidR="006968AC" w:rsidRPr="00A06FAD">
        <w:t>orruption</w:t>
      </w:r>
      <w:r w:rsidR="0089166B" w:rsidRPr="00A06FAD">
        <w:t xml:space="preserve"> </w:t>
      </w:r>
      <w:r w:rsidR="002E57AC" w:rsidRPr="00A06FAD">
        <w:t>p</w:t>
      </w:r>
      <w:r w:rsidR="0089166B" w:rsidRPr="00A06FAD">
        <w:t xml:space="preserve">ractice </w:t>
      </w:r>
      <w:r w:rsidR="002E57AC" w:rsidRPr="00A06FAD">
        <w:t>n</w:t>
      </w:r>
      <w:r w:rsidR="0089166B" w:rsidRPr="00A06FAD">
        <w:t>ote, 2008).</w:t>
      </w:r>
    </w:p>
    <w:p w14:paraId="258ECD8D" w14:textId="5A07A047" w:rsidR="00D46D9C" w:rsidRDefault="00D46D9C" w:rsidP="000D1D0B">
      <w:pPr>
        <w:pStyle w:val="SingleTxt"/>
        <w:numPr>
          <w:ilvl w:val="0"/>
          <w:numId w:val="1"/>
        </w:numPr>
        <w:tabs>
          <w:tab w:val="clear" w:pos="1267"/>
          <w:tab w:val="left" w:pos="360"/>
          <w:tab w:val="left" w:pos="900"/>
          <w:tab w:val="left" w:pos="1170"/>
          <w:tab w:val="left" w:pos="1260"/>
          <w:tab w:val="left" w:pos="1620"/>
        </w:tabs>
        <w:spacing w:line="240" w:lineRule="auto"/>
        <w:ind w:left="900" w:right="1378" w:firstLine="0"/>
      </w:pPr>
      <w:r>
        <w:t xml:space="preserve"> </w:t>
      </w:r>
      <w:r w:rsidR="00692676" w:rsidRPr="00A06FAD">
        <w:t xml:space="preserve">UNDP takes note of the findings </w:t>
      </w:r>
      <w:r w:rsidR="00922BFD">
        <w:t>indicat</w:t>
      </w:r>
      <w:r w:rsidR="002E57AC" w:rsidRPr="00A06FAD">
        <w:t xml:space="preserve">ing </w:t>
      </w:r>
      <w:r w:rsidR="00692676" w:rsidRPr="00A06FAD">
        <w:t>that when support was provided to anti-corruption enforcement agencies in isolation</w:t>
      </w:r>
      <w:r w:rsidR="00C82ADD" w:rsidRPr="00A06FAD">
        <w:t xml:space="preserve"> of the overall institutional environment</w:t>
      </w:r>
      <w:r w:rsidR="00692676" w:rsidRPr="00A06FAD">
        <w:t xml:space="preserve">, outcomes were limited. We acknowledge that effective functioning of one anti-corruption agency depended on collaboration and cooperation with </w:t>
      </w:r>
      <w:r w:rsidR="00C82ADD" w:rsidRPr="00A06FAD">
        <w:t xml:space="preserve">other </w:t>
      </w:r>
      <w:r w:rsidR="00692676" w:rsidRPr="00A06FAD">
        <w:t xml:space="preserve">enforcement agencies and institutions. This is one of the important lessons learned by UNDP in providing technical support to the oversight institutions. Nonetheless, </w:t>
      </w:r>
      <w:r w:rsidR="003B3DA8" w:rsidRPr="00A06FAD">
        <w:t xml:space="preserve">given their role in coordinating and monitoring national anti-corruption plans and strategies, </w:t>
      </w:r>
      <w:r w:rsidR="00692676" w:rsidRPr="00A06FAD">
        <w:t>support to anti-corruption agencies ha</w:t>
      </w:r>
      <w:r w:rsidR="00DE49F8" w:rsidRPr="00A06FAD">
        <w:t>s</w:t>
      </w:r>
      <w:r w:rsidR="00692676" w:rsidRPr="00A06FAD">
        <w:t xml:space="preserve"> been an important programming entry point for UNDP</w:t>
      </w:r>
      <w:r w:rsidR="003B3DA8" w:rsidRPr="00A06FAD">
        <w:t>,</w:t>
      </w:r>
      <w:r w:rsidR="00692676" w:rsidRPr="00A06FAD">
        <w:t xml:space="preserve"> in many case</w:t>
      </w:r>
      <w:r w:rsidR="00DE49F8" w:rsidRPr="00A06FAD">
        <w:t>s</w:t>
      </w:r>
      <w:r w:rsidR="005B47BC" w:rsidRPr="00A06FAD">
        <w:t xml:space="preserve"> tak</w:t>
      </w:r>
      <w:r w:rsidR="00DE49F8" w:rsidRPr="00A06FAD">
        <w:t>ing</w:t>
      </w:r>
      <w:r w:rsidR="005B47BC" w:rsidRPr="00A06FAD">
        <w:t xml:space="preserve"> the lead </w:t>
      </w:r>
      <w:r w:rsidR="00922BFD">
        <w:t>in</w:t>
      </w:r>
      <w:r w:rsidR="00692676" w:rsidRPr="00A06FAD">
        <w:t xml:space="preserve"> implement</w:t>
      </w:r>
      <w:r w:rsidR="00922BFD">
        <w:t>ing</w:t>
      </w:r>
      <w:r w:rsidR="00692676" w:rsidRPr="00A06FAD">
        <w:t xml:space="preserve"> the United Nations Convention Against Corruption.</w:t>
      </w:r>
    </w:p>
    <w:p w14:paraId="326AD349" w14:textId="51766CB6" w:rsidR="00922BFD" w:rsidRDefault="00F37905" w:rsidP="000D1D0B">
      <w:pPr>
        <w:pStyle w:val="SingleTxt"/>
        <w:numPr>
          <w:ilvl w:val="0"/>
          <w:numId w:val="1"/>
        </w:numPr>
        <w:tabs>
          <w:tab w:val="clear" w:pos="1267"/>
          <w:tab w:val="left" w:pos="360"/>
          <w:tab w:val="left" w:pos="900"/>
          <w:tab w:val="left" w:pos="1170"/>
          <w:tab w:val="left" w:pos="1260"/>
          <w:tab w:val="left" w:pos="1620"/>
        </w:tabs>
        <w:spacing w:line="240" w:lineRule="auto"/>
        <w:ind w:left="900" w:right="1378" w:firstLine="0"/>
      </w:pPr>
      <w:r>
        <w:t xml:space="preserve"> </w:t>
      </w:r>
      <w:r w:rsidR="00810B9F" w:rsidRPr="00A06FAD">
        <w:t>UNDP a</w:t>
      </w:r>
      <w:r w:rsidR="00792554" w:rsidRPr="00A06FAD">
        <w:t>grees with the conclusion that</w:t>
      </w:r>
      <w:r w:rsidR="003B3DA8" w:rsidRPr="00A06FAD">
        <w:t>, although it provided anti-corruption programme support in complex political contexts with multiple development and public administration challenges,</w:t>
      </w:r>
      <w:r w:rsidR="00792554" w:rsidRPr="00A06FAD">
        <w:t xml:space="preserve"> </w:t>
      </w:r>
      <w:r w:rsidR="00DE49F8" w:rsidRPr="00A06FAD">
        <w:t xml:space="preserve">the organization </w:t>
      </w:r>
      <w:r w:rsidR="00B8503A" w:rsidRPr="00A06FAD">
        <w:t xml:space="preserve">contributed to </w:t>
      </w:r>
      <w:r w:rsidR="00DE49F8" w:rsidRPr="00A06FAD">
        <w:t>strengthening</w:t>
      </w:r>
      <w:r w:rsidR="00B8503A" w:rsidRPr="00A06FAD">
        <w:t xml:space="preserve"> national anti-corruption capacities, in many instances shap</w:t>
      </w:r>
      <w:r w:rsidR="003B3DA8" w:rsidRPr="00A06FAD">
        <w:t>ing</w:t>
      </w:r>
      <w:r w:rsidR="00B8503A" w:rsidRPr="00A06FAD">
        <w:t xml:space="preserve"> government policies and priorities and strengthen</w:t>
      </w:r>
      <w:r w:rsidR="003B3DA8" w:rsidRPr="00A06FAD">
        <w:t>ing</w:t>
      </w:r>
      <w:r w:rsidR="00B8503A" w:rsidRPr="00A06FAD">
        <w:t xml:space="preserve"> institutions</w:t>
      </w:r>
      <w:r w:rsidR="00274D80" w:rsidRPr="00A06FAD">
        <w:t>. Many countries where UNDP provides support continue to face systemic challenges in their efforts to improve accountability and reduce corruption</w:t>
      </w:r>
      <w:r w:rsidR="00792554" w:rsidRPr="00A06FAD">
        <w:t xml:space="preserve">. </w:t>
      </w:r>
      <w:r w:rsidR="003D231B" w:rsidRPr="00A06FAD">
        <w:t xml:space="preserve">Government commitment, </w:t>
      </w:r>
      <w:r w:rsidR="00DC027D" w:rsidRPr="00A06FAD">
        <w:t xml:space="preserve">a conducive </w:t>
      </w:r>
      <w:r w:rsidR="003D231B" w:rsidRPr="00A06FAD">
        <w:t>political environment, sustained engagement</w:t>
      </w:r>
      <w:r w:rsidR="003B3DA8" w:rsidRPr="00A06FAD">
        <w:t>,</w:t>
      </w:r>
      <w:r w:rsidR="003D231B" w:rsidRPr="00A06FAD">
        <w:t xml:space="preserve"> and adequate resources are important </w:t>
      </w:r>
      <w:r w:rsidR="00111E23" w:rsidRPr="00A06FAD">
        <w:t xml:space="preserve">conditions for </w:t>
      </w:r>
      <w:r w:rsidR="003D231B" w:rsidRPr="00A06FAD">
        <w:t>pursu</w:t>
      </w:r>
      <w:r w:rsidR="00111E23" w:rsidRPr="00A06FAD">
        <w:t>ing</w:t>
      </w:r>
      <w:r w:rsidR="003D231B" w:rsidRPr="00A06FAD">
        <w:t xml:space="preserve"> anti-corruption policies and institutional measures. </w:t>
      </w:r>
    </w:p>
    <w:p w14:paraId="00C381D0" w14:textId="61AEB064" w:rsidR="00810B9F" w:rsidRPr="00A06FAD" w:rsidRDefault="00F37905" w:rsidP="000D1D0B">
      <w:pPr>
        <w:pStyle w:val="SingleTxt"/>
        <w:numPr>
          <w:ilvl w:val="0"/>
          <w:numId w:val="1"/>
        </w:numPr>
        <w:tabs>
          <w:tab w:val="clear" w:pos="1267"/>
          <w:tab w:val="left" w:pos="360"/>
          <w:tab w:val="left" w:pos="900"/>
          <w:tab w:val="left" w:pos="1170"/>
          <w:tab w:val="left" w:pos="1260"/>
          <w:tab w:val="left" w:pos="1620"/>
        </w:tabs>
        <w:spacing w:line="240" w:lineRule="auto"/>
        <w:ind w:left="900" w:right="1378" w:firstLine="0"/>
      </w:pPr>
      <w:r>
        <w:t xml:space="preserve"> </w:t>
      </w:r>
      <w:r w:rsidR="00D16A5F" w:rsidRPr="00A06FAD">
        <w:t>UNDP also agrees with</w:t>
      </w:r>
      <w:r w:rsidR="000B5EE1" w:rsidRPr="00A06FAD">
        <w:t xml:space="preserve"> the</w:t>
      </w:r>
      <w:r w:rsidR="00D16A5F" w:rsidRPr="00A06FAD">
        <w:t xml:space="preserve"> conclusion that anti-corruption </w:t>
      </w:r>
      <w:r w:rsidR="000B5EE1" w:rsidRPr="00A06FAD">
        <w:t xml:space="preserve">efforts </w:t>
      </w:r>
      <w:r w:rsidR="00D16A5F" w:rsidRPr="00A06FAD">
        <w:t xml:space="preserve">and </w:t>
      </w:r>
      <w:r w:rsidR="00274D80" w:rsidRPr="00A06FAD">
        <w:t xml:space="preserve">addressing </w:t>
      </w:r>
      <w:r w:rsidR="000B5EE1" w:rsidRPr="00A06FAD">
        <w:t xml:space="preserve">the </w:t>
      </w:r>
      <w:r w:rsidR="00274D80" w:rsidRPr="00A06FAD">
        <w:t>drivers of corruption</w:t>
      </w:r>
      <w:r w:rsidR="00D16A5F" w:rsidRPr="00A06FAD">
        <w:t xml:space="preserve"> were key areas of UNDP support during the current and previous </w:t>
      </w:r>
      <w:r w:rsidR="003B3DA8" w:rsidRPr="00A06FAD">
        <w:t>s</w:t>
      </w:r>
      <w:r w:rsidR="00D16A5F" w:rsidRPr="00A06FAD">
        <w:t xml:space="preserve">trategic </w:t>
      </w:r>
      <w:r w:rsidR="003B3DA8" w:rsidRPr="00A06FAD">
        <w:t>p</w:t>
      </w:r>
      <w:r w:rsidR="00D16A5F" w:rsidRPr="00A06FAD">
        <w:t xml:space="preserve">lans, and </w:t>
      </w:r>
      <w:r w:rsidR="000B5EE1" w:rsidRPr="00A06FAD">
        <w:t xml:space="preserve">are </w:t>
      </w:r>
      <w:r w:rsidR="00D16A5F" w:rsidRPr="00A06FAD">
        <w:t xml:space="preserve">integral to </w:t>
      </w:r>
      <w:r w:rsidR="003B3DA8" w:rsidRPr="00A06FAD">
        <w:t xml:space="preserve">the </w:t>
      </w:r>
      <w:r w:rsidR="00D16A5F" w:rsidRPr="00A06FAD">
        <w:t xml:space="preserve">UNDP commitment to </w:t>
      </w:r>
      <w:r w:rsidR="00274D80" w:rsidRPr="00A06FAD">
        <w:t xml:space="preserve">the 2030 </w:t>
      </w:r>
      <w:r w:rsidR="003B3DA8" w:rsidRPr="00A06FAD">
        <w:t xml:space="preserve">Sustainable </w:t>
      </w:r>
      <w:r w:rsidR="00274D80" w:rsidRPr="00A06FAD">
        <w:t>Development Agenda</w:t>
      </w:r>
      <w:r w:rsidR="00D16A5F" w:rsidRPr="00A06FAD">
        <w:t xml:space="preserve">. </w:t>
      </w:r>
      <w:r w:rsidR="00274D80" w:rsidRPr="00A06FAD">
        <w:t>Although the resources spent are not comparable to those spent by some of the international financial institutions, UNDP has developed a unique niche in supporting efforts to address corruption drivers and strengthen national anti-corruption capacities</w:t>
      </w:r>
      <w:r w:rsidR="00D16A5F" w:rsidRPr="00A06FAD">
        <w:t>.</w:t>
      </w:r>
    </w:p>
    <w:p w14:paraId="6757A662" w14:textId="3901CF82" w:rsidR="007257CE" w:rsidRPr="00A06FAD" w:rsidRDefault="00F37905" w:rsidP="000D1D0B">
      <w:pPr>
        <w:pStyle w:val="SingleTxt"/>
        <w:numPr>
          <w:ilvl w:val="0"/>
          <w:numId w:val="1"/>
        </w:numPr>
        <w:tabs>
          <w:tab w:val="clear" w:pos="1267"/>
          <w:tab w:val="left" w:pos="360"/>
          <w:tab w:val="left" w:pos="900"/>
          <w:tab w:val="left" w:pos="1170"/>
          <w:tab w:val="left" w:pos="1260"/>
          <w:tab w:val="left" w:pos="1620"/>
        </w:tabs>
        <w:spacing w:line="240" w:lineRule="auto"/>
        <w:ind w:left="900" w:right="1378" w:firstLine="0"/>
      </w:pPr>
      <w:r>
        <w:t xml:space="preserve"> </w:t>
      </w:r>
      <w:r w:rsidR="00810B9F" w:rsidRPr="00A06FAD">
        <w:t>UNDP ta</w:t>
      </w:r>
      <w:r w:rsidR="00C269D9" w:rsidRPr="00A06FAD">
        <w:t xml:space="preserve">kes note of the conclusion that there were tangible outcomes when UNDP addressed anti-corruption and </w:t>
      </w:r>
      <w:r w:rsidR="00274D80" w:rsidRPr="00A06FAD">
        <w:t>drivers of corruption</w:t>
      </w:r>
      <w:r w:rsidR="00C269D9" w:rsidRPr="00A06FAD">
        <w:t xml:space="preserve"> issues as part of local development and local governance. Building on this, UNDP will focus on sustaining th</w:t>
      </w:r>
      <w:r w:rsidR="003B3DA8" w:rsidRPr="00A06FAD">
        <w:t>o</w:t>
      </w:r>
      <w:r w:rsidR="00C269D9" w:rsidRPr="00A06FAD">
        <w:t xml:space="preserve">se efforts to generate </w:t>
      </w:r>
      <w:r w:rsidR="003B3DA8" w:rsidRPr="00A06FAD">
        <w:t xml:space="preserve">further </w:t>
      </w:r>
      <w:r w:rsidR="00C269D9" w:rsidRPr="00A06FAD">
        <w:t>demand for transparent</w:t>
      </w:r>
      <w:r w:rsidR="003B3DA8" w:rsidRPr="00A06FAD">
        <w:t>,</w:t>
      </w:r>
      <w:r w:rsidR="00C269D9" w:rsidRPr="00A06FAD">
        <w:t xml:space="preserve"> </w:t>
      </w:r>
      <w:r w:rsidR="00974A98" w:rsidRPr="00A06FAD">
        <w:t xml:space="preserve">accountable service delivery </w:t>
      </w:r>
      <w:r w:rsidR="000B5EE1" w:rsidRPr="00A06FAD">
        <w:t xml:space="preserve">– including justice and security </w:t>
      </w:r>
      <w:r w:rsidR="003B3DA8" w:rsidRPr="00A06FAD">
        <w:t>–</w:t>
      </w:r>
      <w:r w:rsidR="000B5EE1" w:rsidRPr="00A06FAD">
        <w:t xml:space="preserve"> </w:t>
      </w:r>
      <w:r w:rsidR="00974A98" w:rsidRPr="00A06FAD">
        <w:t>at the local level.</w:t>
      </w:r>
      <w:r w:rsidR="00274D80" w:rsidRPr="00A06FAD">
        <w:t xml:space="preserve"> UNDP appreciate</w:t>
      </w:r>
      <w:r w:rsidR="00DC027D" w:rsidRPr="00A06FAD">
        <w:t>s</w:t>
      </w:r>
      <w:r w:rsidR="00274D80" w:rsidRPr="00A06FAD">
        <w:t xml:space="preserve"> the conclusion that </w:t>
      </w:r>
      <w:r w:rsidR="003B3DA8" w:rsidRPr="00A06FAD">
        <w:t xml:space="preserve">its advocacy and </w:t>
      </w:r>
      <w:r w:rsidR="001A32D3" w:rsidRPr="00A06FAD">
        <w:t xml:space="preserve">inputs into </w:t>
      </w:r>
      <w:r w:rsidR="00274D80" w:rsidRPr="00A06FAD">
        <w:t xml:space="preserve">global and regional debates </w:t>
      </w:r>
      <w:r w:rsidR="000B5EE1" w:rsidRPr="00A06FAD">
        <w:t>promot</w:t>
      </w:r>
      <w:r w:rsidR="003B3DA8" w:rsidRPr="00A06FAD">
        <w:t>ed</w:t>
      </w:r>
      <w:r w:rsidR="000B5EE1" w:rsidRPr="00A06FAD">
        <w:t xml:space="preserve"> stronger </w:t>
      </w:r>
      <w:r w:rsidR="00937CF2" w:rsidRPr="00A06FAD">
        <w:t>link</w:t>
      </w:r>
      <w:r w:rsidR="000B5EE1" w:rsidRPr="00A06FAD">
        <w:t>s</w:t>
      </w:r>
      <w:r w:rsidR="00937CF2" w:rsidRPr="00A06FAD">
        <w:t xml:space="preserve"> </w:t>
      </w:r>
      <w:r w:rsidR="000B5EE1" w:rsidRPr="00A06FAD">
        <w:t xml:space="preserve">between </w:t>
      </w:r>
      <w:r w:rsidR="00937CF2" w:rsidRPr="00A06FAD">
        <w:t xml:space="preserve">anti-corruption and </w:t>
      </w:r>
      <w:r w:rsidR="008A7115" w:rsidRPr="00A06FAD">
        <w:t xml:space="preserve">other </w:t>
      </w:r>
      <w:r w:rsidR="00937CF2" w:rsidRPr="00A06FAD">
        <w:t>development communities</w:t>
      </w:r>
      <w:r w:rsidR="00274D80" w:rsidRPr="00A06FAD">
        <w:t>.</w:t>
      </w:r>
      <w:r w:rsidR="00937CF2" w:rsidRPr="00A06FAD">
        <w:t xml:space="preserve"> Similarly, UNDP corrupti</w:t>
      </w:r>
      <w:r w:rsidR="000B5EE1" w:rsidRPr="00A06FAD">
        <w:t>on</w:t>
      </w:r>
      <w:r w:rsidR="00937CF2" w:rsidRPr="00A06FAD">
        <w:t xml:space="preserve"> risk assessments and accountability initiatives were more effective when a sectoral approach was taken.</w:t>
      </w:r>
    </w:p>
    <w:p w14:paraId="5BAF449A" w14:textId="19017806" w:rsidR="00922BFD" w:rsidRDefault="00F37905" w:rsidP="000D1D0B">
      <w:pPr>
        <w:pStyle w:val="SingleTxt"/>
        <w:numPr>
          <w:ilvl w:val="0"/>
          <w:numId w:val="1"/>
        </w:numPr>
        <w:tabs>
          <w:tab w:val="clear" w:pos="1267"/>
          <w:tab w:val="left" w:pos="360"/>
          <w:tab w:val="left" w:pos="900"/>
          <w:tab w:val="left" w:pos="1170"/>
          <w:tab w:val="left" w:pos="1260"/>
          <w:tab w:val="left" w:pos="1620"/>
        </w:tabs>
        <w:spacing w:line="240" w:lineRule="auto"/>
        <w:ind w:left="900" w:right="1378" w:firstLine="0"/>
      </w:pPr>
      <w:r>
        <w:t xml:space="preserve"> </w:t>
      </w:r>
      <w:r w:rsidR="007257CE" w:rsidRPr="00A06FAD">
        <w:t>UNDP management believes that some of the findings and the conclusions of the evaluation should be contextualized appropriately</w:t>
      </w:r>
      <w:r w:rsidR="00DE6E60" w:rsidRPr="00A06FAD">
        <w:t>,</w:t>
      </w:r>
      <w:r w:rsidR="007257CE" w:rsidRPr="00A06FAD">
        <w:t xml:space="preserve"> be evidence-based</w:t>
      </w:r>
      <w:r w:rsidR="00DE6E60" w:rsidRPr="00A06FAD">
        <w:t xml:space="preserve">, and </w:t>
      </w:r>
      <w:r w:rsidR="003B3DA8" w:rsidRPr="00A06FAD">
        <w:t xml:space="preserve">be </w:t>
      </w:r>
      <w:r w:rsidR="00DE6E60" w:rsidRPr="00A06FAD">
        <w:t>supported by more detailed analys</w:t>
      </w:r>
      <w:r w:rsidR="003B3DA8" w:rsidRPr="00A06FAD">
        <w:t>i</w:t>
      </w:r>
      <w:r w:rsidR="00DE6E60" w:rsidRPr="00A06FAD">
        <w:t>s</w:t>
      </w:r>
      <w:r w:rsidR="007257CE" w:rsidRPr="00A06FAD">
        <w:t>.</w:t>
      </w:r>
      <w:r w:rsidR="00F87455" w:rsidRPr="00A06FAD">
        <w:t xml:space="preserve"> For example, </w:t>
      </w:r>
      <w:r w:rsidR="003B3DA8" w:rsidRPr="00A06FAD">
        <w:t>c</w:t>
      </w:r>
      <w:r w:rsidR="00F87455" w:rsidRPr="00A06FAD">
        <w:t xml:space="preserve">onclusion </w:t>
      </w:r>
      <w:r w:rsidR="00937CF2" w:rsidRPr="00A06FAD">
        <w:t>6</w:t>
      </w:r>
      <w:r w:rsidR="00F87455" w:rsidRPr="00A06FAD">
        <w:t xml:space="preserve"> </w:t>
      </w:r>
      <w:r w:rsidR="00D963BB" w:rsidRPr="00A06FAD">
        <w:t xml:space="preserve">states </w:t>
      </w:r>
      <w:r w:rsidR="00F87455" w:rsidRPr="00A06FAD">
        <w:t xml:space="preserve">that </w:t>
      </w:r>
      <w:r w:rsidR="00937CF2" w:rsidRPr="00A06FAD">
        <w:t>UNDP has not taken full advantage of its opportunities to better integrate sectoral approach</w:t>
      </w:r>
      <w:r w:rsidR="00F35BF0" w:rsidRPr="00A06FAD">
        <w:t>es</w:t>
      </w:r>
      <w:r w:rsidR="00937CF2" w:rsidRPr="00A06FAD">
        <w:t xml:space="preserve"> into its other development programming</w:t>
      </w:r>
      <w:r w:rsidR="00F87455" w:rsidRPr="00A06FAD">
        <w:t xml:space="preserve">. </w:t>
      </w:r>
      <w:r w:rsidR="00D23A65" w:rsidRPr="00A06FAD">
        <w:t xml:space="preserve">Over the years, </w:t>
      </w:r>
      <w:r w:rsidR="003B3DA8" w:rsidRPr="00A06FAD">
        <w:t xml:space="preserve">UNDP has made a great </w:t>
      </w:r>
      <w:r w:rsidR="00D23A65" w:rsidRPr="00A06FAD">
        <w:t xml:space="preserve">effort to </w:t>
      </w:r>
      <w:r w:rsidR="000B5EE1" w:rsidRPr="00A06FAD">
        <w:t xml:space="preserve">ensure stronger </w:t>
      </w:r>
      <w:r w:rsidR="00D23A65" w:rsidRPr="00A06FAD">
        <w:t>integrati</w:t>
      </w:r>
      <w:r w:rsidR="000B5EE1" w:rsidRPr="00A06FAD">
        <w:t>on</w:t>
      </w:r>
      <w:r w:rsidR="00D23A65" w:rsidRPr="00A06FAD">
        <w:t xml:space="preserve"> </w:t>
      </w:r>
      <w:r w:rsidR="000B5EE1" w:rsidRPr="00A06FAD">
        <w:t xml:space="preserve">of </w:t>
      </w:r>
      <w:r w:rsidR="00D23A65" w:rsidRPr="00A06FAD">
        <w:t xml:space="preserve">anti-corruption in service delivery (such as in </w:t>
      </w:r>
      <w:r w:rsidR="008E11DA" w:rsidRPr="00A06FAD">
        <w:t xml:space="preserve">the </w:t>
      </w:r>
      <w:r w:rsidR="00D23A65" w:rsidRPr="00A06FAD">
        <w:t>education, health, and water sectors)</w:t>
      </w:r>
      <w:r w:rsidR="008E11DA" w:rsidRPr="00A06FAD">
        <w:t>,</w:t>
      </w:r>
      <w:r w:rsidR="00D23A65" w:rsidRPr="00A06FAD">
        <w:t xml:space="preserve"> and building synergies with other areas </w:t>
      </w:r>
      <w:r w:rsidR="000B5EE1" w:rsidRPr="00A06FAD">
        <w:t xml:space="preserve">of </w:t>
      </w:r>
      <w:r w:rsidR="008E11DA" w:rsidRPr="00A06FAD">
        <w:t xml:space="preserve">its </w:t>
      </w:r>
      <w:r w:rsidR="000B5EE1" w:rsidRPr="00A06FAD">
        <w:t>work (</w:t>
      </w:r>
      <w:r w:rsidR="00D23A65" w:rsidRPr="00A06FAD">
        <w:t xml:space="preserve">such as </w:t>
      </w:r>
      <w:r w:rsidR="000B5EE1" w:rsidRPr="00A06FAD">
        <w:t xml:space="preserve">with the </w:t>
      </w:r>
      <w:r w:rsidR="008E11DA" w:rsidRPr="00A06FAD">
        <w:t>United Nations Collaborative Programme on Reducing Emissions from Deforestation and Forest Degradation in Developing Countries</w:t>
      </w:r>
      <w:r w:rsidR="00D23A65" w:rsidRPr="00A06FAD">
        <w:t xml:space="preserve">, </w:t>
      </w:r>
      <w:r w:rsidR="000B5EE1" w:rsidRPr="00A06FAD">
        <w:t xml:space="preserve">the </w:t>
      </w:r>
      <w:r w:rsidR="00D23A65" w:rsidRPr="00A06FAD">
        <w:t>extractive initiative (</w:t>
      </w:r>
      <w:r w:rsidR="008E11DA" w:rsidRPr="00A06FAD">
        <w:t xml:space="preserve">in </w:t>
      </w:r>
      <w:r w:rsidR="00D23A65" w:rsidRPr="00A06FAD">
        <w:t>Kosovo</w:t>
      </w:r>
      <w:r w:rsidR="00482C8B" w:rsidRPr="00A06FAD">
        <w:rPr>
          <w:rStyle w:val="FootnoteReference"/>
        </w:rPr>
        <w:footnoteReference w:id="3"/>
      </w:r>
      <w:r w:rsidR="008E11DA" w:rsidRPr="00A06FAD">
        <w:t>, for example</w:t>
      </w:r>
      <w:r w:rsidR="00D23A65" w:rsidRPr="00A06FAD">
        <w:t xml:space="preserve">), gender empowerment initiatives, </w:t>
      </w:r>
      <w:r w:rsidR="000B5EE1" w:rsidRPr="00A06FAD">
        <w:t xml:space="preserve">and </w:t>
      </w:r>
      <w:r w:rsidR="008E11DA" w:rsidRPr="00A06FAD">
        <w:t xml:space="preserve">the </w:t>
      </w:r>
      <w:r w:rsidR="00D23A65" w:rsidRPr="00A06FAD">
        <w:t>Global Fund to Fight AID</w:t>
      </w:r>
      <w:r w:rsidR="00922BFD">
        <w:t>S</w:t>
      </w:r>
      <w:r w:rsidR="00D23A65" w:rsidRPr="00A06FAD">
        <w:t>, Tuberculosis and Malaria (</w:t>
      </w:r>
      <w:r w:rsidR="008E11DA" w:rsidRPr="00A06FAD">
        <w:t>in Nigeria and</w:t>
      </w:r>
      <w:r w:rsidR="00D23A65" w:rsidRPr="00A06FAD">
        <w:t xml:space="preserve"> Ukraine</w:t>
      </w:r>
      <w:r w:rsidR="008E11DA" w:rsidRPr="00A06FAD">
        <w:t>, for example</w:t>
      </w:r>
      <w:r w:rsidR="00D23A65" w:rsidRPr="00A06FAD">
        <w:t xml:space="preserve">). </w:t>
      </w:r>
    </w:p>
    <w:p w14:paraId="2896E2AF" w14:textId="79E80896" w:rsidR="001C1BED" w:rsidRPr="00A06FAD" w:rsidRDefault="00922BFD" w:rsidP="000D1D0B">
      <w:pPr>
        <w:pStyle w:val="SingleTxt"/>
        <w:numPr>
          <w:ilvl w:val="0"/>
          <w:numId w:val="1"/>
        </w:numPr>
        <w:tabs>
          <w:tab w:val="clear" w:pos="1267"/>
          <w:tab w:val="left" w:pos="360"/>
          <w:tab w:val="left" w:pos="900"/>
          <w:tab w:val="left" w:pos="1260"/>
          <w:tab w:val="left" w:pos="1350"/>
          <w:tab w:val="left" w:pos="1620"/>
        </w:tabs>
        <w:spacing w:line="240" w:lineRule="auto"/>
        <w:ind w:left="900" w:right="1378" w:firstLine="0"/>
      </w:pPr>
      <w:r>
        <w:t>Notably</w:t>
      </w:r>
      <w:r w:rsidR="00F35BF0" w:rsidRPr="00A06FAD">
        <w:t xml:space="preserve">, the Integrated Results and Resources Framework </w:t>
      </w:r>
      <w:r w:rsidR="008E11DA" w:rsidRPr="00A06FAD">
        <w:t xml:space="preserve">of the strategic plan, </w:t>
      </w:r>
      <w:r w:rsidR="00F35BF0" w:rsidRPr="00A06FAD">
        <w:t>measuring UNDP development performance</w:t>
      </w:r>
      <w:r w:rsidR="008E11DA" w:rsidRPr="00A06FAD">
        <w:t>,</w:t>
      </w:r>
      <w:r w:rsidR="00F35BF0" w:rsidRPr="00A06FAD">
        <w:t xml:space="preserve"> includes a </w:t>
      </w:r>
      <w:r w:rsidRPr="00A06FAD">
        <w:t>dis</w:t>
      </w:r>
      <w:r>
        <w:t>crete</w:t>
      </w:r>
      <w:r w:rsidRPr="00A06FAD">
        <w:t xml:space="preserve"> </w:t>
      </w:r>
      <w:r w:rsidR="00F35BF0" w:rsidRPr="00A06FAD">
        <w:t>output</w:t>
      </w:r>
      <w:r w:rsidR="00762E78" w:rsidRPr="00A06FAD">
        <w:t xml:space="preserve"> titled </w:t>
      </w:r>
      <w:r w:rsidR="008E11DA" w:rsidRPr="00A06FAD">
        <w:t>‘</w:t>
      </w:r>
      <w:r w:rsidR="00762E78" w:rsidRPr="00A06FAD">
        <w:t xml:space="preserve">Institutions and systems enabled to address awareness, prevention and enforcement of anticorruption measures </w:t>
      </w:r>
      <w:r w:rsidR="00A165AF" w:rsidRPr="00A06FAD">
        <w:t>across sectors and stakeholders</w:t>
      </w:r>
      <w:r w:rsidR="008E11DA" w:rsidRPr="00A06FAD">
        <w:t>’</w:t>
      </w:r>
      <w:r w:rsidR="00A165AF" w:rsidRPr="00A06FAD">
        <w:t xml:space="preserve"> under which 57 </w:t>
      </w:r>
      <w:r w:rsidR="008E11DA" w:rsidRPr="00A06FAD">
        <w:t>c</w:t>
      </w:r>
      <w:r w:rsidR="00A165AF" w:rsidRPr="00A06FAD">
        <w:t xml:space="preserve">ountry </w:t>
      </w:r>
      <w:r w:rsidR="008E11DA" w:rsidRPr="00A06FAD">
        <w:t>o</w:t>
      </w:r>
      <w:r w:rsidR="00A165AF" w:rsidRPr="00A06FAD">
        <w:t xml:space="preserve">ffices across regions reported </w:t>
      </w:r>
      <w:r w:rsidR="00EA010E" w:rsidRPr="00A06FAD">
        <w:t xml:space="preserve">work and results, </w:t>
      </w:r>
      <w:r w:rsidR="00A165AF" w:rsidRPr="00A06FAD">
        <w:t xml:space="preserve">mainly relating to </w:t>
      </w:r>
      <w:r w:rsidR="000741E5" w:rsidRPr="00A06FAD">
        <w:t xml:space="preserve">measures </w:t>
      </w:r>
      <w:r w:rsidR="008E11DA" w:rsidRPr="00A06FAD">
        <w:t xml:space="preserve">adopted </w:t>
      </w:r>
      <w:r w:rsidR="000741E5" w:rsidRPr="00A06FAD">
        <w:t>to mitigate sector</w:t>
      </w:r>
      <w:r w:rsidR="008E11DA" w:rsidRPr="00A06FAD">
        <w:t>-</w:t>
      </w:r>
      <w:r w:rsidR="000741E5" w:rsidRPr="00A06FAD">
        <w:t xml:space="preserve">specific </w:t>
      </w:r>
      <w:r w:rsidR="00D84DC5" w:rsidRPr="00A06FAD">
        <w:t xml:space="preserve">corruption risks. </w:t>
      </w:r>
      <w:r w:rsidR="00937CF2" w:rsidRPr="00A06FAD">
        <w:t xml:space="preserve">UNDP support </w:t>
      </w:r>
      <w:r w:rsidR="000B5EE1" w:rsidRPr="00A06FAD">
        <w:t xml:space="preserve">to </w:t>
      </w:r>
      <w:r w:rsidR="00937CF2" w:rsidRPr="00A06FAD">
        <w:t xml:space="preserve">the </w:t>
      </w:r>
      <w:r w:rsidR="000B5EE1" w:rsidRPr="00A06FAD">
        <w:t xml:space="preserve">2030 Sustainable Development Agenda through </w:t>
      </w:r>
      <w:r w:rsidR="00937CF2" w:rsidRPr="00A06FAD">
        <w:t>th</w:t>
      </w:r>
      <w:r w:rsidR="00176CE6" w:rsidRPr="00A06FAD">
        <w:t>e implementation</w:t>
      </w:r>
      <w:r w:rsidR="00937CF2" w:rsidRPr="00A06FAD">
        <w:t xml:space="preserve"> of </w:t>
      </w:r>
      <w:r w:rsidR="000B5EE1" w:rsidRPr="00A06FAD">
        <w:t xml:space="preserve">the </w:t>
      </w:r>
      <w:r w:rsidR="008E11DA" w:rsidRPr="00A06FAD">
        <w:t>‘m</w:t>
      </w:r>
      <w:r w:rsidR="00937CF2" w:rsidRPr="00A06FAD">
        <w:t xml:space="preserve">ainstreaming, </w:t>
      </w:r>
      <w:r w:rsidR="008E11DA" w:rsidRPr="00A06FAD">
        <w:t>a</w:t>
      </w:r>
      <w:r w:rsidR="00937CF2" w:rsidRPr="00A06FAD">
        <w:t xml:space="preserve">cceleration and </w:t>
      </w:r>
      <w:r w:rsidR="008E11DA" w:rsidRPr="00A06FAD">
        <w:t>p</w:t>
      </w:r>
      <w:r w:rsidR="00937CF2" w:rsidRPr="00A06FAD">
        <w:t>olicy support</w:t>
      </w:r>
      <w:r w:rsidR="008E11DA" w:rsidRPr="00A06FAD">
        <w:t>’</w:t>
      </w:r>
      <w:r w:rsidR="00937CF2" w:rsidRPr="00A06FAD">
        <w:t xml:space="preserve"> approach</w:t>
      </w:r>
      <w:r w:rsidR="008E11DA" w:rsidRPr="00A06FAD">
        <w:t>,</w:t>
      </w:r>
      <w:r w:rsidR="00937CF2" w:rsidRPr="00A06FAD">
        <w:t xml:space="preserve"> and its coordinatin</w:t>
      </w:r>
      <w:r w:rsidR="000B5EE1" w:rsidRPr="00A06FAD">
        <w:t>g</w:t>
      </w:r>
      <w:r w:rsidR="00937CF2" w:rsidRPr="00A06FAD">
        <w:t xml:space="preserve"> role </w:t>
      </w:r>
      <w:r w:rsidR="001C1BED" w:rsidRPr="00A06FAD">
        <w:t xml:space="preserve">in promoting </w:t>
      </w:r>
      <w:r w:rsidR="00937CF2" w:rsidRPr="00A06FAD">
        <w:t xml:space="preserve">“integration </w:t>
      </w:r>
      <w:r w:rsidR="001C1BED" w:rsidRPr="00A06FAD">
        <w:t xml:space="preserve">of </w:t>
      </w:r>
      <w:r w:rsidR="00937CF2" w:rsidRPr="00A06FAD">
        <w:t>anti-corruption in U</w:t>
      </w:r>
      <w:r w:rsidR="008E11DA" w:rsidRPr="00A06FAD">
        <w:t>nited Nations</w:t>
      </w:r>
      <w:r w:rsidR="00937CF2" w:rsidRPr="00A06FAD">
        <w:t xml:space="preserve"> programming processes such as </w:t>
      </w:r>
      <w:r w:rsidR="00A221CC" w:rsidRPr="00A06FAD">
        <w:t>the United Nations Development Assistance Framework</w:t>
      </w:r>
      <w:r w:rsidR="00937CF2" w:rsidRPr="00A06FAD">
        <w:t>”</w:t>
      </w:r>
      <w:r>
        <w:t>,</w:t>
      </w:r>
      <w:r w:rsidR="00937CF2" w:rsidRPr="00A06FAD">
        <w:t xml:space="preserve"> ha</w:t>
      </w:r>
      <w:r w:rsidR="008E11DA" w:rsidRPr="00A06FAD">
        <w:t>ve</w:t>
      </w:r>
      <w:r w:rsidR="00937CF2" w:rsidRPr="00A06FAD">
        <w:t xml:space="preserve"> gained momentum </w:t>
      </w:r>
      <w:r w:rsidR="001C1BED" w:rsidRPr="00A06FAD">
        <w:t xml:space="preserve">and </w:t>
      </w:r>
      <w:r w:rsidR="008E11DA" w:rsidRPr="00A06FAD">
        <w:t xml:space="preserve">are </w:t>
      </w:r>
      <w:r w:rsidR="001C1BED" w:rsidRPr="00A06FAD">
        <w:t xml:space="preserve">promoting further </w:t>
      </w:r>
      <w:r w:rsidR="00937CF2" w:rsidRPr="00A06FAD">
        <w:t>integrat</w:t>
      </w:r>
      <w:r w:rsidR="001C1BED" w:rsidRPr="00A06FAD">
        <w:t>ion</w:t>
      </w:r>
      <w:r w:rsidR="00937CF2" w:rsidRPr="00A06FAD">
        <w:t xml:space="preserve"> </w:t>
      </w:r>
      <w:r w:rsidR="001C1BED" w:rsidRPr="00A06FAD">
        <w:t xml:space="preserve">of the </w:t>
      </w:r>
      <w:r w:rsidR="00937CF2" w:rsidRPr="00A06FAD">
        <w:t>sectoral anti-corruption approach into other development programming</w:t>
      </w:r>
      <w:r w:rsidR="001C1BED" w:rsidRPr="00A06FAD">
        <w:t xml:space="preserve"> (notably in the area of justice, security, procurement</w:t>
      </w:r>
      <w:r w:rsidR="008E11DA" w:rsidRPr="00A06FAD">
        <w:t>,</w:t>
      </w:r>
      <w:r w:rsidR="001C1BED" w:rsidRPr="00A06FAD">
        <w:t xml:space="preserve"> and construction)</w:t>
      </w:r>
      <w:r w:rsidR="00937CF2" w:rsidRPr="00A06FAD">
        <w:t xml:space="preserve">. </w:t>
      </w:r>
    </w:p>
    <w:p w14:paraId="58F1F46F" w14:textId="07A80632" w:rsidR="00D46D9C" w:rsidRDefault="00097817" w:rsidP="000D1D0B">
      <w:pPr>
        <w:pStyle w:val="SingleTxt"/>
        <w:numPr>
          <w:ilvl w:val="0"/>
          <w:numId w:val="1"/>
        </w:numPr>
        <w:tabs>
          <w:tab w:val="clear" w:pos="1267"/>
          <w:tab w:val="left" w:pos="360"/>
          <w:tab w:val="left" w:pos="900"/>
          <w:tab w:val="left" w:pos="1170"/>
          <w:tab w:val="left" w:pos="1260"/>
          <w:tab w:val="left" w:pos="1620"/>
        </w:tabs>
        <w:spacing w:line="240" w:lineRule="auto"/>
        <w:ind w:left="900" w:right="1378" w:firstLine="0"/>
      </w:pPr>
      <w:r w:rsidRPr="00A06FAD">
        <w:tab/>
      </w:r>
      <w:r w:rsidR="001C1BED" w:rsidRPr="00A06FAD">
        <w:t>T</w:t>
      </w:r>
      <w:r w:rsidR="00937CF2" w:rsidRPr="00A06FAD">
        <w:t xml:space="preserve">he evaluation points out that public administration support </w:t>
      </w:r>
      <w:r w:rsidR="008E11DA" w:rsidRPr="00A06FAD">
        <w:t xml:space="preserve">is under-emphasized </w:t>
      </w:r>
      <w:r w:rsidR="00937CF2" w:rsidRPr="00A06FAD">
        <w:t xml:space="preserve">at the </w:t>
      </w:r>
      <w:r w:rsidR="00922BFD">
        <w:t xml:space="preserve">UNDP </w:t>
      </w:r>
      <w:r w:rsidR="008E11DA" w:rsidRPr="00A06FAD">
        <w:t xml:space="preserve">institutional </w:t>
      </w:r>
      <w:r w:rsidR="00937CF2" w:rsidRPr="00A06FAD">
        <w:t>level</w:t>
      </w:r>
      <w:r w:rsidR="00176CE6" w:rsidRPr="00A06FAD">
        <w:t xml:space="preserve">. </w:t>
      </w:r>
      <w:r w:rsidR="001840B3" w:rsidRPr="00A06FAD">
        <w:t xml:space="preserve">Public administration is a vast area of work, with many </w:t>
      </w:r>
      <w:r w:rsidR="00F67C0C" w:rsidRPr="00A06FAD">
        <w:t xml:space="preserve">development partners involved. </w:t>
      </w:r>
      <w:r w:rsidR="008E11DA" w:rsidRPr="00A06FAD">
        <w:t xml:space="preserve">The </w:t>
      </w:r>
      <w:r w:rsidR="00F67C0C" w:rsidRPr="00A06FAD">
        <w:t xml:space="preserve">UNDP </w:t>
      </w:r>
      <w:r w:rsidR="008E11DA" w:rsidRPr="00A06FAD">
        <w:t>s</w:t>
      </w:r>
      <w:r w:rsidR="00176CE6" w:rsidRPr="00A06FAD">
        <w:t xml:space="preserve">trategic </w:t>
      </w:r>
      <w:r w:rsidR="008E11DA" w:rsidRPr="00A06FAD">
        <w:t>p</w:t>
      </w:r>
      <w:r w:rsidR="00176CE6" w:rsidRPr="00A06FAD">
        <w:t>lan</w:t>
      </w:r>
      <w:r w:rsidR="008E11DA" w:rsidRPr="00A06FAD">
        <w:t>,</w:t>
      </w:r>
      <w:r w:rsidR="00176CE6" w:rsidRPr="00A06FAD">
        <w:t xml:space="preserve"> 2014-2017</w:t>
      </w:r>
      <w:r w:rsidR="008E11DA" w:rsidRPr="00A06FAD">
        <w:t>,</w:t>
      </w:r>
      <w:r w:rsidR="00176CE6" w:rsidRPr="00A06FAD">
        <w:t xml:space="preserve"> has prioritize</w:t>
      </w:r>
      <w:r w:rsidR="001C1BED" w:rsidRPr="00A06FAD">
        <w:t>d</w:t>
      </w:r>
      <w:r w:rsidR="00176CE6" w:rsidRPr="00A06FAD">
        <w:t xml:space="preserve"> </w:t>
      </w:r>
      <w:r w:rsidR="00F67C0C" w:rsidRPr="00A06FAD">
        <w:t xml:space="preserve">UNDP </w:t>
      </w:r>
      <w:r w:rsidR="00176CE6" w:rsidRPr="00A06FAD">
        <w:t xml:space="preserve">support </w:t>
      </w:r>
      <w:r w:rsidR="00F67C0C" w:rsidRPr="00A06FAD">
        <w:t xml:space="preserve">to focus on </w:t>
      </w:r>
      <w:r w:rsidR="00176CE6" w:rsidRPr="00A06FAD">
        <w:t>core governance functions</w:t>
      </w:r>
      <w:r w:rsidR="00EC0A3E" w:rsidRPr="00A06FAD">
        <w:t xml:space="preserve"> </w:t>
      </w:r>
      <w:r w:rsidR="00366FBE">
        <w:t>(</w:t>
      </w:r>
      <w:r w:rsidR="00EC0A3E" w:rsidRPr="00A06FAD">
        <w:t>i.e. the restoration of core public administration functionality</w:t>
      </w:r>
      <w:r w:rsidR="00366FBE">
        <w:t>)</w:t>
      </w:r>
      <w:r w:rsidR="00EC0A3E" w:rsidRPr="00A06FAD">
        <w:t xml:space="preserve"> </w:t>
      </w:r>
      <w:r w:rsidR="00F67C0C" w:rsidRPr="00A06FAD">
        <w:t>in fragile and conflict affected settings</w:t>
      </w:r>
      <w:r w:rsidR="000C5992" w:rsidRPr="00A06FAD">
        <w:t>, as</w:t>
      </w:r>
      <w:r w:rsidR="00EC0A3E" w:rsidRPr="00A06FAD">
        <w:t xml:space="preserve"> well as</w:t>
      </w:r>
      <w:r w:rsidR="00176CE6" w:rsidRPr="00A06FAD">
        <w:t xml:space="preserve"> </w:t>
      </w:r>
      <w:r w:rsidR="00F67C0C" w:rsidRPr="00A06FAD">
        <w:t xml:space="preserve">on </w:t>
      </w:r>
      <w:r w:rsidR="000C5992" w:rsidRPr="00A06FAD">
        <w:t xml:space="preserve">the </w:t>
      </w:r>
      <w:r w:rsidR="00176CE6" w:rsidRPr="00A06FAD">
        <w:t>integrity, transparency and accountability of public institutions.</w:t>
      </w:r>
      <w:r w:rsidR="00F67C0C" w:rsidRPr="00A06FAD">
        <w:t xml:space="preserve"> </w:t>
      </w:r>
      <w:r w:rsidR="00922BFD">
        <w:t>P</w:t>
      </w:r>
      <w:r w:rsidR="00F67C0C" w:rsidRPr="00A06FAD">
        <w:t xml:space="preserve">ublic administration is a key entry point in nearly all UNDP work, whether related to </w:t>
      </w:r>
      <w:r w:rsidR="000C5992" w:rsidRPr="00A06FAD">
        <w:t xml:space="preserve">the </w:t>
      </w:r>
      <w:r w:rsidR="00F67C0C" w:rsidRPr="00A06FAD">
        <w:t>environment, energy, disaster risk management or recovery efforts. Even in sectors that fall under the mandate of other U</w:t>
      </w:r>
      <w:r w:rsidR="000C5992" w:rsidRPr="00A06FAD">
        <w:t xml:space="preserve">nited </w:t>
      </w:r>
      <w:r w:rsidR="00C7698D" w:rsidRPr="00A06FAD">
        <w:t>Nations entities</w:t>
      </w:r>
      <w:r w:rsidR="00F67C0C" w:rsidRPr="00A06FAD">
        <w:t xml:space="preserve"> (</w:t>
      </w:r>
      <w:r w:rsidR="000C5992" w:rsidRPr="00A06FAD">
        <w:t>h</w:t>
      </w:r>
      <w:r w:rsidR="00F67C0C" w:rsidRPr="00A06FAD">
        <w:t xml:space="preserve">ealth, </w:t>
      </w:r>
      <w:r w:rsidR="000C5992" w:rsidRPr="00A06FAD">
        <w:t>e</w:t>
      </w:r>
      <w:r w:rsidR="00F67C0C" w:rsidRPr="00A06FAD">
        <w:t xml:space="preserve">ducation, </w:t>
      </w:r>
      <w:r w:rsidR="000C5992" w:rsidRPr="00A06FAD">
        <w:t>or w</w:t>
      </w:r>
      <w:r w:rsidR="00F67C0C" w:rsidRPr="00A06FAD">
        <w:t xml:space="preserve">ater and </w:t>
      </w:r>
      <w:r w:rsidR="000C5992" w:rsidRPr="00A06FAD">
        <w:t>s</w:t>
      </w:r>
      <w:r w:rsidR="00F67C0C" w:rsidRPr="00A06FAD">
        <w:t>anitation</w:t>
      </w:r>
      <w:r w:rsidR="000C5992" w:rsidRPr="00A06FAD">
        <w:t>, for ex</w:t>
      </w:r>
      <w:r w:rsidR="00922BFD">
        <w:t>am</w:t>
      </w:r>
      <w:r w:rsidR="000C5992" w:rsidRPr="00A06FAD">
        <w:t>ple</w:t>
      </w:r>
      <w:r w:rsidR="00F67C0C" w:rsidRPr="00A06FAD">
        <w:t>)</w:t>
      </w:r>
      <w:r w:rsidR="000C5992" w:rsidRPr="00A06FAD">
        <w:t>,</w:t>
      </w:r>
      <w:r w:rsidR="00F67C0C" w:rsidRPr="00A06FAD">
        <w:t xml:space="preserve"> UNDP carries out corruption risk assessments using the public administration as the main entry point.</w:t>
      </w:r>
    </w:p>
    <w:p w14:paraId="1CFA0F47" w14:textId="21236986" w:rsidR="00922BFD" w:rsidRPr="00A06FAD" w:rsidRDefault="00F67C0C" w:rsidP="00366FBE">
      <w:pPr>
        <w:pStyle w:val="SingleTxt"/>
        <w:tabs>
          <w:tab w:val="clear" w:pos="1267"/>
          <w:tab w:val="left" w:pos="360"/>
          <w:tab w:val="left" w:pos="900"/>
          <w:tab w:val="left" w:pos="1170"/>
          <w:tab w:val="left" w:pos="1260"/>
          <w:tab w:val="left" w:pos="1620"/>
        </w:tabs>
        <w:spacing w:line="240" w:lineRule="auto"/>
        <w:ind w:left="900" w:right="1378"/>
      </w:pPr>
      <w:r w:rsidRPr="00A06FAD">
        <w:t xml:space="preserve"> </w:t>
      </w:r>
      <w:r w:rsidR="001C1BED" w:rsidRPr="00A06FAD">
        <w:t xml:space="preserve">   </w:t>
      </w:r>
    </w:p>
    <w:p w14:paraId="0DA2C954" w14:textId="6694044E" w:rsidR="00F655D7" w:rsidRPr="00A06FAD" w:rsidRDefault="00F655D7" w:rsidP="00922BFD">
      <w:pPr>
        <w:pStyle w:val="SingleTxt"/>
        <w:tabs>
          <w:tab w:val="clear" w:pos="1267"/>
          <w:tab w:val="left" w:pos="1080"/>
          <w:tab w:val="left" w:pos="1620"/>
        </w:tabs>
        <w:ind w:left="0" w:right="1030"/>
        <w:rPr>
          <w:sz w:val="28"/>
          <w:szCs w:val="28"/>
        </w:rPr>
        <w:sectPr w:rsidR="00F655D7" w:rsidRPr="00A06FAD" w:rsidSect="00C75E86">
          <w:headerReference w:type="even" r:id="rId14"/>
          <w:headerReference w:type="default" r:id="rId15"/>
          <w:footerReference w:type="even" r:id="rId16"/>
          <w:footerReference w:type="default" r:id="rId17"/>
          <w:type w:val="continuous"/>
          <w:pgSz w:w="12240" w:h="15840" w:code="1"/>
          <w:pgMar w:top="1742" w:right="1021" w:bottom="1620" w:left="1021" w:header="576" w:footer="1037" w:gutter="0"/>
          <w:pgNumType w:start="1"/>
          <w:cols w:space="720"/>
          <w:noEndnote/>
          <w:titlePg/>
        </w:sectPr>
      </w:pPr>
    </w:p>
    <w:p w14:paraId="3912500B" w14:textId="77777777" w:rsidR="00E14541" w:rsidRPr="00A06FAD" w:rsidRDefault="00F655D7" w:rsidP="00823AC6">
      <w:pPr>
        <w:pStyle w:val="HCh"/>
        <w:spacing w:after="120"/>
        <w:ind w:left="-900" w:right="-579" w:firstLine="90"/>
        <w:jc w:val="both"/>
        <w:rPr>
          <w:sz w:val="24"/>
          <w:szCs w:val="24"/>
        </w:rPr>
      </w:pPr>
      <w:r w:rsidRPr="00A06FAD">
        <w:rPr>
          <w:sz w:val="24"/>
          <w:szCs w:val="24"/>
        </w:rPr>
        <w:t>Annex</w:t>
      </w:r>
      <w:r w:rsidR="00672645" w:rsidRPr="00A06FAD">
        <w:rPr>
          <w:sz w:val="24"/>
          <w:szCs w:val="24"/>
        </w:rPr>
        <w:t xml:space="preserve">. </w:t>
      </w:r>
      <w:r w:rsidR="007F1CFC" w:rsidRPr="00A06FAD">
        <w:rPr>
          <w:sz w:val="24"/>
          <w:szCs w:val="24"/>
        </w:rPr>
        <w:t xml:space="preserve">Key </w:t>
      </w:r>
      <w:r w:rsidR="00B96A9F" w:rsidRPr="00A06FAD">
        <w:rPr>
          <w:sz w:val="24"/>
          <w:szCs w:val="24"/>
        </w:rPr>
        <w:t xml:space="preserve">evaluation </w:t>
      </w:r>
      <w:r w:rsidR="00672645" w:rsidRPr="00A06FAD">
        <w:rPr>
          <w:sz w:val="24"/>
          <w:szCs w:val="24"/>
        </w:rPr>
        <w:t xml:space="preserve">recommendations </w:t>
      </w:r>
      <w:r w:rsidR="007F1CFC" w:rsidRPr="00A06FAD">
        <w:rPr>
          <w:sz w:val="24"/>
          <w:szCs w:val="24"/>
        </w:rPr>
        <w:t xml:space="preserve">and </w:t>
      </w:r>
      <w:r w:rsidR="004615E9" w:rsidRPr="00A06FAD">
        <w:rPr>
          <w:sz w:val="24"/>
          <w:szCs w:val="24"/>
        </w:rPr>
        <w:t xml:space="preserve">UNDP </w:t>
      </w:r>
      <w:r w:rsidR="00672645" w:rsidRPr="00A06FAD">
        <w:rPr>
          <w:sz w:val="24"/>
          <w:szCs w:val="24"/>
        </w:rPr>
        <w:t>management response</w:t>
      </w:r>
    </w:p>
    <w:tbl>
      <w:tblPr>
        <w:tblW w:w="1442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1350"/>
        <w:gridCol w:w="3060"/>
        <w:gridCol w:w="1170"/>
        <w:gridCol w:w="1193"/>
      </w:tblGrid>
      <w:tr w:rsidR="00F20A98" w:rsidRPr="00A06FAD" w14:paraId="72C59966" w14:textId="77777777" w:rsidTr="007164D2">
        <w:tc>
          <w:tcPr>
            <w:tcW w:w="14423" w:type="dxa"/>
            <w:gridSpan w:val="5"/>
            <w:tcBorders>
              <w:bottom w:val="single" w:sz="4" w:space="0" w:color="auto"/>
            </w:tcBorders>
            <w:shd w:val="clear" w:color="auto" w:fill="E6E6E6"/>
          </w:tcPr>
          <w:p w14:paraId="16E1E2C7" w14:textId="022C0B84" w:rsidR="00C8467F" w:rsidRPr="00A06FAD" w:rsidRDefault="00353467" w:rsidP="007921C9">
            <w:pPr>
              <w:pStyle w:val="normal2"/>
              <w:numPr>
                <w:ilvl w:val="0"/>
                <w:numId w:val="0"/>
              </w:numPr>
              <w:spacing w:before="60" w:after="60"/>
              <w:rPr>
                <w:b/>
              </w:rPr>
            </w:pPr>
            <w:r w:rsidRPr="00A06FAD">
              <w:rPr>
                <w:b/>
                <w:i/>
              </w:rPr>
              <w:t>Recommendation 1.</w:t>
            </w:r>
            <w:r w:rsidRPr="00A06FAD">
              <w:rPr>
                <w:b/>
              </w:rPr>
              <w:t xml:space="preserve"> </w:t>
            </w:r>
            <w:r w:rsidR="001168EC" w:rsidRPr="00A06FAD">
              <w:rPr>
                <w:b/>
              </w:rPr>
              <w:t>Prioritize support to addressing corruption risks to development. Develop an anti-corruption programme strategy that more explicitly links the UNDP anti-corruption approach to other development programming.</w:t>
            </w:r>
          </w:p>
        </w:tc>
      </w:tr>
      <w:tr w:rsidR="00F20A98" w:rsidRPr="00A06FAD" w14:paraId="0C25EC03" w14:textId="77777777" w:rsidTr="007164D2">
        <w:tc>
          <w:tcPr>
            <w:tcW w:w="14423" w:type="dxa"/>
            <w:gridSpan w:val="5"/>
            <w:shd w:val="clear" w:color="auto" w:fill="F3F3F3"/>
          </w:tcPr>
          <w:p w14:paraId="498D46EB" w14:textId="41589408" w:rsidR="00426687" w:rsidRPr="00A06FAD" w:rsidRDefault="00F20A98" w:rsidP="00C24A28">
            <w:pPr>
              <w:tabs>
                <w:tab w:val="left" w:pos="2880"/>
              </w:tabs>
              <w:spacing w:before="60" w:after="120"/>
              <w:ind w:right="461"/>
              <w:rPr>
                <w:lang w:val="en-GB"/>
              </w:rPr>
            </w:pPr>
            <w:r w:rsidRPr="00A06FAD">
              <w:rPr>
                <w:b/>
                <w:sz w:val="20"/>
                <w:szCs w:val="20"/>
                <w:lang w:val="en-GB"/>
              </w:rPr>
              <w:t>Management response</w:t>
            </w:r>
            <w:r w:rsidR="000442F7" w:rsidRPr="00A06FAD">
              <w:rPr>
                <w:b/>
                <w:sz w:val="20"/>
                <w:szCs w:val="20"/>
                <w:lang w:val="en-GB"/>
              </w:rPr>
              <w:t xml:space="preserve">: </w:t>
            </w:r>
            <w:r w:rsidRPr="00A06FAD">
              <w:rPr>
                <w:w w:val="103"/>
                <w:sz w:val="20"/>
                <w:szCs w:val="20"/>
                <w:lang w:val="en-GB"/>
              </w:rPr>
              <w:t xml:space="preserve">UNDP management agrees that </w:t>
            </w:r>
            <w:r w:rsidR="006013F0" w:rsidRPr="00A06FAD">
              <w:rPr>
                <w:w w:val="103"/>
                <w:sz w:val="20"/>
                <w:szCs w:val="20"/>
                <w:lang w:val="en-GB"/>
              </w:rPr>
              <w:t xml:space="preserve">the organization </w:t>
            </w:r>
            <w:r w:rsidRPr="00A06FAD">
              <w:rPr>
                <w:w w:val="103"/>
                <w:sz w:val="20"/>
                <w:szCs w:val="20"/>
                <w:lang w:val="en-GB"/>
              </w:rPr>
              <w:t xml:space="preserve">should </w:t>
            </w:r>
            <w:r w:rsidR="00297C5B" w:rsidRPr="00A06FAD">
              <w:rPr>
                <w:w w:val="103"/>
                <w:sz w:val="20"/>
                <w:szCs w:val="20"/>
                <w:lang w:val="en-GB"/>
              </w:rPr>
              <w:t xml:space="preserve">prioritize </w:t>
            </w:r>
            <w:r w:rsidRPr="00A06FAD">
              <w:rPr>
                <w:w w:val="103"/>
                <w:sz w:val="20"/>
                <w:szCs w:val="20"/>
                <w:lang w:val="en-GB"/>
              </w:rPr>
              <w:t xml:space="preserve">support </w:t>
            </w:r>
            <w:r w:rsidR="00297C5B" w:rsidRPr="00A06FAD">
              <w:rPr>
                <w:w w:val="103"/>
                <w:sz w:val="20"/>
                <w:szCs w:val="20"/>
                <w:lang w:val="en-GB"/>
              </w:rPr>
              <w:t xml:space="preserve">to addressing corruption risks to development. </w:t>
            </w:r>
            <w:r w:rsidRPr="00A06FAD">
              <w:rPr>
                <w:w w:val="103"/>
                <w:sz w:val="20"/>
                <w:szCs w:val="20"/>
                <w:lang w:val="en-GB"/>
              </w:rPr>
              <w:t xml:space="preserve">UNDP management will </w:t>
            </w:r>
            <w:r w:rsidR="00297C5B" w:rsidRPr="00A06FAD">
              <w:rPr>
                <w:w w:val="103"/>
                <w:sz w:val="20"/>
                <w:szCs w:val="20"/>
                <w:lang w:val="en-GB"/>
              </w:rPr>
              <w:t xml:space="preserve">ensure that this is </w:t>
            </w:r>
            <w:r w:rsidR="006A3660" w:rsidRPr="00A06FAD">
              <w:rPr>
                <w:w w:val="103"/>
                <w:sz w:val="20"/>
                <w:szCs w:val="20"/>
                <w:lang w:val="en-GB"/>
              </w:rPr>
              <w:t xml:space="preserve">taken into full consideration </w:t>
            </w:r>
            <w:r w:rsidR="00297C5B" w:rsidRPr="00A06FAD">
              <w:rPr>
                <w:w w:val="103"/>
                <w:sz w:val="20"/>
                <w:szCs w:val="20"/>
                <w:lang w:val="en-GB"/>
              </w:rPr>
              <w:t xml:space="preserve">in </w:t>
            </w:r>
            <w:r w:rsidR="006A3660" w:rsidRPr="00A06FAD">
              <w:rPr>
                <w:w w:val="103"/>
                <w:sz w:val="20"/>
                <w:szCs w:val="20"/>
                <w:lang w:val="en-GB"/>
              </w:rPr>
              <w:t xml:space="preserve">developing </w:t>
            </w:r>
            <w:r w:rsidR="00297C5B" w:rsidRPr="00A06FAD">
              <w:rPr>
                <w:w w:val="103"/>
                <w:sz w:val="20"/>
                <w:szCs w:val="20"/>
                <w:lang w:val="en-GB"/>
              </w:rPr>
              <w:t xml:space="preserve">the draft of the next </w:t>
            </w:r>
            <w:r w:rsidR="00916E52" w:rsidRPr="00A06FAD">
              <w:rPr>
                <w:w w:val="103"/>
                <w:sz w:val="20"/>
                <w:szCs w:val="20"/>
                <w:lang w:val="en-GB"/>
              </w:rPr>
              <w:t>s</w:t>
            </w:r>
            <w:r w:rsidR="00297C5B" w:rsidRPr="00A06FAD">
              <w:rPr>
                <w:w w:val="103"/>
                <w:sz w:val="20"/>
                <w:szCs w:val="20"/>
                <w:lang w:val="en-GB"/>
              </w:rPr>
              <w:t xml:space="preserve">trategic </w:t>
            </w:r>
            <w:r w:rsidR="00916E52" w:rsidRPr="00A06FAD">
              <w:rPr>
                <w:w w:val="103"/>
                <w:sz w:val="20"/>
                <w:szCs w:val="20"/>
                <w:lang w:val="en-GB"/>
              </w:rPr>
              <w:t>p</w:t>
            </w:r>
            <w:r w:rsidR="00297C5B" w:rsidRPr="00A06FAD">
              <w:rPr>
                <w:w w:val="103"/>
                <w:sz w:val="20"/>
                <w:szCs w:val="20"/>
                <w:lang w:val="en-GB"/>
              </w:rPr>
              <w:t>lan</w:t>
            </w:r>
            <w:r w:rsidR="00916E52" w:rsidRPr="00A06FAD">
              <w:rPr>
                <w:w w:val="103"/>
                <w:sz w:val="20"/>
                <w:szCs w:val="20"/>
                <w:lang w:val="en-GB"/>
              </w:rPr>
              <w:t>, 2018-2021</w:t>
            </w:r>
            <w:r w:rsidR="00297C5B" w:rsidRPr="00A06FAD">
              <w:rPr>
                <w:w w:val="103"/>
                <w:sz w:val="20"/>
                <w:szCs w:val="20"/>
                <w:lang w:val="en-GB"/>
              </w:rPr>
              <w:t>.</w:t>
            </w:r>
            <w:r w:rsidRPr="00A06FAD">
              <w:rPr>
                <w:w w:val="103"/>
                <w:sz w:val="20"/>
                <w:szCs w:val="20"/>
                <w:lang w:val="en-GB"/>
              </w:rPr>
              <w:t xml:space="preserve"> </w:t>
            </w:r>
            <w:r w:rsidR="00916E52" w:rsidRPr="00A06FAD">
              <w:rPr>
                <w:w w:val="103"/>
                <w:sz w:val="20"/>
                <w:szCs w:val="20"/>
                <w:lang w:val="en-GB"/>
              </w:rPr>
              <w:t>The</w:t>
            </w:r>
            <w:r w:rsidR="00FA3C48" w:rsidRPr="00A06FAD">
              <w:rPr>
                <w:w w:val="103"/>
                <w:sz w:val="20"/>
                <w:szCs w:val="20"/>
                <w:lang w:val="en-GB"/>
              </w:rPr>
              <w:t xml:space="preserve"> </w:t>
            </w:r>
            <w:r w:rsidR="00656BB2" w:rsidRPr="00A06FAD">
              <w:rPr>
                <w:w w:val="103"/>
                <w:sz w:val="20"/>
                <w:szCs w:val="20"/>
                <w:lang w:val="en-GB"/>
              </w:rPr>
              <w:t xml:space="preserve">UNDP </w:t>
            </w:r>
            <w:r w:rsidR="00916E52" w:rsidRPr="00A06FAD">
              <w:rPr>
                <w:w w:val="103"/>
                <w:sz w:val="20"/>
                <w:szCs w:val="20"/>
                <w:lang w:val="en-GB"/>
              </w:rPr>
              <w:t>p</w:t>
            </w:r>
            <w:r w:rsidR="00656BB2" w:rsidRPr="00A06FAD">
              <w:rPr>
                <w:w w:val="103"/>
                <w:sz w:val="20"/>
                <w:szCs w:val="20"/>
                <w:lang w:val="en-GB"/>
              </w:rPr>
              <w:t xml:space="preserve">rogramme on </w:t>
            </w:r>
            <w:r w:rsidR="00916E52" w:rsidRPr="00A06FAD">
              <w:rPr>
                <w:w w:val="103"/>
                <w:sz w:val="20"/>
                <w:szCs w:val="20"/>
                <w:lang w:val="en-GB"/>
              </w:rPr>
              <w:t>a</w:t>
            </w:r>
            <w:r w:rsidR="00656BB2" w:rsidRPr="00A06FAD">
              <w:rPr>
                <w:w w:val="103"/>
                <w:sz w:val="20"/>
                <w:szCs w:val="20"/>
                <w:lang w:val="en-GB"/>
              </w:rPr>
              <w:t xml:space="preserve">nti-corruption for </w:t>
            </w:r>
            <w:r w:rsidR="00916E52" w:rsidRPr="00A06FAD">
              <w:rPr>
                <w:w w:val="103"/>
                <w:sz w:val="20"/>
                <w:szCs w:val="20"/>
                <w:lang w:val="en-GB"/>
              </w:rPr>
              <w:t>d</w:t>
            </w:r>
            <w:r w:rsidR="00656BB2" w:rsidRPr="00A06FAD">
              <w:rPr>
                <w:w w:val="103"/>
                <w:sz w:val="20"/>
                <w:szCs w:val="20"/>
                <w:lang w:val="en-GB"/>
              </w:rPr>
              <w:t xml:space="preserve">evelopment </w:t>
            </w:r>
            <w:r w:rsidR="009156D7" w:rsidRPr="00A06FAD">
              <w:rPr>
                <w:w w:val="103"/>
                <w:sz w:val="20"/>
                <w:szCs w:val="20"/>
                <w:lang w:val="en-GB"/>
              </w:rPr>
              <w:t>was the first to link anti-corruption with development. L</w:t>
            </w:r>
            <w:r w:rsidR="00FA3C48" w:rsidRPr="00A06FAD">
              <w:rPr>
                <w:w w:val="103"/>
                <w:sz w:val="20"/>
                <w:szCs w:val="20"/>
                <w:lang w:val="en-GB"/>
              </w:rPr>
              <w:t>ea</w:t>
            </w:r>
            <w:r w:rsidR="00C24A28">
              <w:rPr>
                <w:w w:val="103"/>
                <w:sz w:val="20"/>
                <w:szCs w:val="20"/>
                <w:lang w:val="en-GB"/>
              </w:rPr>
              <w:t>r</w:t>
            </w:r>
            <w:r w:rsidR="00FA3C48" w:rsidRPr="00A06FAD">
              <w:rPr>
                <w:w w:val="103"/>
                <w:sz w:val="20"/>
                <w:szCs w:val="20"/>
                <w:lang w:val="en-GB"/>
              </w:rPr>
              <w:t xml:space="preserve">ning from the implementation of the </w:t>
            </w:r>
            <w:r w:rsidR="00C24A28">
              <w:rPr>
                <w:w w:val="103"/>
                <w:sz w:val="20"/>
                <w:szCs w:val="20"/>
                <w:lang w:val="en-GB"/>
              </w:rPr>
              <w:t>Millennium Development Goals (</w:t>
            </w:r>
            <w:r w:rsidR="00FA3C48" w:rsidRPr="00A06FAD">
              <w:rPr>
                <w:w w:val="103"/>
                <w:sz w:val="20"/>
                <w:szCs w:val="20"/>
                <w:lang w:val="en-GB"/>
              </w:rPr>
              <w:t>MDG</w:t>
            </w:r>
            <w:r w:rsidR="00C24A28">
              <w:rPr>
                <w:w w:val="103"/>
                <w:sz w:val="20"/>
                <w:szCs w:val="20"/>
                <w:lang w:val="en-GB"/>
              </w:rPr>
              <w:t>)</w:t>
            </w:r>
            <w:r w:rsidR="00FA3C48" w:rsidRPr="00A06FAD">
              <w:rPr>
                <w:w w:val="103"/>
                <w:sz w:val="20"/>
                <w:szCs w:val="20"/>
                <w:lang w:val="en-GB"/>
              </w:rPr>
              <w:t xml:space="preserve"> </w:t>
            </w:r>
            <w:r w:rsidR="00590603" w:rsidRPr="00A06FAD">
              <w:rPr>
                <w:w w:val="103"/>
                <w:sz w:val="20"/>
                <w:szCs w:val="20"/>
                <w:lang w:val="en-GB"/>
              </w:rPr>
              <w:t>a</w:t>
            </w:r>
            <w:r w:rsidR="00FA3C48" w:rsidRPr="00A06FAD">
              <w:rPr>
                <w:w w:val="103"/>
                <w:sz w:val="20"/>
                <w:szCs w:val="20"/>
                <w:lang w:val="en-GB"/>
              </w:rPr>
              <w:t xml:space="preserve">cceleration </w:t>
            </w:r>
            <w:r w:rsidR="00590603" w:rsidRPr="00A06FAD">
              <w:rPr>
                <w:w w:val="103"/>
                <w:sz w:val="20"/>
                <w:szCs w:val="20"/>
                <w:lang w:val="en-GB"/>
              </w:rPr>
              <w:t>f</w:t>
            </w:r>
            <w:r w:rsidR="00FA3C48" w:rsidRPr="00A06FAD">
              <w:rPr>
                <w:w w:val="103"/>
                <w:sz w:val="20"/>
                <w:szCs w:val="20"/>
                <w:lang w:val="en-GB"/>
              </w:rPr>
              <w:t xml:space="preserve">ramework in </w:t>
            </w:r>
            <w:r w:rsidR="00656BB2" w:rsidRPr="00A06FAD">
              <w:rPr>
                <w:w w:val="103"/>
                <w:sz w:val="20"/>
                <w:szCs w:val="20"/>
                <w:lang w:val="en-GB"/>
              </w:rPr>
              <w:t>m</w:t>
            </w:r>
            <w:r w:rsidR="00FA3C48" w:rsidRPr="00A06FAD">
              <w:rPr>
                <w:w w:val="103"/>
                <w:sz w:val="20"/>
                <w:szCs w:val="20"/>
                <w:lang w:val="en-GB"/>
              </w:rPr>
              <w:t>any countries, UNDP is identifying governance and corruption-related bottlenecks in service delivery. UNDP global, regional and country</w:t>
            </w:r>
            <w:r w:rsidR="00916E52" w:rsidRPr="00A06FAD">
              <w:rPr>
                <w:w w:val="103"/>
                <w:sz w:val="20"/>
                <w:szCs w:val="20"/>
                <w:lang w:val="en-GB"/>
              </w:rPr>
              <w:t>-</w:t>
            </w:r>
            <w:r w:rsidR="00FA3C48" w:rsidRPr="00A06FAD">
              <w:rPr>
                <w:w w:val="103"/>
                <w:sz w:val="20"/>
                <w:szCs w:val="20"/>
                <w:lang w:val="en-GB"/>
              </w:rPr>
              <w:t>level governance and anti-corruption programmes are implementing</w:t>
            </w:r>
            <w:r w:rsidR="000718E5" w:rsidRPr="00A06FAD">
              <w:rPr>
                <w:w w:val="103"/>
                <w:sz w:val="20"/>
                <w:szCs w:val="20"/>
                <w:lang w:val="en-GB"/>
              </w:rPr>
              <w:t xml:space="preserve"> projects</w:t>
            </w:r>
            <w:r w:rsidR="00916E52" w:rsidRPr="00A06FAD">
              <w:rPr>
                <w:w w:val="103"/>
                <w:sz w:val="20"/>
                <w:szCs w:val="20"/>
                <w:lang w:val="en-GB"/>
              </w:rPr>
              <w:t xml:space="preserve"> that seek</w:t>
            </w:r>
            <w:r w:rsidR="00FA3C48" w:rsidRPr="00A06FAD">
              <w:rPr>
                <w:w w:val="103"/>
                <w:sz w:val="20"/>
                <w:szCs w:val="20"/>
                <w:lang w:val="en-GB"/>
              </w:rPr>
              <w:t xml:space="preserve"> to identify corruption risk assessment</w:t>
            </w:r>
            <w:r w:rsidR="00916E52" w:rsidRPr="00A06FAD">
              <w:rPr>
                <w:w w:val="103"/>
                <w:sz w:val="20"/>
                <w:szCs w:val="20"/>
                <w:lang w:val="en-GB"/>
              </w:rPr>
              <w:t>s</w:t>
            </w:r>
            <w:r w:rsidR="00FA3C48" w:rsidRPr="00A06FAD">
              <w:rPr>
                <w:w w:val="103"/>
                <w:sz w:val="20"/>
                <w:szCs w:val="20"/>
                <w:lang w:val="en-GB"/>
              </w:rPr>
              <w:t xml:space="preserve"> </w:t>
            </w:r>
            <w:r w:rsidR="000718E5" w:rsidRPr="00A06FAD">
              <w:rPr>
                <w:w w:val="103"/>
                <w:sz w:val="20"/>
                <w:szCs w:val="20"/>
                <w:lang w:val="en-GB"/>
              </w:rPr>
              <w:t xml:space="preserve">in </w:t>
            </w:r>
            <w:r w:rsidR="00916E52" w:rsidRPr="00A06FAD">
              <w:rPr>
                <w:w w:val="103"/>
                <w:sz w:val="20"/>
                <w:szCs w:val="20"/>
                <w:lang w:val="en-GB"/>
              </w:rPr>
              <w:t xml:space="preserve">the </w:t>
            </w:r>
            <w:r w:rsidR="000718E5" w:rsidRPr="00A06FAD">
              <w:rPr>
                <w:w w:val="103"/>
                <w:sz w:val="20"/>
                <w:szCs w:val="20"/>
                <w:lang w:val="en-GB"/>
              </w:rPr>
              <w:t>health, education and water sectors in order to contribute to national development outcomes</w:t>
            </w:r>
            <w:r w:rsidR="00BC0CC8" w:rsidRPr="00A06FAD">
              <w:rPr>
                <w:sz w:val="20"/>
                <w:szCs w:val="20"/>
                <w:lang w:val="en-GB"/>
              </w:rPr>
              <w:t xml:space="preserve">. </w:t>
            </w:r>
            <w:r w:rsidR="009156D7" w:rsidRPr="00A06FAD">
              <w:rPr>
                <w:sz w:val="20"/>
                <w:szCs w:val="20"/>
                <w:lang w:val="en-GB"/>
              </w:rPr>
              <w:t xml:space="preserve">With the Seoul Policy </w:t>
            </w:r>
            <w:r w:rsidR="0038075C" w:rsidRPr="00A06FAD">
              <w:rPr>
                <w:sz w:val="20"/>
                <w:szCs w:val="20"/>
                <w:lang w:val="en-GB"/>
              </w:rPr>
              <w:t>Centre</w:t>
            </w:r>
            <w:r w:rsidR="009156D7" w:rsidRPr="00A06FAD">
              <w:rPr>
                <w:sz w:val="20"/>
                <w:szCs w:val="20"/>
                <w:lang w:val="en-GB"/>
              </w:rPr>
              <w:t xml:space="preserve"> we have expanded these risk assessments to the construction sector</w:t>
            </w:r>
            <w:r w:rsidR="00916E52" w:rsidRPr="00A06FAD">
              <w:rPr>
                <w:sz w:val="20"/>
                <w:szCs w:val="20"/>
                <w:lang w:val="en-GB"/>
              </w:rPr>
              <w:t>,</w:t>
            </w:r>
            <w:r w:rsidR="009156D7" w:rsidRPr="00A06FAD">
              <w:rPr>
                <w:sz w:val="20"/>
                <w:szCs w:val="20"/>
                <w:lang w:val="en-GB"/>
              </w:rPr>
              <w:t xml:space="preserve"> and we plan to expand the</w:t>
            </w:r>
            <w:r w:rsidR="00916E52" w:rsidRPr="00A06FAD">
              <w:rPr>
                <w:sz w:val="20"/>
                <w:szCs w:val="20"/>
                <w:lang w:val="en-GB"/>
              </w:rPr>
              <w:t xml:space="preserve">m </w:t>
            </w:r>
            <w:r w:rsidR="009156D7" w:rsidRPr="00A06FAD">
              <w:rPr>
                <w:sz w:val="20"/>
                <w:szCs w:val="20"/>
                <w:lang w:val="en-GB"/>
              </w:rPr>
              <w:t xml:space="preserve">to the justice and security sectors. </w:t>
            </w:r>
          </w:p>
          <w:p w14:paraId="4BE68115" w14:textId="42F5B245" w:rsidR="00D254B0" w:rsidRPr="00A06FAD" w:rsidRDefault="00372BC1" w:rsidP="00C24A28">
            <w:pPr>
              <w:pStyle w:val="normal2"/>
              <w:numPr>
                <w:ilvl w:val="0"/>
                <w:numId w:val="0"/>
              </w:numPr>
              <w:spacing w:before="0" w:after="120"/>
              <w:jc w:val="left"/>
            </w:pPr>
            <w:r w:rsidRPr="00A06FAD">
              <w:t>I</w:t>
            </w:r>
            <w:r w:rsidR="00426687" w:rsidRPr="00A06FAD">
              <w:t xml:space="preserve">n supporting the </w:t>
            </w:r>
            <w:r w:rsidR="00590603" w:rsidRPr="00A06FAD">
              <w:t>sustainable development goals (</w:t>
            </w:r>
            <w:r w:rsidR="00426687" w:rsidRPr="00A06FAD">
              <w:t>SDGs</w:t>
            </w:r>
            <w:r w:rsidR="00590603" w:rsidRPr="00A06FAD">
              <w:t>)</w:t>
            </w:r>
            <w:r w:rsidR="00426687" w:rsidRPr="00A06FAD">
              <w:t xml:space="preserve">, UNDP aims to apply the </w:t>
            </w:r>
            <w:r w:rsidR="00916E52" w:rsidRPr="00A06FAD">
              <w:t>‘m</w:t>
            </w:r>
            <w:r w:rsidR="00426687" w:rsidRPr="00A06FAD">
              <w:t xml:space="preserve">ainstreaming, </w:t>
            </w:r>
            <w:r w:rsidR="00916E52" w:rsidRPr="00A06FAD">
              <w:t>a</w:t>
            </w:r>
            <w:r w:rsidR="00426687" w:rsidRPr="00A06FAD">
              <w:t xml:space="preserve">cceleration and </w:t>
            </w:r>
            <w:r w:rsidR="00916E52" w:rsidRPr="00A06FAD">
              <w:t>p</w:t>
            </w:r>
            <w:r w:rsidR="00426687" w:rsidRPr="00A06FAD">
              <w:t xml:space="preserve">olicy </w:t>
            </w:r>
            <w:r w:rsidR="00916E52" w:rsidRPr="00A06FAD">
              <w:t>s</w:t>
            </w:r>
            <w:r w:rsidR="00426687" w:rsidRPr="00A06FAD">
              <w:t>upport</w:t>
            </w:r>
            <w:r w:rsidR="00916E52" w:rsidRPr="00A06FAD">
              <w:t>’</w:t>
            </w:r>
            <w:r w:rsidR="00426687" w:rsidRPr="00A06FAD">
              <w:t xml:space="preserve"> approach</w:t>
            </w:r>
            <w:r w:rsidR="00C24A28">
              <w:t xml:space="preserve"> (known as ‘MAPS’)</w:t>
            </w:r>
            <w:r w:rsidR="00426687" w:rsidRPr="00A06FAD">
              <w:t>, which is the common strategy approved by the United Nations Development Group (UNDG) to ensure effective</w:t>
            </w:r>
            <w:r w:rsidR="00916E52" w:rsidRPr="00A06FAD">
              <w:t>,</w:t>
            </w:r>
            <w:r w:rsidR="00426687" w:rsidRPr="00A06FAD">
              <w:t xml:space="preserve"> coherent implementation of the SDG agenda. </w:t>
            </w:r>
            <w:r w:rsidR="00C24A28">
              <w:t>This should</w:t>
            </w:r>
            <w:r w:rsidR="00426687" w:rsidRPr="00A06FAD">
              <w:t xml:space="preserve"> ensure that various targets under </w:t>
            </w:r>
            <w:r w:rsidR="00916E52" w:rsidRPr="00A06FAD">
              <w:t>g</w:t>
            </w:r>
            <w:r w:rsidR="00426687" w:rsidRPr="00A06FAD">
              <w:t>oal 16 are integrated into national plans, strategies and budgets</w:t>
            </w:r>
            <w:r w:rsidR="00916E52" w:rsidRPr="00A06FAD">
              <w:t>,</w:t>
            </w:r>
            <w:r w:rsidR="00426687" w:rsidRPr="00A06FAD">
              <w:t xml:space="preserve"> including through a sectoral approach, social accountability initiatives, and the mainstreaming of </w:t>
            </w:r>
            <w:r w:rsidRPr="00A06FAD">
              <w:t>the United Nations Convention Against Corruption</w:t>
            </w:r>
            <w:r w:rsidRPr="00A06FAD" w:rsidDel="00372BC1">
              <w:t xml:space="preserve"> </w:t>
            </w:r>
            <w:r w:rsidR="00426687" w:rsidRPr="00A06FAD">
              <w:t>into the development processes. Acceleration will be supported by the use and further elaboration of tools</w:t>
            </w:r>
            <w:r w:rsidR="00916E52" w:rsidRPr="00A06FAD">
              <w:t xml:space="preserve"> and</w:t>
            </w:r>
            <w:r w:rsidR="00426687" w:rsidRPr="00A06FAD">
              <w:t xml:space="preserve"> methodologies</w:t>
            </w:r>
            <w:r w:rsidR="009156D7" w:rsidRPr="00A06FAD">
              <w:t xml:space="preserve"> (including </w:t>
            </w:r>
            <w:r w:rsidR="00426687" w:rsidRPr="00A06FAD">
              <w:t>risk assessment</w:t>
            </w:r>
            <w:r w:rsidR="009156D7" w:rsidRPr="00A06FAD">
              <w:t xml:space="preserve"> tools) </w:t>
            </w:r>
            <w:r w:rsidR="00426687" w:rsidRPr="00A06FAD">
              <w:t xml:space="preserve">to identify critical constraints and </w:t>
            </w:r>
            <w:r w:rsidR="009156D7" w:rsidRPr="00A06FAD">
              <w:t xml:space="preserve">governance or other </w:t>
            </w:r>
            <w:r w:rsidR="00426687" w:rsidRPr="00A06FAD">
              <w:t xml:space="preserve">bottlenecks </w:t>
            </w:r>
            <w:r w:rsidR="009156D7" w:rsidRPr="00A06FAD">
              <w:t>(including</w:t>
            </w:r>
            <w:r w:rsidR="00426687" w:rsidRPr="00A06FAD">
              <w:t xml:space="preserve"> </w:t>
            </w:r>
            <w:r w:rsidR="00916E52" w:rsidRPr="00A06FAD">
              <w:t xml:space="preserve">in </w:t>
            </w:r>
            <w:r w:rsidR="00426687" w:rsidRPr="00A06FAD">
              <w:t>anti-corruption</w:t>
            </w:r>
            <w:r w:rsidR="009156D7" w:rsidRPr="00A06FAD">
              <w:t>)</w:t>
            </w:r>
            <w:r w:rsidR="00426687" w:rsidRPr="00A06FAD">
              <w:t xml:space="preserve">. UNDP will provide coordinated </w:t>
            </w:r>
            <w:r w:rsidR="00916E52" w:rsidRPr="00A06FAD">
              <w:t>p</w:t>
            </w:r>
            <w:r w:rsidR="00426687" w:rsidRPr="00A06FAD">
              <w:t xml:space="preserve">olicy </w:t>
            </w:r>
            <w:r w:rsidR="00916E52" w:rsidRPr="00A06FAD">
              <w:t>s</w:t>
            </w:r>
            <w:r w:rsidR="00426687" w:rsidRPr="00A06FAD">
              <w:t xml:space="preserve">upport to countries that will be involved in project implementation, through UNDP global and regional advisers in coordination with UNODC and other partners, particularly in the implementation and mainstreaming of </w:t>
            </w:r>
            <w:r w:rsidR="00916E52" w:rsidRPr="00A06FAD">
              <w:t>g</w:t>
            </w:r>
            <w:r w:rsidR="00426687" w:rsidRPr="00A06FAD">
              <w:t>oal 16 and its targets.</w:t>
            </w:r>
            <w:r w:rsidR="00BC0CC8" w:rsidRPr="00A06FAD">
              <w:t xml:space="preserve"> UNDP is prioritizing </w:t>
            </w:r>
            <w:r w:rsidR="00916E52" w:rsidRPr="00A06FAD">
              <w:t>‘</w:t>
            </w:r>
            <w:r w:rsidR="00BC0CC8" w:rsidRPr="00A06FAD">
              <w:t>clean construction</w:t>
            </w:r>
            <w:r w:rsidR="00916E52" w:rsidRPr="00A06FAD">
              <w:t>’</w:t>
            </w:r>
            <w:r w:rsidR="00BC0CC8" w:rsidRPr="00A06FAD">
              <w:t xml:space="preserve"> and </w:t>
            </w:r>
            <w:r w:rsidR="00916E52" w:rsidRPr="00A06FAD">
              <w:t>‘</w:t>
            </w:r>
            <w:r w:rsidR="00BC0CC8" w:rsidRPr="00A06FAD">
              <w:t>e-procurement</w:t>
            </w:r>
            <w:r w:rsidR="00916E52" w:rsidRPr="00A06FAD">
              <w:t>’</w:t>
            </w:r>
            <w:r w:rsidR="00BC0CC8" w:rsidRPr="00A06FAD">
              <w:t xml:space="preserve"> as an anti-corruption contribution to other goals</w:t>
            </w:r>
            <w:r w:rsidR="00916E52" w:rsidRPr="00A06FAD">
              <w:t>,</w:t>
            </w:r>
            <w:r w:rsidR="00BC0CC8" w:rsidRPr="00A06FAD">
              <w:t xml:space="preserve"> such as </w:t>
            </w:r>
            <w:r w:rsidR="00916E52" w:rsidRPr="00A06FAD">
              <w:t>g</w:t>
            </w:r>
            <w:r w:rsidR="00BC0CC8" w:rsidRPr="00A06FAD">
              <w:t>oal 9 on infrastructure.</w:t>
            </w:r>
            <w:r w:rsidR="00AB0E4A" w:rsidRPr="00A06FAD">
              <w:t xml:space="preserve"> UNDP has started developing and rolling out a support package to integrate anti-corruption in the Global Fund</w:t>
            </w:r>
            <w:r w:rsidR="009156D7" w:rsidRPr="00A06FAD">
              <w:t xml:space="preserve"> </w:t>
            </w:r>
            <w:r w:rsidR="00916E52" w:rsidRPr="00A06FAD">
              <w:t>to Fight AIDS, Tuberculosis and Malaria</w:t>
            </w:r>
            <w:r w:rsidR="00AB0E4A" w:rsidRPr="00A06FAD">
              <w:t xml:space="preserve"> (in Ukraine and Nigeria</w:t>
            </w:r>
            <w:r w:rsidR="00916E52" w:rsidRPr="00A06FAD">
              <w:t>, for example</w:t>
            </w:r>
            <w:r w:rsidR="00AB0E4A" w:rsidRPr="00A06FAD">
              <w:t>).</w:t>
            </w:r>
          </w:p>
          <w:p w14:paraId="1905BCBA" w14:textId="4433FA3C" w:rsidR="00FA3C48" w:rsidRPr="00A06FAD" w:rsidRDefault="00A06FAD" w:rsidP="00C24A28">
            <w:pPr>
              <w:pStyle w:val="normal2"/>
              <w:numPr>
                <w:ilvl w:val="0"/>
                <w:numId w:val="0"/>
              </w:numPr>
              <w:spacing w:before="0" w:after="120"/>
              <w:jc w:val="left"/>
            </w:pPr>
            <w:r w:rsidRPr="00A06FAD">
              <w:t>As</w:t>
            </w:r>
            <w:r w:rsidR="004E4DDC" w:rsidRPr="00A06FAD">
              <w:t xml:space="preserve"> Chair of the UNDG and coordinator of the U</w:t>
            </w:r>
            <w:r w:rsidRPr="00A06FAD">
              <w:t>nited Nations</w:t>
            </w:r>
            <w:r w:rsidR="004E4DDC" w:rsidRPr="00A06FAD">
              <w:t xml:space="preserve"> resident </w:t>
            </w:r>
            <w:r w:rsidRPr="00A06FAD">
              <w:t xml:space="preserve">coordinator </w:t>
            </w:r>
            <w:r w:rsidR="004E4DDC" w:rsidRPr="00A06FAD">
              <w:t xml:space="preserve">system, </w:t>
            </w:r>
            <w:r w:rsidRPr="00A06FAD">
              <w:t xml:space="preserve">UNDP </w:t>
            </w:r>
            <w:r w:rsidR="004E4DDC" w:rsidRPr="00A06FAD">
              <w:t xml:space="preserve">is coordinating with </w:t>
            </w:r>
            <w:r w:rsidRPr="00A06FAD">
              <w:t>nine other United Nations organizations</w:t>
            </w:r>
            <w:r w:rsidR="004E4DDC" w:rsidRPr="00A06FAD">
              <w:t xml:space="preserve"> to provide training to field staff on integrating anti-corruption in</w:t>
            </w:r>
            <w:r w:rsidRPr="00A06FAD">
              <w:t>to</w:t>
            </w:r>
            <w:r w:rsidR="004E4DDC" w:rsidRPr="00A06FAD">
              <w:t xml:space="preserve"> U</w:t>
            </w:r>
            <w:r w:rsidRPr="00A06FAD">
              <w:t>nited Nations</w:t>
            </w:r>
            <w:r w:rsidR="004E4DDC" w:rsidRPr="00A06FAD">
              <w:t xml:space="preserve"> </w:t>
            </w:r>
            <w:r w:rsidR="00DD6B86" w:rsidRPr="00A06FAD">
              <w:t>programming processes such as the United Nations Development Assistance Framework (UNDAF). UNDP</w:t>
            </w:r>
            <w:r w:rsidRPr="00A06FAD">
              <w:t>,</w:t>
            </w:r>
            <w:r w:rsidR="00DD6B86" w:rsidRPr="00A06FAD">
              <w:t xml:space="preserve"> with other Un</w:t>
            </w:r>
            <w:r w:rsidRPr="00A06FAD">
              <w:t>ited Nations partners,</w:t>
            </w:r>
            <w:r w:rsidR="00DD6B86" w:rsidRPr="00A06FAD">
              <w:t xml:space="preserve"> aims to integrate anti-corruption in</w:t>
            </w:r>
            <w:r w:rsidRPr="00A06FAD">
              <w:t>to</w:t>
            </w:r>
            <w:r w:rsidR="00DD6B86" w:rsidRPr="00A06FAD">
              <w:t xml:space="preserve"> national plans and development processes</w:t>
            </w:r>
            <w:r w:rsidRPr="00A06FAD">
              <w:t>,</w:t>
            </w:r>
            <w:r w:rsidR="00DD6B86" w:rsidRPr="00A06FAD">
              <w:t xml:space="preserve"> including those related to the SDGs through UNDAFs and other country</w:t>
            </w:r>
            <w:r w:rsidRPr="00A06FAD">
              <w:t>-</w:t>
            </w:r>
            <w:r w:rsidR="00DD6B86" w:rsidRPr="00A06FAD">
              <w:t>level U</w:t>
            </w:r>
            <w:r w:rsidRPr="00A06FAD">
              <w:t>nited Nations</w:t>
            </w:r>
            <w:r w:rsidR="00DD6B86" w:rsidRPr="00A06FAD">
              <w:t xml:space="preserve"> programmes</w:t>
            </w:r>
            <w:r w:rsidRPr="00A06FAD">
              <w:t xml:space="preserve"> and </w:t>
            </w:r>
            <w:r w:rsidR="00DD6B86" w:rsidRPr="00A06FAD">
              <w:t xml:space="preserve">projects.  </w:t>
            </w:r>
          </w:p>
        </w:tc>
      </w:tr>
      <w:tr w:rsidR="00F20A98" w:rsidRPr="00A06FAD" w14:paraId="7F7B8564" w14:textId="77777777" w:rsidTr="007164D2">
        <w:tc>
          <w:tcPr>
            <w:tcW w:w="7650" w:type="dxa"/>
            <w:vMerge w:val="restart"/>
            <w:shd w:val="clear" w:color="auto" w:fill="F3F3F3"/>
          </w:tcPr>
          <w:p w14:paraId="25DBEAA9" w14:textId="77777777" w:rsidR="00F20A98" w:rsidRPr="00A06FAD" w:rsidRDefault="00F20A98" w:rsidP="007921C9">
            <w:pPr>
              <w:tabs>
                <w:tab w:val="left" w:pos="2880"/>
              </w:tabs>
              <w:spacing w:before="60"/>
              <w:jc w:val="center"/>
              <w:rPr>
                <w:b/>
                <w:sz w:val="20"/>
                <w:szCs w:val="20"/>
                <w:lang w:val="en-GB"/>
              </w:rPr>
            </w:pPr>
            <w:r w:rsidRPr="00A06FAD">
              <w:rPr>
                <w:b/>
                <w:sz w:val="20"/>
                <w:szCs w:val="20"/>
                <w:lang w:val="en-GB"/>
              </w:rPr>
              <w:t>Key action(s)</w:t>
            </w:r>
          </w:p>
        </w:tc>
        <w:tc>
          <w:tcPr>
            <w:tcW w:w="1350" w:type="dxa"/>
            <w:vMerge w:val="restart"/>
            <w:shd w:val="clear" w:color="auto" w:fill="F3F3F3"/>
          </w:tcPr>
          <w:p w14:paraId="00C61862" w14:textId="77777777" w:rsidR="00F20A98" w:rsidRPr="00A06FAD" w:rsidRDefault="00F20A98" w:rsidP="007921C9">
            <w:pPr>
              <w:tabs>
                <w:tab w:val="left" w:pos="2880"/>
              </w:tabs>
              <w:spacing w:before="60"/>
              <w:jc w:val="center"/>
              <w:rPr>
                <w:b/>
                <w:sz w:val="20"/>
                <w:szCs w:val="20"/>
                <w:lang w:val="en-GB"/>
              </w:rPr>
            </w:pPr>
            <w:r w:rsidRPr="00A06FAD">
              <w:rPr>
                <w:b/>
                <w:sz w:val="20"/>
                <w:szCs w:val="20"/>
                <w:lang w:val="en-GB"/>
              </w:rPr>
              <w:t>Time frame</w:t>
            </w:r>
          </w:p>
        </w:tc>
        <w:tc>
          <w:tcPr>
            <w:tcW w:w="3060" w:type="dxa"/>
            <w:vMerge w:val="restart"/>
            <w:shd w:val="clear" w:color="auto" w:fill="F3F3F3"/>
          </w:tcPr>
          <w:p w14:paraId="4AA229EA" w14:textId="77777777" w:rsidR="00F20A98" w:rsidRPr="00A06FAD" w:rsidRDefault="00F20A98" w:rsidP="007921C9">
            <w:pPr>
              <w:tabs>
                <w:tab w:val="left" w:pos="2880"/>
              </w:tabs>
              <w:spacing w:before="60"/>
              <w:jc w:val="center"/>
              <w:rPr>
                <w:b/>
                <w:sz w:val="20"/>
                <w:szCs w:val="20"/>
                <w:lang w:val="en-GB"/>
              </w:rPr>
            </w:pPr>
            <w:r w:rsidRPr="00A06FAD">
              <w:rPr>
                <w:b/>
                <w:sz w:val="20"/>
                <w:szCs w:val="20"/>
                <w:lang w:val="en-GB"/>
              </w:rPr>
              <w:t>Responsible unit(s)</w:t>
            </w:r>
          </w:p>
        </w:tc>
        <w:tc>
          <w:tcPr>
            <w:tcW w:w="2363" w:type="dxa"/>
            <w:gridSpan w:val="2"/>
            <w:shd w:val="clear" w:color="auto" w:fill="F3F3F3"/>
          </w:tcPr>
          <w:p w14:paraId="4A2EC655" w14:textId="1913B660" w:rsidR="00F20A98" w:rsidRPr="00A06FAD" w:rsidRDefault="00F20A98" w:rsidP="007164D2">
            <w:pPr>
              <w:tabs>
                <w:tab w:val="left" w:pos="2880"/>
              </w:tabs>
              <w:jc w:val="center"/>
              <w:rPr>
                <w:b/>
                <w:sz w:val="20"/>
                <w:szCs w:val="20"/>
                <w:lang w:val="en-GB"/>
              </w:rPr>
            </w:pPr>
            <w:r w:rsidRPr="00A06FAD">
              <w:rPr>
                <w:b/>
                <w:sz w:val="20"/>
                <w:szCs w:val="20"/>
                <w:lang w:val="en-GB"/>
              </w:rPr>
              <w:t>Tracking</w:t>
            </w:r>
            <w:r w:rsidR="007164D2">
              <w:rPr>
                <w:rStyle w:val="FootnoteReference"/>
                <w:b/>
                <w:sz w:val="20"/>
                <w:szCs w:val="20"/>
                <w:lang w:val="en-GB"/>
              </w:rPr>
              <w:footnoteReference w:id="4"/>
            </w:r>
          </w:p>
        </w:tc>
      </w:tr>
      <w:tr w:rsidR="00F20A98" w:rsidRPr="00A06FAD" w14:paraId="68AEF6D8" w14:textId="77777777" w:rsidTr="007164D2">
        <w:tc>
          <w:tcPr>
            <w:tcW w:w="7650" w:type="dxa"/>
            <w:vMerge/>
            <w:shd w:val="clear" w:color="auto" w:fill="auto"/>
          </w:tcPr>
          <w:p w14:paraId="40B9375A" w14:textId="77777777" w:rsidR="00F20A98" w:rsidRPr="00A06FAD" w:rsidRDefault="00F20A98" w:rsidP="0071676E">
            <w:pPr>
              <w:tabs>
                <w:tab w:val="left" w:pos="2880"/>
              </w:tabs>
              <w:rPr>
                <w:b/>
                <w:sz w:val="20"/>
                <w:szCs w:val="20"/>
                <w:lang w:val="en-GB"/>
              </w:rPr>
            </w:pPr>
          </w:p>
        </w:tc>
        <w:tc>
          <w:tcPr>
            <w:tcW w:w="1350" w:type="dxa"/>
            <w:vMerge/>
            <w:shd w:val="clear" w:color="auto" w:fill="auto"/>
          </w:tcPr>
          <w:p w14:paraId="1C8D5270" w14:textId="77777777" w:rsidR="00F20A98" w:rsidRPr="00A06FAD" w:rsidRDefault="00F20A98" w:rsidP="0071676E">
            <w:pPr>
              <w:tabs>
                <w:tab w:val="left" w:pos="2880"/>
              </w:tabs>
              <w:rPr>
                <w:b/>
                <w:sz w:val="20"/>
                <w:szCs w:val="20"/>
                <w:lang w:val="en-GB"/>
              </w:rPr>
            </w:pPr>
          </w:p>
        </w:tc>
        <w:tc>
          <w:tcPr>
            <w:tcW w:w="3060" w:type="dxa"/>
            <w:vMerge/>
            <w:shd w:val="clear" w:color="auto" w:fill="auto"/>
          </w:tcPr>
          <w:p w14:paraId="74A044E3" w14:textId="77777777" w:rsidR="00F20A98" w:rsidRPr="00A06FAD" w:rsidRDefault="00F20A98" w:rsidP="0071676E">
            <w:pPr>
              <w:tabs>
                <w:tab w:val="left" w:pos="2880"/>
              </w:tabs>
              <w:rPr>
                <w:b/>
                <w:sz w:val="20"/>
                <w:szCs w:val="20"/>
                <w:lang w:val="en-GB"/>
              </w:rPr>
            </w:pPr>
          </w:p>
        </w:tc>
        <w:tc>
          <w:tcPr>
            <w:tcW w:w="1170" w:type="dxa"/>
            <w:shd w:val="clear" w:color="auto" w:fill="auto"/>
          </w:tcPr>
          <w:p w14:paraId="437FAD21" w14:textId="77777777" w:rsidR="00F20A98" w:rsidRPr="00A06FAD" w:rsidRDefault="00F20A98" w:rsidP="0071676E">
            <w:pPr>
              <w:tabs>
                <w:tab w:val="left" w:pos="2880"/>
              </w:tabs>
              <w:rPr>
                <w:b/>
                <w:sz w:val="20"/>
                <w:szCs w:val="20"/>
                <w:lang w:val="en-GB"/>
              </w:rPr>
            </w:pPr>
            <w:r w:rsidRPr="00A06FAD">
              <w:rPr>
                <w:b/>
                <w:sz w:val="20"/>
                <w:szCs w:val="20"/>
                <w:lang w:val="en-GB"/>
              </w:rPr>
              <w:t>Status</w:t>
            </w:r>
          </w:p>
        </w:tc>
        <w:tc>
          <w:tcPr>
            <w:tcW w:w="1193" w:type="dxa"/>
            <w:shd w:val="clear" w:color="auto" w:fill="auto"/>
          </w:tcPr>
          <w:p w14:paraId="14219DC9" w14:textId="77777777" w:rsidR="00F20A98" w:rsidRPr="00A06FAD" w:rsidRDefault="00F20A98" w:rsidP="0071676E">
            <w:pPr>
              <w:tabs>
                <w:tab w:val="left" w:pos="2880"/>
              </w:tabs>
              <w:rPr>
                <w:b/>
                <w:sz w:val="20"/>
                <w:szCs w:val="20"/>
                <w:lang w:val="en-GB"/>
              </w:rPr>
            </w:pPr>
            <w:r w:rsidRPr="00A06FAD">
              <w:rPr>
                <w:b/>
                <w:sz w:val="20"/>
                <w:szCs w:val="20"/>
                <w:lang w:val="en-GB"/>
              </w:rPr>
              <w:t>Comments</w:t>
            </w:r>
          </w:p>
        </w:tc>
      </w:tr>
      <w:tr w:rsidR="00F20A98" w:rsidRPr="00A06FAD" w14:paraId="01E0CCA2" w14:textId="77777777" w:rsidTr="007C10C0">
        <w:trPr>
          <w:trHeight w:val="784"/>
        </w:trPr>
        <w:tc>
          <w:tcPr>
            <w:tcW w:w="7650" w:type="dxa"/>
            <w:shd w:val="clear" w:color="auto" w:fill="auto"/>
          </w:tcPr>
          <w:p w14:paraId="1851A0AF" w14:textId="49E001E1" w:rsidR="007C0C00" w:rsidRPr="00A06FAD" w:rsidRDefault="00297C5B" w:rsidP="007C10C0">
            <w:pPr>
              <w:pStyle w:val="ListParagraph"/>
              <w:numPr>
                <w:ilvl w:val="1"/>
                <w:numId w:val="5"/>
              </w:numPr>
              <w:tabs>
                <w:tab w:val="left" w:pos="2880"/>
              </w:tabs>
              <w:rPr>
                <w:sz w:val="20"/>
                <w:szCs w:val="20"/>
                <w:lang w:val="en-GB"/>
              </w:rPr>
            </w:pPr>
            <w:r w:rsidRPr="00A06FAD">
              <w:rPr>
                <w:sz w:val="20"/>
                <w:szCs w:val="20"/>
                <w:lang w:val="en-GB"/>
              </w:rPr>
              <w:t xml:space="preserve">Ensure that prioritization of support to addressing corruption risks to development is </w:t>
            </w:r>
            <w:r w:rsidR="006A3660" w:rsidRPr="00A06FAD">
              <w:rPr>
                <w:sz w:val="20"/>
                <w:szCs w:val="20"/>
                <w:lang w:val="en-GB"/>
              </w:rPr>
              <w:t>taken into full consideration</w:t>
            </w:r>
            <w:r w:rsidRPr="00A06FAD">
              <w:rPr>
                <w:sz w:val="20"/>
                <w:szCs w:val="20"/>
                <w:lang w:val="en-GB"/>
              </w:rPr>
              <w:t xml:space="preserve"> in the </w:t>
            </w:r>
            <w:r w:rsidR="006A3660" w:rsidRPr="00A06FAD">
              <w:rPr>
                <w:sz w:val="20"/>
                <w:szCs w:val="20"/>
                <w:lang w:val="en-GB"/>
              </w:rPr>
              <w:t xml:space="preserve">process of developing </w:t>
            </w:r>
            <w:r w:rsidR="00CD577E" w:rsidRPr="00A06FAD">
              <w:rPr>
                <w:sz w:val="20"/>
                <w:szCs w:val="20"/>
                <w:lang w:val="en-GB"/>
              </w:rPr>
              <w:t>the</w:t>
            </w:r>
            <w:r w:rsidR="006A3660" w:rsidRPr="00A06FAD">
              <w:rPr>
                <w:sz w:val="20"/>
                <w:szCs w:val="20"/>
                <w:lang w:val="en-GB"/>
              </w:rPr>
              <w:t xml:space="preserve"> </w:t>
            </w:r>
            <w:r w:rsidRPr="00A06FAD">
              <w:rPr>
                <w:sz w:val="20"/>
                <w:szCs w:val="20"/>
                <w:lang w:val="en-GB"/>
              </w:rPr>
              <w:t xml:space="preserve">draft of the </w:t>
            </w:r>
            <w:r w:rsidR="00A06FAD" w:rsidRPr="00A06FAD">
              <w:rPr>
                <w:sz w:val="20"/>
                <w:szCs w:val="20"/>
                <w:lang w:val="en-GB"/>
              </w:rPr>
              <w:t>UNDP s</w:t>
            </w:r>
            <w:r w:rsidRPr="00A06FAD">
              <w:rPr>
                <w:sz w:val="20"/>
                <w:szCs w:val="20"/>
                <w:lang w:val="en-GB"/>
              </w:rPr>
              <w:t xml:space="preserve">trategic </w:t>
            </w:r>
            <w:r w:rsidR="00A06FAD" w:rsidRPr="00A06FAD">
              <w:rPr>
                <w:sz w:val="20"/>
                <w:szCs w:val="20"/>
                <w:lang w:val="en-GB"/>
              </w:rPr>
              <w:t>p</w:t>
            </w:r>
            <w:r w:rsidRPr="00A06FAD">
              <w:rPr>
                <w:sz w:val="20"/>
                <w:szCs w:val="20"/>
                <w:lang w:val="en-GB"/>
              </w:rPr>
              <w:t>lan</w:t>
            </w:r>
            <w:r w:rsidR="00A06FAD" w:rsidRPr="00A06FAD">
              <w:rPr>
                <w:sz w:val="20"/>
                <w:szCs w:val="20"/>
                <w:lang w:val="en-GB"/>
              </w:rPr>
              <w:t>, 2018-2021.</w:t>
            </w:r>
          </w:p>
        </w:tc>
        <w:tc>
          <w:tcPr>
            <w:tcW w:w="1350" w:type="dxa"/>
            <w:shd w:val="clear" w:color="auto" w:fill="auto"/>
          </w:tcPr>
          <w:p w14:paraId="0E8E1718" w14:textId="5A09A36C" w:rsidR="00F20A98" w:rsidRPr="00A06FAD" w:rsidRDefault="00F20A98" w:rsidP="00995E30">
            <w:pPr>
              <w:tabs>
                <w:tab w:val="left" w:pos="2880"/>
              </w:tabs>
              <w:rPr>
                <w:sz w:val="20"/>
                <w:szCs w:val="20"/>
                <w:lang w:val="en-GB"/>
              </w:rPr>
            </w:pPr>
            <w:r w:rsidRPr="00A06FAD">
              <w:rPr>
                <w:sz w:val="20"/>
                <w:szCs w:val="20"/>
                <w:lang w:val="en-GB"/>
              </w:rPr>
              <w:t>By end December 201</w:t>
            </w:r>
            <w:r w:rsidR="00C45C82" w:rsidRPr="00A06FAD">
              <w:rPr>
                <w:sz w:val="20"/>
                <w:szCs w:val="20"/>
                <w:lang w:val="en-GB"/>
              </w:rPr>
              <w:t>6</w:t>
            </w:r>
          </w:p>
        </w:tc>
        <w:tc>
          <w:tcPr>
            <w:tcW w:w="3060" w:type="dxa"/>
            <w:shd w:val="clear" w:color="auto" w:fill="auto"/>
          </w:tcPr>
          <w:p w14:paraId="7C18AC10" w14:textId="3ECF39B4" w:rsidR="00F20A98" w:rsidRPr="00A06FAD" w:rsidRDefault="00F20A98" w:rsidP="0071676E">
            <w:pPr>
              <w:tabs>
                <w:tab w:val="left" w:pos="2880"/>
              </w:tabs>
              <w:rPr>
                <w:sz w:val="20"/>
                <w:szCs w:val="20"/>
                <w:lang w:val="en-GB"/>
              </w:rPr>
            </w:pPr>
            <w:r w:rsidRPr="00A06FAD">
              <w:rPr>
                <w:sz w:val="20"/>
                <w:szCs w:val="20"/>
                <w:lang w:val="en-GB"/>
              </w:rPr>
              <w:t>Bureau for Policy and Programme Support (BPPS)</w:t>
            </w:r>
            <w:r w:rsidR="009156D7" w:rsidRPr="00A06FAD">
              <w:rPr>
                <w:sz w:val="20"/>
                <w:szCs w:val="20"/>
                <w:lang w:val="en-GB"/>
              </w:rPr>
              <w:t>, E</w:t>
            </w:r>
            <w:r w:rsidR="00A06FAD" w:rsidRPr="00A06FAD">
              <w:rPr>
                <w:sz w:val="20"/>
                <w:szCs w:val="20"/>
                <w:lang w:val="en-GB"/>
              </w:rPr>
              <w:t xml:space="preserve">xecutive </w:t>
            </w:r>
            <w:r w:rsidR="009156D7" w:rsidRPr="00A06FAD">
              <w:rPr>
                <w:sz w:val="20"/>
                <w:szCs w:val="20"/>
                <w:lang w:val="en-GB"/>
              </w:rPr>
              <w:t>O</w:t>
            </w:r>
            <w:r w:rsidR="00A06FAD" w:rsidRPr="00A06FAD">
              <w:rPr>
                <w:sz w:val="20"/>
                <w:szCs w:val="20"/>
                <w:lang w:val="en-GB"/>
              </w:rPr>
              <w:t>ffice</w:t>
            </w:r>
          </w:p>
        </w:tc>
        <w:tc>
          <w:tcPr>
            <w:tcW w:w="1170" w:type="dxa"/>
            <w:shd w:val="clear" w:color="auto" w:fill="auto"/>
          </w:tcPr>
          <w:p w14:paraId="598DD26E" w14:textId="77777777" w:rsidR="00F20A98" w:rsidRPr="00A06FAD" w:rsidRDefault="00F20A98" w:rsidP="0071676E">
            <w:pPr>
              <w:tabs>
                <w:tab w:val="left" w:pos="2880"/>
              </w:tabs>
              <w:rPr>
                <w:sz w:val="20"/>
                <w:szCs w:val="20"/>
                <w:lang w:val="en-GB"/>
              </w:rPr>
            </w:pPr>
          </w:p>
        </w:tc>
        <w:tc>
          <w:tcPr>
            <w:tcW w:w="1193" w:type="dxa"/>
            <w:shd w:val="clear" w:color="auto" w:fill="auto"/>
          </w:tcPr>
          <w:p w14:paraId="30CEA01A" w14:textId="77777777" w:rsidR="00F20A98" w:rsidRPr="00A06FAD" w:rsidRDefault="00F20A98" w:rsidP="0071676E">
            <w:pPr>
              <w:tabs>
                <w:tab w:val="left" w:pos="2880"/>
              </w:tabs>
              <w:rPr>
                <w:sz w:val="20"/>
                <w:szCs w:val="20"/>
                <w:lang w:val="en-GB"/>
              </w:rPr>
            </w:pPr>
          </w:p>
        </w:tc>
      </w:tr>
      <w:tr w:rsidR="00BC0CC8" w:rsidRPr="00A06FAD" w14:paraId="28DE8FFC" w14:textId="77777777" w:rsidTr="007164D2">
        <w:trPr>
          <w:trHeight w:val="514"/>
        </w:trPr>
        <w:tc>
          <w:tcPr>
            <w:tcW w:w="7650" w:type="dxa"/>
            <w:shd w:val="clear" w:color="auto" w:fill="auto"/>
          </w:tcPr>
          <w:p w14:paraId="7A766E29" w14:textId="30F9AD30" w:rsidR="00D0130C" w:rsidRPr="00A06FAD" w:rsidRDefault="00BC0CC8" w:rsidP="00D0130C">
            <w:pPr>
              <w:pStyle w:val="ListParagraph"/>
              <w:numPr>
                <w:ilvl w:val="1"/>
                <w:numId w:val="5"/>
              </w:numPr>
              <w:tabs>
                <w:tab w:val="left" w:pos="2880"/>
              </w:tabs>
              <w:rPr>
                <w:sz w:val="20"/>
                <w:szCs w:val="20"/>
                <w:lang w:val="en-GB"/>
              </w:rPr>
            </w:pPr>
            <w:r w:rsidRPr="00A06FAD">
              <w:rPr>
                <w:sz w:val="20"/>
                <w:szCs w:val="20"/>
                <w:lang w:val="en-GB"/>
              </w:rPr>
              <w:t xml:space="preserve">Make sure anti-corruption is a part of </w:t>
            </w:r>
            <w:r w:rsidR="00A06FAD" w:rsidRPr="00A06FAD">
              <w:rPr>
                <w:sz w:val="20"/>
                <w:szCs w:val="20"/>
                <w:lang w:val="en-GB"/>
              </w:rPr>
              <w:t xml:space="preserve">the </w:t>
            </w:r>
            <w:r w:rsidRPr="00A06FAD">
              <w:rPr>
                <w:sz w:val="20"/>
                <w:szCs w:val="20"/>
                <w:lang w:val="en-GB"/>
              </w:rPr>
              <w:t>MAPS approach and other support packages developed to support the SDG agenda.</w:t>
            </w:r>
          </w:p>
        </w:tc>
        <w:tc>
          <w:tcPr>
            <w:tcW w:w="1350" w:type="dxa"/>
            <w:shd w:val="clear" w:color="auto" w:fill="auto"/>
          </w:tcPr>
          <w:p w14:paraId="2C6D19D3" w14:textId="77777777" w:rsidR="00BC0CC8" w:rsidRPr="00A06FAD" w:rsidRDefault="00BC0CC8" w:rsidP="0071676E">
            <w:pPr>
              <w:tabs>
                <w:tab w:val="left" w:pos="2880"/>
              </w:tabs>
              <w:rPr>
                <w:sz w:val="20"/>
                <w:szCs w:val="20"/>
                <w:lang w:val="en-GB"/>
              </w:rPr>
            </w:pPr>
            <w:r w:rsidRPr="00A06FAD">
              <w:rPr>
                <w:sz w:val="20"/>
                <w:szCs w:val="20"/>
                <w:lang w:val="en-GB"/>
              </w:rPr>
              <w:t>By March 2017</w:t>
            </w:r>
          </w:p>
        </w:tc>
        <w:tc>
          <w:tcPr>
            <w:tcW w:w="3060" w:type="dxa"/>
            <w:shd w:val="clear" w:color="auto" w:fill="auto"/>
          </w:tcPr>
          <w:p w14:paraId="7084821A" w14:textId="38A7BA16" w:rsidR="00BC0CC8" w:rsidRPr="00A06FAD" w:rsidRDefault="00BC0CC8" w:rsidP="00A06FAD">
            <w:pPr>
              <w:tabs>
                <w:tab w:val="left" w:pos="2880"/>
              </w:tabs>
              <w:rPr>
                <w:sz w:val="20"/>
                <w:szCs w:val="20"/>
                <w:lang w:val="en-GB"/>
              </w:rPr>
            </w:pPr>
            <w:r w:rsidRPr="00A06FAD">
              <w:rPr>
                <w:sz w:val="20"/>
                <w:szCs w:val="20"/>
                <w:lang w:val="en-GB"/>
              </w:rPr>
              <w:t>BPPS</w:t>
            </w:r>
          </w:p>
        </w:tc>
        <w:tc>
          <w:tcPr>
            <w:tcW w:w="1170" w:type="dxa"/>
            <w:shd w:val="clear" w:color="auto" w:fill="auto"/>
          </w:tcPr>
          <w:p w14:paraId="2680001B" w14:textId="77777777" w:rsidR="00BC0CC8" w:rsidRPr="00A06FAD" w:rsidRDefault="00BC0CC8" w:rsidP="0071676E">
            <w:pPr>
              <w:tabs>
                <w:tab w:val="left" w:pos="2880"/>
              </w:tabs>
              <w:rPr>
                <w:sz w:val="20"/>
                <w:szCs w:val="20"/>
                <w:lang w:val="en-GB"/>
              </w:rPr>
            </w:pPr>
          </w:p>
        </w:tc>
        <w:tc>
          <w:tcPr>
            <w:tcW w:w="1193" w:type="dxa"/>
            <w:shd w:val="clear" w:color="auto" w:fill="auto"/>
          </w:tcPr>
          <w:p w14:paraId="1790CB93" w14:textId="77777777" w:rsidR="00BC0CC8" w:rsidRPr="00A06FAD" w:rsidRDefault="00BC0CC8" w:rsidP="0071676E">
            <w:pPr>
              <w:tabs>
                <w:tab w:val="left" w:pos="2880"/>
              </w:tabs>
              <w:rPr>
                <w:sz w:val="20"/>
                <w:szCs w:val="20"/>
                <w:lang w:val="en-GB"/>
              </w:rPr>
            </w:pPr>
          </w:p>
        </w:tc>
      </w:tr>
    </w:tbl>
    <w:p w14:paraId="5F00EED4" w14:textId="77777777" w:rsidR="007164D2" w:rsidRDefault="007164D2">
      <w:r>
        <w:br w:type="page"/>
      </w:r>
    </w:p>
    <w:tbl>
      <w:tblPr>
        <w:tblW w:w="1449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1350"/>
        <w:gridCol w:w="3060"/>
        <w:gridCol w:w="1170"/>
        <w:gridCol w:w="90"/>
        <w:gridCol w:w="1103"/>
        <w:gridCol w:w="67"/>
      </w:tblGrid>
      <w:tr w:rsidR="00F20A98" w:rsidRPr="00A06FAD" w14:paraId="3F20D0D0" w14:textId="77777777" w:rsidTr="00D5696B">
        <w:trPr>
          <w:gridAfter w:val="1"/>
          <w:wAfter w:w="67" w:type="dxa"/>
        </w:trPr>
        <w:tc>
          <w:tcPr>
            <w:tcW w:w="14423" w:type="dxa"/>
            <w:gridSpan w:val="6"/>
            <w:tcBorders>
              <w:bottom w:val="single" w:sz="4" w:space="0" w:color="auto"/>
            </w:tcBorders>
            <w:shd w:val="clear" w:color="auto" w:fill="E6E6E6"/>
          </w:tcPr>
          <w:p w14:paraId="13806148" w14:textId="13312263" w:rsidR="00C8467F" w:rsidRPr="00A06FAD" w:rsidRDefault="00353467" w:rsidP="007921C9">
            <w:pPr>
              <w:pStyle w:val="normal2"/>
              <w:numPr>
                <w:ilvl w:val="0"/>
                <w:numId w:val="0"/>
              </w:numPr>
              <w:spacing w:before="60" w:after="60"/>
              <w:rPr>
                <w:b/>
              </w:rPr>
            </w:pPr>
            <w:r w:rsidRPr="00A06FAD">
              <w:rPr>
                <w:b/>
                <w:i/>
              </w:rPr>
              <w:t>Recommendation 2.</w:t>
            </w:r>
            <w:r w:rsidRPr="00A06FAD">
              <w:rPr>
                <w:b/>
              </w:rPr>
              <w:t xml:space="preserve"> Address regional variations in anti-corruption support and </w:t>
            </w:r>
            <w:r w:rsidR="006968AC" w:rsidRPr="00A06FAD">
              <w:rPr>
                <w:b/>
              </w:rPr>
              <w:t>prioritize</w:t>
            </w:r>
            <w:r w:rsidRPr="00A06FAD">
              <w:rPr>
                <w:b/>
              </w:rPr>
              <w:t xml:space="preserve"> support to regions that are </w:t>
            </w:r>
            <w:r w:rsidR="00DA1229" w:rsidRPr="00A06FAD">
              <w:rPr>
                <w:b/>
              </w:rPr>
              <w:t xml:space="preserve">currently </w:t>
            </w:r>
            <w:r w:rsidRPr="00A06FAD">
              <w:rPr>
                <w:b/>
              </w:rPr>
              <w:t xml:space="preserve">underrepresented. </w:t>
            </w:r>
          </w:p>
        </w:tc>
      </w:tr>
      <w:tr w:rsidR="00F20A98" w:rsidRPr="00A06FAD" w14:paraId="7A991FB4" w14:textId="77777777" w:rsidTr="00D5696B">
        <w:trPr>
          <w:gridAfter w:val="1"/>
          <w:wAfter w:w="67" w:type="dxa"/>
        </w:trPr>
        <w:tc>
          <w:tcPr>
            <w:tcW w:w="14423" w:type="dxa"/>
            <w:gridSpan w:val="6"/>
            <w:tcBorders>
              <w:bottom w:val="single" w:sz="4" w:space="0" w:color="auto"/>
            </w:tcBorders>
            <w:shd w:val="clear" w:color="auto" w:fill="F3F3F3"/>
          </w:tcPr>
          <w:p w14:paraId="68F7843E" w14:textId="421AED0C" w:rsidR="00F20A98" w:rsidRPr="00A06FAD" w:rsidRDefault="00F20A98" w:rsidP="007921C9">
            <w:pPr>
              <w:tabs>
                <w:tab w:val="left" w:pos="2880"/>
              </w:tabs>
              <w:spacing w:before="60" w:after="60"/>
              <w:rPr>
                <w:b/>
                <w:sz w:val="20"/>
                <w:szCs w:val="20"/>
                <w:lang w:val="en-GB"/>
              </w:rPr>
            </w:pPr>
            <w:r w:rsidRPr="00A06FAD">
              <w:rPr>
                <w:b/>
                <w:sz w:val="20"/>
                <w:szCs w:val="20"/>
                <w:lang w:val="en-GB"/>
              </w:rPr>
              <w:t>Management response</w:t>
            </w:r>
            <w:r w:rsidR="000442F7" w:rsidRPr="00A06FAD">
              <w:rPr>
                <w:b/>
                <w:sz w:val="20"/>
                <w:szCs w:val="20"/>
                <w:lang w:val="en-GB"/>
              </w:rPr>
              <w:t xml:space="preserve">: </w:t>
            </w:r>
            <w:r w:rsidR="00671BC7" w:rsidRPr="00A06FAD">
              <w:rPr>
                <w:sz w:val="20"/>
                <w:szCs w:val="20"/>
                <w:lang w:val="en-GB"/>
              </w:rPr>
              <w:t>UNDP management agrees with the recommendation that UNDP should address regional variations in anti-corruption support in a development context. UNDP will analy</w:t>
            </w:r>
            <w:r w:rsidR="00A06FAD" w:rsidRPr="00A06FAD">
              <w:rPr>
                <w:sz w:val="20"/>
                <w:szCs w:val="20"/>
                <w:lang w:val="en-GB"/>
              </w:rPr>
              <w:t>s</w:t>
            </w:r>
            <w:r w:rsidR="00671BC7" w:rsidRPr="00A06FAD">
              <w:rPr>
                <w:sz w:val="20"/>
                <w:szCs w:val="20"/>
                <w:lang w:val="en-GB"/>
              </w:rPr>
              <w:t xml:space="preserve">e </w:t>
            </w:r>
            <w:r w:rsidR="00A06FAD">
              <w:rPr>
                <w:sz w:val="20"/>
                <w:szCs w:val="20"/>
                <w:lang w:val="en-GB"/>
              </w:rPr>
              <w:t>these</w:t>
            </w:r>
            <w:r w:rsidR="00A06FAD" w:rsidRPr="00A06FAD">
              <w:rPr>
                <w:sz w:val="20"/>
                <w:szCs w:val="20"/>
                <w:lang w:val="en-GB"/>
              </w:rPr>
              <w:t xml:space="preserve"> </w:t>
            </w:r>
            <w:r w:rsidR="00671BC7" w:rsidRPr="00A06FAD">
              <w:rPr>
                <w:sz w:val="20"/>
                <w:szCs w:val="20"/>
                <w:lang w:val="en-GB"/>
              </w:rPr>
              <w:t>variations and prepare recommendations for relevant actions to be taken to address the</w:t>
            </w:r>
            <w:r w:rsidR="00A06FAD">
              <w:rPr>
                <w:sz w:val="20"/>
                <w:szCs w:val="20"/>
                <w:lang w:val="en-GB"/>
              </w:rPr>
              <w:t>m</w:t>
            </w:r>
            <w:r w:rsidR="00BC0CC8" w:rsidRPr="00A06FAD">
              <w:rPr>
                <w:sz w:val="20"/>
                <w:szCs w:val="20"/>
                <w:lang w:val="en-GB"/>
              </w:rPr>
              <w:t xml:space="preserve"> in its regional and country level anti-corruption programming</w:t>
            </w:r>
            <w:r w:rsidR="00671BC7" w:rsidRPr="00A06FAD">
              <w:rPr>
                <w:sz w:val="20"/>
                <w:szCs w:val="20"/>
                <w:lang w:val="en-GB"/>
              </w:rPr>
              <w:t>.</w:t>
            </w:r>
            <w:r w:rsidR="009156D7" w:rsidRPr="00A06FAD">
              <w:rPr>
                <w:sz w:val="20"/>
                <w:szCs w:val="20"/>
                <w:lang w:val="en-GB"/>
              </w:rPr>
              <w:t xml:space="preserve"> Full coverage of all regions will depend on the availability of sufficient financial resources.</w:t>
            </w:r>
          </w:p>
        </w:tc>
      </w:tr>
      <w:tr w:rsidR="00F20A98" w:rsidRPr="00A06FAD" w14:paraId="6AD48876" w14:textId="77777777" w:rsidTr="000B38A1">
        <w:trPr>
          <w:gridAfter w:val="1"/>
          <w:wAfter w:w="67" w:type="dxa"/>
        </w:trPr>
        <w:tc>
          <w:tcPr>
            <w:tcW w:w="7650" w:type="dxa"/>
            <w:tcBorders>
              <w:bottom w:val="single" w:sz="4" w:space="0" w:color="auto"/>
            </w:tcBorders>
            <w:shd w:val="clear" w:color="auto" w:fill="auto"/>
          </w:tcPr>
          <w:p w14:paraId="5F622CC8" w14:textId="00E1BA7A" w:rsidR="00F20A98" w:rsidRPr="00A06FAD" w:rsidRDefault="00756AA4" w:rsidP="00C24A28">
            <w:pPr>
              <w:tabs>
                <w:tab w:val="left" w:pos="2880"/>
              </w:tabs>
              <w:spacing w:before="60" w:after="60"/>
              <w:rPr>
                <w:b/>
                <w:sz w:val="20"/>
                <w:szCs w:val="20"/>
                <w:lang w:val="en-GB"/>
              </w:rPr>
            </w:pPr>
            <w:r w:rsidRPr="00A06FAD">
              <w:rPr>
                <w:sz w:val="20"/>
                <w:szCs w:val="20"/>
                <w:lang w:val="en-GB"/>
              </w:rPr>
              <w:t>2.1</w:t>
            </w:r>
            <w:r w:rsidR="00E167DE">
              <w:rPr>
                <w:sz w:val="20"/>
                <w:szCs w:val="20"/>
                <w:lang w:val="en-GB"/>
              </w:rPr>
              <w:t>.</w:t>
            </w:r>
            <w:r w:rsidRPr="00A06FAD">
              <w:rPr>
                <w:sz w:val="20"/>
                <w:szCs w:val="20"/>
                <w:lang w:val="en-GB"/>
              </w:rPr>
              <w:t xml:space="preserve"> In</w:t>
            </w:r>
            <w:r w:rsidR="00577D18" w:rsidRPr="00A06FAD">
              <w:rPr>
                <w:sz w:val="20"/>
                <w:szCs w:val="20"/>
                <w:lang w:val="en-GB"/>
              </w:rPr>
              <w:t xml:space="preserve"> collaboration with the </w:t>
            </w:r>
            <w:r w:rsidR="00A06FAD">
              <w:rPr>
                <w:sz w:val="20"/>
                <w:szCs w:val="20"/>
                <w:lang w:val="en-GB"/>
              </w:rPr>
              <w:t>r</w:t>
            </w:r>
            <w:r w:rsidR="00577D18" w:rsidRPr="00A06FAD">
              <w:rPr>
                <w:sz w:val="20"/>
                <w:szCs w:val="20"/>
                <w:lang w:val="en-GB"/>
              </w:rPr>
              <w:t xml:space="preserve">egional </w:t>
            </w:r>
            <w:r w:rsidR="00A06FAD">
              <w:rPr>
                <w:sz w:val="20"/>
                <w:szCs w:val="20"/>
                <w:lang w:val="en-GB"/>
              </w:rPr>
              <w:t>b</w:t>
            </w:r>
            <w:r w:rsidR="0038075C" w:rsidRPr="00A06FAD">
              <w:rPr>
                <w:sz w:val="20"/>
                <w:szCs w:val="20"/>
                <w:lang w:val="en-GB"/>
              </w:rPr>
              <w:t>ureaus</w:t>
            </w:r>
            <w:r w:rsidR="00577D18" w:rsidRPr="00A06FAD">
              <w:rPr>
                <w:sz w:val="20"/>
                <w:szCs w:val="20"/>
                <w:lang w:val="en-GB"/>
              </w:rPr>
              <w:t xml:space="preserve"> and hubs, prepare analysis of the regional variations in anti-corruption support in a development context, and recommendations to address th</w:t>
            </w:r>
            <w:r w:rsidR="00C24A28">
              <w:rPr>
                <w:sz w:val="20"/>
                <w:szCs w:val="20"/>
                <w:lang w:val="en-GB"/>
              </w:rPr>
              <w:t>o</w:t>
            </w:r>
            <w:r w:rsidR="00577D18" w:rsidRPr="00A06FAD">
              <w:rPr>
                <w:sz w:val="20"/>
                <w:szCs w:val="20"/>
                <w:lang w:val="en-GB"/>
              </w:rPr>
              <w:t>se variations.</w:t>
            </w:r>
          </w:p>
        </w:tc>
        <w:tc>
          <w:tcPr>
            <w:tcW w:w="1350" w:type="dxa"/>
            <w:tcBorders>
              <w:bottom w:val="single" w:sz="4" w:space="0" w:color="auto"/>
            </w:tcBorders>
            <w:shd w:val="clear" w:color="auto" w:fill="auto"/>
          </w:tcPr>
          <w:p w14:paraId="545CE02D" w14:textId="77777777" w:rsidR="005374E7" w:rsidRPr="00A06FAD" w:rsidRDefault="005374E7" w:rsidP="007864B5">
            <w:pPr>
              <w:tabs>
                <w:tab w:val="left" w:pos="2880"/>
              </w:tabs>
              <w:rPr>
                <w:sz w:val="20"/>
                <w:szCs w:val="20"/>
                <w:lang w:val="en-GB"/>
              </w:rPr>
            </w:pPr>
            <w:r w:rsidRPr="00A06FAD">
              <w:rPr>
                <w:sz w:val="20"/>
                <w:szCs w:val="20"/>
                <w:lang w:val="en-GB"/>
              </w:rPr>
              <w:t xml:space="preserve">By </w:t>
            </w:r>
            <w:r w:rsidR="007864B5" w:rsidRPr="00A06FAD">
              <w:rPr>
                <w:sz w:val="20"/>
                <w:szCs w:val="20"/>
                <w:lang w:val="en-GB"/>
              </w:rPr>
              <w:t xml:space="preserve">December </w:t>
            </w:r>
            <w:r w:rsidRPr="00A06FAD">
              <w:rPr>
                <w:sz w:val="20"/>
                <w:szCs w:val="20"/>
                <w:lang w:val="en-GB"/>
              </w:rPr>
              <w:t>201</w:t>
            </w:r>
            <w:r w:rsidR="007864B5" w:rsidRPr="00A06FAD">
              <w:rPr>
                <w:sz w:val="20"/>
                <w:szCs w:val="20"/>
                <w:lang w:val="en-GB"/>
              </w:rPr>
              <w:t>7</w:t>
            </w:r>
          </w:p>
        </w:tc>
        <w:tc>
          <w:tcPr>
            <w:tcW w:w="3060" w:type="dxa"/>
            <w:tcBorders>
              <w:bottom w:val="single" w:sz="4" w:space="0" w:color="auto"/>
            </w:tcBorders>
            <w:shd w:val="clear" w:color="auto" w:fill="auto"/>
          </w:tcPr>
          <w:p w14:paraId="0A11114B" w14:textId="3F548596" w:rsidR="005374E7" w:rsidRPr="00A06FAD" w:rsidRDefault="005374E7" w:rsidP="00577D18">
            <w:pPr>
              <w:tabs>
                <w:tab w:val="left" w:pos="2880"/>
              </w:tabs>
              <w:rPr>
                <w:sz w:val="20"/>
                <w:szCs w:val="20"/>
                <w:lang w:val="en-GB"/>
              </w:rPr>
            </w:pPr>
            <w:r w:rsidRPr="00A06FAD">
              <w:rPr>
                <w:sz w:val="20"/>
                <w:szCs w:val="20"/>
                <w:lang w:val="en-GB"/>
              </w:rPr>
              <w:t>BPPS</w:t>
            </w:r>
            <w:r w:rsidR="00A06FAD">
              <w:rPr>
                <w:sz w:val="20"/>
                <w:szCs w:val="20"/>
                <w:lang w:val="en-GB"/>
              </w:rPr>
              <w:t>,</w:t>
            </w:r>
            <w:r w:rsidRPr="00A06FAD">
              <w:rPr>
                <w:sz w:val="20"/>
                <w:szCs w:val="20"/>
                <w:lang w:val="en-GB"/>
              </w:rPr>
              <w:t xml:space="preserve"> in cooperation with regional hubs</w:t>
            </w:r>
            <w:r w:rsidR="00577D18" w:rsidRPr="00A06FAD">
              <w:rPr>
                <w:sz w:val="20"/>
                <w:szCs w:val="20"/>
                <w:lang w:val="en-GB"/>
              </w:rPr>
              <w:t xml:space="preserve"> and</w:t>
            </w:r>
            <w:r w:rsidRPr="00A06FAD">
              <w:rPr>
                <w:sz w:val="20"/>
                <w:szCs w:val="20"/>
                <w:lang w:val="en-GB"/>
              </w:rPr>
              <w:t xml:space="preserve"> </w:t>
            </w:r>
            <w:r w:rsidR="003D74A2" w:rsidRPr="00A06FAD">
              <w:rPr>
                <w:sz w:val="20"/>
                <w:szCs w:val="20"/>
                <w:lang w:val="en-GB"/>
              </w:rPr>
              <w:t>r</w:t>
            </w:r>
            <w:r w:rsidR="00535EE1" w:rsidRPr="00A06FAD">
              <w:rPr>
                <w:sz w:val="20"/>
                <w:szCs w:val="20"/>
                <w:lang w:val="en-GB"/>
              </w:rPr>
              <w:t xml:space="preserve">egional </w:t>
            </w:r>
            <w:r w:rsidR="003D74A2" w:rsidRPr="00A06FAD">
              <w:rPr>
                <w:sz w:val="20"/>
                <w:szCs w:val="20"/>
                <w:lang w:val="en-GB"/>
              </w:rPr>
              <w:t>b</w:t>
            </w:r>
            <w:r w:rsidR="00535EE1" w:rsidRPr="00A06FAD">
              <w:rPr>
                <w:sz w:val="20"/>
                <w:szCs w:val="20"/>
                <w:lang w:val="en-GB"/>
              </w:rPr>
              <w:t>ureau</w:t>
            </w:r>
            <w:r w:rsidR="0038075C" w:rsidRPr="00A06FAD">
              <w:rPr>
                <w:sz w:val="20"/>
                <w:szCs w:val="20"/>
                <w:lang w:val="en-GB"/>
              </w:rPr>
              <w:t>s</w:t>
            </w:r>
            <w:r w:rsidRPr="00A06FAD">
              <w:rPr>
                <w:sz w:val="20"/>
                <w:szCs w:val="20"/>
                <w:lang w:val="en-GB"/>
              </w:rPr>
              <w:t xml:space="preserve"> </w:t>
            </w:r>
          </w:p>
        </w:tc>
        <w:tc>
          <w:tcPr>
            <w:tcW w:w="1170" w:type="dxa"/>
            <w:tcBorders>
              <w:bottom w:val="single" w:sz="4" w:space="0" w:color="auto"/>
            </w:tcBorders>
            <w:shd w:val="clear" w:color="auto" w:fill="auto"/>
          </w:tcPr>
          <w:p w14:paraId="4BD10FC9" w14:textId="77777777" w:rsidR="005374E7" w:rsidRPr="00A06FAD" w:rsidRDefault="005374E7" w:rsidP="0071676E">
            <w:pPr>
              <w:tabs>
                <w:tab w:val="left" w:pos="2880"/>
              </w:tabs>
              <w:rPr>
                <w:sz w:val="20"/>
                <w:szCs w:val="20"/>
                <w:lang w:val="en-GB"/>
              </w:rPr>
            </w:pPr>
          </w:p>
        </w:tc>
        <w:tc>
          <w:tcPr>
            <w:tcW w:w="1193" w:type="dxa"/>
            <w:gridSpan w:val="2"/>
            <w:tcBorders>
              <w:bottom w:val="single" w:sz="4" w:space="0" w:color="auto"/>
            </w:tcBorders>
            <w:shd w:val="clear" w:color="auto" w:fill="auto"/>
          </w:tcPr>
          <w:p w14:paraId="2E576BEF" w14:textId="77777777" w:rsidR="005374E7" w:rsidRPr="00A06FAD" w:rsidRDefault="005374E7" w:rsidP="0071676E">
            <w:pPr>
              <w:tabs>
                <w:tab w:val="left" w:pos="2880"/>
              </w:tabs>
              <w:rPr>
                <w:sz w:val="20"/>
                <w:szCs w:val="20"/>
                <w:lang w:val="en-GB"/>
              </w:rPr>
            </w:pPr>
          </w:p>
        </w:tc>
      </w:tr>
      <w:tr w:rsidR="00F20A98" w:rsidRPr="00A06FAD" w14:paraId="294D7CC4" w14:textId="77777777" w:rsidTr="000B38A1">
        <w:trPr>
          <w:gridAfter w:val="1"/>
          <w:wAfter w:w="67" w:type="dxa"/>
        </w:trPr>
        <w:tc>
          <w:tcPr>
            <w:tcW w:w="7650" w:type="dxa"/>
            <w:shd w:val="clear" w:color="auto" w:fill="auto"/>
          </w:tcPr>
          <w:p w14:paraId="7684127F" w14:textId="1B4C1F95" w:rsidR="00D254B0" w:rsidRPr="00A06FAD" w:rsidRDefault="005374E7" w:rsidP="007921C9">
            <w:pPr>
              <w:tabs>
                <w:tab w:val="left" w:pos="2880"/>
              </w:tabs>
              <w:spacing w:before="60"/>
              <w:rPr>
                <w:sz w:val="20"/>
                <w:szCs w:val="20"/>
                <w:lang w:val="en-GB"/>
              </w:rPr>
            </w:pPr>
            <w:r w:rsidRPr="00A06FAD">
              <w:rPr>
                <w:sz w:val="20"/>
                <w:szCs w:val="20"/>
                <w:lang w:val="en-GB"/>
              </w:rPr>
              <w:br w:type="page"/>
              <w:t xml:space="preserve">2.2. </w:t>
            </w:r>
            <w:r w:rsidR="00577D18" w:rsidRPr="00A06FAD">
              <w:rPr>
                <w:sz w:val="20"/>
                <w:szCs w:val="20"/>
                <w:lang w:val="en-GB"/>
              </w:rPr>
              <w:t>Provide capacity-building and advisory support to country offices in regions that are underrepresented in the area of anti-corruption support</w:t>
            </w:r>
            <w:r w:rsidR="007921C9">
              <w:rPr>
                <w:sz w:val="20"/>
                <w:szCs w:val="20"/>
                <w:lang w:val="en-GB"/>
              </w:rPr>
              <w:t>.</w:t>
            </w:r>
          </w:p>
        </w:tc>
        <w:tc>
          <w:tcPr>
            <w:tcW w:w="1350" w:type="dxa"/>
            <w:shd w:val="clear" w:color="auto" w:fill="auto"/>
          </w:tcPr>
          <w:p w14:paraId="43C68740" w14:textId="511FC784" w:rsidR="005374E7" w:rsidRPr="00A06FAD" w:rsidRDefault="00C7698D" w:rsidP="007864B5">
            <w:pPr>
              <w:tabs>
                <w:tab w:val="left" w:pos="2880"/>
              </w:tabs>
              <w:rPr>
                <w:sz w:val="20"/>
                <w:szCs w:val="20"/>
                <w:lang w:val="en-GB"/>
              </w:rPr>
            </w:pPr>
            <w:r w:rsidRPr="00A06FAD">
              <w:rPr>
                <w:sz w:val="20"/>
                <w:szCs w:val="20"/>
                <w:lang w:val="en-GB"/>
              </w:rPr>
              <w:t>Continuous (</w:t>
            </w:r>
            <w:r w:rsidR="00995E30">
              <w:rPr>
                <w:sz w:val="20"/>
                <w:szCs w:val="20"/>
                <w:lang w:val="en-GB"/>
              </w:rPr>
              <w:t>b</w:t>
            </w:r>
            <w:r w:rsidR="007864B5" w:rsidRPr="00A06FAD">
              <w:rPr>
                <w:sz w:val="20"/>
                <w:szCs w:val="20"/>
                <w:lang w:val="en-GB"/>
              </w:rPr>
              <w:t xml:space="preserve">y end </w:t>
            </w:r>
            <w:r w:rsidR="005374E7" w:rsidRPr="00A06FAD">
              <w:rPr>
                <w:sz w:val="20"/>
                <w:szCs w:val="20"/>
                <w:lang w:val="en-GB"/>
              </w:rPr>
              <w:t>201</w:t>
            </w:r>
            <w:r w:rsidR="007864B5" w:rsidRPr="00A06FAD">
              <w:rPr>
                <w:sz w:val="20"/>
                <w:szCs w:val="20"/>
                <w:lang w:val="en-GB"/>
              </w:rPr>
              <w:t>8</w:t>
            </w:r>
            <w:r w:rsidR="00995E30">
              <w:rPr>
                <w:sz w:val="20"/>
                <w:szCs w:val="20"/>
                <w:lang w:val="en-GB"/>
              </w:rPr>
              <w:t>)</w:t>
            </w:r>
          </w:p>
        </w:tc>
        <w:tc>
          <w:tcPr>
            <w:tcW w:w="3060" w:type="dxa"/>
            <w:shd w:val="clear" w:color="auto" w:fill="auto"/>
          </w:tcPr>
          <w:p w14:paraId="323F787E" w14:textId="0658C128" w:rsidR="007864B5" w:rsidRPr="00A06FAD" w:rsidRDefault="005374E7" w:rsidP="0071676E">
            <w:pPr>
              <w:tabs>
                <w:tab w:val="left" w:pos="2880"/>
              </w:tabs>
              <w:rPr>
                <w:sz w:val="20"/>
                <w:szCs w:val="20"/>
                <w:lang w:val="en-GB"/>
              </w:rPr>
            </w:pPr>
            <w:r w:rsidRPr="00A06FAD">
              <w:rPr>
                <w:sz w:val="20"/>
                <w:szCs w:val="20"/>
                <w:lang w:val="en-GB"/>
              </w:rPr>
              <w:t>BPPS</w:t>
            </w:r>
            <w:r w:rsidR="00995E30">
              <w:rPr>
                <w:sz w:val="20"/>
                <w:szCs w:val="20"/>
                <w:lang w:val="en-GB"/>
              </w:rPr>
              <w:t>,</w:t>
            </w:r>
            <w:r w:rsidRPr="00A06FAD">
              <w:rPr>
                <w:sz w:val="20"/>
                <w:szCs w:val="20"/>
                <w:lang w:val="en-GB"/>
              </w:rPr>
              <w:t xml:space="preserve"> </w:t>
            </w:r>
            <w:r w:rsidR="007864B5" w:rsidRPr="00A06FAD">
              <w:rPr>
                <w:sz w:val="20"/>
                <w:szCs w:val="20"/>
                <w:lang w:val="en-GB"/>
              </w:rPr>
              <w:t>in cooperation with</w:t>
            </w:r>
          </w:p>
          <w:p w14:paraId="47FE563C" w14:textId="77777777" w:rsidR="005374E7" w:rsidRPr="00A06FAD" w:rsidRDefault="007864B5" w:rsidP="0071676E">
            <w:pPr>
              <w:tabs>
                <w:tab w:val="left" w:pos="2880"/>
              </w:tabs>
              <w:rPr>
                <w:sz w:val="20"/>
                <w:szCs w:val="20"/>
                <w:lang w:val="en-GB"/>
              </w:rPr>
            </w:pPr>
            <w:r w:rsidRPr="00A06FAD">
              <w:rPr>
                <w:sz w:val="20"/>
                <w:szCs w:val="20"/>
                <w:lang w:val="en-GB"/>
              </w:rPr>
              <w:t xml:space="preserve">respective regional hubs and regional </w:t>
            </w:r>
            <w:r w:rsidR="009156D7" w:rsidRPr="00A06FAD">
              <w:rPr>
                <w:sz w:val="20"/>
                <w:szCs w:val="20"/>
                <w:lang w:val="en-GB"/>
              </w:rPr>
              <w:t>bureau</w:t>
            </w:r>
          </w:p>
        </w:tc>
        <w:tc>
          <w:tcPr>
            <w:tcW w:w="1170" w:type="dxa"/>
            <w:shd w:val="clear" w:color="auto" w:fill="auto"/>
          </w:tcPr>
          <w:p w14:paraId="033F1B2F" w14:textId="77777777" w:rsidR="005374E7" w:rsidRPr="00A06FAD" w:rsidRDefault="005374E7" w:rsidP="0071676E">
            <w:pPr>
              <w:tabs>
                <w:tab w:val="left" w:pos="2880"/>
              </w:tabs>
              <w:rPr>
                <w:sz w:val="20"/>
                <w:szCs w:val="20"/>
                <w:lang w:val="en-GB"/>
              </w:rPr>
            </w:pPr>
          </w:p>
        </w:tc>
        <w:tc>
          <w:tcPr>
            <w:tcW w:w="1193" w:type="dxa"/>
            <w:gridSpan w:val="2"/>
            <w:shd w:val="clear" w:color="auto" w:fill="auto"/>
          </w:tcPr>
          <w:p w14:paraId="27029652" w14:textId="77777777" w:rsidR="005374E7" w:rsidRPr="00A06FAD" w:rsidRDefault="005374E7" w:rsidP="0071676E">
            <w:pPr>
              <w:tabs>
                <w:tab w:val="left" w:pos="2880"/>
              </w:tabs>
              <w:rPr>
                <w:sz w:val="20"/>
                <w:szCs w:val="20"/>
                <w:lang w:val="en-GB"/>
              </w:rPr>
            </w:pPr>
          </w:p>
        </w:tc>
      </w:tr>
      <w:tr w:rsidR="00391790" w:rsidRPr="00A06FAD" w14:paraId="7FFE0BA4" w14:textId="77777777" w:rsidTr="000B38A1">
        <w:trPr>
          <w:gridAfter w:val="1"/>
          <w:wAfter w:w="67" w:type="dxa"/>
        </w:trPr>
        <w:tc>
          <w:tcPr>
            <w:tcW w:w="7650" w:type="dxa"/>
            <w:shd w:val="clear" w:color="auto" w:fill="auto"/>
          </w:tcPr>
          <w:p w14:paraId="1CB845CB" w14:textId="31B3D3EB" w:rsidR="00391790" w:rsidRPr="00A06FAD" w:rsidRDefault="00391790" w:rsidP="007921C9">
            <w:pPr>
              <w:tabs>
                <w:tab w:val="left" w:pos="2880"/>
              </w:tabs>
              <w:spacing w:before="60" w:after="60"/>
              <w:rPr>
                <w:sz w:val="20"/>
                <w:szCs w:val="20"/>
                <w:lang w:val="en-GB"/>
              </w:rPr>
            </w:pPr>
            <w:r w:rsidRPr="00A06FAD">
              <w:rPr>
                <w:sz w:val="20"/>
                <w:szCs w:val="20"/>
                <w:lang w:val="en-GB"/>
              </w:rPr>
              <w:t>2.3</w:t>
            </w:r>
            <w:r w:rsidR="00E167DE">
              <w:rPr>
                <w:sz w:val="20"/>
                <w:szCs w:val="20"/>
                <w:lang w:val="en-GB"/>
              </w:rPr>
              <w:t>.</w:t>
            </w:r>
            <w:r w:rsidRPr="00A06FAD">
              <w:rPr>
                <w:sz w:val="20"/>
                <w:szCs w:val="20"/>
                <w:lang w:val="en-GB"/>
              </w:rPr>
              <w:t xml:space="preserve"> Mobilize resources from d</w:t>
            </w:r>
            <w:r w:rsidR="009156D7" w:rsidRPr="00A06FAD">
              <w:rPr>
                <w:sz w:val="20"/>
                <w:szCs w:val="20"/>
                <w:lang w:val="en-GB"/>
              </w:rPr>
              <w:t xml:space="preserve">evelopment </w:t>
            </w:r>
            <w:r w:rsidRPr="00A06FAD">
              <w:rPr>
                <w:sz w:val="20"/>
                <w:szCs w:val="20"/>
                <w:lang w:val="en-GB"/>
              </w:rPr>
              <w:t xml:space="preserve">partners to </w:t>
            </w:r>
            <w:r w:rsidR="009156D7" w:rsidRPr="00A06FAD">
              <w:rPr>
                <w:sz w:val="20"/>
                <w:szCs w:val="20"/>
                <w:lang w:val="en-GB"/>
              </w:rPr>
              <w:t xml:space="preserve">secure </w:t>
            </w:r>
            <w:r w:rsidRPr="00A06FAD">
              <w:rPr>
                <w:sz w:val="20"/>
                <w:szCs w:val="20"/>
                <w:lang w:val="en-GB"/>
              </w:rPr>
              <w:t>additional policy and programme support for the region</w:t>
            </w:r>
            <w:r w:rsidR="009156D7" w:rsidRPr="00A06FAD">
              <w:rPr>
                <w:sz w:val="20"/>
                <w:szCs w:val="20"/>
                <w:lang w:val="en-GB"/>
              </w:rPr>
              <w:t>s</w:t>
            </w:r>
            <w:r w:rsidRPr="00A06FAD">
              <w:rPr>
                <w:sz w:val="20"/>
                <w:szCs w:val="20"/>
                <w:lang w:val="en-GB"/>
              </w:rPr>
              <w:t xml:space="preserve"> where there is high demand </w:t>
            </w:r>
            <w:r w:rsidR="009156D7" w:rsidRPr="00A06FAD">
              <w:rPr>
                <w:sz w:val="20"/>
                <w:szCs w:val="20"/>
                <w:lang w:val="en-GB"/>
              </w:rPr>
              <w:t>for</w:t>
            </w:r>
            <w:r w:rsidRPr="00A06FAD">
              <w:rPr>
                <w:sz w:val="20"/>
                <w:szCs w:val="20"/>
                <w:lang w:val="en-GB"/>
              </w:rPr>
              <w:t xml:space="preserve"> anti-corruption programming</w:t>
            </w:r>
            <w:r w:rsidR="009156D7" w:rsidRPr="00A06FAD">
              <w:rPr>
                <w:sz w:val="20"/>
                <w:szCs w:val="20"/>
                <w:lang w:val="en-GB"/>
              </w:rPr>
              <w:t xml:space="preserve"> </w:t>
            </w:r>
            <w:r w:rsidR="00995E30">
              <w:rPr>
                <w:sz w:val="20"/>
                <w:szCs w:val="20"/>
                <w:lang w:val="en-GB"/>
              </w:rPr>
              <w:t>but</w:t>
            </w:r>
            <w:r w:rsidR="00995E30" w:rsidRPr="00A06FAD">
              <w:rPr>
                <w:sz w:val="20"/>
                <w:szCs w:val="20"/>
                <w:lang w:val="en-GB"/>
              </w:rPr>
              <w:t xml:space="preserve"> </w:t>
            </w:r>
            <w:r w:rsidR="009156D7" w:rsidRPr="00A06FAD">
              <w:rPr>
                <w:sz w:val="20"/>
                <w:szCs w:val="20"/>
                <w:lang w:val="en-GB"/>
              </w:rPr>
              <w:t>limited resources</w:t>
            </w:r>
            <w:r w:rsidRPr="00A06FAD">
              <w:rPr>
                <w:sz w:val="20"/>
                <w:szCs w:val="20"/>
                <w:lang w:val="en-GB"/>
              </w:rPr>
              <w:t>.</w:t>
            </w:r>
          </w:p>
        </w:tc>
        <w:tc>
          <w:tcPr>
            <w:tcW w:w="1350" w:type="dxa"/>
            <w:shd w:val="clear" w:color="auto" w:fill="auto"/>
          </w:tcPr>
          <w:p w14:paraId="645A475F" w14:textId="77777777" w:rsidR="00391790" w:rsidRPr="00A06FAD" w:rsidRDefault="00391790" w:rsidP="007864B5">
            <w:pPr>
              <w:tabs>
                <w:tab w:val="left" w:pos="2880"/>
              </w:tabs>
              <w:rPr>
                <w:sz w:val="20"/>
                <w:szCs w:val="20"/>
                <w:lang w:val="en-GB"/>
              </w:rPr>
            </w:pPr>
            <w:r w:rsidRPr="00A06FAD">
              <w:rPr>
                <w:sz w:val="20"/>
                <w:szCs w:val="20"/>
                <w:lang w:val="en-GB"/>
              </w:rPr>
              <w:t>By December 2017</w:t>
            </w:r>
          </w:p>
        </w:tc>
        <w:tc>
          <w:tcPr>
            <w:tcW w:w="3060" w:type="dxa"/>
            <w:shd w:val="clear" w:color="auto" w:fill="auto"/>
          </w:tcPr>
          <w:p w14:paraId="7671046A" w14:textId="15F6CF89" w:rsidR="00391790" w:rsidRPr="00A06FAD" w:rsidRDefault="00391790" w:rsidP="00391790">
            <w:pPr>
              <w:tabs>
                <w:tab w:val="left" w:pos="2880"/>
              </w:tabs>
              <w:rPr>
                <w:sz w:val="20"/>
                <w:szCs w:val="20"/>
                <w:lang w:val="en-GB"/>
              </w:rPr>
            </w:pPr>
            <w:r w:rsidRPr="00A06FAD">
              <w:rPr>
                <w:sz w:val="20"/>
                <w:szCs w:val="20"/>
                <w:lang w:val="en-GB"/>
              </w:rPr>
              <w:t>BPPS</w:t>
            </w:r>
            <w:r w:rsidR="00995E30">
              <w:rPr>
                <w:sz w:val="20"/>
                <w:szCs w:val="20"/>
                <w:lang w:val="en-GB"/>
              </w:rPr>
              <w:t>,</w:t>
            </w:r>
            <w:r w:rsidRPr="00A06FAD">
              <w:rPr>
                <w:sz w:val="20"/>
                <w:szCs w:val="20"/>
                <w:lang w:val="en-GB"/>
              </w:rPr>
              <w:t xml:space="preserve"> in cooperation with</w:t>
            </w:r>
          </w:p>
          <w:p w14:paraId="68C34ED7" w14:textId="77777777" w:rsidR="00391790" w:rsidRPr="00A06FAD" w:rsidRDefault="00391790" w:rsidP="00391790">
            <w:pPr>
              <w:tabs>
                <w:tab w:val="left" w:pos="2880"/>
              </w:tabs>
              <w:rPr>
                <w:sz w:val="20"/>
                <w:szCs w:val="20"/>
                <w:lang w:val="en-GB"/>
              </w:rPr>
            </w:pPr>
            <w:r w:rsidRPr="00A06FAD">
              <w:rPr>
                <w:sz w:val="20"/>
                <w:szCs w:val="20"/>
                <w:lang w:val="en-GB"/>
              </w:rPr>
              <w:t xml:space="preserve">respective regional hubs and regional </w:t>
            </w:r>
            <w:r w:rsidR="009156D7" w:rsidRPr="00A06FAD">
              <w:rPr>
                <w:sz w:val="20"/>
                <w:szCs w:val="20"/>
                <w:lang w:val="en-GB"/>
              </w:rPr>
              <w:t>bureau</w:t>
            </w:r>
          </w:p>
        </w:tc>
        <w:tc>
          <w:tcPr>
            <w:tcW w:w="1170" w:type="dxa"/>
            <w:shd w:val="clear" w:color="auto" w:fill="auto"/>
          </w:tcPr>
          <w:p w14:paraId="27B48385" w14:textId="77777777" w:rsidR="00391790" w:rsidRPr="00A06FAD" w:rsidRDefault="00391790" w:rsidP="0071676E">
            <w:pPr>
              <w:tabs>
                <w:tab w:val="left" w:pos="2880"/>
              </w:tabs>
              <w:rPr>
                <w:sz w:val="20"/>
                <w:szCs w:val="20"/>
                <w:lang w:val="en-GB"/>
              </w:rPr>
            </w:pPr>
          </w:p>
        </w:tc>
        <w:tc>
          <w:tcPr>
            <w:tcW w:w="1193" w:type="dxa"/>
            <w:gridSpan w:val="2"/>
            <w:shd w:val="clear" w:color="auto" w:fill="auto"/>
          </w:tcPr>
          <w:p w14:paraId="532650FE" w14:textId="77777777" w:rsidR="00391790" w:rsidRPr="00A06FAD" w:rsidRDefault="00391790" w:rsidP="0071676E">
            <w:pPr>
              <w:tabs>
                <w:tab w:val="left" w:pos="2880"/>
              </w:tabs>
              <w:rPr>
                <w:sz w:val="20"/>
                <w:szCs w:val="20"/>
                <w:lang w:val="en-GB"/>
              </w:rPr>
            </w:pPr>
          </w:p>
        </w:tc>
      </w:tr>
      <w:tr w:rsidR="00F20A98" w:rsidRPr="00A06FAD" w14:paraId="4732159D" w14:textId="77777777" w:rsidTr="00D5696B">
        <w:tc>
          <w:tcPr>
            <w:tcW w:w="14490" w:type="dxa"/>
            <w:gridSpan w:val="7"/>
            <w:tcBorders>
              <w:bottom w:val="single" w:sz="4" w:space="0" w:color="auto"/>
            </w:tcBorders>
            <w:shd w:val="clear" w:color="auto" w:fill="E6E6E6"/>
          </w:tcPr>
          <w:p w14:paraId="4EE5210F" w14:textId="389B13A3" w:rsidR="00C8467F" w:rsidRPr="00A06FAD" w:rsidRDefault="00353467" w:rsidP="007921C9">
            <w:pPr>
              <w:pStyle w:val="normal2"/>
              <w:numPr>
                <w:ilvl w:val="0"/>
                <w:numId w:val="0"/>
              </w:numPr>
              <w:spacing w:before="60" w:after="60"/>
              <w:rPr>
                <w:b/>
              </w:rPr>
            </w:pPr>
            <w:r w:rsidRPr="00A06FAD">
              <w:rPr>
                <w:b/>
                <w:i/>
              </w:rPr>
              <w:t>Recommendation 3.</w:t>
            </w:r>
            <w:r w:rsidRPr="00A06FAD">
              <w:rPr>
                <w:b/>
              </w:rPr>
              <w:t xml:space="preserve"> Consider prioriti</w:t>
            </w:r>
            <w:r w:rsidR="00A06FAD">
              <w:rPr>
                <w:b/>
              </w:rPr>
              <w:t>z</w:t>
            </w:r>
            <w:r w:rsidRPr="00A06FAD">
              <w:rPr>
                <w:b/>
              </w:rPr>
              <w:t>ing support to anti-corruption and governance risk assessments and measurement.</w:t>
            </w:r>
          </w:p>
        </w:tc>
      </w:tr>
      <w:tr w:rsidR="00F20A98" w:rsidRPr="00A06FAD" w14:paraId="015FC32C" w14:textId="77777777" w:rsidTr="00D5696B">
        <w:tc>
          <w:tcPr>
            <w:tcW w:w="14490" w:type="dxa"/>
            <w:gridSpan w:val="7"/>
            <w:shd w:val="clear" w:color="auto" w:fill="F3F3F3"/>
          </w:tcPr>
          <w:p w14:paraId="677407B7" w14:textId="4E71028F" w:rsidR="00BB53C7" w:rsidRPr="00A06FAD" w:rsidRDefault="00BB53C7" w:rsidP="007921C9">
            <w:pPr>
              <w:tabs>
                <w:tab w:val="left" w:pos="2880"/>
              </w:tabs>
              <w:spacing w:before="60" w:after="120"/>
              <w:rPr>
                <w:sz w:val="20"/>
                <w:szCs w:val="20"/>
                <w:lang w:val="en-GB"/>
              </w:rPr>
            </w:pPr>
            <w:r w:rsidRPr="00A06FAD">
              <w:rPr>
                <w:b/>
                <w:sz w:val="20"/>
                <w:szCs w:val="20"/>
                <w:lang w:val="en-GB"/>
              </w:rPr>
              <w:t xml:space="preserve">Management response: </w:t>
            </w:r>
            <w:r w:rsidRPr="00A06FAD">
              <w:rPr>
                <w:sz w:val="20"/>
                <w:szCs w:val="20"/>
                <w:lang w:val="en-GB"/>
              </w:rPr>
              <w:t>UNDP management agrees with the recommendation that UNDP should support anti-corruption and governance diagnostics and measurement. UNDP acknowledge that there have been many dia</w:t>
            </w:r>
            <w:r w:rsidR="00D0130C" w:rsidRPr="00A06FAD">
              <w:rPr>
                <w:sz w:val="20"/>
                <w:szCs w:val="20"/>
                <w:lang w:val="en-GB"/>
              </w:rPr>
              <w:t>gnostics</w:t>
            </w:r>
            <w:r w:rsidRPr="00A06FAD">
              <w:rPr>
                <w:sz w:val="20"/>
                <w:szCs w:val="20"/>
                <w:lang w:val="en-GB"/>
              </w:rPr>
              <w:t>, surveys, assessments and other measurement</w:t>
            </w:r>
            <w:r w:rsidR="00D0130C" w:rsidRPr="00A06FAD">
              <w:rPr>
                <w:sz w:val="20"/>
                <w:szCs w:val="20"/>
                <w:lang w:val="en-GB"/>
              </w:rPr>
              <w:t>s</w:t>
            </w:r>
            <w:r w:rsidRPr="00A06FAD">
              <w:rPr>
                <w:sz w:val="20"/>
                <w:szCs w:val="20"/>
                <w:lang w:val="en-GB"/>
              </w:rPr>
              <w:t xml:space="preserve"> by various partners and academia. The challenge is </w:t>
            </w:r>
            <w:r w:rsidR="00C24A28">
              <w:rPr>
                <w:sz w:val="20"/>
                <w:szCs w:val="20"/>
                <w:lang w:val="en-GB"/>
              </w:rPr>
              <w:t xml:space="preserve">to ensure </w:t>
            </w:r>
            <w:r w:rsidRPr="00A06FAD">
              <w:rPr>
                <w:sz w:val="20"/>
                <w:szCs w:val="20"/>
                <w:lang w:val="en-GB"/>
              </w:rPr>
              <w:t>coordination among partners, acceptance of such assessments and the data behind them by national policymakers</w:t>
            </w:r>
            <w:r w:rsidR="00995E30">
              <w:rPr>
                <w:sz w:val="20"/>
                <w:szCs w:val="20"/>
                <w:lang w:val="en-GB"/>
              </w:rPr>
              <w:t>,</w:t>
            </w:r>
            <w:r w:rsidRPr="00A06FAD">
              <w:rPr>
                <w:sz w:val="20"/>
                <w:szCs w:val="20"/>
                <w:lang w:val="en-GB"/>
              </w:rPr>
              <w:t xml:space="preserve"> and their proper use for policy reform. UNDP experience</w:t>
            </w:r>
            <w:r w:rsidR="00995E30">
              <w:rPr>
                <w:sz w:val="20"/>
                <w:szCs w:val="20"/>
                <w:lang w:val="en-GB"/>
              </w:rPr>
              <w:t xml:space="preserve"> has</w:t>
            </w:r>
            <w:r w:rsidRPr="00A06FAD">
              <w:rPr>
                <w:sz w:val="20"/>
                <w:szCs w:val="20"/>
                <w:lang w:val="en-GB"/>
              </w:rPr>
              <w:t xml:space="preserve"> show</w:t>
            </w:r>
            <w:r w:rsidR="00995E30">
              <w:rPr>
                <w:sz w:val="20"/>
                <w:szCs w:val="20"/>
                <w:lang w:val="en-GB"/>
              </w:rPr>
              <w:t>n</w:t>
            </w:r>
            <w:r w:rsidRPr="00A06FAD">
              <w:rPr>
                <w:sz w:val="20"/>
                <w:szCs w:val="20"/>
                <w:lang w:val="en-GB"/>
              </w:rPr>
              <w:t xml:space="preserve"> that most anti-corruption and governance diagnostics and measurement do not translate into policy</w:t>
            </w:r>
            <w:r w:rsidR="00995E30">
              <w:rPr>
                <w:sz w:val="20"/>
                <w:szCs w:val="20"/>
                <w:lang w:val="en-GB"/>
              </w:rPr>
              <w:t>,</w:t>
            </w:r>
            <w:r w:rsidRPr="00A06FAD">
              <w:rPr>
                <w:sz w:val="20"/>
                <w:szCs w:val="20"/>
                <w:lang w:val="en-GB"/>
              </w:rPr>
              <w:t xml:space="preserve"> </w:t>
            </w:r>
            <w:r w:rsidR="00D0130C" w:rsidRPr="00A06FAD">
              <w:rPr>
                <w:sz w:val="20"/>
                <w:szCs w:val="20"/>
                <w:lang w:val="en-GB"/>
              </w:rPr>
              <w:t xml:space="preserve">for </w:t>
            </w:r>
            <w:r w:rsidRPr="00A06FAD">
              <w:rPr>
                <w:sz w:val="20"/>
                <w:szCs w:val="20"/>
                <w:lang w:val="en-GB"/>
              </w:rPr>
              <w:t xml:space="preserve">reasons </w:t>
            </w:r>
            <w:r w:rsidR="00C24A28">
              <w:rPr>
                <w:sz w:val="20"/>
                <w:szCs w:val="20"/>
                <w:lang w:val="en-GB"/>
              </w:rPr>
              <w:t>that include</w:t>
            </w:r>
            <w:r w:rsidR="00C24A28" w:rsidRPr="00A06FAD">
              <w:rPr>
                <w:sz w:val="20"/>
                <w:szCs w:val="20"/>
                <w:lang w:val="en-GB"/>
              </w:rPr>
              <w:t xml:space="preserve"> </w:t>
            </w:r>
            <w:r w:rsidR="00D0130C" w:rsidRPr="00A06FAD">
              <w:rPr>
                <w:sz w:val="20"/>
                <w:szCs w:val="20"/>
                <w:lang w:val="en-GB"/>
              </w:rPr>
              <w:t xml:space="preserve">lack of </w:t>
            </w:r>
            <w:r w:rsidRPr="00A06FAD">
              <w:rPr>
                <w:sz w:val="20"/>
                <w:szCs w:val="20"/>
                <w:lang w:val="en-GB"/>
              </w:rPr>
              <w:t xml:space="preserve">political commitment, </w:t>
            </w:r>
            <w:r w:rsidR="00D0130C" w:rsidRPr="00A06FAD">
              <w:rPr>
                <w:sz w:val="20"/>
                <w:szCs w:val="20"/>
                <w:lang w:val="en-GB"/>
              </w:rPr>
              <w:t xml:space="preserve">limited </w:t>
            </w:r>
            <w:r w:rsidRPr="00A06FAD">
              <w:rPr>
                <w:sz w:val="20"/>
                <w:szCs w:val="20"/>
                <w:lang w:val="en-GB"/>
              </w:rPr>
              <w:t>resources for follow</w:t>
            </w:r>
            <w:r w:rsidR="00995E30">
              <w:rPr>
                <w:sz w:val="20"/>
                <w:szCs w:val="20"/>
                <w:lang w:val="en-GB"/>
              </w:rPr>
              <w:t>-</w:t>
            </w:r>
            <w:r w:rsidRPr="00A06FAD">
              <w:rPr>
                <w:sz w:val="20"/>
                <w:szCs w:val="20"/>
                <w:lang w:val="en-GB"/>
              </w:rPr>
              <w:t>up</w:t>
            </w:r>
            <w:r w:rsidR="00995E30">
              <w:rPr>
                <w:sz w:val="20"/>
                <w:szCs w:val="20"/>
                <w:lang w:val="en-GB"/>
              </w:rPr>
              <w:t>,</w:t>
            </w:r>
            <w:r w:rsidRPr="00A06FAD">
              <w:rPr>
                <w:sz w:val="20"/>
                <w:szCs w:val="20"/>
                <w:lang w:val="en-GB"/>
              </w:rPr>
              <w:t xml:space="preserve"> and lack of sustainability plans. To strengthen anti-corruption measurement and provide guidance on the use of </w:t>
            </w:r>
            <w:r w:rsidR="00D0130C" w:rsidRPr="00A06FAD">
              <w:rPr>
                <w:sz w:val="20"/>
                <w:szCs w:val="20"/>
                <w:lang w:val="en-GB"/>
              </w:rPr>
              <w:t xml:space="preserve">the </w:t>
            </w:r>
            <w:r w:rsidRPr="00A06FAD">
              <w:rPr>
                <w:sz w:val="20"/>
                <w:szCs w:val="20"/>
                <w:lang w:val="en-GB"/>
              </w:rPr>
              <w:t xml:space="preserve">right indicators </w:t>
            </w:r>
            <w:r w:rsidR="00995E30">
              <w:rPr>
                <w:sz w:val="20"/>
                <w:szCs w:val="20"/>
                <w:lang w:val="en-GB"/>
              </w:rPr>
              <w:t>for</w:t>
            </w:r>
            <w:r w:rsidRPr="00A06FAD">
              <w:rPr>
                <w:sz w:val="20"/>
                <w:szCs w:val="20"/>
                <w:lang w:val="en-GB"/>
              </w:rPr>
              <w:t xml:space="preserve"> measur</w:t>
            </w:r>
            <w:r w:rsidR="00995E30">
              <w:rPr>
                <w:sz w:val="20"/>
                <w:szCs w:val="20"/>
                <w:lang w:val="en-GB"/>
              </w:rPr>
              <w:t>ing</w:t>
            </w:r>
            <w:r w:rsidRPr="00A06FAD">
              <w:rPr>
                <w:sz w:val="20"/>
                <w:szCs w:val="20"/>
                <w:lang w:val="en-GB"/>
              </w:rPr>
              <w:t xml:space="preserve"> and monitor</w:t>
            </w:r>
            <w:r w:rsidR="00995E30">
              <w:rPr>
                <w:sz w:val="20"/>
                <w:szCs w:val="20"/>
                <w:lang w:val="en-GB"/>
              </w:rPr>
              <w:t>ing</w:t>
            </w:r>
            <w:r w:rsidRPr="00A06FAD">
              <w:rPr>
                <w:sz w:val="20"/>
                <w:szCs w:val="20"/>
                <w:lang w:val="en-GB"/>
              </w:rPr>
              <w:t xml:space="preserve"> corruption, UNDP published a</w:t>
            </w:r>
            <w:r w:rsidR="00995E30">
              <w:rPr>
                <w:sz w:val="20"/>
                <w:szCs w:val="20"/>
                <w:lang w:val="en-GB"/>
              </w:rPr>
              <w:t xml:space="preserve"> </w:t>
            </w:r>
            <w:r w:rsidRPr="00995E30">
              <w:rPr>
                <w:i/>
                <w:sz w:val="20"/>
                <w:szCs w:val="20"/>
                <w:lang w:val="en-GB"/>
              </w:rPr>
              <w:t>User</w:t>
            </w:r>
            <w:r w:rsidR="00995E30" w:rsidRPr="00995E30">
              <w:rPr>
                <w:i/>
                <w:sz w:val="20"/>
                <w:szCs w:val="20"/>
                <w:lang w:val="en-GB"/>
              </w:rPr>
              <w:t>’</w:t>
            </w:r>
            <w:r w:rsidRPr="00995E30">
              <w:rPr>
                <w:i/>
                <w:sz w:val="20"/>
                <w:szCs w:val="20"/>
                <w:lang w:val="en-GB"/>
              </w:rPr>
              <w:t>s Guide to Measuring Corruption and Anti-corruption</w:t>
            </w:r>
            <w:r w:rsidR="00C24A28">
              <w:rPr>
                <w:sz w:val="20"/>
                <w:szCs w:val="20"/>
                <w:lang w:val="en-GB"/>
              </w:rPr>
              <w:t xml:space="preserve"> in </w:t>
            </w:r>
            <w:r w:rsidR="00995E30">
              <w:rPr>
                <w:sz w:val="20"/>
                <w:szCs w:val="20"/>
                <w:lang w:val="en-GB"/>
              </w:rPr>
              <w:t>2015</w:t>
            </w:r>
            <w:r w:rsidRPr="00A06FAD">
              <w:rPr>
                <w:sz w:val="20"/>
                <w:szCs w:val="20"/>
                <w:lang w:val="en-GB"/>
              </w:rPr>
              <w:t xml:space="preserve">. </w:t>
            </w:r>
          </w:p>
          <w:p w14:paraId="1A8CF9A6" w14:textId="607C0F33" w:rsidR="00995E30" w:rsidRDefault="00BB53C7" w:rsidP="00535744">
            <w:pPr>
              <w:tabs>
                <w:tab w:val="left" w:pos="2880"/>
              </w:tabs>
              <w:spacing w:after="60"/>
              <w:rPr>
                <w:sz w:val="20"/>
                <w:szCs w:val="20"/>
                <w:lang w:val="en-GB"/>
              </w:rPr>
            </w:pPr>
            <w:r w:rsidRPr="00A06FAD">
              <w:rPr>
                <w:sz w:val="20"/>
                <w:szCs w:val="20"/>
                <w:lang w:val="en-GB"/>
              </w:rPr>
              <w:t>To strengthen efforts to support anti-corruption and governance integrity diagnostics and measurement, UNDP will</w:t>
            </w:r>
            <w:r w:rsidRPr="00995E30">
              <w:rPr>
                <w:sz w:val="20"/>
                <w:szCs w:val="20"/>
                <w:lang w:val="en-GB"/>
              </w:rPr>
              <w:t xml:space="preserve">: </w:t>
            </w:r>
            <w:r w:rsidR="00995E30">
              <w:rPr>
                <w:sz w:val="20"/>
                <w:szCs w:val="20"/>
                <w:lang w:val="en-GB"/>
              </w:rPr>
              <w:t xml:space="preserve">   </w:t>
            </w:r>
          </w:p>
          <w:p w14:paraId="4152795E" w14:textId="125FFCE9" w:rsidR="00995E30" w:rsidRDefault="00995E30" w:rsidP="002F0439">
            <w:pPr>
              <w:tabs>
                <w:tab w:val="left" w:pos="2880"/>
                <w:tab w:val="left" w:pos="5022"/>
              </w:tabs>
              <w:ind w:left="342" w:hanging="180"/>
              <w:rPr>
                <w:sz w:val="20"/>
                <w:szCs w:val="20"/>
                <w:lang w:val="en-GB"/>
              </w:rPr>
            </w:pPr>
            <w:r>
              <w:rPr>
                <w:sz w:val="20"/>
                <w:szCs w:val="20"/>
                <w:lang w:val="en-GB"/>
              </w:rPr>
              <w:t xml:space="preserve">     </w:t>
            </w:r>
            <w:r w:rsidRPr="00995E30">
              <w:rPr>
                <w:sz w:val="20"/>
                <w:szCs w:val="20"/>
                <w:lang w:val="en-GB"/>
              </w:rPr>
              <w:t>(a)</w:t>
            </w:r>
            <w:r>
              <w:rPr>
                <w:b/>
                <w:sz w:val="20"/>
                <w:szCs w:val="20"/>
                <w:lang w:val="en-GB"/>
              </w:rPr>
              <w:t xml:space="preserve"> </w:t>
            </w:r>
            <w:r w:rsidR="00BB53C7" w:rsidRPr="00A06FAD">
              <w:rPr>
                <w:sz w:val="20"/>
                <w:szCs w:val="20"/>
                <w:lang w:val="en-GB"/>
              </w:rPr>
              <w:t xml:space="preserve">Coordinate with other partners to </w:t>
            </w:r>
            <w:r w:rsidR="00391790" w:rsidRPr="00A06FAD">
              <w:rPr>
                <w:sz w:val="20"/>
                <w:szCs w:val="20"/>
                <w:lang w:val="en-GB"/>
              </w:rPr>
              <w:t xml:space="preserve">standardize the corruption measurement methodologies to </w:t>
            </w:r>
            <w:r w:rsidR="00BB53C7" w:rsidRPr="00A06FAD">
              <w:rPr>
                <w:sz w:val="20"/>
                <w:szCs w:val="20"/>
                <w:lang w:val="en-GB"/>
              </w:rPr>
              <w:t xml:space="preserve">support the more effective use of anti-corruption and </w:t>
            </w:r>
            <w:r w:rsidR="006968AC" w:rsidRPr="00A06FAD">
              <w:rPr>
                <w:sz w:val="20"/>
                <w:szCs w:val="20"/>
                <w:lang w:val="en-GB"/>
              </w:rPr>
              <w:t>governance diagnostics</w:t>
            </w:r>
            <w:r w:rsidR="00BB53C7" w:rsidRPr="00A06FAD">
              <w:rPr>
                <w:sz w:val="20"/>
                <w:szCs w:val="20"/>
                <w:lang w:val="en-GB"/>
              </w:rPr>
              <w:t xml:space="preserve"> and measurement; </w:t>
            </w:r>
          </w:p>
          <w:p w14:paraId="69041EA3" w14:textId="59D928D7" w:rsidR="00995E30" w:rsidRDefault="00995E30" w:rsidP="002F0439">
            <w:pPr>
              <w:tabs>
                <w:tab w:val="left" w:pos="2880"/>
                <w:tab w:val="left" w:pos="5022"/>
              </w:tabs>
              <w:ind w:left="342" w:hanging="180"/>
              <w:rPr>
                <w:sz w:val="20"/>
                <w:szCs w:val="20"/>
                <w:lang w:val="en-GB"/>
              </w:rPr>
            </w:pPr>
            <w:r>
              <w:rPr>
                <w:sz w:val="20"/>
                <w:szCs w:val="20"/>
                <w:lang w:val="en-GB"/>
              </w:rPr>
              <w:t xml:space="preserve">     (b) </w:t>
            </w:r>
            <w:r w:rsidR="00BB53C7" w:rsidRPr="00A06FAD">
              <w:rPr>
                <w:sz w:val="20"/>
                <w:szCs w:val="20"/>
                <w:lang w:val="en-GB"/>
              </w:rPr>
              <w:t xml:space="preserve">Ensure sustainability of projects from integrity assessment to policy reforms by securing buy in </w:t>
            </w:r>
            <w:r w:rsidR="00D0130C" w:rsidRPr="00A06FAD">
              <w:rPr>
                <w:sz w:val="20"/>
                <w:szCs w:val="20"/>
                <w:lang w:val="en-GB"/>
              </w:rPr>
              <w:t xml:space="preserve">from </w:t>
            </w:r>
            <w:r w:rsidR="00BB53C7" w:rsidRPr="00A06FAD">
              <w:rPr>
                <w:sz w:val="20"/>
                <w:szCs w:val="20"/>
                <w:lang w:val="en-GB"/>
              </w:rPr>
              <w:t>the governments and bringing together various</w:t>
            </w:r>
            <w:r>
              <w:rPr>
                <w:sz w:val="20"/>
                <w:szCs w:val="20"/>
                <w:lang w:val="en-GB"/>
              </w:rPr>
              <w:t xml:space="preserve"> </w:t>
            </w:r>
            <w:r w:rsidR="00BB53C7" w:rsidRPr="00A06FAD">
              <w:rPr>
                <w:sz w:val="20"/>
                <w:szCs w:val="20"/>
                <w:lang w:val="en-GB"/>
              </w:rPr>
              <w:t xml:space="preserve">stakeholders from the onset of the project implementation; and </w:t>
            </w:r>
          </w:p>
          <w:p w14:paraId="0A8A9416" w14:textId="1871A99E" w:rsidR="00126B62" w:rsidRPr="00A06FAD" w:rsidRDefault="00995E30" w:rsidP="005231B3">
            <w:pPr>
              <w:tabs>
                <w:tab w:val="left" w:pos="2880"/>
                <w:tab w:val="left" w:pos="5022"/>
              </w:tabs>
              <w:spacing w:after="120"/>
              <w:ind w:left="342" w:hanging="180"/>
              <w:rPr>
                <w:sz w:val="20"/>
                <w:szCs w:val="20"/>
                <w:lang w:val="en-GB"/>
              </w:rPr>
            </w:pPr>
            <w:r>
              <w:rPr>
                <w:sz w:val="20"/>
                <w:szCs w:val="20"/>
                <w:lang w:val="en-GB"/>
              </w:rPr>
              <w:t xml:space="preserve">     (c) </w:t>
            </w:r>
            <w:r w:rsidR="00BB53C7" w:rsidRPr="00A06FAD">
              <w:rPr>
                <w:sz w:val="20"/>
                <w:szCs w:val="20"/>
                <w:lang w:val="en-GB"/>
              </w:rPr>
              <w:t xml:space="preserve">Maximize the use of </w:t>
            </w:r>
            <w:r>
              <w:rPr>
                <w:sz w:val="20"/>
                <w:szCs w:val="20"/>
                <w:lang w:val="en-GB"/>
              </w:rPr>
              <w:t>information and communication technology (</w:t>
            </w:r>
            <w:r w:rsidR="00BB53C7" w:rsidRPr="00A06FAD">
              <w:rPr>
                <w:sz w:val="20"/>
                <w:szCs w:val="20"/>
                <w:lang w:val="en-GB"/>
              </w:rPr>
              <w:t>ICT</w:t>
            </w:r>
            <w:r>
              <w:rPr>
                <w:sz w:val="20"/>
                <w:szCs w:val="20"/>
                <w:lang w:val="en-GB"/>
              </w:rPr>
              <w:t>)</w:t>
            </w:r>
            <w:r w:rsidR="00BB53C7" w:rsidRPr="00A06FAD">
              <w:rPr>
                <w:sz w:val="20"/>
                <w:szCs w:val="20"/>
                <w:lang w:val="en-GB"/>
              </w:rPr>
              <w:t xml:space="preserve"> and </w:t>
            </w:r>
            <w:r w:rsidR="00BB53C7" w:rsidRPr="00C24A28">
              <w:rPr>
                <w:sz w:val="20"/>
                <w:szCs w:val="20"/>
                <w:lang w:val="en-GB"/>
              </w:rPr>
              <w:t xml:space="preserve">social </w:t>
            </w:r>
            <w:r w:rsidR="005231B3">
              <w:rPr>
                <w:sz w:val="20"/>
                <w:szCs w:val="20"/>
                <w:lang w:val="en-GB"/>
              </w:rPr>
              <w:t xml:space="preserve">media </w:t>
            </w:r>
            <w:r w:rsidR="00BB53C7" w:rsidRPr="00A06FAD">
              <w:rPr>
                <w:sz w:val="20"/>
                <w:szCs w:val="20"/>
                <w:lang w:val="en-GB"/>
              </w:rPr>
              <w:t xml:space="preserve">to strengthen feedback mechanisms and </w:t>
            </w:r>
            <w:r w:rsidR="00535744">
              <w:rPr>
                <w:sz w:val="20"/>
                <w:szCs w:val="20"/>
                <w:lang w:val="en-GB"/>
              </w:rPr>
              <w:t>solve</w:t>
            </w:r>
            <w:r w:rsidR="00535744" w:rsidRPr="00A06FAD">
              <w:rPr>
                <w:sz w:val="20"/>
                <w:szCs w:val="20"/>
                <w:lang w:val="en-GB"/>
              </w:rPr>
              <w:t xml:space="preserve"> </w:t>
            </w:r>
            <w:r w:rsidR="00BB53C7" w:rsidRPr="00A06FAD">
              <w:rPr>
                <w:sz w:val="20"/>
                <w:szCs w:val="20"/>
                <w:lang w:val="en-GB"/>
              </w:rPr>
              <w:t>the governance corruption</w:t>
            </w:r>
            <w:r w:rsidR="00535744">
              <w:rPr>
                <w:sz w:val="20"/>
                <w:szCs w:val="20"/>
                <w:lang w:val="en-GB"/>
              </w:rPr>
              <w:t>-</w:t>
            </w:r>
            <w:r w:rsidR="00BB53C7" w:rsidRPr="00A06FAD">
              <w:rPr>
                <w:sz w:val="20"/>
                <w:szCs w:val="20"/>
                <w:lang w:val="en-GB"/>
              </w:rPr>
              <w:t xml:space="preserve">related bottlenecks in the service delivery. UNDP will seek government cost sharing to make sure that the ICT pilots are scaled </w:t>
            </w:r>
            <w:r w:rsidR="00535744">
              <w:rPr>
                <w:sz w:val="20"/>
                <w:szCs w:val="20"/>
                <w:lang w:val="en-GB"/>
              </w:rPr>
              <w:t xml:space="preserve">up </w:t>
            </w:r>
            <w:r w:rsidR="00BB53C7" w:rsidRPr="00A06FAD">
              <w:rPr>
                <w:sz w:val="20"/>
                <w:szCs w:val="20"/>
                <w:lang w:val="en-GB"/>
              </w:rPr>
              <w:t xml:space="preserve">and sustained. </w:t>
            </w:r>
          </w:p>
        </w:tc>
      </w:tr>
      <w:tr w:rsidR="00BB53C7" w:rsidRPr="00A06FAD" w14:paraId="41FF4204" w14:textId="77777777" w:rsidTr="000B38A1">
        <w:tc>
          <w:tcPr>
            <w:tcW w:w="7650" w:type="dxa"/>
            <w:shd w:val="clear" w:color="auto" w:fill="auto"/>
          </w:tcPr>
          <w:p w14:paraId="51CF24C8" w14:textId="205EA198" w:rsidR="00BB53C7" w:rsidRPr="00A06FAD" w:rsidRDefault="00BB53C7" w:rsidP="00535744">
            <w:pPr>
              <w:tabs>
                <w:tab w:val="left" w:pos="2880"/>
              </w:tabs>
              <w:spacing w:before="120"/>
              <w:rPr>
                <w:sz w:val="20"/>
                <w:szCs w:val="20"/>
                <w:lang w:val="en-GB"/>
              </w:rPr>
            </w:pPr>
            <w:r w:rsidRPr="00A06FAD">
              <w:rPr>
                <w:sz w:val="20"/>
                <w:szCs w:val="20"/>
                <w:lang w:val="en-GB"/>
              </w:rPr>
              <w:t>2.1</w:t>
            </w:r>
            <w:r w:rsidR="00E167DE">
              <w:rPr>
                <w:sz w:val="20"/>
                <w:szCs w:val="20"/>
                <w:lang w:val="en-GB"/>
              </w:rPr>
              <w:t>.</w:t>
            </w:r>
            <w:r w:rsidRPr="00A06FAD">
              <w:rPr>
                <w:sz w:val="20"/>
                <w:szCs w:val="20"/>
                <w:lang w:val="en-GB"/>
              </w:rPr>
              <w:t xml:space="preserve"> </w:t>
            </w:r>
            <w:r w:rsidR="00535744">
              <w:rPr>
                <w:sz w:val="20"/>
                <w:szCs w:val="20"/>
                <w:lang w:val="en-GB"/>
              </w:rPr>
              <w:t>W</w:t>
            </w:r>
            <w:r w:rsidR="00535744" w:rsidRPr="00A06FAD">
              <w:rPr>
                <w:sz w:val="20"/>
                <w:szCs w:val="20"/>
                <w:lang w:val="en-GB"/>
              </w:rPr>
              <w:t>ithin the context of UNDP</w:t>
            </w:r>
            <w:r w:rsidR="00535744">
              <w:rPr>
                <w:sz w:val="20"/>
                <w:szCs w:val="20"/>
                <w:lang w:val="en-GB"/>
              </w:rPr>
              <w:t xml:space="preserve"> work on the SDG </w:t>
            </w:r>
            <w:r w:rsidR="00535744" w:rsidRPr="00A06FAD">
              <w:rPr>
                <w:sz w:val="20"/>
                <w:szCs w:val="20"/>
                <w:lang w:val="en-GB"/>
              </w:rPr>
              <w:t>indicators</w:t>
            </w:r>
            <w:r w:rsidR="00535744">
              <w:rPr>
                <w:sz w:val="20"/>
                <w:szCs w:val="20"/>
                <w:lang w:val="en-GB"/>
              </w:rPr>
              <w:t xml:space="preserve"> (</w:t>
            </w:r>
            <w:r w:rsidR="00535744" w:rsidRPr="00A06FAD">
              <w:rPr>
                <w:sz w:val="20"/>
                <w:szCs w:val="20"/>
                <w:lang w:val="en-GB"/>
              </w:rPr>
              <w:t>particular</w:t>
            </w:r>
            <w:r w:rsidR="00535744">
              <w:rPr>
                <w:sz w:val="20"/>
                <w:szCs w:val="20"/>
                <w:lang w:val="en-GB"/>
              </w:rPr>
              <w:t>ly for g</w:t>
            </w:r>
            <w:r w:rsidR="00535744" w:rsidRPr="00A06FAD">
              <w:rPr>
                <w:sz w:val="20"/>
                <w:szCs w:val="20"/>
                <w:lang w:val="en-GB"/>
              </w:rPr>
              <w:t>oal 16).</w:t>
            </w:r>
            <w:r w:rsidR="00535744">
              <w:rPr>
                <w:sz w:val="20"/>
                <w:szCs w:val="20"/>
                <w:lang w:val="en-GB"/>
              </w:rPr>
              <w:t xml:space="preserve"> R</w:t>
            </w:r>
            <w:r w:rsidRPr="00A06FAD">
              <w:rPr>
                <w:sz w:val="20"/>
                <w:szCs w:val="20"/>
                <w:lang w:val="en-GB"/>
              </w:rPr>
              <w:t>eview and update UNDP tools and instruments supporting anti-corruption and governance diagnostics</w:t>
            </w:r>
            <w:r w:rsidR="00482C8B" w:rsidRPr="00A06FAD">
              <w:rPr>
                <w:sz w:val="20"/>
                <w:szCs w:val="20"/>
                <w:lang w:val="en-GB"/>
              </w:rPr>
              <w:t xml:space="preserve"> </w:t>
            </w:r>
            <w:r w:rsidR="00A54E02" w:rsidRPr="00A06FAD">
              <w:rPr>
                <w:sz w:val="20"/>
                <w:szCs w:val="20"/>
                <w:lang w:val="en-GB"/>
              </w:rPr>
              <w:t>and</w:t>
            </w:r>
            <w:r w:rsidRPr="00A06FAD">
              <w:rPr>
                <w:sz w:val="20"/>
                <w:szCs w:val="20"/>
                <w:lang w:val="en-GB"/>
              </w:rPr>
              <w:t xml:space="preserve"> measurement</w:t>
            </w:r>
            <w:r w:rsidR="00535744">
              <w:rPr>
                <w:sz w:val="20"/>
                <w:szCs w:val="20"/>
                <w:lang w:val="en-GB"/>
              </w:rPr>
              <w:t>.</w:t>
            </w:r>
          </w:p>
          <w:p w14:paraId="7311E898" w14:textId="77777777" w:rsidR="00482C8B" w:rsidRDefault="00482C8B" w:rsidP="00391790">
            <w:pPr>
              <w:tabs>
                <w:tab w:val="left" w:pos="2880"/>
              </w:tabs>
              <w:rPr>
                <w:b/>
                <w:sz w:val="20"/>
                <w:szCs w:val="20"/>
                <w:lang w:val="en-GB"/>
              </w:rPr>
            </w:pPr>
          </w:p>
          <w:p w14:paraId="12C2F689" w14:textId="77777777" w:rsidR="00995E30" w:rsidRPr="00A06FAD" w:rsidRDefault="00995E30" w:rsidP="00391790">
            <w:pPr>
              <w:tabs>
                <w:tab w:val="left" w:pos="2880"/>
              </w:tabs>
              <w:rPr>
                <w:b/>
                <w:sz w:val="20"/>
                <w:szCs w:val="20"/>
                <w:lang w:val="en-GB"/>
              </w:rPr>
            </w:pPr>
          </w:p>
        </w:tc>
        <w:tc>
          <w:tcPr>
            <w:tcW w:w="1350" w:type="dxa"/>
            <w:shd w:val="clear" w:color="auto" w:fill="auto"/>
          </w:tcPr>
          <w:p w14:paraId="5C789798" w14:textId="77777777" w:rsidR="00BB53C7" w:rsidRPr="00A06FAD" w:rsidRDefault="00BB53C7" w:rsidP="007921C9">
            <w:pPr>
              <w:tabs>
                <w:tab w:val="left" w:pos="2880"/>
              </w:tabs>
              <w:spacing w:before="60"/>
              <w:rPr>
                <w:sz w:val="20"/>
                <w:szCs w:val="20"/>
                <w:lang w:val="en-GB"/>
              </w:rPr>
            </w:pPr>
            <w:r w:rsidRPr="00A06FAD">
              <w:rPr>
                <w:sz w:val="20"/>
                <w:szCs w:val="20"/>
                <w:lang w:val="en-GB"/>
              </w:rPr>
              <w:t>By December 2017</w:t>
            </w:r>
          </w:p>
        </w:tc>
        <w:tc>
          <w:tcPr>
            <w:tcW w:w="3060" w:type="dxa"/>
            <w:shd w:val="clear" w:color="auto" w:fill="auto"/>
          </w:tcPr>
          <w:p w14:paraId="195C9A68" w14:textId="56915BDD" w:rsidR="00BB53C7" w:rsidRPr="00A06FAD" w:rsidRDefault="00BB53C7" w:rsidP="007921C9">
            <w:pPr>
              <w:tabs>
                <w:tab w:val="left" w:pos="2880"/>
              </w:tabs>
              <w:spacing w:before="60"/>
              <w:rPr>
                <w:sz w:val="20"/>
                <w:szCs w:val="20"/>
                <w:lang w:val="en-GB"/>
              </w:rPr>
            </w:pPr>
            <w:r w:rsidRPr="00A06FAD">
              <w:rPr>
                <w:sz w:val="20"/>
                <w:szCs w:val="20"/>
                <w:lang w:val="en-GB"/>
              </w:rPr>
              <w:t xml:space="preserve">BPPS </w:t>
            </w:r>
            <w:r w:rsidR="00D0130C" w:rsidRPr="00A06FAD">
              <w:rPr>
                <w:sz w:val="20"/>
                <w:szCs w:val="20"/>
                <w:lang w:val="en-GB"/>
              </w:rPr>
              <w:t>(</w:t>
            </w:r>
            <w:r w:rsidR="00535744">
              <w:rPr>
                <w:sz w:val="20"/>
                <w:szCs w:val="20"/>
                <w:lang w:val="en-GB"/>
              </w:rPr>
              <w:t xml:space="preserve">Oslo Governance Centre – </w:t>
            </w:r>
            <w:r w:rsidR="00D0130C" w:rsidRPr="00A06FAD">
              <w:rPr>
                <w:sz w:val="20"/>
                <w:szCs w:val="20"/>
                <w:lang w:val="en-GB"/>
              </w:rPr>
              <w:t>OGC</w:t>
            </w:r>
            <w:r w:rsidR="00535744">
              <w:rPr>
                <w:sz w:val="20"/>
                <w:szCs w:val="20"/>
                <w:lang w:val="en-GB"/>
              </w:rPr>
              <w:t xml:space="preserve"> –</w:t>
            </w:r>
            <w:r w:rsidR="00D0130C" w:rsidRPr="00A06FAD">
              <w:rPr>
                <w:sz w:val="20"/>
                <w:szCs w:val="20"/>
                <w:lang w:val="en-GB"/>
              </w:rPr>
              <w:t xml:space="preserve"> in particular)</w:t>
            </w:r>
            <w:r w:rsidR="00535744">
              <w:rPr>
                <w:sz w:val="20"/>
                <w:szCs w:val="20"/>
                <w:lang w:val="en-GB"/>
              </w:rPr>
              <w:t>,</w:t>
            </w:r>
            <w:r w:rsidR="00D0130C" w:rsidRPr="00A06FAD">
              <w:rPr>
                <w:sz w:val="20"/>
                <w:szCs w:val="20"/>
                <w:lang w:val="en-GB"/>
              </w:rPr>
              <w:t xml:space="preserve"> </w:t>
            </w:r>
            <w:r w:rsidRPr="00A06FAD">
              <w:rPr>
                <w:sz w:val="20"/>
                <w:szCs w:val="20"/>
                <w:lang w:val="en-GB"/>
              </w:rPr>
              <w:t>in cooperation with regional hubs, regional bureau</w:t>
            </w:r>
            <w:r w:rsidR="0038075C" w:rsidRPr="00A06FAD">
              <w:rPr>
                <w:sz w:val="20"/>
                <w:szCs w:val="20"/>
                <w:lang w:val="en-GB"/>
              </w:rPr>
              <w:t>s</w:t>
            </w:r>
            <w:r w:rsidRPr="00A06FAD">
              <w:rPr>
                <w:sz w:val="20"/>
                <w:szCs w:val="20"/>
                <w:lang w:val="en-GB"/>
              </w:rPr>
              <w:t xml:space="preserve"> and country offices</w:t>
            </w:r>
            <w:r w:rsidR="00391790" w:rsidRPr="00A06FAD">
              <w:rPr>
                <w:sz w:val="20"/>
                <w:szCs w:val="20"/>
                <w:lang w:val="en-GB"/>
              </w:rPr>
              <w:t xml:space="preserve"> and other relevant partners (</w:t>
            </w:r>
            <w:r w:rsidR="00535744">
              <w:rPr>
                <w:sz w:val="20"/>
                <w:szCs w:val="20"/>
                <w:lang w:val="en-GB"/>
              </w:rPr>
              <w:t>such as</w:t>
            </w:r>
            <w:r w:rsidR="00391790" w:rsidRPr="00A06FAD">
              <w:rPr>
                <w:sz w:val="20"/>
                <w:szCs w:val="20"/>
                <w:lang w:val="en-GB"/>
              </w:rPr>
              <w:t xml:space="preserve"> UNODC</w:t>
            </w:r>
            <w:r w:rsidR="00D0130C" w:rsidRPr="00A06FAD">
              <w:rPr>
                <w:sz w:val="20"/>
                <w:szCs w:val="20"/>
                <w:lang w:val="en-GB"/>
              </w:rPr>
              <w:t xml:space="preserve"> and the Praia City Group</w:t>
            </w:r>
            <w:r w:rsidR="00391790" w:rsidRPr="00A06FAD">
              <w:rPr>
                <w:sz w:val="20"/>
                <w:szCs w:val="20"/>
                <w:lang w:val="en-GB"/>
              </w:rPr>
              <w:t>)</w:t>
            </w:r>
          </w:p>
        </w:tc>
        <w:tc>
          <w:tcPr>
            <w:tcW w:w="1260" w:type="dxa"/>
            <w:gridSpan w:val="2"/>
            <w:shd w:val="clear" w:color="auto" w:fill="auto"/>
          </w:tcPr>
          <w:p w14:paraId="109C48BF" w14:textId="77777777" w:rsidR="00BB53C7" w:rsidRPr="00A06FAD" w:rsidRDefault="00BB53C7" w:rsidP="00BB53C7">
            <w:pPr>
              <w:tabs>
                <w:tab w:val="left" w:pos="2880"/>
              </w:tabs>
              <w:rPr>
                <w:sz w:val="20"/>
                <w:szCs w:val="20"/>
                <w:lang w:val="en-GB"/>
              </w:rPr>
            </w:pPr>
          </w:p>
        </w:tc>
        <w:tc>
          <w:tcPr>
            <w:tcW w:w="1170" w:type="dxa"/>
            <w:gridSpan w:val="2"/>
            <w:shd w:val="clear" w:color="auto" w:fill="auto"/>
          </w:tcPr>
          <w:p w14:paraId="569F8D5E" w14:textId="77777777" w:rsidR="00BB53C7" w:rsidRPr="00A06FAD" w:rsidRDefault="00BB53C7" w:rsidP="00BB53C7">
            <w:pPr>
              <w:tabs>
                <w:tab w:val="left" w:pos="2880"/>
              </w:tabs>
              <w:rPr>
                <w:sz w:val="20"/>
                <w:szCs w:val="20"/>
                <w:lang w:val="en-GB"/>
              </w:rPr>
            </w:pPr>
          </w:p>
        </w:tc>
      </w:tr>
      <w:tr w:rsidR="00BB53C7" w:rsidRPr="00A06FAD" w14:paraId="7D65610B" w14:textId="77777777" w:rsidTr="000B38A1">
        <w:tc>
          <w:tcPr>
            <w:tcW w:w="7650" w:type="dxa"/>
            <w:shd w:val="clear" w:color="auto" w:fill="auto"/>
          </w:tcPr>
          <w:p w14:paraId="78945862" w14:textId="77777777" w:rsidR="00BB53C7" w:rsidRPr="00A06FAD" w:rsidRDefault="00BB53C7" w:rsidP="007921C9">
            <w:pPr>
              <w:tabs>
                <w:tab w:val="left" w:pos="2880"/>
              </w:tabs>
              <w:spacing w:before="60"/>
              <w:rPr>
                <w:sz w:val="20"/>
                <w:szCs w:val="20"/>
                <w:lang w:val="en-GB"/>
              </w:rPr>
            </w:pPr>
            <w:r w:rsidRPr="00A06FAD">
              <w:rPr>
                <w:sz w:val="20"/>
                <w:szCs w:val="20"/>
                <w:lang w:val="en-GB"/>
              </w:rPr>
              <w:br w:type="page"/>
              <w:t>2.2. Provide capacity-building and advisory support to country offices in relation to anti-corruption and governance integrity diagnostics and measurement.</w:t>
            </w:r>
            <w:r w:rsidRPr="00A06FAD">
              <w:rPr>
                <w:color w:val="FFFFFF"/>
                <w:sz w:val="20"/>
                <w:szCs w:val="20"/>
                <w:lang w:val="en-GB"/>
              </w:rPr>
              <w:t xml:space="preserve"> </w:t>
            </w:r>
            <w:r w:rsidRPr="00A06FAD">
              <w:rPr>
                <w:i/>
                <w:color w:val="FFFFFF"/>
                <w:sz w:val="20"/>
                <w:szCs w:val="20"/>
                <w:lang w:val="en-GB"/>
              </w:rPr>
              <w:t>Action.</w:t>
            </w:r>
          </w:p>
        </w:tc>
        <w:tc>
          <w:tcPr>
            <w:tcW w:w="1350" w:type="dxa"/>
            <w:shd w:val="clear" w:color="auto" w:fill="auto"/>
          </w:tcPr>
          <w:p w14:paraId="6E0FABFF" w14:textId="7C8215AC" w:rsidR="00BB53C7" w:rsidRPr="00A06FAD" w:rsidRDefault="00BB53C7" w:rsidP="00045593">
            <w:pPr>
              <w:tabs>
                <w:tab w:val="left" w:pos="2880"/>
              </w:tabs>
              <w:spacing w:before="60"/>
              <w:rPr>
                <w:sz w:val="20"/>
                <w:szCs w:val="20"/>
                <w:lang w:val="en-GB"/>
              </w:rPr>
            </w:pPr>
            <w:r w:rsidRPr="00A06FAD">
              <w:rPr>
                <w:sz w:val="20"/>
                <w:szCs w:val="20"/>
                <w:lang w:val="en-GB"/>
              </w:rPr>
              <w:t xml:space="preserve">Continuous </w:t>
            </w:r>
            <w:r w:rsidR="00535744">
              <w:rPr>
                <w:sz w:val="20"/>
                <w:szCs w:val="20"/>
                <w:lang w:val="en-GB"/>
              </w:rPr>
              <w:t>(b</w:t>
            </w:r>
            <w:r w:rsidRPr="00A06FAD">
              <w:rPr>
                <w:sz w:val="20"/>
                <w:szCs w:val="20"/>
                <w:lang w:val="en-GB"/>
              </w:rPr>
              <w:t>y end 2018</w:t>
            </w:r>
            <w:r w:rsidR="00535744">
              <w:rPr>
                <w:sz w:val="20"/>
                <w:szCs w:val="20"/>
                <w:lang w:val="en-GB"/>
              </w:rPr>
              <w:t>)</w:t>
            </w:r>
          </w:p>
        </w:tc>
        <w:tc>
          <w:tcPr>
            <w:tcW w:w="3060" w:type="dxa"/>
            <w:shd w:val="clear" w:color="auto" w:fill="auto"/>
          </w:tcPr>
          <w:p w14:paraId="6A465457" w14:textId="66644845" w:rsidR="00BB53C7" w:rsidRPr="00A06FAD" w:rsidRDefault="00BB53C7" w:rsidP="00BB53C7">
            <w:pPr>
              <w:tabs>
                <w:tab w:val="left" w:pos="2880"/>
              </w:tabs>
              <w:rPr>
                <w:sz w:val="20"/>
                <w:szCs w:val="20"/>
                <w:lang w:val="en-GB"/>
              </w:rPr>
            </w:pPr>
            <w:r w:rsidRPr="00A06FAD">
              <w:rPr>
                <w:sz w:val="20"/>
                <w:szCs w:val="20"/>
                <w:lang w:val="en-GB"/>
              </w:rPr>
              <w:t xml:space="preserve">BPPS </w:t>
            </w:r>
            <w:r w:rsidR="00D0130C" w:rsidRPr="00A06FAD">
              <w:rPr>
                <w:sz w:val="20"/>
                <w:szCs w:val="20"/>
                <w:lang w:val="en-GB"/>
              </w:rPr>
              <w:t>(OGC in particular)</w:t>
            </w:r>
            <w:r w:rsidR="00535744">
              <w:rPr>
                <w:sz w:val="20"/>
                <w:szCs w:val="20"/>
                <w:lang w:val="en-GB"/>
              </w:rPr>
              <w:t>,</w:t>
            </w:r>
            <w:r w:rsidR="00D0130C" w:rsidRPr="00A06FAD">
              <w:rPr>
                <w:sz w:val="20"/>
                <w:szCs w:val="20"/>
                <w:lang w:val="en-GB"/>
              </w:rPr>
              <w:t xml:space="preserve"> </w:t>
            </w:r>
            <w:r w:rsidRPr="00A06FAD">
              <w:rPr>
                <w:sz w:val="20"/>
                <w:szCs w:val="20"/>
                <w:lang w:val="en-GB"/>
              </w:rPr>
              <w:t>in cooperation with</w:t>
            </w:r>
          </w:p>
          <w:p w14:paraId="271E6D71" w14:textId="77777777" w:rsidR="00BB53C7" w:rsidRPr="00A06FAD" w:rsidRDefault="00BB53C7" w:rsidP="00BB53C7">
            <w:pPr>
              <w:tabs>
                <w:tab w:val="left" w:pos="2880"/>
              </w:tabs>
              <w:rPr>
                <w:sz w:val="20"/>
                <w:szCs w:val="20"/>
                <w:lang w:val="en-GB"/>
              </w:rPr>
            </w:pPr>
            <w:r w:rsidRPr="00A06FAD">
              <w:rPr>
                <w:sz w:val="20"/>
                <w:szCs w:val="20"/>
                <w:lang w:val="en-GB"/>
              </w:rPr>
              <w:t>regional hubs and regional bureau</w:t>
            </w:r>
            <w:r w:rsidR="0038075C" w:rsidRPr="00A06FAD">
              <w:rPr>
                <w:sz w:val="20"/>
                <w:szCs w:val="20"/>
                <w:lang w:val="en-GB"/>
              </w:rPr>
              <w:t>s</w:t>
            </w:r>
          </w:p>
        </w:tc>
        <w:tc>
          <w:tcPr>
            <w:tcW w:w="1260" w:type="dxa"/>
            <w:gridSpan w:val="2"/>
            <w:shd w:val="clear" w:color="auto" w:fill="auto"/>
          </w:tcPr>
          <w:p w14:paraId="555947BD" w14:textId="77777777" w:rsidR="00BB53C7" w:rsidRPr="00A06FAD" w:rsidRDefault="00BB53C7" w:rsidP="00BB53C7">
            <w:pPr>
              <w:tabs>
                <w:tab w:val="left" w:pos="2880"/>
              </w:tabs>
              <w:rPr>
                <w:sz w:val="20"/>
                <w:szCs w:val="20"/>
                <w:lang w:val="en-GB"/>
              </w:rPr>
            </w:pPr>
          </w:p>
        </w:tc>
        <w:tc>
          <w:tcPr>
            <w:tcW w:w="1170" w:type="dxa"/>
            <w:gridSpan w:val="2"/>
            <w:shd w:val="clear" w:color="auto" w:fill="auto"/>
          </w:tcPr>
          <w:p w14:paraId="5D2206A2" w14:textId="77777777" w:rsidR="00BB53C7" w:rsidRPr="00A06FAD" w:rsidRDefault="00BB53C7" w:rsidP="00BB53C7">
            <w:pPr>
              <w:tabs>
                <w:tab w:val="left" w:pos="2880"/>
              </w:tabs>
              <w:rPr>
                <w:sz w:val="20"/>
                <w:szCs w:val="20"/>
                <w:lang w:val="en-GB"/>
              </w:rPr>
            </w:pPr>
          </w:p>
        </w:tc>
      </w:tr>
      <w:tr w:rsidR="00BB53C7" w:rsidRPr="00A06FAD" w14:paraId="49EA5A22" w14:textId="77777777" w:rsidTr="004243AA">
        <w:tc>
          <w:tcPr>
            <w:tcW w:w="14490" w:type="dxa"/>
            <w:gridSpan w:val="7"/>
            <w:tcBorders>
              <w:bottom w:val="single" w:sz="4" w:space="0" w:color="auto"/>
            </w:tcBorders>
            <w:shd w:val="clear" w:color="auto" w:fill="E6E6E6"/>
          </w:tcPr>
          <w:p w14:paraId="3548EE4A" w14:textId="6CBD1C8A" w:rsidR="00BB53C7" w:rsidRPr="00A06FAD" w:rsidRDefault="00353467" w:rsidP="00045593">
            <w:pPr>
              <w:pStyle w:val="normal2"/>
              <w:numPr>
                <w:ilvl w:val="0"/>
                <w:numId w:val="0"/>
              </w:numPr>
              <w:spacing w:before="60" w:after="60"/>
            </w:pPr>
            <w:r w:rsidRPr="002F0439">
              <w:rPr>
                <w:b/>
                <w:i/>
              </w:rPr>
              <w:t>Recommendation 4.</w:t>
            </w:r>
            <w:r w:rsidRPr="00A06FAD">
              <w:rPr>
                <w:b/>
              </w:rPr>
              <w:t xml:space="preserve"> </w:t>
            </w:r>
            <w:r w:rsidR="00391790" w:rsidRPr="00A06FAD">
              <w:rPr>
                <w:b/>
              </w:rPr>
              <w:t>Increase support for local</w:t>
            </w:r>
            <w:r w:rsidR="00414FD3" w:rsidRPr="00A06FAD">
              <w:rPr>
                <w:b/>
              </w:rPr>
              <w:t>-</w:t>
            </w:r>
            <w:r w:rsidR="00391790" w:rsidRPr="00A06FAD">
              <w:rPr>
                <w:b/>
              </w:rPr>
              <w:t>level initiatives to strengthen demand-side accountability, particularly concerning access to information and social accountability initiatives.</w:t>
            </w:r>
          </w:p>
        </w:tc>
      </w:tr>
      <w:tr w:rsidR="00BB53C7" w:rsidRPr="00A06FAD" w14:paraId="2E087C85" w14:textId="77777777" w:rsidTr="004243AA">
        <w:tc>
          <w:tcPr>
            <w:tcW w:w="14490" w:type="dxa"/>
            <w:gridSpan w:val="7"/>
            <w:shd w:val="clear" w:color="auto" w:fill="F3F3F3"/>
          </w:tcPr>
          <w:p w14:paraId="241EF260" w14:textId="0F8E5804" w:rsidR="002F0439" w:rsidRPr="00A06FAD" w:rsidRDefault="00BB53C7" w:rsidP="00045593">
            <w:pPr>
              <w:tabs>
                <w:tab w:val="left" w:pos="2880"/>
              </w:tabs>
              <w:spacing w:before="60" w:after="60"/>
              <w:rPr>
                <w:sz w:val="20"/>
                <w:szCs w:val="20"/>
                <w:lang w:val="en-GB"/>
              </w:rPr>
            </w:pPr>
            <w:r w:rsidRPr="00A06FAD">
              <w:rPr>
                <w:b/>
                <w:sz w:val="20"/>
                <w:szCs w:val="20"/>
                <w:lang w:val="en-GB"/>
              </w:rPr>
              <w:t xml:space="preserve">Management response: </w:t>
            </w:r>
            <w:r w:rsidRPr="00A06FAD">
              <w:rPr>
                <w:w w:val="103"/>
                <w:sz w:val="20"/>
                <w:szCs w:val="20"/>
                <w:lang w:val="en-GB"/>
              </w:rPr>
              <w:t xml:space="preserve">UNDP management fully agrees with the recommendation. During </w:t>
            </w:r>
            <w:r w:rsidR="001544FD">
              <w:rPr>
                <w:w w:val="103"/>
                <w:sz w:val="20"/>
                <w:szCs w:val="20"/>
                <w:lang w:val="en-GB"/>
              </w:rPr>
              <w:t xml:space="preserve">the </w:t>
            </w:r>
            <w:r w:rsidRPr="00A06FAD">
              <w:rPr>
                <w:w w:val="103"/>
                <w:sz w:val="20"/>
                <w:szCs w:val="20"/>
                <w:lang w:val="en-GB"/>
              </w:rPr>
              <w:t xml:space="preserve">last </w:t>
            </w:r>
            <w:r w:rsidR="002F0439">
              <w:rPr>
                <w:w w:val="103"/>
                <w:sz w:val="20"/>
                <w:szCs w:val="20"/>
                <w:lang w:val="en-GB"/>
              </w:rPr>
              <w:t>eight</w:t>
            </w:r>
            <w:r w:rsidR="002F0439" w:rsidRPr="00A06FAD">
              <w:rPr>
                <w:w w:val="103"/>
                <w:sz w:val="20"/>
                <w:szCs w:val="20"/>
                <w:lang w:val="en-GB"/>
              </w:rPr>
              <w:t xml:space="preserve"> </w:t>
            </w:r>
            <w:r w:rsidRPr="00A06FAD">
              <w:rPr>
                <w:w w:val="103"/>
                <w:sz w:val="20"/>
                <w:szCs w:val="20"/>
                <w:lang w:val="en-GB"/>
              </w:rPr>
              <w:t>years, UNDP contribut</w:t>
            </w:r>
            <w:r w:rsidR="002F0439">
              <w:rPr>
                <w:w w:val="103"/>
                <w:sz w:val="20"/>
                <w:szCs w:val="20"/>
                <w:lang w:val="en-GB"/>
              </w:rPr>
              <w:t>ed</w:t>
            </w:r>
            <w:r w:rsidRPr="00A06FAD">
              <w:rPr>
                <w:w w:val="103"/>
                <w:sz w:val="20"/>
                <w:szCs w:val="20"/>
                <w:lang w:val="en-GB"/>
              </w:rPr>
              <w:t xml:space="preserve"> to anti-corruption and </w:t>
            </w:r>
            <w:r w:rsidR="00391790" w:rsidRPr="00A06FAD">
              <w:rPr>
                <w:w w:val="103"/>
                <w:sz w:val="20"/>
                <w:szCs w:val="20"/>
                <w:lang w:val="en-GB"/>
              </w:rPr>
              <w:t>address</w:t>
            </w:r>
            <w:r w:rsidR="002F0439">
              <w:rPr>
                <w:w w:val="103"/>
                <w:sz w:val="20"/>
                <w:szCs w:val="20"/>
                <w:lang w:val="en-GB"/>
              </w:rPr>
              <w:t>ed</w:t>
            </w:r>
            <w:r w:rsidR="00391790" w:rsidRPr="00A06FAD">
              <w:rPr>
                <w:w w:val="103"/>
                <w:sz w:val="20"/>
                <w:szCs w:val="20"/>
                <w:lang w:val="en-GB"/>
              </w:rPr>
              <w:t xml:space="preserve"> drivers of corruption </w:t>
            </w:r>
            <w:r w:rsidRPr="00A06FAD">
              <w:rPr>
                <w:w w:val="103"/>
                <w:sz w:val="20"/>
                <w:szCs w:val="20"/>
                <w:lang w:val="en-GB"/>
              </w:rPr>
              <w:t>by strengthening its engagem</w:t>
            </w:r>
            <w:r w:rsidR="00A66E59" w:rsidRPr="00A06FAD">
              <w:rPr>
                <w:w w:val="103"/>
                <w:sz w:val="20"/>
                <w:szCs w:val="20"/>
                <w:lang w:val="en-GB"/>
              </w:rPr>
              <w:t xml:space="preserve">ent with youth, women’s groups, </w:t>
            </w:r>
            <w:r w:rsidRPr="00A06FAD">
              <w:rPr>
                <w:w w:val="103"/>
                <w:sz w:val="20"/>
                <w:szCs w:val="20"/>
                <w:lang w:val="en-GB"/>
              </w:rPr>
              <w:t>communities</w:t>
            </w:r>
            <w:r w:rsidR="00A66E59" w:rsidRPr="00A06FAD">
              <w:rPr>
                <w:w w:val="103"/>
                <w:sz w:val="20"/>
                <w:szCs w:val="20"/>
                <w:lang w:val="en-GB"/>
              </w:rPr>
              <w:t>,</w:t>
            </w:r>
            <w:r w:rsidRPr="00A06FAD">
              <w:rPr>
                <w:w w:val="103"/>
                <w:sz w:val="20"/>
                <w:szCs w:val="20"/>
                <w:lang w:val="en-GB"/>
              </w:rPr>
              <w:t xml:space="preserve"> and many local</w:t>
            </w:r>
            <w:r w:rsidR="002F0439">
              <w:rPr>
                <w:w w:val="103"/>
                <w:sz w:val="20"/>
                <w:szCs w:val="20"/>
                <w:lang w:val="en-GB"/>
              </w:rPr>
              <w:t>-</w:t>
            </w:r>
            <w:r w:rsidRPr="00A06FAD">
              <w:rPr>
                <w:w w:val="103"/>
                <w:sz w:val="20"/>
                <w:szCs w:val="20"/>
                <w:lang w:val="en-GB"/>
              </w:rPr>
              <w:t>level civil society actors and non-government organizations</w:t>
            </w:r>
            <w:r w:rsidR="002F0439">
              <w:rPr>
                <w:w w:val="103"/>
                <w:sz w:val="20"/>
                <w:szCs w:val="20"/>
                <w:lang w:val="en-GB"/>
              </w:rPr>
              <w:t>,</w:t>
            </w:r>
            <w:r w:rsidRPr="00A06FAD">
              <w:rPr>
                <w:w w:val="103"/>
                <w:sz w:val="20"/>
                <w:szCs w:val="20"/>
                <w:lang w:val="en-GB"/>
              </w:rPr>
              <w:t xml:space="preserve"> to raise the demand side of accountability. UNDP will continue its engagement with various civil society actors such as the Transparency International, Integrity Action and </w:t>
            </w:r>
            <w:r w:rsidR="002F0439">
              <w:rPr>
                <w:w w:val="103"/>
                <w:sz w:val="20"/>
                <w:szCs w:val="20"/>
                <w:lang w:val="en-GB"/>
              </w:rPr>
              <w:t xml:space="preserve">the </w:t>
            </w:r>
            <w:r w:rsidRPr="00A06FAD">
              <w:rPr>
                <w:w w:val="103"/>
                <w:sz w:val="20"/>
                <w:szCs w:val="20"/>
                <w:lang w:val="en-GB"/>
              </w:rPr>
              <w:t>Huairou Commission (the inte</w:t>
            </w:r>
            <w:r w:rsidR="002F0439">
              <w:rPr>
                <w:w w:val="103"/>
                <w:sz w:val="20"/>
                <w:szCs w:val="20"/>
                <w:lang w:val="en-GB"/>
              </w:rPr>
              <w:t>rna</w:t>
            </w:r>
            <w:r w:rsidRPr="00A06FAD">
              <w:rPr>
                <w:w w:val="103"/>
                <w:sz w:val="20"/>
                <w:szCs w:val="20"/>
                <w:lang w:val="en-GB"/>
              </w:rPr>
              <w:t>tional organization of grassroots women’s networks) at the global</w:t>
            </w:r>
            <w:r w:rsidR="002F0439">
              <w:rPr>
                <w:w w:val="103"/>
                <w:sz w:val="20"/>
                <w:szCs w:val="20"/>
                <w:lang w:val="en-GB"/>
              </w:rPr>
              <w:t xml:space="preserve"> level</w:t>
            </w:r>
            <w:r w:rsidRPr="00A06FAD">
              <w:rPr>
                <w:w w:val="103"/>
                <w:sz w:val="20"/>
                <w:szCs w:val="20"/>
                <w:lang w:val="en-GB"/>
              </w:rPr>
              <w:t>, while continuing its engagement with national and local</w:t>
            </w:r>
            <w:r w:rsidR="002F0439">
              <w:rPr>
                <w:w w:val="103"/>
                <w:sz w:val="20"/>
                <w:szCs w:val="20"/>
                <w:lang w:val="en-GB"/>
              </w:rPr>
              <w:t>-</w:t>
            </w:r>
            <w:r w:rsidRPr="00A06FAD">
              <w:rPr>
                <w:w w:val="103"/>
                <w:sz w:val="20"/>
                <w:szCs w:val="20"/>
                <w:lang w:val="en-GB"/>
              </w:rPr>
              <w:t xml:space="preserve">level </w:t>
            </w:r>
            <w:r w:rsidR="002F0439">
              <w:rPr>
                <w:w w:val="103"/>
                <w:sz w:val="20"/>
                <w:szCs w:val="20"/>
                <w:lang w:val="en-GB"/>
              </w:rPr>
              <w:t>civil society organizations (C</w:t>
            </w:r>
            <w:r w:rsidRPr="00A06FAD">
              <w:rPr>
                <w:w w:val="103"/>
                <w:sz w:val="20"/>
                <w:szCs w:val="20"/>
                <w:lang w:val="en-GB"/>
              </w:rPr>
              <w:t>SOs</w:t>
            </w:r>
            <w:r w:rsidR="002F0439">
              <w:rPr>
                <w:w w:val="103"/>
                <w:sz w:val="20"/>
                <w:szCs w:val="20"/>
                <w:lang w:val="en-GB"/>
              </w:rPr>
              <w:t>)</w:t>
            </w:r>
            <w:r w:rsidRPr="00A06FAD">
              <w:rPr>
                <w:w w:val="103"/>
                <w:sz w:val="20"/>
                <w:szCs w:val="20"/>
                <w:lang w:val="en-GB"/>
              </w:rPr>
              <w:t>, youth and women’s group, communities</w:t>
            </w:r>
            <w:r w:rsidR="00C24A28">
              <w:rPr>
                <w:w w:val="103"/>
                <w:sz w:val="20"/>
                <w:szCs w:val="20"/>
                <w:lang w:val="en-GB"/>
              </w:rPr>
              <w:t>,</w:t>
            </w:r>
            <w:r w:rsidRPr="00A06FAD">
              <w:rPr>
                <w:w w:val="103"/>
                <w:sz w:val="20"/>
                <w:szCs w:val="20"/>
                <w:lang w:val="en-GB"/>
              </w:rPr>
              <w:t xml:space="preserve"> and </w:t>
            </w:r>
            <w:r w:rsidR="002F0439">
              <w:rPr>
                <w:w w:val="103"/>
                <w:sz w:val="20"/>
                <w:szCs w:val="20"/>
                <w:lang w:val="en-GB"/>
              </w:rPr>
              <w:t>non-governmental organizations</w:t>
            </w:r>
            <w:r w:rsidR="002F0439" w:rsidRPr="00A06FAD">
              <w:rPr>
                <w:w w:val="103"/>
                <w:sz w:val="20"/>
                <w:szCs w:val="20"/>
                <w:lang w:val="en-GB"/>
              </w:rPr>
              <w:t xml:space="preserve"> </w:t>
            </w:r>
            <w:r w:rsidRPr="00A06FAD">
              <w:rPr>
                <w:w w:val="103"/>
                <w:sz w:val="20"/>
                <w:szCs w:val="20"/>
                <w:lang w:val="en-GB"/>
              </w:rPr>
              <w:t>to strengthen service delivery, budget</w:t>
            </w:r>
            <w:r w:rsidR="002F0439">
              <w:rPr>
                <w:w w:val="103"/>
                <w:sz w:val="20"/>
                <w:szCs w:val="20"/>
                <w:lang w:val="en-GB"/>
              </w:rPr>
              <w:t>s</w:t>
            </w:r>
            <w:r w:rsidRPr="00A06FAD">
              <w:rPr>
                <w:w w:val="103"/>
                <w:sz w:val="20"/>
                <w:szCs w:val="20"/>
                <w:lang w:val="en-GB"/>
              </w:rPr>
              <w:t xml:space="preserve"> and infrastructures</w:t>
            </w:r>
            <w:r w:rsidR="002F0439">
              <w:rPr>
                <w:w w:val="103"/>
                <w:sz w:val="20"/>
                <w:szCs w:val="20"/>
                <w:lang w:val="en-GB"/>
              </w:rPr>
              <w:t xml:space="preserve">, and the </w:t>
            </w:r>
            <w:r w:rsidR="002F0439" w:rsidRPr="00A06FAD">
              <w:rPr>
                <w:w w:val="103"/>
                <w:sz w:val="20"/>
                <w:szCs w:val="20"/>
                <w:lang w:val="en-GB"/>
              </w:rPr>
              <w:t>monitoring of corruption</w:t>
            </w:r>
            <w:r w:rsidRPr="00A06FAD">
              <w:rPr>
                <w:w w:val="103"/>
                <w:sz w:val="20"/>
                <w:szCs w:val="20"/>
                <w:lang w:val="en-GB"/>
              </w:rPr>
              <w:t xml:space="preserve">. UNDP will </w:t>
            </w:r>
            <w:r w:rsidR="002F0439">
              <w:rPr>
                <w:w w:val="103"/>
                <w:sz w:val="20"/>
                <w:szCs w:val="20"/>
                <w:lang w:val="en-GB"/>
              </w:rPr>
              <w:t>include</w:t>
            </w:r>
            <w:r w:rsidRPr="00A06FAD">
              <w:rPr>
                <w:w w:val="103"/>
                <w:sz w:val="20"/>
                <w:szCs w:val="20"/>
                <w:lang w:val="en-GB"/>
              </w:rPr>
              <w:t xml:space="preserve"> government and non-governmental actors to make sure that there is a two-way dialogue contributing to an effective feedback mechanism t</w:t>
            </w:r>
            <w:r w:rsidR="002F0439">
              <w:rPr>
                <w:w w:val="103"/>
                <w:sz w:val="20"/>
                <w:szCs w:val="20"/>
                <w:lang w:val="en-GB"/>
              </w:rPr>
              <w:t>hat</w:t>
            </w:r>
            <w:r w:rsidRPr="00A06FAD">
              <w:rPr>
                <w:w w:val="103"/>
                <w:sz w:val="20"/>
                <w:szCs w:val="20"/>
                <w:lang w:val="en-GB"/>
              </w:rPr>
              <w:t xml:space="preserve"> produce</w:t>
            </w:r>
            <w:r w:rsidR="002F0439">
              <w:rPr>
                <w:w w:val="103"/>
                <w:sz w:val="20"/>
                <w:szCs w:val="20"/>
                <w:lang w:val="en-GB"/>
              </w:rPr>
              <w:t>s</w:t>
            </w:r>
            <w:r w:rsidRPr="00A06FAD">
              <w:rPr>
                <w:w w:val="103"/>
                <w:sz w:val="20"/>
                <w:szCs w:val="20"/>
                <w:lang w:val="en-GB"/>
              </w:rPr>
              <w:t xml:space="preserve"> tangible results from the increase in demand</w:t>
            </w:r>
            <w:r w:rsidR="002F0439">
              <w:rPr>
                <w:w w:val="103"/>
                <w:sz w:val="20"/>
                <w:szCs w:val="20"/>
                <w:lang w:val="en-GB"/>
              </w:rPr>
              <w:t>-</w:t>
            </w:r>
            <w:r w:rsidRPr="00A06FAD">
              <w:rPr>
                <w:w w:val="103"/>
                <w:sz w:val="20"/>
                <w:szCs w:val="20"/>
                <w:lang w:val="en-GB"/>
              </w:rPr>
              <w:t>side accountability.</w:t>
            </w:r>
            <w:r w:rsidRPr="00A06FAD">
              <w:rPr>
                <w:sz w:val="20"/>
                <w:szCs w:val="20"/>
                <w:lang w:val="en-GB"/>
              </w:rPr>
              <w:t xml:space="preserve"> </w:t>
            </w:r>
          </w:p>
          <w:p w14:paraId="25CA0E7B" w14:textId="1A60EF14" w:rsidR="002F0439" w:rsidRDefault="002F0439" w:rsidP="00045593">
            <w:pPr>
              <w:pStyle w:val="normal2"/>
              <w:numPr>
                <w:ilvl w:val="0"/>
                <w:numId w:val="0"/>
              </w:numPr>
              <w:spacing w:before="60" w:after="60"/>
            </w:pPr>
            <w:r>
              <w:t>O</w:t>
            </w:r>
            <w:r w:rsidR="00BB53C7" w:rsidRPr="00A06FAD">
              <w:t xml:space="preserve">ne of the main objectives of UNDP initiatives </w:t>
            </w:r>
            <w:r>
              <w:t>will</w:t>
            </w:r>
            <w:r w:rsidRPr="00A06FAD">
              <w:t xml:space="preserve"> </w:t>
            </w:r>
            <w:r w:rsidR="00BB53C7" w:rsidRPr="00A06FAD">
              <w:t>be t</w:t>
            </w:r>
            <w:r>
              <w:t>o</w:t>
            </w:r>
            <w:r w:rsidR="00BB53C7" w:rsidRPr="00A06FAD">
              <w:t xml:space="preserve"> strengthen</w:t>
            </w:r>
            <w:r w:rsidR="00D0130C" w:rsidRPr="00A06FAD">
              <w:t xml:space="preserve"> </w:t>
            </w:r>
            <w:r w:rsidR="00BB53C7" w:rsidRPr="00A06FAD">
              <w:t>social accountability in the health, education, water, infrastructure</w:t>
            </w:r>
            <w:r w:rsidR="00D0130C" w:rsidRPr="00A06FAD">
              <w:t>, justice and security</w:t>
            </w:r>
            <w:r w:rsidR="00BB53C7" w:rsidRPr="00A06FAD">
              <w:t xml:space="preserve"> and other relevant sectors to contribute to </w:t>
            </w:r>
            <w:r w:rsidR="00C7698D" w:rsidRPr="00A06FAD">
              <w:t>a</w:t>
            </w:r>
            <w:r w:rsidR="00C7698D">
              <w:t>ttai</w:t>
            </w:r>
            <w:r w:rsidR="00C7698D" w:rsidRPr="00A06FAD">
              <w:t>nment</w:t>
            </w:r>
            <w:r w:rsidR="00BB53C7" w:rsidRPr="00A06FAD">
              <w:t xml:space="preserve"> of the SDGs. M</w:t>
            </w:r>
            <w:r>
              <w:t xml:space="preserve">easures will include: </w:t>
            </w:r>
          </w:p>
          <w:p w14:paraId="60C4F368" w14:textId="67E44FF5" w:rsidR="002F0439" w:rsidRDefault="002F0439" w:rsidP="00045593">
            <w:pPr>
              <w:pStyle w:val="normal2"/>
              <w:numPr>
                <w:ilvl w:val="0"/>
                <w:numId w:val="0"/>
              </w:numPr>
              <w:spacing w:before="60"/>
              <w:ind w:left="346"/>
            </w:pPr>
            <w:r>
              <w:t xml:space="preserve">(a) </w:t>
            </w:r>
            <w:r w:rsidR="00BB53C7" w:rsidRPr="00A06FAD">
              <w:t>Continue UNDP partnership with T</w:t>
            </w:r>
            <w:r w:rsidR="007921C9">
              <w:t>ransparency International</w:t>
            </w:r>
            <w:r w:rsidR="00BB53C7" w:rsidRPr="00A06FAD">
              <w:t xml:space="preserve"> and other global partners to raise the global demand for social accountability</w:t>
            </w:r>
            <w:r>
              <w:t xml:space="preserve">; </w:t>
            </w:r>
          </w:p>
          <w:p w14:paraId="5E7526FB" w14:textId="1E7F05F0" w:rsidR="002F0439" w:rsidRDefault="002F0439" w:rsidP="00045593">
            <w:pPr>
              <w:pStyle w:val="normal2"/>
              <w:numPr>
                <w:ilvl w:val="0"/>
                <w:numId w:val="0"/>
              </w:numPr>
              <w:spacing w:before="0"/>
              <w:ind w:left="346"/>
            </w:pPr>
            <w:r>
              <w:t xml:space="preserve">(b) </w:t>
            </w:r>
            <w:r w:rsidR="00BB53C7" w:rsidRPr="00A06FAD">
              <w:t xml:space="preserve">At the national and local level, work with civil society actors and the private sector to promote and scale </w:t>
            </w:r>
            <w:r w:rsidR="007921C9">
              <w:t xml:space="preserve">up </w:t>
            </w:r>
            <w:r w:rsidR="00BB53C7" w:rsidRPr="00A06FAD">
              <w:t>successful initiatives on open data, access to information, and procurement transparency in service delivery at the local level</w:t>
            </w:r>
            <w:r>
              <w:t xml:space="preserve">; </w:t>
            </w:r>
          </w:p>
          <w:p w14:paraId="7D26B10D" w14:textId="0A13821C" w:rsidR="002F0439" w:rsidRDefault="002F0439" w:rsidP="00045593">
            <w:pPr>
              <w:pStyle w:val="normal2"/>
              <w:numPr>
                <w:ilvl w:val="0"/>
                <w:numId w:val="0"/>
              </w:numPr>
              <w:spacing w:before="0"/>
              <w:ind w:left="346"/>
            </w:pPr>
            <w:r>
              <w:t xml:space="preserve">(c) </w:t>
            </w:r>
            <w:r w:rsidR="00BB53C7" w:rsidRPr="00A06FAD">
              <w:t xml:space="preserve">Continue </w:t>
            </w:r>
            <w:r w:rsidR="00C24A28">
              <w:t xml:space="preserve">to </w:t>
            </w:r>
            <w:r w:rsidR="00BB53C7" w:rsidRPr="00A06FAD">
              <w:t>support the monitoring of budgets, expenditure and services by civil society and the community, including through the adoption of new technologies to monitor services</w:t>
            </w:r>
            <w:r>
              <w:t xml:space="preserve">; </w:t>
            </w:r>
          </w:p>
          <w:p w14:paraId="0BDFEA1B" w14:textId="25460439" w:rsidR="002F0439" w:rsidRDefault="002F0439" w:rsidP="00045593">
            <w:pPr>
              <w:pStyle w:val="normal2"/>
              <w:numPr>
                <w:ilvl w:val="0"/>
                <w:numId w:val="0"/>
              </w:numPr>
              <w:spacing w:before="0"/>
              <w:ind w:left="346"/>
            </w:pPr>
            <w:r>
              <w:t xml:space="preserve">(d) </w:t>
            </w:r>
            <w:r w:rsidR="00BB53C7" w:rsidRPr="00A06FAD">
              <w:t xml:space="preserve">Strengthen women’s networks to improve transparency and accountability in service delivery by scaling </w:t>
            </w:r>
            <w:r w:rsidR="007921C9">
              <w:t xml:space="preserve">up </w:t>
            </w:r>
            <w:r w:rsidR="00BB53C7" w:rsidRPr="00A06FAD">
              <w:t>successful local and national</w:t>
            </w:r>
            <w:r w:rsidR="007921C9">
              <w:t>-</w:t>
            </w:r>
            <w:r w:rsidR="00BB53C7" w:rsidRPr="00A06FAD">
              <w:t>level initiatives</w:t>
            </w:r>
            <w:r>
              <w:t xml:space="preserve">; and </w:t>
            </w:r>
          </w:p>
          <w:p w14:paraId="7B19F63D" w14:textId="0C7EC922" w:rsidR="00BB53C7" w:rsidRPr="00A06FAD" w:rsidRDefault="002F0439" w:rsidP="00045593">
            <w:pPr>
              <w:pStyle w:val="normal2"/>
              <w:numPr>
                <w:ilvl w:val="0"/>
                <w:numId w:val="0"/>
              </w:numPr>
              <w:spacing w:before="0" w:after="60"/>
              <w:ind w:left="342"/>
            </w:pPr>
            <w:r>
              <w:t xml:space="preserve">(e) </w:t>
            </w:r>
            <w:r w:rsidR="00BB53C7" w:rsidRPr="00A06FAD">
              <w:t>Provide support to youth networks for their innovative social accountability projects.</w:t>
            </w:r>
          </w:p>
        </w:tc>
      </w:tr>
      <w:tr w:rsidR="00BB53C7" w:rsidRPr="00A06FAD" w14:paraId="75D0CCF3" w14:textId="77777777" w:rsidTr="000B38A1">
        <w:tc>
          <w:tcPr>
            <w:tcW w:w="7650" w:type="dxa"/>
            <w:shd w:val="clear" w:color="auto" w:fill="auto"/>
          </w:tcPr>
          <w:p w14:paraId="5224D90B" w14:textId="1B36280A" w:rsidR="00482C8B" w:rsidRPr="00A06FAD" w:rsidRDefault="00BB53C7" w:rsidP="00045593">
            <w:pPr>
              <w:spacing w:before="60" w:after="60"/>
              <w:rPr>
                <w:sz w:val="20"/>
                <w:szCs w:val="20"/>
                <w:lang w:val="en-GB"/>
              </w:rPr>
            </w:pPr>
            <w:r w:rsidRPr="00A06FAD">
              <w:rPr>
                <w:sz w:val="20"/>
                <w:szCs w:val="20"/>
                <w:lang w:val="en-GB"/>
              </w:rPr>
              <w:t>4.1. Provide capacity-building and advisory support to country offices on how the country</w:t>
            </w:r>
            <w:r w:rsidR="00045593">
              <w:rPr>
                <w:sz w:val="20"/>
                <w:szCs w:val="20"/>
                <w:lang w:val="en-GB"/>
              </w:rPr>
              <w:t>-</w:t>
            </w:r>
            <w:r w:rsidRPr="00A06FAD">
              <w:rPr>
                <w:sz w:val="20"/>
                <w:szCs w:val="20"/>
                <w:lang w:val="en-GB"/>
              </w:rPr>
              <w:t xml:space="preserve">level projects could enhance their engagement </w:t>
            </w:r>
            <w:r w:rsidR="00045593">
              <w:rPr>
                <w:sz w:val="20"/>
                <w:szCs w:val="20"/>
                <w:lang w:val="en-GB"/>
              </w:rPr>
              <w:t>i</w:t>
            </w:r>
            <w:r w:rsidRPr="00A06FAD">
              <w:rPr>
                <w:sz w:val="20"/>
                <w:szCs w:val="20"/>
                <w:lang w:val="en-GB"/>
              </w:rPr>
              <w:t>n social accountability</w:t>
            </w:r>
            <w:r w:rsidR="00045593">
              <w:rPr>
                <w:sz w:val="20"/>
                <w:szCs w:val="20"/>
                <w:lang w:val="en-GB"/>
              </w:rPr>
              <w:t>,</w:t>
            </w:r>
            <w:r w:rsidRPr="00A06FAD">
              <w:rPr>
                <w:sz w:val="20"/>
                <w:szCs w:val="20"/>
                <w:lang w:val="en-GB"/>
              </w:rPr>
              <w:t xml:space="preserve"> including monitoring and oversight related to the SDGs.</w:t>
            </w:r>
          </w:p>
        </w:tc>
        <w:tc>
          <w:tcPr>
            <w:tcW w:w="1350" w:type="dxa"/>
            <w:shd w:val="clear" w:color="auto" w:fill="auto"/>
          </w:tcPr>
          <w:p w14:paraId="6AA765C4" w14:textId="77777777" w:rsidR="00BB53C7" w:rsidRPr="00A06FAD" w:rsidRDefault="00BB53C7" w:rsidP="00BB53C7">
            <w:pPr>
              <w:tabs>
                <w:tab w:val="left" w:pos="2880"/>
              </w:tabs>
              <w:rPr>
                <w:sz w:val="20"/>
                <w:szCs w:val="20"/>
                <w:lang w:val="en-GB"/>
              </w:rPr>
            </w:pPr>
            <w:r w:rsidRPr="00A06FAD">
              <w:rPr>
                <w:sz w:val="20"/>
                <w:szCs w:val="20"/>
                <w:lang w:val="en-GB"/>
              </w:rPr>
              <w:t>By December 2018</w:t>
            </w:r>
          </w:p>
        </w:tc>
        <w:tc>
          <w:tcPr>
            <w:tcW w:w="3060" w:type="dxa"/>
            <w:shd w:val="clear" w:color="auto" w:fill="auto"/>
          </w:tcPr>
          <w:p w14:paraId="32F80A30" w14:textId="77777777" w:rsidR="00BB53C7" w:rsidRPr="00A06FAD" w:rsidRDefault="00BB53C7" w:rsidP="00BB53C7">
            <w:pPr>
              <w:tabs>
                <w:tab w:val="left" w:pos="2880"/>
              </w:tabs>
              <w:rPr>
                <w:sz w:val="20"/>
                <w:szCs w:val="20"/>
                <w:lang w:val="en-GB"/>
              </w:rPr>
            </w:pPr>
            <w:r w:rsidRPr="00A06FAD">
              <w:rPr>
                <w:sz w:val="20"/>
                <w:szCs w:val="20"/>
                <w:lang w:val="en-GB"/>
              </w:rPr>
              <w:t>BPPS and regional hubs</w:t>
            </w:r>
          </w:p>
        </w:tc>
        <w:tc>
          <w:tcPr>
            <w:tcW w:w="1260" w:type="dxa"/>
            <w:gridSpan w:val="2"/>
            <w:shd w:val="clear" w:color="auto" w:fill="auto"/>
          </w:tcPr>
          <w:p w14:paraId="70ABA22F" w14:textId="77777777" w:rsidR="00BB53C7" w:rsidRPr="00A06FAD" w:rsidRDefault="00BB53C7" w:rsidP="00BB53C7">
            <w:pPr>
              <w:tabs>
                <w:tab w:val="left" w:pos="2880"/>
              </w:tabs>
              <w:rPr>
                <w:sz w:val="20"/>
                <w:szCs w:val="20"/>
                <w:lang w:val="en-GB"/>
              </w:rPr>
            </w:pPr>
          </w:p>
        </w:tc>
        <w:tc>
          <w:tcPr>
            <w:tcW w:w="1170" w:type="dxa"/>
            <w:gridSpan w:val="2"/>
            <w:shd w:val="clear" w:color="auto" w:fill="auto"/>
          </w:tcPr>
          <w:p w14:paraId="0379E19C" w14:textId="77777777" w:rsidR="00BB53C7" w:rsidRPr="00A06FAD" w:rsidRDefault="00BB53C7" w:rsidP="00BB53C7">
            <w:pPr>
              <w:tabs>
                <w:tab w:val="left" w:pos="2880"/>
              </w:tabs>
              <w:rPr>
                <w:sz w:val="20"/>
                <w:szCs w:val="20"/>
                <w:lang w:val="en-GB"/>
              </w:rPr>
            </w:pPr>
          </w:p>
        </w:tc>
      </w:tr>
      <w:tr w:rsidR="00BB53C7" w:rsidRPr="00A06FAD" w14:paraId="689BFB0B" w14:textId="77777777" w:rsidTr="000B38A1">
        <w:tc>
          <w:tcPr>
            <w:tcW w:w="7650" w:type="dxa"/>
            <w:shd w:val="clear" w:color="auto" w:fill="auto"/>
          </w:tcPr>
          <w:p w14:paraId="665377B7" w14:textId="4CD740C5" w:rsidR="00BB53C7" w:rsidRPr="00A06FAD" w:rsidRDefault="00BB53C7" w:rsidP="00045593">
            <w:pPr>
              <w:tabs>
                <w:tab w:val="left" w:pos="2880"/>
              </w:tabs>
              <w:spacing w:before="60" w:after="60"/>
              <w:rPr>
                <w:sz w:val="20"/>
                <w:szCs w:val="20"/>
                <w:lang w:val="en-GB"/>
              </w:rPr>
            </w:pPr>
            <w:r w:rsidRPr="00A06FAD">
              <w:rPr>
                <w:sz w:val="20"/>
                <w:szCs w:val="20"/>
                <w:lang w:val="en-GB"/>
              </w:rPr>
              <w:t>4.2. Provide capacity-building support to national and local</w:t>
            </w:r>
            <w:r w:rsidR="007921C9">
              <w:rPr>
                <w:sz w:val="20"/>
                <w:szCs w:val="20"/>
                <w:lang w:val="en-GB"/>
              </w:rPr>
              <w:t>-</w:t>
            </w:r>
            <w:r w:rsidRPr="00A06FAD">
              <w:rPr>
                <w:sz w:val="20"/>
                <w:szCs w:val="20"/>
                <w:lang w:val="en-GB"/>
              </w:rPr>
              <w:t xml:space="preserve">level youth and women’s groups, CSOs and community organizations on how they could work together with government authorities </w:t>
            </w:r>
            <w:r w:rsidR="00045593">
              <w:rPr>
                <w:sz w:val="20"/>
                <w:szCs w:val="20"/>
                <w:lang w:val="en-GB"/>
              </w:rPr>
              <w:t>to</w:t>
            </w:r>
            <w:r w:rsidR="00045593" w:rsidRPr="00A06FAD">
              <w:rPr>
                <w:sz w:val="20"/>
                <w:szCs w:val="20"/>
                <w:lang w:val="en-GB"/>
              </w:rPr>
              <w:t xml:space="preserve"> </w:t>
            </w:r>
            <w:r w:rsidRPr="00A06FAD">
              <w:rPr>
                <w:sz w:val="20"/>
                <w:szCs w:val="20"/>
                <w:lang w:val="en-GB"/>
              </w:rPr>
              <w:t xml:space="preserve">monitor services, budgets and infrastructures. </w:t>
            </w:r>
          </w:p>
        </w:tc>
        <w:tc>
          <w:tcPr>
            <w:tcW w:w="1350" w:type="dxa"/>
            <w:shd w:val="clear" w:color="auto" w:fill="auto"/>
          </w:tcPr>
          <w:p w14:paraId="2B24A7FC" w14:textId="77777777" w:rsidR="00BB53C7" w:rsidRPr="00A06FAD" w:rsidRDefault="00BB53C7" w:rsidP="00045593">
            <w:pPr>
              <w:spacing w:before="60"/>
              <w:rPr>
                <w:sz w:val="20"/>
                <w:szCs w:val="20"/>
                <w:lang w:val="en-GB"/>
              </w:rPr>
            </w:pPr>
            <w:r w:rsidRPr="00A06FAD">
              <w:rPr>
                <w:sz w:val="20"/>
                <w:szCs w:val="20"/>
                <w:lang w:val="en-GB"/>
              </w:rPr>
              <w:t>By December 2018</w:t>
            </w:r>
          </w:p>
        </w:tc>
        <w:tc>
          <w:tcPr>
            <w:tcW w:w="3060" w:type="dxa"/>
            <w:shd w:val="clear" w:color="auto" w:fill="auto"/>
          </w:tcPr>
          <w:p w14:paraId="384D35BB" w14:textId="77777777" w:rsidR="00BB53C7" w:rsidRPr="00A06FAD" w:rsidRDefault="00BB53C7" w:rsidP="00045593">
            <w:pPr>
              <w:tabs>
                <w:tab w:val="left" w:pos="2880"/>
              </w:tabs>
              <w:spacing w:before="60"/>
              <w:rPr>
                <w:sz w:val="20"/>
                <w:szCs w:val="20"/>
                <w:lang w:val="en-GB"/>
              </w:rPr>
            </w:pPr>
            <w:r w:rsidRPr="00A06FAD">
              <w:rPr>
                <w:sz w:val="20"/>
                <w:szCs w:val="20"/>
                <w:lang w:val="en-GB"/>
              </w:rPr>
              <w:t xml:space="preserve">BPPS and regional hubs </w:t>
            </w:r>
          </w:p>
        </w:tc>
        <w:tc>
          <w:tcPr>
            <w:tcW w:w="1260" w:type="dxa"/>
            <w:gridSpan w:val="2"/>
            <w:shd w:val="clear" w:color="auto" w:fill="auto"/>
          </w:tcPr>
          <w:p w14:paraId="05130FD8" w14:textId="77777777" w:rsidR="00BB53C7" w:rsidRPr="00A06FAD" w:rsidRDefault="00BB53C7" w:rsidP="00BB53C7">
            <w:pPr>
              <w:tabs>
                <w:tab w:val="left" w:pos="2880"/>
              </w:tabs>
              <w:rPr>
                <w:sz w:val="20"/>
                <w:szCs w:val="20"/>
                <w:lang w:val="en-GB"/>
              </w:rPr>
            </w:pPr>
          </w:p>
        </w:tc>
        <w:tc>
          <w:tcPr>
            <w:tcW w:w="1170" w:type="dxa"/>
            <w:gridSpan w:val="2"/>
            <w:shd w:val="clear" w:color="auto" w:fill="auto"/>
          </w:tcPr>
          <w:p w14:paraId="47537AD4" w14:textId="77777777" w:rsidR="00BB53C7" w:rsidRPr="00A06FAD" w:rsidRDefault="00BB53C7" w:rsidP="00BB53C7">
            <w:pPr>
              <w:tabs>
                <w:tab w:val="left" w:pos="2880"/>
              </w:tabs>
              <w:rPr>
                <w:sz w:val="20"/>
                <w:szCs w:val="20"/>
                <w:lang w:val="en-GB"/>
              </w:rPr>
            </w:pPr>
          </w:p>
        </w:tc>
      </w:tr>
      <w:tr w:rsidR="00391790" w:rsidRPr="00A06FAD" w14:paraId="6EE261E9" w14:textId="77777777" w:rsidTr="000B38A1">
        <w:tc>
          <w:tcPr>
            <w:tcW w:w="7650" w:type="dxa"/>
            <w:shd w:val="clear" w:color="auto" w:fill="auto"/>
          </w:tcPr>
          <w:p w14:paraId="42FAC1A4" w14:textId="700281F0" w:rsidR="00391790" w:rsidRPr="00A06FAD" w:rsidRDefault="00391790" w:rsidP="00045593">
            <w:pPr>
              <w:tabs>
                <w:tab w:val="left" w:pos="2880"/>
              </w:tabs>
              <w:spacing w:before="60" w:after="60"/>
              <w:rPr>
                <w:sz w:val="20"/>
                <w:szCs w:val="20"/>
                <w:lang w:val="en-GB"/>
              </w:rPr>
            </w:pPr>
            <w:r w:rsidRPr="00A06FAD">
              <w:rPr>
                <w:sz w:val="20"/>
                <w:szCs w:val="20"/>
                <w:lang w:val="en-GB"/>
              </w:rPr>
              <w:t>4.3</w:t>
            </w:r>
            <w:r w:rsidR="00E167DE">
              <w:rPr>
                <w:sz w:val="20"/>
                <w:szCs w:val="20"/>
                <w:lang w:val="en-GB"/>
              </w:rPr>
              <w:t>.</w:t>
            </w:r>
            <w:r w:rsidRPr="00A06FAD">
              <w:rPr>
                <w:sz w:val="20"/>
                <w:szCs w:val="20"/>
                <w:lang w:val="en-GB"/>
              </w:rPr>
              <w:t xml:space="preserve"> Continue UNDP engagement </w:t>
            </w:r>
            <w:r w:rsidR="00045593">
              <w:rPr>
                <w:sz w:val="20"/>
                <w:szCs w:val="20"/>
                <w:lang w:val="en-GB"/>
              </w:rPr>
              <w:t>i</w:t>
            </w:r>
            <w:r w:rsidRPr="00A06FAD">
              <w:rPr>
                <w:sz w:val="20"/>
                <w:szCs w:val="20"/>
                <w:lang w:val="en-GB"/>
              </w:rPr>
              <w:t>n knowledge, advocacy and partnership to integrate anti-corruption in</w:t>
            </w:r>
            <w:r w:rsidR="00045593">
              <w:rPr>
                <w:sz w:val="20"/>
                <w:szCs w:val="20"/>
                <w:lang w:val="en-GB"/>
              </w:rPr>
              <w:t>to</w:t>
            </w:r>
            <w:r w:rsidRPr="00A06FAD">
              <w:rPr>
                <w:sz w:val="20"/>
                <w:szCs w:val="20"/>
                <w:lang w:val="en-GB"/>
              </w:rPr>
              <w:t xml:space="preserve"> local development and urban governance agenda</w:t>
            </w:r>
            <w:r w:rsidR="00482C8B" w:rsidRPr="00A06FAD">
              <w:rPr>
                <w:sz w:val="20"/>
                <w:szCs w:val="20"/>
                <w:lang w:val="en-GB"/>
              </w:rPr>
              <w:t>, including through work on open data, open budgeting and open contracting as part of the</w:t>
            </w:r>
            <w:r w:rsidR="00045593">
              <w:rPr>
                <w:sz w:val="20"/>
                <w:szCs w:val="20"/>
                <w:lang w:val="en-GB"/>
              </w:rPr>
              <w:t xml:space="preserve"> ‘</w:t>
            </w:r>
            <w:r w:rsidR="00045593" w:rsidRPr="00A06FAD">
              <w:rPr>
                <w:sz w:val="20"/>
                <w:szCs w:val="20"/>
                <w:lang w:val="en-GB"/>
              </w:rPr>
              <w:t>smart cities</w:t>
            </w:r>
            <w:r w:rsidR="00045593">
              <w:rPr>
                <w:sz w:val="20"/>
                <w:szCs w:val="20"/>
                <w:lang w:val="en-GB"/>
              </w:rPr>
              <w:t>’</w:t>
            </w:r>
            <w:r w:rsidR="00482C8B" w:rsidRPr="00A06FAD">
              <w:rPr>
                <w:sz w:val="20"/>
                <w:szCs w:val="20"/>
                <w:lang w:val="en-GB"/>
              </w:rPr>
              <w:t xml:space="preserve"> </w:t>
            </w:r>
            <w:r w:rsidR="006968AC" w:rsidRPr="00A06FAD">
              <w:rPr>
                <w:sz w:val="20"/>
                <w:szCs w:val="20"/>
                <w:lang w:val="en-GB"/>
              </w:rPr>
              <w:t>initiative.</w:t>
            </w:r>
          </w:p>
        </w:tc>
        <w:tc>
          <w:tcPr>
            <w:tcW w:w="1350" w:type="dxa"/>
            <w:shd w:val="clear" w:color="auto" w:fill="auto"/>
          </w:tcPr>
          <w:p w14:paraId="28E398F4" w14:textId="26D1CADB" w:rsidR="00391790" w:rsidRPr="00A06FAD" w:rsidRDefault="00391790" w:rsidP="00BB53C7">
            <w:pPr>
              <w:rPr>
                <w:sz w:val="20"/>
                <w:szCs w:val="20"/>
                <w:lang w:val="en-GB"/>
              </w:rPr>
            </w:pPr>
            <w:r w:rsidRPr="00A06FAD">
              <w:rPr>
                <w:sz w:val="20"/>
                <w:szCs w:val="20"/>
                <w:lang w:val="en-GB"/>
              </w:rPr>
              <w:t xml:space="preserve">Continuous </w:t>
            </w:r>
            <w:r w:rsidR="00C24A28">
              <w:rPr>
                <w:sz w:val="20"/>
                <w:szCs w:val="20"/>
                <w:lang w:val="en-GB"/>
              </w:rPr>
              <w:t>(b</w:t>
            </w:r>
            <w:r w:rsidRPr="00A06FAD">
              <w:rPr>
                <w:sz w:val="20"/>
                <w:szCs w:val="20"/>
                <w:lang w:val="en-GB"/>
              </w:rPr>
              <w:t>y end 2018</w:t>
            </w:r>
            <w:r w:rsidR="00C24A28">
              <w:rPr>
                <w:sz w:val="20"/>
                <w:szCs w:val="20"/>
                <w:lang w:val="en-GB"/>
              </w:rPr>
              <w:t>)</w:t>
            </w:r>
          </w:p>
        </w:tc>
        <w:tc>
          <w:tcPr>
            <w:tcW w:w="3060" w:type="dxa"/>
            <w:shd w:val="clear" w:color="auto" w:fill="auto"/>
          </w:tcPr>
          <w:p w14:paraId="3E6FA374" w14:textId="77777777" w:rsidR="00391790" w:rsidRPr="00A06FAD" w:rsidRDefault="00391790" w:rsidP="00391790">
            <w:pPr>
              <w:tabs>
                <w:tab w:val="left" w:pos="2880"/>
              </w:tabs>
              <w:rPr>
                <w:sz w:val="20"/>
                <w:szCs w:val="20"/>
                <w:lang w:val="en-GB"/>
              </w:rPr>
            </w:pPr>
            <w:r w:rsidRPr="00A06FAD">
              <w:rPr>
                <w:sz w:val="20"/>
                <w:szCs w:val="20"/>
                <w:lang w:val="en-GB"/>
              </w:rPr>
              <w:t xml:space="preserve">BPPS and regional hubs (with relevant partners) </w:t>
            </w:r>
          </w:p>
          <w:p w14:paraId="5BDE78AC" w14:textId="502EEA6E" w:rsidR="00482C8B" w:rsidRPr="00A06FAD" w:rsidRDefault="00482C8B" w:rsidP="00045593">
            <w:pPr>
              <w:tabs>
                <w:tab w:val="left" w:pos="2880"/>
              </w:tabs>
              <w:rPr>
                <w:sz w:val="20"/>
                <w:szCs w:val="20"/>
                <w:lang w:val="en-GB"/>
              </w:rPr>
            </w:pPr>
            <w:r w:rsidRPr="00A06FAD">
              <w:rPr>
                <w:sz w:val="20"/>
                <w:szCs w:val="20"/>
                <w:lang w:val="en-GB"/>
              </w:rPr>
              <w:t>Regional Bureau for Eastern Europ</w:t>
            </w:r>
            <w:r w:rsidR="008D3072" w:rsidRPr="00A06FAD">
              <w:rPr>
                <w:sz w:val="20"/>
                <w:szCs w:val="20"/>
                <w:lang w:val="en-GB"/>
              </w:rPr>
              <w:t>e</w:t>
            </w:r>
            <w:r w:rsidR="00045593">
              <w:rPr>
                <w:sz w:val="20"/>
                <w:szCs w:val="20"/>
                <w:lang w:val="en-GB"/>
              </w:rPr>
              <w:t xml:space="preserve"> (</w:t>
            </w:r>
            <w:r w:rsidRPr="00A06FAD">
              <w:rPr>
                <w:sz w:val="20"/>
                <w:szCs w:val="20"/>
                <w:lang w:val="en-GB"/>
              </w:rPr>
              <w:t xml:space="preserve">on open data </w:t>
            </w:r>
            <w:r w:rsidR="00045593" w:rsidRPr="00A06FAD">
              <w:rPr>
                <w:sz w:val="20"/>
                <w:szCs w:val="20"/>
                <w:lang w:val="en-GB"/>
              </w:rPr>
              <w:t>in particular</w:t>
            </w:r>
            <w:r w:rsidR="00045593">
              <w:rPr>
                <w:sz w:val="20"/>
                <w:szCs w:val="20"/>
                <w:lang w:val="en-GB"/>
              </w:rPr>
              <w:t>)</w:t>
            </w:r>
          </w:p>
        </w:tc>
        <w:tc>
          <w:tcPr>
            <w:tcW w:w="1260" w:type="dxa"/>
            <w:gridSpan w:val="2"/>
            <w:shd w:val="clear" w:color="auto" w:fill="auto"/>
          </w:tcPr>
          <w:p w14:paraId="00C84F08" w14:textId="77777777" w:rsidR="00391790" w:rsidRPr="00A06FAD" w:rsidRDefault="00391790" w:rsidP="00BB53C7">
            <w:pPr>
              <w:tabs>
                <w:tab w:val="left" w:pos="2880"/>
              </w:tabs>
              <w:rPr>
                <w:sz w:val="20"/>
                <w:szCs w:val="20"/>
                <w:lang w:val="en-GB"/>
              </w:rPr>
            </w:pPr>
          </w:p>
        </w:tc>
        <w:tc>
          <w:tcPr>
            <w:tcW w:w="1170" w:type="dxa"/>
            <w:gridSpan w:val="2"/>
            <w:shd w:val="clear" w:color="auto" w:fill="auto"/>
          </w:tcPr>
          <w:p w14:paraId="1F8C92A4" w14:textId="77777777" w:rsidR="00391790" w:rsidRPr="00A06FAD" w:rsidRDefault="00391790" w:rsidP="00BB53C7">
            <w:pPr>
              <w:tabs>
                <w:tab w:val="left" w:pos="2880"/>
              </w:tabs>
              <w:rPr>
                <w:sz w:val="20"/>
                <w:szCs w:val="20"/>
                <w:lang w:val="en-GB"/>
              </w:rPr>
            </w:pPr>
          </w:p>
        </w:tc>
      </w:tr>
      <w:tr w:rsidR="00BB53C7" w:rsidRPr="00A06FAD" w14:paraId="4BC50C98" w14:textId="77777777" w:rsidTr="00E06989">
        <w:tc>
          <w:tcPr>
            <w:tcW w:w="14490" w:type="dxa"/>
            <w:gridSpan w:val="7"/>
            <w:tcBorders>
              <w:bottom w:val="single" w:sz="4" w:space="0" w:color="auto"/>
            </w:tcBorders>
            <w:shd w:val="clear" w:color="auto" w:fill="E6E6E6"/>
          </w:tcPr>
          <w:p w14:paraId="286BD487" w14:textId="249C2090" w:rsidR="00353467" w:rsidRPr="00A06FAD" w:rsidRDefault="00353467" w:rsidP="00045593">
            <w:pPr>
              <w:spacing w:before="60" w:after="60"/>
              <w:rPr>
                <w:b/>
                <w:sz w:val="20"/>
                <w:szCs w:val="20"/>
                <w:lang w:val="en-GB"/>
              </w:rPr>
            </w:pPr>
            <w:r w:rsidRPr="00045593">
              <w:rPr>
                <w:b/>
                <w:i/>
                <w:sz w:val="20"/>
                <w:szCs w:val="20"/>
                <w:lang w:val="en-GB"/>
              </w:rPr>
              <w:t>Recommendation 5.</w:t>
            </w:r>
            <w:r w:rsidRPr="00A06FAD">
              <w:rPr>
                <w:b/>
                <w:sz w:val="20"/>
                <w:szCs w:val="20"/>
                <w:lang w:val="en-GB"/>
              </w:rPr>
              <w:t xml:space="preserve"> </w:t>
            </w:r>
            <w:r w:rsidR="001168EC" w:rsidRPr="00A06FAD">
              <w:rPr>
                <w:b/>
                <w:sz w:val="20"/>
                <w:szCs w:val="20"/>
                <w:lang w:val="en-GB"/>
              </w:rPr>
              <w:t>Further strengthen global and regional anti-corruption projects to support country programmes as well as to enable UNDP to contribute to regional and global policy debates and advocacy. Global and regional projects should be used to develop key streams of programme support at the country level.</w:t>
            </w:r>
          </w:p>
        </w:tc>
      </w:tr>
      <w:tr w:rsidR="00BB53C7" w:rsidRPr="00A06FAD" w14:paraId="477694B1" w14:textId="77777777" w:rsidTr="00E06989">
        <w:tc>
          <w:tcPr>
            <w:tcW w:w="14490" w:type="dxa"/>
            <w:gridSpan w:val="7"/>
            <w:shd w:val="clear" w:color="auto" w:fill="F3F3F3"/>
          </w:tcPr>
          <w:p w14:paraId="6180FCFB" w14:textId="6FB78D17" w:rsidR="009977A3" w:rsidRPr="00A06FAD" w:rsidRDefault="00BB53C7" w:rsidP="00045593">
            <w:pPr>
              <w:spacing w:before="60" w:after="60"/>
              <w:rPr>
                <w:sz w:val="20"/>
                <w:szCs w:val="20"/>
                <w:lang w:val="en-GB"/>
              </w:rPr>
            </w:pPr>
            <w:r w:rsidRPr="00A06FAD">
              <w:rPr>
                <w:b/>
                <w:sz w:val="20"/>
                <w:szCs w:val="20"/>
                <w:lang w:val="en-GB"/>
              </w:rPr>
              <w:t xml:space="preserve">Management response: </w:t>
            </w:r>
            <w:r w:rsidR="009977A3" w:rsidRPr="00A06FAD">
              <w:rPr>
                <w:sz w:val="20"/>
                <w:szCs w:val="20"/>
                <w:lang w:val="en-GB"/>
              </w:rPr>
              <w:t xml:space="preserve">UNDP management fully agrees with the recommendation. UNDP will consider opportunities for strengthening anti-corruption components in existing global and regional governance programmes and initiatives. </w:t>
            </w:r>
            <w:r w:rsidR="00E16CE5" w:rsidRPr="00A06FAD">
              <w:rPr>
                <w:sz w:val="20"/>
                <w:szCs w:val="20"/>
                <w:lang w:val="en-GB"/>
              </w:rPr>
              <w:t xml:space="preserve">In line with this recommendation, UNDP has rolled out </w:t>
            </w:r>
            <w:r w:rsidR="00045593">
              <w:rPr>
                <w:sz w:val="20"/>
                <w:szCs w:val="20"/>
                <w:lang w:val="en-GB"/>
              </w:rPr>
              <w:t>the ‘</w:t>
            </w:r>
            <w:r w:rsidR="00E16CE5" w:rsidRPr="00A06FAD">
              <w:rPr>
                <w:sz w:val="20"/>
                <w:szCs w:val="20"/>
                <w:lang w:val="en-GB"/>
              </w:rPr>
              <w:t>Anti-corruption for Peaceful and Inclusive Societies</w:t>
            </w:r>
            <w:r w:rsidR="00045593">
              <w:rPr>
                <w:sz w:val="20"/>
                <w:szCs w:val="20"/>
                <w:lang w:val="en-GB"/>
              </w:rPr>
              <w:t>’</w:t>
            </w:r>
            <w:r w:rsidR="00E16CE5" w:rsidRPr="00A06FAD">
              <w:rPr>
                <w:sz w:val="20"/>
                <w:szCs w:val="20"/>
                <w:lang w:val="en-GB"/>
              </w:rPr>
              <w:t xml:space="preserve"> global project </w:t>
            </w:r>
            <w:r w:rsidR="00071921">
              <w:rPr>
                <w:sz w:val="20"/>
                <w:szCs w:val="20"/>
                <w:lang w:val="en-GB"/>
              </w:rPr>
              <w:t xml:space="preserve">(known as ‘ACPIS’) </w:t>
            </w:r>
            <w:r w:rsidR="00E16CE5" w:rsidRPr="00A06FAD">
              <w:rPr>
                <w:sz w:val="20"/>
                <w:szCs w:val="20"/>
                <w:lang w:val="en-GB"/>
              </w:rPr>
              <w:t xml:space="preserve">to continue UNDP global policy and programme support on anti-corruption. </w:t>
            </w:r>
          </w:p>
          <w:p w14:paraId="49D9E6C3" w14:textId="2B7BAE55" w:rsidR="00BB53C7" w:rsidRPr="00A06FAD" w:rsidRDefault="009977A3" w:rsidP="00071921">
            <w:pPr>
              <w:spacing w:before="60" w:after="60"/>
              <w:rPr>
                <w:sz w:val="20"/>
                <w:szCs w:val="20"/>
                <w:lang w:val="en-GB"/>
              </w:rPr>
            </w:pPr>
            <w:r w:rsidRPr="00A06FAD">
              <w:rPr>
                <w:sz w:val="20"/>
                <w:szCs w:val="20"/>
                <w:lang w:val="en-GB"/>
              </w:rPr>
              <w:t xml:space="preserve">The new UNDP </w:t>
            </w:r>
            <w:r w:rsidR="00071921">
              <w:rPr>
                <w:sz w:val="20"/>
                <w:szCs w:val="20"/>
                <w:lang w:val="en-GB"/>
              </w:rPr>
              <w:t>f</w:t>
            </w:r>
            <w:r w:rsidRPr="00A06FAD">
              <w:rPr>
                <w:sz w:val="20"/>
                <w:szCs w:val="20"/>
                <w:lang w:val="en-GB"/>
              </w:rPr>
              <w:t xml:space="preserve">unding </w:t>
            </w:r>
            <w:r w:rsidR="00071921">
              <w:rPr>
                <w:sz w:val="20"/>
                <w:szCs w:val="20"/>
                <w:lang w:val="en-GB"/>
              </w:rPr>
              <w:t>w</w:t>
            </w:r>
            <w:r w:rsidRPr="00A06FAD">
              <w:rPr>
                <w:sz w:val="20"/>
                <w:szCs w:val="20"/>
                <w:lang w:val="en-GB"/>
              </w:rPr>
              <w:t xml:space="preserve">indows (such as the window on </w:t>
            </w:r>
            <w:r w:rsidR="00071921">
              <w:rPr>
                <w:sz w:val="20"/>
                <w:szCs w:val="20"/>
                <w:lang w:val="en-GB"/>
              </w:rPr>
              <w:t>g</w:t>
            </w:r>
            <w:r w:rsidRPr="00A06FAD">
              <w:rPr>
                <w:sz w:val="20"/>
                <w:szCs w:val="20"/>
                <w:lang w:val="en-GB"/>
              </w:rPr>
              <w:t xml:space="preserve">overnance for </w:t>
            </w:r>
            <w:r w:rsidR="00071921">
              <w:rPr>
                <w:sz w:val="20"/>
                <w:szCs w:val="20"/>
                <w:lang w:val="en-GB"/>
              </w:rPr>
              <w:t>p</w:t>
            </w:r>
            <w:r w:rsidRPr="00A06FAD">
              <w:rPr>
                <w:sz w:val="20"/>
                <w:szCs w:val="20"/>
                <w:lang w:val="en-GB"/>
              </w:rPr>
              <w:t xml:space="preserve">eaceful and </w:t>
            </w:r>
            <w:r w:rsidR="00071921">
              <w:rPr>
                <w:sz w:val="20"/>
                <w:szCs w:val="20"/>
                <w:lang w:val="en-GB"/>
              </w:rPr>
              <w:t>i</w:t>
            </w:r>
            <w:r w:rsidRPr="00A06FAD">
              <w:rPr>
                <w:sz w:val="20"/>
                <w:szCs w:val="20"/>
                <w:lang w:val="en-GB"/>
              </w:rPr>
              <w:t xml:space="preserve">nclusive </w:t>
            </w:r>
            <w:r w:rsidR="00071921">
              <w:rPr>
                <w:sz w:val="20"/>
                <w:szCs w:val="20"/>
                <w:lang w:val="en-GB"/>
              </w:rPr>
              <w:t>s</w:t>
            </w:r>
            <w:r w:rsidRPr="00A06FAD">
              <w:rPr>
                <w:sz w:val="20"/>
                <w:szCs w:val="20"/>
                <w:lang w:val="en-GB"/>
              </w:rPr>
              <w:t xml:space="preserve">ocieties) will be used as an opportunity for </w:t>
            </w:r>
            <w:r w:rsidR="006D2C17">
              <w:rPr>
                <w:sz w:val="20"/>
                <w:szCs w:val="20"/>
                <w:lang w:val="en-GB"/>
              </w:rPr>
              <w:t>UNDP</w:t>
            </w:r>
            <w:r w:rsidRPr="00A06FAD">
              <w:rPr>
                <w:sz w:val="20"/>
                <w:szCs w:val="20"/>
                <w:lang w:val="en-GB"/>
              </w:rPr>
              <w:t xml:space="preserve"> to </w:t>
            </w:r>
            <w:r w:rsidR="006D2C17">
              <w:rPr>
                <w:sz w:val="20"/>
                <w:szCs w:val="20"/>
                <w:lang w:val="en-GB"/>
              </w:rPr>
              <w:t>allocate</w:t>
            </w:r>
            <w:r w:rsidR="006D2C17" w:rsidRPr="00A06FAD">
              <w:rPr>
                <w:sz w:val="20"/>
                <w:szCs w:val="20"/>
                <w:lang w:val="en-GB"/>
              </w:rPr>
              <w:t xml:space="preserve"> </w:t>
            </w:r>
            <w:r w:rsidRPr="00A06FAD">
              <w:rPr>
                <w:sz w:val="20"/>
                <w:szCs w:val="20"/>
                <w:lang w:val="en-GB"/>
              </w:rPr>
              <w:t xml:space="preserve">funding </w:t>
            </w:r>
            <w:r w:rsidR="006D2C17">
              <w:rPr>
                <w:sz w:val="20"/>
                <w:szCs w:val="20"/>
                <w:lang w:val="en-GB"/>
              </w:rPr>
              <w:t>to</w:t>
            </w:r>
            <w:r w:rsidR="006D2C17" w:rsidRPr="00A06FAD">
              <w:rPr>
                <w:sz w:val="20"/>
                <w:szCs w:val="20"/>
                <w:lang w:val="en-GB"/>
              </w:rPr>
              <w:t xml:space="preserve"> </w:t>
            </w:r>
            <w:r w:rsidRPr="009A39B7">
              <w:rPr>
                <w:sz w:val="20"/>
                <w:szCs w:val="20"/>
                <w:lang w:val="en-GB"/>
              </w:rPr>
              <w:t>global</w:t>
            </w:r>
            <w:r w:rsidR="00F37905">
              <w:rPr>
                <w:sz w:val="20"/>
                <w:szCs w:val="20"/>
                <w:lang w:val="en-GB"/>
              </w:rPr>
              <w:t>, regional and country-level</w:t>
            </w:r>
            <w:r w:rsidR="00A62CBF">
              <w:rPr>
                <w:sz w:val="20"/>
                <w:szCs w:val="20"/>
                <w:lang w:val="en-GB"/>
              </w:rPr>
              <w:t xml:space="preserve"> </w:t>
            </w:r>
            <w:r w:rsidRPr="006D2C17">
              <w:rPr>
                <w:sz w:val="20"/>
                <w:szCs w:val="20"/>
                <w:lang w:val="en-GB"/>
              </w:rPr>
              <w:t>anti-corruption initiatives</w:t>
            </w:r>
            <w:r w:rsidRPr="00A06FAD">
              <w:rPr>
                <w:sz w:val="20"/>
                <w:szCs w:val="20"/>
                <w:lang w:val="en-GB"/>
              </w:rPr>
              <w:t>.</w:t>
            </w:r>
            <w:r w:rsidR="006D2C17">
              <w:rPr>
                <w:rFonts w:ascii="Arial" w:hAnsi="Arial" w:cs="Arial"/>
                <w:b/>
                <w:bCs/>
                <w:i/>
                <w:iCs/>
                <w:color w:val="222222"/>
                <w:sz w:val="20"/>
                <w:szCs w:val="20"/>
                <w:shd w:val="clear" w:color="auto" w:fill="FFFFFF"/>
                <w:lang w:val="en-GB"/>
              </w:rPr>
              <w:t xml:space="preserve"> </w:t>
            </w:r>
          </w:p>
        </w:tc>
      </w:tr>
      <w:tr w:rsidR="00BB53C7" w:rsidRPr="00A06FAD" w14:paraId="3E66E065" w14:textId="77777777" w:rsidTr="000B38A1">
        <w:tc>
          <w:tcPr>
            <w:tcW w:w="7650" w:type="dxa"/>
            <w:shd w:val="clear" w:color="auto" w:fill="auto"/>
          </w:tcPr>
          <w:p w14:paraId="2B331994" w14:textId="77777777" w:rsidR="007B078F" w:rsidRPr="00A06FAD" w:rsidRDefault="009977A3" w:rsidP="00071921">
            <w:pPr>
              <w:spacing w:before="60" w:after="60"/>
              <w:rPr>
                <w:sz w:val="20"/>
                <w:szCs w:val="20"/>
                <w:lang w:val="en-GB"/>
              </w:rPr>
            </w:pPr>
            <w:r w:rsidRPr="00A06FAD">
              <w:rPr>
                <w:sz w:val="20"/>
                <w:szCs w:val="20"/>
                <w:lang w:val="en-GB"/>
              </w:rPr>
              <w:t>5</w:t>
            </w:r>
            <w:r w:rsidR="00BB53C7" w:rsidRPr="00A06FAD">
              <w:rPr>
                <w:sz w:val="20"/>
                <w:szCs w:val="20"/>
                <w:lang w:val="en-GB"/>
              </w:rPr>
              <w:t xml:space="preserve">.1. </w:t>
            </w:r>
            <w:r w:rsidR="007B078F" w:rsidRPr="00A06FAD">
              <w:rPr>
                <w:sz w:val="20"/>
                <w:szCs w:val="20"/>
                <w:lang w:val="en-GB"/>
              </w:rPr>
              <w:t xml:space="preserve">Integrate global and regional anti-corruption </w:t>
            </w:r>
            <w:r w:rsidR="002A7ABF" w:rsidRPr="00A06FAD">
              <w:rPr>
                <w:sz w:val="20"/>
                <w:szCs w:val="20"/>
                <w:lang w:val="en-GB"/>
              </w:rPr>
              <w:t xml:space="preserve">targets </w:t>
            </w:r>
            <w:r w:rsidR="007B078F" w:rsidRPr="00A06FAD">
              <w:rPr>
                <w:sz w:val="20"/>
                <w:szCs w:val="20"/>
                <w:lang w:val="en-GB"/>
              </w:rPr>
              <w:t>in the results and resources frameworks of the UNDP’s</w:t>
            </w:r>
            <w:r w:rsidR="00E16CE5" w:rsidRPr="00A06FAD">
              <w:rPr>
                <w:sz w:val="20"/>
                <w:szCs w:val="20"/>
                <w:lang w:val="en-GB"/>
              </w:rPr>
              <w:t xml:space="preserve"> new strategic plan,</w:t>
            </w:r>
            <w:r w:rsidR="007B078F" w:rsidRPr="00A06FAD">
              <w:rPr>
                <w:sz w:val="20"/>
                <w:szCs w:val="20"/>
                <w:lang w:val="en-GB"/>
              </w:rPr>
              <w:t xml:space="preserve"> global and regional programmes. </w:t>
            </w:r>
          </w:p>
        </w:tc>
        <w:tc>
          <w:tcPr>
            <w:tcW w:w="1350" w:type="dxa"/>
            <w:shd w:val="clear" w:color="auto" w:fill="auto"/>
          </w:tcPr>
          <w:p w14:paraId="6268FCFC" w14:textId="77777777" w:rsidR="00BB53C7" w:rsidRPr="00A06FAD" w:rsidRDefault="00BB53C7" w:rsidP="00BB53C7">
            <w:pPr>
              <w:rPr>
                <w:sz w:val="20"/>
                <w:szCs w:val="20"/>
                <w:lang w:val="en-GB"/>
              </w:rPr>
            </w:pPr>
            <w:r w:rsidRPr="00A06FAD">
              <w:rPr>
                <w:sz w:val="20"/>
                <w:szCs w:val="20"/>
                <w:lang w:val="en-GB"/>
              </w:rPr>
              <w:t>By December 2017</w:t>
            </w:r>
          </w:p>
        </w:tc>
        <w:tc>
          <w:tcPr>
            <w:tcW w:w="3060" w:type="dxa"/>
            <w:shd w:val="clear" w:color="auto" w:fill="auto"/>
          </w:tcPr>
          <w:p w14:paraId="70BE2E8E" w14:textId="50C62377" w:rsidR="00BB53C7" w:rsidRPr="00A06FAD" w:rsidRDefault="00BB53C7" w:rsidP="007B078F">
            <w:pPr>
              <w:rPr>
                <w:sz w:val="20"/>
                <w:szCs w:val="20"/>
                <w:lang w:val="en-GB"/>
              </w:rPr>
            </w:pPr>
            <w:r w:rsidRPr="00A06FAD">
              <w:rPr>
                <w:sz w:val="20"/>
                <w:szCs w:val="20"/>
                <w:lang w:val="en-GB"/>
              </w:rPr>
              <w:t>BPPS</w:t>
            </w:r>
            <w:r w:rsidR="005758E9">
              <w:rPr>
                <w:sz w:val="20"/>
                <w:szCs w:val="20"/>
                <w:lang w:val="en-GB"/>
              </w:rPr>
              <w:t>,</w:t>
            </w:r>
            <w:r w:rsidRPr="00A06FAD">
              <w:rPr>
                <w:sz w:val="20"/>
                <w:szCs w:val="20"/>
                <w:lang w:val="en-GB"/>
              </w:rPr>
              <w:t xml:space="preserve"> in cooperation with regional hubs</w:t>
            </w:r>
            <w:r w:rsidR="007B078F" w:rsidRPr="00A06FAD">
              <w:rPr>
                <w:sz w:val="20"/>
                <w:szCs w:val="20"/>
                <w:lang w:val="en-GB"/>
              </w:rPr>
              <w:t xml:space="preserve"> and</w:t>
            </w:r>
            <w:r w:rsidR="0038075C" w:rsidRPr="00A06FAD">
              <w:rPr>
                <w:sz w:val="20"/>
                <w:szCs w:val="20"/>
                <w:lang w:val="en-GB"/>
              </w:rPr>
              <w:t xml:space="preserve"> regional bureaus</w:t>
            </w:r>
            <w:r w:rsidRPr="00A06FAD">
              <w:rPr>
                <w:sz w:val="20"/>
                <w:szCs w:val="20"/>
                <w:lang w:val="en-GB"/>
              </w:rPr>
              <w:t xml:space="preserve"> </w:t>
            </w:r>
          </w:p>
        </w:tc>
        <w:tc>
          <w:tcPr>
            <w:tcW w:w="1260" w:type="dxa"/>
            <w:gridSpan w:val="2"/>
            <w:shd w:val="clear" w:color="auto" w:fill="auto"/>
          </w:tcPr>
          <w:p w14:paraId="4B0CE3B6" w14:textId="77777777" w:rsidR="00BB53C7" w:rsidRPr="00A06FAD" w:rsidRDefault="00BB53C7" w:rsidP="00BB53C7">
            <w:pPr>
              <w:rPr>
                <w:sz w:val="20"/>
                <w:szCs w:val="20"/>
                <w:lang w:val="en-GB"/>
              </w:rPr>
            </w:pPr>
          </w:p>
        </w:tc>
        <w:tc>
          <w:tcPr>
            <w:tcW w:w="1170" w:type="dxa"/>
            <w:gridSpan w:val="2"/>
            <w:shd w:val="clear" w:color="auto" w:fill="auto"/>
          </w:tcPr>
          <w:p w14:paraId="4888AD23" w14:textId="77777777" w:rsidR="00BB53C7" w:rsidRPr="00A06FAD" w:rsidRDefault="00BB53C7" w:rsidP="00BB53C7">
            <w:pPr>
              <w:rPr>
                <w:sz w:val="20"/>
                <w:szCs w:val="20"/>
                <w:lang w:val="en-GB"/>
              </w:rPr>
            </w:pPr>
          </w:p>
        </w:tc>
      </w:tr>
      <w:tr w:rsidR="00E16CE5" w:rsidRPr="00A06FAD" w14:paraId="755A1BBD" w14:textId="77777777" w:rsidTr="000B38A1">
        <w:tc>
          <w:tcPr>
            <w:tcW w:w="7650" w:type="dxa"/>
            <w:shd w:val="clear" w:color="auto" w:fill="auto"/>
          </w:tcPr>
          <w:p w14:paraId="0BBB63E0" w14:textId="3204616F" w:rsidR="00E16CE5" w:rsidRPr="00A06FAD" w:rsidRDefault="00E16CE5" w:rsidP="00071921">
            <w:pPr>
              <w:spacing w:before="60" w:after="60"/>
              <w:rPr>
                <w:sz w:val="20"/>
                <w:szCs w:val="20"/>
                <w:lang w:val="en-GB"/>
              </w:rPr>
            </w:pPr>
            <w:r w:rsidRPr="00A06FAD">
              <w:rPr>
                <w:sz w:val="20"/>
                <w:szCs w:val="20"/>
                <w:lang w:val="en-GB"/>
              </w:rPr>
              <w:t>5.2</w:t>
            </w:r>
            <w:r w:rsidR="00E167DE">
              <w:rPr>
                <w:sz w:val="20"/>
                <w:szCs w:val="20"/>
                <w:lang w:val="en-GB"/>
              </w:rPr>
              <w:t>.</w:t>
            </w:r>
            <w:r w:rsidRPr="00A06FAD">
              <w:rPr>
                <w:sz w:val="20"/>
                <w:szCs w:val="20"/>
                <w:lang w:val="en-GB"/>
              </w:rPr>
              <w:t xml:space="preserve"> Continue mobilizing more resources for UNDP global and regional anti-corruption initiatives and working together with other relevant partners for joint global and regional activities on anti-corruption.</w:t>
            </w:r>
          </w:p>
        </w:tc>
        <w:tc>
          <w:tcPr>
            <w:tcW w:w="1350" w:type="dxa"/>
            <w:shd w:val="clear" w:color="auto" w:fill="auto"/>
          </w:tcPr>
          <w:p w14:paraId="2EF35268" w14:textId="7A6E9B9F" w:rsidR="00E16CE5" w:rsidRPr="00A06FAD" w:rsidRDefault="00E16CE5" w:rsidP="00BB53C7">
            <w:pPr>
              <w:rPr>
                <w:sz w:val="20"/>
                <w:szCs w:val="20"/>
                <w:lang w:val="en-GB"/>
              </w:rPr>
            </w:pPr>
            <w:r w:rsidRPr="00A06FAD">
              <w:rPr>
                <w:sz w:val="20"/>
                <w:szCs w:val="20"/>
                <w:lang w:val="en-GB"/>
              </w:rPr>
              <w:t xml:space="preserve">Continuous </w:t>
            </w:r>
            <w:r w:rsidR="005758E9">
              <w:rPr>
                <w:sz w:val="20"/>
                <w:szCs w:val="20"/>
                <w:lang w:val="en-GB"/>
              </w:rPr>
              <w:t>(b</w:t>
            </w:r>
            <w:r w:rsidRPr="00A06FAD">
              <w:rPr>
                <w:sz w:val="20"/>
                <w:szCs w:val="20"/>
                <w:lang w:val="en-GB"/>
              </w:rPr>
              <w:t>y end 2018</w:t>
            </w:r>
            <w:r w:rsidR="005758E9">
              <w:rPr>
                <w:sz w:val="20"/>
                <w:szCs w:val="20"/>
                <w:lang w:val="en-GB"/>
              </w:rPr>
              <w:t>)</w:t>
            </w:r>
          </w:p>
        </w:tc>
        <w:tc>
          <w:tcPr>
            <w:tcW w:w="3060" w:type="dxa"/>
            <w:shd w:val="clear" w:color="auto" w:fill="auto"/>
          </w:tcPr>
          <w:p w14:paraId="47AD24F1" w14:textId="00551914" w:rsidR="00E16CE5" w:rsidRPr="00A06FAD" w:rsidRDefault="00E16CE5" w:rsidP="005758E9">
            <w:pPr>
              <w:rPr>
                <w:sz w:val="20"/>
                <w:szCs w:val="20"/>
                <w:lang w:val="en-GB"/>
              </w:rPr>
            </w:pPr>
            <w:r w:rsidRPr="00A06FAD">
              <w:rPr>
                <w:sz w:val="20"/>
                <w:szCs w:val="20"/>
                <w:lang w:val="en-GB"/>
              </w:rPr>
              <w:t>BPPS</w:t>
            </w:r>
            <w:r w:rsidR="002A7ABF" w:rsidRPr="00A06FAD">
              <w:rPr>
                <w:sz w:val="20"/>
                <w:szCs w:val="20"/>
                <w:lang w:val="en-GB"/>
              </w:rPr>
              <w:t xml:space="preserve">, </w:t>
            </w:r>
            <w:r w:rsidR="000D2EE9" w:rsidRPr="000D2EE9">
              <w:rPr>
                <w:sz w:val="20"/>
                <w:szCs w:val="20"/>
                <w:lang w:val="en-GB"/>
              </w:rPr>
              <w:t>the Bureau for External Relations and Advocacy</w:t>
            </w:r>
            <w:r w:rsidR="000D2EE9">
              <w:rPr>
                <w:sz w:val="20"/>
                <w:szCs w:val="20"/>
                <w:lang w:val="en-GB"/>
              </w:rPr>
              <w:t xml:space="preserve"> (</w:t>
            </w:r>
            <w:r w:rsidR="006968AC" w:rsidRPr="00A06FAD">
              <w:rPr>
                <w:sz w:val="20"/>
                <w:szCs w:val="20"/>
                <w:lang w:val="en-GB"/>
              </w:rPr>
              <w:t>BERA</w:t>
            </w:r>
            <w:r w:rsidR="000D2EE9">
              <w:rPr>
                <w:sz w:val="20"/>
                <w:szCs w:val="20"/>
                <w:lang w:val="en-GB"/>
              </w:rPr>
              <w:t>)</w:t>
            </w:r>
            <w:r w:rsidR="006968AC" w:rsidRPr="00A06FAD">
              <w:rPr>
                <w:sz w:val="20"/>
                <w:szCs w:val="20"/>
                <w:lang w:val="en-GB"/>
              </w:rPr>
              <w:t xml:space="preserve"> and</w:t>
            </w:r>
            <w:r w:rsidRPr="00A06FAD">
              <w:rPr>
                <w:sz w:val="20"/>
                <w:szCs w:val="20"/>
                <w:lang w:val="en-GB"/>
              </w:rPr>
              <w:t xml:space="preserve"> regional hubs (with partners)</w:t>
            </w:r>
          </w:p>
        </w:tc>
        <w:tc>
          <w:tcPr>
            <w:tcW w:w="1260" w:type="dxa"/>
            <w:gridSpan w:val="2"/>
            <w:shd w:val="clear" w:color="auto" w:fill="auto"/>
          </w:tcPr>
          <w:p w14:paraId="586EFE20" w14:textId="77777777" w:rsidR="00E16CE5" w:rsidRPr="00A06FAD" w:rsidRDefault="00E16CE5" w:rsidP="00BB53C7">
            <w:pPr>
              <w:rPr>
                <w:sz w:val="20"/>
                <w:szCs w:val="20"/>
                <w:lang w:val="en-GB"/>
              </w:rPr>
            </w:pPr>
          </w:p>
        </w:tc>
        <w:tc>
          <w:tcPr>
            <w:tcW w:w="1170" w:type="dxa"/>
            <w:gridSpan w:val="2"/>
            <w:shd w:val="clear" w:color="auto" w:fill="auto"/>
          </w:tcPr>
          <w:p w14:paraId="351803E4" w14:textId="77777777" w:rsidR="00E16CE5" w:rsidRPr="00A06FAD" w:rsidRDefault="00E16CE5" w:rsidP="00BB53C7">
            <w:pPr>
              <w:rPr>
                <w:sz w:val="20"/>
                <w:szCs w:val="20"/>
                <w:lang w:val="en-GB"/>
              </w:rPr>
            </w:pPr>
          </w:p>
        </w:tc>
      </w:tr>
      <w:tr w:rsidR="00BB53C7" w:rsidRPr="00A06FAD" w14:paraId="69DCEF19" w14:textId="77777777" w:rsidTr="00E06989">
        <w:tc>
          <w:tcPr>
            <w:tcW w:w="14490" w:type="dxa"/>
            <w:gridSpan w:val="7"/>
            <w:tcBorders>
              <w:bottom w:val="single" w:sz="4" w:space="0" w:color="auto"/>
            </w:tcBorders>
            <w:shd w:val="clear" w:color="auto" w:fill="E6E6E6"/>
          </w:tcPr>
          <w:p w14:paraId="1CE720AB" w14:textId="5BAFCC16" w:rsidR="00BB53C7" w:rsidRPr="00071921" w:rsidRDefault="00E16CE5" w:rsidP="00071921">
            <w:pPr>
              <w:spacing w:before="60" w:after="60"/>
              <w:rPr>
                <w:sz w:val="20"/>
                <w:szCs w:val="20"/>
                <w:lang w:val="en-GB"/>
              </w:rPr>
            </w:pPr>
            <w:r w:rsidRPr="00071921">
              <w:rPr>
                <w:b/>
                <w:i/>
                <w:sz w:val="20"/>
                <w:szCs w:val="20"/>
                <w:lang w:val="en-GB"/>
              </w:rPr>
              <w:t>Recommendation 6</w:t>
            </w:r>
            <w:r w:rsidR="00071921">
              <w:rPr>
                <w:b/>
                <w:sz w:val="20"/>
                <w:szCs w:val="20"/>
                <w:lang w:val="en-GB"/>
              </w:rPr>
              <w:t>.</w:t>
            </w:r>
            <w:r w:rsidRPr="00071921">
              <w:rPr>
                <w:b/>
                <w:sz w:val="20"/>
                <w:szCs w:val="20"/>
                <w:lang w:val="en-GB"/>
              </w:rPr>
              <w:t xml:space="preserve"> Enhance fund mobilization for anti-corruption support, championing select areas of anti-corruption and accountability initiatives.</w:t>
            </w:r>
          </w:p>
        </w:tc>
      </w:tr>
      <w:tr w:rsidR="00BB53C7" w:rsidRPr="00A06FAD" w14:paraId="4D81078F" w14:textId="77777777" w:rsidTr="00E06989">
        <w:tc>
          <w:tcPr>
            <w:tcW w:w="14490" w:type="dxa"/>
            <w:gridSpan w:val="7"/>
            <w:shd w:val="clear" w:color="auto" w:fill="F3F3F3"/>
          </w:tcPr>
          <w:p w14:paraId="5BCD8E03" w14:textId="2DC2BBD2" w:rsidR="00BB53C7" w:rsidRPr="00A06FAD" w:rsidRDefault="00BB53C7" w:rsidP="00071921">
            <w:pPr>
              <w:spacing w:before="60" w:after="60"/>
              <w:rPr>
                <w:sz w:val="20"/>
                <w:szCs w:val="20"/>
                <w:lang w:val="en-GB"/>
              </w:rPr>
            </w:pPr>
            <w:r w:rsidRPr="00A06FAD">
              <w:rPr>
                <w:b/>
                <w:sz w:val="20"/>
                <w:szCs w:val="20"/>
                <w:lang w:val="en-GB"/>
              </w:rPr>
              <w:t xml:space="preserve">Management response: </w:t>
            </w:r>
            <w:r w:rsidRPr="00A06FAD">
              <w:rPr>
                <w:sz w:val="20"/>
                <w:szCs w:val="20"/>
                <w:lang w:val="en-GB"/>
              </w:rPr>
              <w:t>UNDP management fully agrees with the recommendation</w:t>
            </w:r>
            <w:r w:rsidR="005A2AA9" w:rsidRPr="00A06FAD">
              <w:rPr>
                <w:sz w:val="20"/>
                <w:szCs w:val="20"/>
                <w:lang w:val="en-GB"/>
              </w:rPr>
              <w:t xml:space="preserve">, while </w:t>
            </w:r>
            <w:r w:rsidR="00071921">
              <w:rPr>
                <w:sz w:val="20"/>
                <w:szCs w:val="20"/>
                <w:lang w:val="en-GB"/>
              </w:rPr>
              <w:t>not</w:t>
            </w:r>
            <w:r w:rsidR="00071921" w:rsidRPr="00A06FAD">
              <w:rPr>
                <w:sz w:val="20"/>
                <w:szCs w:val="20"/>
                <w:lang w:val="en-GB"/>
              </w:rPr>
              <w:t xml:space="preserve">ing </w:t>
            </w:r>
            <w:r w:rsidR="005A2AA9" w:rsidRPr="00A06FAD">
              <w:rPr>
                <w:sz w:val="20"/>
                <w:szCs w:val="20"/>
                <w:lang w:val="en-GB"/>
              </w:rPr>
              <w:t xml:space="preserve">the challenges </w:t>
            </w:r>
            <w:r w:rsidR="00071921">
              <w:rPr>
                <w:sz w:val="20"/>
                <w:szCs w:val="20"/>
                <w:lang w:val="en-GB"/>
              </w:rPr>
              <w:t>resulting from</w:t>
            </w:r>
            <w:r w:rsidR="005A2AA9" w:rsidRPr="00A06FAD">
              <w:rPr>
                <w:sz w:val="20"/>
                <w:szCs w:val="20"/>
                <w:lang w:val="en-GB"/>
              </w:rPr>
              <w:t xml:space="preserve"> the high degree of dependence on a handful of donors </w:t>
            </w:r>
            <w:r w:rsidR="00071921">
              <w:rPr>
                <w:sz w:val="20"/>
                <w:szCs w:val="20"/>
                <w:lang w:val="en-GB"/>
              </w:rPr>
              <w:t>to</w:t>
            </w:r>
            <w:r w:rsidR="00071921" w:rsidRPr="00A06FAD">
              <w:rPr>
                <w:sz w:val="20"/>
                <w:szCs w:val="20"/>
                <w:lang w:val="en-GB"/>
              </w:rPr>
              <w:t xml:space="preserve"> </w:t>
            </w:r>
            <w:r w:rsidR="00071921">
              <w:rPr>
                <w:sz w:val="20"/>
                <w:szCs w:val="20"/>
                <w:lang w:val="en-GB"/>
              </w:rPr>
              <w:t>its</w:t>
            </w:r>
            <w:r w:rsidR="00071921" w:rsidRPr="00A06FAD">
              <w:rPr>
                <w:sz w:val="20"/>
                <w:szCs w:val="20"/>
                <w:lang w:val="en-GB"/>
              </w:rPr>
              <w:t xml:space="preserve"> </w:t>
            </w:r>
            <w:r w:rsidR="005A2AA9" w:rsidRPr="00A06FAD">
              <w:rPr>
                <w:sz w:val="20"/>
                <w:szCs w:val="20"/>
                <w:lang w:val="en-GB"/>
              </w:rPr>
              <w:t>global anti-corruption programme</w:t>
            </w:r>
            <w:r w:rsidRPr="00A06FAD">
              <w:rPr>
                <w:sz w:val="20"/>
                <w:szCs w:val="20"/>
                <w:lang w:val="en-GB"/>
              </w:rPr>
              <w:t>. UNDP will intensify its partnership development efforts</w:t>
            </w:r>
            <w:r w:rsidR="005A2AA9" w:rsidRPr="00A06FAD">
              <w:rPr>
                <w:sz w:val="20"/>
                <w:szCs w:val="20"/>
                <w:lang w:val="en-GB"/>
              </w:rPr>
              <w:t xml:space="preserve"> and diversify the donor base when </w:t>
            </w:r>
            <w:r w:rsidRPr="00A06FAD">
              <w:rPr>
                <w:sz w:val="20"/>
                <w:szCs w:val="20"/>
                <w:lang w:val="en-GB"/>
              </w:rPr>
              <w:t xml:space="preserve">mobilizing resources for supporting </w:t>
            </w:r>
            <w:r w:rsidR="00AB0E4A" w:rsidRPr="00A06FAD">
              <w:rPr>
                <w:sz w:val="20"/>
                <w:szCs w:val="20"/>
                <w:lang w:val="en-GB"/>
              </w:rPr>
              <w:t>anti-corruption and governance</w:t>
            </w:r>
            <w:r w:rsidRPr="00A06FAD">
              <w:rPr>
                <w:sz w:val="20"/>
                <w:szCs w:val="20"/>
                <w:lang w:val="en-GB"/>
              </w:rPr>
              <w:t xml:space="preserve"> interventions,</w:t>
            </w:r>
            <w:r w:rsidRPr="00A06FAD">
              <w:rPr>
                <w:b/>
                <w:sz w:val="20"/>
                <w:szCs w:val="20"/>
                <w:lang w:val="en-GB"/>
              </w:rPr>
              <w:t xml:space="preserve"> </w:t>
            </w:r>
            <w:r w:rsidRPr="00A06FAD">
              <w:rPr>
                <w:sz w:val="20"/>
                <w:szCs w:val="20"/>
                <w:lang w:val="en-GB"/>
              </w:rPr>
              <w:t>focusing</w:t>
            </w:r>
            <w:r w:rsidR="00071921" w:rsidRPr="00A06FAD">
              <w:rPr>
                <w:sz w:val="20"/>
                <w:szCs w:val="20"/>
                <w:lang w:val="en-GB"/>
              </w:rPr>
              <w:t xml:space="preserve"> particularly</w:t>
            </w:r>
            <w:r w:rsidRPr="00A06FAD">
              <w:rPr>
                <w:sz w:val="20"/>
                <w:szCs w:val="20"/>
                <w:lang w:val="en-GB"/>
              </w:rPr>
              <w:t xml:space="preserve"> on multilateral development banks, </w:t>
            </w:r>
            <w:r w:rsidR="00071921">
              <w:rPr>
                <w:sz w:val="20"/>
                <w:szCs w:val="20"/>
                <w:lang w:val="en-GB"/>
              </w:rPr>
              <w:t xml:space="preserve">the </w:t>
            </w:r>
            <w:r w:rsidRPr="00A06FAD">
              <w:rPr>
                <w:sz w:val="20"/>
                <w:szCs w:val="20"/>
                <w:lang w:val="en-GB"/>
              </w:rPr>
              <w:t>private sector</w:t>
            </w:r>
            <w:r w:rsidR="00071921">
              <w:rPr>
                <w:sz w:val="20"/>
                <w:szCs w:val="20"/>
                <w:lang w:val="en-GB"/>
              </w:rPr>
              <w:t>,</w:t>
            </w:r>
            <w:r w:rsidRPr="00A06FAD">
              <w:rPr>
                <w:sz w:val="20"/>
                <w:szCs w:val="20"/>
                <w:lang w:val="en-GB"/>
              </w:rPr>
              <w:t xml:space="preserve"> and donor agencies. </w:t>
            </w:r>
          </w:p>
          <w:p w14:paraId="77CDF38F" w14:textId="2436A950" w:rsidR="00BB53C7" w:rsidRPr="00A06FAD" w:rsidRDefault="00BB53C7" w:rsidP="00071921">
            <w:pPr>
              <w:spacing w:before="60" w:after="60"/>
              <w:rPr>
                <w:sz w:val="20"/>
                <w:szCs w:val="20"/>
                <w:lang w:val="en-GB"/>
              </w:rPr>
            </w:pPr>
            <w:r w:rsidRPr="00A06FAD">
              <w:rPr>
                <w:sz w:val="20"/>
                <w:szCs w:val="20"/>
                <w:lang w:val="en-GB"/>
              </w:rPr>
              <w:t>The roll</w:t>
            </w:r>
            <w:r w:rsidR="00071921">
              <w:rPr>
                <w:sz w:val="20"/>
                <w:szCs w:val="20"/>
                <w:lang w:val="en-GB"/>
              </w:rPr>
              <w:t>-</w:t>
            </w:r>
            <w:r w:rsidRPr="00A06FAD">
              <w:rPr>
                <w:sz w:val="20"/>
                <w:szCs w:val="20"/>
                <w:lang w:val="en-GB"/>
              </w:rPr>
              <w:t xml:space="preserve">out of </w:t>
            </w:r>
            <w:r w:rsidR="00E16CE5" w:rsidRPr="00A06FAD">
              <w:rPr>
                <w:sz w:val="20"/>
                <w:szCs w:val="20"/>
                <w:lang w:val="en-GB"/>
              </w:rPr>
              <w:t>the ACPIS global project</w:t>
            </w:r>
            <w:r w:rsidR="00071921">
              <w:rPr>
                <w:sz w:val="20"/>
                <w:szCs w:val="20"/>
                <w:lang w:val="en-GB"/>
              </w:rPr>
              <w:t>,</w:t>
            </w:r>
            <w:r w:rsidR="00E16CE5" w:rsidRPr="00A06FAD">
              <w:rPr>
                <w:sz w:val="20"/>
                <w:szCs w:val="20"/>
                <w:lang w:val="en-GB"/>
              </w:rPr>
              <w:t xml:space="preserve"> 2016-2020</w:t>
            </w:r>
            <w:r w:rsidR="00071921">
              <w:rPr>
                <w:sz w:val="20"/>
                <w:szCs w:val="20"/>
                <w:lang w:val="en-GB"/>
              </w:rPr>
              <w:t>,</w:t>
            </w:r>
            <w:r w:rsidR="00E16CE5" w:rsidRPr="00A06FAD">
              <w:rPr>
                <w:sz w:val="20"/>
                <w:szCs w:val="20"/>
                <w:lang w:val="en-GB"/>
              </w:rPr>
              <w:t xml:space="preserve"> is an opportunity for donor partners to contribute </w:t>
            </w:r>
            <w:r w:rsidR="00071921" w:rsidRPr="00A06FAD">
              <w:rPr>
                <w:sz w:val="20"/>
                <w:szCs w:val="20"/>
                <w:lang w:val="en-GB"/>
              </w:rPr>
              <w:t xml:space="preserve">specifically </w:t>
            </w:r>
            <w:r w:rsidR="002A7ABF" w:rsidRPr="00A06FAD">
              <w:rPr>
                <w:sz w:val="20"/>
                <w:szCs w:val="20"/>
                <w:lang w:val="en-GB"/>
              </w:rPr>
              <w:t xml:space="preserve">to UNDP </w:t>
            </w:r>
            <w:r w:rsidR="00E16CE5" w:rsidRPr="00A06FAD">
              <w:rPr>
                <w:sz w:val="20"/>
                <w:szCs w:val="20"/>
                <w:lang w:val="en-GB"/>
              </w:rPr>
              <w:t>anti-corruption</w:t>
            </w:r>
            <w:r w:rsidR="002A7ABF" w:rsidRPr="00A06FAD">
              <w:rPr>
                <w:sz w:val="20"/>
                <w:szCs w:val="20"/>
                <w:lang w:val="en-GB"/>
              </w:rPr>
              <w:t xml:space="preserve"> work</w:t>
            </w:r>
            <w:r w:rsidR="00E16CE5" w:rsidRPr="00A06FAD">
              <w:rPr>
                <w:sz w:val="20"/>
                <w:szCs w:val="20"/>
                <w:lang w:val="en-GB"/>
              </w:rPr>
              <w:t xml:space="preserve">. </w:t>
            </w:r>
            <w:r w:rsidR="00071921">
              <w:rPr>
                <w:sz w:val="20"/>
                <w:szCs w:val="20"/>
                <w:lang w:val="en-GB"/>
              </w:rPr>
              <w:t>T</w:t>
            </w:r>
            <w:r w:rsidR="00E16CE5" w:rsidRPr="00A06FAD">
              <w:rPr>
                <w:sz w:val="20"/>
                <w:szCs w:val="20"/>
                <w:lang w:val="en-GB"/>
              </w:rPr>
              <w:t xml:space="preserve">he </w:t>
            </w:r>
            <w:r w:rsidRPr="00A06FAD">
              <w:rPr>
                <w:sz w:val="20"/>
                <w:szCs w:val="20"/>
                <w:lang w:val="en-GB"/>
              </w:rPr>
              <w:t xml:space="preserve">new UNDP </w:t>
            </w:r>
            <w:r w:rsidR="00071921">
              <w:rPr>
                <w:sz w:val="20"/>
                <w:szCs w:val="20"/>
                <w:lang w:val="en-GB"/>
              </w:rPr>
              <w:t>f</w:t>
            </w:r>
            <w:r w:rsidRPr="00A06FAD">
              <w:rPr>
                <w:sz w:val="20"/>
                <w:szCs w:val="20"/>
                <w:lang w:val="en-GB"/>
              </w:rPr>
              <w:t xml:space="preserve">unding </w:t>
            </w:r>
            <w:r w:rsidR="00071921">
              <w:rPr>
                <w:sz w:val="20"/>
                <w:szCs w:val="20"/>
                <w:lang w:val="en-GB"/>
              </w:rPr>
              <w:t>w</w:t>
            </w:r>
            <w:r w:rsidRPr="00A06FAD">
              <w:rPr>
                <w:sz w:val="20"/>
                <w:szCs w:val="20"/>
                <w:lang w:val="en-GB"/>
              </w:rPr>
              <w:t xml:space="preserve">indows (such as the window on </w:t>
            </w:r>
            <w:r w:rsidR="00071921" w:rsidRPr="00A06FAD">
              <w:rPr>
                <w:sz w:val="20"/>
                <w:szCs w:val="20"/>
                <w:lang w:val="en-GB"/>
              </w:rPr>
              <w:t>governance for peaceful and inclusive societies</w:t>
            </w:r>
            <w:r w:rsidRPr="00A06FAD">
              <w:rPr>
                <w:sz w:val="20"/>
                <w:szCs w:val="20"/>
                <w:lang w:val="en-GB"/>
              </w:rPr>
              <w:t xml:space="preserve">) also </w:t>
            </w:r>
            <w:r w:rsidR="00071921">
              <w:rPr>
                <w:sz w:val="20"/>
                <w:szCs w:val="20"/>
                <w:lang w:val="en-GB"/>
              </w:rPr>
              <w:t xml:space="preserve">provide </w:t>
            </w:r>
            <w:r w:rsidRPr="00A06FAD">
              <w:rPr>
                <w:sz w:val="20"/>
                <w:szCs w:val="20"/>
                <w:lang w:val="en-GB"/>
              </w:rPr>
              <w:t xml:space="preserve">an opportunity for interested donor partners to provide pooled, flexible funding through which </w:t>
            </w:r>
            <w:r w:rsidR="00071921">
              <w:rPr>
                <w:sz w:val="20"/>
                <w:szCs w:val="20"/>
                <w:lang w:val="en-GB"/>
              </w:rPr>
              <w:t>they</w:t>
            </w:r>
            <w:r w:rsidR="00071921" w:rsidRPr="00A06FAD">
              <w:rPr>
                <w:sz w:val="20"/>
                <w:szCs w:val="20"/>
                <w:lang w:val="en-GB"/>
              </w:rPr>
              <w:t xml:space="preserve"> </w:t>
            </w:r>
            <w:r w:rsidRPr="00A06FAD">
              <w:rPr>
                <w:sz w:val="20"/>
                <w:szCs w:val="20"/>
                <w:lang w:val="en-GB"/>
              </w:rPr>
              <w:t xml:space="preserve">can support implementation of </w:t>
            </w:r>
            <w:r w:rsidR="00071921">
              <w:rPr>
                <w:sz w:val="20"/>
                <w:szCs w:val="20"/>
                <w:lang w:val="en-GB"/>
              </w:rPr>
              <w:t xml:space="preserve">the </w:t>
            </w:r>
            <w:r w:rsidRPr="00A06FAD">
              <w:rPr>
                <w:sz w:val="20"/>
                <w:szCs w:val="20"/>
                <w:lang w:val="en-GB"/>
              </w:rPr>
              <w:t xml:space="preserve">UNDP </w:t>
            </w:r>
            <w:r w:rsidR="00071921">
              <w:rPr>
                <w:sz w:val="20"/>
                <w:szCs w:val="20"/>
                <w:lang w:val="en-GB"/>
              </w:rPr>
              <w:t>s</w:t>
            </w:r>
            <w:r w:rsidRPr="00A06FAD">
              <w:rPr>
                <w:sz w:val="20"/>
                <w:szCs w:val="20"/>
                <w:lang w:val="en-GB"/>
              </w:rPr>
              <w:t xml:space="preserve">trategic </w:t>
            </w:r>
            <w:r w:rsidR="00071921">
              <w:rPr>
                <w:sz w:val="20"/>
                <w:szCs w:val="20"/>
                <w:lang w:val="en-GB"/>
              </w:rPr>
              <w:t>p</w:t>
            </w:r>
            <w:r w:rsidRPr="00A06FAD">
              <w:rPr>
                <w:sz w:val="20"/>
                <w:szCs w:val="20"/>
                <w:lang w:val="en-GB"/>
              </w:rPr>
              <w:t xml:space="preserve">lan. The objective of the </w:t>
            </w:r>
            <w:r w:rsidR="00071921">
              <w:rPr>
                <w:sz w:val="20"/>
                <w:szCs w:val="20"/>
                <w:lang w:val="en-GB"/>
              </w:rPr>
              <w:t>f</w:t>
            </w:r>
            <w:r w:rsidRPr="00A06FAD">
              <w:rPr>
                <w:sz w:val="20"/>
                <w:szCs w:val="20"/>
                <w:lang w:val="en-GB"/>
              </w:rPr>
              <w:t xml:space="preserve">unding </w:t>
            </w:r>
            <w:r w:rsidR="00071921">
              <w:rPr>
                <w:sz w:val="20"/>
                <w:szCs w:val="20"/>
                <w:lang w:val="en-GB"/>
              </w:rPr>
              <w:t>w</w:t>
            </w:r>
            <w:r w:rsidRPr="00A06FAD">
              <w:rPr>
                <w:sz w:val="20"/>
                <w:szCs w:val="20"/>
                <w:lang w:val="en-GB"/>
              </w:rPr>
              <w:t>indows is to improve the quality of non-core funding to UNDP</w:t>
            </w:r>
            <w:r w:rsidR="00071921">
              <w:rPr>
                <w:sz w:val="20"/>
                <w:szCs w:val="20"/>
                <w:lang w:val="en-GB"/>
              </w:rPr>
              <w:t>,</w:t>
            </w:r>
            <w:r w:rsidRPr="00A06FAD">
              <w:rPr>
                <w:sz w:val="20"/>
                <w:szCs w:val="20"/>
                <w:lang w:val="en-GB"/>
              </w:rPr>
              <w:t xml:space="preserve"> promote more integrated programming</w:t>
            </w:r>
            <w:r w:rsidR="00071921">
              <w:rPr>
                <w:sz w:val="20"/>
                <w:szCs w:val="20"/>
                <w:lang w:val="en-GB"/>
              </w:rPr>
              <w:t>,</w:t>
            </w:r>
            <w:r w:rsidRPr="00A06FAD">
              <w:rPr>
                <w:sz w:val="20"/>
                <w:szCs w:val="20"/>
                <w:lang w:val="en-GB"/>
              </w:rPr>
              <w:t xml:space="preserve"> and respond to emerging issues. The</w:t>
            </w:r>
            <w:r w:rsidR="00071921">
              <w:rPr>
                <w:sz w:val="20"/>
                <w:szCs w:val="20"/>
                <w:lang w:val="en-GB"/>
              </w:rPr>
              <w:t xml:space="preserve"> windows</w:t>
            </w:r>
            <w:r w:rsidRPr="00A06FAD">
              <w:rPr>
                <w:sz w:val="20"/>
                <w:szCs w:val="20"/>
                <w:lang w:val="en-GB"/>
              </w:rPr>
              <w:t xml:space="preserve"> are intended to help UNDP and its partners align around common goals to support country-focused efforts to achieve the SDGs.  </w:t>
            </w:r>
          </w:p>
          <w:p w14:paraId="6E15984F" w14:textId="27E63A93" w:rsidR="00E16CE5" w:rsidRPr="00A06FAD" w:rsidRDefault="00BB53C7" w:rsidP="000D2EE9">
            <w:pPr>
              <w:spacing w:after="60"/>
              <w:rPr>
                <w:sz w:val="20"/>
                <w:szCs w:val="20"/>
                <w:lang w:val="en-GB"/>
              </w:rPr>
            </w:pPr>
            <w:r w:rsidRPr="00A06FAD">
              <w:rPr>
                <w:sz w:val="20"/>
                <w:szCs w:val="20"/>
                <w:lang w:val="en-GB"/>
              </w:rPr>
              <w:t xml:space="preserve">UNDP will: </w:t>
            </w:r>
            <w:r w:rsidR="000D2EE9">
              <w:rPr>
                <w:sz w:val="20"/>
                <w:szCs w:val="20"/>
                <w:lang w:val="en-GB"/>
              </w:rPr>
              <w:t xml:space="preserve">(a) </w:t>
            </w:r>
            <w:r w:rsidRPr="00A06FAD">
              <w:rPr>
                <w:sz w:val="20"/>
                <w:szCs w:val="20"/>
                <w:lang w:val="en-GB"/>
              </w:rPr>
              <w:t xml:space="preserve">Work with UNODC and other </w:t>
            </w:r>
            <w:r w:rsidR="005D074C">
              <w:rPr>
                <w:sz w:val="20"/>
                <w:szCs w:val="20"/>
                <w:lang w:val="en-GB"/>
              </w:rPr>
              <w:t>United Nations partners</w:t>
            </w:r>
            <w:r w:rsidRPr="00A06FAD">
              <w:rPr>
                <w:sz w:val="20"/>
                <w:szCs w:val="20"/>
                <w:lang w:val="en-GB"/>
              </w:rPr>
              <w:t xml:space="preserve"> to design joint programmes/projects on anti-corruption and governance integrity</w:t>
            </w:r>
            <w:r w:rsidR="000D2EE9">
              <w:rPr>
                <w:sz w:val="20"/>
                <w:szCs w:val="20"/>
                <w:lang w:val="en-GB"/>
              </w:rPr>
              <w:t>;</w:t>
            </w:r>
            <w:r w:rsidRPr="00A06FAD">
              <w:rPr>
                <w:sz w:val="20"/>
                <w:szCs w:val="20"/>
                <w:lang w:val="en-GB"/>
              </w:rPr>
              <w:t xml:space="preserve"> </w:t>
            </w:r>
            <w:r w:rsidR="000D2EE9">
              <w:rPr>
                <w:sz w:val="20"/>
                <w:szCs w:val="20"/>
                <w:lang w:val="en-GB"/>
              </w:rPr>
              <w:t xml:space="preserve">(b) </w:t>
            </w:r>
            <w:r w:rsidR="005A2AA9" w:rsidRPr="00A06FAD">
              <w:rPr>
                <w:sz w:val="20"/>
                <w:szCs w:val="20"/>
                <w:lang w:val="en-GB"/>
              </w:rPr>
              <w:t>Continue to b</w:t>
            </w:r>
            <w:r w:rsidRPr="00A06FAD">
              <w:rPr>
                <w:sz w:val="20"/>
                <w:szCs w:val="20"/>
                <w:lang w:val="en-GB"/>
              </w:rPr>
              <w:t>rief donor partners on UNDP</w:t>
            </w:r>
            <w:r w:rsidR="000D2EE9">
              <w:rPr>
                <w:sz w:val="20"/>
                <w:szCs w:val="20"/>
                <w:lang w:val="en-GB"/>
              </w:rPr>
              <w:t xml:space="preserve"> </w:t>
            </w:r>
            <w:r w:rsidRPr="00A06FAD">
              <w:rPr>
                <w:sz w:val="20"/>
                <w:szCs w:val="20"/>
                <w:lang w:val="en-GB"/>
              </w:rPr>
              <w:t xml:space="preserve">plans to implement </w:t>
            </w:r>
            <w:r w:rsidR="000D2EE9">
              <w:rPr>
                <w:sz w:val="20"/>
                <w:szCs w:val="20"/>
                <w:lang w:val="en-GB"/>
              </w:rPr>
              <w:t>g</w:t>
            </w:r>
            <w:r w:rsidRPr="00A06FAD">
              <w:rPr>
                <w:sz w:val="20"/>
                <w:szCs w:val="20"/>
                <w:lang w:val="en-GB"/>
              </w:rPr>
              <w:t xml:space="preserve">oal 16 and mainstream </w:t>
            </w:r>
            <w:r w:rsidR="000D2EE9">
              <w:rPr>
                <w:sz w:val="20"/>
                <w:szCs w:val="20"/>
                <w:lang w:val="en-GB"/>
              </w:rPr>
              <w:t>it</w:t>
            </w:r>
            <w:r w:rsidRPr="00A06FAD">
              <w:rPr>
                <w:sz w:val="20"/>
                <w:szCs w:val="20"/>
                <w:lang w:val="en-GB"/>
              </w:rPr>
              <w:t xml:space="preserve"> in</w:t>
            </w:r>
            <w:r w:rsidR="000D2EE9">
              <w:rPr>
                <w:sz w:val="20"/>
                <w:szCs w:val="20"/>
                <w:lang w:val="en-GB"/>
              </w:rPr>
              <w:t>to</w:t>
            </w:r>
            <w:r w:rsidRPr="00A06FAD">
              <w:rPr>
                <w:sz w:val="20"/>
                <w:szCs w:val="20"/>
                <w:lang w:val="en-GB"/>
              </w:rPr>
              <w:t xml:space="preserve"> other </w:t>
            </w:r>
            <w:r w:rsidR="000D2EE9">
              <w:rPr>
                <w:sz w:val="20"/>
                <w:szCs w:val="20"/>
                <w:lang w:val="en-GB"/>
              </w:rPr>
              <w:t>g</w:t>
            </w:r>
            <w:r w:rsidRPr="00A06FAD">
              <w:rPr>
                <w:sz w:val="20"/>
                <w:szCs w:val="20"/>
                <w:lang w:val="en-GB"/>
              </w:rPr>
              <w:t>oals</w:t>
            </w:r>
            <w:r w:rsidR="000D2EE9">
              <w:rPr>
                <w:sz w:val="20"/>
                <w:szCs w:val="20"/>
                <w:lang w:val="en-GB"/>
              </w:rPr>
              <w:t xml:space="preserve"> (t</w:t>
            </w:r>
            <w:r w:rsidRPr="00A06FAD">
              <w:rPr>
                <w:sz w:val="20"/>
                <w:szCs w:val="20"/>
                <w:lang w:val="en-GB"/>
              </w:rPr>
              <w:t>his will help to mobilize additional resources in support of the SDGs</w:t>
            </w:r>
            <w:r w:rsidR="000D2EE9">
              <w:rPr>
                <w:sz w:val="20"/>
                <w:szCs w:val="20"/>
                <w:lang w:val="en-GB"/>
              </w:rPr>
              <w:t xml:space="preserve">); and (c) </w:t>
            </w:r>
            <w:r w:rsidR="00E16CE5" w:rsidRPr="00A06FAD">
              <w:rPr>
                <w:sz w:val="20"/>
                <w:szCs w:val="20"/>
                <w:lang w:val="en-GB"/>
              </w:rPr>
              <w:t xml:space="preserve">Brief donor partners on </w:t>
            </w:r>
            <w:r w:rsidR="000D2EE9">
              <w:rPr>
                <w:sz w:val="20"/>
                <w:szCs w:val="20"/>
                <w:lang w:val="en-GB"/>
              </w:rPr>
              <w:t xml:space="preserve">the </w:t>
            </w:r>
            <w:r w:rsidR="00E16CE5" w:rsidRPr="00A06FAD">
              <w:rPr>
                <w:sz w:val="20"/>
                <w:szCs w:val="20"/>
                <w:lang w:val="en-GB"/>
              </w:rPr>
              <w:t xml:space="preserve">UNDP approach, niche and priorities </w:t>
            </w:r>
            <w:r w:rsidR="000D2EE9">
              <w:rPr>
                <w:sz w:val="20"/>
                <w:szCs w:val="20"/>
                <w:lang w:val="en-GB"/>
              </w:rPr>
              <w:t>regarding</w:t>
            </w:r>
            <w:r w:rsidR="000D2EE9" w:rsidRPr="00A06FAD">
              <w:rPr>
                <w:sz w:val="20"/>
                <w:szCs w:val="20"/>
                <w:lang w:val="en-GB"/>
              </w:rPr>
              <w:t xml:space="preserve"> </w:t>
            </w:r>
            <w:r w:rsidR="00E16CE5" w:rsidRPr="00A06FAD">
              <w:rPr>
                <w:sz w:val="20"/>
                <w:szCs w:val="20"/>
                <w:lang w:val="en-GB"/>
              </w:rPr>
              <w:t>anti-corruption and its global, regional and country</w:t>
            </w:r>
            <w:r w:rsidR="000D2EE9">
              <w:rPr>
                <w:sz w:val="20"/>
                <w:szCs w:val="20"/>
                <w:lang w:val="en-GB"/>
              </w:rPr>
              <w:t>-</w:t>
            </w:r>
            <w:r w:rsidR="00E16CE5" w:rsidRPr="00A06FAD">
              <w:rPr>
                <w:sz w:val="20"/>
                <w:szCs w:val="20"/>
                <w:lang w:val="en-GB"/>
              </w:rPr>
              <w:t>level projects and activities.</w:t>
            </w:r>
          </w:p>
        </w:tc>
      </w:tr>
      <w:tr w:rsidR="00BB53C7" w:rsidRPr="00A06FAD" w14:paraId="1606A051" w14:textId="77777777" w:rsidTr="000B38A1">
        <w:tc>
          <w:tcPr>
            <w:tcW w:w="7650" w:type="dxa"/>
            <w:shd w:val="clear" w:color="auto" w:fill="auto"/>
          </w:tcPr>
          <w:p w14:paraId="6A0BD256" w14:textId="32BB315E" w:rsidR="00482C8B" w:rsidRPr="00A06FAD" w:rsidRDefault="00212D5F" w:rsidP="000D2EE9">
            <w:pPr>
              <w:spacing w:before="60" w:after="60"/>
              <w:rPr>
                <w:sz w:val="20"/>
                <w:szCs w:val="20"/>
                <w:lang w:val="en-GB"/>
              </w:rPr>
            </w:pPr>
            <w:r w:rsidRPr="00A06FAD">
              <w:rPr>
                <w:sz w:val="20"/>
                <w:szCs w:val="20"/>
                <w:lang w:val="en-GB"/>
              </w:rPr>
              <w:t>6</w:t>
            </w:r>
            <w:r w:rsidR="00BB53C7" w:rsidRPr="00A06FAD">
              <w:rPr>
                <w:sz w:val="20"/>
                <w:szCs w:val="20"/>
                <w:lang w:val="en-GB"/>
              </w:rPr>
              <w:t xml:space="preserve">.1. Develop resource mobilization and partnership strategy, emphasizing the importance of anti-corruption and </w:t>
            </w:r>
            <w:r w:rsidR="00402255" w:rsidRPr="00A06FAD">
              <w:rPr>
                <w:sz w:val="20"/>
                <w:szCs w:val="20"/>
                <w:lang w:val="en-GB"/>
              </w:rPr>
              <w:t>addressing the drivers of corruption</w:t>
            </w:r>
            <w:r w:rsidR="00BB53C7" w:rsidRPr="00A06FAD">
              <w:rPr>
                <w:sz w:val="20"/>
                <w:szCs w:val="20"/>
                <w:lang w:val="en-GB"/>
              </w:rPr>
              <w:t xml:space="preserve"> in the context of </w:t>
            </w:r>
            <w:r w:rsidR="006968AC" w:rsidRPr="00A06FAD">
              <w:rPr>
                <w:sz w:val="20"/>
                <w:szCs w:val="20"/>
                <w:lang w:val="en-GB"/>
              </w:rPr>
              <w:t>implementing, measuring</w:t>
            </w:r>
            <w:r w:rsidR="00BB53C7" w:rsidRPr="00A06FAD">
              <w:rPr>
                <w:sz w:val="20"/>
                <w:szCs w:val="20"/>
                <w:lang w:val="en-GB"/>
              </w:rPr>
              <w:t xml:space="preserve"> and monitoring the SDGs.</w:t>
            </w:r>
          </w:p>
        </w:tc>
        <w:tc>
          <w:tcPr>
            <w:tcW w:w="1350" w:type="dxa"/>
            <w:shd w:val="clear" w:color="auto" w:fill="auto"/>
          </w:tcPr>
          <w:p w14:paraId="629121D4" w14:textId="77777777" w:rsidR="00BB53C7" w:rsidRPr="00A06FAD" w:rsidRDefault="00BB53C7" w:rsidP="000D2EE9">
            <w:pPr>
              <w:spacing w:before="60" w:after="60"/>
              <w:rPr>
                <w:sz w:val="20"/>
                <w:szCs w:val="20"/>
                <w:lang w:val="en-GB"/>
              </w:rPr>
            </w:pPr>
            <w:r w:rsidRPr="00A06FAD">
              <w:rPr>
                <w:sz w:val="20"/>
                <w:szCs w:val="20"/>
                <w:lang w:val="en-GB"/>
              </w:rPr>
              <w:t>By December 2017</w:t>
            </w:r>
          </w:p>
        </w:tc>
        <w:tc>
          <w:tcPr>
            <w:tcW w:w="3060" w:type="dxa"/>
            <w:shd w:val="clear" w:color="auto" w:fill="auto"/>
          </w:tcPr>
          <w:p w14:paraId="74CBB421" w14:textId="45EA82C2" w:rsidR="00BB53C7" w:rsidRPr="00A06FAD" w:rsidRDefault="00BB53C7" w:rsidP="000D2EE9">
            <w:pPr>
              <w:spacing w:before="60" w:after="60"/>
              <w:rPr>
                <w:sz w:val="20"/>
                <w:szCs w:val="20"/>
                <w:lang w:val="en-GB"/>
              </w:rPr>
            </w:pPr>
            <w:r w:rsidRPr="00A06FAD">
              <w:rPr>
                <w:sz w:val="20"/>
                <w:szCs w:val="20"/>
                <w:lang w:val="en-GB"/>
              </w:rPr>
              <w:t>BPPS</w:t>
            </w:r>
            <w:r w:rsidR="000D2EE9">
              <w:rPr>
                <w:sz w:val="20"/>
                <w:szCs w:val="20"/>
                <w:lang w:val="en-GB"/>
              </w:rPr>
              <w:t>,</w:t>
            </w:r>
            <w:r w:rsidRPr="00A06FAD">
              <w:rPr>
                <w:sz w:val="20"/>
                <w:szCs w:val="20"/>
                <w:lang w:val="en-GB"/>
              </w:rPr>
              <w:t xml:space="preserve"> in cooperation with </w:t>
            </w:r>
            <w:r w:rsidR="005A2AA9" w:rsidRPr="00A06FAD">
              <w:rPr>
                <w:sz w:val="20"/>
                <w:szCs w:val="20"/>
                <w:lang w:val="en-GB"/>
              </w:rPr>
              <w:t xml:space="preserve">BERA and </w:t>
            </w:r>
            <w:r w:rsidR="0038075C" w:rsidRPr="00A06FAD">
              <w:rPr>
                <w:sz w:val="20"/>
                <w:szCs w:val="20"/>
                <w:lang w:val="en-GB"/>
              </w:rPr>
              <w:t>regional hubs, regional bureaus</w:t>
            </w:r>
            <w:r w:rsidRPr="00A06FAD">
              <w:rPr>
                <w:sz w:val="20"/>
                <w:szCs w:val="20"/>
                <w:lang w:val="en-GB"/>
              </w:rPr>
              <w:t xml:space="preserve"> and country offices</w:t>
            </w:r>
          </w:p>
        </w:tc>
        <w:tc>
          <w:tcPr>
            <w:tcW w:w="1260" w:type="dxa"/>
            <w:gridSpan w:val="2"/>
            <w:shd w:val="clear" w:color="auto" w:fill="auto"/>
          </w:tcPr>
          <w:p w14:paraId="45CA4854" w14:textId="77777777" w:rsidR="00BB53C7" w:rsidRPr="00A06FAD" w:rsidRDefault="00BB53C7" w:rsidP="00BB53C7">
            <w:pPr>
              <w:rPr>
                <w:sz w:val="20"/>
                <w:szCs w:val="20"/>
                <w:lang w:val="en-GB"/>
              </w:rPr>
            </w:pPr>
          </w:p>
        </w:tc>
        <w:tc>
          <w:tcPr>
            <w:tcW w:w="1170" w:type="dxa"/>
            <w:gridSpan w:val="2"/>
            <w:shd w:val="clear" w:color="auto" w:fill="auto"/>
          </w:tcPr>
          <w:p w14:paraId="7C459F8B" w14:textId="77777777" w:rsidR="00BB53C7" w:rsidRPr="00A06FAD" w:rsidRDefault="00BB53C7" w:rsidP="00BB53C7">
            <w:pPr>
              <w:rPr>
                <w:sz w:val="20"/>
                <w:szCs w:val="20"/>
                <w:lang w:val="en-GB"/>
              </w:rPr>
            </w:pPr>
          </w:p>
        </w:tc>
      </w:tr>
      <w:tr w:rsidR="00D86953" w:rsidRPr="00A06FAD" w14:paraId="7CD7204C" w14:textId="77777777" w:rsidTr="000B38A1">
        <w:tc>
          <w:tcPr>
            <w:tcW w:w="7650" w:type="dxa"/>
            <w:shd w:val="clear" w:color="auto" w:fill="auto"/>
          </w:tcPr>
          <w:p w14:paraId="174110FB" w14:textId="77777777" w:rsidR="00D86953" w:rsidRPr="00A06FAD" w:rsidRDefault="00D86953" w:rsidP="000D2EE9">
            <w:pPr>
              <w:spacing w:before="60"/>
              <w:rPr>
                <w:sz w:val="20"/>
                <w:szCs w:val="20"/>
                <w:lang w:val="en-GB"/>
              </w:rPr>
            </w:pPr>
            <w:r w:rsidRPr="00A06FAD">
              <w:rPr>
                <w:sz w:val="20"/>
                <w:szCs w:val="20"/>
                <w:lang w:val="en-GB"/>
              </w:rPr>
              <w:t>6.2. Showcase innovative responses to corruption, including tools for openness, use of open data and technologies that are of particular interest to some donors and partners</w:t>
            </w:r>
          </w:p>
        </w:tc>
        <w:tc>
          <w:tcPr>
            <w:tcW w:w="1350" w:type="dxa"/>
            <w:shd w:val="clear" w:color="auto" w:fill="auto"/>
          </w:tcPr>
          <w:p w14:paraId="36352096" w14:textId="77777777" w:rsidR="00D86953" w:rsidRPr="00A06FAD" w:rsidRDefault="00D86953" w:rsidP="000D2EE9">
            <w:pPr>
              <w:spacing w:before="60"/>
              <w:rPr>
                <w:sz w:val="20"/>
                <w:szCs w:val="20"/>
                <w:lang w:val="en-GB"/>
              </w:rPr>
            </w:pPr>
            <w:r w:rsidRPr="00A06FAD">
              <w:rPr>
                <w:sz w:val="20"/>
                <w:szCs w:val="20"/>
                <w:lang w:val="en-GB"/>
              </w:rPr>
              <w:t>By December 2017</w:t>
            </w:r>
          </w:p>
        </w:tc>
        <w:tc>
          <w:tcPr>
            <w:tcW w:w="3060" w:type="dxa"/>
            <w:shd w:val="clear" w:color="auto" w:fill="auto"/>
          </w:tcPr>
          <w:p w14:paraId="2F2FE532" w14:textId="33727B57" w:rsidR="00D86953" w:rsidRPr="00A06FAD" w:rsidRDefault="00D86953" w:rsidP="000D2EE9">
            <w:pPr>
              <w:spacing w:before="60"/>
              <w:rPr>
                <w:sz w:val="20"/>
                <w:szCs w:val="20"/>
                <w:lang w:val="en-GB"/>
              </w:rPr>
            </w:pPr>
            <w:r w:rsidRPr="00A06FAD">
              <w:rPr>
                <w:sz w:val="20"/>
                <w:szCs w:val="20"/>
                <w:lang w:val="en-GB"/>
              </w:rPr>
              <w:t>BPPS</w:t>
            </w:r>
            <w:r w:rsidR="000D2EE9">
              <w:rPr>
                <w:sz w:val="20"/>
                <w:szCs w:val="20"/>
                <w:lang w:val="en-GB"/>
              </w:rPr>
              <w:t>,</w:t>
            </w:r>
            <w:r w:rsidRPr="00A06FAD">
              <w:rPr>
                <w:sz w:val="20"/>
                <w:szCs w:val="20"/>
                <w:lang w:val="en-GB"/>
              </w:rPr>
              <w:t xml:space="preserve"> in cooperation with</w:t>
            </w:r>
            <w:r w:rsidR="005A2AA9" w:rsidRPr="00A06FAD">
              <w:rPr>
                <w:sz w:val="20"/>
                <w:szCs w:val="20"/>
                <w:lang w:val="en-GB"/>
              </w:rPr>
              <w:t xml:space="preserve"> BERA and </w:t>
            </w:r>
            <w:r w:rsidRPr="00A06FAD">
              <w:rPr>
                <w:sz w:val="20"/>
                <w:szCs w:val="20"/>
                <w:lang w:val="en-GB"/>
              </w:rPr>
              <w:t>regional hubs, regional bureaus and country offices</w:t>
            </w:r>
          </w:p>
        </w:tc>
        <w:tc>
          <w:tcPr>
            <w:tcW w:w="1260" w:type="dxa"/>
            <w:gridSpan w:val="2"/>
            <w:shd w:val="clear" w:color="auto" w:fill="auto"/>
          </w:tcPr>
          <w:p w14:paraId="5B788CAC" w14:textId="77777777" w:rsidR="00D86953" w:rsidRPr="00A06FAD" w:rsidRDefault="00D86953" w:rsidP="00BB53C7">
            <w:pPr>
              <w:rPr>
                <w:sz w:val="20"/>
                <w:szCs w:val="20"/>
                <w:lang w:val="en-GB"/>
              </w:rPr>
            </w:pPr>
          </w:p>
        </w:tc>
        <w:tc>
          <w:tcPr>
            <w:tcW w:w="1170" w:type="dxa"/>
            <w:gridSpan w:val="2"/>
            <w:shd w:val="clear" w:color="auto" w:fill="auto"/>
          </w:tcPr>
          <w:p w14:paraId="3AB996B3" w14:textId="77777777" w:rsidR="00D86953" w:rsidRPr="00A06FAD" w:rsidRDefault="00D86953" w:rsidP="00BB53C7">
            <w:pPr>
              <w:rPr>
                <w:sz w:val="20"/>
                <w:szCs w:val="20"/>
                <w:lang w:val="en-GB"/>
              </w:rPr>
            </w:pPr>
          </w:p>
        </w:tc>
      </w:tr>
      <w:tr w:rsidR="00BB53C7" w:rsidRPr="00A06FAD" w14:paraId="4BD33537" w14:textId="77777777" w:rsidTr="00E06989">
        <w:tc>
          <w:tcPr>
            <w:tcW w:w="14490" w:type="dxa"/>
            <w:gridSpan w:val="7"/>
            <w:tcBorders>
              <w:bottom w:val="single" w:sz="4" w:space="0" w:color="auto"/>
            </w:tcBorders>
            <w:shd w:val="clear" w:color="auto" w:fill="E6E6E6"/>
          </w:tcPr>
          <w:p w14:paraId="4A44C8AB" w14:textId="679A46D4" w:rsidR="00BB53C7" w:rsidRPr="00A06FAD" w:rsidRDefault="00353467" w:rsidP="000D2EE9">
            <w:pPr>
              <w:spacing w:before="60" w:after="60"/>
              <w:rPr>
                <w:b/>
                <w:sz w:val="20"/>
                <w:szCs w:val="20"/>
                <w:lang w:val="en-GB"/>
              </w:rPr>
            </w:pPr>
            <w:r w:rsidRPr="000D2EE9">
              <w:rPr>
                <w:b/>
                <w:i/>
                <w:sz w:val="20"/>
                <w:szCs w:val="20"/>
                <w:lang w:val="en-GB"/>
              </w:rPr>
              <w:t>Recommendation 7.</w:t>
            </w:r>
            <w:r w:rsidRPr="00A06FAD">
              <w:rPr>
                <w:b/>
                <w:sz w:val="20"/>
                <w:szCs w:val="20"/>
                <w:lang w:val="en-GB"/>
              </w:rPr>
              <w:t xml:space="preserve"> Strengthen staff capacities at the global and regional level to specifically address the need for more specialized policy and technical services for anti-corruption programming.</w:t>
            </w:r>
          </w:p>
        </w:tc>
      </w:tr>
      <w:tr w:rsidR="00BB53C7" w:rsidRPr="00A06FAD" w14:paraId="17E722ED" w14:textId="77777777" w:rsidTr="00E06989">
        <w:tc>
          <w:tcPr>
            <w:tcW w:w="14490" w:type="dxa"/>
            <w:gridSpan w:val="7"/>
            <w:shd w:val="clear" w:color="auto" w:fill="F3F3F3"/>
          </w:tcPr>
          <w:p w14:paraId="00AD6ACE" w14:textId="10345FCF" w:rsidR="00BB53C7" w:rsidRPr="00A06FAD" w:rsidRDefault="00905DE4" w:rsidP="005758E9">
            <w:pPr>
              <w:spacing w:before="60" w:after="60"/>
              <w:rPr>
                <w:sz w:val="20"/>
                <w:szCs w:val="20"/>
                <w:lang w:val="en-GB"/>
              </w:rPr>
            </w:pPr>
            <w:r w:rsidRPr="00A06FAD">
              <w:rPr>
                <w:b/>
                <w:sz w:val="20"/>
                <w:szCs w:val="20"/>
                <w:lang w:val="en-GB"/>
              </w:rPr>
              <w:t xml:space="preserve">Management response: </w:t>
            </w:r>
            <w:r w:rsidRPr="00A06FAD">
              <w:rPr>
                <w:sz w:val="20"/>
                <w:szCs w:val="20"/>
                <w:lang w:val="en-GB"/>
              </w:rPr>
              <w:t>UNDP management fully agrees with the recommendation</w:t>
            </w:r>
            <w:r w:rsidR="005758E9">
              <w:rPr>
                <w:sz w:val="20"/>
                <w:szCs w:val="20"/>
                <w:lang w:val="en-GB"/>
              </w:rPr>
              <w:t>,</w:t>
            </w:r>
            <w:r w:rsidR="002A7ABF" w:rsidRPr="00A06FAD">
              <w:rPr>
                <w:sz w:val="20"/>
                <w:szCs w:val="20"/>
                <w:lang w:val="en-GB"/>
              </w:rPr>
              <w:t xml:space="preserve"> while </w:t>
            </w:r>
            <w:r w:rsidR="005758E9">
              <w:rPr>
                <w:sz w:val="20"/>
                <w:szCs w:val="20"/>
                <w:lang w:val="en-GB"/>
              </w:rPr>
              <w:t>recogniz</w:t>
            </w:r>
            <w:r w:rsidR="005758E9" w:rsidRPr="00A06FAD">
              <w:rPr>
                <w:sz w:val="20"/>
                <w:szCs w:val="20"/>
                <w:lang w:val="en-GB"/>
              </w:rPr>
              <w:t xml:space="preserve">ing </w:t>
            </w:r>
            <w:r w:rsidR="002A7ABF" w:rsidRPr="00A06FAD">
              <w:rPr>
                <w:sz w:val="20"/>
                <w:szCs w:val="20"/>
                <w:lang w:val="en-GB"/>
              </w:rPr>
              <w:t>that an expansion of capacities is dependent on additional resources</w:t>
            </w:r>
            <w:r w:rsidRPr="00A06FAD">
              <w:rPr>
                <w:sz w:val="20"/>
                <w:szCs w:val="20"/>
                <w:lang w:val="en-GB"/>
              </w:rPr>
              <w:t xml:space="preserve">. UNDP will ensure that relevant capacities in support of development and implementation </w:t>
            </w:r>
            <w:r w:rsidR="00A66E59" w:rsidRPr="00A06FAD">
              <w:rPr>
                <w:sz w:val="20"/>
                <w:szCs w:val="20"/>
                <w:lang w:val="en-GB"/>
              </w:rPr>
              <w:t xml:space="preserve">of </w:t>
            </w:r>
            <w:r w:rsidRPr="00A06FAD">
              <w:rPr>
                <w:sz w:val="20"/>
                <w:szCs w:val="20"/>
                <w:lang w:val="en-GB"/>
              </w:rPr>
              <w:t>anti-corruption programming are maintained and strengthened to the extent possible</w:t>
            </w:r>
            <w:r w:rsidR="002A7ABF" w:rsidRPr="00A06FAD">
              <w:rPr>
                <w:sz w:val="20"/>
                <w:szCs w:val="20"/>
                <w:lang w:val="en-GB"/>
              </w:rPr>
              <w:t xml:space="preserve"> and pending </w:t>
            </w:r>
            <w:r w:rsidR="005758E9">
              <w:rPr>
                <w:sz w:val="20"/>
                <w:szCs w:val="20"/>
                <w:lang w:val="en-GB"/>
              </w:rPr>
              <w:t xml:space="preserve">the </w:t>
            </w:r>
            <w:r w:rsidR="005758E9" w:rsidRPr="00A06FAD">
              <w:rPr>
                <w:sz w:val="20"/>
                <w:szCs w:val="20"/>
                <w:lang w:val="en-GB"/>
              </w:rPr>
              <w:t>mobili</w:t>
            </w:r>
            <w:r w:rsidR="005758E9">
              <w:rPr>
                <w:sz w:val="20"/>
                <w:szCs w:val="20"/>
                <w:lang w:val="en-GB"/>
              </w:rPr>
              <w:t>z</w:t>
            </w:r>
            <w:r w:rsidR="005758E9" w:rsidRPr="00A06FAD">
              <w:rPr>
                <w:sz w:val="20"/>
                <w:szCs w:val="20"/>
                <w:lang w:val="en-GB"/>
              </w:rPr>
              <w:t xml:space="preserve">ation of </w:t>
            </w:r>
            <w:r w:rsidR="002A7ABF" w:rsidRPr="00A06FAD">
              <w:rPr>
                <w:sz w:val="20"/>
                <w:szCs w:val="20"/>
                <w:lang w:val="en-GB"/>
              </w:rPr>
              <w:t>additional resources</w:t>
            </w:r>
            <w:r w:rsidRPr="00A06FAD">
              <w:rPr>
                <w:sz w:val="20"/>
                <w:szCs w:val="20"/>
                <w:lang w:val="en-GB"/>
              </w:rPr>
              <w:t>.</w:t>
            </w:r>
          </w:p>
        </w:tc>
      </w:tr>
      <w:tr w:rsidR="00BB53C7" w:rsidRPr="00A06FAD" w14:paraId="6F1E2427" w14:textId="77777777" w:rsidTr="000B38A1">
        <w:tc>
          <w:tcPr>
            <w:tcW w:w="7650" w:type="dxa"/>
            <w:shd w:val="clear" w:color="auto" w:fill="auto"/>
          </w:tcPr>
          <w:p w14:paraId="19339985" w14:textId="444C3229" w:rsidR="00BB53C7" w:rsidRPr="00A06FAD" w:rsidRDefault="00212D5F" w:rsidP="000D2EE9">
            <w:pPr>
              <w:spacing w:before="60" w:after="60"/>
              <w:rPr>
                <w:sz w:val="20"/>
                <w:szCs w:val="20"/>
                <w:lang w:val="en-GB"/>
              </w:rPr>
            </w:pPr>
            <w:r w:rsidRPr="00A06FAD">
              <w:rPr>
                <w:sz w:val="20"/>
                <w:szCs w:val="20"/>
                <w:lang w:val="en-GB"/>
              </w:rPr>
              <w:t>7.1</w:t>
            </w:r>
            <w:r w:rsidR="00BB53C7" w:rsidRPr="00A06FAD">
              <w:rPr>
                <w:sz w:val="20"/>
                <w:szCs w:val="20"/>
                <w:lang w:val="en-GB"/>
              </w:rPr>
              <w:t xml:space="preserve">. </w:t>
            </w:r>
            <w:r w:rsidRPr="00A06FAD">
              <w:rPr>
                <w:sz w:val="20"/>
                <w:szCs w:val="20"/>
                <w:lang w:val="en-GB"/>
              </w:rPr>
              <w:t xml:space="preserve">Ensure that designated capacities for anti-corruption programming are in place in country offices, regional service centres and headquarters to advise and support other practices to design, monitor, implement and evaluate </w:t>
            </w:r>
            <w:r w:rsidR="00402255" w:rsidRPr="00A06FAD">
              <w:rPr>
                <w:sz w:val="20"/>
                <w:szCs w:val="20"/>
                <w:lang w:val="en-GB"/>
              </w:rPr>
              <w:t xml:space="preserve">anti-corruption </w:t>
            </w:r>
            <w:r w:rsidRPr="00A06FAD">
              <w:rPr>
                <w:sz w:val="20"/>
                <w:szCs w:val="20"/>
                <w:lang w:val="en-GB"/>
              </w:rPr>
              <w:t xml:space="preserve">programmes </w:t>
            </w:r>
          </w:p>
        </w:tc>
        <w:tc>
          <w:tcPr>
            <w:tcW w:w="1350" w:type="dxa"/>
            <w:shd w:val="clear" w:color="auto" w:fill="auto"/>
          </w:tcPr>
          <w:p w14:paraId="6B9543DD" w14:textId="77777777" w:rsidR="00BB53C7" w:rsidRPr="00A06FAD" w:rsidRDefault="00BB53C7" w:rsidP="000D2EE9">
            <w:pPr>
              <w:spacing w:before="60" w:after="60"/>
              <w:rPr>
                <w:sz w:val="20"/>
                <w:szCs w:val="20"/>
                <w:lang w:val="en-GB"/>
              </w:rPr>
            </w:pPr>
            <w:r w:rsidRPr="00A06FAD">
              <w:rPr>
                <w:sz w:val="20"/>
                <w:szCs w:val="20"/>
                <w:lang w:val="en-GB"/>
              </w:rPr>
              <w:t>By December 2017</w:t>
            </w:r>
          </w:p>
        </w:tc>
        <w:tc>
          <w:tcPr>
            <w:tcW w:w="3060" w:type="dxa"/>
            <w:shd w:val="clear" w:color="auto" w:fill="auto"/>
          </w:tcPr>
          <w:p w14:paraId="585974D9" w14:textId="49894D97" w:rsidR="00BB53C7" w:rsidRPr="00A06FAD" w:rsidRDefault="00BB53C7" w:rsidP="000D2EE9">
            <w:pPr>
              <w:spacing w:before="60" w:after="60"/>
              <w:rPr>
                <w:sz w:val="20"/>
                <w:szCs w:val="20"/>
                <w:lang w:val="en-GB"/>
              </w:rPr>
            </w:pPr>
            <w:r w:rsidRPr="00A06FAD">
              <w:rPr>
                <w:sz w:val="20"/>
                <w:szCs w:val="20"/>
                <w:lang w:val="en-GB"/>
              </w:rPr>
              <w:t>BPPS</w:t>
            </w:r>
            <w:r w:rsidR="000D2EE9">
              <w:rPr>
                <w:sz w:val="20"/>
                <w:szCs w:val="20"/>
                <w:lang w:val="en-GB"/>
              </w:rPr>
              <w:t>,</w:t>
            </w:r>
            <w:r w:rsidRPr="00A06FAD">
              <w:rPr>
                <w:sz w:val="20"/>
                <w:szCs w:val="20"/>
                <w:lang w:val="en-GB"/>
              </w:rPr>
              <w:t xml:space="preserve"> in cooperation with respective</w:t>
            </w:r>
            <w:r w:rsidR="0038075C" w:rsidRPr="00A06FAD">
              <w:rPr>
                <w:sz w:val="20"/>
                <w:szCs w:val="20"/>
                <w:lang w:val="en-GB"/>
              </w:rPr>
              <w:t xml:space="preserve"> regional hubs, regional bureaus</w:t>
            </w:r>
            <w:r w:rsidRPr="00A06FAD">
              <w:rPr>
                <w:sz w:val="20"/>
                <w:szCs w:val="20"/>
                <w:lang w:val="en-GB"/>
              </w:rPr>
              <w:t xml:space="preserve"> and country offices</w:t>
            </w:r>
          </w:p>
        </w:tc>
        <w:tc>
          <w:tcPr>
            <w:tcW w:w="1260" w:type="dxa"/>
            <w:gridSpan w:val="2"/>
            <w:shd w:val="clear" w:color="auto" w:fill="auto"/>
          </w:tcPr>
          <w:p w14:paraId="7AE49F4A" w14:textId="77777777" w:rsidR="00BB53C7" w:rsidRPr="00A06FAD" w:rsidRDefault="00BB53C7" w:rsidP="00BB53C7">
            <w:pPr>
              <w:rPr>
                <w:sz w:val="20"/>
                <w:szCs w:val="20"/>
                <w:lang w:val="en-GB"/>
              </w:rPr>
            </w:pPr>
          </w:p>
        </w:tc>
        <w:tc>
          <w:tcPr>
            <w:tcW w:w="1170" w:type="dxa"/>
            <w:gridSpan w:val="2"/>
            <w:shd w:val="clear" w:color="auto" w:fill="auto"/>
          </w:tcPr>
          <w:p w14:paraId="2FBFE0C1" w14:textId="77777777" w:rsidR="00BB53C7" w:rsidRPr="00A06FAD" w:rsidRDefault="00BB53C7" w:rsidP="00BB53C7">
            <w:pPr>
              <w:rPr>
                <w:sz w:val="20"/>
                <w:szCs w:val="20"/>
                <w:lang w:val="en-GB"/>
              </w:rPr>
            </w:pPr>
          </w:p>
        </w:tc>
      </w:tr>
    </w:tbl>
    <w:p w14:paraId="4F31F9B2" w14:textId="21BFE182" w:rsidR="00A80449" w:rsidRPr="00A06FAD" w:rsidRDefault="00A80449" w:rsidP="00AB2CF4">
      <w:pPr>
        <w:spacing w:before="60"/>
        <w:jc w:val="center"/>
        <w:rPr>
          <w:sz w:val="28"/>
          <w:szCs w:val="28"/>
          <w:lang w:val="en-GB"/>
        </w:rPr>
      </w:pPr>
      <w:r w:rsidRPr="00A06FAD">
        <w:rPr>
          <w:rFonts w:ascii="Calibri" w:hAnsi="Calibri"/>
          <w:noProof/>
          <w:sz w:val="28"/>
          <w:szCs w:val="28"/>
        </w:rPr>
        <w:drawing>
          <wp:inline distT="0" distB="0" distL="0" distR="0" wp14:anchorId="0D9C2B62" wp14:editId="593B00C2">
            <wp:extent cx="942975" cy="285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A80449" w:rsidRPr="00A06FAD" w:rsidSect="00C75E86">
      <w:headerReference w:type="even" r:id="rId19"/>
      <w:headerReference w:type="default" r:id="rId20"/>
      <w:footerReference w:type="even" r:id="rId21"/>
      <w:footerReference w:type="default" r:id="rId22"/>
      <w:headerReference w:type="first" r:id="rId23"/>
      <w:footerReference w:type="first" r:id="rId24"/>
      <w:pgSz w:w="15840" w:h="12240" w:orient="landscape" w:code="1"/>
      <w:pgMar w:top="1195" w:right="1474" w:bottom="1134" w:left="1474" w:header="540" w:footer="103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A305D" w14:textId="77777777" w:rsidR="00D4316F" w:rsidRDefault="00D4316F">
      <w:r>
        <w:separator/>
      </w:r>
    </w:p>
  </w:endnote>
  <w:endnote w:type="continuationSeparator" w:id="0">
    <w:p w14:paraId="4AA5CD6A" w14:textId="77777777" w:rsidR="00D4316F" w:rsidRDefault="00D4316F">
      <w:r>
        <w:continuationSeparator/>
      </w:r>
    </w:p>
  </w:endnote>
  <w:endnote w:type="continuationNotice" w:id="1">
    <w:p w14:paraId="304145C6" w14:textId="77777777" w:rsidR="00D4316F" w:rsidRDefault="00D43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Barcode 3 of 9 by request">
    <w:altName w:val="Andale Mono"/>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F37905" w14:paraId="43D8E2DB" w14:textId="77777777" w:rsidTr="00C63BC0">
      <w:tc>
        <w:tcPr>
          <w:tcW w:w="5033" w:type="dxa"/>
          <w:vAlign w:val="bottom"/>
        </w:tcPr>
        <w:p w14:paraId="755CD167" w14:textId="77777777" w:rsidR="00F37905" w:rsidRDefault="00F37905">
          <w:pPr>
            <w:pStyle w:val="Footer"/>
          </w:pPr>
          <w:r>
            <w:fldChar w:fldCharType="begin"/>
          </w:r>
          <w:r>
            <w:instrText xml:space="preserve"> PAGE  \* MERGEFORMAT </w:instrText>
          </w:r>
          <w:r>
            <w:fldChar w:fldCharType="separate"/>
          </w:r>
          <w:r>
            <w:rPr>
              <w:noProof/>
            </w:rPr>
            <w:t>4</w:t>
          </w:r>
          <w:r>
            <w:fldChar w:fldCharType="end"/>
          </w:r>
        </w:p>
      </w:tc>
      <w:tc>
        <w:tcPr>
          <w:tcW w:w="5033" w:type="dxa"/>
          <w:vAlign w:val="bottom"/>
        </w:tcPr>
        <w:p w14:paraId="04DA4014" w14:textId="77777777" w:rsidR="00F37905" w:rsidRDefault="00F37905">
          <w:pPr>
            <w:pStyle w:val="Footer"/>
            <w:jc w:val="right"/>
          </w:pPr>
        </w:p>
      </w:tc>
    </w:tr>
  </w:tbl>
  <w:p w14:paraId="7283D01C" w14:textId="77777777" w:rsidR="00F37905" w:rsidRDefault="00F37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F37905" w14:paraId="343338A1" w14:textId="77777777" w:rsidTr="00C63BC0">
      <w:tc>
        <w:tcPr>
          <w:tcW w:w="5033" w:type="dxa"/>
          <w:vAlign w:val="bottom"/>
        </w:tcPr>
        <w:p w14:paraId="6675FE66" w14:textId="77777777" w:rsidR="00F37905" w:rsidRDefault="00F37905">
          <w:pPr>
            <w:pStyle w:val="Footer"/>
          </w:pPr>
        </w:p>
      </w:tc>
      <w:tc>
        <w:tcPr>
          <w:tcW w:w="5033" w:type="dxa"/>
          <w:vAlign w:val="bottom"/>
        </w:tcPr>
        <w:p w14:paraId="57AD7375" w14:textId="77777777" w:rsidR="00F37905" w:rsidRDefault="00F37905">
          <w:pPr>
            <w:pStyle w:val="Footer"/>
            <w:jc w:val="right"/>
          </w:pPr>
          <w:r>
            <w:fldChar w:fldCharType="begin"/>
          </w:r>
          <w:r>
            <w:instrText xml:space="preserve"> PAGE  \* MERGEFORMAT </w:instrText>
          </w:r>
          <w:r>
            <w:fldChar w:fldCharType="separate"/>
          </w:r>
          <w:r>
            <w:rPr>
              <w:noProof/>
            </w:rPr>
            <w:t>3</w:t>
          </w:r>
          <w:r>
            <w:fldChar w:fldCharType="end"/>
          </w:r>
        </w:p>
      </w:tc>
    </w:tr>
  </w:tbl>
  <w:p w14:paraId="2C104C42" w14:textId="77777777" w:rsidR="00F37905" w:rsidRDefault="00F37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5033"/>
      <w:gridCol w:w="3686"/>
    </w:tblGrid>
    <w:tr w:rsidR="00F37905" w14:paraId="5AE92CB4" w14:textId="77777777" w:rsidTr="006F4285">
      <w:tc>
        <w:tcPr>
          <w:tcW w:w="5033" w:type="dxa"/>
          <w:shd w:val="clear" w:color="auto" w:fill="auto"/>
        </w:tcPr>
        <w:p w14:paraId="1A481D86" w14:textId="77777777" w:rsidR="00F37905" w:rsidRPr="002929FA" w:rsidRDefault="00F37905" w:rsidP="00621D8E">
          <w:pPr>
            <w:pStyle w:val="Footer"/>
            <w:spacing w:before="80" w:line="210" w:lineRule="exact"/>
            <w:rPr>
              <w:rFonts w:ascii="Barcode 3 of 9 by request" w:hAnsi="Barcode 3 of 9 by request"/>
            </w:rPr>
          </w:pPr>
        </w:p>
      </w:tc>
      <w:tc>
        <w:tcPr>
          <w:tcW w:w="3686" w:type="dxa"/>
          <w:shd w:val="clear" w:color="auto" w:fill="auto"/>
        </w:tcPr>
        <w:p w14:paraId="5BA16D41" w14:textId="77777777" w:rsidR="00F37905" w:rsidRDefault="00F37905" w:rsidP="002929FA">
          <w:pPr>
            <w:pStyle w:val="Footer"/>
            <w:spacing w:line="240" w:lineRule="atLeast"/>
            <w:jc w:val="right"/>
          </w:pPr>
        </w:p>
      </w:tc>
    </w:tr>
  </w:tbl>
  <w:p w14:paraId="3E64EA47" w14:textId="77777777" w:rsidR="00F37905" w:rsidRPr="002929FA" w:rsidRDefault="00F37905" w:rsidP="002929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C9E24" w14:textId="0E1AA75A" w:rsidR="00F37905" w:rsidRPr="002979FA" w:rsidRDefault="00F37905">
    <w:pPr>
      <w:pStyle w:val="Footer"/>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sidR="00C61EFD">
      <w:rPr>
        <w:b/>
        <w:noProof/>
        <w:sz w:val="17"/>
        <w:szCs w:val="17"/>
      </w:rPr>
      <w:t>2</w:t>
    </w:r>
    <w:r w:rsidRPr="002979FA">
      <w:rPr>
        <w:b/>
        <w:noProof/>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603B1" w14:textId="4826D70A" w:rsidR="00F37905" w:rsidRPr="002979FA" w:rsidRDefault="00F37905" w:rsidP="002979FA">
    <w:pPr>
      <w:pStyle w:val="Footer"/>
      <w:jc w:val="right"/>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sidR="002A3475">
      <w:rPr>
        <w:b/>
        <w:noProof/>
        <w:sz w:val="17"/>
        <w:szCs w:val="17"/>
      </w:rPr>
      <w:t>5</w:t>
    </w:r>
    <w:r w:rsidRPr="002979FA">
      <w:rPr>
        <w:b/>
        <w:noProof/>
        <w:sz w:val="17"/>
        <w:szCs w:val="17"/>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B8D5D" w14:textId="758DB746" w:rsidR="00F37905" w:rsidRPr="002979FA" w:rsidRDefault="00F37905" w:rsidP="00EF4A33">
    <w:pPr>
      <w:pStyle w:val="Footer"/>
      <w:rPr>
        <w:b/>
        <w:sz w:val="17"/>
        <w:szCs w:val="17"/>
      </w:rPr>
    </w:pPr>
    <w:r w:rsidRPr="002979FA">
      <w:rPr>
        <w:b/>
        <w:sz w:val="17"/>
        <w:szCs w:val="17"/>
      </w:rPr>
      <w:fldChar w:fldCharType="begin"/>
    </w:r>
    <w:r w:rsidRPr="002979FA">
      <w:rPr>
        <w:b/>
        <w:sz w:val="17"/>
        <w:szCs w:val="17"/>
      </w:rPr>
      <w:instrText xml:space="preserve"> PAGE   \* MERGEFORMAT </w:instrText>
    </w:r>
    <w:r w:rsidRPr="002979FA">
      <w:rPr>
        <w:b/>
        <w:sz w:val="17"/>
        <w:szCs w:val="17"/>
      </w:rPr>
      <w:fldChar w:fldCharType="separate"/>
    </w:r>
    <w:r w:rsidR="002A3475">
      <w:rPr>
        <w:b/>
        <w:noProof/>
        <w:sz w:val="17"/>
        <w:szCs w:val="17"/>
      </w:rPr>
      <w:t>8</w:t>
    </w:r>
    <w:r w:rsidRPr="002979FA">
      <w:rPr>
        <w:b/>
        <w:noProof/>
        <w:sz w:val="17"/>
        <w:szCs w:val="17"/>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B257" w14:textId="4F78685E" w:rsidR="00F37905" w:rsidRPr="00F22912" w:rsidRDefault="00F37905" w:rsidP="00F22912">
    <w:pPr>
      <w:pStyle w:val="Footer"/>
      <w:jc w:val="right"/>
      <w:rPr>
        <w:b/>
        <w:sz w:val="17"/>
        <w:szCs w:val="17"/>
      </w:rPr>
    </w:pPr>
    <w:r w:rsidRPr="00F22912">
      <w:rPr>
        <w:b/>
        <w:sz w:val="17"/>
        <w:szCs w:val="17"/>
      </w:rPr>
      <w:fldChar w:fldCharType="begin"/>
    </w:r>
    <w:r w:rsidRPr="00F22912">
      <w:rPr>
        <w:b/>
        <w:sz w:val="17"/>
        <w:szCs w:val="17"/>
      </w:rPr>
      <w:instrText xml:space="preserve"> PAGE   \* MERGEFORMAT </w:instrText>
    </w:r>
    <w:r w:rsidRPr="00F22912">
      <w:rPr>
        <w:b/>
        <w:sz w:val="17"/>
        <w:szCs w:val="17"/>
      </w:rPr>
      <w:fldChar w:fldCharType="separate"/>
    </w:r>
    <w:r w:rsidR="002A3475">
      <w:rPr>
        <w:b/>
        <w:noProof/>
        <w:sz w:val="17"/>
        <w:szCs w:val="17"/>
      </w:rPr>
      <w:t>9</w:t>
    </w:r>
    <w:r w:rsidRPr="00F22912">
      <w:rPr>
        <w:b/>
        <w:noProof/>
        <w:sz w:val="17"/>
        <w:szCs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CC59C" w14:textId="363FFF67" w:rsidR="00F37905" w:rsidRPr="002979FA" w:rsidRDefault="00F37905" w:rsidP="0035123C">
    <w:pPr>
      <w:pStyle w:val="Footer"/>
      <w:ind w:right="-849"/>
      <w:rPr>
        <w:b/>
        <w:sz w:val="17"/>
        <w:szCs w:val="17"/>
      </w:rPr>
    </w:pPr>
    <w:r w:rsidRPr="002979FA">
      <w:rPr>
        <w:rStyle w:val="PageNumber"/>
        <w:b/>
        <w:sz w:val="17"/>
        <w:szCs w:val="17"/>
      </w:rPr>
      <w:fldChar w:fldCharType="begin"/>
    </w:r>
    <w:r w:rsidRPr="002979FA">
      <w:rPr>
        <w:rStyle w:val="PageNumber"/>
        <w:b/>
        <w:sz w:val="17"/>
        <w:szCs w:val="17"/>
      </w:rPr>
      <w:instrText xml:space="preserve"> PAGE </w:instrText>
    </w:r>
    <w:r w:rsidRPr="002979FA">
      <w:rPr>
        <w:rStyle w:val="PageNumber"/>
        <w:b/>
        <w:sz w:val="17"/>
        <w:szCs w:val="17"/>
      </w:rPr>
      <w:fldChar w:fldCharType="separate"/>
    </w:r>
    <w:r w:rsidR="002A3475">
      <w:rPr>
        <w:rStyle w:val="PageNumber"/>
        <w:b/>
        <w:noProof/>
        <w:sz w:val="17"/>
        <w:szCs w:val="17"/>
      </w:rPr>
      <w:t>6</w:t>
    </w:r>
    <w:r w:rsidRPr="002979FA">
      <w:rPr>
        <w:rStyle w:val="PageNumber"/>
        <w:b/>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105CC" w14:textId="77777777" w:rsidR="00D4316F" w:rsidRDefault="00D4316F">
      <w:r>
        <w:separator/>
      </w:r>
    </w:p>
  </w:footnote>
  <w:footnote w:type="continuationSeparator" w:id="0">
    <w:p w14:paraId="6743F22A" w14:textId="77777777" w:rsidR="00D4316F" w:rsidRDefault="00D4316F">
      <w:r>
        <w:continuationSeparator/>
      </w:r>
    </w:p>
  </w:footnote>
  <w:footnote w:type="continuationNotice" w:id="1">
    <w:p w14:paraId="17408455" w14:textId="77777777" w:rsidR="00D4316F" w:rsidRDefault="00D4316F"/>
  </w:footnote>
  <w:footnote w:id="2">
    <w:p w14:paraId="2AC718C6" w14:textId="6F628770" w:rsidR="00F37905" w:rsidRDefault="00F37905">
      <w:pPr>
        <w:pStyle w:val="FootnoteText"/>
      </w:pPr>
      <w:r w:rsidRPr="0023791E">
        <w:rPr>
          <w:rStyle w:val="FootnoteReference"/>
          <w:sz w:val="18"/>
          <w:szCs w:val="18"/>
        </w:rPr>
        <w:footnoteRef/>
      </w:r>
      <w:r>
        <w:t xml:space="preserve"> </w:t>
      </w:r>
      <w:r w:rsidRPr="0023791E">
        <w:rPr>
          <w:sz w:val="18"/>
          <w:szCs w:val="18"/>
        </w:rPr>
        <w:t>As of 6 October 2016. See, https://www.unodc.org/unodc/en/treaties/CAC/</w:t>
      </w:r>
    </w:p>
  </w:footnote>
  <w:footnote w:id="3">
    <w:p w14:paraId="330E365B" w14:textId="4824BFAA" w:rsidR="00F37905" w:rsidRPr="000C5992" w:rsidRDefault="00F37905" w:rsidP="00B101D7">
      <w:pPr>
        <w:pStyle w:val="FootnoteText"/>
        <w:ind w:left="360" w:hanging="360"/>
        <w:rPr>
          <w:sz w:val="18"/>
          <w:szCs w:val="18"/>
        </w:rPr>
      </w:pPr>
      <w:r w:rsidRPr="000C5992">
        <w:rPr>
          <w:rStyle w:val="FootnoteReference"/>
          <w:sz w:val="18"/>
          <w:szCs w:val="18"/>
        </w:rPr>
        <w:footnoteRef/>
      </w:r>
      <w:r w:rsidRPr="000C5992">
        <w:rPr>
          <w:sz w:val="18"/>
          <w:szCs w:val="18"/>
        </w:rPr>
        <w:t xml:space="preserve"> U</w:t>
      </w:r>
      <w:r>
        <w:rPr>
          <w:sz w:val="18"/>
          <w:szCs w:val="18"/>
        </w:rPr>
        <w:t>nited Nations-a</w:t>
      </w:r>
      <w:r w:rsidRPr="000C5992">
        <w:rPr>
          <w:sz w:val="18"/>
          <w:szCs w:val="18"/>
        </w:rPr>
        <w:t>dministered Territory of Kosovo</w:t>
      </w:r>
      <w:r>
        <w:rPr>
          <w:sz w:val="18"/>
          <w:szCs w:val="18"/>
        </w:rPr>
        <w:t xml:space="preserve"> (</w:t>
      </w:r>
      <w:r w:rsidRPr="000C5992">
        <w:rPr>
          <w:sz w:val="18"/>
          <w:szCs w:val="18"/>
        </w:rPr>
        <w:t xml:space="preserve">Security Council </w:t>
      </w:r>
      <w:r>
        <w:rPr>
          <w:sz w:val="18"/>
          <w:szCs w:val="18"/>
        </w:rPr>
        <w:t>r</w:t>
      </w:r>
      <w:r w:rsidRPr="000C5992">
        <w:rPr>
          <w:sz w:val="18"/>
          <w:szCs w:val="18"/>
        </w:rPr>
        <w:t>esolution 1244</w:t>
      </w:r>
      <w:r>
        <w:rPr>
          <w:sz w:val="18"/>
          <w:szCs w:val="18"/>
        </w:rPr>
        <w:t>)</w:t>
      </w:r>
      <w:r w:rsidRPr="000C5992">
        <w:rPr>
          <w:sz w:val="18"/>
          <w:szCs w:val="18"/>
        </w:rPr>
        <w:t xml:space="preserve"> </w:t>
      </w:r>
    </w:p>
  </w:footnote>
  <w:footnote w:id="4">
    <w:p w14:paraId="1AB9849F" w14:textId="421304F9" w:rsidR="00F37905" w:rsidRPr="00A06FAD" w:rsidRDefault="00F37905" w:rsidP="007164D2">
      <w:pPr>
        <w:rPr>
          <w:sz w:val="18"/>
          <w:szCs w:val="18"/>
          <w:lang w:val="en-GB"/>
        </w:rPr>
      </w:pPr>
      <w:r w:rsidRPr="007164D2">
        <w:rPr>
          <w:rStyle w:val="FootnoteReference"/>
          <w:sz w:val="18"/>
          <w:szCs w:val="18"/>
        </w:rPr>
        <w:footnoteRef/>
      </w:r>
      <w:r w:rsidRPr="007164D2">
        <w:rPr>
          <w:sz w:val="18"/>
          <w:szCs w:val="18"/>
        </w:rPr>
        <w:t xml:space="preserve"> </w:t>
      </w:r>
      <w:r>
        <w:rPr>
          <w:sz w:val="18"/>
          <w:szCs w:val="18"/>
          <w:lang w:val="en-GB"/>
        </w:rPr>
        <w:t>I</w:t>
      </w:r>
      <w:r w:rsidRPr="00A06FAD">
        <w:rPr>
          <w:sz w:val="18"/>
          <w:szCs w:val="18"/>
          <w:lang w:val="en-GB"/>
        </w:rPr>
        <w:t>mplementation status is tracked in</w:t>
      </w:r>
      <w:r>
        <w:rPr>
          <w:sz w:val="18"/>
          <w:szCs w:val="18"/>
          <w:lang w:val="en-GB"/>
        </w:rPr>
        <w:t xml:space="preserve"> the Evaluation Resource Centre</w:t>
      </w:r>
    </w:p>
    <w:p w14:paraId="023CEBF9" w14:textId="790D1D67" w:rsidR="00F37905" w:rsidRPr="007164D2" w:rsidRDefault="00F37905">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13A0" w14:textId="77777777" w:rsidR="00F37905" w:rsidRDefault="00F37905">
    <w:pPr>
      <w:pStyle w:val="Header"/>
    </w:pPr>
    <w:r>
      <w:rPr>
        <w:noProof/>
      </w:rPr>
      <mc:AlternateContent>
        <mc:Choice Requires="wps">
          <w:drawing>
            <wp:anchor distT="0" distB="0" distL="114300" distR="114300" simplePos="0" relativeHeight="251658240" behindDoc="0" locked="0" layoutInCell="0" allowOverlap="1" wp14:anchorId="3C5045EB" wp14:editId="6E972F65">
              <wp:simplePos x="0" y="0"/>
              <wp:positionH relativeFrom="column">
                <wp:posOffset>-73025</wp:posOffset>
              </wp:positionH>
              <wp:positionV relativeFrom="paragraph">
                <wp:posOffset>0</wp:posOffset>
              </wp:positionV>
              <wp:extent cx="6400800" cy="6400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F37905" w14:paraId="013FE441" w14:textId="77777777">
                            <w:trPr>
                              <w:trHeight w:hRule="exact" w:val="864"/>
                            </w:trPr>
                            <w:tc>
                              <w:tcPr>
                                <w:tcW w:w="4838" w:type="dxa"/>
                                <w:vAlign w:val="bottom"/>
                              </w:tcPr>
                              <w:p w14:paraId="3CD002AC" w14:textId="77777777" w:rsidR="00F37905" w:rsidRDefault="00F37905">
                                <w:pPr>
                                  <w:pStyle w:val="Header"/>
                                  <w:spacing w:after="80"/>
                                  <w:rPr>
                                    <w:b/>
                                  </w:rPr>
                                </w:pPr>
                                <w:r>
                                  <w:rPr>
                                    <w:b/>
                                  </w:rPr>
                                  <w:t>DP/2006/xx</w:t>
                                </w:r>
                              </w:p>
                            </w:tc>
                            <w:tc>
                              <w:tcPr>
                                <w:tcW w:w="5047" w:type="dxa"/>
                                <w:vAlign w:val="bottom"/>
                              </w:tcPr>
                              <w:p w14:paraId="130350D0" w14:textId="77777777" w:rsidR="00F37905" w:rsidRDefault="00F37905">
                                <w:pPr>
                                  <w:pStyle w:val="Header"/>
                                </w:pPr>
                              </w:p>
                            </w:tc>
                          </w:tr>
                        </w:tbl>
                        <w:p w14:paraId="0B2436EE" w14:textId="77777777" w:rsidR="00F37905" w:rsidRDefault="00F3790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C5045EB" id="_x0000_t202" coordsize="21600,21600" o:spt="202" path="m,l,21600r21600,l21600,xe">
              <v:stroke joinstyle="miter"/>
              <v:path gradientshapeok="t" o:connecttype="rect"/>
            </v:shapetype>
            <v:shape id="Text Box 8"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F37905" w14:paraId="013FE441" w14:textId="77777777">
                      <w:trPr>
                        <w:trHeight w:hRule="exact" w:val="864"/>
                      </w:trPr>
                      <w:tc>
                        <w:tcPr>
                          <w:tcW w:w="4838" w:type="dxa"/>
                          <w:vAlign w:val="bottom"/>
                        </w:tcPr>
                        <w:p w14:paraId="3CD002AC" w14:textId="77777777" w:rsidR="00F37905" w:rsidRDefault="00F37905">
                          <w:pPr>
                            <w:pStyle w:val="Header"/>
                            <w:spacing w:after="80"/>
                            <w:rPr>
                              <w:b/>
                            </w:rPr>
                          </w:pPr>
                          <w:r>
                            <w:rPr>
                              <w:b/>
                            </w:rPr>
                            <w:t>DP/2006/xx</w:t>
                          </w:r>
                        </w:p>
                      </w:tc>
                      <w:tc>
                        <w:tcPr>
                          <w:tcW w:w="5047" w:type="dxa"/>
                          <w:vAlign w:val="bottom"/>
                        </w:tcPr>
                        <w:p w14:paraId="130350D0" w14:textId="77777777" w:rsidR="00F37905" w:rsidRDefault="00F37905">
                          <w:pPr>
                            <w:pStyle w:val="Header"/>
                          </w:pPr>
                        </w:p>
                      </w:tc>
                    </w:tr>
                  </w:tbl>
                  <w:p w14:paraId="0B2436EE" w14:textId="77777777" w:rsidR="00F37905" w:rsidRDefault="00F37905"/>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E1E7" w14:textId="77777777" w:rsidR="00F37905" w:rsidRDefault="00F37905">
    <w:pPr>
      <w:pStyle w:val="Header"/>
    </w:pPr>
    <w:r>
      <w:rPr>
        <w:noProof/>
      </w:rPr>
      <mc:AlternateContent>
        <mc:Choice Requires="wps">
          <w:drawing>
            <wp:anchor distT="0" distB="0" distL="114300" distR="114300" simplePos="0" relativeHeight="251657216" behindDoc="0" locked="0" layoutInCell="0" allowOverlap="1" wp14:anchorId="39022C87" wp14:editId="2373142E">
              <wp:simplePos x="0" y="0"/>
              <wp:positionH relativeFrom="column">
                <wp:posOffset>-73025</wp:posOffset>
              </wp:positionH>
              <wp:positionV relativeFrom="paragraph">
                <wp:posOffset>0</wp:posOffset>
              </wp:positionV>
              <wp:extent cx="6400800" cy="640080"/>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F37905" w14:paraId="61967510" w14:textId="77777777">
                            <w:trPr>
                              <w:trHeight w:hRule="exact" w:val="864"/>
                            </w:trPr>
                            <w:tc>
                              <w:tcPr>
                                <w:tcW w:w="4838" w:type="dxa"/>
                                <w:vAlign w:val="bottom"/>
                              </w:tcPr>
                              <w:p w14:paraId="717DA519" w14:textId="77777777" w:rsidR="00F37905" w:rsidRDefault="00F37905">
                                <w:pPr>
                                  <w:pStyle w:val="Header"/>
                                </w:pPr>
                              </w:p>
                            </w:tc>
                            <w:tc>
                              <w:tcPr>
                                <w:tcW w:w="5047" w:type="dxa"/>
                                <w:vAlign w:val="bottom"/>
                              </w:tcPr>
                              <w:p w14:paraId="7C3392DF" w14:textId="77777777" w:rsidR="00F37905" w:rsidRDefault="00F37905">
                                <w:pPr>
                                  <w:pStyle w:val="Header"/>
                                  <w:spacing w:after="80"/>
                                  <w:jc w:val="right"/>
                                  <w:rPr>
                                    <w:b/>
                                  </w:rPr>
                                </w:pPr>
                                <w:r>
                                  <w:rPr>
                                    <w:b/>
                                  </w:rPr>
                                  <w:t>DP/2006/xx</w:t>
                                </w:r>
                              </w:p>
                            </w:tc>
                          </w:tr>
                        </w:tbl>
                        <w:p w14:paraId="6415D0FC" w14:textId="77777777" w:rsidR="00F37905" w:rsidRDefault="00F3790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9022C87" id="_x0000_t202" coordsize="21600,21600" o:spt="202" path="m,l,21600r21600,l21600,xe">
              <v:stroke joinstyle="miter"/>
              <v:path gradientshapeok="t" o:connecttype="rect"/>
            </v:shapetype>
            <v:shape id="Text Box 7" o:spid="_x0000_s1027" type="#_x0000_t202" style="position:absolute;margin-left:-5.75pt;margin-top:0;width:7in;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" o:allowincell="f" stroked="f">
              <v:textbox inset="0,0,0,0">
                <w:txbxContent>
                  <w:tbl>
                    <w:tblPr>
                      <w:tblW w:w="0" w:type="auto"/>
                      <w:tblInd w:w="116"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F37905" w14:paraId="61967510" w14:textId="77777777">
                      <w:trPr>
                        <w:trHeight w:hRule="exact" w:val="864"/>
                      </w:trPr>
                      <w:tc>
                        <w:tcPr>
                          <w:tcW w:w="4838" w:type="dxa"/>
                          <w:vAlign w:val="bottom"/>
                        </w:tcPr>
                        <w:p w14:paraId="717DA519" w14:textId="77777777" w:rsidR="00F37905" w:rsidRDefault="00F37905">
                          <w:pPr>
                            <w:pStyle w:val="Header"/>
                          </w:pPr>
                        </w:p>
                      </w:tc>
                      <w:tc>
                        <w:tcPr>
                          <w:tcW w:w="5047" w:type="dxa"/>
                          <w:vAlign w:val="bottom"/>
                        </w:tcPr>
                        <w:p w14:paraId="7C3392DF" w14:textId="77777777" w:rsidR="00F37905" w:rsidRDefault="00F37905">
                          <w:pPr>
                            <w:pStyle w:val="Header"/>
                            <w:spacing w:after="80"/>
                            <w:jc w:val="right"/>
                            <w:rPr>
                              <w:b/>
                            </w:rPr>
                          </w:pPr>
                          <w:r>
                            <w:rPr>
                              <w:b/>
                            </w:rPr>
                            <w:t>DP/2006/xx</w:t>
                          </w:r>
                        </w:p>
                      </w:tc>
                    </w:tr>
                  </w:tbl>
                  <w:p w14:paraId="6415D0FC" w14:textId="77777777" w:rsidR="00F37905" w:rsidRDefault="00F37905"/>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71"/>
    </w:tblGrid>
    <w:tr w:rsidR="00F37905" w:rsidRPr="001E66BA" w14:paraId="006285F1" w14:textId="77777777" w:rsidTr="00693DFF">
      <w:trPr>
        <w:trHeight w:hRule="exact" w:val="864"/>
      </w:trPr>
      <w:tc>
        <w:tcPr>
          <w:tcW w:w="1267" w:type="dxa"/>
          <w:tcBorders>
            <w:bottom w:val="single" w:sz="4" w:space="0" w:color="auto"/>
          </w:tcBorders>
          <w:shd w:val="clear" w:color="auto" w:fill="auto"/>
          <w:vAlign w:val="bottom"/>
        </w:tcPr>
        <w:p w14:paraId="27D1B3AF" w14:textId="77777777" w:rsidR="00F37905" w:rsidRDefault="00F37905" w:rsidP="006861F9">
          <w:pPr>
            <w:pStyle w:val="Header"/>
            <w:spacing w:after="120"/>
          </w:pPr>
        </w:p>
      </w:tc>
      <w:tc>
        <w:tcPr>
          <w:tcW w:w="1872" w:type="dxa"/>
          <w:tcBorders>
            <w:bottom w:val="single" w:sz="4" w:space="0" w:color="auto"/>
          </w:tcBorders>
          <w:shd w:val="clear" w:color="auto" w:fill="auto"/>
          <w:vAlign w:val="bottom"/>
        </w:tcPr>
        <w:p w14:paraId="32E716D1" w14:textId="77777777" w:rsidR="00F37905" w:rsidRPr="0015223D" w:rsidRDefault="00F37905" w:rsidP="006861F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6632C63" w14:textId="77777777" w:rsidR="00F37905" w:rsidRDefault="00F37905" w:rsidP="006861F9">
          <w:pPr>
            <w:pStyle w:val="Header"/>
            <w:spacing w:after="120"/>
          </w:pPr>
        </w:p>
      </w:tc>
      <w:tc>
        <w:tcPr>
          <w:tcW w:w="6426" w:type="dxa"/>
          <w:gridSpan w:val="3"/>
          <w:tcBorders>
            <w:bottom w:val="single" w:sz="4" w:space="0" w:color="auto"/>
          </w:tcBorders>
          <w:shd w:val="clear" w:color="auto" w:fill="auto"/>
          <w:vAlign w:val="bottom"/>
        </w:tcPr>
        <w:p w14:paraId="05AAB15A" w14:textId="06A88E96" w:rsidR="00F37905" w:rsidRPr="001E66BA" w:rsidRDefault="00F37905" w:rsidP="00436304">
          <w:pPr>
            <w:spacing w:after="80"/>
            <w:jc w:val="right"/>
            <w:rPr>
              <w:position w:val="-4"/>
              <w:highlight w:val="yellow"/>
            </w:rPr>
          </w:pPr>
          <w:r w:rsidRPr="002260D4">
            <w:rPr>
              <w:position w:val="-4"/>
              <w:sz w:val="40"/>
            </w:rPr>
            <w:t>DP</w:t>
          </w:r>
          <w:r w:rsidRPr="002260D4">
            <w:rPr>
              <w:position w:val="-4"/>
            </w:rPr>
            <w:t>/201</w:t>
          </w:r>
          <w:r>
            <w:rPr>
              <w:position w:val="-4"/>
            </w:rPr>
            <w:t>7</w:t>
          </w:r>
          <w:r w:rsidRPr="002260D4">
            <w:rPr>
              <w:position w:val="-4"/>
            </w:rPr>
            <w:t>/</w:t>
          </w:r>
          <w:r>
            <w:rPr>
              <w:position w:val="-4"/>
            </w:rPr>
            <w:t>5</w:t>
          </w:r>
        </w:p>
      </w:tc>
    </w:tr>
    <w:tr w:rsidR="00F37905" w:rsidRPr="0015223D" w14:paraId="61DC2716" w14:textId="77777777" w:rsidTr="00693DFF">
      <w:trPr>
        <w:trHeight w:hRule="exact" w:val="2880"/>
      </w:trPr>
      <w:tc>
        <w:tcPr>
          <w:tcW w:w="1267" w:type="dxa"/>
          <w:tcBorders>
            <w:top w:val="single" w:sz="4" w:space="0" w:color="auto"/>
            <w:bottom w:val="single" w:sz="12" w:space="0" w:color="auto"/>
          </w:tcBorders>
          <w:shd w:val="clear" w:color="auto" w:fill="auto"/>
        </w:tcPr>
        <w:p w14:paraId="5EB92386" w14:textId="77777777" w:rsidR="00F37905" w:rsidRDefault="00F37905" w:rsidP="006861F9">
          <w:pPr>
            <w:pStyle w:val="Header"/>
            <w:spacing w:before="109"/>
          </w:pPr>
          <w:r>
            <w:t xml:space="preserve"> </w:t>
          </w:r>
          <w:r>
            <w:rPr>
              <w:noProof/>
            </w:rPr>
            <w:drawing>
              <wp:inline distT="0" distB="0" distL="0" distR="0" wp14:anchorId="10D9FA16" wp14:editId="155BDB83">
                <wp:extent cx="704850" cy="590550"/>
                <wp:effectExtent l="0" t="0" r="0" b="0"/>
                <wp:docPr id="23" name="Picture 2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7F94B5A0" w14:textId="77777777" w:rsidR="00F37905" w:rsidRPr="0015223D" w:rsidRDefault="00F37905" w:rsidP="006861F9">
          <w:pPr>
            <w:pStyle w:val="Header"/>
            <w:spacing w:before="109"/>
          </w:pPr>
        </w:p>
      </w:tc>
      <w:tc>
        <w:tcPr>
          <w:tcW w:w="5227" w:type="dxa"/>
          <w:gridSpan w:val="3"/>
          <w:tcBorders>
            <w:top w:val="single" w:sz="4" w:space="0" w:color="auto"/>
            <w:bottom w:val="single" w:sz="12" w:space="0" w:color="auto"/>
          </w:tcBorders>
          <w:shd w:val="clear" w:color="auto" w:fill="auto"/>
        </w:tcPr>
        <w:p w14:paraId="0708C393" w14:textId="77777777" w:rsidR="00F37905" w:rsidRPr="0015223D" w:rsidRDefault="00F37905" w:rsidP="006861F9">
          <w:pPr>
            <w:pStyle w:val="XLarge"/>
            <w:spacing w:before="109" w:line="330" w:lineRule="exact"/>
            <w:rPr>
              <w:sz w:val="34"/>
            </w:rPr>
          </w:pPr>
          <w:r>
            <w:rPr>
              <w:sz w:val="34"/>
            </w:rPr>
            <w:t>Executive Board of the</w:t>
          </w:r>
          <w:r>
            <w:rPr>
              <w:sz w:val="34"/>
            </w:rPr>
            <w:br/>
            <w:t>United Nations Development</w:t>
          </w:r>
          <w:r>
            <w:rPr>
              <w:sz w:val="34"/>
            </w:rPr>
            <w:br/>
            <w:t xml:space="preserve">Programme, the United Nations Population </w:t>
          </w:r>
          <w:r w:rsidRPr="0087600D">
            <w:rPr>
              <w:sz w:val="34"/>
            </w:rPr>
            <w:t xml:space="preserve">Fund and the </w:t>
          </w:r>
          <w:r>
            <w:rPr>
              <w:sz w:val="34"/>
            </w:rPr>
            <w:br/>
          </w:r>
          <w:r w:rsidRPr="0087600D">
            <w:rPr>
              <w:sz w:val="34"/>
            </w:rPr>
            <w:t xml:space="preserve">United Nations Office for </w:t>
          </w:r>
          <w:r>
            <w:rPr>
              <w:sz w:val="34"/>
            </w:rPr>
            <w:br/>
          </w:r>
          <w:r w:rsidRPr="0087600D">
            <w:rPr>
              <w:sz w:val="34"/>
            </w:rPr>
            <w:t>Project Services</w:t>
          </w:r>
        </w:p>
      </w:tc>
      <w:tc>
        <w:tcPr>
          <w:tcW w:w="245" w:type="dxa"/>
          <w:tcBorders>
            <w:top w:val="single" w:sz="4" w:space="0" w:color="auto"/>
            <w:bottom w:val="single" w:sz="12" w:space="0" w:color="auto"/>
          </w:tcBorders>
          <w:shd w:val="clear" w:color="auto" w:fill="auto"/>
        </w:tcPr>
        <w:p w14:paraId="76438909" w14:textId="77777777" w:rsidR="00F37905" w:rsidRPr="009D4DD7" w:rsidRDefault="00F37905" w:rsidP="006861F9">
          <w:pPr>
            <w:pStyle w:val="Header"/>
            <w:spacing w:before="109"/>
            <w:rPr>
              <w:sz w:val="20"/>
              <w:szCs w:val="20"/>
            </w:rPr>
          </w:pPr>
        </w:p>
      </w:tc>
      <w:tc>
        <w:tcPr>
          <w:tcW w:w="3071" w:type="dxa"/>
          <w:tcBorders>
            <w:top w:val="single" w:sz="4" w:space="0" w:color="auto"/>
            <w:bottom w:val="single" w:sz="12" w:space="0" w:color="auto"/>
          </w:tcBorders>
          <w:shd w:val="clear" w:color="auto" w:fill="auto"/>
        </w:tcPr>
        <w:p w14:paraId="17ED05AC" w14:textId="77777777" w:rsidR="00F37905" w:rsidRPr="009D4DD7" w:rsidRDefault="00F37905" w:rsidP="006861F9">
          <w:pPr>
            <w:spacing w:before="240"/>
            <w:rPr>
              <w:sz w:val="20"/>
              <w:szCs w:val="20"/>
            </w:rPr>
          </w:pPr>
          <w:r w:rsidRPr="009D4DD7">
            <w:rPr>
              <w:sz w:val="20"/>
              <w:szCs w:val="20"/>
            </w:rPr>
            <w:t>Distr.: General</w:t>
          </w:r>
        </w:p>
        <w:p w14:paraId="7AFF646F" w14:textId="74AD84C2" w:rsidR="00F37905" w:rsidRPr="009D4DD7" w:rsidRDefault="00F37905" w:rsidP="006861F9">
          <w:pPr>
            <w:rPr>
              <w:sz w:val="20"/>
              <w:szCs w:val="20"/>
            </w:rPr>
          </w:pPr>
          <w:r>
            <w:rPr>
              <w:sz w:val="20"/>
              <w:szCs w:val="20"/>
            </w:rPr>
            <w:t>2</w:t>
          </w:r>
          <w:r w:rsidR="00AC2A46">
            <w:rPr>
              <w:sz w:val="20"/>
              <w:szCs w:val="20"/>
            </w:rPr>
            <w:t>3</w:t>
          </w:r>
          <w:r>
            <w:rPr>
              <w:sz w:val="20"/>
              <w:szCs w:val="20"/>
            </w:rPr>
            <w:t xml:space="preserve"> November 201</w:t>
          </w:r>
          <w:r w:rsidR="0035123C">
            <w:rPr>
              <w:sz w:val="20"/>
              <w:szCs w:val="20"/>
            </w:rPr>
            <w:t>6</w:t>
          </w:r>
        </w:p>
        <w:p w14:paraId="32BCE512" w14:textId="77777777" w:rsidR="00F37905" w:rsidRDefault="00F37905" w:rsidP="006861F9">
          <w:pPr>
            <w:rPr>
              <w:sz w:val="20"/>
              <w:szCs w:val="20"/>
            </w:rPr>
          </w:pPr>
        </w:p>
        <w:p w14:paraId="13ACA900" w14:textId="77777777" w:rsidR="00F37905" w:rsidRPr="009D4DD7" w:rsidRDefault="00F37905" w:rsidP="006861F9">
          <w:pPr>
            <w:rPr>
              <w:sz w:val="20"/>
              <w:szCs w:val="20"/>
            </w:rPr>
          </w:pPr>
          <w:r w:rsidRPr="009D4DD7">
            <w:rPr>
              <w:sz w:val="20"/>
              <w:szCs w:val="20"/>
            </w:rPr>
            <w:t>Original: English</w:t>
          </w:r>
        </w:p>
      </w:tc>
    </w:tr>
  </w:tbl>
  <w:p w14:paraId="55D458C6" w14:textId="77777777" w:rsidR="00F37905" w:rsidRDefault="00F37905">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37905" w:rsidRPr="00014977" w14:paraId="05B1EF14" w14:textId="77777777" w:rsidTr="00693DFF">
      <w:trPr>
        <w:trHeight w:hRule="exact" w:val="864"/>
      </w:trPr>
      <w:tc>
        <w:tcPr>
          <w:tcW w:w="4838" w:type="dxa"/>
          <w:shd w:val="clear" w:color="auto" w:fill="auto"/>
          <w:vAlign w:val="bottom"/>
        </w:tcPr>
        <w:p w14:paraId="054A23BB" w14:textId="346B5CF1" w:rsidR="00F37905" w:rsidRPr="00014977" w:rsidRDefault="00F37905" w:rsidP="000058D6">
          <w:pPr>
            <w:tabs>
              <w:tab w:val="center" w:pos="4320"/>
              <w:tab w:val="right" w:pos="8640"/>
            </w:tabs>
            <w:spacing w:after="80"/>
            <w:rPr>
              <w:b/>
              <w:noProof/>
              <w:sz w:val="17"/>
              <w:szCs w:val="20"/>
            </w:rPr>
          </w:pPr>
          <w:r w:rsidRPr="00014977">
            <w:rPr>
              <w:b/>
              <w:noProof/>
              <w:sz w:val="17"/>
              <w:szCs w:val="20"/>
            </w:rPr>
            <w:t>D</w:t>
          </w:r>
          <w:r>
            <w:rPr>
              <w:b/>
              <w:noProof/>
              <w:sz w:val="17"/>
              <w:szCs w:val="20"/>
            </w:rPr>
            <w:t>P/2017/5</w:t>
          </w:r>
        </w:p>
      </w:tc>
      <w:tc>
        <w:tcPr>
          <w:tcW w:w="5033" w:type="dxa"/>
          <w:shd w:val="clear" w:color="auto" w:fill="auto"/>
          <w:vAlign w:val="bottom"/>
        </w:tcPr>
        <w:p w14:paraId="084978F4" w14:textId="77777777" w:rsidR="00F37905" w:rsidRPr="00014977" w:rsidRDefault="00F37905" w:rsidP="001E7A10">
          <w:pPr>
            <w:tabs>
              <w:tab w:val="center" w:pos="4320"/>
              <w:tab w:val="right" w:pos="8640"/>
            </w:tabs>
            <w:rPr>
              <w:noProof/>
              <w:sz w:val="17"/>
              <w:szCs w:val="20"/>
            </w:rPr>
          </w:pPr>
        </w:p>
      </w:tc>
    </w:tr>
  </w:tbl>
  <w:p w14:paraId="162D7BDB" w14:textId="77777777" w:rsidR="00F37905" w:rsidRPr="001E7A10" w:rsidRDefault="00F37905">
    <w:pPr>
      <w:pStyle w:val="Heade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F37905" w:rsidRPr="00014977" w14:paraId="081EE41C" w14:textId="77777777" w:rsidTr="00693DFF">
      <w:trPr>
        <w:trHeight w:hRule="exact" w:val="864"/>
      </w:trPr>
      <w:tc>
        <w:tcPr>
          <w:tcW w:w="4838" w:type="dxa"/>
          <w:shd w:val="clear" w:color="auto" w:fill="auto"/>
          <w:vAlign w:val="bottom"/>
        </w:tcPr>
        <w:p w14:paraId="7DC33B7C" w14:textId="77777777" w:rsidR="00F37905" w:rsidRPr="00014977" w:rsidRDefault="00F37905" w:rsidP="00323042">
          <w:pPr>
            <w:tabs>
              <w:tab w:val="center" w:pos="4320"/>
              <w:tab w:val="right" w:pos="8640"/>
            </w:tabs>
            <w:rPr>
              <w:noProof/>
              <w:sz w:val="17"/>
              <w:szCs w:val="20"/>
            </w:rPr>
          </w:pPr>
        </w:p>
      </w:tc>
      <w:tc>
        <w:tcPr>
          <w:tcW w:w="5033" w:type="dxa"/>
          <w:shd w:val="clear" w:color="auto" w:fill="auto"/>
          <w:vAlign w:val="bottom"/>
        </w:tcPr>
        <w:p w14:paraId="45CDED8C" w14:textId="4D400219" w:rsidR="00F37905" w:rsidRPr="00014977" w:rsidRDefault="00F37905" w:rsidP="0010080D">
          <w:pPr>
            <w:tabs>
              <w:tab w:val="center" w:pos="4320"/>
              <w:tab w:val="right" w:pos="8640"/>
            </w:tabs>
            <w:spacing w:after="80"/>
            <w:jc w:val="right"/>
            <w:rPr>
              <w:b/>
              <w:noProof/>
              <w:sz w:val="17"/>
              <w:szCs w:val="20"/>
              <w:highlight w:val="yellow"/>
            </w:rPr>
          </w:pPr>
          <w:r w:rsidRPr="00014977">
            <w:rPr>
              <w:b/>
              <w:noProof/>
              <w:sz w:val="17"/>
              <w:szCs w:val="20"/>
            </w:rPr>
            <w:t>DP/201</w:t>
          </w:r>
          <w:r>
            <w:rPr>
              <w:b/>
              <w:noProof/>
              <w:sz w:val="17"/>
              <w:szCs w:val="20"/>
            </w:rPr>
            <w:t>7</w:t>
          </w:r>
          <w:r w:rsidRPr="00014977">
            <w:rPr>
              <w:b/>
              <w:noProof/>
              <w:sz w:val="17"/>
              <w:szCs w:val="20"/>
            </w:rPr>
            <w:t>/</w:t>
          </w:r>
          <w:r>
            <w:rPr>
              <w:b/>
              <w:noProof/>
              <w:sz w:val="17"/>
              <w:szCs w:val="20"/>
            </w:rPr>
            <w:t>5</w:t>
          </w:r>
        </w:p>
      </w:tc>
    </w:tr>
  </w:tbl>
  <w:p w14:paraId="2421CE41" w14:textId="77777777" w:rsidR="00F37905" w:rsidRPr="00323042" w:rsidRDefault="00F37905">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0" w:type="dxa"/>
      <w:tblInd w:w="-81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472"/>
    </w:tblGrid>
    <w:tr w:rsidR="00F37905" w:rsidRPr="00014977" w14:paraId="6C657039" w14:textId="77777777" w:rsidTr="00782088">
      <w:trPr>
        <w:trHeight w:hRule="exact" w:val="864"/>
      </w:trPr>
      <w:tc>
        <w:tcPr>
          <w:tcW w:w="4838" w:type="dxa"/>
          <w:shd w:val="clear" w:color="auto" w:fill="auto"/>
          <w:vAlign w:val="bottom"/>
        </w:tcPr>
        <w:p w14:paraId="0C7D73F0" w14:textId="6A9955B4" w:rsidR="00F37905" w:rsidRPr="00014977" w:rsidRDefault="00F37905" w:rsidP="000058D6">
          <w:pPr>
            <w:tabs>
              <w:tab w:val="center" w:pos="4320"/>
              <w:tab w:val="right" w:pos="8640"/>
            </w:tabs>
            <w:spacing w:after="80"/>
            <w:ind w:left="-270" w:firstLine="270"/>
            <w:rPr>
              <w:b/>
              <w:noProof/>
              <w:sz w:val="17"/>
              <w:szCs w:val="20"/>
            </w:rPr>
          </w:pPr>
          <w:r w:rsidRPr="00014977">
            <w:rPr>
              <w:b/>
              <w:noProof/>
              <w:sz w:val="17"/>
              <w:szCs w:val="20"/>
            </w:rPr>
            <w:t>D</w:t>
          </w:r>
          <w:r>
            <w:rPr>
              <w:b/>
              <w:noProof/>
              <w:sz w:val="17"/>
              <w:szCs w:val="20"/>
            </w:rPr>
            <w:t>P/2017/5</w:t>
          </w:r>
        </w:p>
      </w:tc>
      <w:tc>
        <w:tcPr>
          <w:tcW w:w="9472" w:type="dxa"/>
          <w:shd w:val="clear" w:color="auto" w:fill="auto"/>
          <w:vAlign w:val="bottom"/>
        </w:tcPr>
        <w:p w14:paraId="43D563E0" w14:textId="77777777" w:rsidR="00F37905" w:rsidRPr="00014977" w:rsidRDefault="00F37905" w:rsidP="00694C0E">
          <w:pPr>
            <w:tabs>
              <w:tab w:val="center" w:pos="4320"/>
            </w:tabs>
            <w:rPr>
              <w:noProof/>
              <w:sz w:val="17"/>
              <w:szCs w:val="20"/>
            </w:rPr>
          </w:pPr>
        </w:p>
      </w:tc>
    </w:tr>
  </w:tbl>
  <w:p w14:paraId="0A8F3179" w14:textId="77777777" w:rsidR="00F37905" w:rsidRPr="00323042" w:rsidRDefault="00F37905">
    <w:pPr>
      <w:pStyle w:val="Head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82" w:type="dxa"/>
      <w:tblInd w:w="-89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544"/>
    </w:tblGrid>
    <w:tr w:rsidR="00F37905" w:rsidRPr="00776DCF" w14:paraId="49B975A1" w14:textId="77777777" w:rsidTr="00323042">
      <w:trPr>
        <w:trHeight w:hRule="exact" w:val="864"/>
      </w:trPr>
      <w:tc>
        <w:tcPr>
          <w:tcW w:w="4838" w:type="dxa"/>
          <w:vAlign w:val="bottom"/>
        </w:tcPr>
        <w:p w14:paraId="18F99477" w14:textId="77777777" w:rsidR="00F37905" w:rsidRPr="00776DCF" w:rsidRDefault="00F37905" w:rsidP="00F22912">
          <w:pPr>
            <w:pStyle w:val="Header"/>
            <w:rPr>
              <w:sz w:val="17"/>
              <w:szCs w:val="17"/>
            </w:rPr>
          </w:pPr>
        </w:p>
      </w:tc>
      <w:tc>
        <w:tcPr>
          <w:tcW w:w="9544" w:type="dxa"/>
          <w:vAlign w:val="bottom"/>
        </w:tcPr>
        <w:p w14:paraId="39C15A7E" w14:textId="18911587" w:rsidR="00F37905" w:rsidRPr="00776DCF" w:rsidRDefault="00F37905" w:rsidP="0010080D">
          <w:pPr>
            <w:pStyle w:val="Header"/>
            <w:spacing w:after="80"/>
            <w:jc w:val="right"/>
            <w:rPr>
              <w:b/>
              <w:sz w:val="17"/>
              <w:szCs w:val="17"/>
            </w:rPr>
          </w:pPr>
          <w:r w:rsidRPr="00776DCF">
            <w:rPr>
              <w:b/>
              <w:sz w:val="17"/>
              <w:szCs w:val="17"/>
            </w:rPr>
            <w:t>DP/201</w:t>
          </w:r>
          <w:r>
            <w:rPr>
              <w:b/>
              <w:sz w:val="17"/>
              <w:szCs w:val="17"/>
            </w:rPr>
            <w:t>7/5</w:t>
          </w:r>
        </w:p>
      </w:tc>
    </w:tr>
  </w:tbl>
  <w:p w14:paraId="6AE283DE" w14:textId="77777777" w:rsidR="00F37905" w:rsidRDefault="00F3790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82" w:type="dxa"/>
      <w:tblInd w:w="-89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9544"/>
    </w:tblGrid>
    <w:tr w:rsidR="00F37905" w:rsidRPr="00776DCF" w14:paraId="15AE434D" w14:textId="77777777" w:rsidTr="00323042">
      <w:trPr>
        <w:trHeight w:hRule="exact" w:val="864"/>
      </w:trPr>
      <w:tc>
        <w:tcPr>
          <w:tcW w:w="4838" w:type="dxa"/>
          <w:vAlign w:val="bottom"/>
        </w:tcPr>
        <w:p w14:paraId="7209C500" w14:textId="6056542A" w:rsidR="00F37905" w:rsidRPr="0035123C" w:rsidRDefault="0035123C" w:rsidP="0035123C">
          <w:pPr>
            <w:pStyle w:val="Header"/>
            <w:spacing w:after="60"/>
            <w:rPr>
              <w:b/>
              <w:sz w:val="17"/>
              <w:szCs w:val="17"/>
            </w:rPr>
          </w:pPr>
          <w:r w:rsidRPr="0035123C">
            <w:rPr>
              <w:b/>
              <w:sz w:val="17"/>
              <w:szCs w:val="17"/>
            </w:rPr>
            <w:t>DP/2017/5</w:t>
          </w:r>
        </w:p>
      </w:tc>
      <w:tc>
        <w:tcPr>
          <w:tcW w:w="9544" w:type="dxa"/>
          <w:vAlign w:val="bottom"/>
        </w:tcPr>
        <w:p w14:paraId="7BD7824A" w14:textId="1DF0E432" w:rsidR="00F37905" w:rsidRPr="00776DCF" w:rsidRDefault="00F37905" w:rsidP="000058D6">
          <w:pPr>
            <w:pStyle w:val="Header"/>
            <w:spacing w:after="80"/>
            <w:jc w:val="right"/>
            <w:rPr>
              <w:b/>
              <w:sz w:val="17"/>
              <w:szCs w:val="17"/>
            </w:rPr>
          </w:pPr>
        </w:p>
      </w:tc>
    </w:tr>
  </w:tbl>
  <w:p w14:paraId="5958A289" w14:textId="77777777" w:rsidR="00F37905" w:rsidRDefault="00F37905" w:rsidP="00EF4A33">
    <w:pPr>
      <w:pStyle w:val="Header"/>
      <w:ind w:right="-1209"/>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DBD"/>
    <w:multiLevelType w:val="hybridMultilevel"/>
    <w:tmpl w:val="B2864044"/>
    <w:lvl w:ilvl="0" w:tplc="48090017">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95A7E11"/>
    <w:multiLevelType w:val="hybridMultilevel"/>
    <w:tmpl w:val="4F804F38"/>
    <w:lvl w:ilvl="0" w:tplc="BE92A0EC">
      <w:start w:val="1"/>
      <w:numFmt w:val="decimal"/>
      <w:pStyle w:val="normal2"/>
      <w:lvlText w:val="%1."/>
      <w:lvlJc w:val="left"/>
      <w:pPr>
        <w:ind w:left="1440" w:hanging="360"/>
      </w:pPr>
      <w:rPr>
        <w:rFonts w:hint="default"/>
        <w:b w:val="0"/>
        <w:i w:val="0"/>
        <w:sz w:val="20"/>
        <w:szCs w:val="20"/>
      </w:rPr>
    </w:lvl>
    <w:lvl w:ilvl="1" w:tplc="04090019">
      <w:start w:val="1"/>
      <w:numFmt w:val="lowerLetter"/>
      <w:lvlText w:val="%2."/>
      <w:lvlJc w:val="left"/>
      <w:pPr>
        <w:ind w:left="-186" w:hanging="360"/>
      </w:pPr>
    </w:lvl>
    <w:lvl w:ilvl="2" w:tplc="0409001B">
      <w:start w:val="1"/>
      <w:numFmt w:val="lowerRoman"/>
      <w:lvlText w:val="%3."/>
      <w:lvlJc w:val="right"/>
      <w:pPr>
        <w:ind w:left="534" w:hanging="180"/>
      </w:pPr>
    </w:lvl>
    <w:lvl w:ilvl="3" w:tplc="1C4E3580">
      <w:start w:val="2"/>
      <w:numFmt w:val="upperRoman"/>
      <w:lvlText w:val="%4."/>
      <w:lvlJc w:val="left"/>
      <w:pPr>
        <w:tabs>
          <w:tab w:val="num" w:pos="1614"/>
        </w:tabs>
        <w:ind w:left="1614" w:hanging="720"/>
      </w:pPr>
      <w:rPr>
        <w:rFonts w:hint="default"/>
      </w:rPr>
    </w:lvl>
    <w:lvl w:ilvl="4" w:tplc="04090019" w:tentative="1">
      <w:start w:val="1"/>
      <w:numFmt w:val="lowerLetter"/>
      <w:lvlText w:val="%5."/>
      <w:lvlJc w:val="left"/>
      <w:pPr>
        <w:ind w:left="1974" w:hanging="360"/>
      </w:pPr>
    </w:lvl>
    <w:lvl w:ilvl="5" w:tplc="0409001B" w:tentative="1">
      <w:start w:val="1"/>
      <w:numFmt w:val="lowerRoman"/>
      <w:lvlText w:val="%6."/>
      <w:lvlJc w:val="right"/>
      <w:pPr>
        <w:ind w:left="2694" w:hanging="180"/>
      </w:pPr>
    </w:lvl>
    <w:lvl w:ilvl="6" w:tplc="0409000F" w:tentative="1">
      <w:start w:val="1"/>
      <w:numFmt w:val="decimal"/>
      <w:lvlText w:val="%7."/>
      <w:lvlJc w:val="left"/>
      <w:pPr>
        <w:ind w:left="3414" w:hanging="360"/>
      </w:pPr>
    </w:lvl>
    <w:lvl w:ilvl="7" w:tplc="04090019" w:tentative="1">
      <w:start w:val="1"/>
      <w:numFmt w:val="lowerLetter"/>
      <w:lvlText w:val="%8."/>
      <w:lvlJc w:val="left"/>
      <w:pPr>
        <w:ind w:left="4134" w:hanging="360"/>
      </w:pPr>
    </w:lvl>
    <w:lvl w:ilvl="8" w:tplc="0409001B" w:tentative="1">
      <w:start w:val="1"/>
      <w:numFmt w:val="lowerRoman"/>
      <w:lvlText w:val="%9."/>
      <w:lvlJc w:val="right"/>
      <w:pPr>
        <w:ind w:left="4854" w:hanging="180"/>
      </w:pPr>
    </w:lvl>
  </w:abstractNum>
  <w:abstractNum w:abstractNumId="2" w15:restartNumberingAfterBreak="0">
    <w:nsid w:val="0F333B59"/>
    <w:multiLevelType w:val="hybridMultilevel"/>
    <w:tmpl w:val="01EC2652"/>
    <w:lvl w:ilvl="0" w:tplc="32A2E7D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3902137"/>
    <w:multiLevelType w:val="multilevel"/>
    <w:tmpl w:val="EC180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033595"/>
    <w:multiLevelType w:val="hybridMultilevel"/>
    <w:tmpl w:val="C0AE8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197CD7"/>
    <w:multiLevelType w:val="hybridMultilevel"/>
    <w:tmpl w:val="1B3C4636"/>
    <w:lvl w:ilvl="0" w:tplc="EF62241A">
      <w:start w:val="1"/>
      <w:numFmt w:val="bullet"/>
      <w:pStyle w:val="bulletnormal"/>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206D47"/>
    <w:multiLevelType w:val="hybridMultilevel"/>
    <w:tmpl w:val="22DA8030"/>
    <w:lvl w:ilvl="0" w:tplc="48090017">
      <w:start w:val="1"/>
      <w:numFmt w:val="lowerLetter"/>
      <w:lvlText w:val="%1)"/>
      <w:lvlJc w:val="left"/>
      <w:pPr>
        <w:ind w:left="1062" w:hanging="360"/>
      </w:pPr>
    </w:lvl>
    <w:lvl w:ilvl="1" w:tplc="48090019" w:tentative="1">
      <w:start w:val="1"/>
      <w:numFmt w:val="lowerLetter"/>
      <w:lvlText w:val="%2."/>
      <w:lvlJc w:val="left"/>
      <w:pPr>
        <w:ind w:left="1782" w:hanging="360"/>
      </w:pPr>
    </w:lvl>
    <w:lvl w:ilvl="2" w:tplc="4809001B" w:tentative="1">
      <w:start w:val="1"/>
      <w:numFmt w:val="lowerRoman"/>
      <w:lvlText w:val="%3."/>
      <w:lvlJc w:val="right"/>
      <w:pPr>
        <w:ind w:left="2502" w:hanging="180"/>
      </w:pPr>
    </w:lvl>
    <w:lvl w:ilvl="3" w:tplc="4809000F" w:tentative="1">
      <w:start w:val="1"/>
      <w:numFmt w:val="decimal"/>
      <w:lvlText w:val="%4."/>
      <w:lvlJc w:val="left"/>
      <w:pPr>
        <w:ind w:left="3222" w:hanging="360"/>
      </w:pPr>
    </w:lvl>
    <w:lvl w:ilvl="4" w:tplc="48090019" w:tentative="1">
      <w:start w:val="1"/>
      <w:numFmt w:val="lowerLetter"/>
      <w:lvlText w:val="%5."/>
      <w:lvlJc w:val="left"/>
      <w:pPr>
        <w:ind w:left="3942" w:hanging="360"/>
      </w:pPr>
    </w:lvl>
    <w:lvl w:ilvl="5" w:tplc="4809001B" w:tentative="1">
      <w:start w:val="1"/>
      <w:numFmt w:val="lowerRoman"/>
      <w:lvlText w:val="%6."/>
      <w:lvlJc w:val="right"/>
      <w:pPr>
        <w:ind w:left="4662" w:hanging="180"/>
      </w:pPr>
    </w:lvl>
    <w:lvl w:ilvl="6" w:tplc="4809000F" w:tentative="1">
      <w:start w:val="1"/>
      <w:numFmt w:val="decimal"/>
      <w:lvlText w:val="%7."/>
      <w:lvlJc w:val="left"/>
      <w:pPr>
        <w:ind w:left="5382" w:hanging="360"/>
      </w:pPr>
    </w:lvl>
    <w:lvl w:ilvl="7" w:tplc="48090019" w:tentative="1">
      <w:start w:val="1"/>
      <w:numFmt w:val="lowerLetter"/>
      <w:lvlText w:val="%8."/>
      <w:lvlJc w:val="left"/>
      <w:pPr>
        <w:ind w:left="6102" w:hanging="360"/>
      </w:pPr>
    </w:lvl>
    <w:lvl w:ilvl="8" w:tplc="4809001B" w:tentative="1">
      <w:start w:val="1"/>
      <w:numFmt w:val="lowerRoman"/>
      <w:lvlText w:val="%9."/>
      <w:lvlJc w:val="right"/>
      <w:pPr>
        <w:ind w:left="6822" w:hanging="180"/>
      </w:pPr>
    </w:lvl>
  </w:abstractNum>
  <w:abstractNum w:abstractNumId="7" w15:restartNumberingAfterBreak="0">
    <w:nsid w:val="399B3EB2"/>
    <w:multiLevelType w:val="hybridMultilevel"/>
    <w:tmpl w:val="22DA8030"/>
    <w:lvl w:ilvl="0" w:tplc="48090017">
      <w:start w:val="1"/>
      <w:numFmt w:val="lowerLetter"/>
      <w:lvlText w:val="%1)"/>
      <w:lvlJc w:val="left"/>
      <w:pPr>
        <w:ind w:left="1062" w:hanging="360"/>
      </w:pPr>
    </w:lvl>
    <w:lvl w:ilvl="1" w:tplc="48090019" w:tentative="1">
      <w:start w:val="1"/>
      <w:numFmt w:val="lowerLetter"/>
      <w:lvlText w:val="%2."/>
      <w:lvlJc w:val="left"/>
      <w:pPr>
        <w:ind w:left="1782" w:hanging="360"/>
      </w:pPr>
    </w:lvl>
    <w:lvl w:ilvl="2" w:tplc="4809001B" w:tentative="1">
      <w:start w:val="1"/>
      <w:numFmt w:val="lowerRoman"/>
      <w:lvlText w:val="%3."/>
      <w:lvlJc w:val="right"/>
      <w:pPr>
        <w:ind w:left="2502" w:hanging="180"/>
      </w:pPr>
    </w:lvl>
    <w:lvl w:ilvl="3" w:tplc="4809000F" w:tentative="1">
      <w:start w:val="1"/>
      <w:numFmt w:val="decimal"/>
      <w:lvlText w:val="%4."/>
      <w:lvlJc w:val="left"/>
      <w:pPr>
        <w:ind w:left="3222" w:hanging="360"/>
      </w:pPr>
    </w:lvl>
    <w:lvl w:ilvl="4" w:tplc="48090019" w:tentative="1">
      <w:start w:val="1"/>
      <w:numFmt w:val="lowerLetter"/>
      <w:lvlText w:val="%5."/>
      <w:lvlJc w:val="left"/>
      <w:pPr>
        <w:ind w:left="3942" w:hanging="360"/>
      </w:pPr>
    </w:lvl>
    <w:lvl w:ilvl="5" w:tplc="4809001B" w:tentative="1">
      <w:start w:val="1"/>
      <w:numFmt w:val="lowerRoman"/>
      <w:lvlText w:val="%6."/>
      <w:lvlJc w:val="right"/>
      <w:pPr>
        <w:ind w:left="4662" w:hanging="180"/>
      </w:pPr>
    </w:lvl>
    <w:lvl w:ilvl="6" w:tplc="4809000F" w:tentative="1">
      <w:start w:val="1"/>
      <w:numFmt w:val="decimal"/>
      <w:lvlText w:val="%7."/>
      <w:lvlJc w:val="left"/>
      <w:pPr>
        <w:ind w:left="5382" w:hanging="360"/>
      </w:pPr>
    </w:lvl>
    <w:lvl w:ilvl="7" w:tplc="48090019" w:tentative="1">
      <w:start w:val="1"/>
      <w:numFmt w:val="lowerLetter"/>
      <w:lvlText w:val="%8."/>
      <w:lvlJc w:val="left"/>
      <w:pPr>
        <w:ind w:left="6102" w:hanging="360"/>
      </w:pPr>
    </w:lvl>
    <w:lvl w:ilvl="8" w:tplc="4809001B" w:tentative="1">
      <w:start w:val="1"/>
      <w:numFmt w:val="lowerRoman"/>
      <w:lvlText w:val="%9."/>
      <w:lvlJc w:val="right"/>
      <w:pPr>
        <w:ind w:left="6822" w:hanging="180"/>
      </w:pPr>
    </w:lvl>
  </w:abstractNum>
  <w:abstractNum w:abstractNumId="8" w15:restartNumberingAfterBreak="0">
    <w:nsid w:val="46EA4480"/>
    <w:multiLevelType w:val="hybridMultilevel"/>
    <w:tmpl w:val="27182F46"/>
    <w:lvl w:ilvl="0" w:tplc="6D4ECAE4">
      <w:start w:val="1"/>
      <w:numFmt w:val="upperRoman"/>
      <w:lvlText w:val="%1."/>
      <w:lvlJc w:val="left"/>
      <w:pPr>
        <w:ind w:left="2340" w:hanging="19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795661"/>
    <w:multiLevelType w:val="hybridMultilevel"/>
    <w:tmpl w:val="B286404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FEC3B22"/>
    <w:multiLevelType w:val="hybridMultilevel"/>
    <w:tmpl w:val="B286404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64567DAA"/>
    <w:multiLevelType w:val="hybridMultilevel"/>
    <w:tmpl w:val="FB3CFA46"/>
    <w:lvl w:ilvl="0" w:tplc="F3745C4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D062F"/>
    <w:multiLevelType w:val="hybridMultilevel"/>
    <w:tmpl w:val="B2864044"/>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D6C6658"/>
    <w:multiLevelType w:val="hybridMultilevel"/>
    <w:tmpl w:val="22DA8030"/>
    <w:lvl w:ilvl="0" w:tplc="48090017">
      <w:start w:val="1"/>
      <w:numFmt w:val="lowerLetter"/>
      <w:lvlText w:val="%1)"/>
      <w:lvlJc w:val="left"/>
      <w:pPr>
        <w:ind w:left="1260" w:hanging="360"/>
      </w:pPr>
    </w:lvl>
    <w:lvl w:ilvl="1" w:tplc="48090019" w:tentative="1">
      <w:start w:val="1"/>
      <w:numFmt w:val="lowerLetter"/>
      <w:lvlText w:val="%2."/>
      <w:lvlJc w:val="left"/>
      <w:pPr>
        <w:ind w:left="1980" w:hanging="360"/>
      </w:pPr>
    </w:lvl>
    <w:lvl w:ilvl="2" w:tplc="4809001B" w:tentative="1">
      <w:start w:val="1"/>
      <w:numFmt w:val="lowerRoman"/>
      <w:lvlText w:val="%3."/>
      <w:lvlJc w:val="right"/>
      <w:pPr>
        <w:ind w:left="2700" w:hanging="180"/>
      </w:pPr>
    </w:lvl>
    <w:lvl w:ilvl="3" w:tplc="4809000F" w:tentative="1">
      <w:start w:val="1"/>
      <w:numFmt w:val="decimal"/>
      <w:lvlText w:val="%4."/>
      <w:lvlJc w:val="left"/>
      <w:pPr>
        <w:ind w:left="3420" w:hanging="360"/>
      </w:pPr>
    </w:lvl>
    <w:lvl w:ilvl="4" w:tplc="48090019" w:tentative="1">
      <w:start w:val="1"/>
      <w:numFmt w:val="lowerLetter"/>
      <w:lvlText w:val="%5."/>
      <w:lvlJc w:val="left"/>
      <w:pPr>
        <w:ind w:left="4140" w:hanging="360"/>
      </w:pPr>
    </w:lvl>
    <w:lvl w:ilvl="5" w:tplc="4809001B" w:tentative="1">
      <w:start w:val="1"/>
      <w:numFmt w:val="lowerRoman"/>
      <w:lvlText w:val="%6."/>
      <w:lvlJc w:val="right"/>
      <w:pPr>
        <w:ind w:left="4860" w:hanging="180"/>
      </w:pPr>
    </w:lvl>
    <w:lvl w:ilvl="6" w:tplc="4809000F" w:tentative="1">
      <w:start w:val="1"/>
      <w:numFmt w:val="decimal"/>
      <w:lvlText w:val="%7."/>
      <w:lvlJc w:val="left"/>
      <w:pPr>
        <w:ind w:left="5580" w:hanging="360"/>
      </w:pPr>
    </w:lvl>
    <w:lvl w:ilvl="7" w:tplc="48090019" w:tentative="1">
      <w:start w:val="1"/>
      <w:numFmt w:val="lowerLetter"/>
      <w:lvlText w:val="%8."/>
      <w:lvlJc w:val="left"/>
      <w:pPr>
        <w:ind w:left="6300" w:hanging="360"/>
      </w:pPr>
    </w:lvl>
    <w:lvl w:ilvl="8" w:tplc="4809001B" w:tentative="1">
      <w:start w:val="1"/>
      <w:numFmt w:val="lowerRoman"/>
      <w:lvlText w:val="%9."/>
      <w:lvlJc w:val="right"/>
      <w:pPr>
        <w:ind w:left="7020" w:hanging="180"/>
      </w:pPr>
    </w:lvl>
  </w:abstractNum>
  <w:num w:numId="1">
    <w:abstractNumId w:val="11"/>
  </w:num>
  <w:num w:numId="2">
    <w:abstractNumId w:val="1"/>
  </w:num>
  <w:num w:numId="3">
    <w:abstractNumId w:val="5"/>
  </w:num>
  <w:num w:numId="4">
    <w:abstractNumId w:val="12"/>
  </w:num>
  <w:num w:numId="5">
    <w:abstractNumId w:val="3"/>
  </w:num>
  <w:num w:numId="6">
    <w:abstractNumId w:val="6"/>
  </w:num>
  <w:num w:numId="7">
    <w:abstractNumId w:val="0"/>
  </w:num>
  <w:num w:numId="8">
    <w:abstractNumId w:val="10"/>
  </w:num>
  <w:num w:numId="9">
    <w:abstractNumId w:val="9"/>
  </w:num>
  <w:num w:numId="10">
    <w:abstractNumId w:val="1"/>
    <w:lvlOverride w:ilvl="0">
      <w:startOverride w:val="1"/>
    </w:lvlOverride>
  </w:num>
  <w:num w:numId="11">
    <w:abstractNumId w:val="7"/>
  </w:num>
  <w:num w:numId="12">
    <w:abstractNumId w:val="13"/>
  </w:num>
  <w:num w:numId="13">
    <w:abstractNumId w:val="4"/>
  </w:num>
  <w:num w:numId="14">
    <w:abstractNumId w:val="8"/>
  </w:num>
  <w:num w:numId="1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D9"/>
    <w:rsid w:val="0000053B"/>
    <w:rsid w:val="00000790"/>
    <w:rsid w:val="00000D28"/>
    <w:rsid w:val="00000E95"/>
    <w:rsid w:val="0000129D"/>
    <w:rsid w:val="0000277B"/>
    <w:rsid w:val="0000359C"/>
    <w:rsid w:val="00003B3C"/>
    <w:rsid w:val="000058D6"/>
    <w:rsid w:val="00007AD0"/>
    <w:rsid w:val="0001032C"/>
    <w:rsid w:val="00010993"/>
    <w:rsid w:val="00011288"/>
    <w:rsid w:val="000115A9"/>
    <w:rsid w:val="00013C8C"/>
    <w:rsid w:val="00014B3D"/>
    <w:rsid w:val="00016027"/>
    <w:rsid w:val="000202C2"/>
    <w:rsid w:val="00020626"/>
    <w:rsid w:val="00021782"/>
    <w:rsid w:val="0002223F"/>
    <w:rsid w:val="00022D0E"/>
    <w:rsid w:val="0002392B"/>
    <w:rsid w:val="000249F1"/>
    <w:rsid w:val="000251D6"/>
    <w:rsid w:val="00025811"/>
    <w:rsid w:val="0002606D"/>
    <w:rsid w:val="000268A2"/>
    <w:rsid w:val="00026BC9"/>
    <w:rsid w:val="00030C4D"/>
    <w:rsid w:val="00031D64"/>
    <w:rsid w:val="00032F0E"/>
    <w:rsid w:val="00033872"/>
    <w:rsid w:val="00036309"/>
    <w:rsid w:val="0003733C"/>
    <w:rsid w:val="00037D6A"/>
    <w:rsid w:val="00042E60"/>
    <w:rsid w:val="00043209"/>
    <w:rsid w:val="000442F7"/>
    <w:rsid w:val="000452B1"/>
    <w:rsid w:val="00045593"/>
    <w:rsid w:val="000476AC"/>
    <w:rsid w:val="000506DD"/>
    <w:rsid w:val="0005113F"/>
    <w:rsid w:val="00051310"/>
    <w:rsid w:val="000514CD"/>
    <w:rsid w:val="000515B7"/>
    <w:rsid w:val="00052CDC"/>
    <w:rsid w:val="0005391A"/>
    <w:rsid w:val="000546E4"/>
    <w:rsid w:val="00055CBF"/>
    <w:rsid w:val="0006000B"/>
    <w:rsid w:val="000602AD"/>
    <w:rsid w:val="00060627"/>
    <w:rsid w:val="00063059"/>
    <w:rsid w:val="0006325F"/>
    <w:rsid w:val="00066F0C"/>
    <w:rsid w:val="000677A9"/>
    <w:rsid w:val="000701BE"/>
    <w:rsid w:val="000702F2"/>
    <w:rsid w:val="000718E5"/>
    <w:rsid w:val="00071921"/>
    <w:rsid w:val="00073A09"/>
    <w:rsid w:val="000741E5"/>
    <w:rsid w:val="0007653F"/>
    <w:rsid w:val="00080E48"/>
    <w:rsid w:val="000816E1"/>
    <w:rsid w:val="000824D3"/>
    <w:rsid w:val="00082854"/>
    <w:rsid w:val="0008299C"/>
    <w:rsid w:val="00084531"/>
    <w:rsid w:val="000846C9"/>
    <w:rsid w:val="00087652"/>
    <w:rsid w:val="00090D25"/>
    <w:rsid w:val="000910FB"/>
    <w:rsid w:val="00091256"/>
    <w:rsid w:val="0009202B"/>
    <w:rsid w:val="00092C16"/>
    <w:rsid w:val="00094192"/>
    <w:rsid w:val="00094D1A"/>
    <w:rsid w:val="000960DE"/>
    <w:rsid w:val="00097817"/>
    <w:rsid w:val="000A0780"/>
    <w:rsid w:val="000A1680"/>
    <w:rsid w:val="000A1939"/>
    <w:rsid w:val="000A3615"/>
    <w:rsid w:val="000A38E3"/>
    <w:rsid w:val="000A419E"/>
    <w:rsid w:val="000A43F3"/>
    <w:rsid w:val="000A74EB"/>
    <w:rsid w:val="000A7A5C"/>
    <w:rsid w:val="000A7C33"/>
    <w:rsid w:val="000B17F6"/>
    <w:rsid w:val="000B2E77"/>
    <w:rsid w:val="000B328F"/>
    <w:rsid w:val="000B382E"/>
    <w:rsid w:val="000B38A1"/>
    <w:rsid w:val="000B4535"/>
    <w:rsid w:val="000B5EE1"/>
    <w:rsid w:val="000B64A2"/>
    <w:rsid w:val="000C0C40"/>
    <w:rsid w:val="000C0FE0"/>
    <w:rsid w:val="000C2A15"/>
    <w:rsid w:val="000C44BE"/>
    <w:rsid w:val="000C511A"/>
    <w:rsid w:val="000C5992"/>
    <w:rsid w:val="000C6A65"/>
    <w:rsid w:val="000C7680"/>
    <w:rsid w:val="000C7F70"/>
    <w:rsid w:val="000D0835"/>
    <w:rsid w:val="000D107C"/>
    <w:rsid w:val="000D1D0B"/>
    <w:rsid w:val="000D26A3"/>
    <w:rsid w:val="000D2EE9"/>
    <w:rsid w:val="000D345E"/>
    <w:rsid w:val="000D48DF"/>
    <w:rsid w:val="000D53FA"/>
    <w:rsid w:val="000D55F9"/>
    <w:rsid w:val="000D5C40"/>
    <w:rsid w:val="000D5C8F"/>
    <w:rsid w:val="000D7238"/>
    <w:rsid w:val="000E0E4F"/>
    <w:rsid w:val="000E1E17"/>
    <w:rsid w:val="000E3674"/>
    <w:rsid w:val="000E3E59"/>
    <w:rsid w:val="000E4592"/>
    <w:rsid w:val="000E4EF9"/>
    <w:rsid w:val="000E4F67"/>
    <w:rsid w:val="000E5F18"/>
    <w:rsid w:val="000E6A47"/>
    <w:rsid w:val="000E6DA2"/>
    <w:rsid w:val="000F0356"/>
    <w:rsid w:val="000F2AA8"/>
    <w:rsid w:val="000F32D6"/>
    <w:rsid w:val="000F4AE7"/>
    <w:rsid w:val="000F56DD"/>
    <w:rsid w:val="000F5E2D"/>
    <w:rsid w:val="000F6294"/>
    <w:rsid w:val="000F6EB1"/>
    <w:rsid w:val="000F73B7"/>
    <w:rsid w:val="000F7448"/>
    <w:rsid w:val="0010035C"/>
    <w:rsid w:val="0010080D"/>
    <w:rsid w:val="00100C88"/>
    <w:rsid w:val="001019A3"/>
    <w:rsid w:val="00101BA4"/>
    <w:rsid w:val="00102A04"/>
    <w:rsid w:val="00103914"/>
    <w:rsid w:val="001046C3"/>
    <w:rsid w:val="0010486E"/>
    <w:rsid w:val="001105D8"/>
    <w:rsid w:val="00111095"/>
    <w:rsid w:val="0011134E"/>
    <w:rsid w:val="00111C05"/>
    <w:rsid w:val="00111E23"/>
    <w:rsid w:val="001130E3"/>
    <w:rsid w:val="001168EC"/>
    <w:rsid w:val="00121652"/>
    <w:rsid w:val="001216F3"/>
    <w:rsid w:val="0012252D"/>
    <w:rsid w:val="00125260"/>
    <w:rsid w:val="0012578E"/>
    <w:rsid w:val="00126B62"/>
    <w:rsid w:val="00127335"/>
    <w:rsid w:val="00131B81"/>
    <w:rsid w:val="00132097"/>
    <w:rsid w:val="00135924"/>
    <w:rsid w:val="00137B09"/>
    <w:rsid w:val="001418AF"/>
    <w:rsid w:val="00141C51"/>
    <w:rsid w:val="00143DC1"/>
    <w:rsid w:val="00144802"/>
    <w:rsid w:val="00144D25"/>
    <w:rsid w:val="00145399"/>
    <w:rsid w:val="00150B27"/>
    <w:rsid w:val="001516BF"/>
    <w:rsid w:val="00151C87"/>
    <w:rsid w:val="00153622"/>
    <w:rsid w:val="001540A4"/>
    <w:rsid w:val="001544FD"/>
    <w:rsid w:val="00154D6A"/>
    <w:rsid w:val="00154DB4"/>
    <w:rsid w:val="00156549"/>
    <w:rsid w:val="00156EEB"/>
    <w:rsid w:val="001605CB"/>
    <w:rsid w:val="00161927"/>
    <w:rsid w:val="00162CD1"/>
    <w:rsid w:val="001634A8"/>
    <w:rsid w:val="0016387D"/>
    <w:rsid w:val="00164099"/>
    <w:rsid w:val="00164563"/>
    <w:rsid w:val="0016482D"/>
    <w:rsid w:val="00166C11"/>
    <w:rsid w:val="00167112"/>
    <w:rsid w:val="00167577"/>
    <w:rsid w:val="001704D6"/>
    <w:rsid w:val="00170FC1"/>
    <w:rsid w:val="00171957"/>
    <w:rsid w:val="0017256C"/>
    <w:rsid w:val="00174BC7"/>
    <w:rsid w:val="00176CE6"/>
    <w:rsid w:val="001802AF"/>
    <w:rsid w:val="001806B4"/>
    <w:rsid w:val="001809FF"/>
    <w:rsid w:val="001811FB"/>
    <w:rsid w:val="00182781"/>
    <w:rsid w:val="00182842"/>
    <w:rsid w:val="00182C30"/>
    <w:rsid w:val="0018344B"/>
    <w:rsid w:val="00183F13"/>
    <w:rsid w:val="001840B3"/>
    <w:rsid w:val="00184B99"/>
    <w:rsid w:val="00185762"/>
    <w:rsid w:val="0018647A"/>
    <w:rsid w:val="001870DA"/>
    <w:rsid w:val="00190523"/>
    <w:rsid w:val="00193403"/>
    <w:rsid w:val="0019361C"/>
    <w:rsid w:val="001939CA"/>
    <w:rsid w:val="00194524"/>
    <w:rsid w:val="001946AD"/>
    <w:rsid w:val="00196D1C"/>
    <w:rsid w:val="00196F9D"/>
    <w:rsid w:val="00197886"/>
    <w:rsid w:val="001A0309"/>
    <w:rsid w:val="001A0469"/>
    <w:rsid w:val="001A0A7D"/>
    <w:rsid w:val="001A0E1A"/>
    <w:rsid w:val="001A19E1"/>
    <w:rsid w:val="001A299C"/>
    <w:rsid w:val="001A32D3"/>
    <w:rsid w:val="001A3460"/>
    <w:rsid w:val="001A54D7"/>
    <w:rsid w:val="001A5719"/>
    <w:rsid w:val="001A583B"/>
    <w:rsid w:val="001A65E2"/>
    <w:rsid w:val="001A69C1"/>
    <w:rsid w:val="001A7077"/>
    <w:rsid w:val="001B14C2"/>
    <w:rsid w:val="001B1C47"/>
    <w:rsid w:val="001B3E05"/>
    <w:rsid w:val="001B5761"/>
    <w:rsid w:val="001B5769"/>
    <w:rsid w:val="001B6802"/>
    <w:rsid w:val="001B6B75"/>
    <w:rsid w:val="001B76E1"/>
    <w:rsid w:val="001C0001"/>
    <w:rsid w:val="001C032A"/>
    <w:rsid w:val="001C1BED"/>
    <w:rsid w:val="001C4D25"/>
    <w:rsid w:val="001C5887"/>
    <w:rsid w:val="001C61E7"/>
    <w:rsid w:val="001C664A"/>
    <w:rsid w:val="001C6701"/>
    <w:rsid w:val="001C6751"/>
    <w:rsid w:val="001C74D1"/>
    <w:rsid w:val="001C79F6"/>
    <w:rsid w:val="001D2882"/>
    <w:rsid w:val="001D2905"/>
    <w:rsid w:val="001D391A"/>
    <w:rsid w:val="001D4D44"/>
    <w:rsid w:val="001D4EDB"/>
    <w:rsid w:val="001D53F7"/>
    <w:rsid w:val="001D5932"/>
    <w:rsid w:val="001D6489"/>
    <w:rsid w:val="001D79C8"/>
    <w:rsid w:val="001E096E"/>
    <w:rsid w:val="001E0FD5"/>
    <w:rsid w:val="001E359F"/>
    <w:rsid w:val="001E37AB"/>
    <w:rsid w:val="001E3C16"/>
    <w:rsid w:val="001E4335"/>
    <w:rsid w:val="001E68D3"/>
    <w:rsid w:val="001E7A10"/>
    <w:rsid w:val="001E7EC8"/>
    <w:rsid w:val="001F0ACB"/>
    <w:rsid w:val="001F0F71"/>
    <w:rsid w:val="001F1D99"/>
    <w:rsid w:val="001F2B37"/>
    <w:rsid w:val="001F3350"/>
    <w:rsid w:val="001F4594"/>
    <w:rsid w:val="001F531F"/>
    <w:rsid w:val="001F551A"/>
    <w:rsid w:val="001F59DD"/>
    <w:rsid w:val="001F5B59"/>
    <w:rsid w:val="001F5FCA"/>
    <w:rsid w:val="001F6B82"/>
    <w:rsid w:val="001F73AE"/>
    <w:rsid w:val="00203BA6"/>
    <w:rsid w:val="00203FFD"/>
    <w:rsid w:val="00204409"/>
    <w:rsid w:val="002076C5"/>
    <w:rsid w:val="00207C63"/>
    <w:rsid w:val="0021148A"/>
    <w:rsid w:val="00211858"/>
    <w:rsid w:val="002129B6"/>
    <w:rsid w:val="00212D5F"/>
    <w:rsid w:val="0021375B"/>
    <w:rsid w:val="0021592A"/>
    <w:rsid w:val="00217094"/>
    <w:rsid w:val="00221FE1"/>
    <w:rsid w:val="00222D42"/>
    <w:rsid w:val="00224ED6"/>
    <w:rsid w:val="00225210"/>
    <w:rsid w:val="0022648D"/>
    <w:rsid w:val="0022756D"/>
    <w:rsid w:val="00231951"/>
    <w:rsid w:val="00231A5B"/>
    <w:rsid w:val="00231FCC"/>
    <w:rsid w:val="00233436"/>
    <w:rsid w:val="00233D01"/>
    <w:rsid w:val="00233F12"/>
    <w:rsid w:val="00234932"/>
    <w:rsid w:val="00236286"/>
    <w:rsid w:val="0023638A"/>
    <w:rsid w:val="00236924"/>
    <w:rsid w:val="0023752C"/>
    <w:rsid w:val="002376A4"/>
    <w:rsid w:val="0023791E"/>
    <w:rsid w:val="00237E55"/>
    <w:rsid w:val="00240C70"/>
    <w:rsid w:val="002417CE"/>
    <w:rsid w:val="00242026"/>
    <w:rsid w:val="00242154"/>
    <w:rsid w:val="00242400"/>
    <w:rsid w:val="00245A73"/>
    <w:rsid w:val="002462DD"/>
    <w:rsid w:val="002475CB"/>
    <w:rsid w:val="00250443"/>
    <w:rsid w:val="0025094F"/>
    <w:rsid w:val="002515F1"/>
    <w:rsid w:val="00252589"/>
    <w:rsid w:val="00252C21"/>
    <w:rsid w:val="00253958"/>
    <w:rsid w:val="00253D75"/>
    <w:rsid w:val="002561A8"/>
    <w:rsid w:val="00260855"/>
    <w:rsid w:val="00261471"/>
    <w:rsid w:val="00262141"/>
    <w:rsid w:val="00263A2C"/>
    <w:rsid w:val="00264881"/>
    <w:rsid w:val="00265B3F"/>
    <w:rsid w:val="002667C3"/>
    <w:rsid w:val="00271B37"/>
    <w:rsid w:val="00273CB3"/>
    <w:rsid w:val="002740F4"/>
    <w:rsid w:val="00274D80"/>
    <w:rsid w:val="002756B9"/>
    <w:rsid w:val="00275B66"/>
    <w:rsid w:val="0028007C"/>
    <w:rsid w:val="00283170"/>
    <w:rsid w:val="00283B3B"/>
    <w:rsid w:val="002854AE"/>
    <w:rsid w:val="00286468"/>
    <w:rsid w:val="002905EA"/>
    <w:rsid w:val="00291A7C"/>
    <w:rsid w:val="002929FA"/>
    <w:rsid w:val="002935C3"/>
    <w:rsid w:val="002938B1"/>
    <w:rsid w:val="002958E0"/>
    <w:rsid w:val="00297413"/>
    <w:rsid w:val="002979FA"/>
    <w:rsid w:val="00297C5B"/>
    <w:rsid w:val="002A00F5"/>
    <w:rsid w:val="002A0300"/>
    <w:rsid w:val="002A21C1"/>
    <w:rsid w:val="002A2A69"/>
    <w:rsid w:val="002A3475"/>
    <w:rsid w:val="002A3E79"/>
    <w:rsid w:val="002A4504"/>
    <w:rsid w:val="002A4946"/>
    <w:rsid w:val="002A650F"/>
    <w:rsid w:val="002A66D5"/>
    <w:rsid w:val="002A7ABF"/>
    <w:rsid w:val="002B05CD"/>
    <w:rsid w:val="002B135A"/>
    <w:rsid w:val="002B342B"/>
    <w:rsid w:val="002B3676"/>
    <w:rsid w:val="002B5B16"/>
    <w:rsid w:val="002B67B9"/>
    <w:rsid w:val="002C0D38"/>
    <w:rsid w:val="002C1B13"/>
    <w:rsid w:val="002C1F5A"/>
    <w:rsid w:val="002C2572"/>
    <w:rsid w:val="002C3186"/>
    <w:rsid w:val="002C66EE"/>
    <w:rsid w:val="002C7F7B"/>
    <w:rsid w:val="002D09E0"/>
    <w:rsid w:val="002D102B"/>
    <w:rsid w:val="002D1963"/>
    <w:rsid w:val="002D1991"/>
    <w:rsid w:val="002D2153"/>
    <w:rsid w:val="002D28FE"/>
    <w:rsid w:val="002D31DA"/>
    <w:rsid w:val="002D3B3C"/>
    <w:rsid w:val="002D4140"/>
    <w:rsid w:val="002D421E"/>
    <w:rsid w:val="002D7429"/>
    <w:rsid w:val="002D7799"/>
    <w:rsid w:val="002E0037"/>
    <w:rsid w:val="002E0774"/>
    <w:rsid w:val="002E0B54"/>
    <w:rsid w:val="002E0D9A"/>
    <w:rsid w:val="002E229A"/>
    <w:rsid w:val="002E2602"/>
    <w:rsid w:val="002E37AE"/>
    <w:rsid w:val="002E57AC"/>
    <w:rsid w:val="002E5816"/>
    <w:rsid w:val="002E6179"/>
    <w:rsid w:val="002E73D8"/>
    <w:rsid w:val="002F0439"/>
    <w:rsid w:val="002F179A"/>
    <w:rsid w:val="002F385D"/>
    <w:rsid w:val="002F4D2B"/>
    <w:rsid w:val="002F737F"/>
    <w:rsid w:val="00301A0E"/>
    <w:rsid w:val="00301A23"/>
    <w:rsid w:val="00302484"/>
    <w:rsid w:val="00302DA2"/>
    <w:rsid w:val="003049E8"/>
    <w:rsid w:val="00310C69"/>
    <w:rsid w:val="0031238B"/>
    <w:rsid w:val="00313730"/>
    <w:rsid w:val="00313B54"/>
    <w:rsid w:val="00314977"/>
    <w:rsid w:val="00314C5A"/>
    <w:rsid w:val="00314D37"/>
    <w:rsid w:val="00315596"/>
    <w:rsid w:val="003162DB"/>
    <w:rsid w:val="00317DED"/>
    <w:rsid w:val="00317E48"/>
    <w:rsid w:val="00323042"/>
    <w:rsid w:val="00323F6F"/>
    <w:rsid w:val="00324EE4"/>
    <w:rsid w:val="00324FC1"/>
    <w:rsid w:val="00325A84"/>
    <w:rsid w:val="00325F8B"/>
    <w:rsid w:val="0032742E"/>
    <w:rsid w:val="00330EE6"/>
    <w:rsid w:val="00331F66"/>
    <w:rsid w:val="00332562"/>
    <w:rsid w:val="00332DFB"/>
    <w:rsid w:val="00334A23"/>
    <w:rsid w:val="00337626"/>
    <w:rsid w:val="0033766B"/>
    <w:rsid w:val="00337EE7"/>
    <w:rsid w:val="003420D5"/>
    <w:rsid w:val="00342AB1"/>
    <w:rsid w:val="00343431"/>
    <w:rsid w:val="00343E12"/>
    <w:rsid w:val="00345171"/>
    <w:rsid w:val="003455ED"/>
    <w:rsid w:val="00346F69"/>
    <w:rsid w:val="0035036D"/>
    <w:rsid w:val="00350920"/>
    <w:rsid w:val="00350E14"/>
    <w:rsid w:val="0035123C"/>
    <w:rsid w:val="0035249C"/>
    <w:rsid w:val="003531F9"/>
    <w:rsid w:val="00353467"/>
    <w:rsid w:val="00354195"/>
    <w:rsid w:val="00354A1F"/>
    <w:rsid w:val="00355DC4"/>
    <w:rsid w:val="0035677E"/>
    <w:rsid w:val="003568B2"/>
    <w:rsid w:val="00360129"/>
    <w:rsid w:val="00360EB7"/>
    <w:rsid w:val="00362254"/>
    <w:rsid w:val="003635B9"/>
    <w:rsid w:val="003648E3"/>
    <w:rsid w:val="00366956"/>
    <w:rsid w:val="00366F55"/>
    <w:rsid w:val="00366FBE"/>
    <w:rsid w:val="00367076"/>
    <w:rsid w:val="00367FF3"/>
    <w:rsid w:val="00370174"/>
    <w:rsid w:val="00372943"/>
    <w:rsid w:val="00372BC1"/>
    <w:rsid w:val="003749EE"/>
    <w:rsid w:val="0037786D"/>
    <w:rsid w:val="0038075C"/>
    <w:rsid w:val="00381A5C"/>
    <w:rsid w:val="00382036"/>
    <w:rsid w:val="0038304A"/>
    <w:rsid w:val="00383FC9"/>
    <w:rsid w:val="0038413E"/>
    <w:rsid w:val="00384A81"/>
    <w:rsid w:val="00385550"/>
    <w:rsid w:val="00390DC7"/>
    <w:rsid w:val="003912BF"/>
    <w:rsid w:val="00391790"/>
    <w:rsid w:val="00391CBC"/>
    <w:rsid w:val="003935FE"/>
    <w:rsid w:val="00394DCD"/>
    <w:rsid w:val="00395924"/>
    <w:rsid w:val="00397497"/>
    <w:rsid w:val="003A0238"/>
    <w:rsid w:val="003A0816"/>
    <w:rsid w:val="003A0868"/>
    <w:rsid w:val="003A15BA"/>
    <w:rsid w:val="003A1872"/>
    <w:rsid w:val="003A1A77"/>
    <w:rsid w:val="003A3060"/>
    <w:rsid w:val="003A30F0"/>
    <w:rsid w:val="003A65A9"/>
    <w:rsid w:val="003A66AA"/>
    <w:rsid w:val="003B148E"/>
    <w:rsid w:val="003B1EB7"/>
    <w:rsid w:val="003B3DA8"/>
    <w:rsid w:val="003B6B34"/>
    <w:rsid w:val="003B76F4"/>
    <w:rsid w:val="003B7882"/>
    <w:rsid w:val="003C0620"/>
    <w:rsid w:val="003C08C7"/>
    <w:rsid w:val="003C1A1B"/>
    <w:rsid w:val="003C2393"/>
    <w:rsid w:val="003C3D4C"/>
    <w:rsid w:val="003C3EAA"/>
    <w:rsid w:val="003C611F"/>
    <w:rsid w:val="003C69C7"/>
    <w:rsid w:val="003D0210"/>
    <w:rsid w:val="003D0A35"/>
    <w:rsid w:val="003D1922"/>
    <w:rsid w:val="003D1E3B"/>
    <w:rsid w:val="003D231B"/>
    <w:rsid w:val="003D2D96"/>
    <w:rsid w:val="003D6767"/>
    <w:rsid w:val="003D74A2"/>
    <w:rsid w:val="003E0E0F"/>
    <w:rsid w:val="003E14ED"/>
    <w:rsid w:val="003E17F1"/>
    <w:rsid w:val="003E2447"/>
    <w:rsid w:val="003E268C"/>
    <w:rsid w:val="003E330F"/>
    <w:rsid w:val="003E76C9"/>
    <w:rsid w:val="003E7FCA"/>
    <w:rsid w:val="003F26F5"/>
    <w:rsid w:val="003F3EE8"/>
    <w:rsid w:val="00401324"/>
    <w:rsid w:val="00401725"/>
    <w:rsid w:val="00402081"/>
    <w:rsid w:val="00402255"/>
    <w:rsid w:val="004025A4"/>
    <w:rsid w:val="00404614"/>
    <w:rsid w:val="004074EE"/>
    <w:rsid w:val="0041032E"/>
    <w:rsid w:val="0041262D"/>
    <w:rsid w:val="00414878"/>
    <w:rsid w:val="00414FD3"/>
    <w:rsid w:val="00420DBF"/>
    <w:rsid w:val="004219C9"/>
    <w:rsid w:val="00423032"/>
    <w:rsid w:val="00423622"/>
    <w:rsid w:val="004243AA"/>
    <w:rsid w:val="004244EB"/>
    <w:rsid w:val="004249E5"/>
    <w:rsid w:val="00425521"/>
    <w:rsid w:val="00426687"/>
    <w:rsid w:val="004270C5"/>
    <w:rsid w:val="004279AD"/>
    <w:rsid w:val="00427E75"/>
    <w:rsid w:val="004307CB"/>
    <w:rsid w:val="00430B72"/>
    <w:rsid w:val="004316DA"/>
    <w:rsid w:val="0043352C"/>
    <w:rsid w:val="00435325"/>
    <w:rsid w:val="00436304"/>
    <w:rsid w:val="00436A23"/>
    <w:rsid w:val="00440543"/>
    <w:rsid w:val="00440E78"/>
    <w:rsid w:val="00442421"/>
    <w:rsid w:val="0044474D"/>
    <w:rsid w:val="004455DE"/>
    <w:rsid w:val="0044704B"/>
    <w:rsid w:val="00447D6B"/>
    <w:rsid w:val="004507FA"/>
    <w:rsid w:val="004510F4"/>
    <w:rsid w:val="00451C0C"/>
    <w:rsid w:val="00452536"/>
    <w:rsid w:val="00453F42"/>
    <w:rsid w:val="00454881"/>
    <w:rsid w:val="004615E9"/>
    <w:rsid w:val="00463644"/>
    <w:rsid w:val="00464184"/>
    <w:rsid w:val="0046584B"/>
    <w:rsid w:val="00465CF0"/>
    <w:rsid w:val="004662DD"/>
    <w:rsid w:val="00466336"/>
    <w:rsid w:val="00467528"/>
    <w:rsid w:val="00467D53"/>
    <w:rsid w:val="004700A0"/>
    <w:rsid w:val="00472495"/>
    <w:rsid w:val="0047376B"/>
    <w:rsid w:val="0047461D"/>
    <w:rsid w:val="00474E2E"/>
    <w:rsid w:val="00476952"/>
    <w:rsid w:val="0047713F"/>
    <w:rsid w:val="00477635"/>
    <w:rsid w:val="00480D4E"/>
    <w:rsid w:val="004814C6"/>
    <w:rsid w:val="00481633"/>
    <w:rsid w:val="00482067"/>
    <w:rsid w:val="00482C8B"/>
    <w:rsid w:val="00482DE1"/>
    <w:rsid w:val="00484266"/>
    <w:rsid w:val="00484A1A"/>
    <w:rsid w:val="0048528C"/>
    <w:rsid w:val="004873B4"/>
    <w:rsid w:val="00487890"/>
    <w:rsid w:val="004910BC"/>
    <w:rsid w:val="004914D3"/>
    <w:rsid w:val="0049187B"/>
    <w:rsid w:val="00492ABE"/>
    <w:rsid w:val="00493182"/>
    <w:rsid w:val="0049426A"/>
    <w:rsid w:val="004942F1"/>
    <w:rsid w:val="004942FB"/>
    <w:rsid w:val="004977AD"/>
    <w:rsid w:val="004A0765"/>
    <w:rsid w:val="004A122C"/>
    <w:rsid w:val="004A3319"/>
    <w:rsid w:val="004A41FF"/>
    <w:rsid w:val="004A4256"/>
    <w:rsid w:val="004A4B88"/>
    <w:rsid w:val="004A4E1B"/>
    <w:rsid w:val="004A573D"/>
    <w:rsid w:val="004A6345"/>
    <w:rsid w:val="004A6787"/>
    <w:rsid w:val="004A6D78"/>
    <w:rsid w:val="004B4D11"/>
    <w:rsid w:val="004B4F46"/>
    <w:rsid w:val="004B65D3"/>
    <w:rsid w:val="004B6DE7"/>
    <w:rsid w:val="004C0092"/>
    <w:rsid w:val="004C0667"/>
    <w:rsid w:val="004C5D24"/>
    <w:rsid w:val="004C620F"/>
    <w:rsid w:val="004C6718"/>
    <w:rsid w:val="004C7797"/>
    <w:rsid w:val="004D039D"/>
    <w:rsid w:val="004D1ABD"/>
    <w:rsid w:val="004D1C02"/>
    <w:rsid w:val="004D27F3"/>
    <w:rsid w:val="004D4586"/>
    <w:rsid w:val="004D466D"/>
    <w:rsid w:val="004D48DD"/>
    <w:rsid w:val="004D5AAE"/>
    <w:rsid w:val="004D5E0A"/>
    <w:rsid w:val="004D6BB1"/>
    <w:rsid w:val="004E01C8"/>
    <w:rsid w:val="004E0A78"/>
    <w:rsid w:val="004E0E75"/>
    <w:rsid w:val="004E0EE6"/>
    <w:rsid w:val="004E1B88"/>
    <w:rsid w:val="004E20FF"/>
    <w:rsid w:val="004E3FD8"/>
    <w:rsid w:val="004E4DDC"/>
    <w:rsid w:val="004E524C"/>
    <w:rsid w:val="004E78E5"/>
    <w:rsid w:val="004F0C20"/>
    <w:rsid w:val="004F123C"/>
    <w:rsid w:val="004F2537"/>
    <w:rsid w:val="004F4397"/>
    <w:rsid w:val="004F4650"/>
    <w:rsid w:val="004F4764"/>
    <w:rsid w:val="004F4BEA"/>
    <w:rsid w:val="004F5AD7"/>
    <w:rsid w:val="004F6E32"/>
    <w:rsid w:val="004F74B6"/>
    <w:rsid w:val="004F7E94"/>
    <w:rsid w:val="00501A91"/>
    <w:rsid w:val="0050200D"/>
    <w:rsid w:val="00502194"/>
    <w:rsid w:val="005028E4"/>
    <w:rsid w:val="00502D40"/>
    <w:rsid w:val="0050388A"/>
    <w:rsid w:val="005039A5"/>
    <w:rsid w:val="00503E8F"/>
    <w:rsid w:val="00505952"/>
    <w:rsid w:val="0050732C"/>
    <w:rsid w:val="0050765A"/>
    <w:rsid w:val="005108DD"/>
    <w:rsid w:val="00512F50"/>
    <w:rsid w:val="00514FD3"/>
    <w:rsid w:val="00515EDF"/>
    <w:rsid w:val="0051749C"/>
    <w:rsid w:val="00517D02"/>
    <w:rsid w:val="00520F28"/>
    <w:rsid w:val="0052141E"/>
    <w:rsid w:val="005228AE"/>
    <w:rsid w:val="00522B4A"/>
    <w:rsid w:val="005231B3"/>
    <w:rsid w:val="00523579"/>
    <w:rsid w:val="005236FB"/>
    <w:rsid w:val="00524242"/>
    <w:rsid w:val="00526B08"/>
    <w:rsid w:val="00527D43"/>
    <w:rsid w:val="00527D6F"/>
    <w:rsid w:val="00530A89"/>
    <w:rsid w:val="00531C42"/>
    <w:rsid w:val="00533EEA"/>
    <w:rsid w:val="005340B7"/>
    <w:rsid w:val="00534280"/>
    <w:rsid w:val="00535291"/>
    <w:rsid w:val="005356DD"/>
    <w:rsid w:val="00535744"/>
    <w:rsid w:val="00535EE1"/>
    <w:rsid w:val="00537494"/>
    <w:rsid w:val="005374E7"/>
    <w:rsid w:val="005411C2"/>
    <w:rsid w:val="005414C8"/>
    <w:rsid w:val="0054156A"/>
    <w:rsid w:val="00544A76"/>
    <w:rsid w:val="00546396"/>
    <w:rsid w:val="00551CD2"/>
    <w:rsid w:val="00552907"/>
    <w:rsid w:val="00552E3F"/>
    <w:rsid w:val="00553510"/>
    <w:rsid w:val="00554125"/>
    <w:rsid w:val="00554DAF"/>
    <w:rsid w:val="00554ECE"/>
    <w:rsid w:val="00557316"/>
    <w:rsid w:val="00560552"/>
    <w:rsid w:val="00560C21"/>
    <w:rsid w:val="005632AE"/>
    <w:rsid w:val="005638EA"/>
    <w:rsid w:val="0056485F"/>
    <w:rsid w:val="0056618C"/>
    <w:rsid w:val="00566659"/>
    <w:rsid w:val="00567561"/>
    <w:rsid w:val="00570335"/>
    <w:rsid w:val="0057092A"/>
    <w:rsid w:val="005710E9"/>
    <w:rsid w:val="00574E44"/>
    <w:rsid w:val="00574FE4"/>
    <w:rsid w:val="005750CF"/>
    <w:rsid w:val="005758E5"/>
    <w:rsid w:val="005758E9"/>
    <w:rsid w:val="00576701"/>
    <w:rsid w:val="00576EF9"/>
    <w:rsid w:val="005772C7"/>
    <w:rsid w:val="00577D18"/>
    <w:rsid w:val="005809C6"/>
    <w:rsid w:val="00581071"/>
    <w:rsid w:val="0058279C"/>
    <w:rsid w:val="005830BF"/>
    <w:rsid w:val="005833E3"/>
    <w:rsid w:val="00583549"/>
    <w:rsid w:val="00584393"/>
    <w:rsid w:val="00584BD6"/>
    <w:rsid w:val="00585977"/>
    <w:rsid w:val="00585C64"/>
    <w:rsid w:val="005901A4"/>
    <w:rsid w:val="005904BD"/>
    <w:rsid w:val="00590603"/>
    <w:rsid w:val="0059147C"/>
    <w:rsid w:val="00593DC7"/>
    <w:rsid w:val="00594F0F"/>
    <w:rsid w:val="0059505A"/>
    <w:rsid w:val="005A2AA9"/>
    <w:rsid w:val="005A4012"/>
    <w:rsid w:val="005A4638"/>
    <w:rsid w:val="005A5176"/>
    <w:rsid w:val="005A5277"/>
    <w:rsid w:val="005A6CC9"/>
    <w:rsid w:val="005A79CF"/>
    <w:rsid w:val="005B0EA2"/>
    <w:rsid w:val="005B2307"/>
    <w:rsid w:val="005B2956"/>
    <w:rsid w:val="005B4227"/>
    <w:rsid w:val="005B4295"/>
    <w:rsid w:val="005B47BC"/>
    <w:rsid w:val="005B51B7"/>
    <w:rsid w:val="005C002E"/>
    <w:rsid w:val="005C062D"/>
    <w:rsid w:val="005C0D6B"/>
    <w:rsid w:val="005C13F6"/>
    <w:rsid w:val="005C1742"/>
    <w:rsid w:val="005C2162"/>
    <w:rsid w:val="005C220C"/>
    <w:rsid w:val="005C6D62"/>
    <w:rsid w:val="005C7787"/>
    <w:rsid w:val="005C78B2"/>
    <w:rsid w:val="005D02CA"/>
    <w:rsid w:val="005D074C"/>
    <w:rsid w:val="005D3CF9"/>
    <w:rsid w:val="005D41B6"/>
    <w:rsid w:val="005D47FB"/>
    <w:rsid w:val="005D5601"/>
    <w:rsid w:val="005D5CEA"/>
    <w:rsid w:val="005D7722"/>
    <w:rsid w:val="005D7C02"/>
    <w:rsid w:val="005D7C9B"/>
    <w:rsid w:val="005D7F95"/>
    <w:rsid w:val="005E119D"/>
    <w:rsid w:val="005E18ED"/>
    <w:rsid w:val="005E1D62"/>
    <w:rsid w:val="005E20B9"/>
    <w:rsid w:val="005E2A0E"/>
    <w:rsid w:val="005E4133"/>
    <w:rsid w:val="005E54A4"/>
    <w:rsid w:val="005E6A24"/>
    <w:rsid w:val="005F2D49"/>
    <w:rsid w:val="005F3031"/>
    <w:rsid w:val="005F7D7E"/>
    <w:rsid w:val="006013F0"/>
    <w:rsid w:val="00601594"/>
    <w:rsid w:val="00602F74"/>
    <w:rsid w:val="00604C53"/>
    <w:rsid w:val="00605C25"/>
    <w:rsid w:val="00606344"/>
    <w:rsid w:val="006070C6"/>
    <w:rsid w:val="00607240"/>
    <w:rsid w:val="0061020B"/>
    <w:rsid w:val="006106B5"/>
    <w:rsid w:val="0061099D"/>
    <w:rsid w:val="0061177E"/>
    <w:rsid w:val="00615491"/>
    <w:rsid w:val="006174AF"/>
    <w:rsid w:val="00617AE6"/>
    <w:rsid w:val="00620350"/>
    <w:rsid w:val="006206F3"/>
    <w:rsid w:val="00621960"/>
    <w:rsid w:val="00621D8E"/>
    <w:rsid w:val="006223EE"/>
    <w:rsid w:val="00623167"/>
    <w:rsid w:val="00624C83"/>
    <w:rsid w:val="0062568D"/>
    <w:rsid w:val="006261B9"/>
    <w:rsid w:val="00626912"/>
    <w:rsid w:val="0062727E"/>
    <w:rsid w:val="00630347"/>
    <w:rsid w:val="00632FEA"/>
    <w:rsid w:val="00634DA1"/>
    <w:rsid w:val="006354F5"/>
    <w:rsid w:val="0063637E"/>
    <w:rsid w:val="006369DF"/>
    <w:rsid w:val="00636FCE"/>
    <w:rsid w:val="00637E83"/>
    <w:rsid w:val="0064150C"/>
    <w:rsid w:val="00641D72"/>
    <w:rsid w:val="00642455"/>
    <w:rsid w:val="00643518"/>
    <w:rsid w:val="0064478B"/>
    <w:rsid w:val="006453A7"/>
    <w:rsid w:val="00646184"/>
    <w:rsid w:val="006476E2"/>
    <w:rsid w:val="00647C87"/>
    <w:rsid w:val="00647F99"/>
    <w:rsid w:val="00650414"/>
    <w:rsid w:val="00651C9B"/>
    <w:rsid w:val="0065219C"/>
    <w:rsid w:val="00652721"/>
    <w:rsid w:val="0065288C"/>
    <w:rsid w:val="00654F2D"/>
    <w:rsid w:val="006566EC"/>
    <w:rsid w:val="00656BB2"/>
    <w:rsid w:val="0066029F"/>
    <w:rsid w:val="00661158"/>
    <w:rsid w:val="006615CA"/>
    <w:rsid w:val="00662D4B"/>
    <w:rsid w:val="00663381"/>
    <w:rsid w:val="00664001"/>
    <w:rsid w:val="0066512C"/>
    <w:rsid w:val="00667D46"/>
    <w:rsid w:val="006704BF"/>
    <w:rsid w:val="00671157"/>
    <w:rsid w:val="00671694"/>
    <w:rsid w:val="00671BC7"/>
    <w:rsid w:val="00672645"/>
    <w:rsid w:val="00672746"/>
    <w:rsid w:val="006743AF"/>
    <w:rsid w:val="006743B6"/>
    <w:rsid w:val="00674A9C"/>
    <w:rsid w:val="006758BA"/>
    <w:rsid w:val="00676717"/>
    <w:rsid w:val="006777DF"/>
    <w:rsid w:val="006861F9"/>
    <w:rsid w:val="00687D9D"/>
    <w:rsid w:val="00690AD6"/>
    <w:rsid w:val="00692676"/>
    <w:rsid w:val="00692739"/>
    <w:rsid w:val="00692932"/>
    <w:rsid w:val="00692E50"/>
    <w:rsid w:val="00693ADE"/>
    <w:rsid w:val="00693DFF"/>
    <w:rsid w:val="0069413C"/>
    <w:rsid w:val="00694C0E"/>
    <w:rsid w:val="00695B8D"/>
    <w:rsid w:val="006960EA"/>
    <w:rsid w:val="006967ED"/>
    <w:rsid w:val="006968AC"/>
    <w:rsid w:val="00696AB9"/>
    <w:rsid w:val="0069713C"/>
    <w:rsid w:val="006A11A6"/>
    <w:rsid w:val="006A1BAD"/>
    <w:rsid w:val="006A2A71"/>
    <w:rsid w:val="006A2EDB"/>
    <w:rsid w:val="006A3660"/>
    <w:rsid w:val="006A6B2C"/>
    <w:rsid w:val="006A73C8"/>
    <w:rsid w:val="006A7567"/>
    <w:rsid w:val="006A7DB1"/>
    <w:rsid w:val="006B0350"/>
    <w:rsid w:val="006B0EA6"/>
    <w:rsid w:val="006B1083"/>
    <w:rsid w:val="006B2CB1"/>
    <w:rsid w:val="006B71F7"/>
    <w:rsid w:val="006B7303"/>
    <w:rsid w:val="006C182F"/>
    <w:rsid w:val="006C19F6"/>
    <w:rsid w:val="006C35FA"/>
    <w:rsid w:val="006C4247"/>
    <w:rsid w:val="006C4B5E"/>
    <w:rsid w:val="006C6BD1"/>
    <w:rsid w:val="006C75B1"/>
    <w:rsid w:val="006D0D19"/>
    <w:rsid w:val="006D1262"/>
    <w:rsid w:val="006D1FA2"/>
    <w:rsid w:val="006D21F5"/>
    <w:rsid w:val="006D23A4"/>
    <w:rsid w:val="006D2C17"/>
    <w:rsid w:val="006D2D6C"/>
    <w:rsid w:val="006D2E1D"/>
    <w:rsid w:val="006D5500"/>
    <w:rsid w:val="006D58F7"/>
    <w:rsid w:val="006E1611"/>
    <w:rsid w:val="006E1C07"/>
    <w:rsid w:val="006E1D68"/>
    <w:rsid w:val="006E32DC"/>
    <w:rsid w:val="006E33F8"/>
    <w:rsid w:val="006E3A99"/>
    <w:rsid w:val="006E49C0"/>
    <w:rsid w:val="006F07BF"/>
    <w:rsid w:val="006F0C92"/>
    <w:rsid w:val="006F0D60"/>
    <w:rsid w:val="006F13AB"/>
    <w:rsid w:val="006F17D1"/>
    <w:rsid w:val="006F2819"/>
    <w:rsid w:val="006F2DC2"/>
    <w:rsid w:val="006F4285"/>
    <w:rsid w:val="006F532F"/>
    <w:rsid w:val="006F5831"/>
    <w:rsid w:val="006F5ABA"/>
    <w:rsid w:val="006F7920"/>
    <w:rsid w:val="00700865"/>
    <w:rsid w:val="00701EA0"/>
    <w:rsid w:val="00702CFF"/>
    <w:rsid w:val="007047E5"/>
    <w:rsid w:val="00706EE3"/>
    <w:rsid w:val="0070726B"/>
    <w:rsid w:val="00713167"/>
    <w:rsid w:val="007147A2"/>
    <w:rsid w:val="00714AC2"/>
    <w:rsid w:val="00714C57"/>
    <w:rsid w:val="00715683"/>
    <w:rsid w:val="007164D2"/>
    <w:rsid w:val="0071676E"/>
    <w:rsid w:val="00716E01"/>
    <w:rsid w:val="00717377"/>
    <w:rsid w:val="00721247"/>
    <w:rsid w:val="007212F7"/>
    <w:rsid w:val="007217A0"/>
    <w:rsid w:val="00722CAB"/>
    <w:rsid w:val="00723074"/>
    <w:rsid w:val="007243A0"/>
    <w:rsid w:val="0072571A"/>
    <w:rsid w:val="007257CE"/>
    <w:rsid w:val="00730438"/>
    <w:rsid w:val="00731AAF"/>
    <w:rsid w:val="00731C4E"/>
    <w:rsid w:val="007333B7"/>
    <w:rsid w:val="00733F10"/>
    <w:rsid w:val="00740474"/>
    <w:rsid w:val="00740D68"/>
    <w:rsid w:val="00742D68"/>
    <w:rsid w:val="00742E0F"/>
    <w:rsid w:val="007470E6"/>
    <w:rsid w:val="0075077B"/>
    <w:rsid w:val="00752210"/>
    <w:rsid w:val="0075250D"/>
    <w:rsid w:val="00752D09"/>
    <w:rsid w:val="00752EC9"/>
    <w:rsid w:val="007551AA"/>
    <w:rsid w:val="00755905"/>
    <w:rsid w:val="00755993"/>
    <w:rsid w:val="007562EF"/>
    <w:rsid w:val="00756AA4"/>
    <w:rsid w:val="00760126"/>
    <w:rsid w:val="00761AB2"/>
    <w:rsid w:val="00762E78"/>
    <w:rsid w:val="00766E92"/>
    <w:rsid w:val="00770EF3"/>
    <w:rsid w:val="00771244"/>
    <w:rsid w:val="007716FF"/>
    <w:rsid w:val="00775376"/>
    <w:rsid w:val="00776381"/>
    <w:rsid w:val="00776CB4"/>
    <w:rsid w:val="007811ED"/>
    <w:rsid w:val="00782088"/>
    <w:rsid w:val="007836D7"/>
    <w:rsid w:val="007864B5"/>
    <w:rsid w:val="00786E6D"/>
    <w:rsid w:val="0078727A"/>
    <w:rsid w:val="00787525"/>
    <w:rsid w:val="00790183"/>
    <w:rsid w:val="007921C9"/>
    <w:rsid w:val="00792554"/>
    <w:rsid w:val="007935CE"/>
    <w:rsid w:val="00794ACB"/>
    <w:rsid w:val="00796F11"/>
    <w:rsid w:val="0079715C"/>
    <w:rsid w:val="007974AF"/>
    <w:rsid w:val="00797A97"/>
    <w:rsid w:val="007A1D60"/>
    <w:rsid w:val="007A2544"/>
    <w:rsid w:val="007A3ACB"/>
    <w:rsid w:val="007A5271"/>
    <w:rsid w:val="007A7031"/>
    <w:rsid w:val="007A7574"/>
    <w:rsid w:val="007B078F"/>
    <w:rsid w:val="007B087B"/>
    <w:rsid w:val="007B20E6"/>
    <w:rsid w:val="007B2B87"/>
    <w:rsid w:val="007B4174"/>
    <w:rsid w:val="007B7333"/>
    <w:rsid w:val="007B7E16"/>
    <w:rsid w:val="007C02BC"/>
    <w:rsid w:val="007C0B40"/>
    <w:rsid w:val="007C0C00"/>
    <w:rsid w:val="007C10C0"/>
    <w:rsid w:val="007C388D"/>
    <w:rsid w:val="007C46C1"/>
    <w:rsid w:val="007C4DD5"/>
    <w:rsid w:val="007C54B9"/>
    <w:rsid w:val="007C58DD"/>
    <w:rsid w:val="007C5949"/>
    <w:rsid w:val="007C62A0"/>
    <w:rsid w:val="007C6D1A"/>
    <w:rsid w:val="007C7A2E"/>
    <w:rsid w:val="007C7B04"/>
    <w:rsid w:val="007D0E3B"/>
    <w:rsid w:val="007D0E81"/>
    <w:rsid w:val="007D277E"/>
    <w:rsid w:val="007D44AA"/>
    <w:rsid w:val="007D517B"/>
    <w:rsid w:val="007E151D"/>
    <w:rsid w:val="007E222A"/>
    <w:rsid w:val="007E2252"/>
    <w:rsid w:val="007E322F"/>
    <w:rsid w:val="007E37E6"/>
    <w:rsid w:val="007E3BF3"/>
    <w:rsid w:val="007E4179"/>
    <w:rsid w:val="007E45DE"/>
    <w:rsid w:val="007E4B5C"/>
    <w:rsid w:val="007E655B"/>
    <w:rsid w:val="007E694B"/>
    <w:rsid w:val="007E7957"/>
    <w:rsid w:val="007F031A"/>
    <w:rsid w:val="007F134E"/>
    <w:rsid w:val="007F156D"/>
    <w:rsid w:val="007F1CFC"/>
    <w:rsid w:val="007F2033"/>
    <w:rsid w:val="007F25B6"/>
    <w:rsid w:val="007F28B3"/>
    <w:rsid w:val="007F3521"/>
    <w:rsid w:val="007F3849"/>
    <w:rsid w:val="007F3E29"/>
    <w:rsid w:val="007F466C"/>
    <w:rsid w:val="007F4C18"/>
    <w:rsid w:val="007F5125"/>
    <w:rsid w:val="007F55A0"/>
    <w:rsid w:val="007F5776"/>
    <w:rsid w:val="007F5A64"/>
    <w:rsid w:val="007F6E61"/>
    <w:rsid w:val="007F737A"/>
    <w:rsid w:val="0080093D"/>
    <w:rsid w:val="008019E9"/>
    <w:rsid w:val="00801F63"/>
    <w:rsid w:val="00802EF5"/>
    <w:rsid w:val="00803070"/>
    <w:rsid w:val="008049B8"/>
    <w:rsid w:val="008049D7"/>
    <w:rsid w:val="008052A8"/>
    <w:rsid w:val="00805637"/>
    <w:rsid w:val="008057A7"/>
    <w:rsid w:val="008059AB"/>
    <w:rsid w:val="00805BB8"/>
    <w:rsid w:val="0080623F"/>
    <w:rsid w:val="008077C5"/>
    <w:rsid w:val="00810B9F"/>
    <w:rsid w:val="008115E6"/>
    <w:rsid w:val="0081177E"/>
    <w:rsid w:val="00813020"/>
    <w:rsid w:val="008146A2"/>
    <w:rsid w:val="00815446"/>
    <w:rsid w:val="00817306"/>
    <w:rsid w:val="00820397"/>
    <w:rsid w:val="00823AC6"/>
    <w:rsid w:val="0082411E"/>
    <w:rsid w:val="00824EB4"/>
    <w:rsid w:val="00830313"/>
    <w:rsid w:val="00830CFA"/>
    <w:rsid w:val="00835B8D"/>
    <w:rsid w:val="008363FA"/>
    <w:rsid w:val="00841A4A"/>
    <w:rsid w:val="0084642E"/>
    <w:rsid w:val="0084706A"/>
    <w:rsid w:val="00851B01"/>
    <w:rsid w:val="00853516"/>
    <w:rsid w:val="00857FB7"/>
    <w:rsid w:val="008600E2"/>
    <w:rsid w:val="00860214"/>
    <w:rsid w:val="0086255B"/>
    <w:rsid w:val="0086265D"/>
    <w:rsid w:val="008668BD"/>
    <w:rsid w:val="008705BE"/>
    <w:rsid w:val="0087098A"/>
    <w:rsid w:val="00870F34"/>
    <w:rsid w:val="00872945"/>
    <w:rsid w:val="008729B7"/>
    <w:rsid w:val="00874E7C"/>
    <w:rsid w:val="0087789E"/>
    <w:rsid w:val="00881A2F"/>
    <w:rsid w:val="00884459"/>
    <w:rsid w:val="00884B27"/>
    <w:rsid w:val="0088618E"/>
    <w:rsid w:val="0088652B"/>
    <w:rsid w:val="00890548"/>
    <w:rsid w:val="008915CE"/>
    <w:rsid w:val="0089166B"/>
    <w:rsid w:val="00891822"/>
    <w:rsid w:val="00892493"/>
    <w:rsid w:val="00892E49"/>
    <w:rsid w:val="00894D46"/>
    <w:rsid w:val="008952D3"/>
    <w:rsid w:val="00896189"/>
    <w:rsid w:val="00897B43"/>
    <w:rsid w:val="00897BE4"/>
    <w:rsid w:val="008A1BF7"/>
    <w:rsid w:val="008A28C2"/>
    <w:rsid w:val="008A45C8"/>
    <w:rsid w:val="008A59BD"/>
    <w:rsid w:val="008A5B96"/>
    <w:rsid w:val="008A5C7E"/>
    <w:rsid w:val="008A6BFF"/>
    <w:rsid w:val="008A7115"/>
    <w:rsid w:val="008B305D"/>
    <w:rsid w:val="008B5A75"/>
    <w:rsid w:val="008B65E2"/>
    <w:rsid w:val="008B709F"/>
    <w:rsid w:val="008B72C3"/>
    <w:rsid w:val="008B735B"/>
    <w:rsid w:val="008C0B50"/>
    <w:rsid w:val="008C3635"/>
    <w:rsid w:val="008C5951"/>
    <w:rsid w:val="008C7862"/>
    <w:rsid w:val="008D091C"/>
    <w:rsid w:val="008D2B04"/>
    <w:rsid w:val="008D3072"/>
    <w:rsid w:val="008D36F5"/>
    <w:rsid w:val="008D586C"/>
    <w:rsid w:val="008D5955"/>
    <w:rsid w:val="008D5B12"/>
    <w:rsid w:val="008D5EDB"/>
    <w:rsid w:val="008D7E30"/>
    <w:rsid w:val="008E0451"/>
    <w:rsid w:val="008E1052"/>
    <w:rsid w:val="008E11DA"/>
    <w:rsid w:val="008E4EA5"/>
    <w:rsid w:val="008E5878"/>
    <w:rsid w:val="008E6B94"/>
    <w:rsid w:val="008F061B"/>
    <w:rsid w:val="008F2854"/>
    <w:rsid w:val="008F2BD9"/>
    <w:rsid w:val="008F316F"/>
    <w:rsid w:val="008F3BA3"/>
    <w:rsid w:val="008F4615"/>
    <w:rsid w:val="008F50C5"/>
    <w:rsid w:val="008F588F"/>
    <w:rsid w:val="008F59C4"/>
    <w:rsid w:val="008F5CB4"/>
    <w:rsid w:val="008F607D"/>
    <w:rsid w:val="008F774F"/>
    <w:rsid w:val="009025E9"/>
    <w:rsid w:val="00903465"/>
    <w:rsid w:val="00903F49"/>
    <w:rsid w:val="00905DE4"/>
    <w:rsid w:val="00905FE6"/>
    <w:rsid w:val="009061A2"/>
    <w:rsid w:val="00906CBE"/>
    <w:rsid w:val="009070D5"/>
    <w:rsid w:val="00907240"/>
    <w:rsid w:val="00911DE5"/>
    <w:rsid w:val="0091267B"/>
    <w:rsid w:val="00914140"/>
    <w:rsid w:val="009156D7"/>
    <w:rsid w:val="009158C3"/>
    <w:rsid w:val="00915C92"/>
    <w:rsid w:val="00916E52"/>
    <w:rsid w:val="0091792C"/>
    <w:rsid w:val="00921C74"/>
    <w:rsid w:val="00922BFD"/>
    <w:rsid w:val="00923EC5"/>
    <w:rsid w:val="0092529E"/>
    <w:rsid w:val="009263EB"/>
    <w:rsid w:val="00926DED"/>
    <w:rsid w:val="00930280"/>
    <w:rsid w:val="009308EC"/>
    <w:rsid w:val="0093103C"/>
    <w:rsid w:val="0093419B"/>
    <w:rsid w:val="00935613"/>
    <w:rsid w:val="009357A6"/>
    <w:rsid w:val="00937276"/>
    <w:rsid w:val="00937673"/>
    <w:rsid w:val="00937CF2"/>
    <w:rsid w:val="0094252E"/>
    <w:rsid w:val="00942E9C"/>
    <w:rsid w:val="00942F3D"/>
    <w:rsid w:val="00943719"/>
    <w:rsid w:val="009437DC"/>
    <w:rsid w:val="00944655"/>
    <w:rsid w:val="00946A88"/>
    <w:rsid w:val="009476D5"/>
    <w:rsid w:val="00947C8E"/>
    <w:rsid w:val="00951F28"/>
    <w:rsid w:val="00953816"/>
    <w:rsid w:val="00953E02"/>
    <w:rsid w:val="0095747F"/>
    <w:rsid w:val="009579A9"/>
    <w:rsid w:val="009608EF"/>
    <w:rsid w:val="0096142E"/>
    <w:rsid w:val="009614B3"/>
    <w:rsid w:val="0096407C"/>
    <w:rsid w:val="009650EC"/>
    <w:rsid w:val="009654CA"/>
    <w:rsid w:val="00965AAE"/>
    <w:rsid w:val="009673E9"/>
    <w:rsid w:val="00967AA4"/>
    <w:rsid w:val="009705BD"/>
    <w:rsid w:val="00973900"/>
    <w:rsid w:val="00974A98"/>
    <w:rsid w:val="00975B31"/>
    <w:rsid w:val="00977A14"/>
    <w:rsid w:val="009800EC"/>
    <w:rsid w:val="00980ACE"/>
    <w:rsid w:val="00983286"/>
    <w:rsid w:val="00984E2A"/>
    <w:rsid w:val="00986DF7"/>
    <w:rsid w:val="00986F20"/>
    <w:rsid w:val="0099015D"/>
    <w:rsid w:val="00992E34"/>
    <w:rsid w:val="009955CE"/>
    <w:rsid w:val="00995E30"/>
    <w:rsid w:val="009961FE"/>
    <w:rsid w:val="009977A3"/>
    <w:rsid w:val="009A0755"/>
    <w:rsid w:val="009A0BBC"/>
    <w:rsid w:val="009A0DF7"/>
    <w:rsid w:val="009A1210"/>
    <w:rsid w:val="009A39B7"/>
    <w:rsid w:val="009A4530"/>
    <w:rsid w:val="009A49B9"/>
    <w:rsid w:val="009A62DF"/>
    <w:rsid w:val="009A6451"/>
    <w:rsid w:val="009B0413"/>
    <w:rsid w:val="009B0826"/>
    <w:rsid w:val="009B1F8E"/>
    <w:rsid w:val="009B229A"/>
    <w:rsid w:val="009B2D21"/>
    <w:rsid w:val="009B3150"/>
    <w:rsid w:val="009B4332"/>
    <w:rsid w:val="009B65E1"/>
    <w:rsid w:val="009B6D5A"/>
    <w:rsid w:val="009B7281"/>
    <w:rsid w:val="009B754A"/>
    <w:rsid w:val="009B7DBA"/>
    <w:rsid w:val="009C1420"/>
    <w:rsid w:val="009C1840"/>
    <w:rsid w:val="009C4719"/>
    <w:rsid w:val="009C6334"/>
    <w:rsid w:val="009D0D11"/>
    <w:rsid w:val="009D38AF"/>
    <w:rsid w:val="009D4135"/>
    <w:rsid w:val="009D43E8"/>
    <w:rsid w:val="009D5745"/>
    <w:rsid w:val="009D7CCC"/>
    <w:rsid w:val="009E144F"/>
    <w:rsid w:val="009E32CA"/>
    <w:rsid w:val="009E5CE1"/>
    <w:rsid w:val="009E64DA"/>
    <w:rsid w:val="009E6906"/>
    <w:rsid w:val="009E6E71"/>
    <w:rsid w:val="009F050B"/>
    <w:rsid w:val="009F122D"/>
    <w:rsid w:val="009F20E0"/>
    <w:rsid w:val="009F2B9D"/>
    <w:rsid w:val="009F35E6"/>
    <w:rsid w:val="009F3799"/>
    <w:rsid w:val="009F3DD9"/>
    <w:rsid w:val="009F50B3"/>
    <w:rsid w:val="009F6229"/>
    <w:rsid w:val="009F7B77"/>
    <w:rsid w:val="00A00679"/>
    <w:rsid w:val="00A00C88"/>
    <w:rsid w:val="00A00EA4"/>
    <w:rsid w:val="00A0190C"/>
    <w:rsid w:val="00A01A2C"/>
    <w:rsid w:val="00A03583"/>
    <w:rsid w:val="00A04918"/>
    <w:rsid w:val="00A04AB5"/>
    <w:rsid w:val="00A06044"/>
    <w:rsid w:val="00A06FAD"/>
    <w:rsid w:val="00A07CAC"/>
    <w:rsid w:val="00A107BB"/>
    <w:rsid w:val="00A11765"/>
    <w:rsid w:val="00A13311"/>
    <w:rsid w:val="00A13566"/>
    <w:rsid w:val="00A13A64"/>
    <w:rsid w:val="00A13AAB"/>
    <w:rsid w:val="00A13CE7"/>
    <w:rsid w:val="00A13E53"/>
    <w:rsid w:val="00A1453F"/>
    <w:rsid w:val="00A15285"/>
    <w:rsid w:val="00A158EA"/>
    <w:rsid w:val="00A15A80"/>
    <w:rsid w:val="00A165AF"/>
    <w:rsid w:val="00A17850"/>
    <w:rsid w:val="00A20212"/>
    <w:rsid w:val="00A221CC"/>
    <w:rsid w:val="00A2373D"/>
    <w:rsid w:val="00A254B3"/>
    <w:rsid w:val="00A265DF"/>
    <w:rsid w:val="00A26EE3"/>
    <w:rsid w:val="00A302A6"/>
    <w:rsid w:val="00A30FA9"/>
    <w:rsid w:val="00A31236"/>
    <w:rsid w:val="00A3229D"/>
    <w:rsid w:val="00A32739"/>
    <w:rsid w:val="00A33207"/>
    <w:rsid w:val="00A34403"/>
    <w:rsid w:val="00A34C53"/>
    <w:rsid w:val="00A3606B"/>
    <w:rsid w:val="00A37390"/>
    <w:rsid w:val="00A37606"/>
    <w:rsid w:val="00A3787E"/>
    <w:rsid w:val="00A37FD2"/>
    <w:rsid w:val="00A40FBD"/>
    <w:rsid w:val="00A437DA"/>
    <w:rsid w:val="00A43A66"/>
    <w:rsid w:val="00A4525A"/>
    <w:rsid w:val="00A46329"/>
    <w:rsid w:val="00A4641C"/>
    <w:rsid w:val="00A500E7"/>
    <w:rsid w:val="00A51961"/>
    <w:rsid w:val="00A52C37"/>
    <w:rsid w:val="00A540BB"/>
    <w:rsid w:val="00A54E02"/>
    <w:rsid w:val="00A55A0A"/>
    <w:rsid w:val="00A55BB5"/>
    <w:rsid w:val="00A56960"/>
    <w:rsid w:val="00A57847"/>
    <w:rsid w:val="00A607FF"/>
    <w:rsid w:val="00A610CE"/>
    <w:rsid w:val="00A62AEE"/>
    <w:rsid w:val="00A62CBF"/>
    <w:rsid w:val="00A64340"/>
    <w:rsid w:val="00A64D03"/>
    <w:rsid w:val="00A65574"/>
    <w:rsid w:val="00A65E3B"/>
    <w:rsid w:val="00A662AC"/>
    <w:rsid w:val="00A666F7"/>
    <w:rsid w:val="00A66E59"/>
    <w:rsid w:val="00A6735D"/>
    <w:rsid w:val="00A67BDA"/>
    <w:rsid w:val="00A67BDB"/>
    <w:rsid w:val="00A707AA"/>
    <w:rsid w:val="00A71776"/>
    <w:rsid w:val="00A730FD"/>
    <w:rsid w:val="00A76A01"/>
    <w:rsid w:val="00A76D26"/>
    <w:rsid w:val="00A76F15"/>
    <w:rsid w:val="00A77AC7"/>
    <w:rsid w:val="00A80449"/>
    <w:rsid w:val="00A80F03"/>
    <w:rsid w:val="00A81E71"/>
    <w:rsid w:val="00A82DDF"/>
    <w:rsid w:val="00A84172"/>
    <w:rsid w:val="00A851A5"/>
    <w:rsid w:val="00A87084"/>
    <w:rsid w:val="00A92AAD"/>
    <w:rsid w:val="00A934FB"/>
    <w:rsid w:val="00A93C59"/>
    <w:rsid w:val="00A94292"/>
    <w:rsid w:val="00A94D0C"/>
    <w:rsid w:val="00A95944"/>
    <w:rsid w:val="00A95A23"/>
    <w:rsid w:val="00A968D5"/>
    <w:rsid w:val="00A978A4"/>
    <w:rsid w:val="00A97EB8"/>
    <w:rsid w:val="00AA02E4"/>
    <w:rsid w:val="00AA056B"/>
    <w:rsid w:val="00AA2DEC"/>
    <w:rsid w:val="00AA3131"/>
    <w:rsid w:val="00AA37A6"/>
    <w:rsid w:val="00AA433E"/>
    <w:rsid w:val="00AA4A0B"/>
    <w:rsid w:val="00AA5D6D"/>
    <w:rsid w:val="00AA5F2F"/>
    <w:rsid w:val="00AA5F63"/>
    <w:rsid w:val="00AA72CC"/>
    <w:rsid w:val="00AB0E4A"/>
    <w:rsid w:val="00AB11DA"/>
    <w:rsid w:val="00AB206E"/>
    <w:rsid w:val="00AB2CF4"/>
    <w:rsid w:val="00AB2E8B"/>
    <w:rsid w:val="00AB58B0"/>
    <w:rsid w:val="00AB58CF"/>
    <w:rsid w:val="00AB66C1"/>
    <w:rsid w:val="00AB66FB"/>
    <w:rsid w:val="00AB7AF6"/>
    <w:rsid w:val="00AC0B49"/>
    <w:rsid w:val="00AC0D6E"/>
    <w:rsid w:val="00AC10ED"/>
    <w:rsid w:val="00AC11F0"/>
    <w:rsid w:val="00AC29C2"/>
    <w:rsid w:val="00AC2A46"/>
    <w:rsid w:val="00AC3AA1"/>
    <w:rsid w:val="00AC4802"/>
    <w:rsid w:val="00AC493F"/>
    <w:rsid w:val="00AC4B62"/>
    <w:rsid w:val="00AC4C6A"/>
    <w:rsid w:val="00AC4F52"/>
    <w:rsid w:val="00AC717A"/>
    <w:rsid w:val="00AC7D5A"/>
    <w:rsid w:val="00AC7E1D"/>
    <w:rsid w:val="00AD3534"/>
    <w:rsid w:val="00AD40ED"/>
    <w:rsid w:val="00AD50A6"/>
    <w:rsid w:val="00AD7261"/>
    <w:rsid w:val="00AE0D9B"/>
    <w:rsid w:val="00AE3BB6"/>
    <w:rsid w:val="00AE52E0"/>
    <w:rsid w:val="00AE5680"/>
    <w:rsid w:val="00AE6946"/>
    <w:rsid w:val="00AE79B1"/>
    <w:rsid w:val="00AF0122"/>
    <w:rsid w:val="00AF2558"/>
    <w:rsid w:val="00AF2726"/>
    <w:rsid w:val="00AF332D"/>
    <w:rsid w:val="00AF606F"/>
    <w:rsid w:val="00AF7944"/>
    <w:rsid w:val="00AF7F84"/>
    <w:rsid w:val="00B00E12"/>
    <w:rsid w:val="00B01587"/>
    <w:rsid w:val="00B01841"/>
    <w:rsid w:val="00B021F9"/>
    <w:rsid w:val="00B03BD3"/>
    <w:rsid w:val="00B041AA"/>
    <w:rsid w:val="00B04284"/>
    <w:rsid w:val="00B042AA"/>
    <w:rsid w:val="00B05FCD"/>
    <w:rsid w:val="00B063C8"/>
    <w:rsid w:val="00B0692B"/>
    <w:rsid w:val="00B074F5"/>
    <w:rsid w:val="00B07ADC"/>
    <w:rsid w:val="00B07FA7"/>
    <w:rsid w:val="00B101D7"/>
    <w:rsid w:val="00B1171A"/>
    <w:rsid w:val="00B11754"/>
    <w:rsid w:val="00B12EDD"/>
    <w:rsid w:val="00B14C91"/>
    <w:rsid w:val="00B15738"/>
    <w:rsid w:val="00B16781"/>
    <w:rsid w:val="00B16BCF"/>
    <w:rsid w:val="00B17EAE"/>
    <w:rsid w:val="00B224E7"/>
    <w:rsid w:val="00B2338A"/>
    <w:rsid w:val="00B23FCD"/>
    <w:rsid w:val="00B2410A"/>
    <w:rsid w:val="00B259EE"/>
    <w:rsid w:val="00B269A6"/>
    <w:rsid w:val="00B270F1"/>
    <w:rsid w:val="00B272A2"/>
    <w:rsid w:val="00B2746B"/>
    <w:rsid w:val="00B30591"/>
    <w:rsid w:val="00B30BC0"/>
    <w:rsid w:val="00B31E86"/>
    <w:rsid w:val="00B32E66"/>
    <w:rsid w:val="00B339A4"/>
    <w:rsid w:val="00B33A78"/>
    <w:rsid w:val="00B34B72"/>
    <w:rsid w:val="00B35955"/>
    <w:rsid w:val="00B36FE8"/>
    <w:rsid w:val="00B40CB0"/>
    <w:rsid w:val="00B41C4A"/>
    <w:rsid w:val="00B41D88"/>
    <w:rsid w:val="00B44487"/>
    <w:rsid w:val="00B45584"/>
    <w:rsid w:val="00B47C93"/>
    <w:rsid w:val="00B51540"/>
    <w:rsid w:val="00B535D5"/>
    <w:rsid w:val="00B53A74"/>
    <w:rsid w:val="00B53D95"/>
    <w:rsid w:val="00B54C27"/>
    <w:rsid w:val="00B60CDE"/>
    <w:rsid w:val="00B61F71"/>
    <w:rsid w:val="00B624FB"/>
    <w:rsid w:val="00B6393A"/>
    <w:rsid w:val="00B64CBE"/>
    <w:rsid w:val="00B65116"/>
    <w:rsid w:val="00B656AB"/>
    <w:rsid w:val="00B66750"/>
    <w:rsid w:val="00B715D7"/>
    <w:rsid w:val="00B7237D"/>
    <w:rsid w:val="00B73911"/>
    <w:rsid w:val="00B747D1"/>
    <w:rsid w:val="00B748C2"/>
    <w:rsid w:val="00B807BE"/>
    <w:rsid w:val="00B81C1D"/>
    <w:rsid w:val="00B82610"/>
    <w:rsid w:val="00B82760"/>
    <w:rsid w:val="00B82D4D"/>
    <w:rsid w:val="00B8331E"/>
    <w:rsid w:val="00B84290"/>
    <w:rsid w:val="00B8503A"/>
    <w:rsid w:val="00B87749"/>
    <w:rsid w:val="00B92879"/>
    <w:rsid w:val="00B93117"/>
    <w:rsid w:val="00B93B15"/>
    <w:rsid w:val="00B93C6A"/>
    <w:rsid w:val="00B94DDC"/>
    <w:rsid w:val="00B94E7E"/>
    <w:rsid w:val="00B95391"/>
    <w:rsid w:val="00B95E9F"/>
    <w:rsid w:val="00B96A9F"/>
    <w:rsid w:val="00B97040"/>
    <w:rsid w:val="00BA0ED7"/>
    <w:rsid w:val="00BA1473"/>
    <w:rsid w:val="00BA2C3C"/>
    <w:rsid w:val="00BA2E60"/>
    <w:rsid w:val="00BA4208"/>
    <w:rsid w:val="00BA421B"/>
    <w:rsid w:val="00BA4DE3"/>
    <w:rsid w:val="00BA604D"/>
    <w:rsid w:val="00BA6129"/>
    <w:rsid w:val="00BA6C53"/>
    <w:rsid w:val="00BB065B"/>
    <w:rsid w:val="00BB1088"/>
    <w:rsid w:val="00BB1D4A"/>
    <w:rsid w:val="00BB2759"/>
    <w:rsid w:val="00BB3E72"/>
    <w:rsid w:val="00BB53C7"/>
    <w:rsid w:val="00BB5D00"/>
    <w:rsid w:val="00BB5FAC"/>
    <w:rsid w:val="00BB6B22"/>
    <w:rsid w:val="00BB7E59"/>
    <w:rsid w:val="00BC0CC8"/>
    <w:rsid w:val="00BC0E67"/>
    <w:rsid w:val="00BC19D5"/>
    <w:rsid w:val="00BC24E7"/>
    <w:rsid w:val="00BC27D6"/>
    <w:rsid w:val="00BC33B7"/>
    <w:rsid w:val="00BC3E39"/>
    <w:rsid w:val="00BC4B23"/>
    <w:rsid w:val="00BC55EB"/>
    <w:rsid w:val="00BC566E"/>
    <w:rsid w:val="00BC6160"/>
    <w:rsid w:val="00BC73F3"/>
    <w:rsid w:val="00BD018A"/>
    <w:rsid w:val="00BD0CF6"/>
    <w:rsid w:val="00BD1F5F"/>
    <w:rsid w:val="00BD2C91"/>
    <w:rsid w:val="00BD3128"/>
    <w:rsid w:val="00BD35B0"/>
    <w:rsid w:val="00BD43A6"/>
    <w:rsid w:val="00BD488A"/>
    <w:rsid w:val="00BE0229"/>
    <w:rsid w:val="00BE03CC"/>
    <w:rsid w:val="00BE0CBA"/>
    <w:rsid w:val="00BE1ABE"/>
    <w:rsid w:val="00BE397C"/>
    <w:rsid w:val="00BE5F62"/>
    <w:rsid w:val="00BE699E"/>
    <w:rsid w:val="00BE798B"/>
    <w:rsid w:val="00BF1815"/>
    <w:rsid w:val="00BF2445"/>
    <w:rsid w:val="00BF3603"/>
    <w:rsid w:val="00BF6087"/>
    <w:rsid w:val="00BF78CB"/>
    <w:rsid w:val="00C000E7"/>
    <w:rsid w:val="00C011C2"/>
    <w:rsid w:val="00C01493"/>
    <w:rsid w:val="00C02A20"/>
    <w:rsid w:val="00C02DF8"/>
    <w:rsid w:val="00C03844"/>
    <w:rsid w:val="00C03949"/>
    <w:rsid w:val="00C03D48"/>
    <w:rsid w:val="00C063E9"/>
    <w:rsid w:val="00C10CBD"/>
    <w:rsid w:val="00C10EBF"/>
    <w:rsid w:val="00C127A3"/>
    <w:rsid w:val="00C12B60"/>
    <w:rsid w:val="00C1387A"/>
    <w:rsid w:val="00C13BF6"/>
    <w:rsid w:val="00C13E1F"/>
    <w:rsid w:val="00C15876"/>
    <w:rsid w:val="00C16A4C"/>
    <w:rsid w:val="00C23AF5"/>
    <w:rsid w:val="00C24A28"/>
    <w:rsid w:val="00C26535"/>
    <w:rsid w:val="00C266E1"/>
    <w:rsid w:val="00C26736"/>
    <w:rsid w:val="00C269D9"/>
    <w:rsid w:val="00C26BF4"/>
    <w:rsid w:val="00C26CDC"/>
    <w:rsid w:val="00C31AE2"/>
    <w:rsid w:val="00C32874"/>
    <w:rsid w:val="00C32A97"/>
    <w:rsid w:val="00C32C93"/>
    <w:rsid w:val="00C3417A"/>
    <w:rsid w:val="00C364BC"/>
    <w:rsid w:val="00C37C51"/>
    <w:rsid w:val="00C40702"/>
    <w:rsid w:val="00C40734"/>
    <w:rsid w:val="00C40DA1"/>
    <w:rsid w:val="00C424FE"/>
    <w:rsid w:val="00C44938"/>
    <w:rsid w:val="00C452C7"/>
    <w:rsid w:val="00C45C82"/>
    <w:rsid w:val="00C45D85"/>
    <w:rsid w:val="00C45DC9"/>
    <w:rsid w:val="00C46B94"/>
    <w:rsid w:val="00C4705E"/>
    <w:rsid w:val="00C5314C"/>
    <w:rsid w:val="00C5488A"/>
    <w:rsid w:val="00C54E3B"/>
    <w:rsid w:val="00C55A44"/>
    <w:rsid w:val="00C5695D"/>
    <w:rsid w:val="00C5739B"/>
    <w:rsid w:val="00C574D3"/>
    <w:rsid w:val="00C5750C"/>
    <w:rsid w:val="00C57F14"/>
    <w:rsid w:val="00C6055C"/>
    <w:rsid w:val="00C61EFD"/>
    <w:rsid w:val="00C6218C"/>
    <w:rsid w:val="00C63BC0"/>
    <w:rsid w:val="00C646BD"/>
    <w:rsid w:val="00C64ECA"/>
    <w:rsid w:val="00C65B0E"/>
    <w:rsid w:val="00C66F0C"/>
    <w:rsid w:val="00C6701A"/>
    <w:rsid w:val="00C70A90"/>
    <w:rsid w:val="00C7317A"/>
    <w:rsid w:val="00C75659"/>
    <w:rsid w:val="00C756B7"/>
    <w:rsid w:val="00C75C69"/>
    <w:rsid w:val="00C75E86"/>
    <w:rsid w:val="00C7698D"/>
    <w:rsid w:val="00C76AFC"/>
    <w:rsid w:val="00C8252D"/>
    <w:rsid w:val="00C82ADD"/>
    <w:rsid w:val="00C8467F"/>
    <w:rsid w:val="00C856F5"/>
    <w:rsid w:val="00C860F8"/>
    <w:rsid w:val="00C86276"/>
    <w:rsid w:val="00C86FF9"/>
    <w:rsid w:val="00C90E13"/>
    <w:rsid w:val="00C92A5D"/>
    <w:rsid w:val="00C95370"/>
    <w:rsid w:val="00C973D8"/>
    <w:rsid w:val="00CA2CAD"/>
    <w:rsid w:val="00CA5355"/>
    <w:rsid w:val="00CA6CB2"/>
    <w:rsid w:val="00CA7989"/>
    <w:rsid w:val="00CB0C84"/>
    <w:rsid w:val="00CB1EAD"/>
    <w:rsid w:val="00CB303E"/>
    <w:rsid w:val="00CB3207"/>
    <w:rsid w:val="00CB5125"/>
    <w:rsid w:val="00CB6B45"/>
    <w:rsid w:val="00CB797D"/>
    <w:rsid w:val="00CC04B2"/>
    <w:rsid w:val="00CC25C3"/>
    <w:rsid w:val="00CC36E7"/>
    <w:rsid w:val="00CC5C5E"/>
    <w:rsid w:val="00CC68A0"/>
    <w:rsid w:val="00CD061C"/>
    <w:rsid w:val="00CD19D3"/>
    <w:rsid w:val="00CD2365"/>
    <w:rsid w:val="00CD27DD"/>
    <w:rsid w:val="00CD31B7"/>
    <w:rsid w:val="00CD43E8"/>
    <w:rsid w:val="00CD577E"/>
    <w:rsid w:val="00CD5B40"/>
    <w:rsid w:val="00CD6184"/>
    <w:rsid w:val="00CD656B"/>
    <w:rsid w:val="00CD716A"/>
    <w:rsid w:val="00CD7C8F"/>
    <w:rsid w:val="00CE0EE1"/>
    <w:rsid w:val="00CE13CB"/>
    <w:rsid w:val="00CE431D"/>
    <w:rsid w:val="00CE4B17"/>
    <w:rsid w:val="00CE60F2"/>
    <w:rsid w:val="00CE6AAA"/>
    <w:rsid w:val="00CE7E77"/>
    <w:rsid w:val="00CF0B96"/>
    <w:rsid w:val="00CF1E2F"/>
    <w:rsid w:val="00CF23D8"/>
    <w:rsid w:val="00CF37AC"/>
    <w:rsid w:val="00CF3DFD"/>
    <w:rsid w:val="00CF45A0"/>
    <w:rsid w:val="00CF661F"/>
    <w:rsid w:val="00D003BF"/>
    <w:rsid w:val="00D0130C"/>
    <w:rsid w:val="00D021C5"/>
    <w:rsid w:val="00D028D1"/>
    <w:rsid w:val="00D03D96"/>
    <w:rsid w:val="00D054E1"/>
    <w:rsid w:val="00D062F5"/>
    <w:rsid w:val="00D06B06"/>
    <w:rsid w:val="00D06B82"/>
    <w:rsid w:val="00D07676"/>
    <w:rsid w:val="00D07E9F"/>
    <w:rsid w:val="00D10465"/>
    <w:rsid w:val="00D1283A"/>
    <w:rsid w:val="00D14AB9"/>
    <w:rsid w:val="00D15BEA"/>
    <w:rsid w:val="00D16A5F"/>
    <w:rsid w:val="00D16ACD"/>
    <w:rsid w:val="00D16EA3"/>
    <w:rsid w:val="00D17ADA"/>
    <w:rsid w:val="00D17F5B"/>
    <w:rsid w:val="00D2005D"/>
    <w:rsid w:val="00D211F0"/>
    <w:rsid w:val="00D21620"/>
    <w:rsid w:val="00D221A1"/>
    <w:rsid w:val="00D22F52"/>
    <w:rsid w:val="00D23A65"/>
    <w:rsid w:val="00D24359"/>
    <w:rsid w:val="00D254B0"/>
    <w:rsid w:val="00D2625E"/>
    <w:rsid w:val="00D264AA"/>
    <w:rsid w:val="00D26E21"/>
    <w:rsid w:val="00D30942"/>
    <w:rsid w:val="00D30C8C"/>
    <w:rsid w:val="00D30DB0"/>
    <w:rsid w:val="00D3177A"/>
    <w:rsid w:val="00D33A38"/>
    <w:rsid w:val="00D33B5A"/>
    <w:rsid w:val="00D351D7"/>
    <w:rsid w:val="00D364C0"/>
    <w:rsid w:val="00D378A9"/>
    <w:rsid w:val="00D42630"/>
    <w:rsid w:val="00D42F03"/>
    <w:rsid w:val="00D4316F"/>
    <w:rsid w:val="00D43707"/>
    <w:rsid w:val="00D440D7"/>
    <w:rsid w:val="00D44981"/>
    <w:rsid w:val="00D45844"/>
    <w:rsid w:val="00D46943"/>
    <w:rsid w:val="00D46D9C"/>
    <w:rsid w:val="00D50148"/>
    <w:rsid w:val="00D516D9"/>
    <w:rsid w:val="00D51A63"/>
    <w:rsid w:val="00D53479"/>
    <w:rsid w:val="00D543C4"/>
    <w:rsid w:val="00D5696B"/>
    <w:rsid w:val="00D570D0"/>
    <w:rsid w:val="00D5795A"/>
    <w:rsid w:val="00D614A7"/>
    <w:rsid w:val="00D62459"/>
    <w:rsid w:val="00D65614"/>
    <w:rsid w:val="00D663E4"/>
    <w:rsid w:val="00D7044E"/>
    <w:rsid w:val="00D7055F"/>
    <w:rsid w:val="00D7087D"/>
    <w:rsid w:val="00D70A0A"/>
    <w:rsid w:val="00D7243E"/>
    <w:rsid w:val="00D725F6"/>
    <w:rsid w:val="00D73046"/>
    <w:rsid w:val="00D73D5B"/>
    <w:rsid w:val="00D74B70"/>
    <w:rsid w:val="00D777E5"/>
    <w:rsid w:val="00D812E9"/>
    <w:rsid w:val="00D84313"/>
    <w:rsid w:val="00D84DC5"/>
    <w:rsid w:val="00D855D2"/>
    <w:rsid w:val="00D866C3"/>
    <w:rsid w:val="00D86953"/>
    <w:rsid w:val="00D86F6F"/>
    <w:rsid w:val="00D8700F"/>
    <w:rsid w:val="00D87325"/>
    <w:rsid w:val="00D87706"/>
    <w:rsid w:val="00D91E4D"/>
    <w:rsid w:val="00D91EA0"/>
    <w:rsid w:val="00D9266E"/>
    <w:rsid w:val="00D9515E"/>
    <w:rsid w:val="00D963BB"/>
    <w:rsid w:val="00DA1065"/>
    <w:rsid w:val="00DA1229"/>
    <w:rsid w:val="00DA70FC"/>
    <w:rsid w:val="00DB0153"/>
    <w:rsid w:val="00DB07B8"/>
    <w:rsid w:val="00DB1AEC"/>
    <w:rsid w:val="00DB1BFF"/>
    <w:rsid w:val="00DB2C77"/>
    <w:rsid w:val="00DB3030"/>
    <w:rsid w:val="00DB39CF"/>
    <w:rsid w:val="00DB4158"/>
    <w:rsid w:val="00DB6C09"/>
    <w:rsid w:val="00DB76D9"/>
    <w:rsid w:val="00DC027D"/>
    <w:rsid w:val="00DC078F"/>
    <w:rsid w:val="00DC15DC"/>
    <w:rsid w:val="00DC16EC"/>
    <w:rsid w:val="00DC3B7E"/>
    <w:rsid w:val="00DC3E25"/>
    <w:rsid w:val="00DD11D6"/>
    <w:rsid w:val="00DD39F2"/>
    <w:rsid w:val="00DD3B37"/>
    <w:rsid w:val="00DD3FF8"/>
    <w:rsid w:val="00DD4C64"/>
    <w:rsid w:val="00DD4EE6"/>
    <w:rsid w:val="00DD5646"/>
    <w:rsid w:val="00DD6B86"/>
    <w:rsid w:val="00DD6CE6"/>
    <w:rsid w:val="00DD6E34"/>
    <w:rsid w:val="00DE09AF"/>
    <w:rsid w:val="00DE16A6"/>
    <w:rsid w:val="00DE2C83"/>
    <w:rsid w:val="00DE2F52"/>
    <w:rsid w:val="00DE3427"/>
    <w:rsid w:val="00DE49F8"/>
    <w:rsid w:val="00DE5407"/>
    <w:rsid w:val="00DE5577"/>
    <w:rsid w:val="00DE625D"/>
    <w:rsid w:val="00DE6686"/>
    <w:rsid w:val="00DE6E60"/>
    <w:rsid w:val="00DE71F4"/>
    <w:rsid w:val="00DF06C2"/>
    <w:rsid w:val="00DF0AFB"/>
    <w:rsid w:val="00DF24CA"/>
    <w:rsid w:val="00DF4202"/>
    <w:rsid w:val="00DF43E1"/>
    <w:rsid w:val="00DF5550"/>
    <w:rsid w:val="00DF573C"/>
    <w:rsid w:val="00DF5A7C"/>
    <w:rsid w:val="00DF5D75"/>
    <w:rsid w:val="00DF5E8D"/>
    <w:rsid w:val="00DF6D6B"/>
    <w:rsid w:val="00DF6F76"/>
    <w:rsid w:val="00DF702F"/>
    <w:rsid w:val="00DF7466"/>
    <w:rsid w:val="00E00E74"/>
    <w:rsid w:val="00E0207E"/>
    <w:rsid w:val="00E025CC"/>
    <w:rsid w:val="00E02D5F"/>
    <w:rsid w:val="00E02F61"/>
    <w:rsid w:val="00E034F2"/>
    <w:rsid w:val="00E04E72"/>
    <w:rsid w:val="00E0505F"/>
    <w:rsid w:val="00E06989"/>
    <w:rsid w:val="00E07FFE"/>
    <w:rsid w:val="00E10C46"/>
    <w:rsid w:val="00E10E36"/>
    <w:rsid w:val="00E1122D"/>
    <w:rsid w:val="00E13623"/>
    <w:rsid w:val="00E136DC"/>
    <w:rsid w:val="00E13998"/>
    <w:rsid w:val="00E13EA5"/>
    <w:rsid w:val="00E1413D"/>
    <w:rsid w:val="00E14541"/>
    <w:rsid w:val="00E1487D"/>
    <w:rsid w:val="00E153C9"/>
    <w:rsid w:val="00E15799"/>
    <w:rsid w:val="00E163D3"/>
    <w:rsid w:val="00E167DE"/>
    <w:rsid w:val="00E16CE5"/>
    <w:rsid w:val="00E17E79"/>
    <w:rsid w:val="00E20938"/>
    <w:rsid w:val="00E20A23"/>
    <w:rsid w:val="00E25D01"/>
    <w:rsid w:val="00E30D56"/>
    <w:rsid w:val="00E31F50"/>
    <w:rsid w:val="00E338EF"/>
    <w:rsid w:val="00E33AF2"/>
    <w:rsid w:val="00E35055"/>
    <w:rsid w:val="00E37AAB"/>
    <w:rsid w:val="00E4028F"/>
    <w:rsid w:val="00E40B9C"/>
    <w:rsid w:val="00E412A2"/>
    <w:rsid w:val="00E4134A"/>
    <w:rsid w:val="00E41A2A"/>
    <w:rsid w:val="00E42ADA"/>
    <w:rsid w:val="00E433C7"/>
    <w:rsid w:val="00E43F99"/>
    <w:rsid w:val="00E471AC"/>
    <w:rsid w:val="00E47BAC"/>
    <w:rsid w:val="00E47D88"/>
    <w:rsid w:val="00E47D9B"/>
    <w:rsid w:val="00E50C47"/>
    <w:rsid w:val="00E51B84"/>
    <w:rsid w:val="00E536A8"/>
    <w:rsid w:val="00E54026"/>
    <w:rsid w:val="00E54840"/>
    <w:rsid w:val="00E5573B"/>
    <w:rsid w:val="00E55DD7"/>
    <w:rsid w:val="00E60AFF"/>
    <w:rsid w:val="00E62F47"/>
    <w:rsid w:val="00E6453C"/>
    <w:rsid w:val="00E64A80"/>
    <w:rsid w:val="00E6527B"/>
    <w:rsid w:val="00E660B6"/>
    <w:rsid w:val="00E66BC0"/>
    <w:rsid w:val="00E7189C"/>
    <w:rsid w:val="00E723B1"/>
    <w:rsid w:val="00E7251E"/>
    <w:rsid w:val="00E72977"/>
    <w:rsid w:val="00E72E8B"/>
    <w:rsid w:val="00E73B8E"/>
    <w:rsid w:val="00E74537"/>
    <w:rsid w:val="00E74BD5"/>
    <w:rsid w:val="00E76030"/>
    <w:rsid w:val="00E764D3"/>
    <w:rsid w:val="00E772F4"/>
    <w:rsid w:val="00E77492"/>
    <w:rsid w:val="00E7775B"/>
    <w:rsid w:val="00E77E41"/>
    <w:rsid w:val="00E80D10"/>
    <w:rsid w:val="00E82C38"/>
    <w:rsid w:val="00E846FD"/>
    <w:rsid w:val="00E85083"/>
    <w:rsid w:val="00E87CCD"/>
    <w:rsid w:val="00E904A3"/>
    <w:rsid w:val="00E9074A"/>
    <w:rsid w:val="00E9122C"/>
    <w:rsid w:val="00E92107"/>
    <w:rsid w:val="00E94CB0"/>
    <w:rsid w:val="00E95728"/>
    <w:rsid w:val="00E96E41"/>
    <w:rsid w:val="00E9769A"/>
    <w:rsid w:val="00EA010E"/>
    <w:rsid w:val="00EA037A"/>
    <w:rsid w:val="00EA043E"/>
    <w:rsid w:val="00EA0FE4"/>
    <w:rsid w:val="00EA1508"/>
    <w:rsid w:val="00EA1806"/>
    <w:rsid w:val="00EA2B76"/>
    <w:rsid w:val="00EA446E"/>
    <w:rsid w:val="00EA5575"/>
    <w:rsid w:val="00EA60A3"/>
    <w:rsid w:val="00EA6623"/>
    <w:rsid w:val="00EB0AB6"/>
    <w:rsid w:val="00EB0DD0"/>
    <w:rsid w:val="00EB1667"/>
    <w:rsid w:val="00EB1AF1"/>
    <w:rsid w:val="00EB2837"/>
    <w:rsid w:val="00EB2C7A"/>
    <w:rsid w:val="00EB3488"/>
    <w:rsid w:val="00EB3BFA"/>
    <w:rsid w:val="00EB3C1A"/>
    <w:rsid w:val="00EB4D4F"/>
    <w:rsid w:val="00EB53B7"/>
    <w:rsid w:val="00EB5C0B"/>
    <w:rsid w:val="00EB60BC"/>
    <w:rsid w:val="00EB6306"/>
    <w:rsid w:val="00EB6F0E"/>
    <w:rsid w:val="00EB70CC"/>
    <w:rsid w:val="00EB7693"/>
    <w:rsid w:val="00EC0A3E"/>
    <w:rsid w:val="00EC0E50"/>
    <w:rsid w:val="00EC13F1"/>
    <w:rsid w:val="00EC3D89"/>
    <w:rsid w:val="00EC4F07"/>
    <w:rsid w:val="00EC6C2B"/>
    <w:rsid w:val="00ED0A69"/>
    <w:rsid w:val="00ED0EA2"/>
    <w:rsid w:val="00ED12DD"/>
    <w:rsid w:val="00ED1BAA"/>
    <w:rsid w:val="00ED4A66"/>
    <w:rsid w:val="00ED4A88"/>
    <w:rsid w:val="00ED5C24"/>
    <w:rsid w:val="00ED5D07"/>
    <w:rsid w:val="00EE0526"/>
    <w:rsid w:val="00EE202A"/>
    <w:rsid w:val="00EE27C1"/>
    <w:rsid w:val="00EE314D"/>
    <w:rsid w:val="00EE3583"/>
    <w:rsid w:val="00EE4615"/>
    <w:rsid w:val="00EE56D0"/>
    <w:rsid w:val="00EF0B46"/>
    <w:rsid w:val="00EF0DCF"/>
    <w:rsid w:val="00EF11E7"/>
    <w:rsid w:val="00EF1D9F"/>
    <w:rsid w:val="00EF3C13"/>
    <w:rsid w:val="00EF4A33"/>
    <w:rsid w:val="00EF56FA"/>
    <w:rsid w:val="00EF61FA"/>
    <w:rsid w:val="00EF63FB"/>
    <w:rsid w:val="00EF646E"/>
    <w:rsid w:val="00EF669D"/>
    <w:rsid w:val="00EF6BBF"/>
    <w:rsid w:val="00F02180"/>
    <w:rsid w:val="00F03041"/>
    <w:rsid w:val="00F0470A"/>
    <w:rsid w:val="00F072DC"/>
    <w:rsid w:val="00F11F21"/>
    <w:rsid w:val="00F121DF"/>
    <w:rsid w:val="00F13257"/>
    <w:rsid w:val="00F14915"/>
    <w:rsid w:val="00F15BCC"/>
    <w:rsid w:val="00F1679D"/>
    <w:rsid w:val="00F167A1"/>
    <w:rsid w:val="00F17299"/>
    <w:rsid w:val="00F17744"/>
    <w:rsid w:val="00F206D9"/>
    <w:rsid w:val="00F20A98"/>
    <w:rsid w:val="00F20B9C"/>
    <w:rsid w:val="00F22912"/>
    <w:rsid w:val="00F22AD2"/>
    <w:rsid w:val="00F24C2E"/>
    <w:rsid w:val="00F250AC"/>
    <w:rsid w:val="00F25276"/>
    <w:rsid w:val="00F26ACE"/>
    <w:rsid w:val="00F270B1"/>
    <w:rsid w:val="00F3107D"/>
    <w:rsid w:val="00F3133E"/>
    <w:rsid w:val="00F31579"/>
    <w:rsid w:val="00F325A0"/>
    <w:rsid w:val="00F32B51"/>
    <w:rsid w:val="00F3388D"/>
    <w:rsid w:val="00F33C62"/>
    <w:rsid w:val="00F35BF0"/>
    <w:rsid w:val="00F363B6"/>
    <w:rsid w:val="00F37905"/>
    <w:rsid w:val="00F37C21"/>
    <w:rsid w:val="00F40141"/>
    <w:rsid w:val="00F40407"/>
    <w:rsid w:val="00F41F2D"/>
    <w:rsid w:val="00F44DDD"/>
    <w:rsid w:val="00F45813"/>
    <w:rsid w:val="00F459C7"/>
    <w:rsid w:val="00F474D2"/>
    <w:rsid w:val="00F47A59"/>
    <w:rsid w:val="00F5061E"/>
    <w:rsid w:val="00F50EDE"/>
    <w:rsid w:val="00F51221"/>
    <w:rsid w:val="00F51565"/>
    <w:rsid w:val="00F52625"/>
    <w:rsid w:val="00F5312D"/>
    <w:rsid w:val="00F5319E"/>
    <w:rsid w:val="00F53AF0"/>
    <w:rsid w:val="00F54A26"/>
    <w:rsid w:val="00F5674C"/>
    <w:rsid w:val="00F60FE2"/>
    <w:rsid w:val="00F61ED3"/>
    <w:rsid w:val="00F62526"/>
    <w:rsid w:val="00F64514"/>
    <w:rsid w:val="00F6459D"/>
    <w:rsid w:val="00F6496F"/>
    <w:rsid w:val="00F655D7"/>
    <w:rsid w:val="00F679AE"/>
    <w:rsid w:val="00F67C0C"/>
    <w:rsid w:val="00F7091D"/>
    <w:rsid w:val="00F719C6"/>
    <w:rsid w:val="00F72B5A"/>
    <w:rsid w:val="00F7424F"/>
    <w:rsid w:val="00F76D60"/>
    <w:rsid w:val="00F8017E"/>
    <w:rsid w:val="00F80AF6"/>
    <w:rsid w:val="00F80BE7"/>
    <w:rsid w:val="00F80FF3"/>
    <w:rsid w:val="00F81227"/>
    <w:rsid w:val="00F82C09"/>
    <w:rsid w:val="00F84A64"/>
    <w:rsid w:val="00F8566D"/>
    <w:rsid w:val="00F857E0"/>
    <w:rsid w:val="00F87455"/>
    <w:rsid w:val="00F91245"/>
    <w:rsid w:val="00F912DB"/>
    <w:rsid w:val="00F92D5C"/>
    <w:rsid w:val="00F9309D"/>
    <w:rsid w:val="00F941F8"/>
    <w:rsid w:val="00F96EF9"/>
    <w:rsid w:val="00FA048B"/>
    <w:rsid w:val="00FA3741"/>
    <w:rsid w:val="00FA3C48"/>
    <w:rsid w:val="00FA5DDA"/>
    <w:rsid w:val="00FB0D70"/>
    <w:rsid w:val="00FB1B97"/>
    <w:rsid w:val="00FB25B7"/>
    <w:rsid w:val="00FB2B9A"/>
    <w:rsid w:val="00FB5697"/>
    <w:rsid w:val="00FC028E"/>
    <w:rsid w:val="00FC0E0B"/>
    <w:rsid w:val="00FC198E"/>
    <w:rsid w:val="00FC1F84"/>
    <w:rsid w:val="00FC2B4B"/>
    <w:rsid w:val="00FC3219"/>
    <w:rsid w:val="00FC4379"/>
    <w:rsid w:val="00FC574F"/>
    <w:rsid w:val="00FC5A09"/>
    <w:rsid w:val="00FC7066"/>
    <w:rsid w:val="00FC7BDF"/>
    <w:rsid w:val="00FC7ECA"/>
    <w:rsid w:val="00FD13C8"/>
    <w:rsid w:val="00FD1AEE"/>
    <w:rsid w:val="00FD246E"/>
    <w:rsid w:val="00FD2734"/>
    <w:rsid w:val="00FD3153"/>
    <w:rsid w:val="00FD31D8"/>
    <w:rsid w:val="00FD41B7"/>
    <w:rsid w:val="00FD4E3D"/>
    <w:rsid w:val="00FE275C"/>
    <w:rsid w:val="00FE374C"/>
    <w:rsid w:val="00FE4280"/>
    <w:rsid w:val="00FE594D"/>
    <w:rsid w:val="00FE5D4F"/>
    <w:rsid w:val="00FE6394"/>
    <w:rsid w:val="00FE69F5"/>
    <w:rsid w:val="00FE6CAC"/>
    <w:rsid w:val="00FE7406"/>
    <w:rsid w:val="00FF057A"/>
    <w:rsid w:val="00FF513C"/>
    <w:rsid w:val="00FF6898"/>
    <w:rsid w:val="00FF6F51"/>
    <w:rsid w:val="00F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BC71C3"/>
  <w15:docId w15:val="{84665EDE-2E51-422A-ABCC-3F869B08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24FC1"/>
    <w:rPr>
      <w:sz w:val="24"/>
      <w:szCs w:val="24"/>
    </w:rPr>
  </w:style>
  <w:style w:type="paragraph" w:styleId="Heading1">
    <w:name w:val="heading 1"/>
    <w:basedOn w:val="Normal"/>
    <w:next w:val="Normal"/>
    <w:link w:val="Heading1Char"/>
    <w:qFormat/>
    <w:rsid w:val="00857FB7"/>
    <w:pPr>
      <w:keepNext/>
      <w:keepLines/>
      <w:spacing w:before="480"/>
      <w:outlineLvl w:val="0"/>
    </w:pPr>
    <w:rPr>
      <w:rFonts w:ascii="Calibri Light" w:eastAsia="MS Gothic" w:hAnsi="Calibri Light"/>
      <w:b/>
      <w:bCs/>
      <w:color w:val="2E74B5"/>
      <w:sz w:val="28"/>
      <w:szCs w:val="28"/>
    </w:rPr>
  </w:style>
  <w:style w:type="paragraph" w:styleId="Heading2">
    <w:name w:val="heading 2"/>
    <w:basedOn w:val="Normal"/>
    <w:next w:val="Normal"/>
    <w:link w:val="Heading2Char"/>
    <w:qFormat/>
    <w:rsid w:val="00D84313"/>
    <w:pPr>
      <w:keepNext/>
      <w:keepLines/>
      <w:spacing w:before="200"/>
      <w:outlineLvl w:val="1"/>
    </w:pPr>
    <w:rPr>
      <w:rFonts w:ascii="Calibri Light" w:eastAsia="MS Gothic" w:hAnsi="Calibri Light"/>
      <w:b/>
      <w:bCs/>
      <w:color w:val="5B9BD5"/>
      <w:sz w:val="26"/>
      <w:szCs w:val="26"/>
    </w:rPr>
  </w:style>
  <w:style w:type="paragraph" w:styleId="Heading4">
    <w:name w:val="heading 4"/>
    <w:basedOn w:val="Normal"/>
    <w:next w:val="Normal"/>
    <w:qFormat/>
    <w:rsid w:val="00F655D7"/>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20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206D9"/>
    <w:rPr>
      <w:color w:val="0000FF"/>
      <w:u w:val="single"/>
    </w:rPr>
  </w:style>
  <w:style w:type="paragraph" w:customStyle="1" w:styleId="SingleTxt">
    <w:name w:val="__Single Txt"/>
    <w:basedOn w:val="Normal"/>
    <w:rsid w:val="00F206D9"/>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customStyle="1" w:styleId="H1">
    <w:name w:val="_ H_1"/>
    <w:basedOn w:val="Normal"/>
    <w:next w:val="SingleTxt"/>
    <w:rsid w:val="00F206D9"/>
    <w:pPr>
      <w:keepNext/>
      <w:keepLines/>
      <w:suppressAutoHyphens/>
      <w:spacing w:line="270" w:lineRule="exact"/>
      <w:outlineLvl w:val="0"/>
    </w:pPr>
    <w:rPr>
      <w:b/>
      <w:spacing w:val="4"/>
      <w:w w:val="103"/>
      <w:kern w:val="14"/>
      <w:szCs w:val="20"/>
      <w:lang w:val="en-GB"/>
    </w:rPr>
  </w:style>
  <w:style w:type="paragraph" w:customStyle="1" w:styleId="DualTxtCharChar1CharChar">
    <w:name w:val="__Dual Txt Char Char1 Char Char"/>
    <w:basedOn w:val="Normal"/>
    <w:rsid w:val="00F206D9"/>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MS Mincho"/>
      <w:spacing w:val="4"/>
      <w:w w:val="103"/>
      <w:kern w:val="14"/>
      <w:sz w:val="20"/>
      <w:szCs w:val="20"/>
      <w:lang w:val="en-GB"/>
    </w:rPr>
  </w:style>
  <w:style w:type="character" w:styleId="FootnoteReference">
    <w:name w:val="footnote reference"/>
    <w:uiPriority w:val="99"/>
    <w:semiHidden/>
    <w:rsid w:val="00F206D9"/>
    <w:rPr>
      <w:vertAlign w:val="superscript"/>
    </w:rPr>
  </w:style>
  <w:style w:type="paragraph" w:styleId="Header">
    <w:name w:val="header"/>
    <w:basedOn w:val="Normal"/>
    <w:link w:val="HeaderChar"/>
    <w:rsid w:val="00F206D9"/>
    <w:pPr>
      <w:tabs>
        <w:tab w:val="center" w:pos="4320"/>
        <w:tab w:val="right" w:pos="8640"/>
      </w:tabs>
    </w:pPr>
  </w:style>
  <w:style w:type="paragraph" w:styleId="Footer">
    <w:name w:val="footer"/>
    <w:basedOn w:val="Normal"/>
    <w:link w:val="FooterChar"/>
    <w:uiPriority w:val="99"/>
    <w:rsid w:val="00F206D9"/>
    <w:pPr>
      <w:tabs>
        <w:tab w:val="center" w:pos="4320"/>
        <w:tab w:val="right" w:pos="8640"/>
      </w:tabs>
    </w:pPr>
  </w:style>
  <w:style w:type="character" w:styleId="PageNumber">
    <w:name w:val="page number"/>
    <w:basedOn w:val="DefaultParagraphFont"/>
    <w:uiPriority w:val="99"/>
    <w:rsid w:val="00F206D9"/>
  </w:style>
  <w:style w:type="paragraph" w:customStyle="1" w:styleId="HCh">
    <w:name w:val="_ H _Ch"/>
    <w:basedOn w:val="Normal"/>
    <w:next w:val="Normal"/>
    <w:rsid w:val="00F206D9"/>
    <w:pPr>
      <w:keepNext/>
      <w:keepLines/>
      <w:suppressAutoHyphens/>
      <w:spacing w:line="300" w:lineRule="exact"/>
      <w:outlineLvl w:val="0"/>
    </w:pPr>
    <w:rPr>
      <w:rFonts w:eastAsia="MS Mincho"/>
      <w:b/>
      <w:spacing w:val="-2"/>
      <w:w w:val="103"/>
      <w:kern w:val="14"/>
      <w:sz w:val="28"/>
      <w:szCs w:val="20"/>
      <w:lang w:val="en-GB"/>
    </w:rPr>
  </w:style>
  <w:style w:type="paragraph" w:customStyle="1" w:styleId="H56">
    <w:name w:val="_ H_5/6"/>
    <w:basedOn w:val="Normal"/>
    <w:next w:val="Normal"/>
    <w:rsid w:val="00F206D9"/>
    <w:pPr>
      <w:keepNext/>
      <w:keepLines/>
      <w:tabs>
        <w:tab w:val="right" w:pos="360"/>
      </w:tabs>
      <w:suppressAutoHyphens/>
      <w:spacing w:line="240" w:lineRule="exact"/>
      <w:outlineLvl w:val="4"/>
    </w:pPr>
    <w:rPr>
      <w:rFonts w:eastAsia="MS Mincho"/>
      <w:spacing w:val="4"/>
      <w:w w:val="103"/>
      <w:kern w:val="14"/>
      <w:sz w:val="20"/>
      <w:szCs w:val="20"/>
      <w:lang w:val="en-GB"/>
    </w:rPr>
  </w:style>
  <w:style w:type="paragraph" w:customStyle="1" w:styleId="XLarge">
    <w:name w:val="XLarge"/>
    <w:basedOn w:val="Normal"/>
    <w:rsid w:val="00F206D9"/>
    <w:pPr>
      <w:keepNext/>
      <w:keepLines/>
      <w:tabs>
        <w:tab w:val="right" w:leader="dot" w:pos="360"/>
      </w:tabs>
      <w:suppressAutoHyphens/>
      <w:spacing w:line="390" w:lineRule="exact"/>
      <w:outlineLvl w:val="0"/>
    </w:pPr>
    <w:rPr>
      <w:rFonts w:eastAsia="MS Mincho"/>
      <w:b/>
      <w:spacing w:val="-4"/>
      <w:w w:val="98"/>
      <w:kern w:val="14"/>
      <w:sz w:val="40"/>
      <w:szCs w:val="20"/>
      <w:lang w:val="en-GB"/>
    </w:rPr>
  </w:style>
  <w:style w:type="character" w:styleId="FollowedHyperlink">
    <w:name w:val="FollowedHyperlink"/>
    <w:rsid w:val="000202C2"/>
    <w:rPr>
      <w:color w:val="800080"/>
      <w:u w:val="single"/>
    </w:rPr>
  </w:style>
  <w:style w:type="paragraph" w:styleId="FootnoteText">
    <w:name w:val="footnote text"/>
    <w:basedOn w:val="Normal"/>
    <w:semiHidden/>
    <w:rsid w:val="00CF45A0"/>
    <w:rPr>
      <w:sz w:val="20"/>
      <w:szCs w:val="20"/>
    </w:rPr>
  </w:style>
  <w:style w:type="paragraph" w:styleId="PlainText">
    <w:name w:val="Plain Text"/>
    <w:basedOn w:val="Normal"/>
    <w:rsid w:val="00A3606B"/>
    <w:rPr>
      <w:rFonts w:ascii="Courier New" w:eastAsia="MS Mincho" w:hAnsi="Courier New" w:cs="Courier New"/>
      <w:sz w:val="20"/>
      <w:szCs w:val="20"/>
      <w:lang w:eastAsia="zh-TW"/>
    </w:rPr>
  </w:style>
  <w:style w:type="paragraph" w:customStyle="1" w:styleId="HM">
    <w:name w:val="_ H __M"/>
    <w:basedOn w:val="HCh"/>
    <w:next w:val="Normal"/>
    <w:rsid w:val="00F655D7"/>
    <w:pPr>
      <w:spacing w:line="360" w:lineRule="exact"/>
    </w:pPr>
    <w:rPr>
      <w:rFonts w:eastAsia="Times New Roman"/>
      <w:spacing w:val="-3"/>
      <w:w w:val="99"/>
      <w:sz w:val="34"/>
    </w:rPr>
  </w:style>
  <w:style w:type="paragraph" w:styleId="BalloonText">
    <w:name w:val="Balloon Text"/>
    <w:basedOn w:val="Normal"/>
    <w:link w:val="BalloonTextChar"/>
    <w:rsid w:val="00C13BF6"/>
    <w:rPr>
      <w:rFonts w:ascii="Tahoma" w:hAnsi="Tahoma" w:cs="Tahoma"/>
      <w:sz w:val="16"/>
      <w:szCs w:val="16"/>
    </w:rPr>
  </w:style>
  <w:style w:type="character" w:customStyle="1" w:styleId="BalloonTextChar">
    <w:name w:val="Balloon Text Char"/>
    <w:link w:val="BalloonText"/>
    <w:rsid w:val="00C13BF6"/>
    <w:rPr>
      <w:rFonts w:ascii="Tahoma" w:hAnsi="Tahoma" w:cs="Tahoma"/>
      <w:sz w:val="16"/>
      <w:szCs w:val="16"/>
    </w:rPr>
  </w:style>
  <w:style w:type="character" w:styleId="CommentReference">
    <w:name w:val="annotation reference"/>
    <w:rsid w:val="00692739"/>
    <w:rPr>
      <w:sz w:val="16"/>
      <w:szCs w:val="16"/>
    </w:rPr>
  </w:style>
  <w:style w:type="paragraph" w:styleId="CommentText">
    <w:name w:val="annotation text"/>
    <w:basedOn w:val="Normal"/>
    <w:link w:val="CommentTextChar"/>
    <w:rsid w:val="00692739"/>
    <w:rPr>
      <w:sz w:val="20"/>
      <w:szCs w:val="20"/>
    </w:rPr>
  </w:style>
  <w:style w:type="character" w:customStyle="1" w:styleId="CommentTextChar">
    <w:name w:val="Comment Text Char"/>
    <w:basedOn w:val="DefaultParagraphFont"/>
    <w:link w:val="CommentText"/>
    <w:rsid w:val="00692739"/>
  </w:style>
  <w:style w:type="paragraph" w:styleId="CommentSubject">
    <w:name w:val="annotation subject"/>
    <w:basedOn w:val="CommentText"/>
    <w:next w:val="CommentText"/>
    <w:link w:val="CommentSubjectChar"/>
    <w:rsid w:val="00692739"/>
    <w:rPr>
      <w:b/>
      <w:bCs/>
    </w:rPr>
  </w:style>
  <w:style w:type="character" w:customStyle="1" w:styleId="CommentSubjectChar">
    <w:name w:val="Comment Subject Char"/>
    <w:link w:val="CommentSubject"/>
    <w:rsid w:val="00692739"/>
    <w:rPr>
      <w:b/>
      <w:bCs/>
    </w:rPr>
  </w:style>
  <w:style w:type="paragraph" w:customStyle="1" w:styleId="ColorfulList-Accent11">
    <w:name w:val="Colorful List - Accent 11"/>
    <w:aliases w:val="List Paragraph (numbered (a)),WB Para,List Paragraph1,Lapis Bulleted List,Dot pt,F5 List Paragraph,No Spacing1,List Paragraph Char Char Char,Indicator Text,Numbered Para 1,Bullet 1,List Paragraph12"/>
    <w:basedOn w:val="Normal"/>
    <w:link w:val="ColorfulList-Accent1Char"/>
    <w:uiPriority w:val="34"/>
    <w:qFormat/>
    <w:rsid w:val="004E0E75"/>
    <w:pPr>
      <w:ind w:left="720"/>
      <w:contextualSpacing/>
    </w:pPr>
  </w:style>
  <w:style w:type="character" w:customStyle="1" w:styleId="Heading1Char">
    <w:name w:val="Heading 1 Char"/>
    <w:link w:val="Heading1"/>
    <w:rsid w:val="00857FB7"/>
    <w:rPr>
      <w:rFonts w:ascii="Calibri Light" w:eastAsia="MS Gothic" w:hAnsi="Calibri Light" w:cs="Times New Roman"/>
      <w:b/>
      <w:bCs/>
      <w:color w:val="2E74B5"/>
      <w:sz w:val="28"/>
      <w:szCs w:val="28"/>
    </w:rPr>
  </w:style>
  <w:style w:type="paragraph" w:styleId="BodyTextIndent3">
    <w:name w:val="Body Text Indent 3"/>
    <w:basedOn w:val="Normal"/>
    <w:link w:val="BodyTextIndent3Char"/>
    <w:uiPriority w:val="99"/>
    <w:unhideWhenUsed/>
    <w:rsid w:val="005E18ED"/>
    <w:pPr>
      <w:spacing w:after="120" w:line="276" w:lineRule="auto"/>
      <w:ind w:left="360"/>
    </w:pPr>
    <w:rPr>
      <w:rFonts w:ascii="Calibri" w:eastAsia="Calibri" w:hAnsi="Calibri" w:cs="Arial"/>
      <w:sz w:val="16"/>
      <w:szCs w:val="16"/>
      <w:lang w:val="en-GB"/>
    </w:rPr>
  </w:style>
  <w:style w:type="character" w:customStyle="1" w:styleId="BodyTextIndent3Char">
    <w:name w:val="Body Text Indent 3 Char"/>
    <w:link w:val="BodyTextIndent3"/>
    <w:uiPriority w:val="99"/>
    <w:rsid w:val="005E18ED"/>
    <w:rPr>
      <w:rFonts w:ascii="Calibri" w:eastAsia="Calibri" w:hAnsi="Calibri" w:cs="Arial"/>
      <w:sz w:val="16"/>
      <w:szCs w:val="16"/>
      <w:lang w:val="en-GB"/>
    </w:rPr>
  </w:style>
  <w:style w:type="paragraph" w:customStyle="1" w:styleId="Default">
    <w:name w:val="Default"/>
    <w:rsid w:val="00853516"/>
    <w:pPr>
      <w:autoSpaceDE w:val="0"/>
      <w:autoSpaceDN w:val="0"/>
      <w:adjustRightInd w:val="0"/>
    </w:pPr>
    <w:rPr>
      <w:rFonts w:eastAsia="Calibri"/>
      <w:color w:val="000000"/>
      <w:sz w:val="24"/>
      <w:szCs w:val="24"/>
    </w:rPr>
  </w:style>
  <w:style w:type="paragraph" w:customStyle="1" w:styleId="CarCarChar">
    <w:name w:val="Car Car Char"/>
    <w:basedOn w:val="Heading2"/>
    <w:rsid w:val="00D84313"/>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ColorfulList-Accent1Char">
    <w:name w:val="Colorful List - Accent 1 Char"/>
    <w:aliases w:val="List Paragraph (numbered (a)) Char,WB Para Char,List Paragraph1 Char,Lapis Bulleted List Char,Dot pt Char,F5 List Paragraph Char,No Spacing1 Char,List Paragraph Char Char Char Char,Indicator Text Char,Numbered Para 1 Char"/>
    <w:link w:val="ColorfulList-Accent11"/>
    <w:uiPriority w:val="34"/>
    <w:qFormat/>
    <w:rsid w:val="00D84313"/>
    <w:rPr>
      <w:sz w:val="24"/>
      <w:szCs w:val="24"/>
    </w:rPr>
  </w:style>
  <w:style w:type="character" w:customStyle="1" w:styleId="Heading2Char">
    <w:name w:val="Heading 2 Char"/>
    <w:link w:val="Heading2"/>
    <w:semiHidden/>
    <w:rsid w:val="00D84313"/>
    <w:rPr>
      <w:rFonts w:ascii="Calibri Light" w:eastAsia="MS Gothic" w:hAnsi="Calibri Light" w:cs="Times New Roman"/>
      <w:b/>
      <w:bCs/>
      <w:color w:val="5B9BD5"/>
      <w:sz w:val="26"/>
      <w:szCs w:val="26"/>
    </w:rPr>
  </w:style>
  <w:style w:type="paragraph" w:customStyle="1" w:styleId="CarCarChar2">
    <w:name w:val="Car Car Char2"/>
    <w:basedOn w:val="Heading2"/>
    <w:rsid w:val="00E14541"/>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paragraph" w:customStyle="1" w:styleId="CarCarChar1">
    <w:name w:val="Car Car Char1"/>
    <w:basedOn w:val="Heading2"/>
    <w:rsid w:val="004942FB"/>
    <w:pPr>
      <w:keepLines w:val="0"/>
      <w:pageBreakBefore/>
      <w:tabs>
        <w:tab w:val="left" w:pos="850"/>
        <w:tab w:val="left" w:pos="1191"/>
        <w:tab w:val="left" w:pos="1531"/>
      </w:tabs>
      <w:spacing w:before="120" w:after="120"/>
      <w:jc w:val="center"/>
    </w:pPr>
    <w:rPr>
      <w:rFonts w:ascii="Tahoma" w:eastAsia="Times New Roman" w:hAnsi="Tahoma" w:cs="Tahoma"/>
      <w:bCs w:val="0"/>
      <w:color w:val="FFFFFF"/>
      <w:spacing w:val="20"/>
      <w:sz w:val="22"/>
      <w:szCs w:val="22"/>
      <w:lang w:val="en-GB" w:eastAsia="zh-CN"/>
    </w:rPr>
  </w:style>
  <w:style w:type="character" w:customStyle="1" w:styleId="HeaderChar">
    <w:name w:val="Header Char"/>
    <w:link w:val="Header"/>
    <w:rsid w:val="006861F9"/>
    <w:rPr>
      <w:sz w:val="24"/>
      <w:szCs w:val="24"/>
    </w:rPr>
  </w:style>
  <w:style w:type="character" w:customStyle="1" w:styleId="FooterChar">
    <w:name w:val="Footer Char"/>
    <w:link w:val="Footer"/>
    <w:uiPriority w:val="99"/>
    <w:rsid w:val="002979FA"/>
    <w:rPr>
      <w:sz w:val="24"/>
      <w:szCs w:val="24"/>
    </w:rPr>
  </w:style>
  <w:style w:type="paragraph" w:customStyle="1" w:styleId="SM">
    <w:name w:val="__S_M"/>
    <w:basedOn w:val="Normal"/>
    <w:next w:val="Normal"/>
    <w:rsid w:val="00621D8E"/>
    <w:pPr>
      <w:keepNext/>
      <w:keepLines/>
      <w:tabs>
        <w:tab w:val="right" w:leader="dot" w:pos="360"/>
      </w:tabs>
      <w:suppressAutoHyphens/>
      <w:spacing w:line="390" w:lineRule="exact"/>
      <w:ind w:left="1267" w:right="1267"/>
      <w:outlineLvl w:val="0"/>
    </w:pPr>
    <w:rPr>
      <w:rFonts w:eastAsia="Calibri"/>
      <w:b/>
      <w:spacing w:val="-4"/>
      <w:w w:val="98"/>
      <w:kern w:val="14"/>
      <w:sz w:val="40"/>
      <w:szCs w:val="20"/>
      <w:lang w:val="en-GB"/>
    </w:rPr>
  </w:style>
  <w:style w:type="paragraph" w:customStyle="1" w:styleId="ReleaseDate">
    <w:name w:val="Release Date"/>
    <w:next w:val="Footer"/>
    <w:rsid w:val="00621D8E"/>
    <w:rPr>
      <w:rFonts w:eastAsia="Calibri"/>
      <w:spacing w:val="4"/>
      <w:w w:val="103"/>
      <w:kern w:val="14"/>
      <w:lang w:val="en-GB"/>
    </w:rPr>
  </w:style>
  <w:style w:type="paragraph" w:customStyle="1" w:styleId="normal2">
    <w:name w:val="normal 2"/>
    <w:basedOn w:val="Normal"/>
    <w:link w:val="normal2Char"/>
    <w:qFormat/>
    <w:rsid w:val="004E0E75"/>
    <w:pPr>
      <w:numPr>
        <w:numId w:val="2"/>
      </w:numPr>
      <w:tabs>
        <w:tab w:val="left" w:pos="1620"/>
      </w:tabs>
      <w:autoSpaceDE w:val="0"/>
      <w:autoSpaceDN w:val="0"/>
      <w:adjustRightInd w:val="0"/>
      <w:spacing w:before="120"/>
      <w:ind w:right="446"/>
      <w:jc w:val="both"/>
    </w:pPr>
    <w:rPr>
      <w:w w:val="103"/>
      <w:sz w:val="20"/>
      <w:szCs w:val="20"/>
      <w:lang w:val="en-GB"/>
    </w:rPr>
  </w:style>
  <w:style w:type="character" w:customStyle="1" w:styleId="normal2Char">
    <w:name w:val="normal 2 Char"/>
    <w:link w:val="normal2"/>
    <w:rsid w:val="00F20A98"/>
    <w:rPr>
      <w:w w:val="103"/>
      <w:lang w:val="en-GB"/>
    </w:rPr>
  </w:style>
  <w:style w:type="paragraph" w:customStyle="1" w:styleId="bulletnormal">
    <w:name w:val="bullet normal"/>
    <w:basedOn w:val="Normal"/>
    <w:link w:val="bulletnormalChar"/>
    <w:qFormat/>
    <w:rsid w:val="004E0E75"/>
    <w:pPr>
      <w:numPr>
        <w:numId w:val="3"/>
      </w:numPr>
      <w:ind w:right="86"/>
    </w:pPr>
    <w:rPr>
      <w:rFonts w:eastAsia="ヒラギノ角ゴ Pro W3"/>
      <w:color w:val="000000"/>
      <w:sz w:val="20"/>
      <w:szCs w:val="20"/>
    </w:rPr>
  </w:style>
  <w:style w:type="character" w:customStyle="1" w:styleId="bulletnormalChar">
    <w:name w:val="bullet normal Char"/>
    <w:link w:val="bulletnormal"/>
    <w:rsid w:val="00F20A98"/>
    <w:rPr>
      <w:rFonts w:eastAsia="ヒラギノ角ゴ Pro W3"/>
      <w:color w:val="000000"/>
    </w:rPr>
  </w:style>
  <w:style w:type="character" w:customStyle="1" w:styleId="apple-converted-space">
    <w:name w:val="apple-converted-space"/>
    <w:rsid w:val="004E0E75"/>
  </w:style>
  <w:style w:type="paragraph" w:styleId="Revision">
    <w:name w:val="Revision"/>
    <w:hidden/>
    <w:uiPriority w:val="99"/>
    <w:semiHidden/>
    <w:rsid w:val="004E0E75"/>
    <w:rPr>
      <w:sz w:val="24"/>
      <w:szCs w:val="24"/>
    </w:rPr>
  </w:style>
  <w:style w:type="paragraph" w:styleId="ListParagraph">
    <w:name w:val="List Paragraph"/>
    <w:basedOn w:val="Normal"/>
    <w:uiPriority w:val="34"/>
    <w:qFormat/>
    <w:rsid w:val="00A302A6"/>
    <w:pPr>
      <w:ind w:left="720"/>
      <w:contextualSpacing/>
    </w:pPr>
  </w:style>
  <w:style w:type="character" w:customStyle="1" w:styleId="preferred">
    <w:name w:val="preferred"/>
    <w:basedOn w:val="DefaultParagraphFont"/>
    <w:rsid w:val="00590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375803">
      <w:bodyDiv w:val="1"/>
      <w:marLeft w:val="0"/>
      <w:marRight w:val="0"/>
      <w:marTop w:val="0"/>
      <w:marBottom w:val="0"/>
      <w:divBdr>
        <w:top w:val="none" w:sz="0" w:space="0" w:color="auto"/>
        <w:left w:val="none" w:sz="0" w:space="0" w:color="auto"/>
        <w:bottom w:val="none" w:sz="0" w:space="0" w:color="auto"/>
        <w:right w:val="none" w:sz="0" w:space="0" w:color="auto"/>
      </w:divBdr>
    </w:div>
    <w:div w:id="946233046">
      <w:bodyDiv w:val="1"/>
      <w:marLeft w:val="0"/>
      <w:marRight w:val="0"/>
      <w:marTop w:val="0"/>
      <w:marBottom w:val="0"/>
      <w:divBdr>
        <w:top w:val="none" w:sz="0" w:space="0" w:color="auto"/>
        <w:left w:val="none" w:sz="0" w:space="0" w:color="auto"/>
        <w:bottom w:val="none" w:sz="0" w:space="0" w:color="auto"/>
        <w:right w:val="none" w:sz="0" w:space="0" w:color="auto"/>
      </w:divBdr>
    </w:div>
    <w:div w:id="960724271">
      <w:bodyDiv w:val="1"/>
      <w:marLeft w:val="0"/>
      <w:marRight w:val="0"/>
      <w:marTop w:val="0"/>
      <w:marBottom w:val="0"/>
      <w:divBdr>
        <w:top w:val="none" w:sz="0" w:space="0" w:color="auto"/>
        <w:left w:val="none" w:sz="0" w:space="0" w:color="auto"/>
        <w:bottom w:val="none" w:sz="0" w:space="0" w:color="auto"/>
        <w:right w:val="none" w:sz="0" w:space="0" w:color="auto"/>
      </w:divBdr>
    </w:div>
    <w:div w:id="165212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C6135-9289-4724-861A-08F4E4CF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4741</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DP/2015/20</vt:lpstr>
    </vt:vector>
  </TitlesOfParts>
  <Company>UNDP</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DP/2015/20</dc:title>
  <dc:subject/>
  <dc:creator>Martine Therer</dc:creator>
  <cp:keywords>15-05713</cp:keywords>
  <dc:description/>
  <cp:lastModifiedBy>Kristina Leuchowius</cp:lastModifiedBy>
  <cp:revision>2</cp:revision>
  <cp:lastPrinted>2016-11-15T19:51:00Z</cp:lastPrinted>
  <dcterms:created xsi:type="dcterms:W3CDTF">2017-01-08T22:56:00Z</dcterms:created>
  <dcterms:modified xsi:type="dcterms:W3CDTF">2017-01-08T22:56:00Z</dcterms:modified>
</cp:coreProperties>
</file>