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F0A7" w14:textId="7BAA26D8" w:rsidR="00E85E5F" w:rsidRPr="003F6410" w:rsidRDefault="003F6410" w:rsidP="003F6410">
      <w:pPr>
        <w:spacing w:line="20" w:lineRule="exact"/>
        <w:rPr>
          <w:sz w:val="2"/>
        </w:rPr>
      </w:pPr>
      <w:r>
        <w:rPr>
          <w:rStyle w:val="CommentReference"/>
          <w:spacing w:val="4"/>
          <w:w w:val="103"/>
          <w:kern w:val="14"/>
          <w:szCs w:val="20"/>
        </w:rPr>
        <w:commentReference w:id="0"/>
      </w:r>
      <w:bookmarkStart w:id="1" w:name="_GoBack"/>
      <w:bookmarkEnd w:id="1"/>
    </w:p>
    <w:p w14:paraId="49A12A20" w14:textId="77777777" w:rsidR="003F6410" w:rsidRDefault="003F6410" w:rsidP="00E85E5F">
      <w:pPr>
        <w:rPr>
          <w:sz w:val="2"/>
        </w:rPr>
      </w:pPr>
    </w:p>
    <w:p w14:paraId="4EC9A339" w14:textId="77777777" w:rsidR="007A35FA" w:rsidRPr="007A35FA" w:rsidRDefault="007A35FA" w:rsidP="007A35FA">
      <w:pPr>
        <w:spacing w:line="20" w:lineRule="exact"/>
        <w:rPr>
          <w:sz w:val="2"/>
        </w:rPr>
        <w:sectPr w:rsidR="007A35FA" w:rsidRPr="007A35FA" w:rsidSect="00BD1D2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742" w:right="1200" w:bottom="1898" w:left="1200" w:header="576" w:footer="878" w:gutter="0"/>
          <w:pgNumType w:start="1"/>
          <w:cols w:space="720"/>
          <w:noEndnote/>
          <w:titlePg/>
          <w:docGrid w:linePitch="326"/>
        </w:sectPr>
      </w:pPr>
    </w:p>
    <w:p w14:paraId="29B80CC3" w14:textId="77777777" w:rsidR="00AD3007" w:rsidRPr="006871EC" w:rsidRDefault="00AD3007" w:rsidP="00AD3007">
      <w:pPr>
        <w:tabs>
          <w:tab w:val="left" w:pos="1080"/>
        </w:tabs>
        <w:rPr>
          <w:b/>
          <w:sz w:val="20"/>
          <w:szCs w:val="20"/>
        </w:rPr>
      </w:pPr>
      <w:r w:rsidRPr="006871EC">
        <w:rPr>
          <w:b/>
          <w:sz w:val="20"/>
          <w:szCs w:val="20"/>
        </w:rPr>
        <w:t>Second regular session 20</w:t>
      </w:r>
      <w:r w:rsidR="000A249E" w:rsidRPr="006871EC">
        <w:rPr>
          <w:b/>
          <w:sz w:val="20"/>
          <w:szCs w:val="20"/>
        </w:rPr>
        <w:t>17</w:t>
      </w:r>
    </w:p>
    <w:p w14:paraId="3C67C9E7" w14:textId="77777777" w:rsidR="00BD1D2F" w:rsidRPr="00BD1D2F" w:rsidRDefault="00BD1D2F" w:rsidP="00BD1D2F">
      <w:pPr>
        <w:tabs>
          <w:tab w:val="left" w:pos="1080"/>
        </w:tabs>
        <w:spacing w:line="20" w:lineRule="exact"/>
        <w:rPr>
          <w:sz w:val="2"/>
          <w:szCs w:val="20"/>
        </w:rPr>
      </w:pPr>
    </w:p>
    <w:p w14:paraId="14CE635E" w14:textId="61D82747" w:rsidR="00AD3007" w:rsidRPr="006871EC" w:rsidRDefault="00BB4116" w:rsidP="00AD3007">
      <w:pPr>
        <w:tabs>
          <w:tab w:val="left" w:pos="1080"/>
        </w:tabs>
        <w:rPr>
          <w:sz w:val="20"/>
          <w:szCs w:val="20"/>
        </w:rPr>
      </w:pPr>
      <w:r w:rsidRPr="006871EC">
        <w:rPr>
          <w:sz w:val="20"/>
          <w:szCs w:val="20"/>
        </w:rPr>
        <w:t>5</w:t>
      </w:r>
      <w:r w:rsidR="00AD3007" w:rsidRPr="006871EC">
        <w:rPr>
          <w:sz w:val="20"/>
          <w:szCs w:val="20"/>
        </w:rPr>
        <w:t xml:space="preserve"> - </w:t>
      </w:r>
      <w:r w:rsidR="006871EC">
        <w:rPr>
          <w:sz w:val="20"/>
          <w:szCs w:val="20"/>
        </w:rPr>
        <w:t>11</w:t>
      </w:r>
      <w:r w:rsidR="00AD3007" w:rsidRPr="006871EC">
        <w:rPr>
          <w:sz w:val="20"/>
          <w:szCs w:val="20"/>
        </w:rPr>
        <w:t xml:space="preserve"> September 201</w:t>
      </w:r>
      <w:r w:rsidRPr="006871EC">
        <w:rPr>
          <w:sz w:val="20"/>
          <w:szCs w:val="20"/>
        </w:rPr>
        <w:t>7</w:t>
      </w:r>
      <w:r w:rsidR="00AD3007" w:rsidRPr="006871EC">
        <w:rPr>
          <w:sz w:val="20"/>
          <w:szCs w:val="20"/>
        </w:rPr>
        <w:t>, New York</w:t>
      </w:r>
    </w:p>
    <w:p w14:paraId="4CC6CE69" w14:textId="435EE8F2" w:rsidR="00AD3007" w:rsidRPr="006871EC" w:rsidRDefault="00AD3007" w:rsidP="00AD3007">
      <w:pPr>
        <w:pStyle w:val="H56"/>
        <w:keepNext w:val="0"/>
        <w:keepLines w:val="0"/>
        <w:tabs>
          <w:tab w:val="left" w:pos="1080"/>
        </w:tabs>
        <w:suppressAutoHyphens w:val="0"/>
        <w:spacing w:line="240" w:lineRule="auto"/>
        <w:outlineLvl w:val="9"/>
        <w:rPr>
          <w:spacing w:val="0"/>
          <w:w w:val="100"/>
          <w:kern w:val="0"/>
        </w:rPr>
      </w:pPr>
      <w:r w:rsidRPr="006871EC">
        <w:rPr>
          <w:spacing w:val="0"/>
          <w:w w:val="100"/>
          <w:kern w:val="0"/>
        </w:rPr>
        <w:t xml:space="preserve">Item </w:t>
      </w:r>
      <w:r w:rsidR="006871EC">
        <w:rPr>
          <w:spacing w:val="0"/>
          <w:w w:val="100"/>
          <w:kern w:val="0"/>
        </w:rPr>
        <w:t>5</w:t>
      </w:r>
      <w:r w:rsidRPr="006871EC">
        <w:rPr>
          <w:spacing w:val="0"/>
          <w:w w:val="100"/>
          <w:kern w:val="0"/>
        </w:rPr>
        <w:t xml:space="preserve"> of the provisional agenda</w:t>
      </w:r>
    </w:p>
    <w:p w14:paraId="01E97401" w14:textId="77777777" w:rsidR="00AD3007" w:rsidRPr="006871EC" w:rsidRDefault="00AD3007" w:rsidP="00AD3007">
      <w:pPr>
        <w:pStyle w:val="Heading4"/>
        <w:tabs>
          <w:tab w:val="left" w:pos="1080"/>
        </w:tabs>
        <w:rPr>
          <w:lang w:val="en-GB"/>
        </w:rPr>
      </w:pPr>
      <w:r w:rsidRPr="006871EC">
        <w:rPr>
          <w:lang w:val="en-GB"/>
        </w:rPr>
        <w:t>Evaluation</w:t>
      </w:r>
    </w:p>
    <w:p w14:paraId="74140661" w14:textId="77777777" w:rsidR="00AD3007" w:rsidRPr="00C4626B" w:rsidRDefault="00AD3007" w:rsidP="00AD3007">
      <w:pPr>
        <w:tabs>
          <w:tab w:val="left" w:pos="1080"/>
        </w:tabs>
        <w:spacing w:line="120" w:lineRule="exact"/>
      </w:pPr>
    </w:p>
    <w:p w14:paraId="3F45A409" w14:textId="77777777" w:rsidR="00AD3007" w:rsidRPr="00C4626B" w:rsidRDefault="00AD3007" w:rsidP="00AD3007">
      <w:pPr>
        <w:tabs>
          <w:tab w:val="left" w:pos="1080"/>
        </w:tabs>
        <w:spacing w:line="120" w:lineRule="exact"/>
      </w:pPr>
    </w:p>
    <w:p w14:paraId="6DB2D44B" w14:textId="77777777" w:rsidR="00AD3007" w:rsidRPr="00C4626B" w:rsidRDefault="00AD3007" w:rsidP="00AD3007">
      <w:pPr>
        <w:tabs>
          <w:tab w:val="left" w:pos="1080"/>
        </w:tabs>
        <w:spacing w:line="120" w:lineRule="exact"/>
      </w:pPr>
    </w:p>
    <w:p w14:paraId="00873816" w14:textId="77777777" w:rsidR="00AD3007" w:rsidRDefault="00AD3007" w:rsidP="0079519A">
      <w:pPr>
        <w:pStyle w:val="HCh"/>
        <w:tabs>
          <w:tab w:val="clear" w:pos="1267"/>
          <w:tab w:val="left" w:pos="720"/>
        </w:tabs>
        <w:ind w:left="720" w:right="1260" w:hanging="720"/>
        <w:rPr>
          <w:sz w:val="20"/>
        </w:rPr>
      </w:pPr>
      <w:r>
        <w:tab/>
      </w:r>
      <w:r>
        <w:tab/>
      </w:r>
      <w:r w:rsidRPr="00C4626B">
        <w:t xml:space="preserve">Management response to </w:t>
      </w:r>
      <w:r>
        <w:t xml:space="preserve">the </w:t>
      </w:r>
      <w:r w:rsidR="009525FF">
        <w:t xml:space="preserve">evaluation </w:t>
      </w:r>
      <w:r w:rsidR="00BB4116">
        <w:t xml:space="preserve">of the Strategic Plan, </w:t>
      </w:r>
      <w:r w:rsidR="009525FF">
        <w:t xml:space="preserve">global </w:t>
      </w:r>
      <w:r w:rsidR="004C47C1">
        <w:t xml:space="preserve">programme </w:t>
      </w:r>
      <w:r w:rsidR="00BB4116">
        <w:t xml:space="preserve">and </w:t>
      </w:r>
      <w:r w:rsidR="009525FF">
        <w:t xml:space="preserve">regional </w:t>
      </w:r>
      <w:r w:rsidR="004C47C1">
        <w:t>programmes</w:t>
      </w:r>
      <w:r w:rsidR="009525FF">
        <w:t>,</w:t>
      </w:r>
      <w:r w:rsidR="00BB4116">
        <w:t xml:space="preserve"> 2014-2017</w:t>
      </w:r>
    </w:p>
    <w:p w14:paraId="5E7F5AC3" w14:textId="77777777" w:rsidR="00AD3007" w:rsidRDefault="00AD3007" w:rsidP="00AD3007">
      <w:pPr>
        <w:tabs>
          <w:tab w:val="left" w:pos="1080"/>
        </w:tabs>
        <w:spacing w:line="120" w:lineRule="exact"/>
        <w:ind w:right="1030"/>
        <w:rPr>
          <w:sz w:val="10"/>
        </w:rPr>
      </w:pPr>
    </w:p>
    <w:p w14:paraId="56C9E293" w14:textId="77777777" w:rsidR="00AD3007" w:rsidRPr="002929FA" w:rsidRDefault="00AD3007" w:rsidP="00AD3007">
      <w:pPr>
        <w:tabs>
          <w:tab w:val="left" w:pos="1080"/>
        </w:tabs>
        <w:spacing w:line="120" w:lineRule="exact"/>
        <w:ind w:right="1030"/>
        <w:rPr>
          <w:sz w:val="10"/>
        </w:rPr>
      </w:pPr>
    </w:p>
    <w:p w14:paraId="1A0610C0" w14:textId="77777777" w:rsidR="00AD3007" w:rsidRPr="00AD3007" w:rsidRDefault="00AD3007" w:rsidP="00AD3007">
      <w:pPr>
        <w:pStyle w:val="SingleTxt"/>
        <w:tabs>
          <w:tab w:val="clear" w:pos="1267"/>
          <w:tab w:val="left" w:pos="720"/>
          <w:tab w:val="left" w:pos="1080"/>
          <w:tab w:val="left" w:pos="1620"/>
        </w:tabs>
        <w:spacing w:after="0" w:line="120" w:lineRule="exact"/>
        <w:ind w:right="1210" w:firstLine="173"/>
        <w:rPr>
          <w:b/>
          <w:sz w:val="10"/>
          <w:szCs w:val="24"/>
        </w:rPr>
      </w:pPr>
    </w:p>
    <w:p w14:paraId="75BD4613" w14:textId="77777777" w:rsidR="00AD3007" w:rsidRDefault="00AD3007" w:rsidP="00691C7E">
      <w:pPr>
        <w:pStyle w:val="SingleTxt"/>
        <w:tabs>
          <w:tab w:val="clear" w:pos="1267"/>
          <w:tab w:val="left" w:pos="720"/>
          <w:tab w:val="left" w:pos="1080"/>
          <w:tab w:val="left" w:pos="1620"/>
        </w:tabs>
        <w:ind w:left="720" w:right="1210"/>
        <w:rPr>
          <w:b/>
          <w:sz w:val="24"/>
          <w:szCs w:val="24"/>
        </w:rPr>
      </w:pPr>
      <w:r>
        <w:rPr>
          <w:b/>
          <w:sz w:val="24"/>
          <w:szCs w:val="24"/>
        </w:rPr>
        <w:t>C</w:t>
      </w:r>
      <w:r w:rsidR="00691C7E">
        <w:rPr>
          <w:b/>
          <w:sz w:val="24"/>
          <w:szCs w:val="24"/>
        </w:rPr>
        <w:t xml:space="preserve">ontext, </w:t>
      </w:r>
      <w:r w:rsidRPr="007F1CFC">
        <w:rPr>
          <w:b/>
          <w:sz w:val="24"/>
          <w:szCs w:val="24"/>
        </w:rPr>
        <w:t xml:space="preserve">background </w:t>
      </w:r>
      <w:r w:rsidR="00691C7E">
        <w:rPr>
          <w:b/>
          <w:sz w:val="24"/>
          <w:szCs w:val="24"/>
        </w:rPr>
        <w:t>and findings</w:t>
      </w:r>
    </w:p>
    <w:p w14:paraId="79364D2C" w14:textId="77777777" w:rsidR="00691C7E" w:rsidRPr="006871EC" w:rsidRDefault="00691C7E" w:rsidP="0092249A">
      <w:pPr>
        <w:pStyle w:val="SingleTxt"/>
        <w:tabs>
          <w:tab w:val="clear" w:pos="1267"/>
          <w:tab w:val="left" w:pos="720"/>
          <w:tab w:val="left" w:pos="1080"/>
          <w:tab w:val="left" w:pos="1620"/>
        </w:tabs>
        <w:ind w:left="720" w:right="1210"/>
        <w:rPr>
          <w:b/>
        </w:rPr>
      </w:pPr>
    </w:p>
    <w:p w14:paraId="333B7E02" w14:textId="1978BA3B" w:rsidR="001651D6" w:rsidRPr="006871EC" w:rsidRDefault="0079519A" w:rsidP="003241F9">
      <w:pPr>
        <w:pStyle w:val="ListParagraph"/>
        <w:numPr>
          <w:ilvl w:val="0"/>
          <w:numId w:val="10"/>
        </w:numPr>
        <w:spacing w:after="120"/>
        <w:ind w:right="750" w:firstLine="0"/>
        <w:jc w:val="both"/>
        <w:rPr>
          <w:rFonts w:eastAsiaTheme="minorHAnsi"/>
          <w:spacing w:val="4"/>
          <w:w w:val="103"/>
          <w:kern w:val="14"/>
          <w:sz w:val="20"/>
          <w:szCs w:val="20"/>
        </w:rPr>
      </w:pPr>
      <w:r w:rsidRPr="006871EC">
        <w:rPr>
          <w:sz w:val="20"/>
          <w:szCs w:val="20"/>
        </w:rPr>
        <w:t xml:space="preserve">In accordance with </w:t>
      </w:r>
      <w:r w:rsidR="00B75B89" w:rsidRPr="006871EC">
        <w:rPr>
          <w:sz w:val="20"/>
          <w:szCs w:val="20"/>
        </w:rPr>
        <w:t>the</w:t>
      </w:r>
      <w:r w:rsidRPr="006871EC">
        <w:rPr>
          <w:sz w:val="20"/>
          <w:szCs w:val="20"/>
        </w:rPr>
        <w:t xml:space="preserve"> </w:t>
      </w:r>
      <w:r w:rsidR="009525FF" w:rsidRPr="006871EC">
        <w:rPr>
          <w:sz w:val="20"/>
          <w:szCs w:val="20"/>
        </w:rPr>
        <w:t>medium</w:t>
      </w:r>
      <w:r w:rsidRPr="006871EC">
        <w:rPr>
          <w:sz w:val="20"/>
          <w:szCs w:val="20"/>
        </w:rPr>
        <w:t>-</w:t>
      </w:r>
      <w:r w:rsidR="009525FF" w:rsidRPr="006871EC">
        <w:rPr>
          <w:sz w:val="20"/>
          <w:szCs w:val="20"/>
        </w:rPr>
        <w:t xml:space="preserve">term evaluation plan for </w:t>
      </w:r>
      <w:r w:rsidR="00691C7E" w:rsidRPr="006871EC">
        <w:rPr>
          <w:sz w:val="20"/>
          <w:szCs w:val="20"/>
        </w:rPr>
        <w:t xml:space="preserve">2014-2017 endorsed by </w:t>
      </w:r>
      <w:r w:rsidR="009525FF" w:rsidRPr="006871EC">
        <w:rPr>
          <w:sz w:val="20"/>
          <w:szCs w:val="20"/>
        </w:rPr>
        <w:t xml:space="preserve">the </w:t>
      </w:r>
      <w:r w:rsidR="00691C7E" w:rsidRPr="006871EC">
        <w:rPr>
          <w:sz w:val="20"/>
          <w:szCs w:val="20"/>
        </w:rPr>
        <w:t xml:space="preserve">Executive Board </w:t>
      </w:r>
      <w:r w:rsidR="009525FF" w:rsidRPr="006871EC">
        <w:rPr>
          <w:sz w:val="20"/>
          <w:szCs w:val="20"/>
        </w:rPr>
        <w:t xml:space="preserve">in decision </w:t>
      </w:r>
      <w:r w:rsidRPr="006871EC">
        <w:rPr>
          <w:sz w:val="20"/>
          <w:szCs w:val="20"/>
        </w:rPr>
        <w:t xml:space="preserve">2014/4, </w:t>
      </w:r>
      <w:r w:rsidR="009525FF" w:rsidRPr="006871EC">
        <w:rPr>
          <w:sz w:val="20"/>
          <w:szCs w:val="20"/>
        </w:rPr>
        <w:t xml:space="preserve">in 2017 </w:t>
      </w:r>
      <w:r w:rsidRPr="006871EC">
        <w:rPr>
          <w:sz w:val="20"/>
          <w:szCs w:val="20"/>
        </w:rPr>
        <w:t xml:space="preserve">the Independent Evaluation Office (IEO) conducted </w:t>
      </w:r>
      <w:r w:rsidR="009525FF" w:rsidRPr="006871EC">
        <w:rPr>
          <w:sz w:val="20"/>
          <w:szCs w:val="20"/>
        </w:rPr>
        <w:t>an</w:t>
      </w:r>
      <w:r w:rsidRPr="006871EC">
        <w:rPr>
          <w:sz w:val="20"/>
          <w:szCs w:val="20"/>
        </w:rPr>
        <w:t xml:space="preserve"> </w:t>
      </w:r>
      <w:r w:rsidR="009525FF" w:rsidRPr="006871EC">
        <w:rPr>
          <w:sz w:val="20"/>
          <w:szCs w:val="20"/>
        </w:rPr>
        <w:t xml:space="preserve">evaluation </w:t>
      </w:r>
      <w:r w:rsidRPr="006871EC">
        <w:rPr>
          <w:sz w:val="20"/>
          <w:szCs w:val="20"/>
        </w:rPr>
        <w:t xml:space="preserve">of the Strategic Plan, </w:t>
      </w:r>
      <w:r w:rsidR="009525FF" w:rsidRPr="006871EC">
        <w:rPr>
          <w:sz w:val="20"/>
          <w:szCs w:val="20"/>
        </w:rPr>
        <w:t xml:space="preserve">global programme </w:t>
      </w:r>
      <w:r w:rsidRPr="006871EC">
        <w:rPr>
          <w:sz w:val="20"/>
          <w:szCs w:val="20"/>
        </w:rPr>
        <w:t xml:space="preserve">and </w:t>
      </w:r>
      <w:r w:rsidR="009525FF" w:rsidRPr="006871EC">
        <w:rPr>
          <w:sz w:val="20"/>
          <w:szCs w:val="20"/>
        </w:rPr>
        <w:t xml:space="preserve">regional programmes </w:t>
      </w:r>
      <w:r w:rsidR="00246DC2" w:rsidRPr="006871EC">
        <w:rPr>
          <w:sz w:val="20"/>
          <w:szCs w:val="20"/>
        </w:rPr>
        <w:t xml:space="preserve">to review UNDP </w:t>
      </w:r>
      <w:r w:rsidR="00B07BCC" w:rsidRPr="006871EC">
        <w:rPr>
          <w:sz w:val="20"/>
          <w:szCs w:val="20"/>
        </w:rPr>
        <w:t xml:space="preserve">development </w:t>
      </w:r>
      <w:r w:rsidR="00246DC2" w:rsidRPr="006871EC">
        <w:rPr>
          <w:sz w:val="20"/>
          <w:szCs w:val="20"/>
        </w:rPr>
        <w:t>results and</w:t>
      </w:r>
      <w:r w:rsidR="008C6DFD" w:rsidRPr="006871EC">
        <w:rPr>
          <w:sz w:val="20"/>
          <w:szCs w:val="20"/>
        </w:rPr>
        <w:t xml:space="preserve"> </w:t>
      </w:r>
      <w:r w:rsidR="00B75B89" w:rsidRPr="006871EC">
        <w:rPr>
          <w:sz w:val="20"/>
          <w:szCs w:val="20"/>
        </w:rPr>
        <w:t xml:space="preserve">inform </w:t>
      </w:r>
      <w:r w:rsidR="008C6DFD" w:rsidRPr="006871EC">
        <w:rPr>
          <w:sz w:val="20"/>
          <w:szCs w:val="20"/>
        </w:rPr>
        <w:t xml:space="preserve">the </w:t>
      </w:r>
      <w:r w:rsidR="009525FF" w:rsidRPr="006871EC">
        <w:rPr>
          <w:sz w:val="20"/>
          <w:szCs w:val="20"/>
        </w:rPr>
        <w:t>next strategic plan</w:t>
      </w:r>
      <w:r w:rsidRPr="006871EC">
        <w:rPr>
          <w:sz w:val="20"/>
          <w:szCs w:val="20"/>
        </w:rPr>
        <w:t xml:space="preserve">. The </w:t>
      </w:r>
      <w:r w:rsidR="009525FF" w:rsidRPr="006871EC">
        <w:rPr>
          <w:sz w:val="20"/>
          <w:szCs w:val="20"/>
        </w:rPr>
        <w:t xml:space="preserve">evaluation </w:t>
      </w:r>
      <w:r w:rsidRPr="006871EC">
        <w:rPr>
          <w:sz w:val="20"/>
          <w:szCs w:val="20"/>
        </w:rPr>
        <w:t xml:space="preserve">was preceded by the </w:t>
      </w:r>
      <w:r w:rsidR="009525FF" w:rsidRPr="006871EC">
        <w:rPr>
          <w:sz w:val="20"/>
          <w:szCs w:val="20"/>
        </w:rPr>
        <w:t xml:space="preserve">assessment of institutional effectiveness </w:t>
      </w:r>
      <w:r w:rsidR="00C96768" w:rsidRPr="006871EC">
        <w:rPr>
          <w:sz w:val="20"/>
          <w:szCs w:val="20"/>
        </w:rPr>
        <w:t>led</w:t>
      </w:r>
      <w:r w:rsidRPr="006871EC">
        <w:rPr>
          <w:sz w:val="20"/>
          <w:szCs w:val="20"/>
        </w:rPr>
        <w:t xml:space="preserve"> jointly by IEO and the Office for Audit and Investigations</w:t>
      </w:r>
      <w:r w:rsidR="0061620E" w:rsidRPr="006871EC">
        <w:rPr>
          <w:sz w:val="20"/>
          <w:szCs w:val="20"/>
        </w:rPr>
        <w:t xml:space="preserve"> (OAI)</w:t>
      </w:r>
      <w:r w:rsidR="009525FF" w:rsidRPr="006871EC">
        <w:rPr>
          <w:sz w:val="20"/>
          <w:szCs w:val="20"/>
        </w:rPr>
        <w:t xml:space="preserve">, the </w:t>
      </w:r>
      <w:r w:rsidRPr="006871EC">
        <w:rPr>
          <w:sz w:val="20"/>
          <w:szCs w:val="20"/>
        </w:rPr>
        <w:t xml:space="preserve">findings and recommendations </w:t>
      </w:r>
      <w:r w:rsidR="009525FF" w:rsidRPr="006871EC">
        <w:rPr>
          <w:sz w:val="20"/>
          <w:szCs w:val="20"/>
        </w:rPr>
        <w:t xml:space="preserve">of which </w:t>
      </w:r>
      <w:r w:rsidRPr="006871EC">
        <w:rPr>
          <w:sz w:val="20"/>
          <w:szCs w:val="20"/>
        </w:rPr>
        <w:t xml:space="preserve">were presented to the Executive Board </w:t>
      </w:r>
      <w:r w:rsidR="009525FF" w:rsidRPr="006871EC">
        <w:rPr>
          <w:sz w:val="20"/>
          <w:szCs w:val="20"/>
        </w:rPr>
        <w:t xml:space="preserve">at </w:t>
      </w:r>
      <w:r w:rsidRPr="006871EC">
        <w:rPr>
          <w:sz w:val="20"/>
          <w:szCs w:val="20"/>
        </w:rPr>
        <w:t xml:space="preserve">the 2017 </w:t>
      </w:r>
      <w:r w:rsidR="009525FF" w:rsidRPr="006871EC">
        <w:rPr>
          <w:sz w:val="20"/>
          <w:szCs w:val="20"/>
        </w:rPr>
        <w:t>annual session, with the management response</w:t>
      </w:r>
      <w:r w:rsidRPr="006871EC">
        <w:rPr>
          <w:sz w:val="20"/>
          <w:szCs w:val="20"/>
        </w:rPr>
        <w:t xml:space="preserve">. </w:t>
      </w:r>
    </w:p>
    <w:p w14:paraId="478D2573" w14:textId="77777777" w:rsidR="006871EC" w:rsidRPr="006871EC" w:rsidRDefault="006871EC" w:rsidP="003241F9">
      <w:pPr>
        <w:pStyle w:val="ListParagraph"/>
        <w:spacing w:after="120"/>
        <w:ind w:right="750"/>
        <w:jc w:val="both"/>
        <w:rPr>
          <w:rFonts w:eastAsiaTheme="minorHAnsi"/>
          <w:spacing w:val="4"/>
          <w:w w:val="103"/>
          <w:kern w:val="14"/>
          <w:sz w:val="12"/>
          <w:szCs w:val="12"/>
        </w:rPr>
      </w:pPr>
    </w:p>
    <w:p w14:paraId="0C5DD14C" w14:textId="33BF0E50" w:rsidR="00AD3007" w:rsidRPr="006871EC" w:rsidRDefault="0079519A" w:rsidP="003241F9">
      <w:pPr>
        <w:pStyle w:val="ListParagraph"/>
        <w:numPr>
          <w:ilvl w:val="0"/>
          <w:numId w:val="10"/>
        </w:numPr>
        <w:spacing w:after="120"/>
        <w:ind w:right="750" w:firstLine="0"/>
        <w:jc w:val="both"/>
        <w:rPr>
          <w:rFonts w:eastAsiaTheme="minorHAnsi"/>
          <w:spacing w:val="4"/>
          <w:w w:val="103"/>
          <w:kern w:val="14"/>
          <w:sz w:val="20"/>
          <w:szCs w:val="20"/>
        </w:rPr>
      </w:pPr>
      <w:r w:rsidRPr="006871EC">
        <w:rPr>
          <w:sz w:val="20"/>
          <w:szCs w:val="20"/>
        </w:rPr>
        <w:t xml:space="preserve">The </w:t>
      </w:r>
      <w:r w:rsidR="009525FF" w:rsidRPr="006871EC">
        <w:rPr>
          <w:sz w:val="20"/>
          <w:szCs w:val="20"/>
        </w:rPr>
        <w:t xml:space="preserve">evaluation </w:t>
      </w:r>
      <w:r w:rsidR="00246DC2" w:rsidRPr="006871EC">
        <w:rPr>
          <w:sz w:val="20"/>
          <w:szCs w:val="20"/>
        </w:rPr>
        <w:t xml:space="preserve">was guided by </w:t>
      </w:r>
      <w:r w:rsidR="005A6530" w:rsidRPr="006871EC">
        <w:rPr>
          <w:sz w:val="20"/>
          <w:szCs w:val="20"/>
        </w:rPr>
        <w:t>five</w:t>
      </w:r>
      <w:r w:rsidR="004E19A4" w:rsidRPr="006871EC">
        <w:rPr>
          <w:sz w:val="20"/>
          <w:szCs w:val="20"/>
        </w:rPr>
        <w:t xml:space="preserve"> parameters and corresponding criteria </w:t>
      </w:r>
      <w:r w:rsidR="000115C7" w:rsidRPr="006871EC">
        <w:rPr>
          <w:sz w:val="20"/>
          <w:szCs w:val="20"/>
        </w:rPr>
        <w:t>measuring</w:t>
      </w:r>
      <w:r w:rsidR="004E19A4" w:rsidRPr="006871EC">
        <w:rPr>
          <w:sz w:val="20"/>
          <w:szCs w:val="20"/>
        </w:rPr>
        <w:t xml:space="preserve"> </w:t>
      </w:r>
      <w:r w:rsidR="009525FF" w:rsidRPr="006871EC">
        <w:rPr>
          <w:sz w:val="20"/>
          <w:szCs w:val="20"/>
        </w:rPr>
        <w:t xml:space="preserve">the success of </w:t>
      </w:r>
      <w:r w:rsidR="004E19A4" w:rsidRPr="006871EC">
        <w:rPr>
          <w:sz w:val="20"/>
          <w:szCs w:val="20"/>
        </w:rPr>
        <w:t xml:space="preserve">UNDP </w:t>
      </w:r>
      <w:r w:rsidR="005A6530" w:rsidRPr="006871EC">
        <w:rPr>
          <w:sz w:val="20"/>
          <w:szCs w:val="20"/>
        </w:rPr>
        <w:t>in</w:t>
      </w:r>
      <w:r w:rsidR="009525FF" w:rsidRPr="006871EC">
        <w:rPr>
          <w:sz w:val="20"/>
          <w:szCs w:val="20"/>
        </w:rPr>
        <w:t>:</w:t>
      </w:r>
      <w:r w:rsidR="005A6530" w:rsidRPr="006871EC">
        <w:rPr>
          <w:sz w:val="20"/>
          <w:szCs w:val="20"/>
        </w:rPr>
        <w:t xml:space="preserve"> </w:t>
      </w:r>
      <w:r w:rsidR="004E19A4" w:rsidRPr="006871EC">
        <w:rPr>
          <w:sz w:val="20"/>
          <w:szCs w:val="20"/>
        </w:rPr>
        <w:t>(</w:t>
      </w:r>
      <w:r w:rsidR="009525FF" w:rsidRPr="006871EC">
        <w:rPr>
          <w:sz w:val="20"/>
          <w:szCs w:val="20"/>
        </w:rPr>
        <w:t>a</w:t>
      </w:r>
      <w:r w:rsidR="004E19A4" w:rsidRPr="006871EC">
        <w:rPr>
          <w:sz w:val="20"/>
          <w:szCs w:val="20"/>
        </w:rPr>
        <w:t xml:space="preserve">) </w:t>
      </w:r>
      <w:r w:rsidR="005A6530" w:rsidRPr="006871EC">
        <w:rPr>
          <w:sz w:val="20"/>
          <w:szCs w:val="20"/>
        </w:rPr>
        <w:t>identifying issues consistent with its mandate and strategically positioning the organization</w:t>
      </w:r>
      <w:r w:rsidR="009525FF" w:rsidRPr="006871EC">
        <w:rPr>
          <w:sz w:val="20"/>
          <w:szCs w:val="20"/>
        </w:rPr>
        <w:t xml:space="preserve">; </w:t>
      </w:r>
      <w:r w:rsidR="004E19A4" w:rsidRPr="006871EC">
        <w:rPr>
          <w:sz w:val="20"/>
          <w:szCs w:val="20"/>
        </w:rPr>
        <w:t>(</w:t>
      </w:r>
      <w:r w:rsidR="00A71E19" w:rsidRPr="006871EC">
        <w:rPr>
          <w:sz w:val="20"/>
          <w:szCs w:val="20"/>
        </w:rPr>
        <w:t>b</w:t>
      </w:r>
      <w:r w:rsidR="004E19A4" w:rsidRPr="006871EC">
        <w:rPr>
          <w:sz w:val="20"/>
          <w:szCs w:val="20"/>
        </w:rPr>
        <w:t xml:space="preserve">) </w:t>
      </w:r>
      <w:r w:rsidR="005A6530" w:rsidRPr="006871EC">
        <w:rPr>
          <w:sz w:val="20"/>
          <w:szCs w:val="20"/>
        </w:rPr>
        <w:t>contributing</w:t>
      </w:r>
      <w:r w:rsidR="004E19A4" w:rsidRPr="006871EC">
        <w:rPr>
          <w:sz w:val="20"/>
          <w:szCs w:val="20"/>
        </w:rPr>
        <w:t xml:space="preserve"> to national and subnational policies, institutional capacities and resources</w:t>
      </w:r>
      <w:r w:rsidR="00A71E19" w:rsidRPr="006871EC">
        <w:rPr>
          <w:sz w:val="20"/>
          <w:szCs w:val="20"/>
        </w:rPr>
        <w:t xml:space="preserve">; </w:t>
      </w:r>
      <w:r w:rsidR="004E19A4" w:rsidRPr="006871EC">
        <w:rPr>
          <w:sz w:val="20"/>
          <w:szCs w:val="20"/>
        </w:rPr>
        <w:t>(</w:t>
      </w:r>
      <w:r w:rsidR="00A71E19" w:rsidRPr="006871EC">
        <w:rPr>
          <w:sz w:val="20"/>
          <w:szCs w:val="20"/>
        </w:rPr>
        <w:t>c</w:t>
      </w:r>
      <w:r w:rsidR="004E19A4" w:rsidRPr="006871EC">
        <w:rPr>
          <w:sz w:val="20"/>
          <w:szCs w:val="20"/>
        </w:rPr>
        <w:t xml:space="preserve">) establishing and </w:t>
      </w:r>
      <w:r w:rsidR="008C6DFD" w:rsidRPr="006871EC">
        <w:rPr>
          <w:sz w:val="20"/>
          <w:szCs w:val="20"/>
        </w:rPr>
        <w:t>maintaining</w:t>
      </w:r>
      <w:r w:rsidR="004E19A4" w:rsidRPr="006871EC">
        <w:rPr>
          <w:sz w:val="20"/>
          <w:szCs w:val="20"/>
        </w:rPr>
        <w:t xml:space="preserve"> policy and interinstitutional dialogues</w:t>
      </w:r>
      <w:r w:rsidR="00A71E19" w:rsidRPr="006871EC">
        <w:rPr>
          <w:sz w:val="20"/>
          <w:szCs w:val="20"/>
        </w:rPr>
        <w:t xml:space="preserve">; </w:t>
      </w:r>
      <w:r w:rsidR="004E19A4" w:rsidRPr="006871EC">
        <w:rPr>
          <w:sz w:val="20"/>
          <w:szCs w:val="20"/>
        </w:rPr>
        <w:t>(</w:t>
      </w:r>
      <w:r w:rsidR="00A71E19" w:rsidRPr="006871EC">
        <w:rPr>
          <w:sz w:val="20"/>
          <w:szCs w:val="20"/>
        </w:rPr>
        <w:t>d</w:t>
      </w:r>
      <w:r w:rsidR="004E19A4" w:rsidRPr="006871EC">
        <w:rPr>
          <w:sz w:val="20"/>
          <w:szCs w:val="20"/>
        </w:rPr>
        <w:t xml:space="preserve">) mobilizing actors to address relevant development and </w:t>
      </w:r>
      <w:r w:rsidR="00A71E19" w:rsidRPr="006871EC">
        <w:rPr>
          <w:sz w:val="20"/>
          <w:szCs w:val="20"/>
        </w:rPr>
        <w:t>crisis-</w:t>
      </w:r>
      <w:r w:rsidR="004E19A4" w:rsidRPr="006871EC">
        <w:rPr>
          <w:sz w:val="20"/>
          <w:szCs w:val="20"/>
        </w:rPr>
        <w:t>related issues</w:t>
      </w:r>
      <w:r w:rsidR="00A71E19" w:rsidRPr="006871EC">
        <w:rPr>
          <w:sz w:val="20"/>
          <w:szCs w:val="20"/>
        </w:rPr>
        <w:t xml:space="preserve">; </w:t>
      </w:r>
      <w:r w:rsidR="004E19A4" w:rsidRPr="006871EC">
        <w:rPr>
          <w:sz w:val="20"/>
          <w:szCs w:val="20"/>
        </w:rPr>
        <w:t>and (</w:t>
      </w:r>
      <w:r w:rsidR="00A71E19" w:rsidRPr="006871EC">
        <w:rPr>
          <w:sz w:val="20"/>
          <w:szCs w:val="20"/>
        </w:rPr>
        <w:t>e</w:t>
      </w:r>
      <w:r w:rsidR="004E19A4" w:rsidRPr="006871EC">
        <w:rPr>
          <w:sz w:val="20"/>
          <w:szCs w:val="20"/>
        </w:rPr>
        <w:t xml:space="preserve">) enabling partnerships to accelerate development progress. </w:t>
      </w:r>
      <w:r w:rsidR="005A6530" w:rsidRPr="006871EC">
        <w:rPr>
          <w:sz w:val="20"/>
          <w:szCs w:val="20"/>
        </w:rPr>
        <w:t>Ten</w:t>
      </w:r>
      <w:r w:rsidR="004E19A4" w:rsidRPr="006871EC">
        <w:rPr>
          <w:sz w:val="20"/>
          <w:szCs w:val="20"/>
        </w:rPr>
        <w:t xml:space="preserve"> questions </w:t>
      </w:r>
      <w:r w:rsidR="005A6530" w:rsidRPr="006871EC">
        <w:rPr>
          <w:sz w:val="20"/>
          <w:szCs w:val="20"/>
        </w:rPr>
        <w:t xml:space="preserve">were used </w:t>
      </w:r>
      <w:r w:rsidR="00412A57" w:rsidRPr="006871EC">
        <w:rPr>
          <w:sz w:val="20"/>
          <w:szCs w:val="20"/>
        </w:rPr>
        <w:t xml:space="preserve">to measure </w:t>
      </w:r>
      <w:r w:rsidR="00A71E19" w:rsidRPr="006871EC">
        <w:rPr>
          <w:sz w:val="20"/>
          <w:szCs w:val="20"/>
        </w:rPr>
        <w:t>the</w:t>
      </w:r>
      <w:r w:rsidR="00412A57" w:rsidRPr="006871EC">
        <w:rPr>
          <w:sz w:val="20"/>
          <w:szCs w:val="20"/>
        </w:rPr>
        <w:t xml:space="preserve"> extent </w:t>
      </w:r>
      <w:r w:rsidR="00A71E19" w:rsidRPr="006871EC">
        <w:rPr>
          <w:sz w:val="20"/>
          <w:szCs w:val="20"/>
        </w:rPr>
        <w:t xml:space="preserve">to which </w:t>
      </w:r>
      <w:r w:rsidR="00412A57" w:rsidRPr="006871EC">
        <w:rPr>
          <w:sz w:val="20"/>
          <w:szCs w:val="20"/>
        </w:rPr>
        <w:t xml:space="preserve">UNDP </w:t>
      </w:r>
      <w:r w:rsidR="00A71E19" w:rsidRPr="006871EC">
        <w:rPr>
          <w:sz w:val="20"/>
          <w:szCs w:val="20"/>
        </w:rPr>
        <w:t xml:space="preserve">has </w:t>
      </w:r>
      <w:r w:rsidR="00412A57" w:rsidRPr="006871EC">
        <w:rPr>
          <w:sz w:val="20"/>
          <w:szCs w:val="20"/>
        </w:rPr>
        <w:t>succeeded to drive change in the areas prioritized by the Strategic Plan including in crisis and post-crisis settings</w:t>
      </w:r>
      <w:r w:rsidR="00A71E19" w:rsidRPr="006871EC">
        <w:rPr>
          <w:sz w:val="20"/>
          <w:szCs w:val="20"/>
        </w:rPr>
        <w:t xml:space="preserve">; </w:t>
      </w:r>
      <w:r w:rsidR="00412A57" w:rsidRPr="006871EC">
        <w:rPr>
          <w:sz w:val="20"/>
          <w:szCs w:val="20"/>
        </w:rPr>
        <w:t xml:space="preserve">what specific contributions </w:t>
      </w:r>
      <w:r w:rsidR="00A71E19" w:rsidRPr="006871EC">
        <w:rPr>
          <w:sz w:val="20"/>
          <w:szCs w:val="20"/>
        </w:rPr>
        <w:t xml:space="preserve">it </w:t>
      </w:r>
      <w:r w:rsidR="00412A57" w:rsidRPr="006871EC">
        <w:rPr>
          <w:sz w:val="20"/>
          <w:szCs w:val="20"/>
        </w:rPr>
        <w:t>made to strengthening national institutional and human capacities</w:t>
      </w:r>
      <w:r w:rsidR="00A71E19" w:rsidRPr="006871EC">
        <w:rPr>
          <w:sz w:val="20"/>
          <w:szCs w:val="20"/>
        </w:rPr>
        <w:t>,</w:t>
      </w:r>
      <w:r w:rsidR="00412A57" w:rsidRPr="006871EC">
        <w:rPr>
          <w:sz w:val="20"/>
          <w:szCs w:val="20"/>
        </w:rPr>
        <w:t xml:space="preserve"> </w:t>
      </w:r>
      <w:r w:rsidR="003E4AC2" w:rsidRPr="006871EC">
        <w:rPr>
          <w:sz w:val="20"/>
          <w:szCs w:val="20"/>
        </w:rPr>
        <w:t xml:space="preserve">situating norms and facilitating adoption and implementation of norms and practices </w:t>
      </w:r>
      <w:r w:rsidR="00412A57" w:rsidRPr="006871EC">
        <w:rPr>
          <w:sz w:val="20"/>
          <w:szCs w:val="20"/>
        </w:rPr>
        <w:t>in all types of contexts</w:t>
      </w:r>
      <w:r w:rsidR="00A71E19" w:rsidRPr="006871EC">
        <w:rPr>
          <w:sz w:val="20"/>
          <w:szCs w:val="20"/>
        </w:rPr>
        <w:t xml:space="preserve">; </w:t>
      </w:r>
      <w:r w:rsidR="00CB6DB9" w:rsidRPr="006871EC">
        <w:rPr>
          <w:sz w:val="20"/>
          <w:szCs w:val="20"/>
        </w:rPr>
        <w:t>what institutional measures were effective in enhancing UNDP performance</w:t>
      </w:r>
      <w:r w:rsidR="00A71E19" w:rsidRPr="006871EC">
        <w:rPr>
          <w:sz w:val="20"/>
          <w:szCs w:val="20"/>
        </w:rPr>
        <w:t xml:space="preserve">; and </w:t>
      </w:r>
      <w:r w:rsidR="00CB6DB9" w:rsidRPr="006871EC">
        <w:rPr>
          <w:sz w:val="20"/>
          <w:szCs w:val="20"/>
        </w:rPr>
        <w:t>what roles UNDP played in influencing global and regional dialogues</w:t>
      </w:r>
      <w:r w:rsidR="006B241D" w:rsidRPr="006871EC">
        <w:rPr>
          <w:sz w:val="20"/>
          <w:szCs w:val="20"/>
        </w:rPr>
        <w:t>, coordinating the U</w:t>
      </w:r>
      <w:r w:rsidR="00A71E19" w:rsidRPr="006871EC">
        <w:rPr>
          <w:sz w:val="20"/>
          <w:szCs w:val="20"/>
        </w:rPr>
        <w:t xml:space="preserve">nited </w:t>
      </w:r>
      <w:r w:rsidR="006B241D" w:rsidRPr="006871EC">
        <w:rPr>
          <w:sz w:val="20"/>
          <w:szCs w:val="20"/>
        </w:rPr>
        <w:t>N</w:t>
      </w:r>
      <w:r w:rsidR="00A71E19" w:rsidRPr="006871EC">
        <w:rPr>
          <w:sz w:val="20"/>
          <w:szCs w:val="20"/>
        </w:rPr>
        <w:t>ations system</w:t>
      </w:r>
      <w:r w:rsidR="006B241D" w:rsidRPr="006871EC">
        <w:rPr>
          <w:sz w:val="20"/>
          <w:szCs w:val="20"/>
        </w:rPr>
        <w:t xml:space="preserve"> </w:t>
      </w:r>
      <w:r w:rsidR="00CB6DB9" w:rsidRPr="006871EC">
        <w:rPr>
          <w:sz w:val="20"/>
          <w:szCs w:val="20"/>
        </w:rPr>
        <w:t xml:space="preserve">through the </w:t>
      </w:r>
      <w:r w:rsidR="00A71E19" w:rsidRPr="006871EC">
        <w:rPr>
          <w:sz w:val="20"/>
          <w:szCs w:val="20"/>
        </w:rPr>
        <w:t xml:space="preserve">resident coordinator </w:t>
      </w:r>
      <w:r w:rsidR="00CB6DB9" w:rsidRPr="006871EC">
        <w:rPr>
          <w:sz w:val="20"/>
          <w:szCs w:val="20"/>
        </w:rPr>
        <w:t>function and</w:t>
      </w:r>
      <w:r w:rsidR="006B241D" w:rsidRPr="006871EC">
        <w:rPr>
          <w:sz w:val="20"/>
          <w:szCs w:val="20"/>
        </w:rPr>
        <w:t xml:space="preserve"> establishing global, regional and </w:t>
      </w:r>
      <w:r w:rsidR="00A71E19" w:rsidRPr="006871EC">
        <w:rPr>
          <w:sz w:val="20"/>
          <w:szCs w:val="20"/>
        </w:rPr>
        <w:t>country-</w:t>
      </w:r>
      <w:r w:rsidR="006871EC">
        <w:rPr>
          <w:sz w:val="20"/>
          <w:szCs w:val="20"/>
        </w:rPr>
        <w:t>level partnerships.</w:t>
      </w:r>
    </w:p>
    <w:p w14:paraId="4394E423" w14:textId="77777777" w:rsidR="006871EC" w:rsidRPr="006871EC" w:rsidRDefault="006871EC" w:rsidP="003241F9">
      <w:pPr>
        <w:pStyle w:val="ListParagraph"/>
        <w:spacing w:after="120"/>
        <w:ind w:right="750"/>
        <w:jc w:val="both"/>
        <w:rPr>
          <w:rFonts w:eastAsiaTheme="minorHAnsi"/>
          <w:spacing w:val="4"/>
          <w:w w:val="103"/>
          <w:kern w:val="14"/>
          <w:sz w:val="12"/>
          <w:szCs w:val="12"/>
        </w:rPr>
      </w:pPr>
    </w:p>
    <w:p w14:paraId="0632F76D" w14:textId="3A3910FC" w:rsidR="0079519A" w:rsidRDefault="000A249E" w:rsidP="003241F9">
      <w:pPr>
        <w:pStyle w:val="ListParagraph"/>
        <w:numPr>
          <w:ilvl w:val="0"/>
          <w:numId w:val="10"/>
        </w:numPr>
        <w:spacing w:after="120"/>
        <w:ind w:right="750" w:firstLine="0"/>
        <w:jc w:val="both"/>
        <w:rPr>
          <w:sz w:val="20"/>
          <w:szCs w:val="20"/>
        </w:rPr>
      </w:pPr>
      <w:r w:rsidRPr="006871EC">
        <w:rPr>
          <w:sz w:val="20"/>
          <w:szCs w:val="20"/>
        </w:rPr>
        <w:t xml:space="preserve">UNDP </w:t>
      </w:r>
      <w:r w:rsidR="00A71E19" w:rsidRPr="006871EC">
        <w:rPr>
          <w:sz w:val="20"/>
          <w:szCs w:val="20"/>
        </w:rPr>
        <w:t xml:space="preserve">management </w:t>
      </w:r>
      <w:r w:rsidRPr="006871EC">
        <w:rPr>
          <w:sz w:val="20"/>
          <w:szCs w:val="20"/>
        </w:rPr>
        <w:t>note</w:t>
      </w:r>
      <w:r w:rsidR="00A71E19" w:rsidRPr="006871EC">
        <w:rPr>
          <w:sz w:val="20"/>
          <w:szCs w:val="20"/>
        </w:rPr>
        <w:t>s</w:t>
      </w:r>
      <w:r w:rsidRPr="006871EC">
        <w:rPr>
          <w:sz w:val="20"/>
          <w:szCs w:val="20"/>
        </w:rPr>
        <w:t xml:space="preserve"> </w:t>
      </w:r>
      <w:r w:rsidR="00523329" w:rsidRPr="006871EC">
        <w:rPr>
          <w:sz w:val="20"/>
          <w:szCs w:val="20"/>
        </w:rPr>
        <w:t xml:space="preserve">and appreciates </w:t>
      </w:r>
      <w:r w:rsidRPr="006871EC">
        <w:rPr>
          <w:sz w:val="20"/>
          <w:szCs w:val="20"/>
        </w:rPr>
        <w:t xml:space="preserve">the comprehensive </w:t>
      </w:r>
      <w:r w:rsidR="00A71E19" w:rsidRPr="006871EC">
        <w:rPr>
          <w:sz w:val="20"/>
          <w:szCs w:val="20"/>
        </w:rPr>
        <w:t xml:space="preserve">IEO </w:t>
      </w:r>
      <w:r w:rsidRPr="006871EC">
        <w:rPr>
          <w:sz w:val="20"/>
          <w:szCs w:val="20"/>
        </w:rPr>
        <w:t xml:space="preserve">approach </w:t>
      </w:r>
      <w:r w:rsidR="00A71E19" w:rsidRPr="006871EC">
        <w:rPr>
          <w:sz w:val="20"/>
          <w:szCs w:val="20"/>
        </w:rPr>
        <w:t xml:space="preserve">to </w:t>
      </w:r>
      <w:r w:rsidR="00156B2C" w:rsidRPr="006871EC">
        <w:rPr>
          <w:sz w:val="20"/>
          <w:szCs w:val="20"/>
        </w:rPr>
        <w:t>data and evidence collection</w:t>
      </w:r>
      <w:r w:rsidR="00683F70" w:rsidRPr="006871EC">
        <w:rPr>
          <w:sz w:val="20"/>
          <w:szCs w:val="20"/>
        </w:rPr>
        <w:t xml:space="preserve"> through</w:t>
      </w:r>
      <w:r w:rsidR="00156B2C" w:rsidRPr="006871EC">
        <w:rPr>
          <w:sz w:val="20"/>
          <w:szCs w:val="20"/>
        </w:rPr>
        <w:t xml:space="preserve"> </w:t>
      </w:r>
      <w:r w:rsidR="008C6DFD" w:rsidRPr="006871EC">
        <w:rPr>
          <w:sz w:val="20"/>
          <w:szCs w:val="20"/>
        </w:rPr>
        <w:t>over 30 country case studies, additional desk reviews and surveys</w:t>
      </w:r>
      <w:r w:rsidR="004018EE" w:rsidRPr="006871EC">
        <w:rPr>
          <w:sz w:val="20"/>
          <w:szCs w:val="20"/>
        </w:rPr>
        <w:t xml:space="preserve"> </w:t>
      </w:r>
      <w:r w:rsidR="00A71E19" w:rsidRPr="006871EC">
        <w:rPr>
          <w:sz w:val="20"/>
          <w:szCs w:val="20"/>
        </w:rPr>
        <w:t>and</w:t>
      </w:r>
      <w:r w:rsidR="00080355" w:rsidRPr="006871EC">
        <w:rPr>
          <w:sz w:val="20"/>
          <w:szCs w:val="20"/>
        </w:rPr>
        <w:t xml:space="preserve"> </w:t>
      </w:r>
      <w:r w:rsidR="00E23832" w:rsidRPr="006871EC">
        <w:rPr>
          <w:sz w:val="20"/>
          <w:szCs w:val="20"/>
        </w:rPr>
        <w:t xml:space="preserve">over </w:t>
      </w:r>
      <w:r w:rsidR="00FC6097" w:rsidRPr="006871EC">
        <w:rPr>
          <w:sz w:val="20"/>
          <w:szCs w:val="20"/>
        </w:rPr>
        <w:t>1,000 interviews</w:t>
      </w:r>
      <w:r w:rsidR="004018EE" w:rsidRPr="006871EC">
        <w:rPr>
          <w:sz w:val="20"/>
          <w:szCs w:val="20"/>
        </w:rPr>
        <w:t xml:space="preserve"> with </w:t>
      </w:r>
      <w:r w:rsidR="0098056A" w:rsidRPr="006871EC">
        <w:rPr>
          <w:sz w:val="20"/>
          <w:szCs w:val="20"/>
        </w:rPr>
        <w:t>UNDP staff, implementing partners</w:t>
      </w:r>
      <w:r w:rsidR="00FF7317" w:rsidRPr="006871EC">
        <w:rPr>
          <w:sz w:val="20"/>
          <w:szCs w:val="20"/>
        </w:rPr>
        <w:t xml:space="preserve"> and other </w:t>
      </w:r>
      <w:r w:rsidR="004018EE" w:rsidRPr="006871EC">
        <w:rPr>
          <w:sz w:val="20"/>
          <w:szCs w:val="20"/>
        </w:rPr>
        <w:t xml:space="preserve">relevant actors. </w:t>
      </w:r>
      <w:r w:rsidR="00FF7317" w:rsidRPr="006871EC">
        <w:rPr>
          <w:sz w:val="20"/>
          <w:szCs w:val="20"/>
        </w:rPr>
        <w:t>The</w:t>
      </w:r>
      <w:r w:rsidR="004018EE" w:rsidRPr="006871EC">
        <w:rPr>
          <w:sz w:val="20"/>
          <w:szCs w:val="20"/>
        </w:rPr>
        <w:t xml:space="preserve"> </w:t>
      </w:r>
      <w:r w:rsidR="00FF7317" w:rsidRPr="006871EC">
        <w:rPr>
          <w:sz w:val="20"/>
          <w:szCs w:val="20"/>
        </w:rPr>
        <w:t>report</w:t>
      </w:r>
      <w:r w:rsidR="004018EE" w:rsidRPr="006871EC">
        <w:rPr>
          <w:sz w:val="20"/>
          <w:szCs w:val="20"/>
        </w:rPr>
        <w:t xml:space="preserve"> also integrates </w:t>
      </w:r>
      <w:r w:rsidRPr="006871EC">
        <w:rPr>
          <w:sz w:val="20"/>
          <w:szCs w:val="20"/>
        </w:rPr>
        <w:t xml:space="preserve">findings and recommendations of </w:t>
      </w:r>
      <w:r w:rsidR="00E91BB8" w:rsidRPr="006871EC">
        <w:rPr>
          <w:sz w:val="20"/>
          <w:szCs w:val="20"/>
        </w:rPr>
        <w:t>the thematic evaluation</w:t>
      </w:r>
      <w:r w:rsidR="00196F27" w:rsidRPr="006871EC">
        <w:rPr>
          <w:sz w:val="20"/>
          <w:szCs w:val="20"/>
        </w:rPr>
        <w:t>s</w:t>
      </w:r>
      <w:r w:rsidR="00E91BB8" w:rsidRPr="006871EC">
        <w:rPr>
          <w:sz w:val="20"/>
          <w:szCs w:val="20"/>
        </w:rPr>
        <w:t xml:space="preserve"> conducted </w:t>
      </w:r>
      <w:r w:rsidR="00BD425F" w:rsidRPr="006871EC">
        <w:rPr>
          <w:sz w:val="20"/>
          <w:szCs w:val="20"/>
        </w:rPr>
        <w:t>within</w:t>
      </w:r>
      <w:r w:rsidR="00E91BB8" w:rsidRPr="006871EC">
        <w:rPr>
          <w:sz w:val="20"/>
          <w:szCs w:val="20"/>
        </w:rPr>
        <w:t xml:space="preserve"> the framework of the </w:t>
      </w:r>
      <w:r w:rsidR="00F2064A" w:rsidRPr="006871EC">
        <w:rPr>
          <w:sz w:val="20"/>
          <w:szCs w:val="20"/>
        </w:rPr>
        <w:t xml:space="preserve">current </w:t>
      </w:r>
      <w:r w:rsidR="00E91BB8" w:rsidRPr="006871EC">
        <w:rPr>
          <w:sz w:val="20"/>
          <w:szCs w:val="20"/>
        </w:rPr>
        <w:t>Strategic Plan</w:t>
      </w:r>
      <w:r w:rsidR="00F2064A" w:rsidRPr="006871EC">
        <w:rPr>
          <w:sz w:val="20"/>
          <w:szCs w:val="20"/>
        </w:rPr>
        <w:t xml:space="preserve"> </w:t>
      </w:r>
      <w:r w:rsidR="008C1F48" w:rsidRPr="006871EC">
        <w:rPr>
          <w:sz w:val="20"/>
          <w:szCs w:val="20"/>
        </w:rPr>
        <w:t xml:space="preserve">which </w:t>
      </w:r>
      <w:r w:rsidR="004039A5" w:rsidRPr="006871EC">
        <w:rPr>
          <w:sz w:val="20"/>
          <w:szCs w:val="20"/>
        </w:rPr>
        <w:t>UNDP</w:t>
      </w:r>
      <w:r w:rsidR="00F2064A" w:rsidRPr="006871EC">
        <w:rPr>
          <w:sz w:val="20"/>
          <w:szCs w:val="20"/>
        </w:rPr>
        <w:t xml:space="preserve"> is already addressing through the management responses that </w:t>
      </w:r>
      <w:r w:rsidR="004039A5" w:rsidRPr="006871EC">
        <w:rPr>
          <w:sz w:val="20"/>
          <w:szCs w:val="20"/>
        </w:rPr>
        <w:t>the Executive Board</w:t>
      </w:r>
      <w:r w:rsidR="00F2064A" w:rsidRPr="006871EC">
        <w:rPr>
          <w:sz w:val="20"/>
          <w:szCs w:val="20"/>
        </w:rPr>
        <w:t xml:space="preserve"> </w:t>
      </w:r>
      <w:r w:rsidR="00554C61" w:rsidRPr="006871EC">
        <w:rPr>
          <w:sz w:val="20"/>
          <w:szCs w:val="20"/>
        </w:rPr>
        <w:t xml:space="preserve">has </w:t>
      </w:r>
      <w:r w:rsidR="00F2064A" w:rsidRPr="006871EC">
        <w:rPr>
          <w:sz w:val="20"/>
          <w:szCs w:val="20"/>
        </w:rPr>
        <w:t>approved</w:t>
      </w:r>
      <w:r w:rsidR="004039A5" w:rsidRPr="006871EC">
        <w:rPr>
          <w:sz w:val="20"/>
          <w:szCs w:val="20"/>
        </w:rPr>
        <w:t>.</w:t>
      </w:r>
    </w:p>
    <w:p w14:paraId="4E9868CF" w14:textId="77777777" w:rsidR="006871EC" w:rsidRPr="006871EC" w:rsidRDefault="006871EC" w:rsidP="003241F9">
      <w:pPr>
        <w:pStyle w:val="ListParagraph"/>
        <w:ind w:right="750"/>
        <w:rPr>
          <w:sz w:val="12"/>
          <w:szCs w:val="12"/>
        </w:rPr>
      </w:pPr>
    </w:p>
    <w:p w14:paraId="3D084DA5" w14:textId="1F7B20F7" w:rsidR="003C7E92" w:rsidRDefault="00D11C1F" w:rsidP="003241F9">
      <w:pPr>
        <w:pStyle w:val="ListParagraph"/>
        <w:numPr>
          <w:ilvl w:val="0"/>
          <w:numId w:val="10"/>
        </w:numPr>
        <w:spacing w:after="120"/>
        <w:ind w:right="750" w:firstLine="0"/>
        <w:jc w:val="both"/>
        <w:rPr>
          <w:sz w:val="20"/>
          <w:szCs w:val="20"/>
        </w:rPr>
      </w:pPr>
      <w:r w:rsidRPr="006871EC">
        <w:rPr>
          <w:sz w:val="20"/>
          <w:szCs w:val="20"/>
        </w:rPr>
        <w:lastRenderedPageBreak/>
        <w:t xml:space="preserve">UNDP management </w:t>
      </w:r>
      <w:r w:rsidR="003A416C" w:rsidRPr="006871EC">
        <w:rPr>
          <w:sz w:val="20"/>
          <w:szCs w:val="20"/>
        </w:rPr>
        <w:t xml:space="preserve">welcomes the </w:t>
      </w:r>
      <w:r w:rsidR="00554C61" w:rsidRPr="006871EC">
        <w:rPr>
          <w:sz w:val="20"/>
          <w:szCs w:val="20"/>
        </w:rPr>
        <w:t xml:space="preserve">evaluation </w:t>
      </w:r>
      <w:r w:rsidR="003A416C" w:rsidRPr="006871EC">
        <w:rPr>
          <w:sz w:val="20"/>
          <w:szCs w:val="20"/>
        </w:rPr>
        <w:t xml:space="preserve">and </w:t>
      </w:r>
      <w:r w:rsidR="00554C61" w:rsidRPr="006871EC">
        <w:rPr>
          <w:sz w:val="20"/>
          <w:szCs w:val="20"/>
        </w:rPr>
        <w:t xml:space="preserve">agrees </w:t>
      </w:r>
      <w:r w:rsidR="003A416C" w:rsidRPr="006871EC">
        <w:rPr>
          <w:sz w:val="20"/>
          <w:szCs w:val="20"/>
        </w:rPr>
        <w:t xml:space="preserve">overall </w:t>
      </w:r>
      <w:r w:rsidRPr="006871EC">
        <w:rPr>
          <w:sz w:val="20"/>
          <w:szCs w:val="20"/>
        </w:rPr>
        <w:t xml:space="preserve">with </w:t>
      </w:r>
      <w:r w:rsidR="003A416C" w:rsidRPr="006871EC">
        <w:rPr>
          <w:sz w:val="20"/>
          <w:szCs w:val="20"/>
        </w:rPr>
        <w:t>its</w:t>
      </w:r>
      <w:r w:rsidRPr="006871EC">
        <w:rPr>
          <w:sz w:val="20"/>
          <w:szCs w:val="20"/>
        </w:rPr>
        <w:t xml:space="preserve"> findings</w:t>
      </w:r>
      <w:r w:rsidR="00B34385" w:rsidRPr="006871EC">
        <w:rPr>
          <w:sz w:val="20"/>
          <w:szCs w:val="20"/>
        </w:rPr>
        <w:t>,</w:t>
      </w:r>
      <w:r w:rsidRPr="006871EC">
        <w:rPr>
          <w:sz w:val="20"/>
          <w:szCs w:val="20"/>
        </w:rPr>
        <w:t xml:space="preserve"> conclusions</w:t>
      </w:r>
      <w:r w:rsidR="00B34385" w:rsidRPr="006871EC">
        <w:rPr>
          <w:sz w:val="20"/>
          <w:szCs w:val="20"/>
        </w:rPr>
        <w:t xml:space="preserve"> and recommendations which will be duly taken </w:t>
      </w:r>
      <w:r w:rsidR="003A416C" w:rsidRPr="006871EC">
        <w:rPr>
          <w:sz w:val="20"/>
          <w:szCs w:val="20"/>
        </w:rPr>
        <w:t xml:space="preserve">into account in the </w:t>
      </w:r>
      <w:r w:rsidR="00554C61" w:rsidRPr="006871EC">
        <w:rPr>
          <w:sz w:val="20"/>
          <w:szCs w:val="20"/>
        </w:rPr>
        <w:t xml:space="preserve">strategic plan, </w:t>
      </w:r>
      <w:r w:rsidR="003A416C" w:rsidRPr="006871EC">
        <w:rPr>
          <w:sz w:val="20"/>
          <w:szCs w:val="20"/>
        </w:rPr>
        <w:t xml:space="preserve">2018-2021 </w:t>
      </w:r>
      <w:r w:rsidR="00FC6097" w:rsidRPr="006871EC">
        <w:rPr>
          <w:sz w:val="20"/>
          <w:szCs w:val="20"/>
        </w:rPr>
        <w:t>and in</w:t>
      </w:r>
      <w:r w:rsidR="00B34385" w:rsidRPr="006871EC">
        <w:rPr>
          <w:sz w:val="20"/>
          <w:szCs w:val="20"/>
        </w:rPr>
        <w:t xml:space="preserve"> </w:t>
      </w:r>
      <w:r w:rsidR="003A416C" w:rsidRPr="006871EC">
        <w:rPr>
          <w:sz w:val="20"/>
          <w:szCs w:val="20"/>
        </w:rPr>
        <w:t xml:space="preserve">related projects, programmes and efforts to strengthen institutional </w:t>
      </w:r>
      <w:r w:rsidR="00FC6097">
        <w:rPr>
          <w:sz w:val="20"/>
          <w:szCs w:val="20"/>
        </w:rPr>
        <w:t>effectiveness and performance. R</w:t>
      </w:r>
      <w:r w:rsidR="00777FFC" w:rsidRPr="006871EC">
        <w:rPr>
          <w:sz w:val="20"/>
          <w:szCs w:val="20"/>
        </w:rPr>
        <w:t xml:space="preserve">egular updates on the status of implementation of the management response will be made available </w:t>
      </w:r>
      <w:r w:rsidR="00FC6097" w:rsidRPr="006871EC">
        <w:rPr>
          <w:sz w:val="20"/>
          <w:szCs w:val="20"/>
        </w:rPr>
        <w:t>publicly in</w:t>
      </w:r>
      <w:r w:rsidR="00777FFC" w:rsidRPr="006871EC">
        <w:rPr>
          <w:sz w:val="20"/>
          <w:szCs w:val="20"/>
        </w:rPr>
        <w:t xml:space="preserve"> the Evaluation Resource </w:t>
      </w:r>
      <w:r w:rsidR="00554C61" w:rsidRPr="006871EC">
        <w:rPr>
          <w:sz w:val="20"/>
          <w:szCs w:val="20"/>
        </w:rPr>
        <w:t xml:space="preserve">Centre in accordance with </w:t>
      </w:r>
      <w:r w:rsidR="00777FFC" w:rsidRPr="006871EC">
        <w:rPr>
          <w:sz w:val="20"/>
          <w:szCs w:val="20"/>
        </w:rPr>
        <w:t xml:space="preserve">the </w:t>
      </w:r>
      <w:r w:rsidR="00554C61" w:rsidRPr="006871EC">
        <w:rPr>
          <w:sz w:val="20"/>
          <w:szCs w:val="20"/>
        </w:rPr>
        <w:t>evaluation policy</w:t>
      </w:r>
      <w:r w:rsidR="003C7E92">
        <w:rPr>
          <w:sz w:val="20"/>
          <w:szCs w:val="20"/>
        </w:rPr>
        <w:t xml:space="preserve">. </w:t>
      </w:r>
    </w:p>
    <w:p w14:paraId="2DF6F2B8" w14:textId="77777777" w:rsidR="003C7E92" w:rsidRPr="003C7E92" w:rsidRDefault="003C7E92" w:rsidP="003241F9">
      <w:pPr>
        <w:pStyle w:val="ListParagraph"/>
        <w:spacing w:after="120"/>
        <w:ind w:right="750"/>
        <w:jc w:val="both"/>
        <w:rPr>
          <w:sz w:val="12"/>
          <w:szCs w:val="12"/>
        </w:rPr>
      </w:pPr>
    </w:p>
    <w:p w14:paraId="7431514C" w14:textId="16B476E4" w:rsidR="0098056A" w:rsidRDefault="00D321A3" w:rsidP="003241F9">
      <w:pPr>
        <w:pStyle w:val="ListParagraph"/>
        <w:numPr>
          <w:ilvl w:val="0"/>
          <w:numId w:val="10"/>
        </w:numPr>
        <w:spacing w:after="120"/>
        <w:ind w:right="750" w:firstLine="0"/>
        <w:jc w:val="both"/>
        <w:rPr>
          <w:sz w:val="20"/>
          <w:szCs w:val="20"/>
        </w:rPr>
      </w:pPr>
      <w:r w:rsidRPr="006871EC">
        <w:rPr>
          <w:sz w:val="20"/>
          <w:szCs w:val="20"/>
        </w:rPr>
        <w:t xml:space="preserve">Key </w:t>
      </w:r>
      <w:r w:rsidR="00E23832" w:rsidRPr="006871EC">
        <w:rPr>
          <w:sz w:val="20"/>
          <w:szCs w:val="20"/>
        </w:rPr>
        <w:t xml:space="preserve">engagement principles </w:t>
      </w:r>
      <w:r w:rsidR="00554C61" w:rsidRPr="006871EC">
        <w:rPr>
          <w:sz w:val="20"/>
          <w:szCs w:val="20"/>
        </w:rPr>
        <w:t xml:space="preserve">that </w:t>
      </w:r>
      <w:r w:rsidR="00E23832" w:rsidRPr="006871EC">
        <w:rPr>
          <w:sz w:val="20"/>
          <w:szCs w:val="20"/>
        </w:rPr>
        <w:t xml:space="preserve">guided the formulation </w:t>
      </w:r>
      <w:r w:rsidR="00642ADA" w:rsidRPr="006871EC">
        <w:rPr>
          <w:sz w:val="20"/>
          <w:szCs w:val="20"/>
        </w:rPr>
        <w:t xml:space="preserve">and implementation </w:t>
      </w:r>
      <w:r w:rsidR="00E23832" w:rsidRPr="006871EC">
        <w:rPr>
          <w:sz w:val="20"/>
          <w:szCs w:val="20"/>
        </w:rPr>
        <w:t xml:space="preserve">of the </w:t>
      </w:r>
      <w:r w:rsidR="00642ADA" w:rsidRPr="006871EC">
        <w:rPr>
          <w:sz w:val="20"/>
          <w:szCs w:val="20"/>
        </w:rPr>
        <w:t>Strategic Plan</w:t>
      </w:r>
      <w:r w:rsidR="00554C61" w:rsidRPr="006871EC">
        <w:rPr>
          <w:sz w:val="20"/>
          <w:szCs w:val="20"/>
        </w:rPr>
        <w:t>, 2014-2017</w:t>
      </w:r>
      <w:r w:rsidR="00642ADA" w:rsidRPr="006871EC">
        <w:rPr>
          <w:sz w:val="20"/>
          <w:szCs w:val="20"/>
        </w:rPr>
        <w:t xml:space="preserve"> </w:t>
      </w:r>
      <w:r w:rsidR="00554C61" w:rsidRPr="006871EC">
        <w:rPr>
          <w:sz w:val="20"/>
          <w:szCs w:val="20"/>
        </w:rPr>
        <w:t xml:space="preserve">highlighted the </w:t>
      </w:r>
      <w:r w:rsidR="00522D2C" w:rsidRPr="006871EC">
        <w:rPr>
          <w:sz w:val="20"/>
          <w:szCs w:val="20"/>
        </w:rPr>
        <w:t>UNDP</w:t>
      </w:r>
      <w:r w:rsidR="006710A1" w:rsidRPr="006871EC">
        <w:rPr>
          <w:sz w:val="20"/>
          <w:szCs w:val="20"/>
        </w:rPr>
        <w:t xml:space="preserve"> commitment to new ways of </w:t>
      </w:r>
      <w:r w:rsidR="009B724B" w:rsidRPr="006871EC">
        <w:rPr>
          <w:sz w:val="20"/>
          <w:szCs w:val="20"/>
        </w:rPr>
        <w:t xml:space="preserve">programming </w:t>
      </w:r>
      <w:r w:rsidR="00CD2939" w:rsidRPr="006871EC">
        <w:rPr>
          <w:sz w:val="20"/>
          <w:szCs w:val="20"/>
        </w:rPr>
        <w:t>at all levels</w:t>
      </w:r>
      <w:r w:rsidR="006710A1" w:rsidRPr="006871EC">
        <w:rPr>
          <w:sz w:val="20"/>
          <w:szCs w:val="20"/>
        </w:rPr>
        <w:t xml:space="preserve"> including through empowering the poor</w:t>
      </w:r>
      <w:r w:rsidR="000977D9" w:rsidRPr="006871EC">
        <w:rPr>
          <w:sz w:val="20"/>
          <w:szCs w:val="20"/>
        </w:rPr>
        <w:t>,</w:t>
      </w:r>
      <w:r w:rsidR="006710A1" w:rsidRPr="006871EC">
        <w:rPr>
          <w:sz w:val="20"/>
          <w:szCs w:val="20"/>
        </w:rPr>
        <w:t xml:space="preserve"> giving voice and opportunities to the marginalized through partnerships with civil society, </w:t>
      </w:r>
      <w:r w:rsidR="00554C61" w:rsidRPr="006871EC">
        <w:rPr>
          <w:sz w:val="20"/>
          <w:szCs w:val="20"/>
        </w:rPr>
        <w:t xml:space="preserve">the </w:t>
      </w:r>
      <w:r w:rsidR="006710A1" w:rsidRPr="006871EC">
        <w:rPr>
          <w:sz w:val="20"/>
          <w:szCs w:val="20"/>
        </w:rPr>
        <w:t>private sector and other non-State actors</w:t>
      </w:r>
      <w:r w:rsidR="000977D9" w:rsidRPr="006871EC">
        <w:rPr>
          <w:sz w:val="20"/>
          <w:szCs w:val="20"/>
        </w:rPr>
        <w:t xml:space="preserve">, </w:t>
      </w:r>
      <w:r w:rsidR="00D5488B" w:rsidRPr="006871EC">
        <w:rPr>
          <w:sz w:val="20"/>
          <w:szCs w:val="20"/>
        </w:rPr>
        <w:t xml:space="preserve">mainstreaming gender equality and women’s empowerment </w:t>
      </w:r>
      <w:r w:rsidR="000977D9" w:rsidRPr="006871EC">
        <w:rPr>
          <w:sz w:val="20"/>
          <w:szCs w:val="20"/>
        </w:rPr>
        <w:t xml:space="preserve">and </w:t>
      </w:r>
      <w:r w:rsidR="008205EE" w:rsidRPr="006871EC">
        <w:rPr>
          <w:sz w:val="20"/>
          <w:szCs w:val="20"/>
        </w:rPr>
        <w:t>broadening</w:t>
      </w:r>
      <w:r w:rsidR="006710A1" w:rsidRPr="006871EC">
        <w:rPr>
          <w:sz w:val="20"/>
          <w:szCs w:val="20"/>
        </w:rPr>
        <w:t xml:space="preserve"> South-South and </w:t>
      </w:r>
      <w:r w:rsidR="000977D9" w:rsidRPr="006871EC">
        <w:rPr>
          <w:sz w:val="20"/>
          <w:szCs w:val="20"/>
        </w:rPr>
        <w:t>triangular cooperation</w:t>
      </w:r>
      <w:r w:rsidR="006710A1" w:rsidRPr="006871EC">
        <w:rPr>
          <w:sz w:val="20"/>
          <w:szCs w:val="20"/>
        </w:rPr>
        <w:t>.</w:t>
      </w:r>
      <w:r w:rsidR="00BC6758" w:rsidRPr="006871EC">
        <w:rPr>
          <w:sz w:val="20"/>
          <w:szCs w:val="20"/>
        </w:rPr>
        <w:t xml:space="preserve"> </w:t>
      </w:r>
    </w:p>
    <w:p w14:paraId="2441B9C2" w14:textId="77777777" w:rsidR="003C7E92" w:rsidRPr="003C7E92" w:rsidRDefault="003C7E92" w:rsidP="003241F9">
      <w:pPr>
        <w:pStyle w:val="ListParagraph"/>
        <w:spacing w:after="120"/>
        <w:ind w:right="750"/>
        <w:jc w:val="both"/>
        <w:rPr>
          <w:sz w:val="12"/>
          <w:szCs w:val="12"/>
        </w:rPr>
      </w:pPr>
    </w:p>
    <w:p w14:paraId="20DB745E" w14:textId="4D76D463" w:rsidR="00DF4368" w:rsidRPr="003C7E92" w:rsidRDefault="008C3B43" w:rsidP="003241F9">
      <w:pPr>
        <w:pStyle w:val="ListParagraph"/>
        <w:numPr>
          <w:ilvl w:val="0"/>
          <w:numId w:val="10"/>
        </w:numPr>
        <w:spacing w:after="120"/>
        <w:ind w:right="750" w:firstLine="0"/>
        <w:jc w:val="both"/>
        <w:rPr>
          <w:sz w:val="20"/>
          <w:szCs w:val="20"/>
        </w:rPr>
      </w:pPr>
      <w:r w:rsidRPr="006871EC">
        <w:rPr>
          <w:sz w:val="20"/>
          <w:szCs w:val="20"/>
        </w:rPr>
        <w:t>T</w:t>
      </w:r>
      <w:r w:rsidR="006124E0" w:rsidRPr="006871EC">
        <w:rPr>
          <w:sz w:val="20"/>
          <w:szCs w:val="20"/>
        </w:rPr>
        <w:t xml:space="preserve">he 2014-2016 </w:t>
      </w:r>
      <w:r w:rsidR="009B724B" w:rsidRPr="006871EC">
        <w:rPr>
          <w:sz w:val="20"/>
          <w:szCs w:val="20"/>
        </w:rPr>
        <w:t xml:space="preserve">cumulative review </w:t>
      </w:r>
      <w:r w:rsidR="006124E0" w:rsidRPr="006871EC">
        <w:rPr>
          <w:sz w:val="20"/>
          <w:szCs w:val="20"/>
        </w:rPr>
        <w:t xml:space="preserve">of the Strategic Plan </w:t>
      </w:r>
      <w:r w:rsidR="00CE0A8D" w:rsidRPr="006871EC">
        <w:rPr>
          <w:sz w:val="20"/>
          <w:szCs w:val="20"/>
        </w:rPr>
        <w:t>that was</w:t>
      </w:r>
      <w:r w:rsidR="006124E0" w:rsidRPr="006871EC">
        <w:rPr>
          <w:sz w:val="20"/>
          <w:szCs w:val="20"/>
        </w:rPr>
        <w:t xml:space="preserve"> presented to the Executive Board </w:t>
      </w:r>
      <w:r w:rsidR="009B724B" w:rsidRPr="006871EC">
        <w:rPr>
          <w:sz w:val="20"/>
          <w:szCs w:val="20"/>
        </w:rPr>
        <w:t xml:space="preserve">at the </w:t>
      </w:r>
      <w:r w:rsidR="006124E0" w:rsidRPr="006871EC">
        <w:rPr>
          <w:sz w:val="20"/>
          <w:szCs w:val="20"/>
        </w:rPr>
        <w:t xml:space="preserve">2017 </w:t>
      </w:r>
      <w:r w:rsidR="009B724B" w:rsidRPr="006871EC">
        <w:rPr>
          <w:sz w:val="20"/>
          <w:szCs w:val="20"/>
        </w:rPr>
        <w:t xml:space="preserve">annual session </w:t>
      </w:r>
      <w:r w:rsidR="002D6636" w:rsidRPr="006871EC">
        <w:rPr>
          <w:sz w:val="20"/>
          <w:szCs w:val="20"/>
        </w:rPr>
        <w:t>(</w:t>
      </w:r>
      <w:hyperlink r:id="rId16" w:history="1">
        <w:r w:rsidR="002D6636" w:rsidRPr="006871EC">
          <w:rPr>
            <w:rStyle w:val="Hyperlink"/>
            <w:sz w:val="20"/>
            <w:szCs w:val="20"/>
          </w:rPr>
          <w:t>DP/2017/15</w:t>
        </w:r>
      </w:hyperlink>
      <w:r w:rsidR="002D6636" w:rsidRPr="006871EC">
        <w:rPr>
          <w:sz w:val="20"/>
          <w:szCs w:val="20"/>
        </w:rPr>
        <w:t xml:space="preserve">) </w:t>
      </w:r>
      <w:r w:rsidR="009B724B" w:rsidRPr="006871EC">
        <w:rPr>
          <w:sz w:val="20"/>
          <w:szCs w:val="20"/>
        </w:rPr>
        <w:t>reported that</w:t>
      </w:r>
      <w:r w:rsidR="00BA6C46" w:rsidRPr="006871EC">
        <w:rPr>
          <w:sz w:val="20"/>
          <w:szCs w:val="20"/>
        </w:rPr>
        <w:t xml:space="preserve"> </w:t>
      </w:r>
      <w:r w:rsidRPr="006871EC">
        <w:rPr>
          <w:sz w:val="20"/>
          <w:szCs w:val="20"/>
        </w:rPr>
        <w:t>UNDP development results were on track</w:t>
      </w:r>
      <w:r w:rsidR="00470EE6" w:rsidRPr="006871EC">
        <w:rPr>
          <w:sz w:val="20"/>
          <w:szCs w:val="20"/>
        </w:rPr>
        <w:t>,</w:t>
      </w:r>
      <w:r w:rsidRPr="006871EC">
        <w:rPr>
          <w:sz w:val="20"/>
          <w:szCs w:val="20"/>
        </w:rPr>
        <w:t xml:space="preserve"> with </w:t>
      </w:r>
      <w:r w:rsidR="003B3D0B" w:rsidRPr="006871EC">
        <w:rPr>
          <w:sz w:val="20"/>
          <w:szCs w:val="20"/>
          <w:lang w:val="en-GB"/>
        </w:rPr>
        <w:t>progress</w:t>
      </w:r>
      <w:r w:rsidR="00BA6C46" w:rsidRPr="006871EC">
        <w:rPr>
          <w:sz w:val="20"/>
          <w:szCs w:val="20"/>
          <w:lang w:val="en-GB"/>
        </w:rPr>
        <w:t xml:space="preserve"> achieved </w:t>
      </w:r>
      <w:r w:rsidR="00153716" w:rsidRPr="006871EC">
        <w:rPr>
          <w:sz w:val="20"/>
          <w:szCs w:val="20"/>
          <w:lang w:val="en-GB"/>
        </w:rPr>
        <w:t xml:space="preserve">for 32 of the 38 outputs </w:t>
      </w:r>
      <w:r w:rsidR="00BA6C46" w:rsidRPr="006871EC">
        <w:rPr>
          <w:sz w:val="20"/>
          <w:szCs w:val="20"/>
          <w:lang w:val="en-GB"/>
        </w:rPr>
        <w:t>represent</w:t>
      </w:r>
      <w:r w:rsidRPr="006871EC">
        <w:rPr>
          <w:sz w:val="20"/>
          <w:szCs w:val="20"/>
          <w:lang w:val="en-GB"/>
        </w:rPr>
        <w:t>ing</w:t>
      </w:r>
      <w:r w:rsidR="00BA6C46" w:rsidRPr="006871EC">
        <w:rPr>
          <w:sz w:val="20"/>
          <w:szCs w:val="20"/>
          <w:lang w:val="en-GB"/>
        </w:rPr>
        <w:t xml:space="preserve"> 75 per cent or more of </w:t>
      </w:r>
      <w:r w:rsidR="00CE0A8D" w:rsidRPr="006871EC">
        <w:rPr>
          <w:sz w:val="20"/>
          <w:szCs w:val="20"/>
          <w:lang w:val="en-GB"/>
        </w:rPr>
        <w:t xml:space="preserve">the </w:t>
      </w:r>
      <w:r w:rsidR="00BA6C46" w:rsidRPr="006871EC">
        <w:rPr>
          <w:sz w:val="20"/>
          <w:szCs w:val="20"/>
          <w:lang w:val="en-GB"/>
        </w:rPr>
        <w:t>total results expected by 2017.</w:t>
      </w:r>
      <w:r w:rsidR="00CD2939" w:rsidRPr="006871EC">
        <w:rPr>
          <w:sz w:val="20"/>
          <w:szCs w:val="20"/>
        </w:rPr>
        <w:t xml:space="preserve"> </w:t>
      </w:r>
      <w:r w:rsidR="00CE0A8D" w:rsidRPr="006871EC">
        <w:rPr>
          <w:sz w:val="20"/>
          <w:szCs w:val="20"/>
        </w:rPr>
        <w:t xml:space="preserve">For </w:t>
      </w:r>
      <w:r w:rsidR="002D6636" w:rsidRPr="006871EC">
        <w:rPr>
          <w:sz w:val="20"/>
          <w:szCs w:val="20"/>
        </w:rPr>
        <w:t xml:space="preserve">five </w:t>
      </w:r>
      <w:r w:rsidR="00CE0A8D" w:rsidRPr="006871EC">
        <w:rPr>
          <w:sz w:val="20"/>
          <w:szCs w:val="20"/>
        </w:rPr>
        <w:t xml:space="preserve">of the </w:t>
      </w:r>
      <w:r w:rsidR="002D6636" w:rsidRPr="006871EC">
        <w:rPr>
          <w:sz w:val="20"/>
          <w:szCs w:val="20"/>
        </w:rPr>
        <w:t xml:space="preserve">six </w:t>
      </w:r>
      <w:r w:rsidR="00153716" w:rsidRPr="006871EC">
        <w:rPr>
          <w:sz w:val="20"/>
          <w:szCs w:val="20"/>
        </w:rPr>
        <w:t xml:space="preserve">remaining </w:t>
      </w:r>
      <w:r w:rsidR="00CE0A8D" w:rsidRPr="006871EC">
        <w:rPr>
          <w:sz w:val="20"/>
          <w:szCs w:val="20"/>
        </w:rPr>
        <w:t>output</w:t>
      </w:r>
      <w:r w:rsidR="00F22132" w:rsidRPr="006871EC">
        <w:rPr>
          <w:sz w:val="20"/>
          <w:szCs w:val="20"/>
        </w:rPr>
        <w:t xml:space="preserve">s, progress </w:t>
      </w:r>
      <w:r w:rsidR="002D6636" w:rsidRPr="006871EC">
        <w:rPr>
          <w:sz w:val="20"/>
          <w:szCs w:val="20"/>
        </w:rPr>
        <w:t xml:space="preserve">ranged </w:t>
      </w:r>
      <w:r w:rsidR="00CE0A8D" w:rsidRPr="006871EC">
        <w:rPr>
          <w:sz w:val="20"/>
          <w:szCs w:val="20"/>
        </w:rPr>
        <w:t>from 62 to 74</w:t>
      </w:r>
      <w:r w:rsidR="002D6636" w:rsidRPr="006871EC">
        <w:rPr>
          <w:sz w:val="20"/>
          <w:szCs w:val="20"/>
        </w:rPr>
        <w:t xml:space="preserve"> per cent </w:t>
      </w:r>
      <w:r w:rsidR="00CE0A8D" w:rsidRPr="006871EC">
        <w:rPr>
          <w:sz w:val="20"/>
          <w:szCs w:val="20"/>
        </w:rPr>
        <w:t xml:space="preserve">of the 2017 targets, </w:t>
      </w:r>
      <w:r w:rsidR="003B3D0B" w:rsidRPr="006871EC">
        <w:rPr>
          <w:sz w:val="20"/>
          <w:szCs w:val="20"/>
        </w:rPr>
        <w:t>due</w:t>
      </w:r>
      <w:r w:rsidR="002D6636" w:rsidRPr="006871EC">
        <w:rPr>
          <w:sz w:val="20"/>
          <w:szCs w:val="20"/>
        </w:rPr>
        <w:t xml:space="preserve"> to external </w:t>
      </w:r>
      <w:r w:rsidR="00CE0A8D" w:rsidRPr="006871EC">
        <w:rPr>
          <w:sz w:val="20"/>
          <w:szCs w:val="20"/>
        </w:rPr>
        <w:t xml:space="preserve">factors </w:t>
      </w:r>
      <w:r w:rsidR="002D6636" w:rsidRPr="006871EC">
        <w:rPr>
          <w:sz w:val="20"/>
          <w:szCs w:val="20"/>
        </w:rPr>
        <w:t>(</w:t>
      </w:r>
      <w:r w:rsidR="00CE0A8D" w:rsidRPr="006871EC">
        <w:rPr>
          <w:sz w:val="20"/>
          <w:szCs w:val="20"/>
          <w:lang w:val="en-GB"/>
        </w:rPr>
        <w:t>funding delays, changes in government priorities or counterparts, natural disasters, deteriorating security situations</w:t>
      </w:r>
      <w:r w:rsidR="002D6636" w:rsidRPr="006871EC">
        <w:rPr>
          <w:sz w:val="20"/>
          <w:szCs w:val="20"/>
          <w:lang w:val="en-GB"/>
        </w:rPr>
        <w:t>)</w:t>
      </w:r>
      <w:r w:rsidR="00CE0A8D" w:rsidRPr="006871EC">
        <w:rPr>
          <w:sz w:val="20"/>
          <w:szCs w:val="20"/>
          <w:lang w:val="en-GB"/>
        </w:rPr>
        <w:t xml:space="preserve"> </w:t>
      </w:r>
      <w:r w:rsidR="002D6636" w:rsidRPr="006871EC">
        <w:rPr>
          <w:sz w:val="20"/>
          <w:szCs w:val="20"/>
          <w:lang w:val="en-GB"/>
        </w:rPr>
        <w:t xml:space="preserve">and/or </w:t>
      </w:r>
      <w:r w:rsidR="00CE0A8D" w:rsidRPr="006871EC">
        <w:rPr>
          <w:sz w:val="20"/>
          <w:szCs w:val="20"/>
          <w:lang w:val="en-GB"/>
        </w:rPr>
        <w:t>suboptimal risk management and unrealistic target setting</w:t>
      </w:r>
      <w:r w:rsidR="00CE0A8D" w:rsidRPr="006871EC">
        <w:rPr>
          <w:sz w:val="20"/>
          <w:szCs w:val="20"/>
        </w:rPr>
        <w:t xml:space="preserve">. </w:t>
      </w:r>
      <w:r w:rsidR="00526BC7" w:rsidRPr="006871EC">
        <w:rPr>
          <w:sz w:val="20"/>
          <w:szCs w:val="20"/>
        </w:rPr>
        <w:t xml:space="preserve">UNDP </w:t>
      </w:r>
      <w:r w:rsidR="002D6636" w:rsidRPr="006871EC">
        <w:rPr>
          <w:sz w:val="20"/>
          <w:szCs w:val="20"/>
        </w:rPr>
        <w:t xml:space="preserve">management </w:t>
      </w:r>
      <w:r w:rsidR="00526BC7" w:rsidRPr="006871EC">
        <w:rPr>
          <w:sz w:val="20"/>
          <w:szCs w:val="20"/>
        </w:rPr>
        <w:t xml:space="preserve">believes that the actual </w:t>
      </w:r>
      <w:r w:rsidR="00ED2C11" w:rsidRPr="006871EC">
        <w:rPr>
          <w:sz w:val="20"/>
          <w:szCs w:val="20"/>
        </w:rPr>
        <w:t xml:space="preserve">development </w:t>
      </w:r>
      <w:r w:rsidR="00526BC7" w:rsidRPr="006871EC">
        <w:rPr>
          <w:sz w:val="20"/>
          <w:szCs w:val="20"/>
        </w:rPr>
        <w:t xml:space="preserve">performance is </w:t>
      </w:r>
      <w:r w:rsidR="003B3D0B" w:rsidRPr="006871EC">
        <w:rPr>
          <w:sz w:val="20"/>
          <w:szCs w:val="20"/>
        </w:rPr>
        <w:t>owed</w:t>
      </w:r>
      <w:r w:rsidR="002D6636" w:rsidRPr="006871EC">
        <w:rPr>
          <w:sz w:val="20"/>
          <w:szCs w:val="20"/>
        </w:rPr>
        <w:t xml:space="preserve"> </w:t>
      </w:r>
      <w:r w:rsidR="00526BC7" w:rsidRPr="006871EC">
        <w:rPr>
          <w:sz w:val="20"/>
          <w:szCs w:val="20"/>
        </w:rPr>
        <w:t>equally to the consolidation of</w:t>
      </w:r>
      <w:r w:rsidR="008A2500" w:rsidRPr="006871EC">
        <w:rPr>
          <w:sz w:val="20"/>
          <w:szCs w:val="20"/>
        </w:rPr>
        <w:t xml:space="preserve"> corporate policy and programme support functions</w:t>
      </w:r>
      <w:r w:rsidR="00526BC7" w:rsidRPr="006871EC">
        <w:rPr>
          <w:sz w:val="20"/>
          <w:szCs w:val="20"/>
        </w:rPr>
        <w:t xml:space="preserve"> and to the </w:t>
      </w:r>
      <w:r w:rsidR="00ED2C11" w:rsidRPr="006871EC">
        <w:rPr>
          <w:sz w:val="20"/>
          <w:szCs w:val="20"/>
        </w:rPr>
        <w:t xml:space="preserve">great progress in programme alignment, both at country level with the </w:t>
      </w:r>
      <w:r w:rsidR="00153716" w:rsidRPr="006871EC">
        <w:rPr>
          <w:sz w:val="20"/>
          <w:szCs w:val="20"/>
        </w:rPr>
        <w:t>United Nations Development Assistance Framework (</w:t>
      </w:r>
      <w:r w:rsidR="00ED2C11" w:rsidRPr="006871EC">
        <w:rPr>
          <w:sz w:val="20"/>
          <w:szCs w:val="20"/>
        </w:rPr>
        <w:t>UNDAF</w:t>
      </w:r>
      <w:r w:rsidR="00153716" w:rsidRPr="006871EC">
        <w:rPr>
          <w:sz w:val="20"/>
          <w:szCs w:val="20"/>
        </w:rPr>
        <w:t>)</w:t>
      </w:r>
      <w:r w:rsidR="00ED2C11" w:rsidRPr="006871EC">
        <w:rPr>
          <w:sz w:val="20"/>
          <w:szCs w:val="20"/>
        </w:rPr>
        <w:t xml:space="preserve"> and corporately with the Strategic Plan, as also noted by the </w:t>
      </w:r>
      <w:r w:rsidR="00153716" w:rsidRPr="006871EC">
        <w:rPr>
          <w:sz w:val="20"/>
          <w:szCs w:val="20"/>
        </w:rPr>
        <w:t>assessment of institutional effectiveness</w:t>
      </w:r>
      <w:r w:rsidR="00ED2C11" w:rsidRPr="006871EC">
        <w:rPr>
          <w:sz w:val="20"/>
          <w:szCs w:val="20"/>
        </w:rPr>
        <w:t xml:space="preserve">. </w:t>
      </w:r>
      <w:r w:rsidR="00650698" w:rsidRPr="006871EC">
        <w:rPr>
          <w:sz w:val="20"/>
          <w:szCs w:val="20"/>
        </w:rPr>
        <w:t xml:space="preserve">The stronger alignment and quality programming helped the organization to </w:t>
      </w:r>
      <w:r w:rsidR="00E845AA" w:rsidRPr="006871EC">
        <w:rPr>
          <w:sz w:val="20"/>
          <w:szCs w:val="20"/>
        </w:rPr>
        <w:t xml:space="preserve">advance </w:t>
      </w:r>
      <w:r w:rsidR="00650698" w:rsidRPr="006871EC">
        <w:rPr>
          <w:sz w:val="20"/>
          <w:szCs w:val="20"/>
        </w:rPr>
        <w:t>deliver</w:t>
      </w:r>
      <w:r w:rsidR="00E845AA" w:rsidRPr="006871EC">
        <w:rPr>
          <w:sz w:val="20"/>
          <w:szCs w:val="20"/>
        </w:rPr>
        <w:t>y</w:t>
      </w:r>
      <w:r w:rsidR="00650698" w:rsidRPr="006871EC">
        <w:rPr>
          <w:sz w:val="20"/>
          <w:szCs w:val="20"/>
        </w:rPr>
        <w:t xml:space="preserve"> on its promises despite the increasingly constrained resource environment </w:t>
      </w:r>
      <w:r w:rsidR="00650698" w:rsidRPr="006871EC">
        <w:rPr>
          <w:color w:val="000000" w:themeColor="text1"/>
          <w:sz w:val="20"/>
          <w:szCs w:val="20"/>
        </w:rPr>
        <w:t xml:space="preserve">and growing </w:t>
      </w:r>
      <w:r w:rsidR="005F7608" w:rsidRPr="006871EC">
        <w:rPr>
          <w:color w:val="000000" w:themeColor="text1"/>
          <w:sz w:val="20"/>
          <w:szCs w:val="20"/>
        </w:rPr>
        <w:t xml:space="preserve">social and environmental </w:t>
      </w:r>
      <w:r w:rsidR="00650698" w:rsidRPr="006871EC">
        <w:rPr>
          <w:color w:val="000000" w:themeColor="text1"/>
          <w:sz w:val="20"/>
          <w:szCs w:val="20"/>
        </w:rPr>
        <w:t>fragility</w:t>
      </w:r>
      <w:r w:rsidR="005F7608" w:rsidRPr="006871EC">
        <w:rPr>
          <w:color w:val="000000" w:themeColor="text1"/>
          <w:sz w:val="20"/>
          <w:szCs w:val="20"/>
        </w:rPr>
        <w:t>.</w:t>
      </w:r>
      <w:r w:rsidR="006A344D" w:rsidRPr="006871EC">
        <w:rPr>
          <w:color w:val="000000" w:themeColor="text1"/>
          <w:sz w:val="20"/>
          <w:szCs w:val="20"/>
        </w:rPr>
        <w:t xml:space="preserve"> </w:t>
      </w:r>
    </w:p>
    <w:p w14:paraId="62BEC616" w14:textId="77777777" w:rsidR="003C7E92" w:rsidRPr="003C7E92" w:rsidRDefault="003C7E92" w:rsidP="003241F9">
      <w:pPr>
        <w:pStyle w:val="ListParagraph"/>
        <w:spacing w:after="120"/>
        <w:ind w:right="750"/>
        <w:jc w:val="both"/>
        <w:rPr>
          <w:sz w:val="12"/>
          <w:szCs w:val="12"/>
        </w:rPr>
      </w:pPr>
    </w:p>
    <w:p w14:paraId="1E0C0514" w14:textId="0DCBC0B6" w:rsidR="003F1BFF" w:rsidRPr="006871EC" w:rsidRDefault="003F1BFF" w:rsidP="003241F9">
      <w:pPr>
        <w:pStyle w:val="ListParagraph"/>
        <w:numPr>
          <w:ilvl w:val="0"/>
          <w:numId w:val="10"/>
        </w:numPr>
        <w:spacing w:after="120"/>
        <w:ind w:right="750" w:firstLine="0"/>
        <w:jc w:val="both"/>
        <w:rPr>
          <w:sz w:val="20"/>
          <w:szCs w:val="20"/>
        </w:rPr>
      </w:pPr>
      <w:r w:rsidRPr="006871EC">
        <w:rPr>
          <w:sz w:val="20"/>
          <w:szCs w:val="20"/>
        </w:rPr>
        <w:t xml:space="preserve">In terms of its commitment to building a results culture through higher quality of programmes and projects, evidence-based programme management, accountability and learning, UNDP </w:t>
      </w:r>
      <w:r w:rsidR="00153716" w:rsidRPr="006871EC">
        <w:rPr>
          <w:sz w:val="20"/>
          <w:szCs w:val="20"/>
        </w:rPr>
        <w:t xml:space="preserve">management </w:t>
      </w:r>
      <w:r w:rsidRPr="006871EC">
        <w:rPr>
          <w:sz w:val="20"/>
          <w:szCs w:val="20"/>
        </w:rPr>
        <w:t xml:space="preserve">is pleased to acknowledge </w:t>
      </w:r>
      <w:r w:rsidR="007C4728" w:rsidRPr="006871EC">
        <w:rPr>
          <w:sz w:val="20"/>
          <w:szCs w:val="20"/>
        </w:rPr>
        <w:t>that according to the</w:t>
      </w:r>
      <w:r w:rsidRPr="006871EC">
        <w:rPr>
          <w:sz w:val="20"/>
          <w:szCs w:val="20"/>
        </w:rPr>
        <w:t xml:space="preserve"> 2016 </w:t>
      </w:r>
      <w:r w:rsidR="00153716" w:rsidRPr="006871EC">
        <w:rPr>
          <w:sz w:val="20"/>
          <w:szCs w:val="20"/>
        </w:rPr>
        <w:t>partnership survey</w:t>
      </w:r>
      <w:r w:rsidR="007C4728" w:rsidRPr="006871EC">
        <w:rPr>
          <w:sz w:val="20"/>
          <w:szCs w:val="20"/>
        </w:rPr>
        <w:t>, 66</w:t>
      </w:r>
      <w:r w:rsidR="00153716" w:rsidRPr="006871EC">
        <w:rPr>
          <w:sz w:val="20"/>
          <w:szCs w:val="20"/>
        </w:rPr>
        <w:t xml:space="preserve"> per cent </w:t>
      </w:r>
      <w:r w:rsidR="007C4728" w:rsidRPr="006871EC">
        <w:rPr>
          <w:sz w:val="20"/>
          <w:szCs w:val="20"/>
        </w:rPr>
        <w:t xml:space="preserve">of partners consider that </w:t>
      </w:r>
      <w:r w:rsidR="008A1B6C" w:rsidRPr="006871EC">
        <w:rPr>
          <w:sz w:val="20"/>
          <w:szCs w:val="20"/>
        </w:rPr>
        <w:t xml:space="preserve">UNDP delivers high-quality programmes, </w:t>
      </w:r>
      <w:r w:rsidR="00153716" w:rsidRPr="006871EC">
        <w:rPr>
          <w:sz w:val="20"/>
          <w:szCs w:val="20"/>
        </w:rPr>
        <w:t xml:space="preserve">an increase of </w:t>
      </w:r>
      <w:r w:rsidR="008A1B6C" w:rsidRPr="006871EC">
        <w:rPr>
          <w:sz w:val="20"/>
          <w:szCs w:val="20"/>
        </w:rPr>
        <w:t>5</w:t>
      </w:r>
      <w:r w:rsidR="00153716" w:rsidRPr="006871EC">
        <w:rPr>
          <w:sz w:val="20"/>
          <w:szCs w:val="20"/>
        </w:rPr>
        <w:t xml:space="preserve"> per cent over</w:t>
      </w:r>
      <w:r w:rsidR="008A1B6C" w:rsidRPr="006871EC">
        <w:rPr>
          <w:sz w:val="20"/>
          <w:szCs w:val="20"/>
        </w:rPr>
        <w:t xml:space="preserve"> 2015</w:t>
      </w:r>
      <w:r w:rsidR="00647927" w:rsidRPr="006871EC">
        <w:rPr>
          <w:sz w:val="20"/>
          <w:szCs w:val="20"/>
        </w:rPr>
        <w:t>, and 62</w:t>
      </w:r>
      <w:r w:rsidR="00153716" w:rsidRPr="006871EC">
        <w:rPr>
          <w:sz w:val="20"/>
          <w:szCs w:val="20"/>
        </w:rPr>
        <w:t xml:space="preserve"> per cent </w:t>
      </w:r>
      <w:r w:rsidR="0036222E" w:rsidRPr="006871EC">
        <w:rPr>
          <w:sz w:val="20"/>
          <w:szCs w:val="20"/>
        </w:rPr>
        <w:t>believe that UNDP applies a robust results</w:t>
      </w:r>
      <w:r w:rsidR="00470EE6" w:rsidRPr="006871EC">
        <w:rPr>
          <w:sz w:val="20"/>
          <w:szCs w:val="20"/>
        </w:rPr>
        <w:t xml:space="preserve"> </w:t>
      </w:r>
      <w:r w:rsidR="0036222E" w:rsidRPr="006871EC">
        <w:rPr>
          <w:sz w:val="20"/>
          <w:szCs w:val="20"/>
        </w:rPr>
        <w:t>framework, up 6</w:t>
      </w:r>
      <w:r w:rsidR="00153716" w:rsidRPr="006871EC">
        <w:rPr>
          <w:sz w:val="20"/>
          <w:szCs w:val="20"/>
        </w:rPr>
        <w:t xml:space="preserve"> per cent </w:t>
      </w:r>
      <w:r w:rsidR="0036222E" w:rsidRPr="006871EC">
        <w:rPr>
          <w:sz w:val="20"/>
          <w:szCs w:val="20"/>
        </w:rPr>
        <w:t>from 2015</w:t>
      </w:r>
      <w:r w:rsidR="008A1B6C" w:rsidRPr="006871EC">
        <w:rPr>
          <w:sz w:val="20"/>
          <w:szCs w:val="20"/>
        </w:rPr>
        <w:t xml:space="preserve">. </w:t>
      </w:r>
      <w:r w:rsidR="00E47B6B" w:rsidRPr="006871EC">
        <w:rPr>
          <w:sz w:val="20"/>
          <w:szCs w:val="20"/>
        </w:rPr>
        <w:t>The number of partners considering that UNDP delivers “value for money” and is cost-effective has also increased by 5</w:t>
      </w:r>
      <w:r w:rsidR="00153716" w:rsidRPr="006871EC">
        <w:rPr>
          <w:sz w:val="20"/>
          <w:szCs w:val="20"/>
        </w:rPr>
        <w:t xml:space="preserve"> per cent</w:t>
      </w:r>
      <w:r w:rsidR="00E47B6B" w:rsidRPr="006871EC">
        <w:rPr>
          <w:sz w:val="20"/>
          <w:szCs w:val="20"/>
        </w:rPr>
        <w:t>.</w:t>
      </w:r>
    </w:p>
    <w:p w14:paraId="7A18B746" w14:textId="77777777" w:rsidR="00E845AA" w:rsidRPr="006871EC" w:rsidRDefault="00D73E22" w:rsidP="003241F9">
      <w:pPr>
        <w:spacing w:after="120"/>
        <w:ind w:left="605" w:right="750" w:firstLine="115"/>
        <w:jc w:val="both"/>
        <w:rPr>
          <w:b/>
          <w:sz w:val="20"/>
          <w:szCs w:val="20"/>
        </w:rPr>
      </w:pPr>
      <w:r w:rsidRPr="006871EC">
        <w:rPr>
          <w:b/>
          <w:sz w:val="20"/>
          <w:szCs w:val="20"/>
        </w:rPr>
        <w:t xml:space="preserve">Findings and </w:t>
      </w:r>
      <w:r w:rsidR="00153716" w:rsidRPr="006871EC">
        <w:rPr>
          <w:b/>
          <w:sz w:val="20"/>
          <w:szCs w:val="20"/>
        </w:rPr>
        <w:t xml:space="preserve">conclusions </w:t>
      </w:r>
      <w:r w:rsidRPr="006871EC">
        <w:rPr>
          <w:b/>
          <w:sz w:val="20"/>
          <w:szCs w:val="20"/>
        </w:rPr>
        <w:t xml:space="preserve">regarding </w:t>
      </w:r>
      <w:r w:rsidR="00B75B89" w:rsidRPr="006871EC">
        <w:rPr>
          <w:b/>
          <w:sz w:val="20"/>
          <w:szCs w:val="20"/>
        </w:rPr>
        <w:t xml:space="preserve">UNDP </w:t>
      </w:r>
      <w:r w:rsidR="00153716" w:rsidRPr="006871EC">
        <w:rPr>
          <w:b/>
          <w:sz w:val="20"/>
          <w:szCs w:val="20"/>
        </w:rPr>
        <w:t>development results</w:t>
      </w:r>
    </w:p>
    <w:p w14:paraId="213BEF31" w14:textId="3E4584ED" w:rsidR="001651D6" w:rsidRDefault="00DA51BA" w:rsidP="003241F9">
      <w:pPr>
        <w:pStyle w:val="ListParagraph"/>
        <w:numPr>
          <w:ilvl w:val="0"/>
          <w:numId w:val="10"/>
        </w:numPr>
        <w:spacing w:after="120"/>
        <w:ind w:right="750" w:firstLine="0"/>
        <w:jc w:val="both"/>
        <w:rPr>
          <w:sz w:val="20"/>
          <w:szCs w:val="20"/>
        </w:rPr>
      </w:pPr>
      <w:r w:rsidRPr="006871EC">
        <w:rPr>
          <w:sz w:val="20"/>
          <w:szCs w:val="20"/>
        </w:rPr>
        <w:t xml:space="preserve">UNDP </w:t>
      </w:r>
      <w:r w:rsidR="00153716" w:rsidRPr="006871EC">
        <w:rPr>
          <w:sz w:val="20"/>
          <w:szCs w:val="20"/>
        </w:rPr>
        <w:t xml:space="preserve">management </w:t>
      </w:r>
      <w:r w:rsidRPr="006871EC">
        <w:rPr>
          <w:sz w:val="20"/>
          <w:szCs w:val="20"/>
        </w:rPr>
        <w:t xml:space="preserve">notes with appreciation the </w:t>
      </w:r>
      <w:r w:rsidR="00153716" w:rsidRPr="006871EC">
        <w:rPr>
          <w:sz w:val="20"/>
          <w:szCs w:val="20"/>
        </w:rPr>
        <w:t xml:space="preserve">evaluation’s </w:t>
      </w:r>
      <w:r w:rsidRPr="006871EC">
        <w:rPr>
          <w:sz w:val="20"/>
          <w:szCs w:val="20"/>
        </w:rPr>
        <w:t>extensive recognition of the organization’s critical role and achievements across areas of intervention and development contexts</w:t>
      </w:r>
      <w:r w:rsidR="00153716" w:rsidRPr="006871EC">
        <w:rPr>
          <w:sz w:val="20"/>
          <w:szCs w:val="20"/>
        </w:rPr>
        <w:t>,</w:t>
      </w:r>
      <w:r w:rsidRPr="006871EC">
        <w:rPr>
          <w:sz w:val="20"/>
          <w:szCs w:val="20"/>
        </w:rPr>
        <w:t xml:space="preserve"> and remains committed to continuing progress </w:t>
      </w:r>
      <w:r w:rsidR="000F70AF" w:rsidRPr="006871EC">
        <w:rPr>
          <w:sz w:val="20"/>
          <w:szCs w:val="20"/>
        </w:rPr>
        <w:t xml:space="preserve">towards poverty eradication, </w:t>
      </w:r>
      <w:r w:rsidR="005445AF" w:rsidRPr="006871EC">
        <w:rPr>
          <w:sz w:val="20"/>
          <w:szCs w:val="20"/>
        </w:rPr>
        <w:t xml:space="preserve">conflict </w:t>
      </w:r>
      <w:r w:rsidR="003A7D99" w:rsidRPr="006871EC">
        <w:rPr>
          <w:sz w:val="20"/>
          <w:szCs w:val="20"/>
        </w:rPr>
        <w:t xml:space="preserve">prevention, </w:t>
      </w:r>
      <w:r w:rsidR="000F70AF" w:rsidRPr="006871EC">
        <w:rPr>
          <w:sz w:val="20"/>
          <w:szCs w:val="20"/>
        </w:rPr>
        <w:t>peace</w:t>
      </w:r>
      <w:r w:rsidR="00A2274B" w:rsidRPr="006871EC">
        <w:rPr>
          <w:sz w:val="20"/>
          <w:szCs w:val="20"/>
        </w:rPr>
        <w:t>building</w:t>
      </w:r>
      <w:r w:rsidR="000F70AF" w:rsidRPr="006871EC">
        <w:rPr>
          <w:sz w:val="20"/>
          <w:szCs w:val="20"/>
        </w:rPr>
        <w:t xml:space="preserve"> and </w:t>
      </w:r>
      <w:r w:rsidR="003A7D99" w:rsidRPr="006871EC">
        <w:rPr>
          <w:sz w:val="20"/>
          <w:szCs w:val="20"/>
        </w:rPr>
        <w:t>resilience</w:t>
      </w:r>
      <w:r w:rsidR="000F70AF" w:rsidRPr="006871EC">
        <w:rPr>
          <w:sz w:val="20"/>
          <w:szCs w:val="20"/>
        </w:rPr>
        <w:t xml:space="preserve"> as fundamental pillars of sustainable development</w:t>
      </w:r>
      <w:r w:rsidRPr="006871EC">
        <w:rPr>
          <w:sz w:val="20"/>
          <w:szCs w:val="20"/>
        </w:rPr>
        <w:t xml:space="preserve">. </w:t>
      </w:r>
      <w:r w:rsidR="00BE6CC7" w:rsidRPr="006871EC">
        <w:rPr>
          <w:sz w:val="20"/>
          <w:szCs w:val="20"/>
        </w:rPr>
        <w:t xml:space="preserve">The relevance of the </w:t>
      </w:r>
      <w:r w:rsidR="00470EE6" w:rsidRPr="006871EC">
        <w:rPr>
          <w:sz w:val="20"/>
          <w:szCs w:val="20"/>
        </w:rPr>
        <w:t>mainstreaming</w:t>
      </w:r>
      <w:r w:rsidR="00153716" w:rsidRPr="006871EC">
        <w:rPr>
          <w:sz w:val="20"/>
          <w:szCs w:val="20"/>
        </w:rPr>
        <w:t xml:space="preserve">, </w:t>
      </w:r>
      <w:r w:rsidR="00470EE6" w:rsidRPr="006871EC">
        <w:rPr>
          <w:sz w:val="20"/>
          <w:szCs w:val="20"/>
        </w:rPr>
        <w:t xml:space="preserve">acceleration </w:t>
      </w:r>
      <w:r w:rsidR="00153716" w:rsidRPr="006871EC">
        <w:rPr>
          <w:sz w:val="20"/>
          <w:szCs w:val="20"/>
        </w:rPr>
        <w:t xml:space="preserve">and </w:t>
      </w:r>
      <w:r w:rsidR="00470EE6" w:rsidRPr="006871EC">
        <w:rPr>
          <w:sz w:val="20"/>
          <w:szCs w:val="20"/>
        </w:rPr>
        <w:t xml:space="preserve">policy support </w:t>
      </w:r>
      <w:r w:rsidR="00153716" w:rsidRPr="006871EC">
        <w:rPr>
          <w:sz w:val="20"/>
          <w:szCs w:val="20"/>
        </w:rPr>
        <w:t>(</w:t>
      </w:r>
      <w:r w:rsidR="00BE6CC7" w:rsidRPr="006871EC">
        <w:rPr>
          <w:sz w:val="20"/>
          <w:szCs w:val="20"/>
        </w:rPr>
        <w:t>MAPS</w:t>
      </w:r>
      <w:r w:rsidR="00153716" w:rsidRPr="006871EC">
        <w:rPr>
          <w:sz w:val="20"/>
          <w:szCs w:val="20"/>
        </w:rPr>
        <w:t>)</w:t>
      </w:r>
      <w:r w:rsidR="00BE6CC7" w:rsidRPr="006871EC">
        <w:rPr>
          <w:sz w:val="20"/>
          <w:szCs w:val="20"/>
        </w:rPr>
        <w:t xml:space="preserve"> approach </w:t>
      </w:r>
      <w:r w:rsidR="00BC5B3D" w:rsidRPr="006871EC">
        <w:rPr>
          <w:sz w:val="20"/>
          <w:szCs w:val="20"/>
        </w:rPr>
        <w:t xml:space="preserve">to </w:t>
      </w:r>
      <w:r w:rsidR="00BE6CC7" w:rsidRPr="006871EC">
        <w:rPr>
          <w:sz w:val="20"/>
          <w:szCs w:val="20"/>
        </w:rPr>
        <w:t>integrati</w:t>
      </w:r>
      <w:r w:rsidR="00BC5B3D" w:rsidRPr="006871EC">
        <w:rPr>
          <w:sz w:val="20"/>
          <w:szCs w:val="20"/>
        </w:rPr>
        <w:t>ng</w:t>
      </w:r>
      <w:r w:rsidR="00BE6CC7" w:rsidRPr="006871EC">
        <w:rPr>
          <w:sz w:val="20"/>
          <w:szCs w:val="20"/>
        </w:rPr>
        <w:t xml:space="preserve"> the S</w:t>
      </w:r>
      <w:r w:rsidR="00BC5B3D" w:rsidRPr="006871EC">
        <w:rPr>
          <w:sz w:val="20"/>
          <w:szCs w:val="20"/>
        </w:rPr>
        <w:t xml:space="preserve">ustainable </w:t>
      </w:r>
      <w:r w:rsidR="00BE6CC7" w:rsidRPr="006871EC">
        <w:rPr>
          <w:sz w:val="20"/>
          <w:szCs w:val="20"/>
        </w:rPr>
        <w:t>D</w:t>
      </w:r>
      <w:r w:rsidR="00BC5B3D" w:rsidRPr="006871EC">
        <w:rPr>
          <w:sz w:val="20"/>
          <w:szCs w:val="20"/>
        </w:rPr>
        <w:t xml:space="preserve">evelopment </w:t>
      </w:r>
      <w:r w:rsidR="00FC6097" w:rsidRPr="006871EC">
        <w:rPr>
          <w:sz w:val="20"/>
          <w:szCs w:val="20"/>
        </w:rPr>
        <w:t>Goals in</w:t>
      </w:r>
      <w:r w:rsidR="00BE6CC7" w:rsidRPr="006871EC">
        <w:rPr>
          <w:sz w:val="20"/>
          <w:szCs w:val="20"/>
        </w:rPr>
        <w:t xml:space="preserve"> national plans and programmes</w:t>
      </w:r>
      <w:r w:rsidR="00BC5B3D" w:rsidRPr="006871EC">
        <w:rPr>
          <w:sz w:val="20"/>
          <w:szCs w:val="20"/>
        </w:rPr>
        <w:t>,</w:t>
      </w:r>
      <w:r w:rsidR="00BE6CC7" w:rsidRPr="006871EC">
        <w:rPr>
          <w:sz w:val="20"/>
          <w:szCs w:val="20"/>
        </w:rPr>
        <w:t xml:space="preserve"> as stressed by the </w:t>
      </w:r>
      <w:r w:rsidR="00BC5B3D" w:rsidRPr="006871EC">
        <w:rPr>
          <w:sz w:val="20"/>
          <w:szCs w:val="20"/>
        </w:rPr>
        <w:t>evaluation,</w:t>
      </w:r>
      <w:r w:rsidR="00BE6CC7" w:rsidRPr="006871EC">
        <w:rPr>
          <w:sz w:val="20"/>
          <w:szCs w:val="20"/>
        </w:rPr>
        <w:t xml:space="preserve"> has been confirmed by </w:t>
      </w:r>
      <w:r w:rsidR="00BC5B3D" w:rsidRPr="006871EC">
        <w:rPr>
          <w:sz w:val="20"/>
          <w:szCs w:val="20"/>
        </w:rPr>
        <w:t xml:space="preserve">Governments </w:t>
      </w:r>
      <w:r w:rsidR="001866B9" w:rsidRPr="006871EC">
        <w:rPr>
          <w:sz w:val="20"/>
          <w:szCs w:val="20"/>
        </w:rPr>
        <w:t xml:space="preserve">and partners. Since August 2016, UNDP </w:t>
      </w:r>
      <w:r w:rsidR="00BC5B3D" w:rsidRPr="006871EC">
        <w:rPr>
          <w:sz w:val="20"/>
          <w:szCs w:val="20"/>
        </w:rPr>
        <w:t xml:space="preserve">has </w:t>
      </w:r>
      <w:r w:rsidR="001866B9" w:rsidRPr="006871EC">
        <w:rPr>
          <w:sz w:val="20"/>
          <w:szCs w:val="20"/>
        </w:rPr>
        <w:t xml:space="preserve">completed 15 MAPS missions, </w:t>
      </w:r>
      <w:r w:rsidR="00BC5B3D" w:rsidRPr="006871EC">
        <w:rPr>
          <w:sz w:val="20"/>
          <w:szCs w:val="20"/>
        </w:rPr>
        <w:t xml:space="preserve">with </w:t>
      </w:r>
      <w:r w:rsidR="001866B9" w:rsidRPr="006871EC">
        <w:rPr>
          <w:sz w:val="20"/>
          <w:szCs w:val="20"/>
        </w:rPr>
        <w:t>another 17</w:t>
      </w:r>
      <w:r w:rsidR="00BE6CC7" w:rsidRPr="006871EC">
        <w:rPr>
          <w:sz w:val="20"/>
          <w:szCs w:val="20"/>
        </w:rPr>
        <w:t xml:space="preserve"> to be conduct</w:t>
      </w:r>
      <w:r w:rsidR="003A7D99" w:rsidRPr="006871EC">
        <w:rPr>
          <w:sz w:val="20"/>
          <w:szCs w:val="20"/>
        </w:rPr>
        <w:t>ed</w:t>
      </w:r>
      <w:r w:rsidR="00BE6CC7" w:rsidRPr="006871EC">
        <w:rPr>
          <w:sz w:val="20"/>
          <w:szCs w:val="20"/>
        </w:rPr>
        <w:t xml:space="preserve"> </w:t>
      </w:r>
      <w:r w:rsidR="001866B9" w:rsidRPr="006871EC">
        <w:rPr>
          <w:sz w:val="20"/>
          <w:szCs w:val="20"/>
        </w:rPr>
        <w:t>by end</w:t>
      </w:r>
      <w:r w:rsidR="00BC5B3D" w:rsidRPr="006871EC">
        <w:rPr>
          <w:sz w:val="20"/>
          <w:szCs w:val="20"/>
        </w:rPr>
        <w:t>-</w:t>
      </w:r>
      <w:r w:rsidR="001651D6" w:rsidRPr="006871EC">
        <w:rPr>
          <w:sz w:val="20"/>
          <w:szCs w:val="20"/>
        </w:rPr>
        <w:t>2017</w:t>
      </w:r>
      <w:r w:rsidR="00953E6A" w:rsidRPr="006871EC">
        <w:rPr>
          <w:sz w:val="20"/>
          <w:szCs w:val="20"/>
        </w:rPr>
        <w:t xml:space="preserve"> with increasing participation </w:t>
      </w:r>
      <w:r w:rsidR="00D321A3" w:rsidRPr="006871EC">
        <w:rPr>
          <w:sz w:val="20"/>
          <w:szCs w:val="20"/>
        </w:rPr>
        <w:t>of</w:t>
      </w:r>
      <w:r w:rsidR="00953E6A" w:rsidRPr="006871EC">
        <w:rPr>
          <w:sz w:val="20"/>
          <w:szCs w:val="20"/>
        </w:rPr>
        <w:t xml:space="preserve"> U</w:t>
      </w:r>
      <w:r w:rsidR="00470EE6" w:rsidRPr="006871EC">
        <w:rPr>
          <w:sz w:val="20"/>
          <w:szCs w:val="20"/>
        </w:rPr>
        <w:t xml:space="preserve">nited </w:t>
      </w:r>
      <w:r w:rsidR="00953E6A" w:rsidRPr="006871EC">
        <w:rPr>
          <w:sz w:val="20"/>
          <w:szCs w:val="20"/>
        </w:rPr>
        <w:t>N</w:t>
      </w:r>
      <w:r w:rsidR="00470EE6" w:rsidRPr="006871EC">
        <w:rPr>
          <w:sz w:val="20"/>
          <w:szCs w:val="20"/>
        </w:rPr>
        <w:t>ations</w:t>
      </w:r>
      <w:r w:rsidR="00953E6A" w:rsidRPr="006871EC">
        <w:rPr>
          <w:sz w:val="20"/>
          <w:szCs w:val="20"/>
        </w:rPr>
        <w:t xml:space="preserve"> agencies and development partners</w:t>
      </w:r>
      <w:r w:rsidR="001651D6" w:rsidRPr="006871EC">
        <w:rPr>
          <w:sz w:val="20"/>
          <w:szCs w:val="20"/>
        </w:rPr>
        <w:t>.</w:t>
      </w:r>
    </w:p>
    <w:p w14:paraId="7F03ED80" w14:textId="77777777" w:rsidR="003C7E92" w:rsidRPr="003C7E92" w:rsidRDefault="003C7E92" w:rsidP="003241F9">
      <w:pPr>
        <w:pStyle w:val="ListParagraph"/>
        <w:spacing w:after="120"/>
        <w:ind w:right="750"/>
        <w:jc w:val="both"/>
        <w:rPr>
          <w:sz w:val="12"/>
          <w:szCs w:val="12"/>
        </w:rPr>
      </w:pPr>
    </w:p>
    <w:p w14:paraId="3EFE49B1" w14:textId="0588895E" w:rsidR="003C7E92" w:rsidRDefault="001651D6" w:rsidP="003241F9">
      <w:pPr>
        <w:pStyle w:val="ListParagraph"/>
        <w:numPr>
          <w:ilvl w:val="0"/>
          <w:numId w:val="10"/>
        </w:numPr>
        <w:spacing w:after="120"/>
        <w:ind w:right="750" w:firstLine="0"/>
        <w:jc w:val="both"/>
        <w:rPr>
          <w:sz w:val="20"/>
          <w:szCs w:val="20"/>
          <w:lang w:val="en-GB"/>
        </w:rPr>
      </w:pPr>
      <w:r w:rsidRPr="006871EC">
        <w:rPr>
          <w:sz w:val="20"/>
          <w:szCs w:val="20"/>
        </w:rPr>
        <w:t xml:space="preserve">Owing to </w:t>
      </w:r>
      <w:r w:rsidR="00BC5B3D" w:rsidRPr="006871EC">
        <w:rPr>
          <w:sz w:val="20"/>
          <w:szCs w:val="20"/>
        </w:rPr>
        <w:t xml:space="preserve">the </w:t>
      </w:r>
      <w:r w:rsidRPr="006871EC">
        <w:rPr>
          <w:sz w:val="20"/>
          <w:szCs w:val="20"/>
        </w:rPr>
        <w:t>direct engagement</w:t>
      </w:r>
      <w:r w:rsidR="00BC5B3D" w:rsidRPr="006871EC">
        <w:rPr>
          <w:sz w:val="20"/>
          <w:szCs w:val="20"/>
        </w:rPr>
        <w:t xml:space="preserve"> of UNDP</w:t>
      </w:r>
      <w:r w:rsidRPr="006871EC">
        <w:rPr>
          <w:sz w:val="20"/>
          <w:szCs w:val="20"/>
        </w:rPr>
        <w:t xml:space="preserve">, the UNDAF </w:t>
      </w:r>
      <w:r w:rsidR="00BC5B3D" w:rsidRPr="006871EC">
        <w:rPr>
          <w:sz w:val="20"/>
          <w:szCs w:val="20"/>
        </w:rPr>
        <w:t xml:space="preserve">guidance </w:t>
      </w:r>
      <w:r w:rsidRPr="006871EC">
        <w:rPr>
          <w:sz w:val="20"/>
          <w:szCs w:val="20"/>
        </w:rPr>
        <w:t xml:space="preserve">adopted in 2017 integrates MAPS as </w:t>
      </w:r>
      <w:r w:rsidR="00BC5B3D" w:rsidRPr="006871EC">
        <w:rPr>
          <w:sz w:val="20"/>
          <w:szCs w:val="20"/>
        </w:rPr>
        <w:t xml:space="preserve">a </w:t>
      </w:r>
      <w:r w:rsidRPr="006871EC">
        <w:rPr>
          <w:sz w:val="20"/>
          <w:szCs w:val="20"/>
        </w:rPr>
        <w:t>system-wide methodolo</w:t>
      </w:r>
      <w:r w:rsidR="00BC5B3D" w:rsidRPr="006871EC">
        <w:rPr>
          <w:sz w:val="20"/>
          <w:szCs w:val="20"/>
        </w:rPr>
        <w:t>gy</w:t>
      </w:r>
      <w:r w:rsidRPr="006871EC">
        <w:rPr>
          <w:sz w:val="20"/>
          <w:szCs w:val="20"/>
        </w:rPr>
        <w:t xml:space="preserve"> </w:t>
      </w:r>
      <w:r w:rsidR="00BC5B3D" w:rsidRPr="006871EC">
        <w:rPr>
          <w:sz w:val="20"/>
          <w:szCs w:val="20"/>
        </w:rPr>
        <w:t xml:space="preserve">and tool </w:t>
      </w:r>
      <w:r w:rsidRPr="006871EC">
        <w:rPr>
          <w:sz w:val="20"/>
          <w:szCs w:val="20"/>
        </w:rPr>
        <w:t>for implementation of the 2030 Agenda</w:t>
      </w:r>
      <w:r w:rsidR="00F573BA" w:rsidRPr="006871EC">
        <w:rPr>
          <w:sz w:val="20"/>
          <w:szCs w:val="20"/>
        </w:rPr>
        <w:t xml:space="preserve"> </w:t>
      </w:r>
      <w:r w:rsidR="00F573BA" w:rsidRPr="006871EC">
        <w:rPr>
          <w:sz w:val="20"/>
          <w:szCs w:val="20"/>
          <w:lang w:val="en-GB"/>
        </w:rPr>
        <w:t xml:space="preserve">in a systematic, evidence-informed and results-focused </w:t>
      </w:r>
      <w:r w:rsidR="008726B0" w:rsidRPr="006871EC">
        <w:rPr>
          <w:sz w:val="20"/>
          <w:szCs w:val="20"/>
          <w:lang w:val="en-GB"/>
        </w:rPr>
        <w:t>manner</w:t>
      </w:r>
      <w:r w:rsidR="00F573BA" w:rsidRPr="006871EC">
        <w:rPr>
          <w:sz w:val="20"/>
          <w:szCs w:val="20"/>
          <w:lang w:val="en-GB"/>
        </w:rPr>
        <w:t>.</w:t>
      </w:r>
    </w:p>
    <w:p w14:paraId="620A9AFC" w14:textId="77777777" w:rsidR="003C7E92" w:rsidRPr="003C7E92" w:rsidRDefault="003C7E92" w:rsidP="003241F9">
      <w:pPr>
        <w:pStyle w:val="ListParagraph"/>
        <w:spacing w:after="120"/>
        <w:ind w:right="750"/>
        <w:jc w:val="both"/>
        <w:rPr>
          <w:sz w:val="12"/>
          <w:szCs w:val="12"/>
          <w:lang w:val="en-GB"/>
        </w:rPr>
      </w:pPr>
    </w:p>
    <w:p w14:paraId="18B31FB8" w14:textId="7DBA94F3" w:rsidR="005B3D59" w:rsidRPr="006871EC" w:rsidRDefault="003A7D99" w:rsidP="003241F9">
      <w:pPr>
        <w:pStyle w:val="ListParagraph"/>
        <w:numPr>
          <w:ilvl w:val="0"/>
          <w:numId w:val="10"/>
        </w:numPr>
        <w:tabs>
          <w:tab w:val="left" w:pos="1080"/>
        </w:tabs>
        <w:spacing w:after="120"/>
        <w:ind w:right="750" w:firstLine="0"/>
        <w:jc w:val="both"/>
        <w:rPr>
          <w:color w:val="000000" w:themeColor="text1"/>
          <w:sz w:val="20"/>
          <w:szCs w:val="20"/>
        </w:rPr>
      </w:pPr>
      <w:r w:rsidRPr="006871EC">
        <w:rPr>
          <w:color w:val="000000" w:themeColor="text1"/>
          <w:sz w:val="20"/>
          <w:szCs w:val="20"/>
        </w:rPr>
        <w:t xml:space="preserve">Furthermore, for policy coherence and effective country support, in line with </w:t>
      </w:r>
      <w:r w:rsidR="00BC5B3D" w:rsidRPr="006871EC">
        <w:rPr>
          <w:color w:val="000000" w:themeColor="text1"/>
          <w:sz w:val="20"/>
          <w:szCs w:val="20"/>
        </w:rPr>
        <w:t>General Assembly resolution 71/243 of 21 December 2016 on the quadrennial comprehensive policy review of operation</w:t>
      </w:r>
      <w:r w:rsidR="00741743" w:rsidRPr="006871EC">
        <w:rPr>
          <w:color w:val="000000" w:themeColor="text1"/>
          <w:sz w:val="20"/>
          <w:szCs w:val="20"/>
        </w:rPr>
        <w:t>al</w:t>
      </w:r>
      <w:r w:rsidR="00BC5B3D" w:rsidRPr="006871EC">
        <w:rPr>
          <w:color w:val="000000" w:themeColor="text1"/>
          <w:sz w:val="20"/>
          <w:szCs w:val="20"/>
        </w:rPr>
        <w:t xml:space="preserve"> activities for development of the United Nations system</w:t>
      </w:r>
      <w:r w:rsidR="00741743" w:rsidRPr="006871EC">
        <w:rPr>
          <w:color w:val="000000" w:themeColor="text1"/>
          <w:sz w:val="20"/>
          <w:szCs w:val="20"/>
        </w:rPr>
        <w:t xml:space="preserve"> (QCPR)</w:t>
      </w:r>
      <w:r w:rsidR="00E76480" w:rsidRPr="006871EC">
        <w:rPr>
          <w:color w:val="000000" w:themeColor="text1"/>
          <w:sz w:val="20"/>
          <w:szCs w:val="20"/>
        </w:rPr>
        <w:t xml:space="preserve">, </w:t>
      </w:r>
      <w:r w:rsidRPr="006871EC">
        <w:rPr>
          <w:color w:val="000000" w:themeColor="text1"/>
          <w:sz w:val="20"/>
          <w:szCs w:val="20"/>
        </w:rPr>
        <w:t>in the formulation of the</w:t>
      </w:r>
      <w:r w:rsidR="00470EE6" w:rsidRPr="006871EC">
        <w:rPr>
          <w:color w:val="000000" w:themeColor="text1"/>
          <w:sz w:val="20"/>
          <w:szCs w:val="20"/>
        </w:rPr>
        <w:t>ir</w:t>
      </w:r>
      <w:r w:rsidRPr="006871EC">
        <w:rPr>
          <w:color w:val="000000" w:themeColor="text1"/>
          <w:sz w:val="20"/>
          <w:szCs w:val="20"/>
        </w:rPr>
        <w:t xml:space="preserve"> next </w:t>
      </w:r>
      <w:r w:rsidR="006D6CCD" w:rsidRPr="006871EC">
        <w:rPr>
          <w:color w:val="000000" w:themeColor="text1"/>
          <w:sz w:val="20"/>
          <w:szCs w:val="20"/>
        </w:rPr>
        <w:t xml:space="preserve">strategic plans </w:t>
      </w:r>
      <w:r w:rsidRPr="006871EC">
        <w:rPr>
          <w:color w:val="000000" w:themeColor="text1"/>
          <w:sz w:val="20"/>
          <w:szCs w:val="20"/>
        </w:rPr>
        <w:t xml:space="preserve">(2018-2021), </w:t>
      </w:r>
      <w:r w:rsidR="00796F4C" w:rsidRPr="006871EC">
        <w:rPr>
          <w:color w:val="000000" w:themeColor="text1"/>
          <w:sz w:val="20"/>
          <w:szCs w:val="20"/>
        </w:rPr>
        <w:t xml:space="preserve">four funds </w:t>
      </w:r>
      <w:r w:rsidRPr="006871EC">
        <w:rPr>
          <w:color w:val="000000" w:themeColor="text1"/>
          <w:sz w:val="20"/>
          <w:szCs w:val="20"/>
        </w:rPr>
        <w:t xml:space="preserve">and </w:t>
      </w:r>
      <w:r w:rsidR="00796F4C" w:rsidRPr="006871EC">
        <w:rPr>
          <w:color w:val="000000" w:themeColor="text1"/>
          <w:sz w:val="20"/>
          <w:szCs w:val="20"/>
        </w:rPr>
        <w:t>programmes</w:t>
      </w:r>
      <w:r w:rsidR="006A344D" w:rsidRPr="006871EC">
        <w:rPr>
          <w:color w:val="000000" w:themeColor="text1"/>
          <w:sz w:val="20"/>
          <w:szCs w:val="20"/>
        </w:rPr>
        <w:t>, including UNDP,</w:t>
      </w:r>
      <w:r w:rsidRPr="006871EC">
        <w:rPr>
          <w:color w:val="000000" w:themeColor="text1"/>
          <w:sz w:val="20"/>
          <w:szCs w:val="20"/>
        </w:rPr>
        <w:t xml:space="preserve"> committed to collaborative approaches in </w:t>
      </w:r>
      <w:r w:rsidR="00796F4C" w:rsidRPr="006871EC">
        <w:rPr>
          <w:color w:val="000000" w:themeColor="text1"/>
          <w:sz w:val="20"/>
          <w:szCs w:val="20"/>
        </w:rPr>
        <w:t xml:space="preserve">the </w:t>
      </w:r>
      <w:r w:rsidRPr="006871EC">
        <w:rPr>
          <w:color w:val="000000" w:themeColor="text1"/>
          <w:sz w:val="20"/>
          <w:szCs w:val="20"/>
        </w:rPr>
        <w:t>five priority areas</w:t>
      </w:r>
      <w:r w:rsidR="00796F4C" w:rsidRPr="006871EC">
        <w:rPr>
          <w:color w:val="000000" w:themeColor="text1"/>
          <w:sz w:val="20"/>
          <w:szCs w:val="20"/>
        </w:rPr>
        <w:t xml:space="preserve"> of</w:t>
      </w:r>
      <w:r w:rsidRPr="006871EC">
        <w:rPr>
          <w:color w:val="000000" w:themeColor="text1"/>
          <w:sz w:val="20"/>
          <w:szCs w:val="20"/>
        </w:rPr>
        <w:t xml:space="preserve"> poverty eradication</w:t>
      </w:r>
      <w:r w:rsidR="00796F4C" w:rsidRPr="006871EC">
        <w:rPr>
          <w:color w:val="000000" w:themeColor="text1"/>
          <w:sz w:val="20"/>
          <w:szCs w:val="20"/>
        </w:rPr>
        <w:t xml:space="preserve">; </w:t>
      </w:r>
      <w:r w:rsidRPr="006871EC">
        <w:rPr>
          <w:color w:val="000000" w:themeColor="text1"/>
          <w:sz w:val="20"/>
          <w:szCs w:val="20"/>
        </w:rPr>
        <w:t>gender equality and women’s empowerment</w:t>
      </w:r>
      <w:r w:rsidR="00796F4C" w:rsidRPr="006871EC">
        <w:rPr>
          <w:color w:val="000000" w:themeColor="text1"/>
          <w:sz w:val="20"/>
          <w:szCs w:val="20"/>
        </w:rPr>
        <w:t xml:space="preserve">; </w:t>
      </w:r>
      <w:r w:rsidRPr="006871EC">
        <w:rPr>
          <w:color w:val="000000" w:themeColor="text1"/>
          <w:sz w:val="20"/>
          <w:szCs w:val="20"/>
        </w:rPr>
        <w:t>prevention, peacebuilding and sustaining peace</w:t>
      </w:r>
      <w:r w:rsidR="00796F4C" w:rsidRPr="006871EC">
        <w:rPr>
          <w:color w:val="000000" w:themeColor="text1"/>
          <w:sz w:val="20"/>
          <w:szCs w:val="20"/>
        </w:rPr>
        <w:t xml:space="preserve">; </w:t>
      </w:r>
      <w:r w:rsidRPr="006871EC">
        <w:rPr>
          <w:color w:val="000000" w:themeColor="text1"/>
          <w:sz w:val="20"/>
          <w:szCs w:val="20"/>
        </w:rPr>
        <w:t>climate change</w:t>
      </w:r>
      <w:r w:rsidR="00796F4C" w:rsidRPr="006871EC">
        <w:rPr>
          <w:color w:val="000000" w:themeColor="text1"/>
          <w:sz w:val="20"/>
          <w:szCs w:val="20"/>
        </w:rPr>
        <w:t xml:space="preserve">; </w:t>
      </w:r>
      <w:r w:rsidRPr="006871EC">
        <w:rPr>
          <w:color w:val="000000" w:themeColor="text1"/>
          <w:sz w:val="20"/>
          <w:szCs w:val="20"/>
        </w:rPr>
        <w:t>and sustainable data.</w:t>
      </w:r>
      <w:r w:rsidR="005B3D59" w:rsidRPr="006871EC">
        <w:rPr>
          <w:color w:val="000000" w:themeColor="text1"/>
          <w:sz w:val="20"/>
          <w:szCs w:val="20"/>
        </w:rPr>
        <w:t xml:space="preserve"> </w:t>
      </w:r>
      <w:r w:rsidR="005B3D59" w:rsidRPr="006871EC">
        <w:rPr>
          <w:color w:val="000000" w:themeColor="text1"/>
          <w:sz w:val="20"/>
          <w:szCs w:val="20"/>
        </w:rPr>
        <w:lastRenderedPageBreak/>
        <w:t xml:space="preserve">Joint work and results monitoring will trickle down to country programmes and projects </w:t>
      </w:r>
      <w:r w:rsidR="004B7656" w:rsidRPr="006871EC">
        <w:rPr>
          <w:color w:val="000000" w:themeColor="text1"/>
          <w:sz w:val="20"/>
          <w:szCs w:val="20"/>
        </w:rPr>
        <w:t>to enhance</w:t>
      </w:r>
      <w:r w:rsidR="005B3D59" w:rsidRPr="006871EC">
        <w:rPr>
          <w:color w:val="000000" w:themeColor="text1"/>
          <w:sz w:val="20"/>
          <w:szCs w:val="20"/>
        </w:rPr>
        <w:t xml:space="preserve"> contribution to the</w:t>
      </w:r>
      <w:r w:rsidR="00796F4C" w:rsidRPr="006871EC">
        <w:rPr>
          <w:color w:val="000000" w:themeColor="text1"/>
          <w:sz w:val="20"/>
          <w:szCs w:val="20"/>
        </w:rPr>
        <w:t xml:space="preserve"> </w:t>
      </w:r>
      <w:r w:rsidR="00470EE6" w:rsidRPr="006871EC">
        <w:rPr>
          <w:color w:val="000000" w:themeColor="text1"/>
          <w:sz w:val="20"/>
          <w:szCs w:val="20"/>
        </w:rPr>
        <w:t>Sustainable Development Goals</w:t>
      </w:r>
      <w:r w:rsidR="004B7656" w:rsidRPr="006871EC">
        <w:rPr>
          <w:color w:val="000000" w:themeColor="text1"/>
          <w:sz w:val="20"/>
          <w:szCs w:val="20"/>
        </w:rPr>
        <w:t>.</w:t>
      </w:r>
      <w:r w:rsidRPr="006871EC">
        <w:rPr>
          <w:color w:val="000000" w:themeColor="text1"/>
          <w:sz w:val="20"/>
          <w:szCs w:val="20"/>
        </w:rPr>
        <w:t xml:space="preserve"> </w:t>
      </w:r>
    </w:p>
    <w:p w14:paraId="38B5C8AA" w14:textId="77777777" w:rsidR="00405F0B" w:rsidRPr="006871EC" w:rsidRDefault="00405F0B" w:rsidP="003241F9">
      <w:pPr>
        <w:spacing w:after="120"/>
        <w:ind w:left="720" w:right="750"/>
        <w:jc w:val="both"/>
        <w:rPr>
          <w:b/>
          <w:sz w:val="20"/>
          <w:szCs w:val="20"/>
        </w:rPr>
      </w:pPr>
      <w:r w:rsidRPr="006871EC">
        <w:rPr>
          <w:b/>
          <w:sz w:val="20"/>
          <w:szCs w:val="20"/>
        </w:rPr>
        <w:t xml:space="preserve">Sustainable </w:t>
      </w:r>
      <w:r w:rsidR="00796F4C" w:rsidRPr="006871EC">
        <w:rPr>
          <w:b/>
          <w:sz w:val="20"/>
          <w:szCs w:val="20"/>
        </w:rPr>
        <w:t>development pathways</w:t>
      </w:r>
    </w:p>
    <w:p w14:paraId="30E00424" w14:textId="75523CDD" w:rsidR="00DA02C2" w:rsidRDefault="005B3D59" w:rsidP="003241F9">
      <w:pPr>
        <w:pStyle w:val="ListParagraph"/>
        <w:numPr>
          <w:ilvl w:val="0"/>
          <w:numId w:val="10"/>
        </w:numPr>
        <w:tabs>
          <w:tab w:val="left" w:pos="1080"/>
        </w:tabs>
        <w:spacing w:after="120"/>
        <w:ind w:right="750" w:firstLine="0"/>
        <w:jc w:val="both"/>
        <w:rPr>
          <w:sz w:val="20"/>
          <w:szCs w:val="20"/>
        </w:rPr>
      </w:pPr>
      <w:r w:rsidRPr="006871EC">
        <w:rPr>
          <w:sz w:val="20"/>
          <w:szCs w:val="20"/>
        </w:rPr>
        <w:t xml:space="preserve">UNDP </w:t>
      </w:r>
      <w:r w:rsidR="00796F4C" w:rsidRPr="006871EC">
        <w:rPr>
          <w:sz w:val="20"/>
          <w:szCs w:val="20"/>
        </w:rPr>
        <w:t xml:space="preserve">management </w:t>
      </w:r>
      <w:r w:rsidR="00737C69" w:rsidRPr="006871EC">
        <w:rPr>
          <w:sz w:val="20"/>
          <w:szCs w:val="20"/>
        </w:rPr>
        <w:t>is very pleased to note</w:t>
      </w:r>
      <w:r w:rsidRPr="006871EC">
        <w:rPr>
          <w:sz w:val="20"/>
          <w:szCs w:val="20"/>
        </w:rPr>
        <w:t xml:space="preserve"> the </w:t>
      </w:r>
      <w:r w:rsidR="00796F4C" w:rsidRPr="006871EC">
        <w:rPr>
          <w:sz w:val="20"/>
          <w:szCs w:val="20"/>
        </w:rPr>
        <w:t xml:space="preserve">evaluation's </w:t>
      </w:r>
      <w:r w:rsidRPr="006871EC">
        <w:rPr>
          <w:sz w:val="20"/>
          <w:szCs w:val="20"/>
        </w:rPr>
        <w:t xml:space="preserve">positive findings regarding the </w:t>
      </w:r>
      <w:r w:rsidR="00737C69" w:rsidRPr="006871EC">
        <w:rPr>
          <w:sz w:val="20"/>
          <w:szCs w:val="20"/>
        </w:rPr>
        <w:t xml:space="preserve">critical </w:t>
      </w:r>
      <w:r w:rsidR="00796F4C" w:rsidRPr="006871EC">
        <w:rPr>
          <w:sz w:val="20"/>
          <w:szCs w:val="20"/>
        </w:rPr>
        <w:t xml:space="preserve">UNDP </w:t>
      </w:r>
      <w:r w:rsidR="00737C69" w:rsidRPr="006871EC">
        <w:rPr>
          <w:sz w:val="20"/>
          <w:szCs w:val="20"/>
        </w:rPr>
        <w:t xml:space="preserve">contribution to poverty reduction </w:t>
      </w:r>
      <w:r w:rsidR="00796F4C" w:rsidRPr="006871EC">
        <w:rPr>
          <w:sz w:val="20"/>
          <w:szCs w:val="20"/>
        </w:rPr>
        <w:t xml:space="preserve">in </w:t>
      </w:r>
      <w:r w:rsidR="00737C69" w:rsidRPr="006871EC">
        <w:rPr>
          <w:sz w:val="20"/>
          <w:szCs w:val="20"/>
        </w:rPr>
        <w:t xml:space="preserve">the current Strategic Plan </w:t>
      </w:r>
      <w:r w:rsidR="00796F4C" w:rsidRPr="006871EC">
        <w:rPr>
          <w:sz w:val="20"/>
          <w:szCs w:val="20"/>
        </w:rPr>
        <w:t xml:space="preserve">through </w:t>
      </w:r>
      <w:r w:rsidR="00737C69" w:rsidRPr="006871EC">
        <w:rPr>
          <w:sz w:val="20"/>
          <w:szCs w:val="20"/>
        </w:rPr>
        <w:t xml:space="preserve">a </w:t>
      </w:r>
      <w:r w:rsidR="00224A9D" w:rsidRPr="006871EC">
        <w:rPr>
          <w:sz w:val="20"/>
          <w:szCs w:val="20"/>
        </w:rPr>
        <w:t>multi</w:t>
      </w:r>
      <w:r w:rsidR="00C0657F" w:rsidRPr="006871EC">
        <w:rPr>
          <w:sz w:val="20"/>
          <w:szCs w:val="20"/>
        </w:rPr>
        <w:t xml:space="preserve">dimensional approach </w:t>
      </w:r>
      <w:r w:rsidR="00737C69" w:rsidRPr="006871EC">
        <w:rPr>
          <w:sz w:val="20"/>
          <w:szCs w:val="20"/>
        </w:rPr>
        <w:t>that include</w:t>
      </w:r>
      <w:r w:rsidR="004B7656" w:rsidRPr="006871EC">
        <w:rPr>
          <w:sz w:val="20"/>
          <w:szCs w:val="20"/>
        </w:rPr>
        <w:t>s</w:t>
      </w:r>
      <w:r w:rsidR="00285B05" w:rsidRPr="006871EC">
        <w:rPr>
          <w:sz w:val="20"/>
          <w:szCs w:val="20"/>
        </w:rPr>
        <w:t xml:space="preserve"> </w:t>
      </w:r>
      <w:r w:rsidR="00737C69" w:rsidRPr="006871EC">
        <w:rPr>
          <w:sz w:val="20"/>
          <w:szCs w:val="20"/>
        </w:rPr>
        <w:t xml:space="preserve">designing and establishing </w:t>
      </w:r>
      <w:r w:rsidR="00285B05" w:rsidRPr="006871EC">
        <w:rPr>
          <w:sz w:val="20"/>
          <w:szCs w:val="20"/>
        </w:rPr>
        <w:t>sustainable social protection systems</w:t>
      </w:r>
      <w:r w:rsidR="00796F4C" w:rsidRPr="006871EC">
        <w:rPr>
          <w:sz w:val="20"/>
          <w:szCs w:val="20"/>
        </w:rPr>
        <w:t xml:space="preserve">; </w:t>
      </w:r>
      <w:r w:rsidRPr="006871EC">
        <w:rPr>
          <w:sz w:val="20"/>
          <w:szCs w:val="20"/>
        </w:rPr>
        <w:t>coupling of poverty reduction and environmenta</w:t>
      </w:r>
      <w:r w:rsidR="00224A9D" w:rsidRPr="006871EC">
        <w:rPr>
          <w:sz w:val="20"/>
          <w:szCs w:val="20"/>
        </w:rPr>
        <w:t>l protection for</w:t>
      </w:r>
      <w:r w:rsidR="00257ED9" w:rsidRPr="006871EC">
        <w:rPr>
          <w:sz w:val="20"/>
          <w:szCs w:val="20"/>
        </w:rPr>
        <w:t xml:space="preserve"> sustainable development</w:t>
      </w:r>
      <w:r w:rsidR="00796F4C" w:rsidRPr="006871EC">
        <w:rPr>
          <w:sz w:val="20"/>
          <w:szCs w:val="20"/>
        </w:rPr>
        <w:t xml:space="preserve">; </w:t>
      </w:r>
      <w:r w:rsidR="00257ED9" w:rsidRPr="006871EC">
        <w:rPr>
          <w:sz w:val="20"/>
          <w:szCs w:val="20"/>
        </w:rPr>
        <w:t>increasing investment in productive capacities</w:t>
      </w:r>
      <w:r w:rsidR="00796F4C" w:rsidRPr="006871EC">
        <w:rPr>
          <w:sz w:val="20"/>
          <w:szCs w:val="20"/>
        </w:rPr>
        <w:t xml:space="preserve">; </w:t>
      </w:r>
      <w:r w:rsidR="00224A9D" w:rsidRPr="006871EC">
        <w:rPr>
          <w:sz w:val="20"/>
          <w:szCs w:val="20"/>
        </w:rPr>
        <w:t xml:space="preserve">and </w:t>
      </w:r>
      <w:r w:rsidR="004C35DB" w:rsidRPr="006871EC">
        <w:rPr>
          <w:sz w:val="20"/>
          <w:szCs w:val="20"/>
        </w:rPr>
        <w:t xml:space="preserve">improved management of social and natural capital and risks. </w:t>
      </w:r>
      <w:r w:rsidR="00016453" w:rsidRPr="006871EC">
        <w:rPr>
          <w:sz w:val="20"/>
          <w:szCs w:val="20"/>
        </w:rPr>
        <w:t xml:space="preserve">As reflected in </w:t>
      </w:r>
      <w:r w:rsidR="006D0D1D" w:rsidRPr="006871EC">
        <w:rPr>
          <w:sz w:val="20"/>
          <w:szCs w:val="20"/>
        </w:rPr>
        <w:t xml:space="preserve">the </w:t>
      </w:r>
      <w:r w:rsidR="002A0F27" w:rsidRPr="006871EC">
        <w:rPr>
          <w:sz w:val="20"/>
          <w:szCs w:val="20"/>
        </w:rPr>
        <w:t>report on the implementation of recommendations of the evaluation of the UNDP contribution to poverty reduction</w:t>
      </w:r>
      <w:r w:rsidR="002A0F27" w:rsidRPr="006871EC" w:rsidDel="00796F4C">
        <w:rPr>
          <w:sz w:val="20"/>
          <w:szCs w:val="20"/>
        </w:rPr>
        <w:t xml:space="preserve"> </w:t>
      </w:r>
      <w:r w:rsidR="002A0F27" w:rsidRPr="006871EC">
        <w:rPr>
          <w:sz w:val="20"/>
          <w:szCs w:val="20"/>
        </w:rPr>
        <w:t>(</w:t>
      </w:r>
      <w:hyperlink r:id="rId17" w:history="1">
        <w:r w:rsidR="002A0F27" w:rsidRPr="006871EC">
          <w:rPr>
            <w:rStyle w:val="Hyperlink"/>
            <w:sz w:val="20"/>
            <w:szCs w:val="20"/>
          </w:rPr>
          <w:t>DP/2016/26</w:t>
        </w:r>
      </w:hyperlink>
      <w:r w:rsidR="002A0F27" w:rsidRPr="006871EC">
        <w:rPr>
          <w:sz w:val="20"/>
          <w:szCs w:val="20"/>
        </w:rPr>
        <w:t xml:space="preserve">) </w:t>
      </w:r>
      <w:r w:rsidR="00016453" w:rsidRPr="006871EC">
        <w:rPr>
          <w:sz w:val="20"/>
          <w:szCs w:val="20"/>
        </w:rPr>
        <w:t xml:space="preserve">presented to the Executive Board </w:t>
      </w:r>
      <w:r w:rsidR="002A0F27" w:rsidRPr="006871EC">
        <w:rPr>
          <w:sz w:val="20"/>
          <w:szCs w:val="20"/>
        </w:rPr>
        <w:t xml:space="preserve">at the </w:t>
      </w:r>
      <w:r w:rsidR="004B7656" w:rsidRPr="006871EC">
        <w:rPr>
          <w:sz w:val="20"/>
          <w:szCs w:val="20"/>
        </w:rPr>
        <w:t xml:space="preserve">2016 </w:t>
      </w:r>
      <w:r w:rsidR="002A0F27" w:rsidRPr="006871EC">
        <w:rPr>
          <w:sz w:val="20"/>
          <w:szCs w:val="20"/>
        </w:rPr>
        <w:t>second regular session</w:t>
      </w:r>
      <w:r w:rsidR="00016453" w:rsidRPr="006871EC">
        <w:rPr>
          <w:sz w:val="20"/>
          <w:szCs w:val="20"/>
        </w:rPr>
        <w:t xml:space="preserve">, </w:t>
      </w:r>
      <w:r w:rsidR="006D0D1D" w:rsidRPr="006871EC">
        <w:rPr>
          <w:sz w:val="20"/>
          <w:szCs w:val="20"/>
        </w:rPr>
        <w:t>UNDP has strengthened its engagement with civil society on poverty issues, including through the Civil Society Advisory Committee</w:t>
      </w:r>
      <w:r w:rsidR="002A0F27" w:rsidRPr="006871EC">
        <w:rPr>
          <w:sz w:val="20"/>
          <w:szCs w:val="20"/>
        </w:rPr>
        <w:t xml:space="preserve">, </w:t>
      </w:r>
      <w:r w:rsidR="006D0D1D" w:rsidRPr="006871EC">
        <w:rPr>
          <w:sz w:val="20"/>
          <w:szCs w:val="20"/>
        </w:rPr>
        <w:t xml:space="preserve">and adopted a multidisciplinary, targeted approach to poverty reduction through all programmes and projects. </w:t>
      </w:r>
    </w:p>
    <w:p w14:paraId="6EF5EA1C" w14:textId="77777777" w:rsidR="00E97620" w:rsidRPr="00E97620" w:rsidRDefault="00E97620" w:rsidP="003241F9">
      <w:pPr>
        <w:pStyle w:val="ListParagraph"/>
        <w:tabs>
          <w:tab w:val="left" w:pos="1080"/>
        </w:tabs>
        <w:spacing w:after="120"/>
        <w:ind w:right="750"/>
        <w:jc w:val="both"/>
        <w:rPr>
          <w:sz w:val="12"/>
          <w:szCs w:val="12"/>
        </w:rPr>
      </w:pPr>
    </w:p>
    <w:p w14:paraId="61F33489" w14:textId="70D5B8EA" w:rsidR="00544A15" w:rsidRDefault="00272E66" w:rsidP="003241F9">
      <w:pPr>
        <w:pStyle w:val="ListParagraph"/>
        <w:numPr>
          <w:ilvl w:val="0"/>
          <w:numId w:val="10"/>
        </w:numPr>
        <w:tabs>
          <w:tab w:val="left" w:pos="1080"/>
        </w:tabs>
        <w:spacing w:after="120"/>
        <w:ind w:right="750" w:firstLine="0"/>
        <w:jc w:val="both"/>
        <w:rPr>
          <w:sz w:val="20"/>
          <w:szCs w:val="20"/>
        </w:rPr>
      </w:pPr>
      <w:r w:rsidRPr="006871EC">
        <w:rPr>
          <w:sz w:val="20"/>
          <w:szCs w:val="20"/>
        </w:rPr>
        <w:t xml:space="preserve">The sustainability </w:t>
      </w:r>
      <w:r w:rsidR="00974513" w:rsidRPr="006871EC">
        <w:rPr>
          <w:sz w:val="20"/>
          <w:szCs w:val="20"/>
        </w:rPr>
        <w:t>of results enabled by</w:t>
      </w:r>
      <w:r w:rsidR="006C509E" w:rsidRPr="006871EC">
        <w:rPr>
          <w:sz w:val="20"/>
          <w:szCs w:val="20"/>
        </w:rPr>
        <w:t xml:space="preserve"> UNDP</w:t>
      </w:r>
      <w:r w:rsidR="00974513" w:rsidRPr="006871EC">
        <w:rPr>
          <w:sz w:val="20"/>
          <w:szCs w:val="20"/>
        </w:rPr>
        <w:t>, including jobs created and livelihoods supported,</w:t>
      </w:r>
      <w:r w:rsidR="006C509E" w:rsidRPr="006871EC">
        <w:rPr>
          <w:sz w:val="20"/>
          <w:szCs w:val="20"/>
        </w:rPr>
        <w:t xml:space="preserve"> </w:t>
      </w:r>
      <w:r w:rsidR="00196C99" w:rsidRPr="006871EC">
        <w:rPr>
          <w:sz w:val="20"/>
          <w:szCs w:val="20"/>
        </w:rPr>
        <w:t>is an important component of t</w:t>
      </w:r>
      <w:r w:rsidR="006C509E" w:rsidRPr="006871EC">
        <w:rPr>
          <w:sz w:val="20"/>
          <w:szCs w:val="20"/>
        </w:rPr>
        <w:t xml:space="preserve">he quality standards </w:t>
      </w:r>
      <w:r w:rsidR="00FB166C" w:rsidRPr="006871EC">
        <w:rPr>
          <w:sz w:val="20"/>
          <w:szCs w:val="20"/>
        </w:rPr>
        <w:t xml:space="preserve">used to assess </w:t>
      </w:r>
      <w:r w:rsidR="006C509E" w:rsidRPr="006871EC">
        <w:rPr>
          <w:sz w:val="20"/>
          <w:szCs w:val="20"/>
        </w:rPr>
        <w:t xml:space="preserve">programmes and projects </w:t>
      </w:r>
      <w:r w:rsidR="00250321" w:rsidRPr="006871EC">
        <w:rPr>
          <w:sz w:val="20"/>
          <w:szCs w:val="20"/>
        </w:rPr>
        <w:t xml:space="preserve">from </w:t>
      </w:r>
      <w:r w:rsidR="006C509E" w:rsidRPr="006871EC">
        <w:rPr>
          <w:sz w:val="20"/>
          <w:szCs w:val="20"/>
        </w:rPr>
        <w:t>design to closure</w:t>
      </w:r>
      <w:r w:rsidR="00316B88" w:rsidRPr="006871EC">
        <w:rPr>
          <w:sz w:val="20"/>
          <w:szCs w:val="20"/>
        </w:rPr>
        <w:t>. R</w:t>
      </w:r>
      <w:r w:rsidR="000023A9" w:rsidRPr="006871EC">
        <w:rPr>
          <w:sz w:val="20"/>
          <w:szCs w:val="20"/>
        </w:rPr>
        <w:t>igorous</w:t>
      </w:r>
      <w:r w:rsidR="008621AB" w:rsidRPr="006871EC">
        <w:rPr>
          <w:sz w:val="20"/>
          <w:szCs w:val="20"/>
        </w:rPr>
        <w:t xml:space="preserve"> gender analyse</w:t>
      </w:r>
      <w:r w:rsidR="00544A15" w:rsidRPr="006871EC">
        <w:rPr>
          <w:sz w:val="20"/>
          <w:szCs w:val="20"/>
        </w:rPr>
        <w:t xml:space="preserve">s in </w:t>
      </w:r>
      <w:r w:rsidR="00250321" w:rsidRPr="006871EC">
        <w:rPr>
          <w:sz w:val="20"/>
          <w:szCs w:val="20"/>
        </w:rPr>
        <w:t xml:space="preserve">the </w:t>
      </w:r>
      <w:r w:rsidR="00544A15" w:rsidRPr="006871EC">
        <w:rPr>
          <w:sz w:val="20"/>
          <w:szCs w:val="20"/>
        </w:rPr>
        <w:t xml:space="preserve">formulation of programmes and projects </w:t>
      </w:r>
      <w:r w:rsidR="00250321" w:rsidRPr="006871EC">
        <w:rPr>
          <w:sz w:val="20"/>
          <w:szCs w:val="20"/>
        </w:rPr>
        <w:t>and the</w:t>
      </w:r>
      <w:r w:rsidR="00544A15" w:rsidRPr="006871EC">
        <w:rPr>
          <w:sz w:val="20"/>
          <w:szCs w:val="20"/>
        </w:rPr>
        <w:t xml:space="preserve"> inclusion of gender results and the gender marker are corporate requirements for all UNDP interventions</w:t>
      </w:r>
      <w:r w:rsidR="00250321" w:rsidRPr="006871EC">
        <w:rPr>
          <w:sz w:val="20"/>
          <w:szCs w:val="20"/>
        </w:rPr>
        <w:t>.</w:t>
      </w:r>
      <w:r w:rsidR="00544A15" w:rsidRPr="006871EC">
        <w:rPr>
          <w:sz w:val="20"/>
          <w:szCs w:val="20"/>
        </w:rPr>
        <w:t xml:space="preserve"> </w:t>
      </w:r>
      <w:r w:rsidR="00196C99" w:rsidRPr="006871EC">
        <w:rPr>
          <w:sz w:val="20"/>
          <w:szCs w:val="20"/>
        </w:rPr>
        <w:t>M</w:t>
      </w:r>
      <w:r w:rsidR="00240FCD" w:rsidRPr="006871EC">
        <w:rPr>
          <w:sz w:val="20"/>
          <w:szCs w:val="20"/>
        </w:rPr>
        <w:t xml:space="preserve">anagement commitments made in response to the </w:t>
      </w:r>
      <w:r w:rsidR="00250321" w:rsidRPr="006871EC">
        <w:rPr>
          <w:sz w:val="20"/>
          <w:szCs w:val="20"/>
        </w:rPr>
        <w:t xml:space="preserve">2015 independent evaluation of the UNDP contribution to gender equality and women’s empowerment are </w:t>
      </w:r>
      <w:r w:rsidR="00544A15" w:rsidRPr="006871EC">
        <w:rPr>
          <w:sz w:val="20"/>
          <w:szCs w:val="20"/>
        </w:rPr>
        <w:t xml:space="preserve">thoroughly monitored and reported to the Executive Board through both the </w:t>
      </w:r>
      <w:r w:rsidR="00250321" w:rsidRPr="006871EC">
        <w:rPr>
          <w:sz w:val="20"/>
          <w:szCs w:val="20"/>
        </w:rPr>
        <w:t xml:space="preserve">annual report </w:t>
      </w:r>
      <w:r w:rsidR="00544A15" w:rsidRPr="006871EC">
        <w:rPr>
          <w:sz w:val="20"/>
          <w:szCs w:val="20"/>
        </w:rPr>
        <w:t xml:space="preserve">of the Administrator and the </w:t>
      </w:r>
      <w:r w:rsidR="00250321" w:rsidRPr="006871EC">
        <w:rPr>
          <w:sz w:val="20"/>
          <w:szCs w:val="20"/>
        </w:rPr>
        <w:t>report on the implementation of the gender equality strategy</w:t>
      </w:r>
      <w:r w:rsidR="00544A15" w:rsidRPr="006871EC">
        <w:rPr>
          <w:sz w:val="20"/>
          <w:szCs w:val="20"/>
        </w:rPr>
        <w:t xml:space="preserve">. </w:t>
      </w:r>
      <w:r w:rsidR="00C404B6" w:rsidRPr="006871EC">
        <w:rPr>
          <w:sz w:val="20"/>
          <w:szCs w:val="20"/>
        </w:rPr>
        <w:t>Under t</w:t>
      </w:r>
      <w:r w:rsidR="00250321" w:rsidRPr="006871EC">
        <w:rPr>
          <w:sz w:val="20"/>
          <w:szCs w:val="20"/>
        </w:rPr>
        <w:t>he</w:t>
      </w:r>
      <w:r w:rsidR="00544A15" w:rsidRPr="006871EC">
        <w:rPr>
          <w:sz w:val="20"/>
          <w:szCs w:val="20"/>
        </w:rPr>
        <w:t xml:space="preserve"> new </w:t>
      </w:r>
      <w:r w:rsidR="00250321" w:rsidRPr="006871EC">
        <w:rPr>
          <w:sz w:val="20"/>
          <w:szCs w:val="20"/>
        </w:rPr>
        <w:t xml:space="preserve">gender strategy for the period </w:t>
      </w:r>
      <w:r w:rsidR="00544A15" w:rsidRPr="006871EC">
        <w:rPr>
          <w:sz w:val="20"/>
          <w:szCs w:val="20"/>
        </w:rPr>
        <w:t>2018-2021</w:t>
      </w:r>
      <w:r w:rsidR="00C404B6" w:rsidRPr="006871EC">
        <w:rPr>
          <w:sz w:val="20"/>
          <w:szCs w:val="20"/>
        </w:rPr>
        <w:t>, UNDP</w:t>
      </w:r>
      <w:r w:rsidR="00544A15" w:rsidRPr="006871EC">
        <w:rPr>
          <w:sz w:val="20"/>
          <w:szCs w:val="20"/>
        </w:rPr>
        <w:t xml:space="preserve"> will continue to mainstream gender equality and women’s empowerment in </w:t>
      </w:r>
      <w:r w:rsidR="00C404B6" w:rsidRPr="006871EC">
        <w:rPr>
          <w:sz w:val="20"/>
          <w:szCs w:val="20"/>
        </w:rPr>
        <w:t xml:space="preserve">all </w:t>
      </w:r>
      <w:r w:rsidR="00544A15" w:rsidRPr="006871EC">
        <w:rPr>
          <w:sz w:val="20"/>
          <w:szCs w:val="20"/>
        </w:rPr>
        <w:t>programme</w:t>
      </w:r>
      <w:r w:rsidR="00196C99" w:rsidRPr="006871EC">
        <w:rPr>
          <w:sz w:val="20"/>
          <w:szCs w:val="20"/>
        </w:rPr>
        <w:t>s</w:t>
      </w:r>
      <w:r w:rsidR="00544A15" w:rsidRPr="006871EC">
        <w:rPr>
          <w:sz w:val="20"/>
          <w:szCs w:val="20"/>
        </w:rPr>
        <w:t xml:space="preserve"> and project</w:t>
      </w:r>
      <w:r w:rsidR="00196C99" w:rsidRPr="006871EC">
        <w:rPr>
          <w:sz w:val="20"/>
          <w:szCs w:val="20"/>
        </w:rPr>
        <w:t>s</w:t>
      </w:r>
      <w:r w:rsidR="00544A15" w:rsidRPr="006871EC">
        <w:rPr>
          <w:sz w:val="20"/>
          <w:szCs w:val="20"/>
        </w:rPr>
        <w:t xml:space="preserve">, pursue commitments </w:t>
      </w:r>
      <w:r w:rsidR="00C404B6" w:rsidRPr="006871EC">
        <w:rPr>
          <w:sz w:val="20"/>
          <w:szCs w:val="20"/>
        </w:rPr>
        <w:t xml:space="preserve">under the United Nations System-wide Action Plan on Gender Equality and the Empowerment of Women </w:t>
      </w:r>
      <w:r w:rsidR="00544A15" w:rsidRPr="006871EC">
        <w:rPr>
          <w:sz w:val="20"/>
          <w:szCs w:val="20"/>
        </w:rPr>
        <w:t xml:space="preserve">and use the Gender Seal </w:t>
      </w:r>
      <w:r w:rsidR="00C404B6" w:rsidRPr="006871EC">
        <w:rPr>
          <w:sz w:val="20"/>
          <w:szCs w:val="20"/>
        </w:rPr>
        <w:t xml:space="preserve">to promote </w:t>
      </w:r>
      <w:r w:rsidR="00544A15" w:rsidRPr="006871EC">
        <w:rPr>
          <w:sz w:val="20"/>
          <w:szCs w:val="20"/>
        </w:rPr>
        <w:t xml:space="preserve">behavior change in both </w:t>
      </w:r>
      <w:r w:rsidR="00C404B6" w:rsidRPr="006871EC">
        <w:rPr>
          <w:sz w:val="20"/>
          <w:szCs w:val="20"/>
        </w:rPr>
        <w:t xml:space="preserve">the </w:t>
      </w:r>
      <w:r w:rsidR="00544A15" w:rsidRPr="006871EC">
        <w:rPr>
          <w:sz w:val="20"/>
          <w:szCs w:val="20"/>
        </w:rPr>
        <w:t xml:space="preserve">public and private domains.  </w:t>
      </w:r>
    </w:p>
    <w:p w14:paraId="5223D85A" w14:textId="77777777" w:rsidR="00E97620" w:rsidRPr="00E97620" w:rsidRDefault="00E97620" w:rsidP="003241F9">
      <w:pPr>
        <w:pStyle w:val="ListParagraph"/>
        <w:tabs>
          <w:tab w:val="left" w:pos="1080"/>
        </w:tabs>
        <w:spacing w:after="120"/>
        <w:ind w:right="750"/>
        <w:jc w:val="both"/>
        <w:rPr>
          <w:sz w:val="12"/>
          <w:szCs w:val="12"/>
        </w:rPr>
      </w:pPr>
    </w:p>
    <w:p w14:paraId="4A3364B4" w14:textId="6E1CB137" w:rsidR="00ED2C11" w:rsidRDefault="00544A15" w:rsidP="003241F9">
      <w:pPr>
        <w:pStyle w:val="ListParagraph"/>
        <w:numPr>
          <w:ilvl w:val="0"/>
          <w:numId w:val="10"/>
        </w:numPr>
        <w:tabs>
          <w:tab w:val="left" w:pos="1080"/>
        </w:tabs>
        <w:spacing w:after="120"/>
        <w:ind w:right="750" w:firstLine="0"/>
        <w:jc w:val="both"/>
        <w:rPr>
          <w:sz w:val="20"/>
          <w:szCs w:val="20"/>
        </w:rPr>
      </w:pPr>
      <w:r w:rsidRPr="006871EC">
        <w:rPr>
          <w:sz w:val="20"/>
          <w:szCs w:val="20"/>
        </w:rPr>
        <w:t xml:space="preserve">Recognizing the importance of targeting </w:t>
      </w:r>
      <w:r w:rsidR="00974513" w:rsidRPr="006871EC">
        <w:rPr>
          <w:sz w:val="20"/>
          <w:szCs w:val="20"/>
        </w:rPr>
        <w:t xml:space="preserve">development interventions for </w:t>
      </w:r>
      <w:r w:rsidRPr="006871EC">
        <w:rPr>
          <w:sz w:val="20"/>
          <w:szCs w:val="20"/>
        </w:rPr>
        <w:t xml:space="preserve">sustainable </w:t>
      </w:r>
      <w:r w:rsidR="00974513" w:rsidRPr="006871EC">
        <w:rPr>
          <w:sz w:val="20"/>
          <w:szCs w:val="20"/>
        </w:rPr>
        <w:t>results</w:t>
      </w:r>
      <w:r w:rsidRPr="006871EC">
        <w:rPr>
          <w:sz w:val="20"/>
          <w:szCs w:val="20"/>
        </w:rPr>
        <w:t xml:space="preserve">, </w:t>
      </w:r>
      <w:r w:rsidR="003F1663" w:rsidRPr="006871EC">
        <w:rPr>
          <w:sz w:val="20"/>
          <w:szCs w:val="20"/>
        </w:rPr>
        <w:t>UNDP</w:t>
      </w:r>
      <w:r w:rsidR="00470EE6" w:rsidRPr="006871EC">
        <w:rPr>
          <w:sz w:val="20"/>
          <w:szCs w:val="20"/>
        </w:rPr>
        <w:t>,</w:t>
      </w:r>
      <w:r w:rsidR="003F1663" w:rsidRPr="006871EC">
        <w:rPr>
          <w:sz w:val="20"/>
          <w:szCs w:val="20"/>
        </w:rPr>
        <w:t xml:space="preserve"> in consultation with </w:t>
      </w:r>
      <w:r w:rsidR="00C404B6" w:rsidRPr="006871EC">
        <w:rPr>
          <w:sz w:val="20"/>
          <w:szCs w:val="20"/>
        </w:rPr>
        <w:t xml:space="preserve">other United Nations funds </w:t>
      </w:r>
      <w:r w:rsidR="003F1663" w:rsidRPr="006871EC">
        <w:rPr>
          <w:sz w:val="20"/>
          <w:szCs w:val="20"/>
        </w:rPr>
        <w:t xml:space="preserve">and </w:t>
      </w:r>
      <w:r w:rsidR="00C404B6" w:rsidRPr="006871EC">
        <w:rPr>
          <w:sz w:val="20"/>
          <w:szCs w:val="20"/>
        </w:rPr>
        <w:t xml:space="preserve">programmes, has </w:t>
      </w:r>
      <w:r w:rsidR="003F1663" w:rsidRPr="006871EC">
        <w:rPr>
          <w:sz w:val="20"/>
          <w:szCs w:val="20"/>
        </w:rPr>
        <w:t xml:space="preserve">prepared a methodology </w:t>
      </w:r>
      <w:r w:rsidR="006139E4" w:rsidRPr="006871EC">
        <w:rPr>
          <w:sz w:val="20"/>
          <w:szCs w:val="20"/>
        </w:rPr>
        <w:t xml:space="preserve">to </w:t>
      </w:r>
      <w:r w:rsidR="00285B05" w:rsidRPr="006871EC">
        <w:rPr>
          <w:sz w:val="20"/>
          <w:szCs w:val="20"/>
        </w:rPr>
        <w:t>identify excluded categories</w:t>
      </w:r>
      <w:r w:rsidR="006139E4" w:rsidRPr="006871EC">
        <w:rPr>
          <w:sz w:val="20"/>
          <w:szCs w:val="20"/>
        </w:rPr>
        <w:t xml:space="preserve"> </w:t>
      </w:r>
      <w:r w:rsidR="00285B05" w:rsidRPr="006871EC">
        <w:rPr>
          <w:sz w:val="20"/>
          <w:szCs w:val="20"/>
        </w:rPr>
        <w:t xml:space="preserve">and </w:t>
      </w:r>
      <w:r w:rsidR="006139E4" w:rsidRPr="006871EC">
        <w:rPr>
          <w:sz w:val="20"/>
          <w:szCs w:val="20"/>
        </w:rPr>
        <w:t xml:space="preserve">improve targeting to ensure no one </w:t>
      </w:r>
      <w:r w:rsidR="00974513" w:rsidRPr="006871EC">
        <w:rPr>
          <w:sz w:val="20"/>
          <w:szCs w:val="20"/>
        </w:rPr>
        <w:t xml:space="preserve">is left </w:t>
      </w:r>
      <w:r w:rsidR="006139E4" w:rsidRPr="006871EC">
        <w:rPr>
          <w:sz w:val="20"/>
          <w:szCs w:val="20"/>
        </w:rPr>
        <w:t xml:space="preserve">behind. The methodology will be used in the formulation of the new results and resources frameworks and </w:t>
      </w:r>
      <w:r w:rsidR="00285B05" w:rsidRPr="006871EC">
        <w:rPr>
          <w:sz w:val="20"/>
          <w:szCs w:val="20"/>
        </w:rPr>
        <w:t xml:space="preserve">systematic </w:t>
      </w:r>
      <w:r w:rsidR="006139E4" w:rsidRPr="006871EC">
        <w:rPr>
          <w:sz w:val="20"/>
          <w:szCs w:val="20"/>
        </w:rPr>
        <w:t xml:space="preserve">monitoring </w:t>
      </w:r>
      <w:r w:rsidR="00C404B6" w:rsidRPr="006871EC">
        <w:rPr>
          <w:sz w:val="20"/>
          <w:szCs w:val="20"/>
        </w:rPr>
        <w:t xml:space="preserve">of </w:t>
      </w:r>
      <w:r w:rsidR="006139E4" w:rsidRPr="006871EC">
        <w:rPr>
          <w:sz w:val="20"/>
          <w:szCs w:val="20"/>
        </w:rPr>
        <w:t xml:space="preserve">all programmes and projects.   </w:t>
      </w:r>
    </w:p>
    <w:p w14:paraId="5DC78F61" w14:textId="77777777" w:rsidR="00E97620" w:rsidRPr="00E97620" w:rsidRDefault="00E97620" w:rsidP="003241F9">
      <w:pPr>
        <w:pStyle w:val="ListParagraph"/>
        <w:tabs>
          <w:tab w:val="left" w:pos="1080"/>
        </w:tabs>
        <w:spacing w:after="120"/>
        <w:ind w:right="750"/>
        <w:jc w:val="both"/>
        <w:rPr>
          <w:sz w:val="12"/>
          <w:szCs w:val="12"/>
        </w:rPr>
      </w:pPr>
    </w:p>
    <w:p w14:paraId="30AB2DAD" w14:textId="63AC7FE1" w:rsidR="008622EE" w:rsidRDefault="004A5674" w:rsidP="003241F9">
      <w:pPr>
        <w:pStyle w:val="ListParagraph"/>
        <w:numPr>
          <w:ilvl w:val="0"/>
          <w:numId w:val="10"/>
        </w:numPr>
        <w:tabs>
          <w:tab w:val="left" w:pos="1080"/>
        </w:tabs>
        <w:spacing w:after="120"/>
        <w:ind w:right="750" w:firstLine="0"/>
        <w:jc w:val="both"/>
        <w:rPr>
          <w:sz w:val="20"/>
          <w:szCs w:val="20"/>
        </w:rPr>
      </w:pPr>
      <w:r w:rsidRPr="006871EC">
        <w:rPr>
          <w:sz w:val="20"/>
          <w:szCs w:val="20"/>
        </w:rPr>
        <w:t xml:space="preserve">UNDP </w:t>
      </w:r>
      <w:r w:rsidR="00C404B6" w:rsidRPr="006871EC">
        <w:rPr>
          <w:sz w:val="20"/>
          <w:szCs w:val="20"/>
        </w:rPr>
        <w:t xml:space="preserve">management </w:t>
      </w:r>
      <w:r w:rsidR="00974513" w:rsidRPr="006871EC">
        <w:rPr>
          <w:sz w:val="20"/>
          <w:szCs w:val="20"/>
        </w:rPr>
        <w:t xml:space="preserve">also </w:t>
      </w:r>
      <w:r w:rsidR="00C404B6" w:rsidRPr="006871EC">
        <w:rPr>
          <w:sz w:val="20"/>
          <w:szCs w:val="20"/>
        </w:rPr>
        <w:t>wishes</w:t>
      </w:r>
      <w:r w:rsidRPr="006871EC">
        <w:rPr>
          <w:sz w:val="20"/>
          <w:szCs w:val="20"/>
        </w:rPr>
        <w:t xml:space="preserve"> to clarify that the process of introducing environmental and social safeguards in programming was initiated in 2008</w:t>
      </w:r>
      <w:r w:rsidR="00220027" w:rsidRPr="006871EC">
        <w:rPr>
          <w:sz w:val="20"/>
          <w:szCs w:val="20"/>
        </w:rPr>
        <w:t>,</w:t>
      </w:r>
      <w:r w:rsidRPr="006871EC">
        <w:rPr>
          <w:sz w:val="20"/>
          <w:szCs w:val="20"/>
        </w:rPr>
        <w:t xml:space="preserve"> before the Global Environment Facility (GEF) and Green Climate Fund (GCF) had safeguard policies in place. In response to the </w:t>
      </w:r>
      <w:hyperlink r:id="rId18" w:history="1">
        <w:r w:rsidRPr="006871EC">
          <w:rPr>
            <w:rStyle w:val="Hyperlink"/>
            <w:sz w:val="20"/>
            <w:szCs w:val="20"/>
          </w:rPr>
          <w:t xml:space="preserve">2010 </w:t>
        </w:r>
        <w:r w:rsidR="008F3409" w:rsidRPr="006871EC">
          <w:rPr>
            <w:rStyle w:val="Hyperlink"/>
            <w:sz w:val="20"/>
            <w:szCs w:val="20"/>
          </w:rPr>
          <w:t xml:space="preserve">evaluation </w:t>
        </w:r>
        <w:r w:rsidRPr="006871EC">
          <w:rPr>
            <w:rStyle w:val="Hyperlink"/>
            <w:sz w:val="20"/>
            <w:szCs w:val="20"/>
          </w:rPr>
          <w:t xml:space="preserve">of </w:t>
        </w:r>
        <w:r w:rsidR="008F3409" w:rsidRPr="006871EC">
          <w:rPr>
            <w:rStyle w:val="Hyperlink"/>
            <w:sz w:val="20"/>
            <w:szCs w:val="20"/>
          </w:rPr>
          <w:t xml:space="preserve">the </w:t>
        </w:r>
        <w:r w:rsidRPr="006871EC">
          <w:rPr>
            <w:rStyle w:val="Hyperlink"/>
            <w:sz w:val="20"/>
            <w:szCs w:val="20"/>
          </w:rPr>
          <w:t xml:space="preserve">UNDP </w:t>
        </w:r>
        <w:r w:rsidR="008F3409" w:rsidRPr="006871EC">
          <w:rPr>
            <w:rStyle w:val="Hyperlink"/>
            <w:sz w:val="20"/>
            <w:szCs w:val="20"/>
          </w:rPr>
          <w:t xml:space="preserve">contribution </w:t>
        </w:r>
        <w:r w:rsidRPr="006871EC">
          <w:rPr>
            <w:rStyle w:val="Hyperlink"/>
            <w:sz w:val="20"/>
            <w:szCs w:val="20"/>
          </w:rPr>
          <w:t xml:space="preserve">to </w:t>
        </w:r>
        <w:r w:rsidR="008F3409" w:rsidRPr="006871EC">
          <w:rPr>
            <w:rStyle w:val="Hyperlink"/>
            <w:sz w:val="20"/>
            <w:szCs w:val="20"/>
          </w:rPr>
          <w:t xml:space="preserve">environmental management </w:t>
        </w:r>
        <w:r w:rsidRPr="006871EC">
          <w:rPr>
            <w:rStyle w:val="Hyperlink"/>
            <w:sz w:val="20"/>
            <w:szCs w:val="20"/>
          </w:rPr>
          <w:t xml:space="preserve">for </w:t>
        </w:r>
        <w:r w:rsidR="008F3409" w:rsidRPr="006871EC">
          <w:rPr>
            <w:rStyle w:val="Hyperlink"/>
            <w:sz w:val="20"/>
            <w:szCs w:val="20"/>
          </w:rPr>
          <w:t xml:space="preserve">poverty </w:t>
        </w:r>
        <w:r w:rsidR="00885F6C" w:rsidRPr="006871EC">
          <w:rPr>
            <w:rStyle w:val="Hyperlink"/>
            <w:sz w:val="20"/>
            <w:szCs w:val="20"/>
          </w:rPr>
          <w:t>reduction</w:t>
        </w:r>
      </w:hyperlink>
      <w:r w:rsidR="008F3409" w:rsidRPr="006871EC">
        <w:rPr>
          <w:sz w:val="20"/>
          <w:szCs w:val="20"/>
        </w:rPr>
        <w:t>,</w:t>
      </w:r>
      <w:r w:rsidRPr="006871EC">
        <w:rPr>
          <w:sz w:val="20"/>
          <w:szCs w:val="20"/>
        </w:rPr>
        <w:t xml:space="preserve"> which noted that elaboration of safeguards beyond screening could enhance cross-sectoral coordination </w:t>
      </w:r>
      <w:r w:rsidR="0052176E" w:rsidRPr="006871EC">
        <w:rPr>
          <w:sz w:val="20"/>
          <w:szCs w:val="20"/>
        </w:rPr>
        <w:t xml:space="preserve">for poverty evaluation and environmental protection, UNDP decided </w:t>
      </w:r>
      <w:r w:rsidR="00316B88" w:rsidRPr="006871EC">
        <w:rPr>
          <w:sz w:val="20"/>
          <w:szCs w:val="20"/>
        </w:rPr>
        <w:t xml:space="preserve">to </w:t>
      </w:r>
      <w:r w:rsidR="002A6017" w:rsidRPr="006871EC">
        <w:rPr>
          <w:sz w:val="20"/>
          <w:szCs w:val="20"/>
        </w:rPr>
        <w:t>institute safeguards</w:t>
      </w:r>
      <w:r w:rsidR="0052176E" w:rsidRPr="006871EC">
        <w:rPr>
          <w:sz w:val="20"/>
          <w:szCs w:val="20"/>
        </w:rPr>
        <w:t xml:space="preserve"> as </w:t>
      </w:r>
      <w:r w:rsidR="008F3409" w:rsidRPr="006871EC">
        <w:rPr>
          <w:sz w:val="20"/>
          <w:szCs w:val="20"/>
        </w:rPr>
        <w:t xml:space="preserve">articulated in </w:t>
      </w:r>
      <w:r w:rsidR="0052176E" w:rsidRPr="006871EC">
        <w:rPr>
          <w:sz w:val="20"/>
          <w:szCs w:val="20"/>
        </w:rPr>
        <w:t xml:space="preserve">the </w:t>
      </w:r>
      <w:r w:rsidR="008F3409" w:rsidRPr="006871EC">
        <w:rPr>
          <w:sz w:val="20"/>
          <w:szCs w:val="20"/>
        </w:rPr>
        <w:t>management response</w:t>
      </w:r>
      <w:r w:rsidR="0052176E" w:rsidRPr="006871EC">
        <w:rPr>
          <w:sz w:val="20"/>
          <w:szCs w:val="20"/>
        </w:rPr>
        <w:t xml:space="preserve">. </w:t>
      </w:r>
      <w:r w:rsidR="00A60D77" w:rsidRPr="006871EC">
        <w:rPr>
          <w:sz w:val="20"/>
          <w:szCs w:val="20"/>
        </w:rPr>
        <w:t xml:space="preserve">The </w:t>
      </w:r>
      <w:r w:rsidR="0052176E" w:rsidRPr="006871EC">
        <w:rPr>
          <w:sz w:val="20"/>
          <w:szCs w:val="20"/>
        </w:rPr>
        <w:t xml:space="preserve">deliberate adoption of </w:t>
      </w:r>
      <w:r w:rsidR="00A60D77" w:rsidRPr="006871EC">
        <w:rPr>
          <w:sz w:val="20"/>
          <w:szCs w:val="20"/>
        </w:rPr>
        <w:t xml:space="preserve">social </w:t>
      </w:r>
      <w:r w:rsidR="0052176E" w:rsidRPr="006871EC">
        <w:rPr>
          <w:sz w:val="20"/>
          <w:szCs w:val="20"/>
        </w:rPr>
        <w:t xml:space="preserve">and </w:t>
      </w:r>
      <w:r w:rsidR="00A60D77" w:rsidRPr="006871EC">
        <w:rPr>
          <w:sz w:val="20"/>
          <w:szCs w:val="20"/>
        </w:rPr>
        <w:t>environmental standards</w:t>
      </w:r>
      <w:r w:rsidR="0052176E" w:rsidRPr="006871EC">
        <w:rPr>
          <w:sz w:val="20"/>
          <w:szCs w:val="20"/>
        </w:rPr>
        <w:t>, ahead of the rest of the U</w:t>
      </w:r>
      <w:r w:rsidR="00A60D77" w:rsidRPr="006871EC">
        <w:rPr>
          <w:sz w:val="20"/>
          <w:szCs w:val="20"/>
        </w:rPr>
        <w:t xml:space="preserve">nited </w:t>
      </w:r>
      <w:r w:rsidR="0052176E" w:rsidRPr="006871EC">
        <w:rPr>
          <w:sz w:val="20"/>
          <w:szCs w:val="20"/>
        </w:rPr>
        <w:t>N</w:t>
      </w:r>
      <w:r w:rsidR="00A60D77" w:rsidRPr="006871EC">
        <w:rPr>
          <w:sz w:val="20"/>
          <w:szCs w:val="20"/>
        </w:rPr>
        <w:t>ations</w:t>
      </w:r>
      <w:r w:rsidR="0052176E" w:rsidRPr="006871EC">
        <w:rPr>
          <w:sz w:val="20"/>
          <w:szCs w:val="20"/>
        </w:rPr>
        <w:t xml:space="preserve"> system, </w:t>
      </w:r>
      <w:r w:rsidR="00A60D77" w:rsidRPr="006871EC">
        <w:rPr>
          <w:sz w:val="20"/>
          <w:szCs w:val="20"/>
        </w:rPr>
        <w:t xml:space="preserve">was one of the reasons </w:t>
      </w:r>
      <w:r w:rsidR="0052176E" w:rsidRPr="006871EC">
        <w:rPr>
          <w:sz w:val="20"/>
          <w:szCs w:val="20"/>
        </w:rPr>
        <w:t xml:space="preserve">that UNDP was able to gain early accreditation to </w:t>
      </w:r>
      <w:r w:rsidR="00316B88" w:rsidRPr="006871EC">
        <w:rPr>
          <w:sz w:val="20"/>
          <w:szCs w:val="20"/>
        </w:rPr>
        <w:t xml:space="preserve">the </w:t>
      </w:r>
      <w:r w:rsidR="00EC11CB" w:rsidRPr="006871EC">
        <w:rPr>
          <w:sz w:val="20"/>
          <w:szCs w:val="20"/>
        </w:rPr>
        <w:t>GCF</w:t>
      </w:r>
      <w:r w:rsidR="0052176E" w:rsidRPr="006871EC">
        <w:rPr>
          <w:sz w:val="20"/>
          <w:szCs w:val="20"/>
        </w:rPr>
        <w:t xml:space="preserve">. The current </w:t>
      </w:r>
      <w:r w:rsidR="00A60D77" w:rsidRPr="006871EC">
        <w:rPr>
          <w:sz w:val="20"/>
          <w:szCs w:val="20"/>
        </w:rPr>
        <w:t xml:space="preserve">screening procedures </w:t>
      </w:r>
      <w:r w:rsidR="0052176E" w:rsidRPr="006871EC">
        <w:rPr>
          <w:sz w:val="20"/>
          <w:szCs w:val="20"/>
        </w:rPr>
        <w:t xml:space="preserve">are under review to identify how the screening has informed programme design and to what extent integration of </w:t>
      </w:r>
      <w:r w:rsidR="00A60D77" w:rsidRPr="006871EC">
        <w:rPr>
          <w:sz w:val="20"/>
          <w:szCs w:val="20"/>
        </w:rPr>
        <w:t xml:space="preserve">the standards has </w:t>
      </w:r>
      <w:r w:rsidR="0052176E" w:rsidRPr="006871EC">
        <w:rPr>
          <w:sz w:val="20"/>
          <w:szCs w:val="20"/>
        </w:rPr>
        <w:t>le</w:t>
      </w:r>
      <w:r w:rsidR="00C2621E" w:rsidRPr="006871EC">
        <w:rPr>
          <w:sz w:val="20"/>
          <w:szCs w:val="20"/>
        </w:rPr>
        <w:t>d</w:t>
      </w:r>
      <w:r w:rsidR="0052176E" w:rsidRPr="006871EC">
        <w:rPr>
          <w:sz w:val="20"/>
          <w:szCs w:val="20"/>
        </w:rPr>
        <w:t xml:space="preserve"> to more sustainable results. </w:t>
      </w:r>
    </w:p>
    <w:p w14:paraId="6BB2C2A9" w14:textId="77777777" w:rsidR="00E97620" w:rsidRPr="00E97620" w:rsidRDefault="00E97620" w:rsidP="003241F9">
      <w:pPr>
        <w:pStyle w:val="ListParagraph"/>
        <w:tabs>
          <w:tab w:val="left" w:pos="1080"/>
        </w:tabs>
        <w:spacing w:after="120"/>
        <w:ind w:right="750"/>
        <w:jc w:val="both"/>
        <w:rPr>
          <w:sz w:val="12"/>
          <w:szCs w:val="12"/>
        </w:rPr>
      </w:pPr>
    </w:p>
    <w:p w14:paraId="320408FC" w14:textId="3FF43077" w:rsidR="00E17738" w:rsidRDefault="000615FF" w:rsidP="003241F9">
      <w:pPr>
        <w:pStyle w:val="ListParagraph"/>
        <w:numPr>
          <w:ilvl w:val="0"/>
          <w:numId w:val="10"/>
        </w:numPr>
        <w:tabs>
          <w:tab w:val="left" w:pos="1080"/>
        </w:tabs>
        <w:spacing w:after="120"/>
        <w:ind w:right="750" w:firstLine="0"/>
        <w:jc w:val="both"/>
        <w:rPr>
          <w:sz w:val="20"/>
          <w:szCs w:val="20"/>
          <w:lang w:val="en-GB"/>
        </w:rPr>
      </w:pPr>
      <w:r w:rsidRPr="006871EC">
        <w:rPr>
          <w:sz w:val="20"/>
          <w:szCs w:val="20"/>
        </w:rPr>
        <w:t xml:space="preserve">The </w:t>
      </w:r>
      <w:r w:rsidR="00A60D77" w:rsidRPr="006871EC">
        <w:rPr>
          <w:sz w:val="20"/>
          <w:szCs w:val="20"/>
        </w:rPr>
        <w:t xml:space="preserve">evaluation’s </w:t>
      </w:r>
      <w:r w:rsidRPr="006871EC">
        <w:rPr>
          <w:sz w:val="20"/>
          <w:szCs w:val="20"/>
        </w:rPr>
        <w:t xml:space="preserve">positive assessment of </w:t>
      </w:r>
      <w:r w:rsidR="00A60D77" w:rsidRPr="006871EC">
        <w:rPr>
          <w:sz w:val="20"/>
          <w:szCs w:val="20"/>
        </w:rPr>
        <w:t xml:space="preserve">the </w:t>
      </w:r>
      <w:r w:rsidRPr="006871EC">
        <w:rPr>
          <w:sz w:val="20"/>
          <w:szCs w:val="20"/>
        </w:rPr>
        <w:t xml:space="preserve">performance </w:t>
      </w:r>
      <w:r w:rsidR="00A60D77" w:rsidRPr="006871EC">
        <w:rPr>
          <w:sz w:val="20"/>
          <w:szCs w:val="20"/>
        </w:rPr>
        <w:t xml:space="preserve">of UNDP </w:t>
      </w:r>
      <w:r w:rsidRPr="006871EC">
        <w:rPr>
          <w:sz w:val="20"/>
          <w:szCs w:val="20"/>
        </w:rPr>
        <w:t>as a</w:t>
      </w:r>
      <w:r w:rsidR="00A60D77" w:rsidRPr="006871EC">
        <w:rPr>
          <w:sz w:val="20"/>
          <w:szCs w:val="20"/>
        </w:rPr>
        <w:t xml:space="preserve"> GEF </w:t>
      </w:r>
      <w:r w:rsidRPr="006871EC">
        <w:rPr>
          <w:sz w:val="20"/>
          <w:szCs w:val="20"/>
        </w:rPr>
        <w:t xml:space="preserve">implementing partner is evidenced by the </w:t>
      </w:r>
      <w:r w:rsidR="00E17738" w:rsidRPr="006871EC">
        <w:rPr>
          <w:sz w:val="20"/>
          <w:szCs w:val="20"/>
        </w:rPr>
        <w:t>$3.13</w:t>
      </w:r>
      <w:r w:rsidR="00A60D77" w:rsidRPr="006871EC">
        <w:rPr>
          <w:sz w:val="20"/>
          <w:szCs w:val="20"/>
        </w:rPr>
        <w:t xml:space="preserve"> </w:t>
      </w:r>
      <w:r w:rsidR="00E17738" w:rsidRPr="006871EC">
        <w:rPr>
          <w:sz w:val="20"/>
          <w:szCs w:val="20"/>
        </w:rPr>
        <w:t xml:space="preserve">billion grant investment </w:t>
      </w:r>
      <w:r w:rsidR="00A60D77" w:rsidRPr="006871EC">
        <w:rPr>
          <w:sz w:val="20"/>
          <w:szCs w:val="20"/>
        </w:rPr>
        <w:t xml:space="preserve">which </w:t>
      </w:r>
      <w:r w:rsidR="00E17738" w:rsidRPr="006871EC">
        <w:rPr>
          <w:sz w:val="20"/>
          <w:szCs w:val="20"/>
        </w:rPr>
        <w:t xml:space="preserve">UNDP helped </w:t>
      </w:r>
      <w:r w:rsidR="00515DAE" w:rsidRPr="006871EC">
        <w:rPr>
          <w:sz w:val="20"/>
          <w:szCs w:val="20"/>
        </w:rPr>
        <w:t xml:space="preserve">to </w:t>
      </w:r>
      <w:r w:rsidR="00E17738" w:rsidRPr="006871EC">
        <w:rPr>
          <w:sz w:val="20"/>
          <w:szCs w:val="20"/>
        </w:rPr>
        <w:t>disburse in 143 countries</w:t>
      </w:r>
      <w:r w:rsidR="00A60D77" w:rsidRPr="006871EC">
        <w:rPr>
          <w:sz w:val="20"/>
          <w:szCs w:val="20"/>
        </w:rPr>
        <w:t xml:space="preserve">; </w:t>
      </w:r>
      <w:r w:rsidR="00A60D77" w:rsidRPr="006871EC">
        <w:rPr>
          <w:sz w:val="20"/>
          <w:szCs w:val="20"/>
          <w:lang w:val="en-GB"/>
        </w:rPr>
        <w:t xml:space="preserve">the </w:t>
      </w:r>
      <w:r w:rsidR="00E17738" w:rsidRPr="006871EC">
        <w:rPr>
          <w:sz w:val="20"/>
          <w:szCs w:val="20"/>
          <w:lang w:val="en-GB"/>
        </w:rPr>
        <w:t>grants leveraged another $14.12 billion in co</w:t>
      </w:r>
      <w:r w:rsidR="00515DAE" w:rsidRPr="006871EC">
        <w:rPr>
          <w:sz w:val="20"/>
          <w:szCs w:val="20"/>
          <w:lang w:val="en-GB"/>
        </w:rPr>
        <w:t>-</w:t>
      </w:r>
      <w:r w:rsidR="00E17738" w:rsidRPr="006871EC">
        <w:rPr>
          <w:sz w:val="20"/>
          <w:szCs w:val="20"/>
          <w:lang w:val="en-GB"/>
        </w:rPr>
        <w:t>financing</w:t>
      </w:r>
      <w:r w:rsidR="00A60D77" w:rsidRPr="006871EC">
        <w:rPr>
          <w:sz w:val="20"/>
          <w:szCs w:val="20"/>
          <w:lang w:val="en-GB"/>
        </w:rPr>
        <w:t xml:space="preserve">, so that </w:t>
      </w:r>
      <w:r w:rsidR="00E17738" w:rsidRPr="006871EC">
        <w:rPr>
          <w:sz w:val="20"/>
          <w:szCs w:val="20"/>
          <w:lang w:val="en-GB"/>
        </w:rPr>
        <w:t>$17.25 billion was invested in the environment and sustainable development priorities of these countries during the Strategic Plan</w:t>
      </w:r>
      <w:r w:rsidR="00A60D77" w:rsidRPr="006871EC">
        <w:rPr>
          <w:sz w:val="20"/>
          <w:szCs w:val="20"/>
          <w:lang w:val="en-GB"/>
        </w:rPr>
        <w:t xml:space="preserve"> period</w:t>
      </w:r>
      <w:r w:rsidR="00E17738" w:rsidRPr="006871EC">
        <w:rPr>
          <w:sz w:val="20"/>
          <w:szCs w:val="20"/>
          <w:lang w:val="en-GB"/>
        </w:rPr>
        <w:t xml:space="preserve">. </w:t>
      </w:r>
    </w:p>
    <w:p w14:paraId="15F414BB" w14:textId="77777777" w:rsidR="00E97620" w:rsidRPr="00E97620" w:rsidRDefault="00E97620" w:rsidP="003241F9">
      <w:pPr>
        <w:pStyle w:val="ListParagraph"/>
        <w:tabs>
          <w:tab w:val="left" w:pos="1080"/>
        </w:tabs>
        <w:spacing w:after="120"/>
        <w:ind w:right="750"/>
        <w:jc w:val="both"/>
        <w:rPr>
          <w:sz w:val="12"/>
          <w:szCs w:val="12"/>
          <w:lang w:val="en-GB"/>
        </w:rPr>
      </w:pPr>
    </w:p>
    <w:p w14:paraId="5FD97BCB" w14:textId="2E3D4DD6" w:rsidR="00B75B89" w:rsidRPr="006871EC" w:rsidRDefault="00FC2FBA" w:rsidP="003241F9">
      <w:pPr>
        <w:pStyle w:val="ListParagraph"/>
        <w:numPr>
          <w:ilvl w:val="0"/>
          <w:numId w:val="10"/>
        </w:numPr>
        <w:tabs>
          <w:tab w:val="left" w:pos="1080"/>
        </w:tabs>
        <w:spacing w:after="120"/>
        <w:ind w:right="750" w:firstLine="0"/>
        <w:jc w:val="both"/>
        <w:rPr>
          <w:color w:val="000000" w:themeColor="text1"/>
          <w:sz w:val="20"/>
          <w:szCs w:val="20"/>
        </w:rPr>
      </w:pPr>
      <w:r w:rsidRPr="006871EC">
        <w:rPr>
          <w:color w:val="000000" w:themeColor="text1"/>
          <w:sz w:val="20"/>
          <w:szCs w:val="20"/>
        </w:rPr>
        <w:t xml:space="preserve">The evaluation did not cover the work of </w:t>
      </w:r>
      <w:r w:rsidR="00FF1915" w:rsidRPr="006871EC">
        <w:rPr>
          <w:color w:val="000000" w:themeColor="text1"/>
          <w:sz w:val="20"/>
          <w:szCs w:val="20"/>
        </w:rPr>
        <w:t xml:space="preserve">UNDP in climate change beyond global and regional processes and </w:t>
      </w:r>
      <w:r w:rsidR="00EE08CB" w:rsidRPr="006871EC">
        <w:rPr>
          <w:color w:val="000000" w:themeColor="text1"/>
          <w:sz w:val="20"/>
          <w:szCs w:val="20"/>
        </w:rPr>
        <w:t xml:space="preserve">support to </w:t>
      </w:r>
      <w:r w:rsidR="00A60D77" w:rsidRPr="006871EC">
        <w:rPr>
          <w:color w:val="000000" w:themeColor="text1"/>
          <w:sz w:val="20"/>
          <w:szCs w:val="20"/>
        </w:rPr>
        <w:t>nationally determined contribution</w:t>
      </w:r>
      <w:r w:rsidR="00EE08CB" w:rsidRPr="006871EC">
        <w:rPr>
          <w:color w:val="000000" w:themeColor="text1"/>
          <w:sz w:val="20"/>
          <w:szCs w:val="20"/>
        </w:rPr>
        <w:t>s</w:t>
      </w:r>
      <w:r w:rsidR="00D842A1" w:rsidRPr="006871EC">
        <w:rPr>
          <w:color w:val="000000" w:themeColor="text1"/>
          <w:sz w:val="20"/>
          <w:szCs w:val="20"/>
        </w:rPr>
        <w:t xml:space="preserve">. A fuller picture would have been offered by </w:t>
      </w:r>
      <w:r w:rsidR="00974513" w:rsidRPr="006871EC">
        <w:rPr>
          <w:color w:val="000000" w:themeColor="text1"/>
          <w:sz w:val="20"/>
          <w:szCs w:val="20"/>
        </w:rPr>
        <w:t xml:space="preserve">an </w:t>
      </w:r>
      <w:r w:rsidR="00D842A1" w:rsidRPr="006871EC">
        <w:rPr>
          <w:color w:val="000000" w:themeColor="text1"/>
          <w:sz w:val="20"/>
          <w:szCs w:val="20"/>
        </w:rPr>
        <w:t>analys</w:t>
      </w:r>
      <w:r w:rsidR="00974513" w:rsidRPr="006871EC">
        <w:rPr>
          <w:color w:val="000000" w:themeColor="text1"/>
          <w:sz w:val="20"/>
          <w:szCs w:val="20"/>
        </w:rPr>
        <w:t>i</w:t>
      </w:r>
      <w:r w:rsidR="00D842A1" w:rsidRPr="006871EC">
        <w:rPr>
          <w:color w:val="000000" w:themeColor="text1"/>
          <w:sz w:val="20"/>
          <w:szCs w:val="20"/>
        </w:rPr>
        <w:t xml:space="preserve">s </w:t>
      </w:r>
      <w:r w:rsidRPr="006871EC">
        <w:rPr>
          <w:color w:val="000000" w:themeColor="text1"/>
          <w:sz w:val="20"/>
          <w:szCs w:val="20"/>
        </w:rPr>
        <w:t xml:space="preserve">of the extensive </w:t>
      </w:r>
      <w:r w:rsidR="00FF1915" w:rsidRPr="006871EC">
        <w:rPr>
          <w:color w:val="000000" w:themeColor="text1"/>
          <w:sz w:val="20"/>
          <w:szCs w:val="20"/>
        </w:rPr>
        <w:t xml:space="preserve">work on climate change adaptation, forests and the </w:t>
      </w:r>
      <w:r w:rsidR="00F562FE" w:rsidRPr="006871EC">
        <w:rPr>
          <w:color w:val="000000" w:themeColor="text1"/>
          <w:sz w:val="20"/>
          <w:szCs w:val="20"/>
        </w:rPr>
        <w:t xml:space="preserve">critically important </w:t>
      </w:r>
      <w:r w:rsidR="00FF1915" w:rsidRPr="006871EC">
        <w:rPr>
          <w:color w:val="000000" w:themeColor="text1"/>
          <w:sz w:val="20"/>
          <w:szCs w:val="20"/>
        </w:rPr>
        <w:t>climate mitigation-energy nexus</w:t>
      </w:r>
      <w:r w:rsidRPr="006871EC">
        <w:rPr>
          <w:color w:val="000000" w:themeColor="text1"/>
          <w:sz w:val="20"/>
          <w:szCs w:val="20"/>
        </w:rPr>
        <w:t xml:space="preserve">, </w:t>
      </w:r>
      <w:r w:rsidR="008621AB" w:rsidRPr="006871EC">
        <w:rPr>
          <w:color w:val="000000" w:themeColor="text1"/>
          <w:sz w:val="20"/>
          <w:szCs w:val="20"/>
        </w:rPr>
        <w:t xml:space="preserve">disaster risk reduction and sustainable energy programming including in </w:t>
      </w:r>
      <w:r w:rsidR="00D842A1" w:rsidRPr="006871EC">
        <w:rPr>
          <w:color w:val="000000" w:themeColor="text1"/>
          <w:sz w:val="20"/>
          <w:szCs w:val="20"/>
        </w:rPr>
        <w:t>post-</w:t>
      </w:r>
      <w:r w:rsidR="008621AB" w:rsidRPr="006871EC">
        <w:rPr>
          <w:color w:val="000000" w:themeColor="text1"/>
          <w:sz w:val="20"/>
          <w:szCs w:val="20"/>
        </w:rPr>
        <w:t xml:space="preserve">disaster and conflict recovery </w:t>
      </w:r>
      <w:r w:rsidR="00FC6097" w:rsidRPr="006871EC">
        <w:rPr>
          <w:color w:val="000000" w:themeColor="text1"/>
          <w:sz w:val="20"/>
          <w:szCs w:val="20"/>
        </w:rPr>
        <w:t>settings.</w:t>
      </w:r>
      <w:r w:rsidR="008621AB" w:rsidRPr="006871EC">
        <w:rPr>
          <w:color w:val="000000" w:themeColor="text1"/>
          <w:sz w:val="20"/>
          <w:szCs w:val="20"/>
        </w:rPr>
        <w:t xml:space="preserve">   </w:t>
      </w:r>
    </w:p>
    <w:p w14:paraId="0BFCA26A" w14:textId="5E08E516" w:rsidR="0092249A" w:rsidRPr="006871EC" w:rsidRDefault="00B75B89" w:rsidP="003241F9">
      <w:pPr>
        <w:spacing w:after="120"/>
        <w:ind w:left="720" w:right="750"/>
        <w:jc w:val="both"/>
        <w:rPr>
          <w:b/>
          <w:sz w:val="20"/>
          <w:szCs w:val="20"/>
        </w:rPr>
      </w:pPr>
      <w:r w:rsidRPr="006871EC">
        <w:rPr>
          <w:b/>
          <w:sz w:val="20"/>
          <w:szCs w:val="20"/>
        </w:rPr>
        <w:lastRenderedPageBreak/>
        <w:t xml:space="preserve">Inclusive and </w:t>
      </w:r>
      <w:r w:rsidR="00D842A1" w:rsidRPr="006871EC">
        <w:rPr>
          <w:b/>
          <w:sz w:val="20"/>
          <w:szCs w:val="20"/>
        </w:rPr>
        <w:t>democratic g</w:t>
      </w:r>
      <w:r w:rsidRPr="006871EC">
        <w:rPr>
          <w:b/>
          <w:sz w:val="20"/>
          <w:szCs w:val="20"/>
        </w:rPr>
        <w:t>overnance</w:t>
      </w:r>
      <w:r w:rsidR="00FF1915" w:rsidRPr="006871EC">
        <w:rPr>
          <w:b/>
          <w:sz w:val="20"/>
          <w:szCs w:val="20"/>
        </w:rPr>
        <w:t xml:space="preserve"> </w:t>
      </w:r>
    </w:p>
    <w:p w14:paraId="3B095A4B" w14:textId="7117AAC7" w:rsidR="00BA76A8" w:rsidRDefault="004F443C" w:rsidP="003241F9">
      <w:pPr>
        <w:pStyle w:val="ListParagraph"/>
        <w:numPr>
          <w:ilvl w:val="0"/>
          <w:numId w:val="10"/>
        </w:numPr>
        <w:tabs>
          <w:tab w:val="left" w:pos="1080"/>
        </w:tabs>
        <w:spacing w:after="120"/>
        <w:ind w:right="750" w:firstLine="0"/>
        <w:jc w:val="both"/>
        <w:rPr>
          <w:sz w:val="20"/>
          <w:szCs w:val="20"/>
        </w:rPr>
      </w:pPr>
      <w:r w:rsidRPr="006871EC">
        <w:rPr>
          <w:sz w:val="20"/>
          <w:szCs w:val="20"/>
        </w:rPr>
        <w:t xml:space="preserve">UNDP is pleased to receive </w:t>
      </w:r>
      <w:r w:rsidR="00C610D2" w:rsidRPr="006871EC">
        <w:rPr>
          <w:sz w:val="20"/>
          <w:szCs w:val="20"/>
        </w:rPr>
        <w:t>solid</w:t>
      </w:r>
      <w:r w:rsidRPr="006871EC">
        <w:rPr>
          <w:sz w:val="20"/>
          <w:szCs w:val="20"/>
        </w:rPr>
        <w:t xml:space="preserve"> recognition of its contribution to </w:t>
      </w:r>
      <w:r w:rsidR="00BD7290" w:rsidRPr="006871EC">
        <w:rPr>
          <w:sz w:val="20"/>
          <w:szCs w:val="20"/>
        </w:rPr>
        <w:t xml:space="preserve">improved governance and </w:t>
      </w:r>
      <w:r w:rsidR="00D842A1" w:rsidRPr="006871EC">
        <w:rPr>
          <w:sz w:val="20"/>
          <w:szCs w:val="20"/>
        </w:rPr>
        <w:t>State</w:t>
      </w:r>
      <w:r w:rsidR="00BD7290" w:rsidRPr="006871EC">
        <w:rPr>
          <w:sz w:val="20"/>
          <w:szCs w:val="20"/>
        </w:rPr>
        <w:t>-society engagement</w:t>
      </w:r>
      <w:r w:rsidR="00BA76A8" w:rsidRPr="006871EC">
        <w:rPr>
          <w:sz w:val="20"/>
          <w:szCs w:val="20"/>
        </w:rPr>
        <w:t xml:space="preserve"> including</w:t>
      </w:r>
      <w:r w:rsidR="00BD7290" w:rsidRPr="006871EC">
        <w:rPr>
          <w:sz w:val="20"/>
          <w:szCs w:val="20"/>
        </w:rPr>
        <w:t xml:space="preserve"> through</w:t>
      </w:r>
      <w:r w:rsidR="00C610D2" w:rsidRPr="006871EC">
        <w:rPr>
          <w:sz w:val="20"/>
          <w:szCs w:val="20"/>
        </w:rPr>
        <w:t xml:space="preserve"> </w:t>
      </w:r>
      <w:r w:rsidR="00D842A1" w:rsidRPr="006871EC">
        <w:rPr>
          <w:sz w:val="20"/>
          <w:szCs w:val="20"/>
        </w:rPr>
        <w:t xml:space="preserve">dialogues with </w:t>
      </w:r>
      <w:r w:rsidR="00C610D2" w:rsidRPr="006871EC">
        <w:rPr>
          <w:sz w:val="20"/>
          <w:szCs w:val="20"/>
        </w:rPr>
        <w:t>parliament</w:t>
      </w:r>
      <w:r w:rsidR="00D842A1" w:rsidRPr="006871EC">
        <w:rPr>
          <w:sz w:val="20"/>
          <w:szCs w:val="20"/>
        </w:rPr>
        <w:t>s</w:t>
      </w:r>
      <w:r w:rsidR="00C610D2" w:rsidRPr="006871EC">
        <w:rPr>
          <w:sz w:val="20"/>
          <w:szCs w:val="20"/>
        </w:rPr>
        <w:t xml:space="preserve">, </w:t>
      </w:r>
      <w:r w:rsidR="00D842A1" w:rsidRPr="006871EC">
        <w:rPr>
          <w:sz w:val="20"/>
          <w:szCs w:val="20"/>
        </w:rPr>
        <w:t xml:space="preserve">Governments </w:t>
      </w:r>
      <w:r w:rsidR="00C610D2" w:rsidRPr="006871EC">
        <w:rPr>
          <w:sz w:val="20"/>
          <w:szCs w:val="20"/>
        </w:rPr>
        <w:t>and civil society,</w:t>
      </w:r>
      <w:r w:rsidR="00BD7290" w:rsidRPr="006871EC">
        <w:rPr>
          <w:sz w:val="20"/>
          <w:szCs w:val="20"/>
        </w:rPr>
        <w:t xml:space="preserve"> </w:t>
      </w:r>
      <w:r w:rsidR="00C610D2" w:rsidRPr="006871EC">
        <w:rPr>
          <w:sz w:val="20"/>
          <w:szCs w:val="20"/>
        </w:rPr>
        <w:t>support</w:t>
      </w:r>
      <w:r w:rsidR="00BD7290" w:rsidRPr="006871EC">
        <w:rPr>
          <w:sz w:val="20"/>
          <w:szCs w:val="20"/>
        </w:rPr>
        <w:t xml:space="preserve"> </w:t>
      </w:r>
      <w:r w:rsidR="00C610D2" w:rsidRPr="006871EC">
        <w:rPr>
          <w:sz w:val="20"/>
          <w:szCs w:val="20"/>
        </w:rPr>
        <w:t xml:space="preserve">to </w:t>
      </w:r>
      <w:r w:rsidR="002E67CC" w:rsidRPr="006871EC">
        <w:rPr>
          <w:sz w:val="20"/>
          <w:szCs w:val="20"/>
        </w:rPr>
        <w:t>democratic reforms and</w:t>
      </w:r>
      <w:r w:rsidR="00BA76A8" w:rsidRPr="006871EC">
        <w:rPr>
          <w:sz w:val="20"/>
          <w:szCs w:val="20"/>
        </w:rPr>
        <w:t xml:space="preserve"> </w:t>
      </w:r>
      <w:r w:rsidR="002E67CC" w:rsidRPr="006871EC">
        <w:rPr>
          <w:sz w:val="20"/>
          <w:szCs w:val="20"/>
        </w:rPr>
        <w:t xml:space="preserve">improved </w:t>
      </w:r>
      <w:r w:rsidR="00BD7290" w:rsidRPr="006871EC">
        <w:rPr>
          <w:sz w:val="20"/>
          <w:szCs w:val="20"/>
        </w:rPr>
        <w:t>public administration</w:t>
      </w:r>
      <w:r w:rsidR="00D842A1" w:rsidRPr="006871EC">
        <w:rPr>
          <w:sz w:val="20"/>
          <w:szCs w:val="20"/>
        </w:rPr>
        <w:t>,</w:t>
      </w:r>
      <w:r w:rsidR="00BD7290" w:rsidRPr="006871EC">
        <w:rPr>
          <w:sz w:val="20"/>
          <w:szCs w:val="20"/>
        </w:rPr>
        <w:t xml:space="preserve"> </w:t>
      </w:r>
      <w:r w:rsidR="0032488B" w:rsidRPr="006871EC">
        <w:rPr>
          <w:sz w:val="20"/>
          <w:szCs w:val="20"/>
        </w:rPr>
        <w:t xml:space="preserve">local </w:t>
      </w:r>
      <w:r w:rsidR="000023A9" w:rsidRPr="006871EC">
        <w:rPr>
          <w:sz w:val="20"/>
          <w:szCs w:val="20"/>
        </w:rPr>
        <w:t>access</w:t>
      </w:r>
      <w:r w:rsidR="0032488B" w:rsidRPr="006871EC">
        <w:rPr>
          <w:sz w:val="20"/>
          <w:szCs w:val="20"/>
        </w:rPr>
        <w:t xml:space="preserve"> to public information, </w:t>
      </w:r>
      <w:r w:rsidR="002B623F" w:rsidRPr="006871EC">
        <w:rPr>
          <w:sz w:val="20"/>
          <w:szCs w:val="20"/>
        </w:rPr>
        <w:t>citizen</w:t>
      </w:r>
      <w:r w:rsidR="00BA76A8" w:rsidRPr="006871EC">
        <w:rPr>
          <w:sz w:val="20"/>
          <w:szCs w:val="20"/>
        </w:rPr>
        <w:t>s</w:t>
      </w:r>
      <w:r w:rsidR="00EC11CB" w:rsidRPr="006871EC">
        <w:rPr>
          <w:sz w:val="20"/>
          <w:szCs w:val="20"/>
        </w:rPr>
        <w:t>'</w:t>
      </w:r>
      <w:r w:rsidR="00BA76A8" w:rsidRPr="006871EC">
        <w:rPr>
          <w:sz w:val="20"/>
          <w:szCs w:val="20"/>
        </w:rPr>
        <w:t xml:space="preserve"> participation,</w:t>
      </w:r>
      <w:r w:rsidR="0032488B" w:rsidRPr="006871EC">
        <w:rPr>
          <w:sz w:val="20"/>
          <w:szCs w:val="20"/>
        </w:rPr>
        <w:t xml:space="preserve"> accountability,</w:t>
      </w:r>
      <w:r w:rsidR="002E67CC" w:rsidRPr="006871EC">
        <w:rPr>
          <w:sz w:val="20"/>
          <w:szCs w:val="20"/>
        </w:rPr>
        <w:t xml:space="preserve"> rule of law, electoral systems, peacebuilding and </w:t>
      </w:r>
      <w:r w:rsidR="00BA76A8" w:rsidRPr="006871EC">
        <w:rPr>
          <w:sz w:val="20"/>
          <w:szCs w:val="20"/>
        </w:rPr>
        <w:t>basic service delivery</w:t>
      </w:r>
      <w:r w:rsidR="0032488B" w:rsidRPr="006871EC">
        <w:rPr>
          <w:sz w:val="20"/>
          <w:szCs w:val="20"/>
        </w:rPr>
        <w:t xml:space="preserve">. </w:t>
      </w:r>
      <w:r w:rsidR="00BA76A8" w:rsidRPr="006871EC">
        <w:rPr>
          <w:sz w:val="20"/>
          <w:szCs w:val="20"/>
        </w:rPr>
        <w:t xml:space="preserve">UNDP also notes the </w:t>
      </w:r>
      <w:r w:rsidR="00D842A1" w:rsidRPr="006871EC">
        <w:rPr>
          <w:sz w:val="20"/>
          <w:szCs w:val="20"/>
        </w:rPr>
        <w:t xml:space="preserve">evaluation's </w:t>
      </w:r>
      <w:r w:rsidR="00BA76A8" w:rsidRPr="006871EC">
        <w:rPr>
          <w:sz w:val="20"/>
          <w:szCs w:val="20"/>
        </w:rPr>
        <w:t>conclusion that consolidation of support to conflict prevention, governance and peacebuilding under one unit has enabled a more integrated and holistic approach to building peace and preventing conflict.</w:t>
      </w:r>
    </w:p>
    <w:p w14:paraId="33FF7B2C" w14:textId="77777777" w:rsidR="00E97620" w:rsidRPr="00E97620" w:rsidRDefault="00E97620" w:rsidP="003241F9">
      <w:pPr>
        <w:pStyle w:val="ListParagraph"/>
        <w:tabs>
          <w:tab w:val="left" w:pos="1080"/>
        </w:tabs>
        <w:spacing w:after="120"/>
        <w:ind w:right="750"/>
        <w:jc w:val="both"/>
        <w:rPr>
          <w:sz w:val="12"/>
          <w:szCs w:val="12"/>
        </w:rPr>
      </w:pPr>
    </w:p>
    <w:p w14:paraId="70D9B1A1" w14:textId="549B6426" w:rsidR="00CD2939" w:rsidRDefault="00A06E05" w:rsidP="003241F9">
      <w:pPr>
        <w:pStyle w:val="ListParagraph"/>
        <w:numPr>
          <w:ilvl w:val="0"/>
          <w:numId w:val="10"/>
        </w:numPr>
        <w:tabs>
          <w:tab w:val="left" w:pos="1080"/>
        </w:tabs>
        <w:spacing w:after="120"/>
        <w:ind w:right="750" w:firstLine="0"/>
        <w:jc w:val="both"/>
        <w:rPr>
          <w:sz w:val="20"/>
          <w:szCs w:val="20"/>
        </w:rPr>
      </w:pPr>
      <w:r w:rsidRPr="006871EC">
        <w:rPr>
          <w:sz w:val="20"/>
          <w:szCs w:val="20"/>
        </w:rPr>
        <w:t xml:space="preserve">In response to the </w:t>
      </w:r>
      <w:r w:rsidR="00D842A1" w:rsidRPr="006871EC">
        <w:rPr>
          <w:sz w:val="20"/>
          <w:szCs w:val="20"/>
        </w:rPr>
        <w:t xml:space="preserve">evaluation’s </w:t>
      </w:r>
      <w:r w:rsidR="00BA09DC" w:rsidRPr="006871EC">
        <w:rPr>
          <w:sz w:val="20"/>
          <w:szCs w:val="20"/>
        </w:rPr>
        <w:t xml:space="preserve">finding that </w:t>
      </w:r>
      <w:r w:rsidR="00D842A1" w:rsidRPr="006871EC">
        <w:rPr>
          <w:sz w:val="20"/>
          <w:szCs w:val="20"/>
        </w:rPr>
        <w:t>addressing</w:t>
      </w:r>
      <w:r w:rsidR="00BA09DC" w:rsidRPr="006871EC">
        <w:rPr>
          <w:sz w:val="20"/>
          <w:szCs w:val="20"/>
        </w:rPr>
        <w:t xml:space="preserve"> democratic governance issues </w:t>
      </w:r>
      <w:r w:rsidR="00D842A1" w:rsidRPr="006871EC">
        <w:rPr>
          <w:sz w:val="20"/>
          <w:szCs w:val="20"/>
        </w:rPr>
        <w:t xml:space="preserve">at times </w:t>
      </w:r>
      <w:r w:rsidR="00BA09DC" w:rsidRPr="006871EC">
        <w:rPr>
          <w:sz w:val="20"/>
          <w:szCs w:val="20"/>
        </w:rPr>
        <w:t>has been excessively prudent</w:t>
      </w:r>
      <w:r w:rsidR="00386F15" w:rsidRPr="006871EC">
        <w:rPr>
          <w:sz w:val="20"/>
          <w:szCs w:val="20"/>
        </w:rPr>
        <w:t xml:space="preserve"> and consequently</w:t>
      </w:r>
      <w:r w:rsidR="00BA09DC" w:rsidRPr="006871EC">
        <w:rPr>
          <w:sz w:val="20"/>
          <w:szCs w:val="20"/>
        </w:rPr>
        <w:t xml:space="preserve"> some opportunities were missed, </w:t>
      </w:r>
      <w:r w:rsidR="00D842A1" w:rsidRPr="006871EC">
        <w:rPr>
          <w:sz w:val="20"/>
          <w:szCs w:val="20"/>
        </w:rPr>
        <w:t xml:space="preserve">management </w:t>
      </w:r>
      <w:r w:rsidR="00BA09DC" w:rsidRPr="006871EC">
        <w:rPr>
          <w:sz w:val="20"/>
          <w:szCs w:val="20"/>
        </w:rPr>
        <w:t xml:space="preserve">wishes to explain that </w:t>
      </w:r>
      <w:r w:rsidR="00D842A1" w:rsidRPr="006871EC">
        <w:rPr>
          <w:sz w:val="20"/>
          <w:szCs w:val="20"/>
        </w:rPr>
        <w:t>UNDP</w:t>
      </w:r>
      <w:r w:rsidR="00BA09DC" w:rsidRPr="006871EC">
        <w:rPr>
          <w:sz w:val="20"/>
          <w:szCs w:val="20"/>
        </w:rPr>
        <w:t xml:space="preserve"> takes a development approach in responding to country priorities, respecting national ownership and strengthening institution</w:t>
      </w:r>
      <w:r w:rsidR="00386F15" w:rsidRPr="006871EC">
        <w:rPr>
          <w:sz w:val="20"/>
          <w:szCs w:val="20"/>
        </w:rPr>
        <w:t>al</w:t>
      </w:r>
      <w:r w:rsidR="00BA09DC" w:rsidRPr="006871EC">
        <w:rPr>
          <w:sz w:val="20"/>
          <w:szCs w:val="20"/>
        </w:rPr>
        <w:t xml:space="preserve"> and </w:t>
      </w:r>
      <w:r w:rsidR="00386F15" w:rsidRPr="006871EC">
        <w:rPr>
          <w:sz w:val="20"/>
          <w:szCs w:val="20"/>
        </w:rPr>
        <w:t xml:space="preserve">individual </w:t>
      </w:r>
      <w:r w:rsidR="00BA09DC" w:rsidRPr="006871EC">
        <w:rPr>
          <w:sz w:val="20"/>
          <w:szCs w:val="20"/>
        </w:rPr>
        <w:t xml:space="preserve">capacities for </w:t>
      </w:r>
      <w:r w:rsidR="00D842A1" w:rsidRPr="006871EC">
        <w:rPr>
          <w:sz w:val="20"/>
          <w:szCs w:val="20"/>
        </w:rPr>
        <w:t xml:space="preserve">full adoption of </w:t>
      </w:r>
      <w:r w:rsidR="00BA09DC" w:rsidRPr="006871EC">
        <w:rPr>
          <w:sz w:val="20"/>
          <w:szCs w:val="20"/>
        </w:rPr>
        <w:t>reforms</w:t>
      </w:r>
      <w:r w:rsidR="00D842A1" w:rsidRPr="006871EC">
        <w:rPr>
          <w:sz w:val="20"/>
          <w:szCs w:val="20"/>
        </w:rPr>
        <w:t xml:space="preserve">, </w:t>
      </w:r>
      <w:r w:rsidR="00BA09DC" w:rsidRPr="006871EC">
        <w:rPr>
          <w:sz w:val="20"/>
          <w:szCs w:val="20"/>
        </w:rPr>
        <w:t xml:space="preserve">led by national actors. In so doing, UNDP aligns itself with the principles of effective development cooperation as reflected in the 2030 Agenda, the Addis Ababa Agenda for Action </w:t>
      </w:r>
      <w:r w:rsidR="004C47C1" w:rsidRPr="006871EC">
        <w:rPr>
          <w:sz w:val="20"/>
          <w:szCs w:val="20"/>
        </w:rPr>
        <w:t>and other</w:t>
      </w:r>
      <w:r w:rsidR="00BA09DC" w:rsidRPr="006871EC">
        <w:rPr>
          <w:sz w:val="20"/>
          <w:szCs w:val="20"/>
        </w:rPr>
        <w:t xml:space="preserve"> global instruments. </w:t>
      </w:r>
      <w:r w:rsidR="0083646F" w:rsidRPr="006871EC">
        <w:rPr>
          <w:sz w:val="20"/>
          <w:szCs w:val="20"/>
        </w:rPr>
        <w:t>Fragility-sensitive, risk-informed governance interventions should not be seen as overly</w:t>
      </w:r>
      <w:r w:rsidR="00D842A1" w:rsidRPr="006871EC">
        <w:rPr>
          <w:sz w:val="20"/>
          <w:szCs w:val="20"/>
        </w:rPr>
        <w:t xml:space="preserve"> </w:t>
      </w:r>
      <w:r w:rsidR="0083646F" w:rsidRPr="006871EC">
        <w:rPr>
          <w:sz w:val="20"/>
          <w:szCs w:val="20"/>
        </w:rPr>
        <w:t>cautious approaches or as a</w:t>
      </w:r>
      <w:r w:rsidR="00143C9C" w:rsidRPr="006871EC">
        <w:rPr>
          <w:sz w:val="20"/>
          <w:szCs w:val="20"/>
        </w:rPr>
        <w:t xml:space="preserve"> </w:t>
      </w:r>
      <w:r w:rsidR="0083646F" w:rsidRPr="006871EC">
        <w:rPr>
          <w:sz w:val="20"/>
          <w:szCs w:val="20"/>
        </w:rPr>
        <w:t>leadership deficit.</w:t>
      </w:r>
      <w:r w:rsidR="00BA09DC" w:rsidRPr="006871EC">
        <w:rPr>
          <w:sz w:val="20"/>
          <w:szCs w:val="20"/>
        </w:rPr>
        <w:t xml:space="preserve"> </w:t>
      </w:r>
    </w:p>
    <w:p w14:paraId="685DDBBF" w14:textId="77777777" w:rsidR="00E97620" w:rsidRPr="00E97620" w:rsidRDefault="00E97620" w:rsidP="003241F9">
      <w:pPr>
        <w:pStyle w:val="ListParagraph"/>
        <w:tabs>
          <w:tab w:val="left" w:pos="1080"/>
        </w:tabs>
        <w:spacing w:after="120"/>
        <w:ind w:right="750"/>
        <w:jc w:val="both"/>
        <w:rPr>
          <w:sz w:val="12"/>
          <w:szCs w:val="12"/>
        </w:rPr>
      </w:pPr>
    </w:p>
    <w:p w14:paraId="6A806B24" w14:textId="064A3039" w:rsidR="00143C9C" w:rsidRPr="006871EC" w:rsidRDefault="003E78EC" w:rsidP="003241F9">
      <w:pPr>
        <w:pStyle w:val="ListParagraph"/>
        <w:numPr>
          <w:ilvl w:val="0"/>
          <w:numId w:val="10"/>
        </w:numPr>
        <w:tabs>
          <w:tab w:val="left" w:pos="1080"/>
        </w:tabs>
        <w:spacing w:after="120"/>
        <w:ind w:right="750" w:firstLine="0"/>
        <w:jc w:val="both"/>
        <w:rPr>
          <w:sz w:val="20"/>
          <w:szCs w:val="20"/>
        </w:rPr>
      </w:pPr>
      <w:r w:rsidRPr="006871EC">
        <w:rPr>
          <w:sz w:val="20"/>
          <w:szCs w:val="20"/>
        </w:rPr>
        <w:t>The</w:t>
      </w:r>
      <w:r w:rsidR="002E67CC" w:rsidRPr="006871EC">
        <w:rPr>
          <w:sz w:val="20"/>
          <w:szCs w:val="20"/>
        </w:rPr>
        <w:t xml:space="preserve"> </w:t>
      </w:r>
      <w:r w:rsidR="00D842A1" w:rsidRPr="006871EC">
        <w:rPr>
          <w:sz w:val="20"/>
          <w:szCs w:val="20"/>
        </w:rPr>
        <w:t xml:space="preserve">evaluation's </w:t>
      </w:r>
      <w:r w:rsidR="002E67CC" w:rsidRPr="006871EC">
        <w:rPr>
          <w:sz w:val="20"/>
          <w:szCs w:val="20"/>
        </w:rPr>
        <w:t xml:space="preserve">findings and conclusions regarding </w:t>
      </w:r>
      <w:r w:rsidR="00FC6097" w:rsidRPr="006871EC">
        <w:rPr>
          <w:sz w:val="20"/>
          <w:szCs w:val="20"/>
        </w:rPr>
        <w:t>the critical</w:t>
      </w:r>
      <w:r w:rsidR="002E67CC" w:rsidRPr="006871EC">
        <w:rPr>
          <w:sz w:val="20"/>
          <w:szCs w:val="20"/>
        </w:rPr>
        <w:t xml:space="preserve"> role </w:t>
      </w:r>
      <w:r w:rsidR="00EC11CB" w:rsidRPr="006871EC">
        <w:rPr>
          <w:sz w:val="20"/>
          <w:szCs w:val="20"/>
        </w:rPr>
        <w:t xml:space="preserve">of UNDP </w:t>
      </w:r>
      <w:r w:rsidR="002E67CC" w:rsidRPr="006871EC">
        <w:rPr>
          <w:sz w:val="20"/>
          <w:szCs w:val="20"/>
        </w:rPr>
        <w:t xml:space="preserve">in advancing democratic governance as an essential driver for </w:t>
      </w:r>
      <w:r w:rsidR="00871578" w:rsidRPr="006871EC">
        <w:rPr>
          <w:sz w:val="20"/>
          <w:szCs w:val="20"/>
        </w:rPr>
        <w:t xml:space="preserve">inclusive growth, </w:t>
      </w:r>
      <w:r w:rsidR="002E67CC" w:rsidRPr="006871EC">
        <w:rPr>
          <w:sz w:val="20"/>
          <w:szCs w:val="20"/>
        </w:rPr>
        <w:t xml:space="preserve">human development, peace and resilience </w:t>
      </w:r>
      <w:r w:rsidRPr="006871EC">
        <w:rPr>
          <w:sz w:val="20"/>
          <w:szCs w:val="20"/>
        </w:rPr>
        <w:t>provide the necessary evidence</w:t>
      </w:r>
      <w:r w:rsidR="00EF187D" w:rsidRPr="006871EC">
        <w:rPr>
          <w:sz w:val="20"/>
          <w:szCs w:val="20"/>
        </w:rPr>
        <w:t xml:space="preserve"> </w:t>
      </w:r>
      <w:r w:rsidRPr="006871EC">
        <w:rPr>
          <w:sz w:val="20"/>
          <w:szCs w:val="20"/>
        </w:rPr>
        <w:t xml:space="preserve">for </w:t>
      </w:r>
      <w:r w:rsidR="00FC6097">
        <w:rPr>
          <w:sz w:val="20"/>
          <w:szCs w:val="20"/>
        </w:rPr>
        <w:t>this area of work.</w:t>
      </w:r>
    </w:p>
    <w:p w14:paraId="5B9B3571" w14:textId="77777777" w:rsidR="003E78EC" w:rsidRPr="00E97620" w:rsidRDefault="003E78EC" w:rsidP="003241F9">
      <w:pPr>
        <w:pStyle w:val="ListParagraph"/>
        <w:spacing w:after="120"/>
        <w:ind w:right="750"/>
        <w:jc w:val="both"/>
        <w:rPr>
          <w:sz w:val="12"/>
          <w:szCs w:val="12"/>
        </w:rPr>
      </w:pPr>
    </w:p>
    <w:p w14:paraId="6C5E296F" w14:textId="77777777" w:rsidR="003E78EC" w:rsidRPr="006871EC" w:rsidRDefault="003E78EC" w:rsidP="003241F9">
      <w:pPr>
        <w:pStyle w:val="ListParagraph"/>
        <w:spacing w:after="120"/>
        <w:ind w:right="750"/>
        <w:jc w:val="both"/>
        <w:rPr>
          <w:b/>
          <w:sz w:val="20"/>
          <w:szCs w:val="20"/>
        </w:rPr>
      </w:pPr>
      <w:r w:rsidRPr="006871EC">
        <w:rPr>
          <w:b/>
          <w:sz w:val="20"/>
          <w:szCs w:val="20"/>
        </w:rPr>
        <w:t>Resilience building</w:t>
      </w:r>
    </w:p>
    <w:p w14:paraId="73686B0D" w14:textId="77777777" w:rsidR="002E7A79" w:rsidRPr="00E97620" w:rsidRDefault="002E7A79" w:rsidP="003241F9">
      <w:pPr>
        <w:pStyle w:val="ListParagraph"/>
        <w:spacing w:after="120"/>
        <w:ind w:right="750"/>
        <w:jc w:val="both"/>
        <w:rPr>
          <w:sz w:val="12"/>
          <w:szCs w:val="12"/>
        </w:rPr>
      </w:pPr>
    </w:p>
    <w:p w14:paraId="2F2C525D" w14:textId="1A30238A" w:rsidR="003E78EC" w:rsidRPr="006871EC" w:rsidRDefault="00D76919" w:rsidP="003241F9">
      <w:pPr>
        <w:pStyle w:val="ListParagraph"/>
        <w:numPr>
          <w:ilvl w:val="0"/>
          <w:numId w:val="10"/>
        </w:numPr>
        <w:tabs>
          <w:tab w:val="left" w:pos="1080"/>
        </w:tabs>
        <w:spacing w:after="120"/>
        <w:ind w:right="750" w:firstLine="0"/>
        <w:jc w:val="both"/>
        <w:rPr>
          <w:sz w:val="20"/>
          <w:szCs w:val="20"/>
        </w:rPr>
      </w:pPr>
      <w:r w:rsidRPr="006871EC">
        <w:rPr>
          <w:sz w:val="20"/>
          <w:szCs w:val="20"/>
        </w:rPr>
        <w:t xml:space="preserve">The </w:t>
      </w:r>
      <w:r w:rsidR="003E36C7" w:rsidRPr="006871EC">
        <w:rPr>
          <w:sz w:val="20"/>
          <w:szCs w:val="20"/>
        </w:rPr>
        <w:t xml:space="preserve">UNDP commitment to a risk-informed approach to development will continue to </w:t>
      </w:r>
      <w:r w:rsidR="007D39FE" w:rsidRPr="006871EC">
        <w:rPr>
          <w:sz w:val="20"/>
          <w:szCs w:val="20"/>
        </w:rPr>
        <w:t xml:space="preserve">guide </w:t>
      </w:r>
      <w:r w:rsidRPr="006871EC">
        <w:rPr>
          <w:sz w:val="20"/>
          <w:szCs w:val="20"/>
        </w:rPr>
        <w:t xml:space="preserve">the </w:t>
      </w:r>
      <w:r w:rsidR="007D39FE" w:rsidRPr="006871EC">
        <w:rPr>
          <w:sz w:val="20"/>
          <w:szCs w:val="20"/>
        </w:rPr>
        <w:t xml:space="preserve">formulation and implementation of </w:t>
      </w:r>
      <w:r w:rsidR="003E36C7" w:rsidRPr="006871EC">
        <w:rPr>
          <w:sz w:val="20"/>
          <w:szCs w:val="20"/>
        </w:rPr>
        <w:t xml:space="preserve">its </w:t>
      </w:r>
      <w:r w:rsidR="00480517" w:rsidRPr="006871EC">
        <w:rPr>
          <w:sz w:val="20"/>
          <w:szCs w:val="20"/>
        </w:rPr>
        <w:t>strategic plan</w:t>
      </w:r>
      <w:r w:rsidR="003E36C7" w:rsidRPr="006871EC">
        <w:rPr>
          <w:sz w:val="20"/>
          <w:szCs w:val="20"/>
        </w:rPr>
        <w:t xml:space="preserve">, programmes and projects. Theories of change will </w:t>
      </w:r>
      <w:r w:rsidRPr="006871EC">
        <w:rPr>
          <w:sz w:val="20"/>
          <w:szCs w:val="20"/>
        </w:rPr>
        <w:t xml:space="preserve">draw </w:t>
      </w:r>
      <w:r w:rsidR="003E36C7" w:rsidRPr="006871EC">
        <w:rPr>
          <w:sz w:val="20"/>
          <w:szCs w:val="20"/>
        </w:rPr>
        <w:t>systematically on risk analyses</w:t>
      </w:r>
      <w:r w:rsidRPr="006871EC">
        <w:rPr>
          <w:sz w:val="20"/>
          <w:szCs w:val="20"/>
        </w:rPr>
        <w:t>,</w:t>
      </w:r>
      <w:r w:rsidR="003E36C7" w:rsidRPr="006871EC">
        <w:rPr>
          <w:sz w:val="20"/>
          <w:szCs w:val="20"/>
        </w:rPr>
        <w:t xml:space="preserve"> and interventions will </w:t>
      </w:r>
      <w:r w:rsidR="007D39FE" w:rsidRPr="006871EC">
        <w:rPr>
          <w:sz w:val="20"/>
          <w:szCs w:val="20"/>
        </w:rPr>
        <w:t xml:space="preserve">integrate </w:t>
      </w:r>
      <w:r w:rsidR="003E36C7" w:rsidRPr="006871EC">
        <w:rPr>
          <w:sz w:val="20"/>
          <w:szCs w:val="20"/>
        </w:rPr>
        <w:t xml:space="preserve">fragility-sensitive </w:t>
      </w:r>
      <w:r w:rsidR="007D39FE" w:rsidRPr="006871EC">
        <w:rPr>
          <w:sz w:val="20"/>
          <w:szCs w:val="20"/>
        </w:rPr>
        <w:t xml:space="preserve">principles and approaches. Management of risks from prevention to reduction </w:t>
      </w:r>
      <w:r w:rsidR="002E7A79" w:rsidRPr="006871EC">
        <w:rPr>
          <w:sz w:val="20"/>
          <w:szCs w:val="20"/>
        </w:rPr>
        <w:t>and</w:t>
      </w:r>
      <w:r w:rsidR="007D39FE" w:rsidRPr="006871EC">
        <w:rPr>
          <w:sz w:val="20"/>
          <w:szCs w:val="20"/>
        </w:rPr>
        <w:t xml:space="preserve"> recovery efforts will remain at the centr</w:t>
      </w:r>
      <w:r w:rsidRPr="006871EC">
        <w:rPr>
          <w:sz w:val="20"/>
          <w:szCs w:val="20"/>
        </w:rPr>
        <w:t>e</w:t>
      </w:r>
      <w:r w:rsidR="007D39FE" w:rsidRPr="006871EC">
        <w:rPr>
          <w:sz w:val="20"/>
          <w:szCs w:val="20"/>
        </w:rPr>
        <w:t xml:space="preserve"> of UNDP</w:t>
      </w:r>
      <w:r w:rsidR="00FB2BAB" w:rsidRPr="006871EC">
        <w:rPr>
          <w:sz w:val="20"/>
          <w:szCs w:val="20"/>
        </w:rPr>
        <w:t xml:space="preserve"> support to countries and populations in need, in line with the broader U</w:t>
      </w:r>
      <w:r w:rsidRPr="006871EC">
        <w:rPr>
          <w:sz w:val="20"/>
          <w:szCs w:val="20"/>
        </w:rPr>
        <w:t xml:space="preserve">nited </w:t>
      </w:r>
      <w:r w:rsidR="00FB2BAB" w:rsidRPr="006871EC">
        <w:rPr>
          <w:sz w:val="20"/>
          <w:szCs w:val="20"/>
        </w:rPr>
        <w:t>N</w:t>
      </w:r>
      <w:r w:rsidRPr="006871EC">
        <w:rPr>
          <w:sz w:val="20"/>
          <w:szCs w:val="20"/>
        </w:rPr>
        <w:t>ations</w:t>
      </w:r>
      <w:r w:rsidR="00FB2BAB" w:rsidRPr="006871EC">
        <w:rPr>
          <w:sz w:val="20"/>
          <w:szCs w:val="20"/>
        </w:rPr>
        <w:t xml:space="preserve"> agenda</w:t>
      </w:r>
      <w:r w:rsidRPr="006871EC">
        <w:rPr>
          <w:sz w:val="20"/>
          <w:szCs w:val="20"/>
        </w:rPr>
        <w:t>. This support</w:t>
      </w:r>
      <w:r w:rsidR="00FB2BAB" w:rsidRPr="006871EC">
        <w:rPr>
          <w:sz w:val="20"/>
          <w:szCs w:val="20"/>
        </w:rPr>
        <w:t xml:space="preserve"> </w:t>
      </w:r>
      <w:r w:rsidRPr="006871EC">
        <w:rPr>
          <w:sz w:val="20"/>
          <w:szCs w:val="20"/>
        </w:rPr>
        <w:t xml:space="preserve">will </w:t>
      </w:r>
      <w:r w:rsidR="002E7A79" w:rsidRPr="006871EC">
        <w:rPr>
          <w:sz w:val="20"/>
          <w:szCs w:val="20"/>
        </w:rPr>
        <w:t xml:space="preserve">draw on partnerships that are not limited by corporate </w:t>
      </w:r>
      <w:r w:rsidR="00FB2BAB" w:rsidRPr="006871EC">
        <w:rPr>
          <w:sz w:val="20"/>
          <w:szCs w:val="20"/>
        </w:rPr>
        <w:t>structures</w:t>
      </w:r>
      <w:r w:rsidR="009F5AD0" w:rsidRPr="006871EC">
        <w:rPr>
          <w:sz w:val="20"/>
          <w:szCs w:val="20"/>
        </w:rPr>
        <w:t>,</w:t>
      </w:r>
      <w:r w:rsidR="002E7A79" w:rsidRPr="006871EC">
        <w:rPr>
          <w:sz w:val="20"/>
          <w:szCs w:val="20"/>
        </w:rPr>
        <w:t xml:space="preserve"> </w:t>
      </w:r>
      <w:r w:rsidR="009F5AD0" w:rsidRPr="006871EC">
        <w:rPr>
          <w:sz w:val="20"/>
          <w:szCs w:val="20"/>
        </w:rPr>
        <w:t xml:space="preserve">similar to </w:t>
      </w:r>
      <w:r w:rsidR="002E7A79" w:rsidRPr="006871EC">
        <w:rPr>
          <w:sz w:val="20"/>
          <w:szCs w:val="20"/>
        </w:rPr>
        <w:t xml:space="preserve">the response to the Ebola crisis and </w:t>
      </w:r>
      <w:r w:rsidR="009F5AD0" w:rsidRPr="006871EC">
        <w:rPr>
          <w:sz w:val="20"/>
          <w:szCs w:val="20"/>
        </w:rPr>
        <w:t xml:space="preserve">other </w:t>
      </w:r>
      <w:r w:rsidR="002E7A79" w:rsidRPr="006871EC">
        <w:rPr>
          <w:sz w:val="20"/>
          <w:szCs w:val="20"/>
        </w:rPr>
        <w:t>interventions</w:t>
      </w:r>
      <w:r w:rsidR="00FB2BAB" w:rsidRPr="006871EC">
        <w:rPr>
          <w:sz w:val="20"/>
          <w:szCs w:val="20"/>
        </w:rPr>
        <w:t>.</w:t>
      </w:r>
    </w:p>
    <w:p w14:paraId="75EF7B72" w14:textId="17E82BCB" w:rsidR="0092249A" w:rsidRPr="006871EC" w:rsidRDefault="00143C9C" w:rsidP="003241F9">
      <w:pPr>
        <w:spacing w:after="120"/>
        <w:ind w:left="720" w:right="750"/>
        <w:jc w:val="both"/>
        <w:rPr>
          <w:b/>
          <w:sz w:val="20"/>
          <w:szCs w:val="20"/>
        </w:rPr>
      </w:pPr>
      <w:r w:rsidRPr="006871EC">
        <w:rPr>
          <w:b/>
          <w:sz w:val="20"/>
          <w:szCs w:val="20"/>
        </w:rPr>
        <w:t xml:space="preserve">Global and </w:t>
      </w:r>
      <w:r w:rsidR="009F5AD0" w:rsidRPr="006871EC">
        <w:rPr>
          <w:b/>
          <w:sz w:val="20"/>
          <w:szCs w:val="20"/>
        </w:rPr>
        <w:t>regional programmes</w:t>
      </w:r>
    </w:p>
    <w:p w14:paraId="6F8C681B" w14:textId="26B727BC" w:rsidR="00566C95" w:rsidRDefault="00515DAE" w:rsidP="003241F9">
      <w:pPr>
        <w:pStyle w:val="ListParagraph"/>
        <w:numPr>
          <w:ilvl w:val="0"/>
          <w:numId w:val="10"/>
        </w:numPr>
        <w:tabs>
          <w:tab w:val="left" w:pos="1170"/>
        </w:tabs>
        <w:spacing w:after="120"/>
        <w:ind w:right="750" w:firstLine="0"/>
        <w:jc w:val="both"/>
        <w:rPr>
          <w:color w:val="000000" w:themeColor="text1"/>
          <w:sz w:val="20"/>
          <w:szCs w:val="20"/>
        </w:rPr>
      </w:pPr>
      <w:r w:rsidRPr="006871EC">
        <w:rPr>
          <w:color w:val="000000" w:themeColor="text1"/>
          <w:sz w:val="20"/>
          <w:szCs w:val="20"/>
        </w:rPr>
        <w:t>With</w:t>
      </w:r>
      <w:r w:rsidR="00566C95" w:rsidRPr="006871EC">
        <w:rPr>
          <w:color w:val="000000" w:themeColor="text1"/>
          <w:sz w:val="20"/>
          <w:szCs w:val="20"/>
        </w:rPr>
        <w:t xml:space="preserve"> </w:t>
      </w:r>
      <w:r w:rsidR="00CD6651" w:rsidRPr="006871EC">
        <w:rPr>
          <w:color w:val="000000" w:themeColor="text1"/>
          <w:sz w:val="20"/>
          <w:szCs w:val="20"/>
        </w:rPr>
        <w:t xml:space="preserve">respect </w:t>
      </w:r>
      <w:r w:rsidR="003C65CD" w:rsidRPr="006871EC">
        <w:rPr>
          <w:color w:val="000000" w:themeColor="text1"/>
          <w:sz w:val="20"/>
          <w:szCs w:val="20"/>
        </w:rPr>
        <w:t xml:space="preserve">to </w:t>
      </w:r>
      <w:r w:rsidR="00566C95" w:rsidRPr="006871EC">
        <w:rPr>
          <w:color w:val="000000" w:themeColor="text1"/>
          <w:sz w:val="20"/>
          <w:szCs w:val="20"/>
        </w:rPr>
        <w:t xml:space="preserve">the </w:t>
      </w:r>
      <w:r w:rsidR="009F5AD0" w:rsidRPr="006871EC">
        <w:rPr>
          <w:color w:val="000000" w:themeColor="text1"/>
          <w:sz w:val="20"/>
          <w:szCs w:val="20"/>
        </w:rPr>
        <w:t xml:space="preserve">evaluation's </w:t>
      </w:r>
      <w:r w:rsidR="00566C95" w:rsidRPr="006871EC">
        <w:rPr>
          <w:color w:val="000000" w:themeColor="text1"/>
          <w:sz w:val="20"/>
          <w:szCs w:val="20"/>
        </w:rPr>
        <w:t xml:space="preserve">findings and conclusions regarding the </w:t>
      </w:r>
      <w:r w:rsidR="009F5AD0" w:rsidRPr="006871EC">
        <w:rPr>
          <w:color w:val="000000" w:themeColor="text1"/>
          <w:sz w:val="20"/>
          <w:szCs w:val="20"/>
        </w:rPr>
        <w:t xml:space="preserve">global </w:t>
      </w:r>
      <w:r w:rsidR="00566C95" w:rsidRPr="006871EC">
        <w:rPr>
          <w:color w:val="000000" w:themeColor="text1"/>
          <w:sz w:val="20"/>
          <w:szCs w:val="20"/>
        </w:rPr>
        <w:t xml:space="preserve">and </w:t>
      </w:r>
      <w:r w:rsidR="009F5AD0" w:rsidRPr="006871EC">
        <w:rPr>
          <w:color w:val="000000" w:themeColor="text1"/>
          <w:sz w:val="20"/>
          <w:szCs w:val="20"/>
        </w:rPr>
        <w:t>regional programmes</w:t>
      </w:r>
      <w:r w:rsidR="00392D52" w:rsidRPr="006871EC">
        <w:rPr>
          <w:color w:val="000000" w:themeColor="text1"/>
          <w:sz w:val="20"/>
          <w:szCs w:val="20"/>
        </w:rPr>
        <w:t xml:space="preserve">, </w:t>
      </w:r>
      <w:r w:rsidR="009F5AD0" w:rsidRPr="006871EC">
        <w:rPr>
          <w:color w:val="000000" w:themeColor="text1"/>
          <w:sz w:val="20"/>
          <w:szCs w:val="20"/>
        </w:rPr>
        <w:t xml:space="preserve">management </w:t>
      </w:r>
      <w:r w:rsidR="00523329" w:rsidRPr="006871EC">
        <w:rPr>
          <w:color w:val="000000" w:themeColor="text1"/>
          <w:sz w:val="20"/>
          <w:szCs w:val="20"/>
        </w:rPr>
        <w:t>appreciates</w:t>
      </w:r>
      <w:r w:rsidR="00D4675C" w:rsidRPr="006871EC">
        <w:rPr>
          <w:color w:val="000000" w:themeColor="text1"/>
          <w:sz w:val="20"/>
          <w:szCs w:val="20"/>
        </w:rPr>
        <w:t xml:space="preserve"> the importance of these instruments in positioning </w:t>
      </w:r>
      <w:r w:rsidR="009F5AD0" w:rsidRPr="006871EC">
        <w:rPr>
          <w:color w:val="000000" w:themeColor="text1"/>
          <w:sz w:val="20"/>
          <w:szCs w:val="20"/>
        </w:rPr>
        <w:t>UNDP,</w:t>
      </w:r>
      <w:r w:rsidR="00D4675C" w:rsidRPr="006871EC">
        <w:rPr>
          <w:color w:val="000000" w:themeColor="text1"/>
          <w:sz w:val="20"/>
          <w:szCs w:val="20"/>
        </w:rPr>
        <w:t xml:space="preserve"> defining its contributions to global and regional public goods </w:t>
      </w:r>
      <w:r w:rsidR="009F5AD0" w:rsidRPr="006871EC">
        <w:rPr>
          <w:color w:val="000000" w:themeColor="text1"/>
          <w:sz w:val="20"/>
          <w:szCs w:val="20"/>
        </w:rPr>
        <w:t xml:space="preserve">and </w:t>
      </w:r>
      <w:r w:rsidR="00D4675C" w:rsidRPr="006871EC">
        <w:rPr>
          <w:color w:val="000000" w:themeColor="text1"/>
          <w:sz w:val="20"/>
          <w:szCs w:val="20"/>
        </w:rPr>
        <w:t xml:space="preserve">enabling </w:t>
      </w:r>
      <w:r w:rsidR="00440A09" w:rsidRPr="006871EC">
        <w:rPr>
          <w:color w:val="000000" w:themeColor="text1"/>
          <w:sz w:val="20"/>
          <w:szCs w:val="20"/>
        </w:rPr>
        <w:t xml:space="preserve">country-level </w:t>
      </w:r>
      <w:r w:rsidR="008B6E5F" w:rsidRPr="006871EC">
        <w:rPr>
          <w:color w:val="000000" w:themeColor="text1"/>
          <w:sz w:val="20"/>
          <w:szCs w:val="20"/>
        </w:rPr>
        <w:t>development</w:t>
      </w:r>
      <w:r w:rsidR="00D4675C" w:rsidRPr="006871EC">
        <w:rPr>
          <w:color w:val="000000" w:themeColor="text1"/>
          <w:sz w:val="20"/>
          <w:szCs w:val="20"/>
        </w:rPr>
        <w:t xml:space="preserve"> </w:t>
      </w:r>
      <w:r w:rsidR="008B6E5F" w:rsidRPr="006871EC">
        <w:rPr>
          <w:color w:val="000000" w:themeColor="text1"/>
          <w:sz w:val="20"/>
          <w:szCs w:val="20"/>
        </w:rPr>
        <w:t xml:space="preserve">progress </w:t>
      </w:r>
      <w:r w:rsidR="00440A09" w:rsidRPr="006871EC">
        <w:rPr>
          <w:color w:val="000000" w:themeColor="text1"/>
          <w:sz w:val="20"/>
          <w:szCs w:val="20"/>
        </w:rPr>
        <w:t>and integrated results</w:t>
      </w:r>
      <w:r w:rsidR="00D4675C" w:rsidRPr="006871EC">
        <w:rPr>
          <w:color w:val="000000" w:themeColor="text1"/>
          <w:sz w:val="20"/>
          <w:szCs w:val="20"/>
        </w:rPr>
        <w:t xml:space="preserve">. </w:t>
      </w:r>
      <w:r w:rsidR="008B6E5F" w:rsidRPr="006871EC">
        <w:rPr>
          <w:color w:val="000000" w:themeColor="text1"/>
          <w:sz w:val="20"/>
          <w:szCs w:val="20"/>
        </w:rPr>
        <w:t xml:space="preserve">The </w:t>
      </w:r>
      <w:r w:rsidR="009F5AD0" w:rsidRPr="006871EC">
        <w:rPr>
          <w:color w:val="000000" w:themeColor="text1"/>
          <w:sz w:val="20"/>
          <w:szCs w:val="20"/>
        </w:rPr>
        <w:t xml:space="preserve">programmes </w:t>
      </w:r>
      <w:r w:rsidR="008B6E5F" w:rsidRPr="006871EC">
        <w:rPr>
          <w:color w:val="000000" w:themeColor="text1"/>
          <w:sz w:val="20"/>
          <w:szCs w:val="20"/>
        </w:rPr>
        <w:t xml:space="preserve">allow UNDP to engage in </w:t>
      </w:r>
      <w:r w:rsidR="00BC2739" w:rsidRPr="006871EC">
        <w:rPr>
          <w:color w:val="000000" w:themeColor="text1"/>
          <w:sz w:val="20"/>
          <w:szCs w:val="20"/>
        </w:rPr>
        <w:t xml:space="preserve">global and regional dialogues, </w:t>
      </w:r>
      <w:r w:rsidR="00440A09" w:rsidRPr="006871EC">
        <w:rPr>
          <w:color w:val="000000" w:themeColor="text1"/>
          <w:sz w:val="20"/>
          <w:szCs w:val="20"/>
        </w:rPr>
        <w:t xml:space="preserve">development </w:t>
      </w:r>
      <w:r w:rsidR="00BC2739" w:rsidRPr="006871EC">
        <w:rPr>
          <w:color w:val="000000" w:themeColor="text1"/>
          <w:sz w:val="20"/>
          <w:szCs w:val="20"/>
        </w:rPr>
        <w:t xml:space="preserve">research and policy consultations with regional and global organizations, and </w:t>
      </w:r>
      <w:r w:rsidR="009F5AD0" w:rsidRPr="006871EC">
        <w:rPr>
          <w:color w:val="000000" w:themeColor="text1"/>
          <w:sz w:val="20"/>
          <w:szCs w:val="20"/>
        </w:rPr>
        <w:t>assess opportunities</w:t>
      </w:r>
      <w:r w:rsidR="00BC2739" w:rsidRPr="006871EC">
        <w:rPr>
          <w:color w:val="000000" w:themeColor="text1"/>
          <w:sz w:val="20"/>
          <w:szCs w:val="20"/>
        </w:rPr>
        <w:t xml:space="preserve"> to strengthen its </w:t>
      </w:r>
      <w:r w:rsidR="009F5AD0" w:rsidRPr="006871EC">
        <w:rPr>
          <w:color w:val="000000" w:themeColor="text1"/>
          <w:sz w:val="20"/>
          <w:szCs w:val="20"/>
        </w:rPr>
        <w:t xml:space="preserve">long-term </w:t>
      </w:r>
      <w:r w:rsidR="00BC2739" w:rsidRPr="006871EC">
        <w:rPr>
          <w:color w:val="000000" w:themeColor="text1"/>
          <w:sz w:val="20"/>
          <w:szCs w:val="20"/>
        </w:rPr>
        <w:t xml:space="preserve">relevance and </w:t>
      </w:r>
      <w:r w:rsidR="00B17973" w:rsidRPr="006871EC">
        <w:rPr>
          <w:color w:val="000000" w:themeColor="text1"/>
          <w:sz w:val="20"/>
          <w:szCs w:val="20"/>
        </w:rPr>
        <w:t>competitiveness</w:t>
      </w:r>
      <w:r w:rsidR="00BC2739" w:rsidRPr="006871EC">
        <w:rPr>
          <w:color w:val="000000" w:themeColor="text1"/>
          <w:sz w:val="20"/>
          <w:szCs w:val="20"/>
        </w:rPr>
        <w:t xml:space="preserve">. </w:t>
      </w:r>
    </w:p>
    <w:p w14:paraId="5B7C2811" w14:textId="77777777" w:rsidR="00E97620" w:rsidRPr="00E97620" w:rsidRDefault="00E97620" w:rsidP="003241F9">
      <w:pPr>
        <w:pStyle w:val="ListParagraph"/>
        <w:tabs>
          <w:tab w:val="left" w:pos="1170"/>
        </w:tabs>
        <w:spacing w:after="120"/>
        <w:ind w:right="750"/>
        <w:jc w:val="both"/>
        <w:rPr>
          <w:color w:val="000000" w:themeColor="text1"/>
          <w:sz w:val="12"/>
          <w:szCs w:val="12"/>
        </w:rPr>
      </w:pPr>
    </w:p>
    <w:p w14:paraId="7882D402" w14:textId="204BA841" w:rsidR="00143C9C" w:rsidRDefault="00523329" w:rsidP="003241F9">
      <w:pPr>
        <w:pStyle w:val="ListParagraph"/>
        <w:numPr>
          <w:ilvl w:val="0"/>
          <w:numId w:val="10"/>
        </w:numPr>
        <w:tabs>
          <w:tab w:val="left" w:pos="1170"/>
        </w:tabs>
        <w:spacing w:after="120"/>
        <w:ind w:right="750" w:firstLine="0"/>
        <w:jc w:val="both"/>
        <w:rPr>
          <w:color w:val="000000" w:themeColor="text1"/>
          <w:sz w:val="20"/>
          <w:szCs w:val="20"/>
        </w:rPr>
      </w:pPr>
      <w:r w:rsidRPr="006871EC">
        <w:rPr>
          <w:color w:val="000000" w:themeColor="text1"/>
          <w:sz w:val="20"/>
          <w:szCs w:val="20"/>
        </w:rPr>
        <w:t>Management appreciates the evaluation’s approach of reviewing the performance of the five regional programmes together, as this has produced findings</w:t>
      </w:r>
      <w:r w:rsidR="00480517" w:rsidRPr="006871EC">
        <w:rPr>
          <w:color w:val="000000" w:themeColor="text1"/>
          <w:sz w:val="20"/>
          <w:szCs w:val="20"/>
        </w:rPr>
        <w:t xml:space="preserve"> </w:t>
      </w:r>
      <w:r w:rsidRPr="006871EC">
        <w:rPr>
          <w:color w:val="000000" w:themeColor="text1"/>
          <w:sz w:val="20"/>
          <w:szCs w:val="20"/>
        </w:rPr>
        <w:t xml:space="preserve">that are </w:t>
      </w:r>
      <w:r w:rsidR="00143C9C" w:rsidRPr="006871EC">
        <w:rPr>
          <w:color w:val="000000" w:themeColor="text1"/>
          <w:sz w:val="20"/>
          <w:szCs w:val="20"/>
        </w:rPr>
        <w:t xml:space="preserve">useful </w:t>
      </w:r>
      <w:r w:rsidR="00FC2FBA" w:rsidRPr="006871EC">
        <w:rPr>
          <w:color w:val="000000" w:themeColor="text1"/>
          <w:sz w:val="20"/>
          <w:szCs w:val="20"/>
        </w:rPr>
        <w:t xml:space="preserve">both </w:t>
      </w:r>
      <w:r w:rsidR="00143C9C" w:rsidRPr="006871EC">
        <w:rPr>
          <w:color w:val="000000" w:themeColor="text1"/>
          <w:sz w:val="20"/>
          <w:szCs w:val="20"/>
        </w:rPr>
        <w:t xml:space="preserve">to individual </w:t>
      </w:r>
      <w:r w:rsidR="009F5AD0" w:rsidRPr="006871EC">
        <w:rPr>
          <w:color w:val="000000" w:themeColor="text1"/>
          <w:sz w:val="20"/>
          <w:szCs w:val="20"/>
        </w:rPr>
        <w:t xml:space="preserve">regional bureaux </w:t>
      </w:r>
      <w:r w:rsidR="00FC2FBA" w:rsidRPr="006871EC">
        <w:rPr>
          <w:color w:val="000000" w:themeColor="text1"/>
          <w:sz w:val="20"/>
          <w:szCs w:val="20"/>
        </w:rPr>
        <w:t xml:space="preserve">and to </w:t>
      </w:r>
      <w:r w:rsidR="00B9725E" w:rsidRPr="006871EC">
        <w:rPr>
          <w:color w:val="000000" w:themeColor="text1"/>
          <w:sz w:val="20"/>
          <w:szCs w:val="20"/>
        </w:rPr>
        <w:t xml:space="preserve">UNDP at </w:t>
      </w:r>
      <w:r w:rsidR="00FC2FBA" w:rsidRPr="006871EC">
        <w:rPr>
          <w:color w:val="000000" w:themeColor="text1"/>
          <w:sz w:val="20"/>
          <w:szCs w:val="20"/>
        </w:rPr>
        <w:t xml:space="preserve">the corporate </w:t>
      </w:r>
      <w:r w:rsidR="00B9725E" w:rsidRPr="006871EC">
        <w:rPr>
          <w:color w:val="000000" w:themeColor="text1"/>
          <w:sz w:val="20"/>
          <w:szCs w:val="20"/>
        </w:rPr>
        <w:t>level</w:t>
      </w:r>
      <w:r w:rsidR="00FC2FBA" w:rsidRPr="006871EC">
        <w:rPr>
          <w:color w:val="000000" w:themeColor="text1"/>
          <w:sz w:val="20"/>
          <w:szCs w:val="20"/>
        </w:rPr>
        <w:t xml:space="preserve"> </w:t>
      </w:r>
      <w:r w:rsidR="00974513" w:rsidRPr="006871EC">
        <w:rPr>
          <w:color w:val="000000" w:themeColor="text1"/>
          <w:sz w:val="20"/>
          <w:szCs w:val="20"/>
        </w:rPr>
        <w:t>despite</w:t>
      </w:r>
      <w:r w:rsidR="00143C9C" w:rsidRPr="006871EC">
        <w:rPr>
          <w:color w:val="000000" w:themeColor="text1"/>
          <w:sz w:val="20"/>
          <w:szCs w:val="20"/>
        </w:rPr>
        <w:t xml:space="preserve"> major differences in </w:t>
      </w:r>
      <w:r w:rsidR="00B9725E" w:rsidRPr="006871EC">
        <w:rPr>
          <w:color w:val="000000" w:themeColor="text1"/>
          <w:sz w:val="20"/>
          <w:szCs w:val="20"/>
        </w:rPr>
        <w:t xml:space="preserve">the </w:t>
      </w:r>
      <w:r w:rsidR="00143C9C" w:rsidRPr="006871EC">
        <w:rPr>
          <w:color w:val="000000" w:themeColor="text1"/>
          <w:sz w:val="20"/>
          <w:szCs w:val="20"/>
        </w:rPr>
        <w:t xml:space="preserve">size, content and </w:t>
      </w:r>
      <w:r w:rsidR="000023A9" w:rsidRPr="006871EC">
        <w:rPr>
          <w:color w:val="000000" w:themeColor="text1"/>
          <w:sz w:val="20"/>
          <w:szCs w:val="20"/>
        </w:rPr>
        <w:t>objectives</w:t>
      </w:r>
      <w:r w:rsidR="00143C9C" w:rsidRPr="006871EC">
        <w:rPr>
          <w:color w:val="000000" w:themeColor="text1"/>
          <w:sz w:val="20"/>
          <w:szCs w:val="20"/>
        </w:rPr>
        <w:t xml:space="preserve"> of those programmes. </w:t>
      </w:r>
    </w:p>
    <w:p w14:paraId="4AD8B51B" w14:textId="77777777" w:rsidR="00E97620" w:rsidRPr="00E97620" w:rsidRDefault="00E97620" w:rsidP="003241F9">
      <w:pPr>
        <w:pStyle w:val="ListParagraph"/>
        <w:ind w:right="750"/>
        <w:rPr>
          <w:color w:val="000000" w:themeColor="text1"/>
          <w:sz w:val="12"/>
          <w:szCs w:val="12"/>
        </w:rPr>
      </w:pPr>
    </w:p>
    <w:p w14:paraId="4E0C48D6" w14:textId="5A546338" w:rsidR="002E7A79" w:rsidRPr="006871EC" w:rsidRDefault="00B9725E" w:rsidP="003241F9">
      <w:pPr>
        <w:pStyle w:val="ListParagraph"/>
        <w:numPr>
          <w:ilvl w:val="0"/>
          <w:numId w:val="10"/>
        </w:numPr>
        <w:tabs>
          <w:tab w:val="left" w:pos="1170"/>
        </w:tabs>
        <w:spacing w:after="120"/>
        <w:ind w:right="750" w:firstLine="0"/>
        <w:jc w:val="both"/>
        <w:rPr>
          <w:color w:val="000000" w:themeColor="text1"/>
          <w:sz w:val="20"/>
          <w:szCs w:val="20"/>
        </w:rPr>
      </w:pPr>
      <w:r w:rsidRPr="006871EC">
        <w:rPr>
          <w:color w:val="000000" w:themeColor="text1"/>
          <w:sz w:val="20"/>
          <w:szCs w:val="20"/>
        </w:rPr>
        <w:t>R</w:t>
      </w:r>
      <w:r w:rsidR="002E7A79" w:rsidRPr="006871EC">
        <w:rPr>
          <w:color w:val="000000" w:themeColor="text1"/>
          <w:sz w:val="20"/>
          <w:szCs w:val="20"/>
        </w:rPr>
        <w:t>eg</w:t>
      </w:r>
      <w:r w:rsidR="00523329" w:rsidRPr="006871EC">
        <w:rPr>
          <w:color w:val="000000" w:themeColor="text1"/>
          <w:sz w:val="20"/>
          <w:szCs w:val="20"/>
        </w:rPr>
        <w:t>a</w:t>
      </w:r>
      <w:r w:rsidR="002E7A79" w:rsidRPr="006871EC">
        <w:rPr>
          <w:color w:val="000000" w:themeColor="text1"/>
          <w:sz w:val="20"/>
          <w:szCs w:val="20"/>
        </w:rPr>
        <w:t>rd</w:t>
      </w:r>
      <w:r w:rsidRPr="006871EC">
        <w:rPr>
          <w:color w:val="000000" w:themeColor="text1"/>
          <w:sz w:val="20"/>
          <w:szCs w:val="20"/>
        </w:rPr>
        <w:t>ing</w:t>
      </w:r>
      <w:r w:rsidR="002E7A79" w:rsidRPr="006871EC">
        <w:rPr>
          <w:color w:val="000000" w:themeColor="text1"/>
          <w:sz w:val="20"/>
          <w:szCs w:val="20"/>
        </w:rPr>
        <w:t xml:space="preserve"> cross-cutting programmatic issues and organizational effectiveness, UNDP remains committed to implementing the </w:t>
      </w:r>
      <w:r w:rsidRPr="006871EC">
        <w:rPr>
          <w:color w:val="000000" w:themeColor="text1"/>
          <w:sz w:val="20"/>
          <w:szCs w:val="20"/>
        </w:rPr>
        <w:t xml:space="preserve">management responses </w:t>
      </w:r>
      <w:r w:rsidR="002E7A79" w:rsidRPr="006871EC">
        <w:rPr>
          <w:color w:val="000000" w:themeColor="text1"/>
          <w:sz w:val="20"/>
          <w:szCs w:val="20"/>
        </w:rPr>
        <w:t xml:space="preserve">to relevant evaluations and the </w:t>
      </w:r>
      <w:r w:rsidRPr="006871EC">
        <w:rPr>
          <w:color w:val="000000" w:themeColor="text1"/>
          <w:sz w:val="20"/>
          <w:szCs w:val="20"/>
        </w:rPr>
        <w:t xml:space="preserve">assessment of institutional effectiveness </w:t>
      </w:r>
      <w:r w:rsidR="00A65AF6" w:rsidRPr="006871EC">
        <w:rPr>
          <w:color w:val="000000" w:themeColor="text1"/>
          <w:sz w:val="20"/>
          <w:szCs w:val="20"/>
        </w:rPr>
        <w:t>as endorsed</w:t>
      </w:r>
      <w:r w:rsidR="002E7A79" w:rsidRPr="006871EC">
        <w:rPr>
          <w:color w:val="000000" w:themeColor="text1"/>
          <w:sz w:val="20"/>
          <w:szCs w:val="20"/>
        </w:rPr>
        <w:t xml:space="preserve"> by the Executive Board in </w:t>
      </w:r>
      <w:r w:rsidR="004C47C1" w:rsidRPr="006871EC">
        <w:rPr>
          <w:color w:val="000000" w:themeColor="text1"/>
          <w:sz w:val="20"/>
          <w:szCs w:val="20"/>
        </w:rPr>
        <w:t>decision</w:t>
      </w:r>
      <w:r w:rsidRPr="006871EC">
        <w:rPr>
          <w:color w:val="000000" w:themeColor="text1"/>
          <w:sz w:val="20"/>
          <w:szCs w:val="20"/>
        </w:rPr>
        <w:t xml:space="preserve"> 2017/12</w:t>
      </w:r>
      <w:r w:rsidR="002E7A79" w:rsidRPr="006871EC">
        <w:rPr>
          <w:color w:val="000000" w:themeColor="text1"/>
          <w:sz w:val="20"/>
          <w:szCs w:val="20"/>
        </w:rPr>
        <w:t>.</w:t>
      </w:r>
    </w:p>
    <w:p w14:paraId="6923975A" w14:textId="77777777" w:rsidR="00143C9C" w:rsidRDefault="00143C9C" w:rsidP="00143C9C">
      <w:pPr>
        <w:pStyle w:val="SingleTxt"/>
      </w:pPr>
    </w:p>
    <w:p w14:paraId="157246D1" w14:textId="77777777" w:rsidR="00143C9C" w:rsidRPr="00DA51BA" w:rsidRDefault="00143C9C" w:rsidP="00143C9C">
      <w:pPr>
        <w:pStyle w:val="SingleTxt"/>
        <w:sectPr w:rsidR="00143C9C" w:rsidRPr="00DA51BA" w:rsidSect="00E85E5F">
          <w:endnotePr>
            <w:numFmt w:val="decimal"/>
          </w:endnotePr>
          <w:type w:val="continuous"/>
          <w:pgSz w:w="12240" w:h="15840" w:code="1"/>
          <w:pgMar w:top="1742" w:right="1200" w:bottom="1898" w:left="1200" w:header="576" w:footer="1030" w:gutter="0"/>
          <w:pgNumType w:start="1"/>
          <w:cols w:space="720"/>
          <w:noEndnote/>
          <w:docGrid w:linePitch="278"/>
        </w:sectPr>
      </w:pPr>
    </w:p>
    <w:p w14:paraId="73640F63" w14:textId="77777777" w:rsidR="00B91FB2" w:rsidRDefault="00B91FB2" w:rsidP="00B91FB2">
      <w:pPr>
        <w:pStyle w:val="HCh"/>
        <w:spacing w:after="120"/>
        <w:ind w:right="-579"/>
        <w:jc w:val="both"/>
        <w:rPr>
          <w:sz w:val="26"/>
          <w:szCs w:val="26"/>
        </w:rPr>
      </w:pPr>
      <w:r w:rsidRPr="00EF56FA">
        <w:rPr>
          <w:sz w:val="26"/>
          <w:szCs w:val="26"/>
        </w:rPr>
        <w:lastRenderedPageBreak/>
        <w:t>Annex</w:t>
      </w:r>
      <w:r>
        <w:rPr>
          <w:sz w:val="26"/>
          <w:szCs w:val="26"/>
        </w:rPr>
        <w:t xml:space="preserve">. </w:t>
      </w:r>
      <w:r w:rsidRPr="007F1CFC">
        <w:rPr>
          <w:sz w:val="26"/>
          <w:szCs w:val="26"/>
        </w:rPr>
        <w:t xml:space="preserve">Key </w:t>
      </w:r>
      <w:r>
        <w:rPr>
          <w:sz w:val="26"/>
          <w:szCs w:val="26"/>
        </w:rPr>
        <w:t>evaluation r</w:t>
      </w:r>
      <w:r w:rsidRPr="007F1CFC">
        <w:rPr>
          <w:sz w:val="26"/>
          <w:szCs w:val="26"/>
        </w:rPr>
        <w:t xml:space="preserve">ecommendations and </w:t>
      </w:r>
      <w:r>
        <w:rPr>
          <w:sz w:val="26"/>
          <w:szCs w:val="26"/>
        </w:rPr>
        <w:t>UNDP m</w:t>
      </w:r>
      <w:r w:rsidRPr="007F1CFC">
        <w:rPr>
          <w:sz w:val="26"/>
          <w:szCs w:val="26"/>
        </w:rPr>
        <w:t xml:space="preserve">anagement </w:t>
      </w:r>
      <w:r>
        <w:rPr>
          <w:sz w:val="26"/>
          <w:szCs w:val="26"/>
        </w:rPr>
        <w:t>r</w:t>
      </w:r>
      <w:r w:rsidRPr="007F1CFC">
        <w:rPr>
          <w:sz w:val="26"/>
          <w:szCs w:val="26"/>
        </w:rPr>
        <w:t>esponse</w:t>
      </w:r>
    </w:p>
    <w:tbl>
      <w:tblPr>
        <w:tblStyle w:val="TableGrid"/>
        <w:tblW w:w="12415" w:type="dxa"/>
        <w:tblLook w:val="04A0" w:firstRow="1" w:lastRow="0" w:firstColumn="1" w:lastColumn="0" w:noHBand="0" w:noVBand="1"/>
      </w:tblPr>
      <w:tblGrid>
        <w:gridCol w:w="3251"/>
        <w:gridCol w:w="3135"/>
        <w:gridCol w:w="2837"/>
        <w:gridCol w:w="1584"/>
        <w:gridCol w:w="1608"/>
      </w:tblGrid>
      <w:tr w:rsidR="00B91FB2" w:rsidRPr="00E97620" w14:paraId="5A04A644" w14:textId="77777777" w:rsidTr="00DE5588">
        <w:trPr>
          <w:trHeight w:val="300"/>
        </w:trPr>
        <w:tc>
          <w:tcPr>
            <w:tcW w:w="12415" w:type="dxa"/>
            <w:gridSpan w:val="5"/>
            <w:shd w:val="clear" w:color="auto" w:fill="D9D9D9" w:themeFill="background1" w:themeFillShade="D9"/>
            <w:hideMark/>
          </w:tcPr>
          <w:p w14:paraId="3C8BCB57" w14:textId="77777777" w:rsidR="00B91FB2" w:rsidRPr="00E97620" w:rsidRDefault="00B91FB2" w:rsidP="00A508D7">
            <w:pPr>
              <w:rPr>
                <w:b/>
                <w:bCs/>
                <w:sz w:val="20"/>
                <w:szCs w:val="20"/>
              </w:rPr>
            </w:pPr>
            <w:r w:rsidRPr="00E97620">
              <w:rPr>
                <w:b/>
                <w:bCs/>
                <w:sz w:val="20"/>
                <w:szCs w:val="20"/>
              </w:rPr>
              <w:t>Recommendation 1</w:t>
            </w:r>
          </w:p>
        </w:tc>
      </w:tr>
      <w:tr w:rsidR="00B91FB2" w:rsidRPr="00E97620" w14:paraId="547B5ACE" w14:textId="77777777" w:rsidTr="00DE5588">
        <w:trPr>
          <w:trHeight w:val="793"/>
        </w:trPr>
        <w:tc>
          <w:tcPr>
            <w:tcW w:w="12415" w:type="dxa"/>
            <w:gridSpan w:val="5"/>
            <w:hideMark/>
          </w:tcPr>
          <w:p w14:paraId="7F6B5A7D" w14:textId="630C9E60" w:rsidR="00B91450" w:rsidRPr="00E97620" w:rsidRDefault="00A740E8" w:rsidP="00E97620">
            <w:pPr>
              <w:spacing w:after="120"/>
              <w:rPr>
                <w:sz w:val="20"/>
                <w:szCs w:val="20"/>
              </w:rPr>
            </w:pPr>
            <w:r w:rsidRPr="00E97620">
              <w:rPr>
                <w:sz w:val="20"/>
                <w:szCs w:val="20"/>
              </w:rPr>
              <w:t>Support for fulfilment of the Sustainable Development Goals should be a cross-cutting issue for all UNDP country offices. Integrated approaches to development are essential for fulfilment of the Goals and should be pursued where possible, taking national contexts and implementation efficiency into consideration.</w:t>
            </w:r>
          </w:p>
        </w:tc>
      </w:tr>
      <w:tr w:rsidR="00B91FB2" w:rsidRPr="00E97620" w14:paraId="554BA91B" w14:textId="77777777" w:rsidTr="00DE5588">
        <w:trPr>
          <w:trHeight w:val="900"/>
        </w:trPr>
        <w:tc>
          <w:tcPr>
            <w:tcW w:w="12415" w:type="dxa"/>
            <w:gridSpan w:val="5"/>
            <w:hideMark/>
          </w:tcPr>
          <w:p w14:paraId="599A2CBB" w14:textId="53235ACE" w:rsidR="00B91450" w:rsidRPr="00E97620" w:rsidRDefault="00B91FB2" w:rsidP="000C7037">
            <w:pPr>
              <w:spacing w:after="120"/>
              <w:rPr>
                <w:b/>
                <w:bCs/>
                <w:sz w:val="20"/>
                <w:szCs w:val="20"/>
              </w:rPr>
            </w:pPr>
            <w:r w:rsidRPr="00E97620">
              <w:rPr>
                <w:b/>
                <w:bCs/>
                <w:sz w:val="20"/>
                <w:szCs w:val="20"/>
              </w:rPr>
              <w:t>Management response:</w:t>
            </w:r>
          </w:p>
          <w:p w14:paraId="3A07F275" w14:textId="6749FEF3" w:rsidR="00B91FB2" w:rsidRPr="00E97620" w:rsidRDefault="00A91D04" w:rsidP="000C7037">
            <w:pPr>
              <w:suppressAutoHyphens w:val="0"/>
              <w:spacing w:after="120" w:line="240" w:lineRule="auto"/>
              <w:jc w:val="both"/>
              <w:rPr>
                <w:bCs/>
                <w:sz w:val="20"/>
                <w:szCs w:val="20"/>
              </w:rPr>
            </w:pPr>
            <w:r w:rsidRPr="00E97620">
              <w:rPr>
                <w:bCs/>
                <w:sz w:val="20"/>
                <w:szCs w:val="20"/>
              </w:rPr>
              <w:t>UNDP m</w:t>
            </w:r>
            <w:r w:rsidR="00CD5920" w:rsidRPr="00E97620">
              <w:rPr>
                <w:bCs/>
                <w:sz w:val="20"/>
                <w:szCs w:val="20"/>
              </w:rPr>
              <w:t>anagement</w:t>
            </w:r>
            <w:r w:rsidR="006E4B8F" w:rsidRPr="00E97620">
              <w:rPr>
                <w:bCs/>
                <w:sz w:val="20"/>
                <w:szCs w:val="20"/>
              </w:rPr>
              <w:t xml:space="preserve"> agrees with th</w:t>
            </w:r>
            <w:r w:rsidR="00CD5920" w:rsidRPr="00E97620">
              <w:rPr>
                <w:bCs/>
                <w:sz w:val="20"/>
                <w:szCs w:val="20"/>
              </w:rPr>
              <w:t>is</w:t>
            </w:r>
            <w:r w:rsidR="006E4B8F" w:rsidRPr="00E97620">
              <w:rPr>
                <w:bCs/>
                <w:sz w:val="20"/>
                <w:szCs w:val="20"/>
              </w:rPr>
              <w:t xml:space="preserve"> recommendation</w:t>
            </w:r>
            <w:r w:rsidR="00CD5920" w:rsidRPr="00E97620">
              <w:rPr>
                <w:bCs/>
                <w:sz w:val="20"/>
                <w:szCs w:val="20"/>
              </w:rPr>
              <w:t xml:space="preserve">.  UNDP will continue and further expand its support to national partners in integrating the </w:t>
            </w:r>
            <w:r w:rsidR="00480517" w:rsidRPr="00E97620">
              <w:rPr>
                <w:bCs/>
                <w:sz w:val="20"/>
                <w:szCs w:val="20"/>
              </w:rPr>
              <w:t xml:space="preserve">Sustainable Development Goals </w:t>
            </w:r>
            <w:r w:rsidR="00CD5920" w:rsidRPr="00E97620">
              <w:rPr>
                <w:bCs/>
                <w:sz w:val="20"/>
                <w:szCs w:val="20"/>
              </w:rPr>
              <w:t>into national development plans, through the MAPS missions and other forms of support together with other U</w:t>
            </w:r>
            <w:r w:rsidR="00480517" w:rsidRPr="00E97620">
              <w:rPr>
                <w:bCs/>
                <w:sz w:val="20"/>
                <w:szCs w:val="20"/>
              </w:rPr>
              <w:t xml:space="preserve">nited </w:t>
            </w:r>
            <w:r w:rsidR="00CD5920" w:rsidRPr="00E97620">
              <w:rPr>
                <w:bCs/>
                <w:sz w:val="20"/>
                <w:szCs w:val="20"/>
              </w:rPr>
              <w:t>N</w:t>
            </w:r>
            <w:r w:rsidR="00480517" w:rsidRPr="00E97620">
              <w:rPr>
                <w:bCs/>
                <w:sz w:val="20"/>
                <w:szCs w:val="20"/>
              </w:rPr>
              <w:t>ations</w:t>
            </w:r>
            <w:r w:rsidR="00CD5920" w:rsidRPr="00E97620">
              <w:rPr>
                <w:bCs/>
                <w:sz w:val="20"/>
                <w:szCs w:val="20"/>
              </w:rPr>
              <w:t xml:space="preserve"> development system partners.</w:t>
            </w:r>
            <w:r w:rsidR="007039C4" w:rsidRPr="00E97620">
              <w:rPr>
                <w:bCs/>
                <w:sz w:val="20"/>
                <w:szCs w:val="20"/>
              </w:rPr>
              <w:t xml:space="preserve">  UNDP will provide policy support to countries through the application of tools and </w:t>
            </w:r>
            <w:r w:rsidR="0061620E" w:rsidRPr="00E97620">
              <w:rPr>
                <w:bCs/>
                <w:sz w:val="20"/>
                <w:szCs w:val="20"/>
              </w:rPr>
              <w:t>quantitative</w:t>
            </w:r>
            <w:r w:rsidR="007039C4" w:rsidRPr="00E97620">
              <w:rPr>
                <w:bCs/>
                <w:sz w:val="20"/>
                <w:szCs w:val="20"/>
              </w:rPr>
              <w:t xml:space="preserve"> methodologies that can help Governments to make informed decisions on prioritization and implementation of the Goals in line with national priorities and context.</w:t>
            </w:r>
          </w:p>
          <w:p w14:paraId="72C1E735" w14:textId="60A9263B" w:rsidR="00B91FB2" w:rsidRPr="00E97620" w:rsidRDefault="00B91FB2" w:rsidP="000C7037">
            <w:pPr>
              <w:spacing w:after="120"/>
              <w:jc w:val="both"/>
              <w:rPr>
                <w:bCs/>
                <w:sz w:val="20"/>
                <w:szCs w:val="20"/>
              </w:rPr>
            </w:pPr>
            <w:r w:rsidRPr="00E97620">
              <w:rPr>
                <w:bCs/>
                <w:sz w:val="20"/>
                <w:szCs w:val="20"/>
              </w:rPr>
              <w:t xml:space="preserve">Upon request from </w:t>
            </w:r>
            <w:r w:rsidR="00996610" w:rsidRPr="00E97620">
              <w:rPr>
                <w:bCs/>
                <w:sz w:val="20"/>
                <w:szCs w:val="20"/>
              </w:rPr>
              <w:t>Governments</w:t>
            </w:r>
            <w:r w:rsidRPr="00E97620">
              <w:rPr>
                <w:bCs/>
                <w:sz w:val="20"/>
                <w:szCs w:val="20"/>
              </w:rPr>
              <w:t>, UNDP is committed to support</w:t>
            </w:r>
            <w:r w:rsidR="008457BA" w:rsidRPr="00E97620">
              <w:rPr>
                <w:bCs/>
                <w:sz w:val="20"/>
                <w:szCs w:val="20"/>
              </w:rPr>
              <w:t>ing</w:t>
            </w:r>
            <w:r w:rsidRPr="00E97620">
              <w:rPr>
                <w:bCs/>
                <w:sz w:val="20"/>
                <w:szCs w:val="20"/>
              </w:rPr>
              <w:t xml:space="preserve"> countries in </w:t>
            </w:r>
            <w:r w:rsidR="008D728A" w:rsidRPr="00E97620">
              <w:rPr>
                <w:bCs/>
                <w:sz w:val="20"/>
                <w:szCs w:val="20"/>
              </w:rPr>
              <w:t>the</w:t>
            </w:r>
            <w:r w:rsidRPr="00E97620">
              <w:rPr>
                <w:bCs/>
                <w:sz w:val="20"/>
                <w:szCs w:val="20"/>
              </w:rPr>
              <w:t xml:space="preserve"> follow-up and </w:t>
            </w:r>
            <w:r w:rsidR="008D728A" w:rsidRPr="00E97620">
              <w:rPr>
                <w:bCs/>
                <w:sz w:val="20"/>
                <w:szCs w:val="20"/>
              </w:rPr>
              <w:t xml:space="preserve">review of </w:t>
            </w:r>
            <w:r w:rsidRPr="00E97620">
              <w:rPr>
                <w:bCs/>
                <w:sz w:val="20"/>
                <w:szCs w:val="20"/>
              </w:rPr>
              <w:t xml:space="preserve">progress towards </w:t>
            </w:r>
            <w:r w:rsidR="00996610" w:rsidRPr="00E97620">
              <w:rPr>
                <w:bCs/>
                <w:sz w:val="20"/>
                <w:szCs w:val="20"/>
              </w:rPr>
              <w:t xml:space="preserve">Sustainable Development Goal </w:t>
            </w:r>
            <w:r w:rsidRPr="00E97620">
              <w:rPr>
                <w:bCs/>
                <w:sz w:val="20"/>
                <w:szCs w:val="20"/>
              </w:rPr>
              <w:t xml:space="preserve">fulfillment through the </w:t>
            </w:r>
            <w:hyperlink r:id="rId19" w:history="1">
              <w:r w:rsidR="00996610" w:rsidRPr="00E97620">
                <w:rPr>
                  <w:rStyle w:val="Hyperlink"/>
                  <w:sz w:val="20"/>
                  <w:szCs w:val="20"/>
                </w:rPr>
                <w:t xml:space="preserve">voluntary national reviews </w:t>
              </w:r>
            </w:hyperlink>
            <w:r w:rsidRPr="00E97620">
              <w:rPr>
                <w:bCs/>
                <w:sz w:val="20"/>
                <w:szCs w:val="20"/>
              </w:rPr>
              <w:t xml:space="preserve">as part of the formal process that culminates at the </w:t>
            </w:r>
            <w:hyperlink r:id="rId20" w:history="1">
              <w:r w:rsidR="00996610" w:rsidRPr="00E97620">
                <w:rPr>
                  <w:rStyle w:val="Hyperlink"/>
                  <w:sz w:val="20"/>
                  <w:szCs w:val="20"/>
                </w:rPr>
                <w:t>High-Level Political Forum on Sustainable Development</w:t>
              </w:r>
            </w:hyperlink>
            <w:r w:rsidRPr="00E97620">
              <w:rPr>
                <w:sz w:val="20"/>
                <w:szCs w:val="20"/>
              </w:rPr>
              <w:t>.</w:t>
            </w:r>
            <w:r w:rsidRPr="00E97620">
              <w:rPr>
                <w:bCs/>
                <w:sz w:val="20"/>
                <w:szCs w:val="20"/>
              </w:rPr>
              <w:t xml:space="preserve">  </w:t>
            </w:r>
          </w:p>
          <w:p w14:paraId="27ED4A64" w14:textId="142715F7" w:rsidR="00B91FB2" w:rsidRPr="00E97620" w:rsidRDefault="00B91FB2" w:rsidP="00E97620">
            <w:pPr>
              <w:spacing w:after="120"/>
              <w:jc w:val="both"/>
              <w:rPr>
                <w:bCs/>
                <w:sz w:val="20"/>
                <w:szCs w:val="20"/>
              </w:rPr>
            </w:pPr>
            <w:r w:rsidRPr="00E97620">
              <w:rPr>
                <w:bCs/>
                <w:sz w:val="20"/>
                <w:szCs w:val="20"/>
              </w:rPr>
              <w:t>Followin</w:t>
            </w:r>
            <w:r w:rsidR="00E97620">
              <w:rPr>
                <w:bCs/>
                <w:sz w:val="20"/>
                <w:szCs w:val="20"/>
              </w:rPr>
              <w:t>g the</w:t>
            </w:r>
            <w:r w:rsidRPr="00E97620">
              <w:rPr>
                <w:bCs/>
                <w:sz w:val="20"/>
                <w:szCs w:val="20"/>
              </w:rPr>
              <w:t xml:space="preserve"> </w:t>
            </w:r>
            <w:hyperlink r:id="rId21" w:history="1">
              <w:r w:rsidR="00480517" w:rsidRPr="00E97620">
                <w:rPr>
                  <w:sz w:val="20"/>
                  <w:szCs w:val="20"/>
                </w:rPr>
                <w:t>United Nations Development Group (</w:t>
              </w:r>
              <w:r w:rsidRPr="00E97620">
                <w:rPr>
                  <w:rStyle w:val="Hyperlink"/>
                  <w:sz w:val="20"/>
                  <w:szCs w:val="20"/>
                </w:rPr>
                <w:t>UNDG</w:t>
              </w:r>
              <w:r w:rsidR="00480517" w:rsidRPr="00E97620">
                <w:rPr>
                  <w:rStyle w:val="Hyperlink"/>
                  <w:sz w:val="20"/>
                  <w:szCs w:val="20"/>
                </w:rPr>
                <w:t>)</w:t>
              </w:r>
              <w:r w:rsidRPr="00E97620">
                <w:rPr>
                  <w:rStyle w:val="Hyperlink"/>
                  <w:sz w:val="20"/>
                  <w:szCs w:val="20"/>
                </w:rPr>
                <w:t xml:space="preserve"> guidelines for preparation of country-led national </w:t>
              </w:r>
              <w:r w:rsidR="00BD2588" w:rsidRPr="00E97620">
                <w:rPr>
                  <w:rStyle w:val="Hyperlink"/>
                  <w:sz w:val="20"/>
                  <w:szCs w:val="20"/>
                </w:rPr>
                <w:t xml:space="preserve">Sustainable Development Goal </w:t>
              </w:r>
              <w:r w:rsidRPr="00E97620">
                <w:rPr>
                  <w:rStyle w:val="Hyperlink"/>
                  <w:sz w:val="20"/>
                  <w:szCs w:val="20"/>
                </w:rPr>
                <w:t>reports</w:t>
              </w:r>
            </w:hyperlink>
            <w:r w:rsidRPr="00E97620">
              <w:rPr>
                <w:bCs/>
                <w:sz w:val="20"/>
                <w:szCs w:val="20"/>
              </w:rPr>
              <w:t xml:space="preserve"> and on the request of </w:t>
            </w:r>
            <w:r w:rsidR="00BD2588" w:rsidRPr="00E97620">
              <w:rPr>
                <w:bCs/>
                <w:sz w:val="20"/>
                <w:szCs w:val="20"/>
              </w:rPr>
              <w:t>Governments</w:t>
            </w:r>
            <w:r w:rsidRPr="00E97620">
              <w:rPr>
                <w:bCs/>
                <w:sz w:val="20"/>
                <w:szCs w:val="20"/>
              </w:rPr>
              <w:t xml:space="preserve">, UNDP </w:t>
            </w:r>
            <w:r w:rsidR="007039C4" w:rsidRPr="00E97620">
              <w:rPr>
                <w:bCs/>
                <w:sz w:val="20"/>
                <w:szCs w:val="20"/>
              </w:rPr>
              <w:t xml:space="preserve">is </w:t>
            </w:r>
            <w:r w:rsidRPr="00E97620">
              <w:rPr>
                <w:bCs/>
                <w:sz w:val="20"/>
                <w:szCs w:val="20"/>
              </w:rPr>
              <w:t>supporting the production of the first cohort of reports, which include in-depth national and subnational review</w:t>
            </w:r>
            <w:r w:rsidR="00BD2588" w:rsidRPr="00E97620">
              <w:rPr>
                <w:bCs/>
                <w:sz w:val="20"/>
                <w:szCs w:val="20"/>
              </w:rPr>
              <w:t>s</w:t>
            </w:r>
            <w:r w:rsidRPr="00E97620">
              <w:rPr>
                <w:bCs/>
                <w:sz w:val="20"/>
                <w:szCs w:val="20"/>
              </w:rPr>
              <w:t xml:space="preserve"> of the </w:t>
            </w:r>
            <w:r w:rsidR="00D97C91" w:rsidRPr="00E97620">
              <w:rPr>
                <w:bCs/>
                <w:sz w:val="20"/>
                <w:szCs w:val="20"/>
              </w:rPr>
              <w:t xml:space="preserve">countries' </w:t>
            </w:r>
            <w:r w:rsidRPr="00E97620">
              <w:rPr>
                <w:bCs/>
                <w:sz w:val="20"/>
                <w:szCs w:val="20"/>
              </w:rPr>
              <w:t>process</w:t>
            </w:r>
            <w:r w:rsidR="00D97C91" w:rsidRPr="00E97620">
              <w:rPr>
                <w:bCs/>
                <w:sz w:val="20"/>
                <w:szCs w:val="20"/>
              </w:rPr>
              <w:t>es</w:t>
            </w:r>
            <w:r w:rsidRPr="00E97620">
              <w:rPr>
                <w:bCs/>
                <w:sz w:val="20"/>
                <w:szCs w:val="20"/>
              </w:rPr>
              <w:t xml:space="preserve"> of monitoring and review</w:t>
            </w:r>
            <w:r w:rsidR="00D97C91" w:rsidRPr="00E97620">
              <w:rPr>
                <w:bCs/>
                <w:sz w:val="20"/>
                <w:szCs w:val="20"/>
              </w:rPr>
              <w:t>ing</w:t>
            </w:r>
            <w:r w:rsidRPr="00E97620">
              <w:rPr>
                <w:bCs/>
                <w:sz w:val="20"/>
                <w:szCs w:val="20"/>
              </w:rPr>
              <w:t xml:space="preserve"> national implementation of the </w:t>
            </w:r>
            <w:r w:rsidR="00D97C91" w:rsidRPr="00E97620">
              <w:rPr>
                <w:bCs/>
                <w:sz w:val="20"/>
                <w:szCs w:val="20"/>
              </w:rPr>
              <w:t>Goals</w:t>
            </w:r>
            <w:r w:rsidRPr="00E97620">
              <w:rPr>
                <w:bCs/>
                <w:sz w:val="20"/>
                <w:szCs w:val="20"/>
              </w:rPr>
              <w:t xml:space="preserve">. </w:t>
            </w:r>
          </w:p>
        </w:tc>
      </w:tr>
      <w:tr w:rsidR="00DE5588" w:rsidRPr="00E97620" w14:paraId="2FA4809F" w14:textId="77777777" w:rsidTr="00DE5588">
        <w:trPr>
          <w:trHeight w:val="300"/>
        </w:trPr>
        <w:tc>
          <w:tcPr>
            <w:tcW w:w="3251" w:type="dxa"/>
            <w:vMerge w:val="restart"/>
            <w:hideMark/>
          </w:tcPr>
          <w:p w14:paraId="52A35549" w14:textId="77777777" w:rsidR="00632654" w:rsidRPr="00E97620" w:rsidRDefault="00632654" w:rsidP="00E97620">
            <w:pPr>
              <w:jc w:val="center"/>
              <w:rPr>
                <w:b/>
                <w:bCs/>
                <w:sz w:val="20"/>
                <w:szCs w:val="20"/>
              </w:rPr>
            </w:pPr>
            <w:r w:rsidRPr="00E97620">
              <w:rPr>
                <w:b/>
                <w:bCs/>
                <w:sz w:val="20"/>
                <w:szCs w:val="20"/>
              </w:rPr>
              <w:t>Key action(s)</w:t>
            </w:r>
          </w:p>
        </w:tc>
        <w:tc>
          <w:tcPr>
            <w:tcW w:w="3135" w:type="dxa"/>
            <w:vMerge w:val="restart"/>
          </w:tcPr>
          <w:p w14:paraId="5F0BC19C" w14:textId="77777777" w:rsidR="00632654" w:rsidRPr="00E97620" w:rsidRDefault="00632654" w:rsidP="00E97620">
            <w:pPr>
              <w:jc w:val="center"/>
              <w:rPr>
                <w:b/>
                <w:bCs/>
                <w:sz w:val="20"/>
                <w:szCs w:val="20"/>
              </w:rPr>
            </w:pPr>
            <w:r w:rsidRPr="00E97620">
              <w:rPr>
                <w:b/>
                <w:bCs/>
                <w:sz w:val="20"/>
                <w:szCs w:val="20"/>
              </w:rPr>
              <w:t>Time frame</w:t>
            </w:r>
          </w:p>
        </w:tc>
        <w:tc>
          <w:tcPr>
            <w:tcW w:w="2837" w:type="dxa"/>
            <w:vMerge w:val="restart"/>
            <w:hideMark/>
          </w:tcPr>
          <w:p w14:paraId="610F73AF" w14:textId="77777777" w:rsidR="00632654" w:rsidRPr="00E97620" w:rsidRDefault="00632654" w:rsidP="00E97620">
            <w:pPr>
              <w:jc w:val="center"/>
              <w:rPr>
                <w:b/>
                <w:bCs/>
                <w:sz w:val="20"/>
                <w:szCs w:val="20"/>
              </w:rPr>
            </w:pPr>
            <w:r w:rsidRPr="00E97620">
              <w:rPr>
                <w:b/>
                <w:bCs/>
                <w:sz w:val="20"/>
                <w:szCs w:val="20"/>
              </w:rPr>
              <w:t>Responsible unit(s)</w:t>
            </w:r>
          </w:p>
        </w:tc>
        <w:tc>
          <w:tcPr>
            <w:tcW w:w="3192" w:type="dxa"/>
            <w:gridSpan w:val="2"/>
            <w:hideMark/>
          </w:tcPr>
          <w:p w14:paraId="28D5DDA3" w14:textId="77777777" w:rsidR="00632654" w:rsidRPr="00E97620" w:rsidRDefault="00632654" w:rsidP="00E97620">
            <w:pPr>
              <w:jc w:val="center"/>
              <w:rPr>
                <w:b/>
                <w:bCs/>
                <w:sz w:val="20"/>
                <w:szCs w:val="20"/>
              </w:rPr>
            </w:pPr>
            <w:r w:rsidRPr="00E97620">
              <w:rPr>
                <w:b/>
                <w:bCs/>
                <w:sz w:val="20"/>
                <w:szCs w:val="20"/>
              </w:rPr>
              <w:t>Tracking</w:t>
            </w:r>
          </w:p>
        </w:tc>
      </w:tr>
      <w:tr w:rsidR="00DE5588" w:rsidRPr="00E97620" w14:paraId="7C83D9CB" w14:textId="77777777" w:rsidTr="00DE5588">
        <w:trPr>
          <w:trHeight w:val="300"/>
        </w:trPr>
        <w:tc>
          <w:tcPr>
            <w:tcW w:w="3251" w:type="dxa"/>
            <w:vMerge/>
            <w:hideMark/>
          </w:tcPr>
          <w:p w14:paraId="54E71566" w14:textId="77777777" w:rsidR="00632654" w:rsidRPr="00E97620" w:rsidRDefault="00632654" w:rsidP="00A508D7">
            <w:pPr>
              <w:rPr>
                <w:b/>
                <w:bCs/>
                <w:sz w:val="20"/>
                <w:szCs w:val="20"/>
              </w:rPr>
            </w:pPr>
          </w:p>
        </w:tc>
        <w:tc>
          <w:tcPr>
            <w:tcW w:w="3135" w:type="dxa"/>
            <w:vMerge/>
          </w:tcPr>
          <w:p w14:paraId="402CC864" w14:textId="77777777" w:rsidR="00632654" w:rsidRPr="00E97620" w:rsidRDefault="00632654" w:rsidP="00A508D7">
            <w:pPr>
              <w:rPr>
                <w:b/>
                <w:bCs/>
                <w:sz w:val="20"/>
                <w:szCs w:val="20"/>
              </w:rPr>
            </w:pPr>
          </w:p>
        </w:tc>
        <w:tc>
          <w:tcPr>
            <w:tcW w:w="2837" w:type="dxa"/>
            <w:vMerge/>
            <w:hideMark/>
          </w:tcPr>
          <w:p w14:paraId="1110721B" w14:textId="77777777" w:rsidR="00632654" w:rsidRPr="00E97620" w:rsidRDefault="00632654" w:rsidP="00A508D7">
            <w:pPr>
              <w:rPr>
                <w:b/>
                <w:bCs/>
                <w:sz w:val="20"/>
                <w:szCs w:val="20"/>
              </w:rPr>
            </w:pPr>
          </w:p>
        </w:tc>
        <w:tc>
          <w:tcPr>
            <w:tcW w:w="1584" w:type="dxa"/>
            <w:hideMark/>
          </w:tcPr>
          <w:p w14:paraId="3EF63E1D" w14:textId="77777777" w:rsidR="00632654" w:rsidRPr="00E97620" w:rsidRDefault="00632654" w:rsidP="00DE5588">
            <w:pPr>
              <w:jc w:val="center"/>
              <w:rPr>
                <w:b/>
                <w:bCs/>
                <w:sz w:val="20"/>
                <w:szCs w:val="20"/>
              </w:rPr>
            </w:pPr>
            <w:r w:rsidRPr="00E97620">
              <w:rPr>
                <w:b/>
                <w:bCs/>
                <w:sz w:val="20"/>
                <w:szCs w:val="20"/>
              </w:rPr>
              <w:t>Status</w:t>
            </w:r>
          </w:p>
        </w:tc>
        <w:tc>
          <w:tcPr>
            <w:tcW w:w="1608" w:type="dxa"/>
            <w:hideMark/>
          </w:tcPr>
          <w:p w14:paraId="07B9C33E" w14:textId="77777777" w:rsidR="00632654" w:rsidRPr="00E97620" w:rsidRDefault="00632654" w:rsidP="00E97620">
            <w:pPr>
              <w:jc w:val="center"/>
              <w:rPr>
                <w:b/>
                <w:bCs/>
                <w:sz w:val="20"/>
                <w:szCs w:val="20"/>
              </w:rPr>
            </w:pPr>
            <w:r w:rsidRPr="00E97620">
              <w:rPr>
                <w:b/>
                <w:bCs/>
                <w:sz w:val="20"/>
                <w:szCs w:val="20"/>
              </w:rPr>
              <w:t>Comments</w:t>
            </w:r>
          </w:p>
        </w:tc>
      </w:tr>
      <w:tr w:rsidR="00DE5588" w:rsidRPr="00E97620" w14:paraId="6D348DDE" w14:textId="77777777" w:rsidTr="00DE5588">
        <w:trPr>
          <w:trHeight w:val="300"/>
        </w:trPr>
        <w:tc>
          <w:tcPr>
            <w:tcW w:w="3251" w:type="dxa"/>
            <w:hideMark/>
          </w:tcPr>
          <w:p w14:paraId="69472A65" w14:textId="45F6671C" w:rsidR="00CF5C85" w:rsidRPr="00E97620" w:rsidRDefault="00CF5C85" w:rsidP="00480517">
            <w:pPr>
              <w:rPr>
                <w:sz w:val="20"/>
                <w:szCs w:val="20"/>
              </w:rPr>
            </w:pPr>
            <w:r w:rsidRPr="00E97620">
              <w:rPr>
                <w:sz w:val="20"/>
                <w:szCs w:val="20"/>
              </w:rPr>
              <w:t xml:space="preserve">Roll out and support the UNDG MAPS approach at </w:t>
            </w:r>
            <w:r w:rsidR="007039C4" w:rsidRPr="00E97620">
              <w:rPr>
                <w:sz w:val="20"/>
                <w:szCs w:val="20"/>
              </w:rPr>
              <w:t>in response to national requests, together with UNDG and other development partners</w:t>
            </w:r>
          </w:p>
        </w:tc>
        <w:tc>
          <w:tcPr>
            <w:tcW w:w="3135" w:type="dxa"/>
            <w:hideMark/>
          </w:tcPr>
          <w:p w14:paraId="6A324306" w14:textId="77777777" w:rsidR="00CF5C85" w:rsidRPr="00E97620" w:rsidRDefault="00CF5C85" w:rsidP="00ED66BF">
            <w:pPr>
              <w:ind w:left="-98"/>
              <w:rPr>
                <w:sz w:val="20"/>
                <w:szCs w:val="20"/>
              </w:rPr>
            </w:pPr>
            <w:r w:rsidRPr="00E97620">
              <w:rPr>
                <w:rFonts w:eastAsia="Calibri"/>
                <w:sz w:val="20"/>
                <w:szCs w:val="20"/>
              </w:rPr>
              <w:t>Ongoing (since August 2016; on demand)</w:t>
            </w:r>
          </w:p>
        </w:tc>
        <w:tc>
          <w:tcPr>
            <w:tcW w:w="2837" w:type="dxa"/>
            <w:hideMark/>
          </w:tcPr>
          <w:p w14:paraId="25423152" w14:textId="66ADD875" w:rsidR="00CF5C85" w:rsidRPr="00E97620" w:rsidRDefault="00480517" w:rsidP="00480517">
            <w:pPr>
              <w:rPr>
                <w:sz w:val="20"/>
                <w:szCs w:val="20"/>
              </w:rPr>
            </w:pPr>
            <w:r w:rsidRPr="00E97620">
              <w:rPr>
                <w:rFonts w:eastAsia="Calibri"/>
                <w:sz w:val="20"/>
                <w:szCs w:val="20"/>
              </w:rPr>
              <w:t>Bureau for Policy and Programme Support (</w:t>
            </w:r>
            <w:r w:rsidR="007039C4" w:rsidRPr="00E97620">
              <w:rPr>
                <w:rFonts w:eastAsia="Calibri"/>
                <w:sz w:val="20"/>
                <w:szCs w:val="20"/>
              </w:rPr>
              <w:t>BPPS</w:t>
            </w:r>
            <w:r w:rsidRPr="00E97620">
              <w:rPr>
                <w:rFonts w:eastAsia="Calibri"/>
                <w:sz w:val="20"/>
                <w:szCs w:val="20"/>
              </w:rPr>
              <w:t>)</w:t>
            </w:r>
            <w:r w:rsidR="007039C4" w:rsidRPr="00E97620">
              <w:rPr>
                <w:rFonts w:eastAsia="Calibri"/>
                <w:sz w:val="20"/>
                <w:szCs w:val="20"/>
              </w:rPr>
              <w:t xml:space="preserve">; </w:t>
            </w:r>
            <w:r w:rsidR="00E21614">
              <w:rPr>
                <w:rFonts w:eastAsia="Calibri"/>
                <w:sz w:val="20"/>
                <w:szCs w:val="20"/>
              </w:rPr>
              <w:t>r</w:t>
            </w:r>
            <w:r w:rsidR="007039C4" w:rsidRPr="00E97620">
              <w:rPr>
                <w:rFonts w:eastAsia="Calibri"/>
                <w:sz w:val="20"/>
                <w:szCs w:val="20"/>
              </w:rPr>
              <w:t xml:space="preserve">egional </w:t>
            </w:r>
            <w:r w:rsidRPr="00E97620">
              <w:rPr>
                <w:rFonts w:eastAsia="Calibri"/>
                <w:sz w:val="20"/>
                <w:szCs w:val="20"/>
              </w:rPr>
              <w:t>bureaux</w:t>
            </w:r>
            <w:r w:rsidR="007039C4" w:rsidRPr="00E97620">
              <w:rPr>
                <w:rFonts w:eastAsia="Calibri"/>
                <w:sz w:val="20"/>
                <w:szCs w:val="20"/>
              </w:rPr>
              <w:t xml:space="preserve">; </w:t>
            </w:r>
            <w:r w:rsidRPr="00E97620">
              <w:rPr>
                <w:rFonts w:eastAsia="Calibri"/>
                <w:sz w:val="20"/>
                <w:szCs w:val="20"/>
              </w:rPr>
              <w:t>resident coordinators/resident representatives</w:t>
            </w:r>
          </w:p>
        </w:tc>
        <w:tc>
          <w:tcPr>
            <w:tcW w:w="1584" w:type="dxa"/>
            <w:hideMark/>
          </w:tcPr>
          <w:p w14:paraId="776ADF18" w14:textId="77777777" w:rsidR="00CF5C85" w:rsidRPr="00E97620" w:rsidRDefault="00CF5C85" w:rsidP="00A508D7">
            <w:pPr>
              <w:rPr>
                <w:sz w:val="20"/>
                <w:szCs w:val="20"/>
              </w:rPr>
            </w:pPr>
          </w:p>
        </w:tc>
        <w:tc>
          <w:tcPr>
            <w:tcW w:w="1608" w:type="dxa"/>
            <w:hideMark/>
          </w:tcPr>
          <w:p w14:paraId="59FD806C" w14:textId="77777777" w:rsidR="00CF5C85" w:rsidRPr="00E97620" w:rsidRDefault="00CF5C85" w:rsidP="00A508D7">
            <w:pPr>
              <w:rPr>
                <w:sz w:val="20"/>
                <w:szCs w:val="20"/>
              </w:rPr>
            </w:pPr>
          </w:p>
        </w:tc>
      </w:tr>
      <w:tr w:rsidR="00DE5588" w:rsidRPr="00E97620" w14:paraId="726F2177" w14:textId="77777777" w:rsidTr="00DE5588">
        <w:trPr>
          <w:trHeight w:val="315"/>
        </w:trPr>
        <w:tc>
          <w:tcPr>
            <w:tcW w:w="3251" w:type="dxa"/>
            <w:tcBorders>
              <w:bottom w:val="single" w:sz="4" w:space="0" w:color="auto"/>
            </w:tcBorders>
            <w:hideMark/>
          </w:tcPr>
          <w:p w14:paraId="6EC409DA" w14:textId="29B392E9" w:rsidR="00CF5C85" w:rsidRPr="00E97620" w:rsidRDefault="007039C4" w:rsidP="00324B19">
            <w:pPr>
              <w:rPr>
                <w:sz w:val="20"/>
                <w:szCs w:val="20"/>
              </w:rPr>
            </w:pPr>
            <w:r w:rsidRPr="00E97620">
              <w:rPr>
                <w:sz w:val="20"/>
                <w:szCs w:val="20"/>
              </w:rPr>
              <w:t>Upon requests from Governments, s</w:t>
            </w:r>
            <w:r w:rsidR="00CF5C85" w:rsidRPr="00E97620">
              <w:rPr>
                <w:sz w:val="20"/>
                <w:szCs w:val="20"/>
              </w:rPr>
              <w:t>upport countries in efforts to follow-up and review progress towards Goal fulfilment through voluntary national reviews</w:t>
            </w:r>
            <w:r w:rsidR="00E62382" w:rsidRPr="00E97620">
              <w:rPr>
                <w:sz w:val="20"/>
                <w:szCs w:val="20"/>
              </w:rPr>
              <w:t>, and support for Sustainable Development Goal country reports</w:t>
            </w:r>
            <w:r w:rsidR="00CF5C85" w:rsidRPr="00E97620">
              <w:rPr>
                <w:sz w:val="20"/>
                <w:szCs w:val="20"/>
              </w:rPr>
              <w:t xml:space="preserve">. </w:t>
            </w:r>
          </w:p>
        </w:tc>
        <w:tc>
          <w:tcPr>
            <w:tcW w:w="3135" w:type="dxa"/>
            <w:tcBorders>
              <w:bottom w:val="single" w:sz="4" w:space="0" w:color="auto"/>
            </w:tcBorders>
            <w:hideMark/>
          </w:tcPr>
          <w:p w14:paraId="71BAF4BE" w14:textId="332025B3" w:rsidR="00CF5C85" w:rsidRPr="00E97620" w:rsidRDefault="00CF5C85" w:rsidP="00D97C91">
            <w:pPr>
              <w:rPr>
                <w:sz w:val="20"/>
                <w:szCs w:val="20"/>
              </w:rPr>
            </w:pPr>
            <w:r w:rsidRPr="00E97620">
              <w:rPr>
                <w:rFonts w:eastAsia="Calibri"/>
                <w:sz w:val="20"/>
                <w:szCs w:val="20"/>
              </w:rPr>
              <w:t xml:space="preserve">Ongoing </w:t>
            </w:r>
          </w:p>
        </w:tc>
        <w:tc>
          <w:tcPr>
            <w:tcW w:w="2837" w:type="dxa"/>
            <w:tcBorders>
              <w:bottom w:val="single" w:sz="4" w:space="0" w:color="auto"/>
            </w:tcBorders>
            <w:hideMark/>
          </w:tcPr>
          <w:p w14:paraId="2C4C034D" w14:textId="4AE39A9C" w:rsidR="00CF5C85" w:rsidRPr="00E97620" w:rsidRDefault="00CF5C85" w:rsidP="00480517">
            <w:pPr>
              <w:rPr>
                <w:sz w:val="20"/>
                <w:szCs w:val="20"/>
              </w:rPr>
            </w:pPr>
            <w:r w:rsidRPr="00E97620">
              <w:rPr>
                <w:rFonts w:eastAsia="Calibri"/>
                <w:sz w:val="20"/>
                <w:szCs w:val="20"/>
              </w:rPr>
              <w:t>BPPS</w:t>
            </w:r>
            <w:r w:rsidR="007039C4" w:rsidRPr="00E97620">
              <w:rPr>
                <w:rFonts w:eastAsia="Calibri"/>
                <w:sz w:val="20"/>
                <w:szCs w:val="20"/>
              </w:rPr>
              <w:t xml:space="preserve"> and </w:t>
            </w:r>
            <w:r w:rsidR="00480517" w:rsidRPr="00E97620">
              <w:rPr>
                <w:rFonts w:eastAsia="Calibri"/>
                <w:sz w:val="20"/>
                <w:szCs w:val="20"/>
              </w:rPr>
              <w:t>regional bureaux</w:t>
            </w:r>
            <w:r w:rsidR="007039C4" w:rsidRPr="00E97620">
              <w:rPr>
                <w:rFonts w:eastAsia="Calibri"/>
                <w:sz w:val="20"/>
                <w:szCs w:val="20"/>
              </w:rPr>
              <w:t xml:space="preserve">, in support of </w:t>
            </w:r>
            <w:r w:rsidR="00480517" w:rsidRPr="00E97620">
              <w:rPr>
                <w:rFonts w:eastAsia="Calibri"/>
                <w:sz w:val="20"/>
                <w:szCs w:val="20"/>
              </w:rPr>
              <w:t>resident coordinators/resident representatives</w:t>
            </w:r>
          </w:p>
        </w:tc>
        <w:tc>
          <w:tcPr>
            <w:tcW w:w="1584" w:type="dxa"/>
            <w:tcBorders>
              <w:bottom w:val="single" w:sz="4" w:space="0" w:color="auto"/>
            </w:tcBorders>
            <w:hideMark/>
          </w:tcPr>
          <w:p w14:paraId="7B27788F" w14:textId="77777777" w:rsidR="00CF5C85" w:rsidRPr="00E97620" w:rsidRDefault="00CF5C85" w:rsidP="00A508D7">
            <w:pPr>
              <w:rPr>
                <w:sz w:val="20"/>
                <w:szCs w:val="20"/>
              </w:rPr>
            </w:pPr>
          </w:p>
        </w:tc>
        <w:tc>
          <w:tcPr>
            <w:tcW w:w="1608" w:type="dxa"/>
            <w:tcBorders>
              <w:bottom w:val="single" w:sz="4" w:space="0" w:color="auto"/>
            </w:tcBorders>
            <w:hideMark/>
          </w:tcPr>
          <w:p w14:paraId="3449131D" w14:textId="77777777" w:rsidR="00CF5C85" w:rsidRPr="00E97620" w:rsidRDefault="00CF5C85" w:rsidP="00A508D7">
            <w:pPr>
              <w:rPr>
                <w:sz w:val="20"/>
                <w:szCs w:val="20"/>
              </w:rPr>
            </w:pPr>
            <w:r w:rsidRPr="00E97620">
              <w:rPr>
                <w:rFonts w:eastAsia="Calibri"/>
                <w:sz w:val="20"/>
                <w:szCs w:val="20"/>
              </w:rPr>
              <w:t xml:space="preserve"> </w:t>
            </w:r>
          </w:p>
        </w:tc>
      </w:tr>
    </w:tbl>
    <w:p w14:paraId="148B627C" w14:textId="77777777" w:rsidR="00DE5588" w:rsidRDefault="00DE5588">
      <w:r>
        <w:br w:type="page"/>
      </w:r>
    </w:p>
    <w:tbl>
      <w:tblPr>
        <w:tblStyle w:val="TableGrid"/>
        <w:tblW w:w="11965" w:type="dxa"/>
        <w:tblLook w:val="04A0" w:firstRow="1" w:lastRow="0" w:firstColumn="1" w:lastColumn="0" w:noHBand="0" w:noVBand="1"/>
      </w:tblPr>
      <w:tblGrid>
        <w:gridCol w:w="2393"/>
        <w:gridCol w:w="30"/>
        <w:gridCol w:w="6"/>
        <w:gridCol w:w="2357"/>
        <w:gridCol w:w="60"/>
        <w:gridCol w:w="12"/>
        <w:gridCol w:w="2321"/>
        <w:gridCol w:w="90"/>
        <w:gridCol w:w="18"/>
        <w:gridCol w:w="2285"/>
        <w:gridCol w:w="120"/>
        <w:gridCol w:w="24"/>
        <w:gridCol w:w="2249"/>
      </w:tblGrid>
      <w:tr w:rsidR="00B91FB2" w:rsidRPr="00E97620" w14:paraId="2CAE2B79" w14:textId="77777777" w:rsidTr="00C70D28">
        <w:trPr>
          <w:trHeight w:val="300"/>
        </w:trPr>
        <w:tc>
          <w:tcPr>
            <w:tcW w:w="11965" w:type="dxa"/>
            <w:gridSpan w:val="13"/>
            <w:tcBorders>
              <w:top w:val="single" w:sz="4" w:space="0" w:color="auto"/>
            </w:tcBorders>
            <w:shd w:val="clear" w:color="auto" w:fill="D9D9D9" w:themeFill="background1" w:themeFillShade="D9"/>
            <w:hideMark/>
          </w:tcPr>
          <w:p w14:paraId="3B6855BE" w14:textId="2E26760B" w:rsidR="00B91FB2" w:rsidRPr="00E97620" w:rsidRDefault="00B91FB2" w:rsidP="00A508D7">
            <w:pPr>
              <w:rPr>
                <w:b/>
                <w:bCs/>
                <w:sz w:val="20"/>
                <w:szCs w:val="20"/>
              </w:rPr>
            </w:pPr>
            <w:r w:rsidRPr="00E97620">
              <w:rPr>
                <w:b/>
                <w:bCs/>
                <w:sz w:val="20"/>
                <w:szCs w:val="20"/>
              </w:rPr>
              <w:lastRenderedPageBreak/>
              <w:t>Recommendation 2</w:t>
            </w:r>
          </w:p>
        </w:tc>
      </w:tr>
      <w:tr w:rsidR="00B91FB2" w:rsidRPr="00E97620" w14:paraId="4AFA1AA4" w14:textId="77777777" w:rsidTr="00C70D28">
        <w:trPr>
          <w:trHeight w:val="615"/>
        </w:trPr>
        <w:tc>
          <w:tcPr>
            <w:tcW w:w="11965" w:type="dxa"/>
            <w:gridSpan w:val="13"/>
            <w:hideMark/>
          </w:tcPr>
          <w:p w14:paraId="30C68571" w14:textId="3D942FE8" w:rsidR="00B91450" w:rsidRPr="00E97620" w:rsidRDefault="00E40626" w:rsidP="00E97620">
            <w:pPr>
              <w:spacing w:after="120"/>
              <w:rPr>
                <w:sz w:val="20"/>
                <w:szCs w:val="20"/>
              </w:rPr>
            </w:pPr>
            <w:r w:rsidRPr="00E97620">
              <w:rPr>
                <w:sz w:val="20"/>
                <w:szCs w:val="20"/>
              </w:rPr>
              <w:t>The overarching strategic objective of UNDP — supporting the poorest of the poor and the most marginalized members of society — remains valid. Future resources and programming should aim to help countries accelerate the achievement of development results especially for those left behind, based on fulfilment of the Sustainable Development Goals.</w:t>
            </w:r>
          </w:p>
        </w:tc>
      </w:tr>
      <w:tr w:rsidR="00B91FB2" w:rsidRPr="00E97620" w14:paraId="5930FF28" w14:textId="77777777" w:rsidTr="00C70D28">
        <w:trPr>
          <w:trHeight w:val="855"/>
        </w:trPr>
        <w:tc>
          <w:tcPr>
            <w:tcW w:w="11965" w:type="dxa"/>
            <w:gridSpan w:val="13"/>
            <w:hideMark/>
          </w:tcPr>
          <w:p w14:paraId="77DCD034" w14:textId="1EE5D33B" w:rsidR="00B91FB2" w:rsidRPr="00E97620" w:rsidRDefault="00B91FB2" w:rsidP="000C7037">
            <w:pPr>
              <w:spacing w:after="120"/>
              <w:rPr>
                <w:b/>
                <w:bCs/>
                <w:sz w:val="20"/>
                <w:szCs w:val="20"/>
              </w:rPr>
            </w:pPr>
            <w:r w:rsidRPr="00E97620">
              <w:rPr>
                <w:b/>
                <w:bCs/>
                <w:sz w:val="20"/>
                <w:szCs w:val="20"/>
              </w:rPr>
              <w:t>Management response</w:t>
            </w:r>
            <w:r w:rsidR="000C7037">
              <w:rPr>
                <w:b/>
                <w:bCs/>
                <w:sz w:val="20"/>
                <w:szCs w:val="20"/>
              </w:rPr>
              <w:t>:</w:t>
            </w:r>
          </w:p>
          <w:p w14:paraId="6D2C57CB" w14:textId="369C6272" w:rsidR="00B91FB2" w:rsidRPr="00E97620" w:rsidRDefault="009E5999" w:rsidP="00480517">
            <w:pPr>
              <w:spacing w:after="160"/>
              <w:jc w:val="both"/>
              <w:rPr>
                <w:bCs/>
                <w:sz w:val="20"/>
                <w:szCs w:val="20"/>
              </w:rPr>
            </w:pPr>
            <w:r w:rsidRPr="00E97620">
              <w:rPr>
                <w:sz w:val="20"/>
                <w:szCs w:val="20"/>
              </w:rPr>
              <w:t xml:space="preserve">UNDP management agrees with </w:t>
            </w:r>
            <w:r w:rsidR="00D54F3F" w:rsidRPr="00E97620">
              <w:rPr>
                <w:sz w:val="20"/>
                <w:szCs w:val="20"/>
              </w:rPr>
              <w:t xml:space="preserve">this recommendation, and the 2030 Agenda’s ambition of “leaving no one behind” will be proposed as an important element of the 2018-2021 Strategic Plan, including in the </w:t>
            </w:r>
            <w:r w:rsidR="00480517" w:rsidRPr="00E97620">
              <w:rPr>
                <w:sz w:val="20"/>
                <w:szCs w:val="20"/>
              </w:rPr>
              <w:t>integrated results and resources framework (IRRF)</w:t>
            </w:r>
            <w:r w:rsidR="00D54F3F" w:rsidRPr="00E97620">
              <w:rPr>
                <w:sz w:val="20"/>
                <w:szCs w:val="20"/>
              </w:rPr>
              <w:t xml:space="preserve">.  UNDP intends to implement this recommendation through its support to national and local partners on the </w:t>
            </w:r>
            <w:r w:rsidR="00480517" w:rsidRPr="00E97620">
              <w:rPr>
                <w:sz w:val="20"/>
                <w:szCs w:val="20"/>
              </w:rPr>
              <w:t>Sustainable Development Goals</w:t>
            </w:r>
            <w:r w:rsidR="00D54F3F" w:rsidRPr="00E97620">
              <w:rPr>
                <w:sz w:val="20"/>
                <w:szCs w:val="20"/>
              </w:rPr>
              <w:t xml:space="preserve">, and including through tools and promoting development solutions identified through </w:t>
            </w:r>
            <w:r w:rsidR="00480517" w:rsidRPr="00E97620">
              <w:rPr>
                <w:sz w:val="20"/>
                <w:szCs w:val="20"/>
              </w:rPr>
              <w:t>South-</w:t>
            </w:r>
            <w:r w:rsidR="00D54F3F" w:rsidRPr="00E97620">
              <w:rPr>
                <w:sz w:val="20"/>
                <w:szCs w:val="20"/>
              </w:rPr>
              <w:t xml:space="preserve">South and triangular cooperation, and fostering partnerships that have a strong potential to harness transformational change and </w:t>
            </w:r>
            <w:r w:rsidR="00480517" w:rsidRPr="00E97620">
              <w:rPr>
                <w:sz w:val="20"/>
                <w:szCs w:val="20"/>
              </w:rPr>
              <w:t xml:space="preserve">support </w:t>
            </w:r>
            <w:r w:rsidR="00D54F3F" w:rsidRPr="00E97620">
              <w:rPr>
                <w:sz w:val="20"/>
                <w:szCs w:val="20"/>
              </w:rPr>
              <w:t xml:space="preserve">achievement of </w:t>
            </w:r>
            <w:r w:rsidR="00480517" w:rsidRPr="00E97620">
              <w:rPr>
                <w:sz w:val="20"/>
                <w:szCs w:val="20"/>
              </w:rPr>
              <w:t xml:space="preserve">the 2030 </w:t>
            </w:r>
            <w:r w:rsidR="00D54F3F" w:rsidRPr="00E97620">
              <w:rPr>
                <w:sz w:val="20"/>
                <w:szCs w:val="20"/>
              </w:rPr>
              <w:t xml:space="preserve">Agenda on the ground.  </w:t>
            </w:r>
          </w:p>
        </w:tc>
      </w:tr>
      <w:tr w:rsidR="00DE5588" w:rsidRPr="00E97620" w14:paraId="0015EE9A" w14:textId="77777777" w:rsidTr="00C70D28">
        <w:trPr>
          <w:trHeight w:val="300"/>
        </w:trPr>
        <w:tc>
          <w:tcPr>
            <w:tcW w:w="2393" w:type="dxa"/>
            <w:hideMark/>
          </w:tcPr>
          <w:p w14:paraId="5F94C665" w14:textId="21927EC1" w:rsidR="00090909" w:rsidRPr="00E97620" w:rsidRDefault="00090909" w:rsidP="00090909">
            <w:pPr>
              <w:rPr>
                <w:sz w:val="20"/>
                <w:szCs w:val="20"/>
              </w:rPr>
            </w:pPr>
            <w:r w:rsidRPr="00E97620">
              <w:rPr>
                <w:sz w:val="20"/>
                <w:szCs w:val="20"/>
              </w:rPr>
              <w:t>Drawing on practices and lessons learned through programmes and projects, continue the development and support of the conceptual framework and associated tools for a more integrated and effective approach to multidimensional poverty.</w:t>
            </w:r>
          </w:p>
        </w:tc>
        <w:tc>
          <w:tcPr>
            <w:tcW w:w="2393" w:type="dxa"/>
            <w:gridSpan w:val="3"/>
            <w:hideMark/>
          </w:tcPr>
          <w:p w14:paraId="698BF9AA" w14:textId="22D28F2B" w:rsidR="00090909" w:rsidRPr="00E97620" w:rsidRDefault="00090909" w:rsidP="00A508D7">
            <w:pPr>
              <w:rPr>
                <w:sz w:val="20"/>
                <w:szCs w:val="20"/>
              </w:rPr>
            </w:pPr>
            <w:r w:rsidRPr="00E97620">
              <w:rPr>
                <w:sz w:val="20"/>
                <w:szCs w:val="20"/>
              </w:rPr>
              <w:t> </w:t>
            </w:r>
            <w:r w:rsidRPr="00E97620">
              <w:rPr>
                <w:rFonts w:eastAsia="Calibri"/>
                <w:sz w:val="20"/>
                <w:szCs w:val="20"/>
              </w:rPr>
              <w:t xml:space="preserve"> Ongoing</w:t>
            </w:r>
          </w:p>
        </w:tc>
        <w:tc>
          <w:tcPr>
            <w:tcW w:w="2393" w:type="dxa"/>
            <w:gridSpan w:val="3"/>
            <w:hideMark/>
          </w:tcPr>
          <w:p w14:paraId="66794B2A" w14:textId="77777777" w:rsidR="00090909" w:rsidRPr="00E97620" w:rsidRDefault="00090909" w:rsidP="0048511B">
            <w:pPr>
              <w:rPr>
                <w:sz w:val="20"/>
                <w:szCs w:val="20"/>
              </w:rPr>
            </w:pPr>
            <w:r w:rsidRPr="00E97620">
              <w:rPr>
                <w:rFonts w:eastAsia="Calibri"/>
                <w:sz w:val="20"/>
                <w:szCs w:val="20"/>
              </w:rPr>
              <w:t>Conceptual framework: BPPS; Delivery organization-wide</w:t>
            </w:r>
          </w:p>
          <w:p w14:paraId="56457EC5" w14:textId="77777777" w:rsidR="00090909" w:rsidRPr="00E97620" w:rsidRDefault="00090909" w:rsidP="0048511B">
            <w:pPr>
              <w:rPr>
                <w:rFonts w:eastAsia="Calibri"/>
                <w:sz w:val="20"/>
                <w:szCs w:val="20"/>
              </w:rPr>
            </w:pPr>
            <w:r w:rsidRPr="00E97620">
              <w:rPr>
                <w:rFonts w:eastAsia="Calibri"/>
                <w:sz w:val="20"/>
                <w:szCs w:val="20"/>
              </w:rPr>
              <w:t>Tools development:</w:t>
            </w:r>
          </w:p>
          <w:p w14:paraId="7D725936" w14:textId="467B4888" w:rsidR="00090909" w:rsidRPr="00E97620" w:rsidRDefault="00090909" w:rsidP="00480517">
            <w:pPr>
              <w:rPr>
                <w:sz w:val="20"/>
                <w:szCs w:val="20"/>
              </w:rPr>
            </w:pPr>
            <w:r w:rsidRPr="00E97620">
              <w:rPr>
                <w:rFonts w:eastAsia="Calibri"/>
                <w:sz w:val="20"/>
                <w:szCs w:val="20"/>
              </w:rPr>
              <w:t xml:space="preserve">BPPS in consultation with </w:t>
            </w:r>
            <w:r w:rsidR="00480517" w:rsidRPr="00E97620">
              <w:rPr>
                <w:rFonts w:eastAsia="Calibri"/>
                <w:sz w:val="20"/>
                <w:szCs w:val="20"/>
              </w:rPr>
              <w:t xml:space="preserve">regional </w:t>
            </w:r>
            <w:r w:rsidRPr="00E97620">
              <w:rPr>
                <w:rFonts w:eastAsia="Calibri"/>
                <w:sz w:val="20"/>
                <w:szCs w:val="20"/>
              </w:rPr>
              <w:t>bureau</w:t>
            </w:r>
            <w:r w:rsidR="00480517" w:rsidRPr="00E97620">
              <w:rPr>
                <w:rFonts w:eastAsia="Calibri"/>
                <w:sz w:val="20"/>
                <w:szCs w:val="20"/>
              </w:rPr>
              <w:t>x</w:t>
            </w:r>
          </w:p>
        </w:tc>
        <w:tc>
          <w:tcPr>
            <w:tcW w:w="2393" w:type="dxa"/>
            <w:gridSpan w:val="3"/>
            <w:hideMark/>
          </w:tcPr>
          <w:p w14:paraId="26D57045" w14:textId="58E3E742" w:rsidR="00090909" w:rsidRPr="00E97620" w:rsidRDefault="00090909" w:rsidP="00DE5588">
            <w:pPr>
              <w:ind w:right="-105"/>
              <w:rPr>
                <w:sz w:val="20"/>
                <w:szCs w:val="20"/>
              </w:rPr>
            </w:pPr>
          </w:p>
        </w:tc>
        <w:tc>
          <w:tcPr>
            <w:tcW w:w="2393" w:type="dxa"/>
            <w:gridSpan w:val="3"/>
            <w:hideMark/>
          </w:tcPr>
          <w:p w14:paraId="6540C016" w14:textId="774DC8C9" w:rsidR="00090909" w:rsidRPr="00E97620" w:rsidRDefault="00090909" w:rsidP="00DE5588">
            <w:pPr>
              <w:ind w:right="-105"/>
              <w:rPr>
                <w:sz w:val="20"/>
                <w:szCs w:val="20"/>
              </w:rPr>
            </w:pPr>
          </w:p>
        </w:tc>
      </w:tr>
      <w:tr w:rsidR="00DE5588" w:rsidRPr="00E97620" w14:paraId="389D6C8C" w14:textId="77777777" w:rsidTr="00C70D28">
        <w:trPr>
          <w:trHeight w:val="300"/>
        </w:trPr>
        <w:tc>
          <w:tcPr>
            <w:tcW w:w="2393" w:type="dxa"/>
          </w:tcPr>
          <w:p w14:paraId="21D0D3BB" w14:textId="134FDF56" w:rsidR="00090909" w:rsidRPr="00E97620" w:rsidRDefault="00090909" w:rsidP="00343F24">
            <w:pPr>
              <w:rPr>
                <w:sz w:val="20"/>
                <w:szCs w:val="20"/>
              </w:rPr>
            </w:pPr>
            <w:r w:rsidRPr="00E97620">
              <w:rPr>
                <w:sz w:val="20"/>
                <w:szCs w:val="20"/>
              </w:rPr>
              <w:t xml:space="preserve">A corporate </w:t>
            </w:r>
            <w:r w:rsidR="00480517" w:rsidRPr="00E97620">
              <w:rPr>
                <w:sz w:val="20"/>
                <w:szCs w:val="20"/>
              </w:rPr>
              <w:t xml:space="preserve">"leave no one behind" </w:t>
            </w:r>
            <w:r w:rsidRPr="00E97620">
              <w:rPr>
                <w:sz w:val="20"/>
                <w:szCs w:val="20"/>
              </w:rPr>
              <w:t xml:space="preserve">methodology for tracking excluded groups, targeting and access support to development benefits will be integrated in all </w:t>
            </w:r>
            <w:r w:rsidR="00480517" w:rsidRPr="00E97620">
              <w:rPr>
                <w:sz w:val="20"/>
                <w:szCs w:val="20"/>
              </w:rPr>
              <w:t xml:space="preserve">results </w:t>
            </w:r>
            <w:r w:rsidRPr="00E97620">
              <w:rPr>
                <w:sz w:val="20"/>
                <w:szCs w:val="20"/>
              </w:rPr>
              <w:t xml:space="preserve">and </w:t>
            </w:r>
            <w:r w:rsidR="00480517" w:rsidRPr="00E97620">
              <w:rPr>
                <w:sz w:val="20"/>
                <w:szCs w:val="20"/>
              </w:rPr>
              <w:t xml:space="preserve">resources frameworks </w:t>
            </w:r>
            <w:r w:rsidRPr="00E97620">
              <w:rPr>
                <w:sz w:val="20"/>
                <w:szCs w:val="20"/>
              </w:rPr>
              <w:t xml:space="preserve">for programmes and projects. </w:t>
            </w:r>
          </w:p>
        </w:tc>
        <w:tc>
          <w:tcPr>
            <w:tcW w:w="2393" w:type="dxa"/>
            <w:gridSpan w:val="3"/>
          </w:tcPr>
          <w:p w14:paraId="635769C6" w14:textId="7E764045" w:rsidR="00090909" w:rsidRPr="00E97620" w:rsidRDefault="00090909" w:rsidP="00A508D7">
            <w:pPr>
              <w:rPr>
                <w:sz w:val="20"/>
                <w:szCs w:val="20"/>
              </w:rPr>
            </w:pPr>
            <w:r w:rsidRPr="00E97620">
              <w:rPr>
                <w:sz w:val="20"/>
                <w:szCs w:val="20"/>
              </w:rPr>
              <w:t>January 2018</w:t>
            </w:r>
          </w:p>
        </w:tc>
        <w:tc>
          <w:tcPr>
            <w:tcW w:w="2393" w:type="dxa"/>
            <w:gridSpan w:val="3"/>
          </w:tcPr>
          <w:p w14:paraId="2B81BDA7" w14:textId="590190D2" w:rsidR="00090909" w:rsidRPr="00E97620" w:rsidRDefault="00090909" w:rsidP="00480517">
            <w:pPr>
              <w:rPr>
                <w:rFonts w:eastAsia="Calibri"/>
                <w:sz w:val="20"/>
                <w:szCs w:val="20"/>
              </w:rPr>
            </w:pPr>
            <w:r w:rsidRPr="00E97620">
              <w:rPr>
                <w:rFonts w:eastAsia="Calibri"/>
                <w:sz w:val="20"/>
                <w:szCs w:val="20"/>
              </w:rPr>
              <w:t xml:space="preserve">BPPS in consultations with </w:t>
            </w:r>
            <w:r w:rsidR="00480517" w:rsidRPr="00E97620">
              <w:rPr>
                <w:rFonts w:eastAsia="Calibri"/>
                <w:sz w:val="20"/>
                <w:szCs w:val="20"/>
              </w:rPr>
              <w:t xml:space="preserve">regional bureaux </w:t>
            </w:r>
            <w:r w:rsidRPr="00E97620">
              <w:rPr>
                <w:rFonts w:eastAsia="Calibri"/>
                <w:sz w:val="20"/>
                <w:szCs w:val="20"/>
              </w:rPr>
              <w:t xml:space="preserve">and </w:t>
            </w:r>
            <w:r w:rsidR="00480517" w:rsidRPr="00E97620">
              <w:rPr>
                <w:rFonts w:eastAsia="Calibri"/>
                <w:sz w:val="20"/>
                <w:szCs w:val="20"/>
              </w:rPr>
              <w:t>country offices</w:t>
            </w:r>
            <w:r w:rsidRPr="00E97620">
              <w:rPr>
                <w:rFonts w:eastAsia="Calibri"/>
                <w:sz w:val="20"/>
                <w:szCs w:val="20"/>
              </w:rPr>
              <w:t>.</w:t>
            </w:r>
          </w:p>
        </w:tc>
        <w:tc>
          <w:tcPr>
            <w:tcW w:w="2393" w:type="dxa"/>
            <w:gridSpan w:val="3"/>
          </w:tcPr>
          <w:p w14:paraId="2B5578A6" w14:textId="536183B4" w:rsidR="00090909" w:rsidRPr="00E97620" w:rsidRDefault="00090909" w:rsidP="00A508D7">
            <w:pPr>
              <w:rPr>
                <w:sz w:val="20"/>
                <w:szCs w:val="20"/>
              </w:rPr>
            </w:pPr>
          </w:p>
        </w:tc>
        <w:tc>
          <w:tcPr>
            <w:tcW w:w="2393" w:type="dxa"/>
            <w:gridSpan w:val="3"/>
          </w:tcPr>
          <w:p w14:paraId="09024F00" w14:textId="5F067E62" w:rsidR="00090909" w:rsidRPr="00E97620" w:rsidRDefault="00090909" w:rsidP="00A508D7">
            <w:pPr>
              <w:rPr>
                <w:sz w:val="20"/>
                <w:szCs w:val="20"/>
              </w:rPr>
            </w:pPr>
          </w:p>
        </w:tc>
      </w:tr>
      <w:tr w:rsidR="00B91FB2" w:rsidRPr="00E97620" w14:paraId="42F19EB3" w14:textId="77777777" w:rsidTr="00C70D28">
        <w:trPr>
          <w:trHeight w:val="300"/>
        </w:trPr>
        <w:tc>
          <w:tcPr>
            <w:tcW w:w="11965" w:type="dxa"/>
            <w:gridSpan w:val="13"/>
            <w:tcBorders>
              <w:top w:val="single" w:sz="4" w:space="0" w:color="auto"/>
            </w:tcBorders>
            <w:shd w:val="clear" w:color="auto" w:fill="D9D9D9" w:themeFill="background1" w:themeFillShade="D9"/>
            <w:hideMark/>
          </w:tcPr>
          <w:p w14:paraId="29ABE80A" w14:textId="77777777" w:rsidR="00B91FB2" w:rsidRPr="00E97620" w:rsidRDefault="00B91FB2" w:rsidP="00A508D7">
            <w:pPr>
              <w:rPr>
                <w:b/>
                <w:bCs/>
                <w:sz w:val="20"/>
                <w:szCs w:val="20"/>
              </w:rPr>
            </w:pPr>
            <w:r w:rsidRPr="00E97620">
              <w:rPr>
                <w:b/>
                <w:bCs/>
                <w:sz w:val="20"/>
                <w:szCs w:val="20"/>
              </w:rPr>
              <w:t>Recommendation 3</w:t>
            </w:r>
          </w:p>
        </w:tc>
      </w:tr>
      <w:tr w:rsidR="00B91FB2" w:rsidRPr="00E97620" w14:paraId="2FDC5BED" w14:textId="77777777" w:rsidTr="00C70D28">
        <w:trPr>
          <w:trHeight w:val="645"/>
        </w:trPr>
        <w:tc>
          <w:tcPr>
            <w:tcW w:w="11965" w:type="dxa"/>
            <w:gridSpan w:val="13"/>
            <w:hideMark/>
          </w:tcPr>
          <w:p w14:paraId="4A62156A" w14:textId="75CB2017" w:rsidR="00B91450" w:rsidRPr="00E97620" w:rsidRDefault="00BA50E0" w:rsidP="000C7037">
            <w:pPr>
              <w:spacing w:after="120"/>
              <w:rPr>
                <w:sz w:val="20"/>
                <w:szCs w:val="20"/>
              </w:rPr>
            </w:pPr>
            <w:r w:rsidRPr="00E97620">
              <w:rPr>
                <w:sz w:val="20"/>
                <w:szCs w:val="20"/>
              </w:rPr>
              <w:t xml:space="preserve"> UNDP should retain its global reach. Programming in middle-income countries should align with the Sustainable Development Goals and other global frameworks, placing vulnerable populations at the forefront while seizing opportunities to expand assistance at subnational levels.</w:t>
            </w:r>
          </w:p>
        </w:tc>
      </w:tr>
      <w:tr w:rsidR="00B91FB2" w:rsidRPr="00E97620" w14:paraId="2CD2C52E" w14:textId="77777777" w:rsidTr="00C70D28">
        <w:trPr>
          <w:trHeight w:val="1185"/>
        </w:trPr>
        <w:tc>
          <w:tcPr>
            <w:tcW w:w="11965" w:type="dxa"/>
            <w:gridSpan w:val="13"/>
            <w:hideMark/>
          </w:tcPr>
          <w:p w14:paraId="33BF5376" w14:textId="77777777" w:rsidR="00B91FB2" w:rsidRPr="00E97620" w:rsidRDefault="00B91FB2" w:rsidP="000C7037">
            <w:pPr>
              <w:spacing w:after="120"/>
              <w:rPr>
                <w:b/>
                <w:bCs/>
                <w:sz w:val="20"/>
                <w:szCs w:val="20"/>
              </w:rPr>
            </w:pPr>
            <w:r w:rsidRPr="00E97620">
              <w:rPr>
                <w:b/>
                <w:bCs/>
                <w:sz w:val="20"/>
                <w:szCs w:val="20"/>
              </w:rPr>
              <w:t>Management response:</w:t>
            </w:r>
          </w:p>
          <w:p w14:paraId="4DF1B0D4" w14:textId="703D10F0" w:rsidR="00B91FB2" w:rsidRPr="00E97620" w:rsidRDefault="009E5999" w:rsidP="000C7037">
            <w:pPr>
              <w:spacing w:after="120"/>
              <w:jc w:val="both"/>
              <w:rPr>
                <w:sz w:val="20"/>
                <w:szCs w:val="20"/>
              </w:rPr>
            </w:pPr>
            <w:r w:rsidRPr="00E97620">
              <w:rPr>
                <w:sz w:val="20"/>
                <w:szCs w:val="20"/>
              </w:rPr>
              <w:t>UNDP m</w:t>
            </w:r>
            <w:r w:rsidR="00E462D7" w:rsidRPr="00E97620">
              <w:rPr>
                <w:sz w:val="20"/>
                <w:szCs w:val="20"/>
              </w:rPr>
              <w:t xml:space="preserve">anagement </w:t>
            </w:r>
            <w:r w:rsidRPr="00E97620">
              <w:rPr>
                <w:sz w:val="20"/>
                <w:szCs w:val="20"/>
              </w:rPr>
              <w:t>agrees with</w:t>
            </w:r>
            <w:r w:rsidR="00E462D7" w:rsidRPr="00E97620">
              <w:rPr>
                <w:sz w:val="20"/>
                <w:szCs w:val="20"/>
              </w:rPr>
              <w:t xml:space="preserve"> this recommendation.  </w:t>
            </w:r>
            <w:r w:rsidR="00B91FB2" w:rsidRPr="00E97620">
              <w:rPr>
                <w:sz w:val="20"/>
                <w:szCs w:val="20"/>
              </w:rPr>
              <w:t xml:space="preserve">UNDP supports the </w:t>
            </w:r>
            <w:hyperlink r:id="rId22" w:history="1">
              <w:r w:rsidR="00B91FB2" w:rsidRPr="00E97620">
                <w:rPr>
                  <w:rStyle w:val="Hyperlink"/>
                  <w:sz w:val="20"/>
                  <w:szCs w:val="20"/>
                </w:rPr>
                <w:t>implementation of the 2030 Agenda</w:t>
              </w:r>
            </w:hyperlink>
            <w:r w:rsidR="00BA50E0" w:rsidRPr="00E97620">
              <w:rPr>
                <w:rStyle w:val="Hyperlink"/>
                <w:sz w:val="20"/>
                <w:szCs w:val="20"/>
              </w:rPr>
              <w:t>,</w:t>
            </w:r>
            <w:r w:rsidR="00B91FB2" w:rsidRPr="00E97620">
              <w:rPr>
                <w:sz w:val="20"/>
                <w:szCs w:val="20"/>
              </w:rPr>
              <w:t xml:space="preserve"> in conjunction with the </w:t>
            </w:r>
            <w:r w:rsidR="00480517" w:rsidRPr="00E97620">
              <w:rPr>
                <w:sz w:val="20"/>
                <w:szCs w:val="20"/>
              </w:rPr>
              <w:t>Addis Ababa Agenda for Action</w:t>
            </w:r>
            <w:r w:rsidR="00BA50E0" w:rsidRPr="00E97620">
              <w:rPr>
                <w:sz w:val="20"/>
                <w:szCs w:val="20"/>
              </w:rPr>
              <w:t>,</w:t>
            </w:r>
            <w:r w:rsidR="00B91FB2" w:rsidRPr="00E97620">
              <w:rPr>
                <w:sz w:val="20"/>
                <w:szCs w:val="20"/>
              </w:rPr>
              <w:t xml:space="preserve"> to ensure</w:t>
            </w:r>
            <w:r w:rsidR="00BA50E0" w:rsidRPr="00E97620">
              <w:rPr>
                <w:sz w:val="20"/>
                <w:szCs w:val="20"/>
              </w:rPr>
              <w:t xml:space="preserve"> that</w:t>
            </w:r>
            <w:r w:rsidR="00B91FB2" w:rsidRPr="00E97620">
              <w:rPr>
                <w:sz w:val="20"/>
                <w:szCs w:val="20"/>
              </w:rPr>
              <w:t xml:space="preserve"> countries make effective use of all </w:t>
            </w:r>
            <w:r w:rsidR="008E473A" w:rsidRPr="00E97620">
              <w:rPr>
                <w:sz w:val="20"/>
                <w:szCs w:val="20"/>
              </w:rPr>
              <w:t xml:space="preserve">available </w:t>
            </w:r>
            <w:r w:rsidR="00B91FB2" w:rsidRPr="00E97620">
              <w:rPr>
                <w:sz w:val="20"/>
                <w:szCs w:val="20"/>
              </w:rPr>
              <w:t xml:space="preserve">resources and means to advance their development goals. </w:t>
            </w:r>
            <w:r w:rsidR="008E473A" w:rsidRPr="00E97620">
              <w:rPr>
                <w:sz w:val="20"/>
                <w:szCs w:val="20"/>
              </w:rPr>
              <w:t>T</w:t>
            </w:r>
            <w:r w:rsidR="00B91FB2" w:rsidRPr="00E97620">
              <w:rPr>
                <w:sz w:val="20"/>
                <w:szCs w:val="20"/>
              </w:rPr>
              <w:t xml:space="preserve">hrough dedicated methodologies for development finance </w:t>
            </w:r>
            <w:r w:rsidR="00945A94" w:rsidRPr="00E97620">
              <w:rPr>
                <w:sz w:val="20"/>
                <w:szCs w:val="20"/>
              </w:rPr>
              <w:t>assessments and</w:t>
            </w:r>
            <w:r w:rsidR="00B91FB2" w:rsidRPr="00E97620">
              <w:rPr>
                <w:sz w:val="20"/>
                <w:szCs w:val="20"/>
              </w:rPr>
              <w:t xml:space="preserve"> integrated financing solutions, UNDP assists </w:t>
            </w:r>
            <w:r w:rsidR="008E473A" w:rsidRPr="00E97620">
              <w:rPr>
                <w:sz w:val="20"/>
                <w:szCs w:val="20"/>
              </w:rPr>
              <w:t xml:space="preserve">Member States </w:t>
            </w:r>
            <w:r w:rsidR="00B91FB2" w:rsidRPr="00E97620">
              <w:rPr>
                <w:sz w:val="20"/>
                <w:szCs w:val="20"/>
              </w:rPr>
              <w:t xml:space="preserve">in the development of their </w:t>
            </w:r>
            <w:r w:rsidR="008E473A" w:rsidRPr="00E97620">
              <w:rPr>
                <w:sz w:val="20"/>
                <w:szCs w:val="20"/>
              </w:rPr>
              <w:t xml:space="preserve">integrated national financing frameworks </w:t>
            </w:r>
            <w:r w:rsidR="00B91FB2" w:rsidRPr="00E97620">
              <w:rPr>
                <w:sz w:val="20"/>
                <w:szCs w:val="20"/>
              </w:rPr>
              <w:t>linking planning</w:t>
            </w:r>
            <w:r w:rsidR="008E473A" w:rsidRPr="00E97620">
              <w:rPr>
                <w:sz w:val="20"/>
                <w:szCs w:val="20"/>
              </w:rPr>
              <w:t>,</w:t>
            </w:r>
            <w:r w:rsidR="00B91FB2" w:rsidRPr="00E97620">
              <w:rPr>
                <w:sz w:val="20"/>
                <w:szCs w:val="20"/>
              </w:rPr>
              <w:t xml:space="preserve"> budgeting, partnerships and resource mobilization as requested by </w:t>
            </w:r>
            <w:r w:rsidR="008E473A" w:rsidRPr="00E97620">
              <w:rPr>
                <w:sz w:val="20"/>
                <w:szCs w:val="20"/>
              </w:rPr>
              <w:t xml:space="preserve">the </w:t>
            </w:r>
            <w:r w:rsidR="00343F24" w:rsidRPr="00E97620">
              <w:rPr>
                <w:sz w:val="20"/>
                <w:szCs w:val="20"/>
              </w:rPr>
              <w:t>Addis Ababa Agenda for Action</w:t>
            </w:r>
            <w:r w:rsidR="00B91FB2" w:rsidRPr="00E97620">
              <w:rPr>
                <w:sz w:val="20"/>
                <w:szCs w:val="20"/>
              </w:rPr>
              <w:t xml:space="preserve">. Recognizing the specific challenges </w:t>
            </w:r>
            <w:r w:rsidR="008E473A" w:rsidRPr="00E97620">
              <w:rPr>
                <w:sz w:val="20"/>
                <w:szCs w:val="20"/>
              </w:rPr>
              <w:t>facing middle-</w:t>
            </w:r>
            <w:r w:rsidR="00B91FB2" w:rsidRPr="00E97620">
              <w:rPr>
                <w:sz w:val="20"/>
                <w:szCs w:val="20"/>
              </w:rPr>
              <w:t xml:space="preserve">income countries (MICs) in continuing development process in a </w:t>
            </w:r>
            <w:r w:rsidR="005F5493" w:rsidRPr="00E97620">
              <w:rPr>
                <w:sz w:val="20"/>
                <w:szCs w:val="20"/>
              </w:rPr>
              <w:t>fundamentally</w:t>
            </w:r>
            <w:r w:rsidR="00B91FB2" w:rsidRPr="00E97620">
              <w:rPr>
                <w:sz w:val="20"/>
                <w:szCs w:val="20"/>
              </w:rPr>
              <w:t xml:space="preserve"> different financing environment, UNDP </w:t>
            </w:r>
            <w:r w:rsidR="00E462D7" w:rsidRPr="00E97620">
              <w:rPr>
                <w:sz w:val="20"/>
                <w:szCs w:val="20"/>
              </w:rPr>
              <w:t xml:space="preserve">will consider continuing to undertake </w:t>
            </w:r>
            <w:r w:rsidR="008E473A" w:rsidRPr="00E97620">
              <w:rPr>
                <w:sz w:val="20"/>
                <w:szCs w:val="20"/>
              </w:rPr>
              <w:t>development finance assessments</w:t>
            </w:r>
            <w:r w:rsidR="00B91FB2" w:rsidRPr="00E97620">
              <w:rPr>
                <w:sz w:val="20"/>
                <w:szCs w:val="20"/>
              </w:rPr>
              <w:t xml:space="preserve"> </w:t>
            </w:r>
            <w:r w:rsidR="00E462D7" w:rsidRPr="00E97620">
              <w:rPr>
                <w:sz w:val="20"/>
                <w:szCs w:val="20"/>
              </w:rPr>
              <w:t>in MICs</w:t>
            </w:r>
            <w:r w:rsidR="00B91FB2" w:rsidRPr="00E97620">
              <w:rPr>
                <w:sz w:val="20"/>
                <w:szCs w:val="20"/>
              </w:rPr>
              <w:t>.</w:t>
            </w:r>
          </w:p>
          <w:p w14:paraId="0E7B575A" w14:textId="165AEC68" w:rsidR="00B91FB2" w:rsidRPr="00E97620" w:rsidRDefault="00B91FB2" w:rsidP="000C7037">
            <w:pPr>
              <w:spacing w:after="120"/>
              <w:jc w:val="both"/>
              <w:rPr>
                <w:sz w:val="20"/>
                <w:szCs w:val="20"/>
              </w:rPr>
            </w:pPr>
            <w:r w:rsidRPr="00E97620">
              <w:rPr>
                <w:sz w:val="20"/>
                <w:szCs w:val="20"/>
              </w:rPr>
              <w:t xml:space="preserve">The new </w:t>
            </w:r>
            <w:hyperlink r:id="rId23" w:history="1">
              <w:r w:rsidRPr="00E97620">
                <w:rPr>
                  <w:rStyle w:val="Hyperlink"/>
                  <w:sz w:val="20"/>
                  <w:szCs w:val="20"/>
                </w:rPr>
                <w:t>UNDAF guidance</w:t>
              </w:r>
            </w:hyperlink>
            <w:r w:rsidRPr="00E97620">
              <w:rPr>
                <w:sz w:val="20"/>
                <w:szCs w:val="20"/>
              </w:rPr>
              <w:t>, issued in February 2017, informs UNDP programming in MICs and focus</w:t>
            </w:r>
            <w:r w:rsidR="008E473A" w:rsidRPr="00E97620">
              <w:rPr>
                <w:sz w:val="20"/>
                <w:szCs w:val="20"/>
              </w:rPr>
              <w:t>es</w:t>
            </w:r>
            <w:r w:rsidRPr="00E97620">
              <w:rPr>
                <w:sz w:val="20"/>
                <w:szCs w:val="20"/>
              </w:rPr>
              <w:t xml:space="preserve"> on </w:t>
            </w:r>
            <w:r w:rsidR="008E473A" w:rsidRPr="00E97620">
              <w:rPr>
                <w:sz w:val="20"/>
                <w:szCs w:val="20"/>
              </w:rPr>
              <w:t xml:space="preserve">alignment </w:t>
            </w:r>
            <w:r w:rsidRPr="00E97620">
              <w:rPr>
                <w:sz w:val="20"/>
                <w:szCs w:val="20"/>
              </w:rPr>
              <w:t xml:space="preserve">with global frameworks, in particular the 2030 Agenda and </w:t>
            </w:r>
            <w:r w:rsidR="00480517" w:rsidRPr="00E97620">
              <w:rPr>
                <w:sz w:val="20"/>
                <w:szCs w:val="20"/>
              </w:rPr>
              <w:t>Addis Ababa Agenda for Action</w:t>
            </w:r>
            <w:r w:rsidRPr="00E97620">
              <w:rPr>
                <w:sz w:val="20"/>
                <w:szCs w:val="20"/>
              </w:rPr>
              <w:t xml:space="preserve">. The guidance </w:t>
            </w:r>
            <w:r w:rsidR="008E473A" w:rsidRPr="00E97620">
              <w:rPr>
                <w:sz w:val="20"/>
                <w:szCs w:val="20"/>
              </w:rPr>
              <w:t xml:space="preserve">prioritizes </w:t>
            </w:r>
            <w:r w:rsidRPr="00E97620">
              <w:rPr>
                <w:sz w:val="20"/>
                <w:szCs w:val="20"/>
              </w:rPr>
              <w:t xml:space="preserve">leaving no one behind and financing strategies that ensure continuity in pursuit of the </w:t>
            </w:r>
            <w:r w:rsidR="008E473A" w:rsidRPr="00E97620">
              <w:rPr>
                <w:sz w:val="20"/>
                <w:szCs w:val="20"/>
              </w:rPr>
              <w:t>Sustainable Development Goals</w:t>
            </w:r>
            <w:r w:rsidRPr="00E97620">
              <w:rPr>
                <w:sz w:val="20"/>
                <w:szCs w:val="20"/>
              </w:rPr>
              <w:t xml:space="preserve">. </w:t>
            </w:r>
            <w:r w:rsidR="00E462D7" w:rsidRPr="00E97620">
              <w:rPr>
                <w:sz w:val="20"/>
                <w:szCs w:val="20"/>
              </w:rPr>
              <w:t xml:space="preserve">UNDP will continue supporting </w:t>
            </w:r>
            <w:hyperlink r:id="rId24" w:history="1">
              <w:r w:rsidR="00E462D7" w:rsidRPr="00E97620">
                <w:rPr>
                  <w:rStyle w:val="Hyperlink"/>
                  <w:sz w:val="20"/>
                  <w:szCs w:val="20"/>
                </w:rPr>
                <w:t>l</w:t>
              </w:r>
              <w:r w:rsidR="004C47C1" w:rsidRPr="00E97620">
                <w:rPr>
                  <w:rStyle w:val="Hyperlink"/>
                  <w:sz w:val="20"/>
                  <w:szCs w:val="20"/>
                </w:rPr>
                <w:t>ocalization</w:t>
              </w:r>
              <w:r w:rsidRPr="00E97620">
                <w:rPr>
                  <w:rStyle w:val="Hyperlink"/>
                  <w:sz w:val="20"/>
                  <w:szCs w:val="20"/>
                </w:rPr>
                <w:t xml:space="preserve"> of the 2030 Agenda</w:t>
              </w:r>
            </w:hyperlink>
            <w:r w:rsidRPr="00E97620">
              <w:rPr>
                <w:sz w:val="20"/>
                <w:szCs w:val="20"/>
              </w:rPr>
              <w:t xml:space="preserve"> </w:t>
            </w:r>
            <w:r w:rsidR="00E462D7" w:rsidRPr="00E97620">
              <w:rPr>
                <w:sz w:val="20"/>
                <w:szCs w:val="20"/>
              </w:rPr>
              <w:t xml:space="preserve">as </w:t>
            </w:r>
            <w:r w:rsidRPr="00E97620">
              <w:rPr>
                <w:sz w:val="20"/>
                <w:szCs w:val="20"/>
              </w:rPr>
              <w:t xml:space="preserve">a central focus of support through the MAPS approach. </w:t>
            </w:r>
          </w:p>
        </w:tc>
      </w:tr>
      <w:tr w:rsidR="00DE5588" w:rsidRPr="00E97620" w14:paraId="6B6B84EF" w14:textId="77777777" w:rsidTr="00C70D28">
        <w:trPr>
          <w:trHeight w:val="300"/>
        </w:trPr>
        <w:tc>
          <w:tcPr>
            <w:tcW w:w="2393" w:type="dxa"/>
            <w:hideMark/>
          </w:tcPr>
          <w:p w14:paraId="6E8F93B8" w14:textId="6D791AEC" w:rsidR="00AD0E4B" w:rsidRPr="00E97620" w:rsidRDefault="00AD0E4B" w:rsidP="00E462D7">
            <w:pPr>
              <w:rPr>
                <w:sz w:val="20"/>
                <w:szCs w:val="20"/>
              </w:rPr>
            </w:pPr>
            <w:r w:rsidRPr="00E97620">
              <w:rPr>
                <w:sz w:val="20"/>
                <w:szCs w:val="20"/>
              </w:rPr>
              <w:t xml:space="preserve">Continue to support formulation and implementation of UNDAFs addressing context specific challenges and leaving no-one behind </w:t>
            </w:r>
          </w:p>
        </w:tc>
        <w:tc>
          <w:tcPr>
            <w:tcW w:w="2393" w:type="dxa"/>
            <w:gridSpan w:val="3"/>
            <w:hideMark/>
          </w:tcPr>
          <w:p w14:paraId="1522E9DD" w14:textId="5A0AB1AA" w:rsidR="00AD0E4B" w:rsidRPr="00E97620" w:rsidRDefault="00AD0E4B" w:rsidP="00A508D7">
            <w:pPr>
              <w:rPr>
                <w:sz w:val="20"/>
                <w:szCs w:val="20"/>
              </w:rPr>
            </w:pPr>
            <w:r w:rsidRPr="00E97620">
              <w:rPr>
                <w:rFonts w:eastAsia="Calibri"/>
                <w:sz w:val="20"/>
                <w:szCs w:val="20"/>
              </w:rPr>
              <w:t>Ongoing</w:t>
            </w:r>
          </w:p>
        </w:tc>
        <w:tc>
          <w:tcPr>
            <w:tcW w:w="2393" w:type="dxa"/>
            <w:gridSpan w:val="3"/>
            <w:hideMark/>
          </w:tcPr>
          <w:p w14:paraId="0995AF8D" w14:textId="77777777" w:rsidR="00AD0E4B" w:rsidRPr="00E97620" w:rsidRDefault="00AD0E4B" w:rsidP="0048511B">
            <w:pPr>
              <w:rPr>
                <w:rFonts w:eastAsia="Calibri"/>
                <w:sz w:val="20"/>
                <w:szCs w:val="20"/>
              </w:rPr>
            </w:pPr>
            <w:r w:rsidRPr="00E97620">
              <w:rPr>
                <w:rFonts w:eastAsia="Calibri"/>
                <w:sz w:val="20"/>
                <w:szCs w:val="20"/>
              </w:rPr>
              <w:t xml:space="preserve">Country offices; </w:t>
            </w:r>
          </w:p>
          <w:p w14:paraId="4E7C5DE2" w14:textId="724B048C" w:rsidR="00AD0E4B" w:rsidRPr="00E97620" w:rsidRDefault="00AD0E4B" w:rsidP="0048511B">
            <w:pPr>
              <w:rPr>
                <w:rFonts w:eastAsia="Calibri"/>
                <w:sz w:val="20"/>
                <w:szCs w:val="20"/>
              </w:rPr>
            </w:pPr>
            <w:r w:rsidRPr="00E97620">
              <w:rPr>
                <w:rFonts w:eastAsia="Calibri"/>
                <w:sz w:val="20"/>
                <w:szCs w:val="20"/>
              </w:rPr>
              <w:t xml:space="preserve">tools development: BPPS and Articulation of Territorial </w:t>
            </w:r>
            <w:r w:rsidR="00FC6097" w:rsidRPr="00E97620">
              <w:rPr>
                <w:rFonts w:eastAsia="Calibri"/>
                <w:sz w:val="20"/>
                <w:szCs w:val="20"/>
              </w:rPr>
              <w:t>Networks Initiative</w:t>
            </w:r>
          </w:p>
          <w:p w14:paraId="007343CA" w14:textId="35EE4BB4" w:rsidR="00AD0E4B" w:rsidRPr="00E97620" w:rsidRDefault="00AD0E4B" w:rsidP="00343F24">
            <w:pPr>
              <w:rPr>
                <w:sz w:val="20"/>
                <w:szCs w:val="20"/>
              </w:rPr>
            </w:pPr>
            <w:r w:rsidRPr="00E97620">
              <w:rPr>
                <w:rFonts w:eastAsia="Calibri"/>
                <w:sz w:val="20"/>
                <w:szCs w:val="20"/>
              </w:rPr>
              <w:t xml:space="preserve">Regional </w:t>
            </w:r>
            <w:r w:rsidR="00343F24" w:rsidRPr="00E97620">
              <w:rPr>
                <w:rFonts w:eastAsia="Calibri"/>
                <w:sz w:val="20"/>
                <w:szCs w:val="20"/>
              </w:rPr>
              <w:t>bureaux</w:t>
            </w:r>
            <w:r w:rsidRPr="00E97620">
              <w:rPr>
                <w:rFonts w:eastAsia="Calibri"/>
                <w:sz w:val="20"/>
                <w:szCs w:val="20"/>
              </w:rPr>
              <w:t xml:space="preserve">: </w:t>
            </w:r>
            <w:r w:rsidR="00343F24" w:rsidRPr="00E97620">
              <w:rPr>
                <w:rFonts w:eastAsia="Calibri"/>
                <w:sz w:val="20"/>
                <w:szCs w:val="20"/>
              </w:rPr>
              <w:t xml:space="preserve">country programme </w:t>
            </w:r>
            <w:r w:rsidRPr="00E97620">
              <w:rPr>
                <w:rFonts w:eastAsia="Calibri"/>
                <w:sz w:val="20"/>
                <w:szCs w:val="20"/>
              </w:rPr>
              <w:t xml:space="preserve">development tailored to national contexts and aligned to the Strategic Plan. </w:t>
            </w:r>
          </w:p>
        </w:tc>
        <w:tc>
          <w:tcPr>
            <w:tcW w:w="2393" w:type="dxa"/>
            <w:gridSpan w:val="3"/>
            <w:hideMark/>
          </w:tcPr>
          <w:p w14:paraId="60FC3C13" w14:textId="77777777" w:rsidR="00AD0E4B" w:rsidRPr="00E97620" w:rsidRDefault="00AD0E4B" w:rsidP="00A508D7">
            <w:pPr>
              <w:rPr>
                <w:sz w:val="20"/>
                <w:szCs w:val="20"/>
              </w:rPr>
            </w:pPr>
          </w:p>
        </w:tc>
        <w:tc>
          <w:tcPr>
            <w:tcW w:w="2393" w:type="dxa"/>
            <w:gridSpan w:val="3"/>
            <w:hideMark/>
          </w:tcPr>
          <w:p w14:paraId="47999EBD" w14:textId="77777777" w:rsidR="00AD0E4B" w:rsidRPr="00E97620" w:rsidRDefault="00AD0E4B" w:rsidP="00A508D7">
            <w:pPr>
              <w:rPr>
                <w:sz w:val="20"/>
                <w:szCs w:val="20"/>
              </w:rPr>
            </w:pPr>
          </w:p>
        </w:tc>
      </w:tr>
      <w:tr w:rsidR="00DE5588" w:rsidRPr="00E97620" w14:paraId="2DD15229" w14:textId="77777777" w:rsidTr="00C70D28">
        <w:trPr>
          <w:trHeight w:val="1279"/>
        </w:trPr>
        <w:tc>
          <w:tcPr>
            <w:tcW w:w="2393" w:type="dxa"/>
            <w:tcBorders>
              <w:bottom w:val="single" w:sz="4" w:space="0" w:color="auto"/>
            </w:tcBorders>
            <w:hideMark/>
          </w:tcPr>
          <w:p w14:paraId="16D7C195" w14:textId="11DB19E0" w:rsidR="00B91FB2" w:rsidRPr="00E97620" w:rsidRDefault="00B91FB2" w:rsidP="008677CE">
            <w:pPr>
              <w:rPr>
                <w:sz w:val="20"/>
                <w:szCs w:val="20"/>
              </w:rPr>
            </w:pPr>
            <w:r w:rsidRPr="00E97620">
              <w:rPr>
                <w:sz w:val="20"/>
                <w:szCs w:val="20"/>
              </w:rPr>
              <w:t xml:space="preserve">Conduct </w:t>
            </w:r>
            <w:r w:rsidR="00AB0A72" w:rsidRPr="00E97620">
              <w:rPr>
                <w:sz w:val="20"/>
                <w:szCs w:val="20"/>
              </w:rPr>
              <w:t xml:space="preserve">development finance assessments </w:t>
            </w:r>
            <w:r w:rsidRPr="00E97620">
              <w:rPr>
                <w:sz w:val="20"/>
                <w:szCs w:val="20"/>
              </w:rPr>
              <w:t xml:space="preserve">and support development of Integrated </w:t>
            </w:r>
            <w:r w:rsidR="002261FF" w:rsidRPr="00E97620">
              <w:rPr>
                <w:sz w:val="20"/>
                <w:szCs w:val="20"/>
              </w:rPr>
              <w:t>N</w:t>
            </w:r>
            <w:r w:rsidR="00AB0A72" w:rsidRPr="00E97620">
              <w:rPr>
                <w:sz w:val="20"/>
                <w:szCs w:val="20"/>
              </w:rPr>
              <w:t xml:space="preserve">ational </w:t>
            </w:r>
            <w:r w:rsidR="008677CE" w:rsidRPr="00E97620">
              <w:rPr>
                <w:sz w:val="20"/>
                <w:szCs w:val="20"/>
              </w:rPr>
              <w:t>F</w:t>
            </w:r>
            <w:r w:rsidR="00AB0A72" w:rsidRPr="00E97620">
              <w:rPr>
                <w:sz w:val="20"/>
                <w:szCs w:val="20"/>
              </w:rPr>
              <w:t xml:space="preserve">inancing </w:t>
            </w:r>
            <w:r w:rsidR="008677CE" w:rsidRPr="00E97620">
              <w:rPr>
                <w:sz w:val="20"/>
                <w:szCs w:val="20"/>
              </w:rPr>
              <w:t>F</w:t>
            </w:r>
            <w:r w:rsidR="00AB0A72" w:rsidRPr="00E97620">
              <w:rPr>
                <w:sz w:val="20"/>
                <w:szCs w:val="20"/>
              </w:rPr>
              <w:t xml:space="preserve">rameworks </w:t>
            </w:r>
            <w:r w:rsidRPr="00E97620">
              <w:rPr>
                <w:sz w:val="20"/>
                <w:szCs w:val="20"/>
              </w:rPr>
              <w:t xml:space="preserve">in line with </w:t>
            </w:r>
            <w:r w:rsidR="00343F24" w:rsidRPr="00E97620">
              <w:rPr>
                <w:sz w:val="20"/>
                <w:szCs w:val="20"/>
              </w:rPr>
              <w:t>the Addis Ababa Agenda for Action</w:t>
            </w:r>
          </w:p>
        </w:tc>
        <w:tc>
          <w:tcPr>
            <w:tcW w:w="2393" w:type="dxa"/>
            <w:gridSpan w:val="3"/>
            <w:tcBorders>
              <w:bottom w:val="single" w:sz="4" w:space="0" w:color="auto"/>
            </w:tcBorders>
            <w:hideMark/>
          </w:tcPr>
          <w:p w14:paraId="6E2A353C" w14:textId="77777777" w:rsidR="00B91FB2" w:rsidRPr="00E97620" w:rsidRDefault="00B91FB2" w:rsidP="00A508D7">
            <w:pPr>
              <w:rPr>
                <w:sz w:val="20"/>
                <w:szCs w:val="20"/>
              </w:rPr>
            </w:pPr>
            <w:r w:rsidRPr="00E97620">
              <w:rPr>
                <w:sz w:val="20"/>
                <w:szCs w:val="20"/>
              </w:rPr>
              <w:t> Ongoing</w:t>
            </w:r>
          </w:p>
        </w:tc>
        <w:tc>
          <w:tcPr>
            <w:tcW w:w="2393" w:type="dxa"/>
            <w:gridSpan w:val="3"/>
            <w:tcBorders>
              <w:bottom w:val="single" w:sz="4" w:space="0" w:color="auto"/>
            </w:tcBorders>
            <w:hideMark/>
          </w:tcPr>
          <w:p w14:paraId="64494345" w14:textId="3DD91706" w:rsidR="00B91FB2" w:rsidRPr="00E97620" w:rsidRDefault="00B91FB2" w:rsidP="0012551B">
            <w:pPr>
              <w:rPr>
                <w:sz w:val="20"/>
                <w:szCs w:val="20"/>
              </w:rPr>
            </w:pPr>
            <w:r w:rsidRPr="00E97620">
              <w:rPr>
                <w:sz w:val="20"/>
                <w:szCs w:val="20"/>
              </w:rPr>
              <w:t xml:space="preserve">BPPS, </w:t>
            </w:r>
            <w:r w:rsidR="00E21614">
              <w:rPr>
                <w:sz w:val="20"/>
                <w:szCs w:val="20"/>
              </w:rPr>
              <w:t>r</w:t>
            </w:r>
            <w:r w:rsidR="0012551B" w:rsidRPr="00E97620">
              <w:rPr>
                <w:sz w:val="20"/>
                <w:szCs w:val="20"/>
              </w:rPr>
              <w:t xml:space="preserve">egional </w:t>
            </w:r>
            <w:r w:rsidR="00AB0A72" w:rsidRPr="00E97620">
              <w:rPr>
                <w:sz w:val="20"/>
                <w:szCs w:val="20"/>
              </w:rPr>
              <w:t>bureaux, country offices</w:t>
            </w:r>
            <w:r w:rsidRPr="00E97620">
              <w:rPr>
                <w:sz w:val="20"/>
                <w:szCs w:val="20"/>
              </w:rPr>
              <w:t xml:space="preserve"> </w:t>
            </w:r>
          </w:p>
        </w:tc>
        <w:tc>
          <w:tcPr>
            <w:tcW w:w="2393" w:type="dxa"/>
            <w:gridSpan w:val="3"/>
            <w:tcBorders>
              <w:bottom w:val="single" w:sz="4" w:space="0" w:color="auto"/>
            </w:tcBorders>
            <w:hideMark/>
          </w:tcPr>
          <w:p w14:paraId="69A68D4C" w14:textId="77777777" w:rsidR="00B91FB2" w:rsidRPr="00E97620" w:rsidRDefault="00B91FB2" w:rsidP="00A508D7">
            <w:pPr>
              <w:rPr>
                <w:sz w:val="20"/>
                <w:szCs w:val="20"/>
              </w:rPr>
            </w:pPr>
            <w:r w:rsidRPr="00E97620">
              <w:rPr>
                <w:sz w:val="20"/>
                <w:szCs w:val="20"/>
              </w:rPr>
              <w:t> </w:t>
            </w:r>
          </w:p>
        </w:tc>
        <w:tc>
          <w:tcPr>
            <w:tcW w:w="2393" w:type="dxa"/>
            <w:gridSpan w:val="3"/>
            <w:tcBorders>
              <w:bottom w:val="single" w:sz="4" w:space="0" w:color="auto"/>
            </w:tcBorders>
            <w:hideMark/>
          </w:tcPr>
          <w:p w14:paraId="358797A5" w14:textId="77777777" w:rsidR="00B91FB2" w:rsidRPr="00E97620" w:rsidRDefault="00B91FB2" w:rsidP="00A508D7">
            <w:pPr>
              <w:rPr>
                <w:sz w:val="20"/>
                <w:szCs w:val="20"/>
              </w:rPr>
            </w:pPr>
            <w:r w:rsidRPr="00E97620">
              <w:rPr>
                <w:sz w:val="20"/>
                <w:szCs w:val="20"/>
              </w:rPr>
              <w:t> </w:t>
            </w:r>
          </w:p>
        </w:tc>
      </w:tr>
      <w:tr w:rsidR="00B91FB2" w:rsidRPr="00E97620" w14:paraId="6264F82C" w14:textId="77777777" w:rsidTr="00C70D28">
        <w:trPr>
          <w:trHeight w:val="300"/>
        </w:trPr>
        <w:tc>
          <w:tcPr>
            <w:tcW w:w="11965" w:type="dxa"/>
            <w:gridSpan w:val="13"/>
            <w:tcBorders>
              <w:top w:val="single" w:sz="4" w:space="0" w:color="auto"/>
            </w:tcBorders>
            <w:shd w:val="clear" w:color="auto" w:fill="D9D9D9" w:themeFill="background1" w:themeFillShade="D9"/>
            <w:hideMark/>
          </w:tcPr>
          <w:p w14:paraId="2E829398" w14:textId="77777777" w:rsidR="00B91FB2" w:rsidRPr="00E97620" w:rsidRDefault="00B91FB2" w:rsidP="00A508D7">
            <w:pPr>
              <w:rPr>
                <w:b/>
                <w:bCs/>
                <w:sz w:val="20"/>
                <w:szCs w:val="20"/>
              </w:rPr>
            </w:pPr>
            <w:r w:rsidRPr="00E97620">
              <w:rPr>
                <w:b/>
                <w:bCs/>
                <w:sz w:val="20"/>
                <w:szCs w:val="20"/>
              </w:rPr>
              <w:t>Recommendation 4</w:t>
            </w:r>
          </w:p>
        </w:tc>
      </w:tr>
      <w:tr w:rsidR="00B91FB2" w:rsidRPr="00E97620" w14:paraId="4D9CB0E8" w14:textId="77777777" w:rsidTr="00C70D28">
        <w:trPr>
          <w:trHeight w:val="345"/>
        </w:trPr>
        <w:tc>
          <w:tcPr>
            <w:tcW w:w="11965" w:type="dxa"/>
            <w:gridSpan w:val="13"/>
            <w:hideMark/>
          </w:tcPr>
          <w:p w14:paraId="29FC42D5" w14:textId="580C98B5" w:rsidR="00B91FB2" w:rsidRPr="00E97620" w:rsidRDefault="00AB0A72" w:rsidP="000C7037">
            <w:pPr>
              <w:spacing w:after="120"/>
              <w:jc w:val="both"/>
              <w:rPr>
                <w:sz w:val="20"/>
                <w:szCs w:val="20"/>
              </w:rPr>
            </w:pPr>
            <w:r w:rsidRPr="00E97620">
              <w:rPr>
                <w:sz w:val="20"/>
                <w:szCs w:val="20"/>
              </w:rPr>
              <w:t xml:space="preserve"> UNDP should strongly emphasize its climate change adaptation capabilities and services in the next strategic plan. The UNDP national and subnational scope of service, capabilities for urban and rural development planning, governance and risk assessment, experience managing multi-partner trust funds and decades of environmental protection and disaster risk reduction and recovery work provide a platform from which to ably assist national and subnational governments to meet this global development challenge. Specific attention should be paid to the climate change adaptation and disaster risk reduction linkages.</w:t>
            </w:r>
          </w:p>
        </w:tc>
      </w:tr>
      <w:tr w:rsidR="00B91FB2" w:rsidRPr="00E97620" w14:paraId="1AC28A80" w14:textId="77777777" w:rsidTr="00C70D28">
        <w:trPr>
          <w:trHeight w:val="721"/>
        </w:trPr>
        <w:tc>
          <w:tcPr>
            <w:tcW w:w="11965" w:type="dxa"/>
            <w:gridSpan w:val="13"/>
            <w:hideMark/>
          </w:tcPr>
          <w:p w14:paraId="6C38FE17" w14:textId="77777777" w:rsidR="00B91450" w:rsidRPr="00E97620" w:rsidRDefault="00B91FB2" w:rsidP="000C7037">
            <w:pPr>
              <w:spacing w:after="120"/>
              <w:rPr>
                <w:sz w:val="20"/>
                <w:szCs w:val="20"/>
              </w:rPr>
            </w:pPr>
            <w:r w:rsidRPr="00E97620">
              <w:rPr>
                <w:b/>
                <w:bCs/>
                <w:sz w:val="20"/>
                <w:szCs w:val="20"/>
              </w:rPr>
              <w:t>Management response:</w:t>
            </w:r>
            <w:r w:rsidRPr="00E97620">
              <w:rPr>
                <w:sz w:val="20"/>
                <w:szCs w:val="20"/>
              </w:rPr>
              <w:t xml:space="preserve"> </w:t>
            </w:r>
          </w:p>
          <w:p w14:paraId="75D0A684" w14:textId="77777777" w:rsidR="000C7037" w:rsidRDefault="009E5999" w:rsidP="000C7037">
            <w:pPr>
              <w:spacing w:after="120"/>
              <w:rPr>
                <w:sz w:val="20"/>
                <w:szCs w:val="20"/>
              </w:rPr>
            </w:pPr>
            <w:r w:rsidRPr="00E97620">
              <w:rPr>
                <w:color w:val="000000" w:themeColor="text1"/>
                <w:sz w:val="20"/>
                <w:szCs w:val="20"/>
              </w:rPr>
              <w:t>UNDP m</w:t>
            </w:r>
            <w:r w:rsidR="00E462D7" w:rsidRPr="00E97620">
              <w:rPr>
                <w:color w:val="000000" w:themeColor="text1"/>
                <w:sz w:val="20"/>
                <w:szCs w:val="20"/>
              </w:rPr>
              <w:t>anagement agrees</w:t>
            </w:r>
            <w:r w:rsidR="008B7C56" w:rsidRPr="00E97620">
              <w:rPr>
                <w:color w:val="000000" w:themeColor="text1"/>
                <w:sz w:val="20"/>
                <w:szCs w:val="20"/>
              </w:rPr>
              <w:t xml:space="preserve"> with the recommendation and </w:t>
            </w:r>
            <w:r w:rsidR="00E462D7" w:rsidRPr="00E97620">
              <w:rPr>
                <w:color w:val="000000" w:themeColor="text1"/>
                <w:sz w:val="20"/>
                <w:szCs w:val="20"/>
              </w:rPr>
              <w:t xml:space="preserve">intends </w:t>
            </w:r>
            <w:r w:rsidR="008B7C56" w:rsidRPr="00E97620">
              <w:rPr>
                <w:color w:val="000000" w:themeColor="text1"/>
                <w:sz w:val="20"/>
                <w:szCs w:val="20"/>
              </w:rPr>
              <w:t xml:space="preserve">to </w:t>
            </w:r>
            <w:r w:rsidR="00B91FB2" w:rsidRPr="00E97620">
              <w:rPr>
                <w:color w:val="000000" w:themeColor="text1"/>
                <w:sz w:val="20"/>
                <w:szCs w:val="20"/>
              </w:rPr>
              <w:t>expand</w:t>
            </w:r>
            <w:r w:rsidR="00ED5869" w:rsidRPr="00E97620">
              <w:rPr>
                <w:color w:val="000000" w:themeColor="text1"/>
                <w:sz w:val="20"/>
                <w:szCs w:val="20"/>
              </w:rPr>
              <w:t xml:space="preserve"> its</w:t>
            </w:r>
            <w:r w:rsidR="00B91FB2" w:rsidRPr="00E97620">
              <w:rPr>
                <w:color w:val="000000" w:themeColor="text1"/>
                <w:sz w:val="20"/>
                <w:szCs w:val="20"/>
              </w:rPr>
              <w:t xml:space="preserve"> work in the area of adaptation</w:t>
            </w:r>
            <w:r w:rsidR="00ED5869" w:rsidRPr="00E97620">
              <w:rPr>
                <w:color w:val="000000" w:themeColor="text1"/>
                <w:sz w:val="20"/>
                <w:szCs w:val="20"/>
              </w:rPr>
              <w:t xml:space="preserve">, </w:t>
            </w:r>
            <w:r w:rsidR="00B91FB2" w:rsidRPr="00E97620">
              <w:rPr>
                <w:color w:val="000000" w:themeColor="text1"/>
                <w:sz w:val="20"/>
                <w:szCs w:val="20"/>
              </w:rPr>
              <w:t xml:space="preserve">in close coordination and synergy with disaster risk reduction </w:t>
            </w:r>
            <w:r w:rsidR="00AB0A72" w:rsidRPr="00E97620">
              <w:rPr>
                <w:color w:val="000000" w:themeColor="text1"/>
                <w:sz w:val="20"/>
                <w:szCs w:val="20"/>
              </w:rPr>
              <w:t xml:space="preserve">(DRR) </w:t>
            </w:r>
            <w:r w:rsidR="00B91FB2" w:rsidRPr="00E97620">
              <w:rPr>
                <w:color w:val="000000" w:themeColor="text1"/>
                <w:sz w:val="20"/>
                <w:szCs w:val="20"/>
              </w:rPr>
              <w:t xml:space="preserve">efforts. </w:t>
            </w:r>
            <w:r w:rsidR="007324C1" w:rsidRPr="00E97620">
              <w:rPr>
                <w:sz w:val="20"/>
                <w:szCs w:val="20"/>
              </w:rPr>
              <w:t>As the evaluation acknowledged,</w:t>
            </w:r>
            <w:r w:rsidR="00B91FB2" w:rsidRPr="00E97620">
              <w:rPr>
                <w:sz w:val="20"/>
                <w:szCs w:val="20"/>
              </w:rPr>
              <w:t xml:space="preserve"> there has been good progress in linking the DRR and adaptation portfolios at country and regional levels</w:t>
            </w:r>
            <w:r w:rsidR="00AB0A72" w:rsidRPr="00E97620">
              <w:rPr>
                <w:sz w:val="20"/>
                <w:szCs w:val="20"/>
              </w:rPr>
              <w:t xml:space="preserve">, which </w:t>
            </w:r>
            <w:r w:rsidR="00B91FB2" w:rsidRPr="00E97620">
              <w:rPr>
                <w:sz w:val="20"/>
                <w:szCs w:val="20"/>
              </w:rPr>
              <w:t>could be further systematized and institutionalized throughout all of UNDP.</w:t>
            </w:r>
          </w:p>
          <w:p w14:paraId="14D8E0F8" w14:textId="63A61717" w:rsidR="00084E62" w:rsidRPr="00E97620" w:rsidRDefault="00AB0A72" w:rsidP="000C7037">
            <w:pPr>
              <w:spacing w:after="120"/>
              <w:jc w:val="both"/>
              <w:rPr>
                <w:sz w:val="20"/>
                <w:szCs w:val="20"/>
              </w:rPr>
            </w:pPr>
            <w:r w:rsidRPr="00E97620">
              <w:rPr>
                <w:sz w:val="20"/>
                <w:szCs w:val="20"/>
              </w:rPr>
              <w:t xml:space="preserve">In response to </w:t>
            </w:r>
            <w:r w:rsidR="00B91FB2" w:rsidRPr="00E97620">
              <w:rPr>
                <w:sz w:val="20"/>
                <w:szCs w:val="20"/>
              </w:rPr>
              <w:t>the growing demand</w:t>
            </w:r>
            <w:r w:rsidRPr="00E97620">
              <w:rPr>
                <w:sz w:val="20"/>
                <w:szCs w:val="20"/>
              </w:rPr>
              <w:t>s</w:t>
            </w:r>
            <w:r w:rsidR="00B91FB2" w:rsidRPr="00E97620">
              <w:rPr>
                <w:sz w:val="20"/>
                <w:szCs w:val="20"/>
              </w:rPr>
              <w:t xml:space="preserve"> to support climate action and </w:t>
            </w:r>
            <w:r w:rsidRPr="00E97620">
              <w:rPr>
                <w:sz w:val="20"/>
                <w:szCs w:val="20"/>
              </w:rPr>
              <w:t>DRR</w:t>
            </w:r>
            <w:r w:rsidR="00B91FB2" w:rsidRPr="00E97620">
              <w:rPr>
                <w:sz w:val="20"/>
                <w:szCs w:val="20"/>
              </w:rPr>
              <w:t xml:space="preserve">, UNDP has already scaled up </w:t>
            </w:r>
            <w:r w:rsidR="00E462D7" w:rsidRPr="00E97620">
              <w:rPr>
                <w:sz w:val="20"/>
                <w:szCs w:val="20"/>
              </w:rPr>
              <w:t>and</w:t>
            </w:r>
            <w:r w:rsidR="00B91FB2" w:rsidRPr="00E97620">
              <w:rPr>
                <w:sz w:val="20"/>
                <w:szCs w:val="20"/>
              </w:rPr>
              <w:t xml:space="preserve"> expand</w:t>
            </w:r>
            <w:r w:rsidR="00E462D7" w:rsidRPr="00E97620">
              <w:rPr>
                <w:sz w:val="20"/>
                <w:szCs w:val="20"/>
              </w:rPr>
              <w:t>ed</w:t>
            </w:r>
            <w:r w:rsidR="00B91FB2" w:rsidRPr="00E97620">
              <w:rPr>
                <w:sz w:val="20"/>
                <w:szCs w:val="20"/>
              </w:rPr>
              <w:t xml:space="preserve"> assistance to countries to integrate climate change adaptation and </w:t>
            </w:r>
            <w:r w:rsidRPr="00E97620">
              <w:rPr>
                <w:sz w:val="20"/>
                <w:szCs w:val="20"/>
              </w:rPr>
              <w:t>DRR</w:t>
            </w:r>
            <w:r w:rsidR="00B91FB2" w:rsidRPr="00E97620">
              <w:rPr>
                <w:sz w:val="20"/>
                <w:szCs w:val="20"/>
              </w:rPr>
              <w:t xml:space="preserve"> into their subnational/national policies, plans, and strategies. Efforts towards integrated approaches to climate change adaptation and </w:t>
            </w:r>
            <w:r w:rsidRPr="00E97620">
              <w:rPr>
                <w:sz w:val="20"/>
                <w:szCs w:val="20"/>
              </w:rPr>
              <w:t>DRR</w:t>
            </w:r>
            <w:r w:rsidR="00B91FB2" w:rsidRPr="00E97620">
              <w:rPr>
                <w:sz w:val="20"/>
                <w:szCs w:val="20"/>
              </w:rPr>
              <w:t xml:space="preserve"> are being pursued in various regional and country programmes and projects. </w:t>
            </w:r>
            <w:r w:rsidR="00084E62" w:rsidRPr="00E97620">
              <w:rPr>
                <w:color w:val="000000"/>
                <w:sz w:val="20"/>
                <w:szCs w:val="20"/>
              </w:rPr>
              <w:t xml:space="preserve">As the </w:t>
            </w:r>
            <w:r w:rsidR="00343F24" w:rsidRPr="00E97620">
              <w:rPr>
                <w:color w:val="000000"/>
                <w:sz w:val="20"/>
                <w:szCs w:val="20"/>
              </w:rPr>
              <w:t>co</w:t>
            </w:r>
            <w:r w:rsidR="00084E62" w:rsidRPr="00E97620">
              <w:rPr>
                <w:color w:val="000000"/>
                <w:sz w:val="20"/>
                <w:szCs w:val="20"/>
              </w:rPr>
              <w:t>-</w:t>
            </w:r>
            <w:r w:rsidR="00343F24" w:rsidRPr="00E97620">
              <w:rPr>
                <w:color w:val="000000"/>
                <w:sz w:val="20"/>
                <w:szCs w:val="20"/>
              </w:rPr>
              <w:t xml:space="preserve">facilitator </w:t>
            </w:r>
            <w:r w:rsidR="00084E62" w:rsidRPr="00E97620">
              <w:rPr>
                <w:color w:val="000000"/>
                <w:sz w:val="20"/>
                <w:szCs w:val="20"/>
              </w:rPr>
              <w:t>of the</w:t>
            </w:r>
            <w:r w:rsidR="00084E62" w:rsidRPr="00E97620">
              <w:rPr>
                <w:rStyle w:val="apple-converted-space"/>
                <w:color w:val="000000"/>
                <w:sz w:val="20"/>
                <w:szCs w:val="20"/>
              </w:rPr>
              <w:t> </w:t>
            </w:r>
            <w:hyperlink r:id="rId25" w:history="1">
              <w:r w:rsidR="00084E62" w:rsidRPr="00E97620">
                <w:rPr>
                  <w:rStyle w:val="Hyperlink"/>
                  <w:sz w:val="20"/>
                  <w:szCs w:val="20"/>
                </w:rPr>
                <w:t>U</w:t>
              </w:r>
              <w:r w:rsidR="00343F24" w:rsidRPr="00E97620">
                <w:rPr>
                  <w:rStyle w:val="Hyperlink"/>
                  <w:sz w:val="20"/>
                  <w:szCs w:val="20"/>
                </w:rPr>
                <w:t xml:space="preserve">nited </w:t>
              </w:r>
              <w:r w:rsidR="00084E62" w:rsidRPr="00E97620">
                <w:rPr>
                  <w:rStyle w:val="Hyperlink"/>
                  <w:sz w:val="20"/>
                  <w:szCs w:val="20"/>
                </w:rPr>
                <w:t>N</w:t>
              </w:r>
              <w:r w:rsidR="00343F24" w:rsidRPr="00E97620">
                <w:rPr>
                  <w:rStyle w:val="Hyperlink"/>
                  <w:sz w:val="20"/>
                  <w:szCs w:val="20"/>
                </w:rPr>
                <w:t>ations</w:t>
              </w:r>
              <w:r w:rsidR="00084E62" w:rsidRPr="00E97620">
                <w:rPr>
                  <w:rStyle w:val="Hyperlink"/>
                  <w:sz w:val="20"/>
                  <w:szCs w:val="20"/>
                </w:rPr>
                <w:t xml:space="preserve"> System Strategic Approach on Climate Change Action</w:t>
              </w:r>
            </w:hyperlink>
            <w:r w:rsidR="00084E62" w:rsidRPr="00E97620">
              <w:rPr>
                <w:color w:val="000000"/>
                <w:sz w:val="20"/>
                <w:szCs w:val="20"/>
              </w:rPr>
              <w:t>, member of the Climate Principals Group and member of the Climate Core Group</w:t>
            </w:r>
            <w:r w:rsidR="000E496D" w:rsidRPr="00E97620">
              <w:rPr>
                <w:color w:val="000000"/>
                <w:sz w:val="20"/>
                <w:szCs w:val="20"/>
              </w:rPr>
              <w:t xml:space="preserve">, UNDP will further systematize and institutionalize this integrated approach throughout all policies, programmes and projects and its work with partner agencies and stakeholders. </w:t>
            </w:r>
            <w:r w:rsidR="00084E62" w:rsidRPr="00E97620">
              <w:rPr>
                <w:color w:val="000000"/>
                <w:sz w:val="20"/>
                <w:szCs w:val="20"/>
              </w:rPr>
              <w:t xml:space="preserve"> </w:t>
            </w:r>
          </w:p>
          <w:p w14:paraId="2D6870F7" w14:textId="69B4945B" w:rsidR="00B91FB2" w:rsidRPr="00E97620" w:rsidRDefault="00B91FB2" w:rsidP="000C7037">
            <w:pPr>
              <w:spacing w:after="120"/>
              <w:jc w:val="both"/>
              <w:rPr>
                <w:sz w:val="20"/>
                <w:szCs w:val="20"/>
              </w:rPr>
            </w:pPr>
            <w:r w:rsidRPr="00E97620">
              <w:rPr>
                <w:sz w:val="20"/>
                <w:szCs w:val="20"/>
              </w:rPr>
              <w:t xml:space="preserve">UNDP is playing an increasingly significant role in supporting countries </w:t>
            </w:r>
            <w:r w:rsidR="00865ECA" w:rsidRPr="00E97620">
              <w:rPr>
                <w:sz w:val="20"/>
                <w:szCs w:val="20"/>
              </w:rPr>
              <w:t xml:space="preserve">to </w:t>
            </w:r>
            <w:r w:rsidRPr="00E97620">
              <w:rPr>
                <w:sz w:val="20"/>
                <w:szCs w:val="20"/>
              </w:rPr>
              <w:t>mobilize climate finance, including th</w:t>
            </w:r>
            <w:r w:rsidR="0077523D" w:rsidRPr="00E97620">
              <w:rPr>
                <w:sz w:val="20"/>
                <w:szCs w:val="20"/>
              </w:rPr>
              <w:t>r</w:t>
            </w:r>
            <w:r w:rsidRPr="00E97620">
              <w:rPr>
                <w:sz w:val="20"/>
                <w:szCs w:val="20"/>
              </w:rPr>
              <w:t xml:space="preserve">ough the </w:t>
            </w:r>
            <w:r w:rsidR="00865ECA" w:rsidRPr="00E97620">
              <w:rPr>
                <w:sz w:val="20"/>
                <w:szCs w:val="20"/>
              </w:rPr>
              <w:t>GCF</w:t>
            </w:r>
            <w:r w:rsidRPr="00E97620">
              <w:rPr>
                <w:sz w:val="20"/>
                <w:szCs w:val="20"/>
              </w:rPr>
              <w:t>, to undertake adaptation actions for climate-resilient development. UNDP is uniquely positioned to accelerate adaptation services, building on it</w:t>
            </w:r>
            <w:r w:rsidR="0077523D" w:rsidRPr="00E97620">
              <w:rPr>
                <w:sz w:val="20"/>
                <w:szCs w:val="20"/>
              </w:rPr>
              <w:t>s</w:t>
            </w:r>
            <w:r w:rsidRPr="00E97620">
              <w:rPr>
                <w:sz w:val="20"/>
                <w:szCs w:val="20"/>
              </w:rPr>
              <w:t xml:space="preserve"> </w:t>
            </w:r>
            <w:r w:rsidR="00865ECA" w:rsidRPr="00E97620">
              <w:rPr>
                <w:sz w:val="20"/>
                <w:szCs w:val="20"/>
              </w:rPr>
              <w:t>decade-</w:t>
            </w:r>
            <w:r w:rsidRPr="00E97620">
              <w:rPr>
                <w:sz w:val="20"/>
                <w:szCs w:val="20"/>
              </w:rPr>
              <w:t xml:space="preserve">long portfolio, and has been expanding its technical capacity. For instance, GCF project development is being undertaken through expanded </w:t>
            </w:r>
            <w:r w:rsidR="00865ECA" w:rsidRPr="00E97620">
              <w:rPr>
                <w:sz w:val="20"/>
                <w:szCs w:val="20"/>
              </w:rPr>
              <w:t xml:space="preserve">task teams </w:t>
            </w:r>
            <w:r w:rsidRPr="00E97620">
              <w:rPr>
                <w:sz w:val="20"/>
                <w:szCs w:val="20"/>
              </w:rPr>
              <w:t xml:space="preserve">that include experts </w:t>
            </w:r>
            <w:r w:rsidR="00865ECA" w:rsidRPr="00E97620">
              <w:rPr>
                <w:sz w:val="20"/>
                <w:szCs w:val="20"/>
              </w:rPr>
              <w:t xml:space="preserve">from different </w:t>
            </w:r>
            <w:r w:rsidRPr="00E97620">
              <w:rPr>
                <w:sz w:val="20"/>
                <w:szCs w:val="20"/>
              </w:rPr>
              <w:t xml:space="preserve">technical areas </w:t>
            </w:r>
            <w:r w:rsidR="00865ECA" w:rsidRPr="00E97620">
              <w:rPr>
                <w:sz w:val="20"/>
                <w:szCs w:val="20"/>
              </w:rPr>
              <w:t>(</w:t>
            </w:r>
            <w:r w:rsidR="0077523D" w:rsidRPr="00E97620">
              <w:rPr>
                <w:sz w:val="20"/>
                <w:szCs w:val="20"/>
              </w:rPr>
              <w:t xml:space="preserve">social and environmental </w:t>
            </w:r>
            <w:r w:rsidRPr="00E97620">
              <w:rPr>
                <w:sz w:val="20"/>
                <w:szCs w:val="20"/>
              </w:rPr>
              <w:t>safeguards, gender and economic analysis</w:t>
            </w:r>
            <w:r w:rsidR="00865ECA" w:rsidRPr="00E97620">
              <w:rPr>
                <w:sz w:val="20"/>
                <w:szCs w:val="20"/>
              </w:rPr>
              <w:t>)</w:t>
            </w:r>
            <w:r w:rsidRPr="00E97620">
              <w:rPr>
                <w:sz w:val="20"/>
                <w:szCs w:val="20"/>
              </w:rPr>
              <w:t xml:space="preserve"> to support the scale and scope of adaptation investments </w:t>
            </w:r>
            <w:r w:rsidR="00865ECA" w:rsidRPr="00E97620">
              <w:rPr>
                <w:sz w:val="20"/>
                <w:szCs w:val="20"/>
              </w:rPr>
              <w:t xml:space="preserve">to which </w:t>
            </w:r>
            <w:r w:rsidRPr="00E97620">
              <w:rPr>
                <w:sz w:val="20"/>
                <w:szCs w:val="20"/>
              </w:rPr>
              <w:t xml:space="preserve">countries </w:t>
            </w:r>
            <w:r w:rsidR="00865ECA" w:rsidRPr="00E97620">
              <w:rPr>
                <w:sz w:val="20"/>
                <w:szCs w:val="20"/>
              </w:rPr>
              <w:t>aspire</w:t>
            </w:r>
            <w:r w:rsidRPr="00E97620">
              <w:rPr>
                <w:sz w:val="20"/>
                <w:szCs w:val="20"/>
              </w:rPr>
              <w:t>. UNDP will continue to expand its roster of experts to deliver adaptation services at global, regional and national levels</w:t>
            </w:r>
            <w:r w:rsidR="00E462D7" w:rsidRPr="00E97620">
              <w:rPr>
                <w:sz w:val="20"/>
                <w:szCs w:val="20"/>
              </w:rPr>
              <w:t>.</w:t>
            </w:r>
          </w:p>
        </w:tc>
      </w:tr>
      <w:tr w:rsidR="00DE5588" w:rsidRPr="00E97620" w14:paraId="36246760" w14:textId="77777777" w:rsidTr="00C70D28">
        <w:trPr>
          <w:trHeight w:val="532"/>
        </w:trPr>
        <w:tc>
          <w:tcPr>
            <w:tcW w:w="2393" w:type="dxa"/>
            <w:hideMark/>
          </w:tcPr>
          <w:p w14:paraId="645C19B0" w14:textId="77777777" w:rsidR="00B91FB2" w:rsidRPr="00E97620" w:rsidRDefault="00B91FB2" w:rsidP="00865ECA">
            <w:pPr>
              <w:rPr>
                <w:sz w:val="20"/>
                <w:szCs w:val="20"/>
              </w:rPr>
            </w:pPr>
            <w:r w:rsidRPr="00E97620">
              <w:rPr>
                <w:sz w:val="20"/>
                <w:szCs w:val="20"/>
              </w:rPr>
              <w:t xml:space="preserve">Develop </w:t>
            </w:r>
            <w:r w:rsidR="00865ECA" w:rsidRPr="00E97620">
              <w:rPr>
                <w:sz w:val="20"/>
                <w:szCs w:val="20"/>
              </w:rPr>
              <w:t xml:space="preserve">long-term agreements </w:t>
            </w:r>
            <w:r w:rsidRPr="00E97620">
              <w:rPr>
                <w:sz w:val="20"/>
                <w:szCs w:val="20"/>
              </w:rPr>
              <w:t>for roster of experts including climate scientists, safeguard specialists, gender experts, economists, proposal development and various thematic experts.</w:t>
            </w:r>
          </w:p>
        </w:tc>
        <w:tc>
          <w:tcPr>
            <w:tcW w:w="2393" w:type="dxa"/>
            <w:gridSpan w:val="3"/>
            <w:hideMark/>
          </w:tcPr>
          <w:p w14:paraId="3C525585" w14:textId="77777777" w:rsidR="00B91FB2" w:rsidRPr="00E97620" w:rsidRDefault="00B91FB2" w:rsidP="00865ECA">
            <w:pPr>
              <w:rPr>
                <w:sz w:val="20"/>
                <w:szCs w:val="20"/>
              </w:rPr>
            </w:pPr>
            <w:r w:rsidRPr="00E97620">
              <w:rPr>
                <w:sz w:val="20"/>
                <w:szCs w:val="20"/>
              </w:rPr>
              <w:t>Jul</w:t>
            </w:r>
            <w:r w:rsidR="00865ECA" w:rsidRPr="00E97620">
              <w:rPr>
                <w:sz w:val="20"/>
                <w:szCs w:val="20"/>
              </w:rPr>
              <w:t>y 20</w:t>
            </w:r>
            <w:r w:rsidRPr="00E97620">
              <w:rPr>
                <w:sz w:val="20"/>
                <w:szCs w:val="20"/>
              </w:rPr>
              <w:t>18</w:t>
            </w:r>
          </w:p>
        </w:tc>
        <w:tc>
          <w:tcPr>
            <w:tcW w:w="2393" w:type="dxa"/>
            <w:gridSpan w:val="3"/>
            <w:hideMark/>
          </w:tcPr>
          <w:p w14:paraId="3DA7AE53" w14:textId="6FF62FA1" w:rsidR="00B91FB2" w:rsidRPr="00E97620" w:rsidRDefault="00B91FB2" w:rsidP="00343F24">
            <w:pPr>
              <w:rPr>
                <w:sz w:val="20"/>
                <w:szCs w:val="20"/>
              </w:rPr>
            </w:pPr>
            <w:r w:rsidRPr="00E97620">
              <w:rPr>
                <w:sz w:val="20"/>
                <w:szCs w:val="20"/>
              </w:rPr>
              <w:t>BPPS</w:t>
            </w:r>
            <w:r w:rsidR="002D2550" w:rsidRPr="00E97620">
              <w:rPr>
                <w:sz w:val="20"/>
                <w:szCs w:val="20"/>
              </w:rPr>
              <w:t xml:space="preserve"> in consultation with </w:t>
            </w:r>
            <w:r w:rsidR="00343F24" w:rsidRPr="00E97620">
              <w:rPr>
                <w:sz w:val="20"/>
                <w:szCs w:val="20"/>
              </w:rPr>
              <w:t>regional bureaux</w:t>
            </w:r>
          </w:p>
        </w:tc>
        <w:tc>
          <w:tcPr>
            <w:tcW w:w="2393" w:type="dxa"/>
            <w:gridSpan w:val="3"/>
            <w:hideMark/>
          </w:tcPr>
          <w:p w14:paraId="64D78C47" w14:textId="77777777" w:rsidR="00B91FB2" w:rsidRPr="00E97620" w:rsidRDefault="00B91FB2" w:rsidP="00A508D7">
            <w:pPr>
              <w:rPr>
                <w:sz w:val="20"/>
                <w:szCs w:val="20"/>
              </w:rPr>
            </w:pPr>
            <w:r w:rsidRPr="00E97620">
              <w:rPr>
                <w:sz w:val="20"/>
                <w:szCs w:val="20"/>
              </w:rPr>
              <w:t> </w:t>
            </w:r>
          </w:p>
        </w:tc>
        <w:tc>
          <w:tcPr>
            <w:tcW w:w="2393" w:type="dxa"/>
            <w:gridSpan w:val="3"/>
            <w:hideMark/>
          </w:tcPr>
          <w:p w14:paraId="3C2D6FBD" w14:textId="77777777" w:rsidR="00B91FB2" w:rsidRPr="00E97620" w:rsidRDefault="00B91FB2" w:rsidP="00A508D7">
            <w:pPr>
              <w:rPr>
                <w:sz w:val="20"/>
                <w:szCs w:val="20"/>
              </w:rPr>
            </w:pPr>
            <w:r w:rsidRPr="00E97620">
              <w:rPr>
                <w:sz w:val="20"/>
                <w:szCs w:val="20"/>
              </w:rPr>
              <w:t> </w:t>
            </w:r>
          </w:p>
        </w:tc>
      </w:tr>
      <w:tr w:rsidR="00DE5588" w:rsidRPr="00E97620" w14:paraId="0A61CA04" w14:textId="77777777" w:rsidTr="00C70D28">
        <w:trPr>
          <w:trHeight w:val="300"/>
        </w:trPr>
        <w:tc>
          <w:tcPr>
            <w:tcW w:w="2393" w:type="dxa"/>
            <w:hideMark/>
          </w:tcPr>
          <w:p w14:paraId="2D9E8CD1" w14:textId="2567EC6A" w:rsidR="00B91FB2" w:rsidRPr="00E97620" w:rsidRDefault="00B91FB2" w:rsidP="00D94044">
            <w:pPr>
              <w:rPr>
                <w:sz w:val="20"/>
                <w:szCs w:val="20"/>
              </w:rPr>
            </w:pPr>
            <w:r w:rsidRPr="00E97620">
              <w:rPr>
                <w:sz w:val="20"/>
                <w:szCs w:val="20"/>
              </w:rPr>
              <w:t xml:space="preserve">Finalize and disseminate the draft integrated </w:t>
            </w:r>
            <w:r w:rsidR="00865ECA" w:rsidRPr="00E97620">
              <w:rPr>
                <w:sz w:val="20"/>
                <w:szCs w:val="20"/>
              </w:rPr>
              <w:t>strategy note on climate change</w:t>
            </w:r>
            <w:r w:rsidRPr="00E97620">
              <w:rPr>
                <w:sz w:val="20"/>
                <w:szCs w:val="20"/>
              </w:rPr>
              <w:t xml:space="preserve">, DRR and </w:t>
            </w:r>
            <w:r w:rsidR="00D94044">
              <w:rPr>
                <w:sz w:val="20"/>
                <w:szCs w:val="20"/>
              </w:rPr>
              <w:t>sustainable energy</w:t>
            </w:r>
            <w:r w:rsidRPr="00E97620">
              <w:rPr>
                <w:sz w:val="20"/>
                <w:szCs w:val="20"/>
              </w:rPr>
              <w:t xml:space="preserve"> to articulate </w:t>
            </w:r>
            <w:r w:rsidR="00865ECA" w:rsidRPr="00E97620">
              <w:rPr>
                <w:sz w:val="20"/>
                <w:szCs w:val="20"/>
              </w:rPr>
              <w:t xml:space="preserve">the </w:t>
            </w:r>
            <w:r w:rsidRPr="00E97620">
              <w:rPr>
                <w:sz w:val="20"/>
                <w:szCs w:val="20"/>
              </w:rPr>
              <w:t>UNDP corporate approach and offer on delivering integrated services at global, regional and country level</w:t>
            </w:r>
            <w:r w:rsidR="00865ECA" w:rsidRPr="00E97620">
              <w:rPr>
                <w:sz w:val="20"/>
                <w:szCs w:val="20"/>
              </w:rPr>
              <w:t>s</w:t>
            </w:r>
            <w:r w:rsidRPr="00E97620">
              <w:rPr>
                <w:sz w:val="20"/>
                <w:szCs w:val="20"/>
              </w:rPr>
              <w:t>.</w:t>
            </w:r>
          </w:p>
        </w:tc>
        <w:tc>
          <w:tcPr>
            <w:tcW w:w="2393" w:type="dxa"/>
            <w:gridSpan w:val="3"/>
            <w:hideMark/>
          </w:tcPr>
          <w:p w14:paraId="368CF795" w14:textId="77777777" w:rsidR="00B91FB2" w:rsidRPr="00E97620" w:rsidRDefault="00B91FB2" w:rsidP="00A508D7">
            <w:pPr>
              <w:rPr>
                <w:sz w:val="20"/>
                <w:szCs w:val="20"/>
              </w:rPr>
            </w:pPr>
            <w:r w:rsidRPr="00E97620">
              <w:rPr>
                <w:sz w:val="20"/>
                <w:szCs w:val="20"/>
              </w:rPr>
              <w:t> Early 2018</w:t>
            </w:r>
          </w:p>
        </w:tc>
        <w:tc>
          <w:tcPr>
            <w:tcW w:w="2393" w:type="dxa"/>
            <w:gridSpan w:val="3"/>
            <w:hideMark/>
          </w:tcPr>
          <w:p w14:paraId="5902D7CF" w14:textId="76F5E975" w:rsidR="00B91FB2" w:rsidRPr="00E97620" w:rsidRDefault="00B91FB2" w:rsidP="00343F24">
            <w:pPr>
              <w:rPr>
                <w:sz w:val="20"/>
                <w:szCs w:val="20"/>
              </w:rPr>
            </w:pPr>
            <w:r w:rsidRPr="00E97620">
              <w:rPr>
                <w:sz w:val="20"/>
                <w:szCs w:val="20"/>
              </w:rPr>
              <w:t>BPPS</w:t>
            </w:r>
            <w:r w:rsidR="00953E6A" w:rsidRPr="00E97620">
              <w:rPr>
                <w:sz w:val="20"/>
                <w:szCs w:val="20"/>
              </w:rPr>
              <w:t xml:space="preserve"> in consultation with </w:t>
            </w:r>
            <w:r w:rsidR="00343F24" w:rsidRPr="00E97620">
              <w:rPr>
                <w:sz w:val="20"/>
                <w:szCs w:val="20"/>
              </w:rPr>
              <w:t>regional bureaux</w:t>
            </w:r>
          </w:p>
        </w:tc>
        <w:tc>
          <w:tcPr>
            <w:tcW w:w="2393" w:type="dxa"/>
            <w:gridSpan w:val="3"/>
            <w:hideMark/>
          </w:tcPr>
          <w:p w14:paraId="5D1E0161" w14:textId="77777777" w:rsidR="00B91FB2" w:rsidRPr="00E97620" w:rsidRDefault="00B91FB2" w:rsidP="00A508D7">
            <w:pPr>
              <w:rPr>
                <w:sz w:val="20"/>
                <w:szCs w:val="20"/>
              </w:rPr>
            </w:pPr>
            <w:r w:rsidRPr="00E97620">
              <w:rPr>
                <w:sz w:val="20"/>
                <w:szCs w:val="20"/>
              </w:rPr>
              <w:t> </w:t>
            </w:r>
          </w:p>
        </w:tc>
        <w:tc>
          <w:tcPr>
            <w:tcW w:w="2393" w:type="dxa"/>
            <w:gridSpan w:val="3"/>
            <w:hideMark/>
          </w:tcPr>
          <w:p w14:paraId="6327D6A1" w14:textId="77777777" w:rsidR="00B91FB2" w:rsidRPr="00E97620" w:rsidRDefault="00B91FB2" w:rsidP="00A508D7">
            <w:pPr>
              <w:rPr>
                <w:sz w:val="20"/>
                <w:szCs w:val="20"/>
              </w:rPr>
            </w:pPr>
            <w:r w:rsidRPr="00E97620">
              <w:rPr>
                <w:sz w:val="20"/>
                <w:szCs w:val="20"/>
              </w:rPr>
              <w:t> </w:t>
            </w:r>
          </w:p>
        </w:tc>
      </w:tr>
      <w:tr w:rsidR="00DE5588" w:rsidRPr="00E97620" w14:paraId="3FE76CE7" w14:textId="77777777" w:rsidTr="00C70D28">
        <w:trPr>
          <w:trHeight w:val="1603"/>
        </w:trPr>
        <w:tc>
          <w:tcPr>
            <w:tcW w:w="2393" w:type="dxa"/>
            <w:tcBorders>
              <w:bottom w:val="single" w:sz="4" w:space="0" w:color="auto"/>
            </w:tcBorders>
            <w:hideMark/>
          </w:tcPr>
          <w:p w14:paraId="648FA1AA" w14:textId="77777777" w:rsidR="00B91FB2" w:rsidRPr="00E97620" w:rsidRDefault="00B91FB2" w:rsidP="00865ECA">
            <w:pPr>
              <w:rPr>
                <w:sz w:val="20"/>
                <w:szCs w:val="20"/>
              </w:rPr>
            </w:pPr>
            <w:r w:rsidRPr="00E97620">
              <w:rPr>
                <w:sz w:val="20"/>
                <w:szCs w:val="20"/>
              </w:rPr>
              <w:t xml:space="preserve">Finalize draft </w:t>
            </w:r>
            <w:r w:rsidR="00865ECA" w:rsidRPr="00E97620">
              <w:rPr>
                <w:sz w:val="20"/>
                <w:szCs w:val="20"/>
              </w:rPr>
              <w:t xml:space="preserve">tool </w:t>
            </w:r>
            <w:r w:rsidRPr="00E97620">
              <w:rPr>
                <w:sz w:val="20"/>
                <w:szCs w:val="20"/>
              </w:rPr>
              <w:t xml:space="preserve">for </w:t>
            </w:r>
            <w:r w:rsidR="00865ECA" w:rsidRPr="00E97620">
              <w:rPr>
                <w:sz w:val="20"/>
                <w:szCs w:val="20"/>
              </w:rPr>
              <w:t xml:space="preserve">practitioners </w:t>
            </w:r>
            <w:r w:rsidRPr="00E97620">
              <w:rPr>
                <w:sz w:val="20"/>
                <w:szCs w:val="20"/>
              </w:rPr>
              <w:t>on integrating DRR/</w:t>
            </w:r>
            <w:r w:rsidR="00865ECA" w:rsidRPr="00E97620">
              <w:rPr>
                <w:sz w:val="20"/>
                <w:szCs w:val="20"/>
              </w:rPr>
              <w:t xml:space="preserve">climate change adaptation </w:t>
            </w:r>
            <w:r w:rsidRPr="00E97620">
              <w:rPr>
                <w:sz w:val="20"/>
                <w:szCs w:val="20"/>
              </w:rPr>
              <w:t xml:space="preserve">into development planning and budgeting and strengthen the community of practice and </w:t>
            </w:r>
            <w:r w:rsidR="00B80137" w:rsidRPr="00E97620">
              <w:rPr>
                <w:sz w:val="20"/>
                <w:szCs w:val="20"/>
              </w:rPr>
              <w:t xml:space="preserve">relevant </w:t>
            </w:r>
            <w:r w:rsidRPr="00E97620">
              <w:rPr>
                <w:sz w:val="20"/>
                <w:szCs w:val="20"/>
              </w:rPr>
              <w:t xml:space="preserve">knowledge networks </w:t>
            </w:r>
          </w:p>
        </w:tc>
        <w:tc>
          <w:tcPr>
            <w:tcW w:w="2393" w:type="dxa"/>
            <w:gridSpan w:val="3"/>
            <w:tcBorders>
              <w:bottom w:val="single" w:sz="4" w:space="0" w:color="auto"/>
            </w:tcBorders>
            <w:hideMark/>
          </w:tcPr>
          <w:p w14:paraId="7539E905" w14:textId="77777777" w:rsidR="00B91FB2" w:rsidRPr="00E97620" w:rsidRDefault="00B91FB2" w:rsidP="00A508D7">
            <w:pPr>
              <w:rPr>
                <w:sz w:val="20"/>
                <w:szCs w:val="20"/>
              </w:rPr>
            </w:pPr>
            <w:r w:rsidRPr="00E97620">
              <w:rPr>
                <w:sz w:val="20"/>
                <w:szCs w:val="20"/>
              </w:rPr>
              <w:t> Early 2018</w:t>
            </w:r>
          </w:p>
        </w:tc>
        <w:tc>
          <w:tcPr>
            <w:tcW w:w="2393" w:type="dxa"/>
            <w:gridSpan w:val="3"/>
            <w:tcBorders>
              <w:bottom w:val="single" w:sz="4" w:space="0" w:color="auto"/>
            </w:tcBorders>
            <w:hideMark/>
          </w:tcPr>
          <w:p w14:paraId="49AD6518" w14:textId="461E463B" w:rsidR="00B91FB2" w:rsidRPr="00E97620" w:rsidRDefault="00B91FB2" w:rsidP="00343F24">
            <w:pPr>
              <w:rPr>
                <w:sz w:val="20"/>
                <w:szCs w:val="20"/>
              </w:rPr>
            </w:pPr>
            <w:r w:rsidRPr="00E97620">
              <w:rPr>
                <w:sz w:val="20"/>
                <w:szCs w:val="20"/>
              </w:rPr>
              <w:t>BPPS</w:t>
            </w:r>
            <w:r w:rsidR="00953E6A" w:rsidRPr="00E97620">
              <w:rPr>
                <w:sz w:val="20"/>
                <w:szCs w:val="20"/>
              </w:rPr>
              <w:t xml:space="preserve"> in consultation with </w:t>
            </w:r>
            <w:r w:rsidR="00343F24" w:rsidRPr="00E97620">
              <w:rPr>
                <w:sz w:val="20"/>
                <w:szCs w:val="20"/>
              </w:rPr>
              <w:t>regional bureaux</w:t>
            </w:r>
          </w:p>
        </w:tc>
        <w:tc>
          <w:tcPr>
            <w:tcW w:w="2393" w:type="dxa"/>
            <w:gridSpan w:val="3"/>
            <w:tcBorders>
              <w:bottom w:val="single" w:sz="4" w:space="0" w:color="auto"/>
            </w:tcBorders>
            <w:hideMark/>
          </w:tcPr>
          <w:p w14:paraId="1C0C225D" w14:textId="77777777" w:rsidR="00B91FB2" w:rsidRPr="00E97620" w:rsidRDefault="00B91FB2" w:rsidP="00A508D7">
            <w:pPr>
              <w:rPr>
                <w:sz w:val="20"/>
                <w:szCs w:val="20"/>
              </w:rPr>
            </w:pPr>
            <w:r w:rsidRPr="00E97620">
              <w:rPr>
                <w:sz w:val="20"/>
                <w:szCs w:val="20"/>
              </w:rPr>
              <w:t> </w:t>
            </w:r>
          </w:p>
        </w:tc>
        <w:tc>
          <w:tcPr>
            <w:tcW w:w="2393" w:type="dxa"/>
            <w:gridSpan w:val="3"/>
            <w:tcBorders>
              <w:bottom w:val="single" w:sz="4" w:space="0" w:color="auto"/>
            </w:tcBorders>
            <w:hideMark/>
          </w:tcPr>
          <w:p w14:paraId="188EF8B1" w14:textId="77777777" w:rsidR="00B91FB2" w:rsidRPr="00E97620" w:rsidRDefault="00B91FB2" w:rsidP="00A508D7">
            <w:pPr>
              <w:rPr>
                <w:sz w:val="20"/>
                <w:szCs w:val="20"/>
              </w:rPr>
            </w:pPr>
            <w:r w:rsidRPr="00E97620">
              <w:rPr>
                <w:sz w:val="20"/>
                <w:szCs w:val="20"/>
              </w:rPr>
              <w:t> </w:t>
            </w:r>
          </w:p>
        </w:tc>
      </w:tr>
      <w:tr w:rsidR="00B91FB2" w:rsidRPr="00E97620" w14:paraId="498385C3" w14:textId="77777777" w:rsidTr="00C70D28">
        <w:trPr>
          <w:trHeight w:val="316"/>
        </w:trPr>
        <w:tc>
          <w:tcPr>
            <w:tcW w:w="11965" w:type="dxa"/>
            <w:gridSpan w:val="13"/>
            <w:shd w:val="clear" w:color="auto" w:fill="D9D9D9" w:themeFill="background1" w:themeFillShade="D9"/>
            <w:hideMark/>
          </w:tcPr>
          <w:p w14:paraId="60D0E8E5" w14:textId="77777777" w:rsidR="00B91FB2" w:rsidRPr="00E97620" w:rsidRDefault="00B91FB2" w:rsidP="00A508D7">
            <w:pPr>
              <w:rPr>
                <w:b/>
                <w:bCs/>
                <w:sz w:val="20"/>
                <w:szCs w:val="20"/>
              </w:rPr>
            </w:pPr>
            <w:r w:rsidRPr="00E97620">
              <w:rPr>
                <w:b/>
                <w:bCs/>
                <w:sz w:val="20"/>
                <w:szCs w:val="20"/>
              </w:rPr>
              <w:t>Recommendation 5</w:t>
            </w:r>
          </w:p>
        </w:tc>
      </w:tr>
      <w:tr w:rsidR="00B91FB2" w:rsidRPr="00E97620" w14:paraId="45B22ED2" w14:textId="77777777" w:rsidTr="00C70D28">
        <w:trPr>
          <w:trHeight w:val="600"/>
        </w:trPr>
        <w:tc>
          <w:tcPr>
            <w:tcW w:w="11965" w:type="dxa"/>
            <w:gridSpan w:val="13"/>
            <w:hideMark/>
          </w:tcPr>
          <w:p w14:paraId="55AF6B3F" w14:textId="77777777" w:rsidR="00B91FB2" w:rsidRPr="00E97620" w:rsidRDefault="00865ECA" w:rsidP="000C7037">
            <w:pPr>
              <w:spacing w:after="120"/>
              <w:jc w:val="both"/>
              <w:rPr>
                <w:sz w:val="20"/>
                <w:szCs w:val="20"/>
              </w:rPr>
            </w:pPr>
            <w:r w:rsidRPr="00E97620">
              <w:rPr>
                <w:sz w:val="20"/>
                <w:szCs w:val="20"/>
              </w:rPr>
              <w:t xml:space="preserve"> Recognizing that governance is key to achieving the Sustainable Development Goals, UNDP should be proactive in supporting sectoral governance approaches and more persuasive in promoting democratic governance reforms. </w:t>
            </w:r>
          </w:p>
        </w:tc>
      </w:tr>
      <w:tr w:rsidR="00B91FB2" w:rsidRPr="00E97620" w14:paraId="239DAE2E" w14:textId="77777777" w:rsidTr="00C70D28">
        <w:trPr>
          <w:trHeight w:val="631"/>
        </w:trPr>
        <w:tc>
          <w:tcPr>
            <w:tcW w:w="11965" w:type="dxa"/>
            <w:gridSpan w:val="13"/>
            <w:hideMark/>
          </w:tcPr>
          <w:p w14:paraId="25FFC27B" w14:textId="7FC5289A" w:rsidR="00694A4C" w:rsidRPr="00E97620" w:rsidRDefault="00694A4C" w:rsidP="000C7037">
            <w:pPr>
              <w:spacing w:after="120"/>
              <w:jc w:val="both"/>
              <w:rPr>
                <w:b/>
                <w:sz w:val="20"/>
                <w:szCs w:val="20"/>
              </w:rPr>
            </w:pPr>
            <w:r w:rsidRPr="00E97620">
              <w:rPr>
                <w:b/>
                <w:sz w:val="20"/>
                <w:szCs w:val="20"/>
              </w:rPr>
              <w:t xml:space="preserve">Management </w:t>
            </w:r>
            <w:r w:rsidR="00533129" w:rsidRPr="00E97620">
              <w:rPr>
                <w:b/>
                <w:sz w:val="20"/>
                <w:szCs w:val="20"/>
              </w:rPr>
              <w:t>response</w:t>
            </w:r>
            <w:r w:rsidRPr="00E97620">
              <w:rPr>
                <w:b/>
                <w:sz w:val="20"/>
                <w:szCs w:val="20"/>
              </w:rPr>
              <w:t>:</w:t>
            </w:r>
          </w:p>
          <w:p w14:paraId="53454610" w14:textId="3E7704E9" w:rsidR="00B91FB2" w:rsidRPr="00E97620" w:rsidRDefault="009E5999" w:rsidP="00E20DD6">
            <w:pPr>
              <w:spacing w:after="160"/>
              <w:jc w:val="both"/>
              <w:rPr>
                <w:b/>
                <w:sz w:val="20"/>
                <w:szCs w:val="20"/>
              </w:rPr>
            </w:pPr>
            <w:r w:rsidRPr="00E97620">
              <w:rPr>
                <w:bCs/>
                <w:sz w:val="20"/>
                <w:szCs w:val="20"/>
              </w:rPr>
              <w:t xml:space="preserve">UNDP management takes note of the recommendation and </w:t>
            </w:r>
            <w:r w:rsidR="0077523D" w:rsidRPr="00E97620">
              <w:rPr>
                <w:bCs/>
                <w:sz w:val="20"/>
                <w:szCs w:val="20"/>
              </w:rPr>
              <w:t xml:space="preserve">concurs </w:t>
            </w:r>
            <w:r w:rsidR="00B2334D" w:rsidRPr="00E97620">
              <w:rPr>
                <w:bCs/>
                <w:sz w:val="20"/>
                <w:szCs w:val="20"/>
              </w:rPr>
              <w:t xml:space="preserve">that governance is key to achieving the Sustainable Development Goals.   UNDP </w:t>
            </w:r>
            <w:r w:rsidR="009F7E5B" w:rsidRPr="00E97620">
              <w:rPr>
                <w:bCs/>
                <w:sz w:val="20"/>
                <w:szCs w:val="20"/>
              </w:rPr>
              <w:t>strives</w:t>
            </w:r>
            <w:r w:rsidR="00B2334D" w:rsidRPr="00E97620">
              <w:rPr>
                <w:bCs/>
                <w:sz w:val="20"/>
                <w:szCs w:val="20"/>
              </w:rPr>
              <w:t xml:space="preserve"> to be proactive in supporting sectoral governance approaches and to be persuasive in promoting </w:t>
            </w:r>
            <w:r w:rsidR="00BD6DB7" w:rsidRPr="00E97620">
              <w:rPr>
                <w:bCs/>
                <w:sz w:val="20"/>
                <w:szCs w:val="20"/>
              </w:rPr>
              <w:t>democratic governance reform</w:t>
            </w:r>
            <w:r w:rsidRPr="00E97620">
              <w:rPr>
                <w:bCs/>
                <w:sz w:val="20"/>
                <w:szCs w:val="20"/>
              </w:rPr>
              <w:t xml:space="preserve">, while fully recognizing that </w:t>
            </w:r>
            <w:r w:rsidR="00343F24" w:rsidRPr="00E97620">
              <w:rPr>
                <w:bCs/>
                <w:sz w:val="20"/>
                <w:szCs w:val="20"/>
              </w:rPr>
              <w:t xml:space="preserve">its </w:t>
            </w:r>
            <w:r w:rsidR="00E462D7" w:rsidRPr="00E97620">
              <w:rPr>
                <w:bCs/>
                <w:sz w:val="20"/>
                <w:szCs w:val="20"/>
              </w:rPr>
              <w:t>support for reforms is based on requests fro</w:t>
            </w:r>
            <w:r w:rsidRPr="00E97620">
              <w:rPr>
                <w:bCs/>
                <w:sz w:val="20"/>
                <w:szCs w:val="20"/>
              </w:rPr>
              <w:t>m</w:t>
            </w:r>
            <w:r w:rsidR="00E462D7" w:rsidRPr="00E97620">
              <w:rPr>
                <w:bCs/>
                <w:sz w:val="20"/>
                <w:szCs w:val="20"/>
              </w:rPr>
              <w:t xml:space="preserve"> national </w:t>
            </w:r>
            <w:r w:rsidR="00343F24" w:rsidRPr="00E97620">
              <w:rPr>
                <w:bCs/>
                <w:sz w:val="20"/>
                <w:szCs w:val="20"/>
              </w:rPr>
              <w:t>Governments</w:t>
            </w:r>
            <w:r w:rsidR="00E462D7" w:rsidRPr="00E97620">
              <w:rPr>
                <w:bCs/>
                <w:sz w:val="20"/>
                <w:szCs w:val="20"/>
              </w:rPr>
              <w:t xml:space="preserve"> in line with national contexts and priorities. </w:t>
            </w:r>
            <w:r w:rsidR="004104F1" w:rsidRPr="00E97620">
              <w:rPr>
                <w:bCs/>
                <w:sz w:val="20"/>
                <w:szCs w:val="20"/>
              </w:rPr>
              <w:t xml:space="preserve">UNDP governance work </w:t>
            </w:r>
            <w:r w:rsidR="00694A4C" w:rsidRPr="00E97620">
              <w:rPr>
                <w:bCs/>
                <w:sz w:val="20"/>
                <w:szCs w:val="20"/>
              </w:rPr>
              <w:t xml:space="preserve">builds on long-standing </w:t>
            </w:r>
            <w:r w:rsidR="004B3A6B" w:rsidRPr="00E97620">
              <w:rPr>
                <w:bCs/>
                <w:sz w:val="20"/>
                <w:szCs w:val="20"/>
              </w:rPr>
              <w:t xml:space="preserve">broad, and innovative </w:t>
            </w:r>
            <w:r w:rsidR="00694A4C" w:rsidRPr="00E97620">
              <w:rPr>
                <w:bCs/>
                <w:sz w:val="20"/>
                <w:szCs w:val="20"/>
              </w:rPr>
              <w:t xml:space="preserve">partnerships with international, national and local actors to create an enabling environment for sustainable peace and development to take root. </w:t>
            </w:r>
            <w:r w:rsidR="00286E9F" w:rsidRPr="00E97620">
              <w:rPr>
                <w:bCs/>
                <w:sz w:val="20"/>
                <w:szCs w:val="20"/>
              </w:rPr>
              <w:t>For example, t</w:t>
            </w:r>
            <w:r w:rsidR="00694A4C" w:rsidRPr="00E97620">
              <w:rPr>
                <w:bCs/>
                <w:sz w:val="20"/>
                <w:szCs w:val="20"/>
              </w:rPr>
              <w:t xml:space="preserve">he Global Focal Point for Police, Justice and </w:t>
            </w:r>
            <w:r w:rsidR="00837D72" w:rsidRPr="00E97620">
              <w:rPr>
                <w:bCs/>
                <w:sz w:val="20"/>
                <w:szCs w:val="20"/>
              </w:rPr>
              <w:t>Corrections is</w:t>
            </w:r>
            <w:r w:rsidR="00694A4C" w:rsidRPr="00E97620">
              <w:rPr>
                <w:bCs/>
                <w:sz w:val="20"/>
                <w:szCs w:val="20"/>
              </w:rPr>
              <w:t xml:space="preserve"> one of the flagship mechanisms that UNDP employs to deliver coordinated rule of law assistance. Co-led by UNDP and </w:t>
            </w:r>
            <w:r w:rsidR="00533129" w:rsidRPr="00E97620">
              <w:rPr>
                <w:bCs/>
                <w:sz w:val="20"/>
                <w:szCs w:val="20"/>
              </w:rPr>
              <w:t xml:space="preserve">the Department of Peacekeeping Operations, </w:t>
            </w:r>
            <w:r w:rsidR="00694A4C" w:rsidRPr="00E97620">
              <w:rPr>
                <w:bCs/>
                <w:sz w:val="20"/>
                <w:szCs w:val="20"/>
              </w:rPr>
              <w:t xml:space="preserve">the </w:t>
            </w:r>
            <w:r w:rsidR="00837D72" w:rsidRPr="00E97620">
              <w:rPr>
                <w:bCs/>
                <w:sz w:val="20"/>
                <w:szCs w:val="20"/>
              </w:rPr>
              <w:t>mechanism brings</w:t>
            </w:r>
            <w:r w:rsidR="00694A4C" w:rsidRPr="00E97620">
              <w:rPr>
                <w:bCs/>
                <w:sz w:val="20"/>
                <w:szCs w:val="20"/>
              </w:rPr>
              <w:t xml:space="preserve"> together </w:t>
            </w:r>
            <w:r w:rsidR="00533129" w:rsidRPr="00E97620">
              <w:rPr>
                <w:bCs/>
                <w:sz w:val="20"/>
                <w:szCs w:val="20"/>
              </w:rPr>
              <w:t>the United Nations Entity for Gender Equality and the Empowerment of Women (UN-</w:t>
            </w:r>
            <w:r w:rsidR="00694A4C" w:rsidRPr="00E97620">
              <w:rPr>
                <w:bCs/>
                <w:sz w:val="20"/>
                <w:szCs w:val="20"/>
              </w:rPr>
              <w:t>Women</w:t>
            </w:r>
            <w:r w:rsidR="00533129" w:rsidRPr="00E97620">
              <w:rPr>
                <w:bCs/>
                <w:sz w:val="20"/>
                <w:szCs w:val="20"/>
              </w:rPr>
              <w:t>)</w:t>
            </w:r>
            <w:r w:rsidR="00694A4C" w:rsidRPr="00E97620">
              <w:rPr>
                <w:bCs/>
                <w:sz w:val="20"/>
                <w:szCs w:val="20"/>
              </w:rPr>
              <w:t xml:space="preserve">, </w:t>
            </w:r>
            <w:r w:rsidR="00533129" w:rsidRPr="00E97620">
              <w:rPr>
                <w:bCs/>
                <w:sz w:val="20"/>
                <w:szCs w:val="20"/>
              </w:rPr>
              <w:t xml:space="preserve">the Office of the United Nations High Commissioner for </w:t>
            </w:r>
            <w:r w:rsidR="004C47C1" w:rsidRPr="00E97620">
              <w:rPr>
                <w:bCs/>
                <w:sz w:val="20"/>
                <w:szCs w:val="20"/>
              </w:rPr>
              <w:t>Human</w:t>
            </w:r>
            <w:r w:rsidR="00533129" w:rsidRPr="00E97620">
              <w:rPr>
                <w:bCs/>
                <w:sz w:val="20"/>
                <w:szCs w:val="20"/>
              </w:rPr>
              <w:t xml:space="preserve"> Rights</w:t>
            </w:r>
            <w:r w:rsidR="000F537B" w:rsidRPr="00E97620">
              <w:rPr>
                <w:bCs/>
                <w:sz w:val="20"/>
                <w:szCs w:val="20"/>
              </w:rPr>
              <w:t xml:space="preserve"> (</w:t>
            </w:r>
            <w:r w:rsidR="00694A4C" w:rsidRPr="00E97620">
              <w:rPr>
                <w:bCs/>
                <w:sz w:val="20"/>
                <w:szCs w:val="20"/>
              </w:rPr>
              <w:t>OHCHR</w:t>
            </w:r>
            <w:r w:rsidR="000F537B" w:rsidRPr="00E97620">
              <w:rPr>
                <w:bCs/>
                <w:sz w:val="20"/>
                <w:szCs w:val="20"/>
              </w:rPr>
              <w:t>)</w:t>
            </w:r>
            <w:r w:rsidR="00694A4C" w:rsidRPr="00E97620">
              <w:rPr>
                <w:bCs/>
                <w:sz w:val="20"/>
                <w:szCs w:val="20"/>
              </w:rPr>
              <w:t xml:space="preserve">, </w:t>
            </w:r>
            <w:r w:rsidR="00533129" w:rsidRPr="00E97620">
              <w:rPr>
                <w:bCs/>
                <w:sz w:val="20"/>
                <w:szCs w:val="20"/>
              </w:rPr>
              <w:t>the United Nations Office on Drugs and Crime</w:t>
            </w:r>
            <w:r w:rsidR="00694A4C" w:rsidRPr="00E97620">
              <w:rPr>
                <w:bCs/>
                <w:sz w:val="20"/>
                <w:szCs w:val="20"/>
              </w:rPr>
              <w:t xml:space="preserve"> and other United Nations entities to facilitate joint planning and programming and resource mobilization in service of the whole system.</w:t>
            </w:r>
            <w:r w:rsidR="00286E9F" w:rsidRPr="00E97620">
              <w:rPr>
                <w:bCs/>
                <w:sz w:val="20"/>
                <w:szCs w:val="20"/>
              </w:rPr>
              <w:t xml:space="preserve"> </w:t>
            </w:r>
            <w:r w:rsidR="00FD1BBC" w:rsidRPr="00E97620">
              <w:rPr>
                <w:bCs/>
                <w:sz w:val="20"/>
                <w:szCs w:val="20"/>
              </w:rPr>
              <w:t xml:space="preserve">UNDP also works </w:t>
            </w:r>
            <w:r w:rsidR="00286E9F" w:rsidRPr="00E97620">
              <w:rPr>
                <w:bCs/>
                <w:sz w:val="20"/>
                <w:szCs w:val="20"/>
              </w:rPr>
              <w:t xml:space="preserve">with the Department of Political Affairs on </w:t>
            </w:r>
            <w:r w:rsidR="00343F24" w:rsidRPr="00E97620">
              <w:rPr>
                <w:bCs/>
                <w:sz w:val="20"/>
                <w:szCs w:val="20"/>
              </w:rPr>
              <w:t xml:space="preserve">conflict prevention </w:t>
            </w:r>
            <w:r w:rsidR="00286E9F" w:rsidRPr="00E97620">
              <w:rPr>
                <w:bCs/>
                <w:sz w:val="20"/>
                <w:szCs w:val="20"/>
              </w:rPr>
              <w:t xml:space="preserve">and </w:t>
            </w:r>
            <w:r w:rsidR="00343F24" w:rsidRPr="00E97620">
              <w:rPr>
                <w:bCs/>
                <w:sz w:val="20"/>
                <w:szCs w:val="20"/>
              </w:rPr>
              <w:t>electoral assistance</w:t>
            </w:r>
            <w:r w:rsidR="00286E9F" w:rsidRPr="00E97620">
              <w:rPr>
                <w:bCs/>
                <w:sz w:val="20"/>
                <w:szCs w:val="20"/>
              </w:rPr>
              <w:t xml:space="preserve">. </w:t>
            </w:r>
          </w:p>
        </w:tc>
      </w:tr>
      <w:tr w:rsidR="00DE5588" w:rsidRPr="00E97620" w14:paraId="461156F3" w14:textId="77777777" w:rsidTr="00C70D28">
        <w:trPr>
          <w:trHeight w:val="300"/>
        </w:trPr>
        <w:tc>
          <w:tcPr>
            <w:tcW w:w="2393" w:type="dxa"/>
            <w:hideMark/>
          </w:tcPr>
          <w:p w14:paraId="1AC60F2E" w14:textId="31E18655" w:rsidR="00B91FB2" w:rsidRPr="00E97620" w:rsidRDefault="00367578" w:rsidP="00343F24">
            <w:pPr>
              <w:rPr>
                <w:sz w:val="20"/>
                <w:szCs w:val="20"/>
              </w:rPr>
            </w:pPr>
            <w:r w:rsidRPr="00E97620">
              <w:rPr>
                <w:sz w:val="20"/>
                <w:szCs w:val="20"/>
              </w:rPr>
              <w:t xml:space="preserve">Through engagement </w:t>
            </w:r>
            <w:r w:rsidR="00BD6DB7" w:rsidRPr="00E97620">
              <w:rPr>
                <w:sz w:val="20"/>
                <w:szCs w:val="20"/>
              </w:rPr>
              <w:t xml:space="preserve">in </w:t>
            </w:r>
            <w:r w:rsidR="00B91FB2" w:rsidRPr="00E97620">
              <w:rPr>
                <w:sz w:val="20"/>
                <w:szCs w:val="20"/>
              </w:rPr>
              <w:t xml:space="preserve">MAPS </w:t>
            </w:r>
            <w:r w:rsidR="00FC6097" w:rsidRPr="00E97620">
              <w:rPr>
                <w:sz w:val="20"/>
                <w:szCs w:val="20"/>
              </w:rPr>
              <w:t>missions and</w:t>
            </w:r>
            <w:r w:rsidR="00232992" w:rsidRPr="00E97620">
              <w:rPr>
                <w:sz w:val="20"/>
                <w:szCs w:val="20"/>
              </w:rPr>
              <w:t xml:space="preserve"> support to the SDG </w:t>
            </w:r>
            <w:r w:rsidR="00FC6097" w:rsidRPr="00E97620">
              <w:rPr>
                <w:sz w:val="20"/>
                <w:szCs w:val="20"/>
              </w:rPr>
              <w:t>agenda, identify</w:t>
            </w:r>
            <w:r w:rsidR="00B91FB2" w:rsidRPr="00E97620">
              <w:rPr>
                <w:sz w:val="20"/>
                <w:szCs w:val="20"/>
              </w:rPr>
              <w:t xml:space="preserve"> </w:t>
            </w:r>
            <w:r w:rsidRPr="00E97620">
              <w:rPr>
                <w:sz w:val="20"/>
                <w:szCs w:val="20"/>
              </w:rPr>
              <w:t xml:space="preserve">entry points for innovative sectoral governance approaches and new </w:t>
            </w:r>
            <w:r w:rsidR="00B91FB2" w:rsidRPr="00E97620">
              <w:rPr>
                <w:sz w:val="20"/>
                <w:szCs w:val="20"/>
              </w:rPr>
              <w:t xml:space="preserve">opportunities to realign programmatic support </w:t>
            </w:r>
            <w:r w:rsidR="00286E9F" w:rsidRPr="00E97620">
              <w:rPr>
                <w:sz w:val="20"/>
                <w:szCs w:val="20"/>
              </w:rPr>
              <w:t xml:space="preserve">in </w:t>
            </w:r>
            <w:r w:rsidRPr="00E97620">
              <w:rPr>
                <w:sz w:val="20"/>
                <w:szCs w:val="20"/>
              </w:rPr>
              <w:t xml:space="preserve">democratic </w:t>
            </w:r>
            <w:r w:rsidR="00286E9F" w:rsidRPr="00E97620">
              <w:rPr>
                <w:sz w:val="20"/>
                <w:szCs w:val="20"/>
              </w:rPr>
              <w:t xml:space="preserve">governance and </w:t>
            </w:r>
            <w:r w:rsidRPr="00E97620">
              <w:rPr>
                <w:sz w:val="20"/>
                <w:szCs w:val="20"/>
              </w:rPr>
              <w:t xml:space="preserve">conflict prevention as a key enabler of </w:t>
            </w:r>
            <w:r w:rsidR="00343F24" w:rsidRPr="00E97620">
              <w:rPr>
                <w:sz w:val="20"/>
                <w:szCs w:val="20"/>
              </w:rPr>
              <w:t>the Sustainable Development Goals</w:t>
            </w:r>
          </w:p>
        </w:tc>
        <w:tc>
          <w:tcPr>
            <w:tcW w:w="2393" w:type="dxa"/>
            <w:gridSpan w:val="3"/>
            <w:hideMark/>
          </w:tcPr>
          <w:p w14:paraId="3B4105B8" w14:textId="77777777" w:rsidR="00B91FB2" w:rsidRPr="00E97620" w:rsidRDefault="00B91FB2" w:rsidP="00A508D7">
            <w:pPr>
              <w:rPr>
                <w:sz w:val="20"/>
                <w:szCs w:val="20"/>
              </w:rPr>
            </w:pPr>
            <w:r w:rsidRPr="00E97620">
              <w:rPr>
                <w:sz w:val="20"/>
                <w:szCs w:val="20"/>
              </w:rPr>
              <w:t> Ongoing</w:t>
            </w:r>
          </w:p>
        </w:tc>
        <w:tc>
          <w:tcPr>
            <w:tcW w:w="2393" w:type="dxa"/>
            <w:gridSpan w:val="3"/>
            <w:hideMark/>
          </w:tcPr>
          <w:p w14:paraId="48852B8D" w14:textId="5E417A41" w:rsidR="00B91FB2" w:rsidRPr="00E97620" w:rsidRDefault="00CF5C85" w:rsidP="00343F24">
            <w:pPr>
              <w:rPr>
                <w:sz w:val="20"/>
                <w:szCs w:val="20"/>
              </w:rPr>
            </w:pPr>
            <w:r w:rsidRPr="00E97620">
              <w:rPr>
                <w:sz w:val="20"/>
                <w:szCs w:val="20"/>
              </w:rPr>
              <w:t>BPPS in consultation w</w:t>
            </w:r>
            <w:r w:rsidR="008E4BE7" w:rsidRPr="00E97620">
              <w:rPr>
                <w:sz w:val="20"/>
                <w:szCs w:val="20"/>
              </w:rPr>
              <w:t xml:space="preserve">ith </w:t>
            </w:r>
            <w:r w:rsidR="00343F24" w:rsidRPr="00E97620">
              <w:rPr>
                <w:sz w:val="20"/>
                <w:szCs w:val="20"/>
              </w:rPr>
              <w:t>regional bureaux</w:t>
            </w:r>
            <w:r w:rsidRPr="00E97620">
              <w:rPr>
                <w:sz w:val="20"/>
                <w:szCs w:val="20"/>
              </w:rPr>
              <w:t xml:space="preserve">, </w:t>
            </w:r>
            <w:r w:rsidR="00343F24" w:rsidRPr="00E97620">
              <w:rPr>
                <w:sz w:val="20"/>
                <w:szCs w:val="20"/>
              </w:rPr>
              <w:t>resident coordinators/resident representatives</w:t>
            </w:r>
            <w:r w:rsidRPr="00E97620">
              <w:rPr>
                <w:sz w:val="20"/>
                <w:szCs w:val="20"/>
              </w:rPr>
              <w:t xml:space="preserve"> and </w:t>
            </w:r>
            <w:r w:rsidR="00343F24" w:rsidRPr="00E97620">
              <w:rPr>
                <w:sz w:val="20"/>
                <w:szCs w:val="20"/>
              </w:rPr>
              <w:t>country offices</w:t>
            </w:r>
          </w:p>
        </w:tc>
        <w:tc>
          <w:tcPr>
            <w:tcW w:w="2393" w:type="dxa"/>
            <w:gridSpan w:val="3"/>
            <w:hideMark/>
          </w:tcPr>
          <w:p w14:paraId="37E4938B" w14:textId="77777777" w:rsidR="00B91FB2" w:rsidRPr="00E97620" w:rsidRDefault="00B91FB2" w:rsidP="00A508D7">
            <w:pPr>
              <w:rPr>
                <w:sz w:val="20"/>
                <w:szCs w:val="20"/>
              </w:rPr>
            </w:pPr>
            <w:r w:rsidRPr="00E97620">
              <w:rPr>
                <w:sz w:val="20"/>
                <w:szCs w:val="20"/>
              </w:rPr>
              <w:t> </w:t>
            </w:r>
          </w:p>
        </w:tc>
        <w:tc>
          <w:tcPr>
            <w:tcW w:w="2393" w:type="dxa"/>
            <w:gridSpan w:val="3"/>
            <w:hideMark/>
          </w:tcPr>
          <w:p w14:paraId="56FD14BC" w14:textId="463E64CA" w:rsidR="00B91FB2" w:rsidRPr="00E97620" w:rsidRDefault="00B91FB2" w:rsidP="00A508D7">
            <w:pPr>
              <w:rPr>
                <w:sz w:val="20"/>
                <w:szCs w:val="20"/>
              </w:rPr>
            </w:pPr>
            <w:r w:rsidRPr="00E97620">
              <w:rPr>
                <w:sz w:val="20"/>
                <w:szCs w:val="20"/>
              </w:rPr>
              <w:t> </w:t>
            </w:r>
            <w:r w:rsidR="007C1B45" w:rsidRPr="00E97620">
              <w:rPr>
                <w:sz w:val="20"/>
                <w:szCs w:val="20"/>
              </w:rPr>
              <w:t xml:space="preserve">The Inter-Parliamentary Union /UNDP self-assessment toolkit, </w:t>
            </w:r>
            <w:r w:rsidR="007C1B45" w:rsidRPr="00E97620">
              <w:rPr>
                <w:i/>
                <w:sz w:val="20"/>
                <w:szCs w:val="20"/>
              </w:rPr>
              <w:t>Parliaments and the Sustainable Development Goals</w:t>
            </w:r>
            <w:r w:rsidR="007C1B45" w:rsidRPr="00E97620">
              <w:rPr>
                <w:sz w:val="20"/>
                <w:szCs w:val="20"/>
              </w:rPr>
              <w:t xml:space="preserve"> and the UNDP/ Global Organization of Parliamentarians against Corruption/ Islamic Development Bank handbook, </w:t>
            </w:r>
            <w:r w:rsidR="007C1B45" w:rsidRPr="00E97620">
              <w:rPr>
                <w:i/>
                <w:sz w:val="20"/>
                <w:szCs w:val="20"/>
              </w:rPr>
              <w:t>Parliament’s Role in Implementing the Sustainable Development Goals,</w:t>
            </w:r>
            <w:r w:rsidR="007C1B45" w:rsidRPr="00E97620">
              <w:rPr>
                <w:sz w:val="20"/>
                <w:szCs w:val="20"/>
              </w:rPr>
              <w:t xml:space="preserve"> were launched in 2017. Implementation is planned </w:t>
            </w:r>
            <w:r w:rsidR="00FC6097" w:rsidRPr="00E97620">
              <w:rPr>
                <w:sz w:val="20"/>
                <w:szCs w:val="20"/>
              </w:rPr>
              <w:t>via parliamentary</w:t>
            </w:r>
            <w:r w:rsidR="007C1B45" w:rsidRPr="00E97620">
              <w:rPr>
                <w:sz w:val="20"/>
                <w:szCs w:val="20"/>
              </w:rPr>
              <w:t xml:space="preserve"> programming to promote climate action;</w:t>
            </w:r>
            <w:r w:rsidR="007C1B45" w:rsidRPr="00E97620">
              <w:rPr>
                <w:rStyle w:val="FootnoteReference"/>
                <w:sz w:val="20"/>
                <w:szCs w:val="20"/>
              </w:rPr>
              <w:footnoteReference w:id="1"/>
            </w:r>
            <w:r w:rsidR="007C1B45" w:rsidRPr="00E97620">
              <w:rPr>
                <w:sz w:val="20"/>
                <w:szCs w:val="20"/>
              </w:rPr>
              <w:t>,  prevent HIV/AIDS and advance other thematic development priorities.</w:t>
            </w:r>
          </w:p>
        </w:tc>
      </w:tr>
      <w:tr w:rsidR="00DE5588" w:rsidRPr="00E97620" w14:paraId="58D2B4F0" w14:textId="77777777" w:rsidTr="00C70D28">
        <w:trPr>
          <w:trHeight w:val="315"/>
        </w:trPr>
        <w:tc>
          <w:tcPr>
            <w:tcW w:w="2393" w:type="dxa"/>
            <w:tcBorders>
              <w:bottom w:val="single" w:sz="4" w:space="0" w:color="auto"/>
            </w:tcBorders>
            <w:hideMark/>
          </w:tcPr>
          <w:p w14:paraId="3F349121" w14:textId="211606B8" w:rsidR="00694A4C" w:rsidRPr="00E97620" w:rsidRDefault="004C47C1" w:rsidP="004C47C1">
            <w:pPr>
              <w:rPr>
                <w:color w:val="000000" w:themeColor="text1"/>
                <w:sz w:val="20"/>
                <w:szCs w:val="20"/>
              </w:rPr>
            </w:pPr>
            <w:r w:rsidRPr="00E97620">
              <w:rPr>
                <w:color w:val="000000" w:themeColor="text1"/>
                <w:sz w:val="20"/>
                <w:szCs w:val="20"/>
              </w:rPr>
              <w:t>Through the UNDP partnership with OHCHR and the Global Alliance for National Human Rights Institutions, s</w:t>
            </w:r>
            <w:r w:rsidRPr="00E97620">
              <w:rPr>
                <w:color w:val="000000" w:themeColor="text1"/>
                <w:sz w:val="20"/>
                <w:szCs w:val="20"/>
                <w:lang w:val="en-GB"/>
              </w:rPr>
              <w:t>cale up joint support to national human rights institutions as key independent bodies</w:t>
            </w:r>
            <w:r w:rsidRPr="00E97620">
              <w:rPr>
                <w:rStyle w:val="apple-converted-space"/>
                <w:color w:val="000000" w:themeColor="text1"/>
                <w:sz w:val="20"/>
                <w:szCs w:val="20"/>
                <w:lang w:val="en-GB"/>
              </w:rPr>
              <w:t> </w:t>
            </w:r>
            <w:r w:rsidRPr="00E97620">
              <w:rPr>
                <w:color w:val="000000" w:themeColor="text1"/>
                <w:sz w:val="20"/>
                <w:szCs w:val="20"/>
              </w:rPr>
              <w:t>to promote and protect human rights</w:t>
            </w:r>
            <w:r w:rsidR="007C1B45" w:rsidRPr="00E97620">
              <w:rPr>
                <w:color w:val="000000" w:themeColor="text1"/>
                <w:sz w:val="20"/>
                <w:szCs w:val="20"/>
              </w:rPr>
              <w:t xml:space="preserve"> and </w:t>
            </w:r>
            <w:r w:rsidR="001E0DE8" w:rsidRPr="00E97620">
              <w:rPr>
                <w:color w:val="000000" w:themeColor="text1"/>
                <w:sz w:val="20"/>
                <w:szCs w:val="20"/>
              </w:rPr>
              <w:t>e</w:t>
            </w:r>
            <w:r w:rsidR="007C1B45" w:rsidRPr="00E97620">
              <w:rPr>
                <w:color w:val="000000" w:themeColor="text1"/>
                <w:sz w:val="20"/>
                <w:szCs w:val="20"/>
              </w:rPr>
              <w:t>nsure that no-one gets left behind</w:t>
            </w:r>
            <w:r w:rsidRPr="00E97620">
              <w:rPr>
                <w:color w:val="000000" w:themeColor="text1"/>
                <w:sz w:val="20"/>
                <w:szCs w:val="20"/>
              </w:rPr>
              <w:t>.</w:t>
            </w:r>
          </w:p>
        </w:tc>
        <w:tc>
          <w:tcPr>
            <w:tcW w:w="2393" w:type="dxa"/>
            <w:gridSpan w:val="3"/>
            <w:tcBorders>
              <w:bottom w:val="single" w:sz="4" w:space="0" w:color="auto"/>
            </w:tcBorders>
            <w:hideMark/>
          </w:tcPr>
          <w:p w14:paraId="5EB06BDD" w14:textId="77777777" w:rsidR="00694A4C" w:rsidRPr="00E97620" w:rsidRDefault="00694A4C" w:rsidP="00694A4C">
            <w:pPr>
              <w:rPr>
                <w:color w:val="000000" w:themeColor="text1"/>
                <w:sz w:val="20"/>
                <w:szCs w:val="20"/>
              </w:rPr>
            </w:pPr>
            <w:r w:rsidRPr="00E97620">
              <w:rPr>
                <w:color w:val="000000" w:themeColor="text1"/>
                <w:sz w:val="20"/>
                <w:szCs w:val="20"/>
              </w:rPr>
              <w:t> Ongoing</w:t>
            </w:r>
          </w:p>
        </w:tc>
        <w:tc>
          <w:tcPr>
            <w:tcW w:w="2393" w:type="dxa"/>
            <w:gridSpan w:val="3"/>
            <w:tcBorders>
              <w:bottom w:val="single" w:sz="4" w:space="0" w:color="auto"/>
            </w:tcBorders>
            <w:hideMark/>
          </w:tcPr>
          <w:p w14:paraId="3126E510" w14:textId="5B87C327" w:rsidR="00694A4C" w:rsidRPr="00E97620" w:rsidRDefault="00982805" w:rsidP="00D136F0">
            <w:pPr>
              <w:rPr>
                <w:color w:val="000000" w:themeColor="text1"/>
                <w:sz w:val="20"/>
                <w:szCs w:val="20"/>
              </w:rPr>
            </w:pPr>
            <w:r w:rsidRPr="00E97620">
              <w:rPr>
                <w:color w:val="000000" w:themeColor="text1"/>
                <w:sz w:val="20"/>
                <w:szCs w:val="20"/>
              </w:rPr>
              <w:t xml:space="preserve">BPPS in consultation with </w:t>
            </w:r>
            <w:r w:rsidR="00D136F0" w:rsidRPr="00E97620">
              <w:rPr>
                <w:color w:val="000000" w:themeColor="text1"/>
                <w:sz w:val="20"/>
                <w:szCs w:val="20"/>
              </w:rPr>
              <w:t>regional bureaux</w:t>
            </w:r>
            <w:r w:rsidRPr="00E97620">
              <w:rPr>
                <w:color w:val="000000" w:themeColor="text1"/>
                <w:sz w:val="20"/>
                <w:szCs w:val="20"/>
              </w:rPr>
              <w:t>,</w:t>
            </w:r>
            <w:r w:rsidR="00D136F0" w:rsidRPr="00E97620">
              <w:rPr>
                <w:sz w:val="20"/>
                <w:szCs w:val="20"/>
              </w:rPr>
              <w:t xml:space="preserve"> resident coordinators/resident representatives</w:t>
            </w:r>
            <w:r w:rsidRPr="00E97620">
              <w:rPr>
                <w:color w:val="000000" w:themeColor="text1"/>
                <w:sz w:val="20"/>
                <w:szCs w:val="20"/>
              </w:rPr>
              <w:t xml:space="preserve"> and </w:t>
            </w:r>
            <w:r w:rsidR="00D136F0" w:rsidRPr="00E97620">
              <w:rPr>
                <w:color w:val="000000" w:themeColor="text1"/>
                <w:sz w:val="20"/>
                <w:szCs w:val="20"/>
              </w:rPr>
              <w:t>country offices</w:t>
            </w:r>
          </w:p>
        </w:tc>
        <w:tc>
          <w:tcPr>
            <w:tcW w:w="2393" w:type="dxa"/>
            <w:gridSpan w:val="3"/>
            <w:tcBorders>
              <w:bottom w:val="single" w:sz="4" w:space="0" w:color="auto"/>
            </w:tcBorders>
            <w:hideMark/>
          </w:tcPr>
          <w:p w14:paraId="3C2E603E" w14:textId="77777777" w:rsidR="00694A4C" w:rsidRPr="00E97620" w:rsidRDefault="00694A4C" w:rsidP="00694A4C">
            <w:pPr>
              <w:rPr>
                <w:color w:val="000000" w:themeColor="text1"/>
                <w:sz w:val="20"/>
                <w:szCs w:val="20"/>
              </w:rPr>
            </w:pPr>
            <w:r w:rsidRPr="00E97620">
              <w:rPr>
                <w:color w:val="000000" w:themeColor="text1"/>
                <w:sz w:val="20"/>
                <w:szCs w:val="20"/>
              </w:rPr>
              <w:t> On track</w:t>
            </w:r>
          </w:p>
        </w:tc>
        <w:tc>
          <w:tcPr>
            <w:tcW w:w="2393" w:type="dxa"/>
            <w:gridSpan w:val="3"/>
            <w:tcBorders>
              <w:bottom w:val="single" w:sz="4" w:space="0" w:color="auto"/>
            </w:tcBorders>
            <w:hideMark/>
          </w:tcPr>
          <w:p w14:paraId="5A2F04A9" w14:textId="33B84BAB" w:rsidR="00694A4C" w:rsidRPr="00E97620" w:rsidRDefault="00694A4C" w:rsidP="000F537B">
            <w:pPr>
              <w:rPr>
                <w:color w:val="000000" w:themeColor="text1"/>
                <w:sz w:val="20"/>
                <w:szCs w:val="20"/>
              </w:rPr>
            </w:pPr>
            <w:r w:rsidRPr="00E97620">
              <w:rPr>
                <w:color w:val="000000" w:themeColor="text1"/>
                <w:sz w:val="20"/>
                <w:szCs w:val="20"/>
              </w:rPr>
              <w:t xml:space="preserve">A </w:t>
            </w:r>
            <w:r w:rsidR="000F537B" w:rsidRPr="00E97620">
              <w:rPr>
                <w:color w:val="000000" w:themeColor="text1"/>
                <w:sz w:val="20"/>
                <w:szCs w:val="20"/>
              </w:rPr>
              <w:t xml:space="preserve">letter </w:t>
            </w:r>
            <w:r w:rsidRPr="00E97620">
              <w:rPr>
                <w:color w:val="000000" w:themeColor="text1"/>
                <w:sz w:val="20"/>
                <w:szCs w:val="20"/>
              </w:rPr>
              <w:t xml:space="preserve">of </w:t>
            </w:r>
            <w:r w:rsidR="00FC6097" w:rsidRPr="00E97620">
              <w:rPr>
                <w:color w:val="000000" w:themeColor="text1"/>
                <w:sz w:val="20"/>
                <w:szCs w:val="20"/>
              </w:rPr>
              <w:t>intent between</w:t>
            </w:r>
            <w:r w:rsidRPr="00E97620">
              <w:rPr>
                <w:color w:val="000000" w:themeColor="text1"/>
                <w:sz w:val="20"/>
                <w:szCs w:val="20"/>
              </w:rPr>
              <w:t xml:space="preserve"> the partners to scale up joint support to </w:t>
            </w:r>
            <w:r w:rsidR="000F537B" w:rsidRPr="00E97620">
              <w:rPr>
                <w:color w:val="000000" w:themeColor="text1"/>
                <w:sz w:val="20"/>
                <w:szCs w:val="20"/>
              </w:rPr>
              <w:t xml:space="preserve">national human rights institutions was signed in 2017 </w:t>
            </w:r>
            <w:r w:rsidRPr="00E97620">
              <w:rPr>
                <w:color w:val="000000" w:themeColor="text1"/>
                <w:sz w:val="20"/>
                <w:szCs w:val="20"/>
              </w:rPr>
              <w:t>and a draft programing approach has been formulated</w:t>
            </w:r>
          </w:p>
        </w:tc>
      </w:tr>
      <w:tr w:rsidR="00286E9F" w:rsidRPr="00E97620" w14:paraId="1C0A37E4" w14:textId="77777777" w:rsidTr="00C70D28">
        <w:trPr>
          <w:trHeight w:val="343"/>
        </w:trPr>
        <w:tc>
          <w:tcPr>
            <w:tcW w:w="11965" w:type="dxa"/>
            <w:gridSpan w:val="13"/>
            <w:shd w:val="clear" w:color="auto" w:fill="D9D9D9" w:themeFill="background1" w:themeFillShade="D9"/>
            <w:hideMark/>
          </w:tcPr>
          <w:p w14:paraId="4B1C698E" w14:textId="26430A8A" w:rsidR="00286E9F" w:rsidRPr="00E97620" w:rsidRDefault="00286E9F" w:rsidP="00286E9F">
            <w:pPr>
              <w:rPr>
                <w:b/>
                <w:bCs/>
                <w:sz w:val="20"/>
                <w:szCs w:val="20"/>
              </w:rPr>
            </w:pPr>
            <w:r w:rsidRPr="00E97620">
              <w:rPr>
                <w:b/>
                <w:bCs/>
                <w:sz w:val="20"/>
                <w:szCs w:val="20"/>
              </w:rPr>
              <w:t>Recommendation 6</w:t>
            </w:r>
          </w:p>
        </w:tc>
      </w:tr>
      <w:tr w:rsidR="00286E9F" w:rsidRPr="00E97620" w14:paraId="0ADB12AC" w14:textId="77777777" w:rsidTr="00C70D28">
        <w:trPr>
          <w:trHeight w:val="930"/>
        </w:trPr>
        <w:tc>
          <w:tcPr>
            <w:tcW w:w="11965" w:type="dxa"/>
            <w:gridSpan w:val="13"/>
            <w:hideMark/>
          </w:tcPr>
          <w:p w14:paraId="4F0EEE5C" w14:textId="039ACB02" w:rsidR="00286E9F" w:rsidRPr="00E97620" w:rsidRDefault="00286E9F" w:rsidP="000C7037">
            <w:pPr>
              <w:spacing w:after="120"/>
              <w:jc w:val="both"/>
              <w:rPr>
                <w:sz w:val="20"/>
                <w:szCs w:val="20"/>
              </w:rPr>
            </w:pPr>
            <w:r w:rsidRPr="00E97620">
              <w:rPr>
                <w:sz w:val="20"/>
                <w:szCs w:val="20"/>
                <w:lang w:val="en-GB"/>
              </w:rPr>
              <w:t>Analysis of institutional capacities at the national level should guide UNDP governance programming in countries affected by conflict. Governance support needs to be targeted to critical government functions that are essential to stability. UNDP should more strategically support Sustainable Development Goal 16 and related intergovernmental agreements on peacebuilding and State-building.</w:t>
            </w:r>
          </w:p>
        </w:tc>
      </w:tr>
      <w:tr w:rsidR="00286E9F" w:rsidRPr="00E97620" w14:paraId="1C228C45" w14:textId="77777777" w:rsidTr="00C70D28">
        <w:trPr>
          <w:trHeight w:val="5653"/>
        </w:trPr>
        <w:tc>
          <w:tcPr>
            <w:tcW w:w="11965" w:type="dxa"/>
            <w:gridSpan w:val="13"/>
            <w:hideMark/>
          </w:tcPr>
          <w:p w14:paraId="1167FC65" w14:textId="77777777" w:rsidR="00286E9F" w:rsidRPr="00E97620" w:rsidRDefault="00286E9F" w:rsidP="00945A94">
            <w:pPr>
              <w:spacing w:after="160"/>
              <w:jc w:val="both"/>
              <w:rPr>
                <w:b/>
                <w:bCs/>
                <w:sz w:val="20"/>
                <w:szCs w:val="20"/>
              </w:rPr>
            </w:pPr>
            <w:r w:rsidRPr="00E97620">
              <w:rPr>
                <w:b/>
                <w:bCs/>
                <w:sz w:val="20"/>
                <w:szCs w:val="20"/>
              </w:rPr>
              <w:t>Management response:</w:t>
            </w:r>
          </w:p>
          <w:p w14:paraId="5D4A7319" w14:textId="59727BED" w:rsidR="00286E9F" w:rsidRPr="00E97620" w:rsidRDefault="009E5999" w:rsidP="000C7037">
            <w:pPr>
              <w:spacing w:after="120"/>
              <w:jc w:val="both"/>
              <w:rPr>
                <w:rFonts w:eastAsia="Calibri"/>
                <w:sz w:val="20"/>
                <w:szCs w:val="20"/>
              </w:rPr>
            </w:pPr>
            <w:r w:rsidRPr="00E97620">
              <w:rPr>
                <w:rFonts w:eastAsia="Calibri"/>
                <w:sz w:val="20"/>
                <w:szCs w:val="20"/>
              </w:rPr>
              <w:t>UNDP gives</w:t>
            </w:r>
            <w:r w:rsidR="00DE08AB" w:rsidRPr="00E97620">
              <w:rPr>
                <w:rFonts w:eastAsia="Calibri"/>
                <w:sz w:val="20"/>
                <w:szCs w:val="20"/>
              </w:rPr>
              <w:t xml:space="preserve"> </w:t>
            </w:r>
            <w:r w:rsidR="00C45547" w:rsidRPr="00E97620">
              <w:rPr>
                <w:rFonts w:eastAsia="Calibri"/>
                <w:sz w:val="20"/>
                <w:szCs w:val="20"/>
              </w:rPr>
              <w:t xml:space="preserve">specific consideration to this recommendation in its </w:t>
            </w:r>
            <w:r w:rsidR="00DE08AB" w:rsidRPr="00E97620">
              <w:rPr>
                <w:rFonts w:eastAsia="Calibri"/>
                <w:sz w:val="20"/>
                <w:szCs w:val="20"/>
              </w:rPr>
              <w:t xml:space="preserve">strategic plan, </w:t>
            </w:r>
            <w:r w:rsidR="00C45547" w:rsidRPr="00E97620">
              <w:rPr>
                <w:rFonts w:eastAsia="Calibri"/>
                <w:sz w:val="20"/>
                <w:szCs w:val="20"/>
              </w:rPr>
              <w:t>2018-2021</w:t>
            </w:r>
            <w:r w:rsidR="00DE08AB" w:rsidRPr="00E97620">
              <w:rPr>
                <w:rFonts w:eastAsia="Calibri"/>
                <w:sz w:val="20"/>
                <w:szCs w:val="20"/>
              </w:rPr>
              <w:t xml:space="preserve"> which is</w:t>
            </w:r>
            <w:r w:rsidR="00C45547" w:rsidRPr="00E97620">
              <w:rPr>
                <w:rFonts w:eastAsia="Calibri"/>
                <w:sz w:val="20"/>
                <w:szCs w:val="20"/>
              </w:rPr>
              <w:t xml:space="preserve"> currently </w:t>
            </w:r>
            <w:r w:rsidR="00974513" w:rsidRPr="00E97620">
              <w:rPr>
                <w:rFonts w:eastAsia="Calibri"/>
                <w:sz w:val="20"/>
                <w:szCs w:val="20"/>
              </w:rPr>
              <w:t>under formulation</w:t>
            </w:r>
            <w:r w:rsidR="00C45547" w:rsidRPr="00E97620">
              <w:rPr>
                <w:rFonts w:eastAsia="Calibri"/>
                <w:sz w:val="20"/>
                <w:szCs w:val="20"/>
              </w:rPr>
              <w:t>. Given</w:t>
            </w:r>
            <w:r w:rsidR="00286E9F" w:rsidRPr="00E97620">
              <w:rPr>
                <w:rFonts w:eastAsia="Calibri"/>
                <w:sz w:val="20"/>
                <w:szCs w:val="20"/>
              </w:rPr>
              <w:t xml:space="preserve"> the strategic importance of Goal 16</w:t>
            </w:r>
            <w:r w:rsidR="00C45547" w:rsidRPr="00E97620">
              <w:rPr>
                <w:rFonts w:eastAsia="Calibri"/>
                <w:sz w:val="20"/>
                <w:szCs w:val="20"/>
              </w:rPr>
              <w:t xml:space="preserve"> for the entire 2030 Agenda</w:t>
            </w:r>
            <w:r w:rsidR="00286E9F" w:rsidRPr="00E97620">
              <w:rPr>
                <w:rFonts w:eastAsia="Calibri"/>
                <w:sz w:val="20"/>
                <w:szCs w:val="20"/>
              </w:rPr>
              <w:t xml:space="preserve">, UNDP has been instrumental in launching the Global Alliance </w:t>
            </w:r>
            <w:r w:rsidR="00DE08AB" w:rsidRPr="00E97620">
              <w:rPr>
                <w:rFonts w:eastAsia="Calibri"/>
                <w:sz w:val="20"/>
                <w:szCs w:val="20"/>
              </w:rPr>
              <w:t xml:space="preserve">for </w:t>
            </w:r>
            <w:r w:rsidR="00286E9F" w:rsidRPr="00E97620">
              <w:rPr>
                <w:rFonts w:eastAsia="Calibri"/>
                <w:sz w:val="20"/>
                <w:szCs w:val="20"/>
              </w:rPr>
              <w:t xml:space="preserve">Reporting </w:t>
            </w:r>
            <w:r w:rsidR="00DE08AB" w:rsidRPr="00E97620">
              <w:rPr>
                <w:rFonts w:eastAsia="Calibri"/>
                <w:sz w:val="20"/>
                <w:szCs w:val="20"/>
              </w:rPr>
              <w:t xml:space="preserve">Progress on Promoting </w:t>
            </w:r>
            <w:r w:rsidR="00286E9F" w:rsidRPr="00E97620">
              <w:rPr>
                <w:rFonts w:eastAsia="Calibri"/>
                <w:sz w:val="20"/>
                <w:szCs w:val="20"/>
              </w:rPr>
              <w:t>Peaceful, Just and Inclusive Societies, which brings together Member States, civil society and the private sector, supported by a group of U</w:t>
            </w:r>
            <w:r w:rsidR="00DE08AB" w:rsidRPr="00E97620">
              <w:rPr>
                <w:rFonts w:eastAsia="Calibri"/>
                <w:sz w:val="20"/>
                <w:szCs w:val="20"/>
              </w:rPr>
              <w:t xml:space="preserve">nited </w:t>
            </w:r>
            <w:r w:rsidR="00286E9F" w:rsidRPr="00E97620">
              <w:rPr>
                <w:rFonts w:eastAsia="Calibri"/>
                <w:sz w:val="20"/>
                <w:szCs w:val="20"/>
              </w:rPr>
              <w:t>N</w:t>
            </w:r>
            <w:r w:rsidR="00DE08AB" w:rsidRPr="00E97620">
              <w:rPr>
                <w:rFonts w:eastAsia="Calibri"/>
                <w:sz w:val="20"/>
                <w:szCs w:val="20"/>
              </w:rPr>
              <w:t>ations</w:t>
            </w:r>
            <w:r w:rsidR="00286E9F" w:rsidRPr="00E97620">
              <w:rPr>
                <w:rFonts w:eastAsia="Calibri"/>
                <w:sz w:val="20"/>
                <w:szCs w:val="20"/>
              </w:rPr>
              <w:t xml:space="preserve"> partner entities. UNDP is also closely engaged in the piloting of Goal 16 monitoring in cooperation with the Open Government Partnership and the Community of Democracies. </w:t>
            </w:r>
          </w:p>
          <w:p w14:paraId="0C2E8012" w14:textId="337F79C8" w:rsidR="00286E9F" w:rsidRPr="00E97620" w:rsidRDefault="00286E9F" w:rsidP="000C7037">
            <w:pPr>
              <w:spacing w:after="120"/>
              <w:jc w:val="both"/>
              <w:rPr>
                <w:rFonts w:eastAsia="Calibri"/>
                <w:sz w:val="20"/>
                <w:szCs w:val="20"/>
              </w:rPr>
            </w:pPr>
            <w:r w:rsidRPr="00E97620">
              <w:rPr>
                <w:rFonts w:eastAsia="Calibri"/>
                <w:sz w:val="20"/>
                <w:szCs w:val="20"/>
              </w:rPr>
              <w:t>Recognizing the interconnectedness of the peace and development agendas, UNDP will continue to engage in international networks such as the International Network on Conflict and Fragility, the International Dialogue on Peacebuilding and State</w:t>
            </w:r>
            <w:r w:rsidR="00C70D28">
              <w:rPr>
                <w:rFonts w:eastAsia="Calibri"/>
                <w:sz w:val="20"/>
                <w:szCs w:val="20"/>
              </w:rPr>
              <w:t>-</w:t>
            </w:r>
            <w:r w:rsidRPr="00E97620">
              <w:rPr>
                <w:rFonts w:eastAsia="Calibri"/>
                <w:sz w:val="20"/>
                <w:szCs w:val="20"/>
              </w:rPr>
              <w:t>building and its strategic relationship with the g7+ group of countries, having signed a memorandum of understanding in 2016. As part of that engagement, UNDP in 2016 developed “SDG-Ready”</w:t>
            </w:r>
            <w:r w:rsidR="003E134D" w:rsidRPr="00E97620">
              <w:rPr>
                <w:rFonts w:eastAsia="Calibri"/>
                <w:sz w:val="20"/>
                <w:szCs w:val="20"/>
              </w:rPr>
              <w:t xml:space="preserve">, </w:t>
            </w:r>
            <w:r w:rsidR="00FC6097" w:rsidRPr="00E97620">
              <w:rPr>
                <w:rFonts w:eastAsia="Calibri"/>
                <w:sz w:val="20"/>
                <w:szCs w:val="20"/>
              </w:rPr>
              <w:t>the UNDP</w:t>
            </w:r>
            <w:r w:rsidR="003E134D" w:rsidRPr="00E97620">
              <w:rPr>
                <w:rFonts w:eastAsia="Calibri"/>
                <w:sz w:val="20"/>
                <w:szCs w:val="20"/>
              </w:rPr>
              <w:t xml:space="preserve"> </w:t>
            </w:r>
            <w:r w:rsidRPr="00E97620">
              <w:rPr>
                <w:rFonts w:eastAsia="Calibri"/>
                <w:sz w:val="20"/>
                <w:szCs w:val="20"/>
              </w:rPr>
              <w:t xml:space="preserve">offer on </w:t>
            </w:r>
            <w:r w:rsidR="003E134D" w:rsidRPr="00E97620">
              <w:rPr>
                <w:rFonts w:eastAsia="Calibri"/>
                <w:sz w:val="20"/>
                <w:szCs w:val="20"/>
              </w:rPr>
              <w:t xml:space="preserve">Sustainable Development Goal implementation </w:t>
            </w:r>
            <w:r w:rsidRPr="00E97620">
              <w:rPr>
                <w:rFonts w:eastAsia="Calibri"/>
                <w:sz w:val="20"/>
                <w:szCs w:val="20"/>
              </w:rPr>
              <w:t xml:space="preserve">in </w:t>
            </w:r>
            <w:r w:rsidR="003E134D" w:rsidRPr="00E97620">
              <w:rPr>
                <w:rFonts w:eastAsia="Calibri"/>
                <w:sz w:val="20"/>
                <w:szCs w:val="20"/>
              </w:rPr>
              <w:t xml:space="preserve">fragile </w:t>
            </w:r>
            <w:r w:rsidRPr="00E97620">
              <w:rPr>
                <w:rFonts w:eastAsia="Calibri"/>
                <w:sz w:val="20"/>
                <w:szCs w:val="20"/>
              </w:rPr>
              <w:t xml:space="preserve">situations. UNDP will continue to advocate for the New Deal for Engagement in Fragile States internationally as well as at country level, promoting the principles of the New Deal in aid coordination, use of country systems, Sustainable Development Goal implementation, the Sustaining Peace Agenda and peacebuilding and State-building efforts.  </w:t>
            </w:r>
          </w:p>
          <w:p w14:paraId="6EF3DAEC" w14:textId="7983F9A7" w:rsidR="00B91450" w:rsidRPr="00E97620" w:rsidRDefault="00286E9F" w:rsidP="00B91450">
            <w:pPr>
              <w:spacing w:before="240"/>
              <w:jc w:val="both"/>
              <w:rPr>
                <w:bCs/>
                <w:sz w:val="20"/>
                <w:szCs w:val="20"/>
              </w:rPr>
            </w:pPr>
            <w:r w:rsidRPr="00E97620">
              <w:rPr>
                <w:bCs/>
                <w:sz w:val="20"/>
                <w:szCs w:val="20"/>
              </w:rPr>
              <w:t>In June, 2017 the United Nations and the World Bank completed and officially released the first joint </w:t>
            </w:r>
            <w:r w:rsidRPr="00E97620">
              <w:rPr>
                <w:bCs/>
                <w:iCs/>
                <w:sz w:val="20"/>
                <w:szCs w:val="20"/>
              </w:rPr>
              <w:t>diagnostic framework on core government functions in fragile and conflict-affected settings</w:t>
            </w:r>
            <w:r w:rsidRPr="00E97620">
              <w:rPr>
                <w:bCs/>
                <w:sz w:val="20"/>
                <w:szCs w:val="20"/>
              </w:rPr>
              <w:t xml:space="preserve">, for which UNDP has played a leading </w:t>
            </w:r>
            <w:r w:rsidR="00945A94" w:rsidRPr="00E97620">
              <w:rPr>
                <w:bCs/>
                <w:sz w:val="20"/>
                <w:szCs w:val="20"/>
              </w:rPr>
              <w:t>role within</w:t>
            </w:r>
            <w:r w:rsidRPr="00E97620">
              <w:rPr>
                <w:bCs/>
                <w:sz w:val="20"/>
                <w:szCs w:val="20"/>
              </w:rPr>
              <w:t xml:space="preserve"> the United Nations system. The framework includes a set of joint principles for assessing critical government functions that are essential to stability, peacebuilding and State-building processes. Its objective is to provide an initial assessment of key issues, priorities and entry points around the six core government functions of executive coordination at the centre of government, local governance, public financial management, civil service, security sector and aid management. UNDP is already providing support in a number of countries based on the diagnostic, including the Central African Republic, Libya and South Sudan, and initial discussions are underway to apply some aspects in Cameroon and Yemen.  UNDP is working through the Inter-Agency Platform on Core Government Functions (co-chaired by UNDP and the Department of Political Affairs) to embed this framework in existing assessment and planning processes such as recovery and peacebuilding assessments and conflict-related development analyses.</w:t>
            </w:r>
          </w:p>
        </w:tc>
      </w:tr>
      <w:tr w:rsidR="00DE5588" w:rsidRPr="00E97620" w14:paraId="181FCFAF" w14:textId="77777777" w:rsidTr="00C70D28">
        <w:trPr>
          <w:trHeight w:val="991"/>
        </w:trPr>
        <w:tc>
          <w:tcPr>
            <w:tcW w:w="2423" w:type="dxa"/>
            <w:gridSpan w:val="2"/>
            <w:hideMark/>
          </w:tcPr>
          <w:p w14:paraId="4C136D41" w14:textId="042D8A4C" w:rsidR="00286E9F" w:rsidRPr="00E97620" w:rsidRDefault="00286E9F" w:rsidP="00C70D28">
            <w:pPr>
              <w:rPr>
                <w:rFonts w:eastAsia="HGSoeiKakugothicUB"/>
                <w:sz w:val="20"/>
                <w:szCs w:val="20"/>
              </w:rPr>
            </w:pPr>
            <w:r w:rsidRPr="00E97620">
              <w:rPr>
                <w:rFonts w:eastAsia="HGSoeiKakugothicUB"/>
                <w:sz w:val="20"/>
                <w:szCs w:val="20"/>
              </w:rPr>
              <w:t>Continue to engage in international forums on peacebuilding and State</w:t>
            </w:r>
            <w:r w:rsidR="003E134D" w:rsidRPr="00E97620">
              <w:rPr>
                <w:rFonts w:eastAsia="HGSoeiKakugothicUB"/>
                <w:sz w:val="20"/>
                <w:szCs w:val="20"/>
              </w:rPr>
              <w:t>-</w:t>
            </w:r>
            <w:r w:rsidRPr="00E97620">
              <w:rPr>
                <w:rFonts w:eastAsia="HGSoeiKakugothicUB"/>
                <w:sz w:val="20"/>
                <w:szCs w:val="20"/>
              </w:rPr>
              <w:t>building.</w:t>
            </w:r>
          </w:p>
        </w:tc>
        <w:tc>
          <w:tcPr>
            <w:tcW w:w="2423" w:type="dxa"/>
            <w:gridSpan w:val="3"/>
            <w:hideMark/>
          </w:tcPr>
          <w:p w14:paraId="20534775" w14:textId="77777777" w:rsidR="00286E9F" w:rsidRPr="00E97620" w:rsidRDefault="00286E9F" w:rsidP="00286E9F">
            <w:pPr>
              <w:rPr>
                <w:rFonts w:eastAsia="HGSoeiKakugothicUB"/>
                <w:sz w:val="20"/>
                <w:szCs w:val="20"/>
              </w:rPr>
            </w:pPr>
            <w:r w:rsidRPr="00E97620">
              <w:rPr>
                <w:rFonts w:eastAsia="HGSoeiKakugothicUB"/>
                <w:sz w:val="20"/>
                <w:szCs w:val="20"/>
              </w:rPr>
              <w:t>Ongoing</w:t>
            </w:r>
          </w:p>
        </w:tc>
        <w:tc>
          <w:tcPr>
            <w:tcW w:w="2423" w:type="dxa"/>
            <w:gridSpan w:val="3"/>
            <w:hideMark/>
          </w:tcPr>
          <w:p w14:paraId="35E91C1C" w14:textId="621F38C9" w:rsidR="00286E9F" w:rsidRPr="00E97620" w:rsidRDefault="00286E9F" w:rsidP="003E134D">
            <w:pPr>
              <w:rPr>
                <w:rFonts w:eastAsia="HGSoeiKakugothicUB"/>
                <w:sz w:val="20"/>
                <w:szCs w:val="20"/>
              </w:rPr>
            </w:pPr>
            <w:r w:rsidRPr="00E97620">
              <w:rPr>
                <w:rFonts w:eastAsia="HGSoeiKakugothicUB"/>
                <w:sz w:val="20"/>
                <w:szCs w:val="20"/>
              </w:rPr>
              <w:t> BPPS (</w:t>
            </w:r>
            <w:r w:rsidR="003E134D" w:rsidRPr="00E97620">
              <w:rPr>
                <w:rFonts w:eastAsia="HGSoeiKakugothicUB"/>
                <w:sz w:val="20"/>
                <w:szCs w:val="20"/>
              </w:rPr>
              <w:t>Strategic Positioning Unit (</w:t>
            </w:r>
            <w:r w:rsidRPr="00E97620">
              <w:rPr>
                <w:rFonts w:eastAsia="HGSoeiKakugothicUB"/>
                <w:sz w:val="20"/>
                <w:szCs w:val="20"/>
              </w:rPr>
              <w:t>SPU</w:t>
            </w:r>
            <w:r w:rsidR="003E134D" w:rsidRPr="00E97620">
              <w:rPr>
                <w:rFonts w:eastAsia="HGSoeiKakugothicUB"/>
                <w:sz w:val="20"/>
                <w:szCs w:val="20"/>
              </w:rPr>
              <w:t>)</w:t>
            </w:r>
            <w:r w:rsidRPr="00E97620">
              <w:rPr>
                <w:rFonts w:eastAsia="HGSoeiKakugothicUB"/>
                <w:sz w:val="20"/>
                <w:szCs w:val="20"/>
              </w:rPr>
              <w:t xml:space="preserve">, </w:t>
            </w:r>
            <w:r w:rsidR="003E134D" w:rsidRPr="00E97620">
              <w:rPr>
                <w:rFonts w:eastAsia="HGSoeiKakugothicUB"/>
                <w:sz w:val="20"/>
                <w:szCs w:val="20"/>
              </w:rPr>
              <w:t>Governance and Peacebuilding</w:t>
            </w:r>
            <w:r w:rsidR="00741743" w:rsidRPr="00E97620">
              <w:rPr>
                <w:rFonts w:eastAsia="HGSoeiKakugothicUB"/>
                <w:sz w:val="20"/>
                <w:szCs w:val="20"/>
              </w:rPr>
              <w:t xml:space="preserve"> Unit</w:t>
            </w:r>
          </w:p>
        </w:tc>
        <w:tc>
          <w:tcPr>
            <w:tcW w:w="2423" w:type="dxa"/>
            <w:gridSpan w:val="3"/>
            <w:hideMark/>
          </w:tcPr>
          <w:p w14:paraId="4AE83863" w14:textId="77777777" w:rsidR="00286E9F" w:rsidRPr="00E97620" w:rsidRDefault="00286E9F" w:rsidP="00286E9F">
            <w:pPr>
              <w:rPr>
                <w:sz w:val="20"/>
                <w:szCs w:val="20"/>
              </w:rPr>
            </w:pPr>
            <w:r w:rsidRPr="00E97620">
              <w:rPr>
                <w:sz w:val="20"/>
                <w:szCs w:val="20"/>
              </w:rPr>
              <w:t> </w:t>
            </w:r>
          </w:p>
        </w:tc>
        <w:tc>
          <w:tcPr>
            <w:tcW w:w="2273" w:type="dxa"/>
            <w:gridSpan w:val="2"/>
            <w:hideMark/>
          </w:tcPr>
          <w:p w14:paraId="49C7FC1D" w14:textId="77777777" w:rsidR="00286E9F" w:rsidRPr="00E97620" w:rsidRDefault="00286E9F" w:rsidP="00286E9F">
            <w:pPr>
              <w:rPr>
                <w:sz w:val="20"/>
                <w:szCs w:val="20"/>
              </w:rPr>
            </w:pPr>
            <w:r w:rsidRPr="00E97620">
              <w:rPr>
                <w:sz w:val="20"/>
                <w:szCs w:val="20"/>
              </w:rPr>
              <w:t> </w:t>
            </w:r>
          </w:p>
        </w:tc>
      </w:tr>
      <w:tr w:rsidR="00DE5588" w:rsidRPr="00E97620" w14:paraId="4FB2CD59" w14:textId="77777777" w:rsidTr="00C70D28">
        <w:trPr>
          <w:trHeight w:val="1513"/>
        </w:trPr>
        <w:tc>
          <w:tcPr>
            <w:tcW w:w="2429" w:type="dxa"/>
            <w:gridSpan w:val="3"/>
            <w:tcBorders>
              <w:bottom w:val="single" w:sz="4" w:space="0" w:color="auto"/>
            </w:tcBorders>
            <w:hideMark/>
          </w:tcPr>
          <w:p w14:paraId="47FC484D" w14:textId="77777777" w:rsidR="00286E9F" w:rsidRPr="00E97620" w:rsidRDefault="00286E9F" w:rsidP="00286E9F">
            <w:pPr>
              <w:rPr>
                <w:rFonts w:eastAsia="HGSoeiKakugothicUB"/>
                <w:color w:val="000000" w:themeColor="text1"/>
                <w:sz w:val="20"/>
                <w:szCs w:val="20"/>
              </w:rPr>
            </w:pPr>
            <w:r w:rsidRPr="00E97620">
              <w:rPr>
                <w:rFonts w:eastAsia="HGSoeiKakugothicUB"/>
                <w:color w:val="000000" w:themeColor="text1"/>
                <w:sz w:val="20"/>
                <w:szCs w:val="20"/>
              </w:rPr>
              <w:t>Apply core government function diagnostic framework in fragile and conflict-affected countries</w:t>
            </w:r>
          </w:p>
        </w:tc>
        <w:tc>
          <w:tcPr>
            <w:tcW w:w="2429" w:type="dxa"/>
            <w:gridSpan w:val="3"/>
            <w:tcBorders>
              <w:bottom w:val="single" w:sz="4" w:space="0" w:color="auto"/>
            </w:tcBorders>
            <w:hideMark/>
          </w:tcPr>
          <w:p w14:paraId="346E7A81" w14:textId="77777777" w:rsidR="00286E9F" w:rsidRPr="00E97620" w:rsidRDefault="00286E9F" w:rsidP="00286E9F">
            <w:pPr>
              <w:rPr>
                <w:rFonts w:eastAsia="HGSoeiKakugothicUB"/>
                <w:color w:val="000000" w:themeColor="text1"/>
                <w:sz w:val="20"/>
                <w:szCs w:val="20"/>
              </w:rPr>
            </w:pPr>
            <w:r w:rsidRPr="00E97620">
              <w:rPr>
                <w:rFonts w:eastAsia="HGSoeiKakugothicUB"/>
                <w:color w:val="000000" w:themeColor="text1"/>
                <w:sz w:val="20"/>
                <w:szCs w:val="20"/>
              </w:rPr>
              <w:t> Ongoing</w:t>
            </w:r>
          </w:p>
        </w:tc>
        <w:tc>
          <w:tcPr>
            <w:tcW w:w="2429" w:type="dxa"/>
            <w:gridSpan w:val="3"/>
            <w:tcBorders>
              <w:bottom w:val="single" w:sz="4" w:space="0" w:color="auto"/>
            </w:tcBorders>
            <w:hideMark/>
          </w:tcPr>
          <w:p w14:paraId="0D5E7A1D" w14:textId="4F3BA30B" w:rsidR="00286E9F" w:rsidRPr="00E97620" w:rsidRDefault="00286E9F" w:rsidP="000C7037">
            <w:pPr>
              <w:rPr>
                <w:rFonts w:eastAsia="HGSoeiKakugothicUB"/>
                <w:color w:val="000000" w:themeColor="text1"/>
                <w:sz w:val="20"/>
                <w:szCs w:val="20"/>
              </w:rPr>
            </w:pPr>
            <w:r w:rsidRPr="00E97620">
              <w:rPr>
                <w:rFonts w:eastAsia="HGSoeiKakugothicUB"/>
                <w:color w:val="000000" w:themeColor="text1"/>
                <w:sz w:val="20"/>
                <w:szCs w:val="20"/>
              </w:rPr>
              <w:t>BPPS/</w:t>
            </w:r>
            <w:r w:rsidR="00741743" w:rsidRPr="00E97620">
              <w:rPr>
                <w:rFonts w:eastAsia="HGSoeiKakugothicUB"/>
                <w:sz w:val="20"/>
                <w:szCs w:val="20"/>
              </w:rPr>
              <w:t>Governance and Peacebuilding</w:t>
            </w:r>
            <w:r w:rsidRPr="00E97620">
              <w:rPr>
                <w:rFonts w:eastAsia="HGSoeiKakugothicUB"/>
                <w:color w:val="000000" w:themeColor="text1"/>
                <w:sz w:val="20"/>
                <w:szCs w:val="20"/>
              </w:rPr>
              <w:t xml:space="preserve"> in collaboration with </w:t>
            </w:r>
            <w:r w:rsidR="003E134D" w:rsidRPr="00E97620">
              <w:rPr>
                <w:rFonts w:eastAsia="HGSoeiKakugothicUB"/>
                <w:color w:val="000000" w:themeColor="text1"/>
                <w:sz w:val="20"/>
                <w:szCs w:val="20"/>
              </w:rPr>
              <w:t xml:space="preserve">regional </w:t>
            </w:r>
            <w:r w:rsidRPr="00E97620">
              <w:rPr>
                <w:rFonts w:eastAsia="HGSoeiKakugothicUB"/>
                <w:color w:val="000000" w:themeColor="text1"/>
                <w:sz w:val="20"/>
                <w:szCs w:val="20"/>
              </w:rPr>
              <w:t xml:space="preserve">bureaux, </w:t>
            </w:r>
            <w:r w:rsidR="003E134D" w:rsidRPr="00E97620">
              <w:rPr>
                <w:rFonts w:eastAsia="HGSoeiKakugothicUB"/>
                <w:sz w:val="20"/>
                <w:szCs w:val="20"/>
              </w:rPr>
              <w:t>resident coordinators/resident representatives</w:t>
            </w:r>
            <w:r w:rsidRPr="00E97620">
              <w:rPr>
                <w:rFonts w:eastAsia="HGSoeiKakugothicUB"/>
                <w:color w:val="000000" w:themeColor="text1"/>
                <w:sz w:val="20"/>
                <w:szCs w:val="20"/>
              </w:rPr>
              <w:t xml:space="preserve"> and </w:t>
            </w:r>
            <w:r w:rsidR="00741743" w:rsidRPr="00E97620">
              <w:rPr>
                <w:rFonts w:eastAsia="HGSoeiKakugothicUB"/>
                <w:color w:val="000000" w:themeColor="text1"/>
                <w:sz w:val="20"/>
                <w:szCs w:val="20"/>
              </w:rPr>
              <w:t>country offices</w:t>
            </w:r>
          </w:p>
        </w:tc>
        <w:tc>
          <w:tcPr>
            <w:tcW w:w="2429" w:type="dxa"/>
            <w:gridSpan w:val="3"/>
            <w:tcBorders>
              <w:bottom w:val="single" w:sz="4" w:space="0" w:color="auto"/>
            </w:tcBorders>
            <w:hideMark/>
          </w:tcPr>
          <w:p w14:paraId="7C7F5671" w14:textId="77777777" w:rsidR="00286E9F" w:rsidRPr="00E97620" w:rsidRDefault="00286E9F" w:rsidP="00286E9F">
            <w:pPr>
              <w:rPr>
                <w:sz w:val="20"/>
                <w:szCs w:val="20"/>
              </w:rPr>
            </w:pPr>
            <w:r w:rsidRPr="00E97620">
              <w:rPr>
                <w:sz w:val="20"/>
                <w:szCs w:val="20"/>
              </w:rPr>
              <w:t> </w:t>
            </w:r>
          </w:p>
        </w:tc>
        <w:tc>
          <w:tcPr>
            <w:tcW w:w="2249" w:type="dxa"/>
            <w:tcBorders>
              <w:bottom w:val="single" w:sz="4" w:space="0" w:color="auto"/>
            </w:tcBorders>
            <w:hideMark/>
          </w:tcPr>
          <w:p w14:paraId="3C2417D3" w14:textId="77777777" w:rsidR="00286E9F" w:rsidRPr="00E97620" w:rsidRDefault="00286E9F" w:rsidP="00286E9F">
            <w:pPr>
              <w:rPr>
                <w:sz w:val="20"/>
                <w:szCs w:val="20"/>
              </w:rPr>
            </w:pPr>
            <w:r w:rsidRPr="00E97620">
              <w:rPr>
                <w:sz w:val="20"/>
                <w:szCs w:val="20"/>
              </w:rPr>
              <w:t> </w:t>
            </w:r>
          </w:p>
        </w:tc>
      </w:tr>
    </w:tbl>
    <w:p w14:paraId="7CB0C326" w14:textId="77777777" w:rsidR="00C70D28" w:rsidRDefault="00C70D28">
      <w:r>
        <w:br w:type="page"/>
      </w:r>
    </w:p>
    <w:tbl>
      <w:tblPr>
        <w:tblStyle w:val="TableGrid"/>
        <w:tblW w:w="11965" w:type="dxa"/>
        <w:tblLook w:val="04A0" w:firstRow="1" w:lastRow="0" w:firstColumn="1" w:lastColumn="0" w:noHBand="0" w:noVBand="1"/>
      </w:tblPr>
      <w:tblGrid>
        <w:gridCol w:w="2429"/>
        <w:gridCol w:w="2429"/>
        <w:gridCol w:w="2429"/>
        <w:gridCol w:w="2429"/>
        <w:gridCol w:w="2249"/>
      </w:tblGrid>
      <w:tr w:rsidR="00286E9F" w:rsidRPr="00E97620" w14:paraId="6B007B3E" w14:textId="77777777" w:rsidTr="00C70D28">
        <w:trPr>
          <w:trHeight w:val="300"/>
        </w:trPr>
        <w:tc>
          <w:tcPr>
            <w:tcW w:w="11965" w:type="dxa"/>
            <w:gridSpan w:val="5"/>
            <w:shd w:val="clear" w:color="auto" w:fill="D9D9D9" w:themeFill="background1" w:themeFillShade="D9"/>
            <w:hideMark/>
          </w:tcPr>
          <w:p w14:paraId="74DA050B" w14:textId="273378DF" w:rsidR="00286E9F" w:rsidRPr="00E97620" w:rsidRDefault="00286E9F" w:rsidP="00286E9F">
            <w:pPr>
              <w:rPr>
                <w:b/>
                <w:bCs/>
                <w:sz w:val="20"/>
                <w:szCs w:val="20"/>
              </w:rPr>
            </w:pPr>
            <w:r w:rsidRPr="00E97620">
              <w:rPr>
                <w:b/>
                <w:bCs/>
                <w:sz w:val="20"/>
                <w:szCs w:val="20"/>
              </w:rPr>
              <w:t>Recommendation 7</w:t>
            </w:r>
          </w:p>
        </w:tc>
      </w:tr>
      <w:tr w:rsidR="00286E9F" w:rsidRPr="00E97620" w14:paraId="621D00F5" w14:textId="77777777" w:rsidTr="00C70D28">
        <w:trPr>
          <w:trHeight w:val="856"/>
        </w:trPr>
        <w:tc>
          <w:tcPr>
            <w:tcW w:w="11965" w:type="dxa"/>
            <w:gridSpan w:val="5"/>
            <w:hideMark/>
          </w:tcPr>
          <w:p w14:paraId="0C84EA4B" w14:textId="77777777" w:rsidR="00286E9F" w:rsidRPr="00E97620" w:rsidRDefault="00286E9F" w:rsidP="00945A94">
            <w:pPr>
              <w:jc w:val="both"/>
              <w:rPr>
                <w:sz w:val="20"/>
                <w:szCs w:val="20"/>
              </w:rPr>
            </w:pPr>
            <w:r w:rsidRPr="00E97620">
              <w:rPr>
                <w:sz w:val="20"/>
                <w:szCs w:val="20"/>
              </w:rPr>
              <w:t xml:space="preserve"> UNDP should retain resilience as a distinct area of work under the next strategic plan so that stakeholders see this remaining a core area of the UNDP service offering. To strengthen the coherence of its crisis risk-reduction and recovery support, UNDP should continue to refine the roles and scope of service of BPPS and the Crisis Response Unit.</w:t>
            </w:r>
          </w:p>
        </w:tc>
      </w:tr>
      <w:tr w:rsidR="00286E9F" w:rsidRPr="00E97620" w14:paraId="230C2E80" w14:textId="77777777" w:rsidTr="00C70D28">
        <w:trPr>
          <w:trHeight w:val="710"/>
        </w:trPr>
        <w:tc>
          <w:tcPr>
            <w:tcW w:w="11965" w:type="dxa"/>
            <w:gridSpan w:val="5"/>
            <w:hideMark/>
          </w:tcPr>
          <w:p w14:paraId="0DBA9C4F" w14:textId="77777777" w:rsidR="00286E9F" w:rsidRPr="00E97620" w:rsidRDefault="00286E9F" w:rsidP="00945A94">
            <w:pPr>
              <w:spacing w:after="160"/>
              <w:jc w:val="both"/>
              <w:rPr>
                <w:sz w:val="20"/>
                <w:szCs w:val="20"/>
              </w:rPr>
            </w:pPr>
            <w:r w:rsidRPr="00E97620">
              <w:rPr>
                <w:b/>
                <w:bCs/>
                <w:sz w:val="20"/>
                <w:szCs w:val="20"/>
              </w:rPr>
              <w:t xml:space="preserve">Management response: </w:t>
            </w:r>
          </w:p>
          <w:p w14:paraId="4B0B4C5A" w14:textId="7F883C04" w:rsidR="00286E9F" w:rsidRPr="00E97620" w:rsidRDefault="00286E9F" w:rsidP="00945A94">
            <w:pPr>
              <w:spacing w:after="160"/>
              <w:jc w:val="both"/>
              <w:rPr>
                <w:b/>
                <w:bCs/>
                <w:sz w:val="20"/>
                <w:szCs w:val="20"/>
              </w:rPr>
            </w:pPr>
            <w:r w:rsidRPr="00E97620">
              <w:rPr>
                <w:sz w:val="20"/>
                <w:szCs w:val="20"/>
              </w:rPr>
              <w:t>UNDP</w:t>
            </w:r>
            <w:r w:rsidR="00C45547" w:rsidRPr="00E97620">
              <w:rPr>
                <w:sz w:val="20"/>
                <w:szCs w:val="20"/>
              </w:rPr>
              <w:t xml:space="preserve"> </w:t>
            </w:r>
            <w:r w:rsidR="005B032D" w:rsidRPr="00E97620">
              <w:rPr>
                <w:sz w:val="20"/>
                <w:szCs w:val="20"/>
              </w:rPr>
              <w:t xml:space="preserve">agrees with </w:t>
            </w:r>
            <w:r w:rsidR="00C45547" w:rsidRPr="00E97620">
              <w:rPr>
                <w:sz w:val="20"/>
                <w:szCs w:val="20"/>
              </w:rPr>
              <w:t xml:space="preserve">the recommendation and </w:t>
            </w:r>
            <w:r w:rsidR="00B651CE" w:rsidRPr="00E97620">
              <w:rPr>
                <w:sz w:val="20"/>
                <w:szCs w:val="20"/>
              </w:rPr>
              <w:t xml:space="preserve">will </w:t>
            </w:r>
            <w:r w:rsidR="005B032D" w:rsidRPr="00E97620">
              <w:rPr>
                <w:sz w:val="20"/>
                <w:szCs w:val="20"/>
              </w:rPr>
              <w:t>consider</w:t>
            </w:r>
            <w:r w:rsidR="00B651CE" w:rsidRPr="00E97620">
              <w:rPr>
                <w:sz w:val="20"/>
                <w:szCs w:val="20"/>
              </w:rPr>
              <w:t xml:space="preserve"> its approach to</w:t>
            </w:r>
            <w:r w:rsidR="00C45547" w:rsidRPr="00E97620">
              <w:rPr>
                <w:sz w:val="20"/>
                <w:szCs w:val="20"/>
              </w:rPr>
              <w:t xml:space="preserve"> resilience </w:t>
            </w:r>
            <w:r w:rsidR="00B651CE" w:rsidRPr="00E97620">
              <w:rPr>
                <w:sz w:val="20"/>
                <w:szCs w:val="20"/>
              </w:rPr>
              <w:t xml:space="preserve">building </w:t>
            </w:r>
            <w:r w:rsidR="00C45547" w:rsidRPr="00E97620">
              <w:rPr>
                <w:sz w:val="20"/>
                <w:szCs w:val="20"/>
              </w:rPr>
              <w:t xml:space="preserve">in the next </w:t>
            </w:r>
            <w:r w:rsidR="00741743" w:rsidRPr="00E97620">
              <w:rPr>
                <w:sz w:val="20"/>
                <w:szCs w:val="20"/>
              </w:rPr>
              <w:t>strategic plan</w:t>
            </w:r>
            <w:r w:rsidR="00C45547" w:rsidRPr="00E97620">
              <w:rPr>
                <w:sz w:val="20"/>
                <w:szCs w:val="20"/>
              </w:rPr>
              <w:t>, 2018-2021</w:t>
            </w:r>
            <w:r w:rsidR="00741743" w:rsidRPr="00E97620">
              <w:rPr>
                <w:sz w:val="20"/>
                <w:szCs w:val="20"/>
              </w:rPr>
              <w:t xml:space="preserve">, </w:t>
            </w:r>
            <w:r w:rsidR="00F727BE" w:rsidRPr="00E97620">
              <w:rPr>
                <w:sz w:val="20"/>
                <w:szCs w:val="20"/>
              </w:rPr>
              <w:t>drawing on</w:t>
            </w:r>
            <w:r w:rsidR="00B651CE" w:rsidRPr="00E97620">
              <w:rPr>
                <w:sz w:val="20"/>
                <w:szCs w:val="20"/>
              </w:rPr>
              <w:t xml:space="preserve"> </w:t>
            </w:r>
            <w:r w:rsidR="00F727BE" w:rsidRPr="00E97620">
              <w:rPr>
                <w:sz w:val="20"/>
                <w:szCs w:val="20"/>
              </w:rPr>
              <w:t xml:space="preserve">findings and recommendations of </w:t>
            </w:r>
            <w:r w:rsidRPr="00E97620">
              <w:rPr>
                <w:sz w:val="20"/>
                <w:szCs w:val="20"/>
              </w:rPr>
              <w:t xml:space="preserve">an external evaluation of the lessons learned from its role in early recovery coordination. </w:t>
            </w:r>
            <w:r w:rsidR="00741743" w:rsidRPr="00E97620">
              <w:rPr>
                <w:sz w:val="20"/>
                <w:szCs w:val="20"/>
              </w:rPr>
              <w:t xml:space="preserve">The </w:t>
            </w:r>
            <w:r w:rsidR="00F727BE" w:rsidRPr="00E97620">
              <w:rPr>
                <w:sz w:val="20"/>
                <w:szCs w:val="20"/>
              </w:rPr>
              <w:t xml:space="preserve">UNDP </w:t>
            </w:r>
            <w:r w:rsidRPr="00E97620">
              <w:rPr>
                <w:sz w:val="20"/>
                <w:szCs w:val="20"/>
              </w:rPr>
              <w:t>approach to early recovery coordination</w:t>
            </w:r>
            <w:r w:rsidR="00F727BE" w:rsidRPr="00E97620">
              <w:rPr>
                <w:sz w:val="20"/>
                <w:szCs w:val="20"/>
              </w:rPr>
              <w:t xml:space="preserve"> will be revisited</w:t>
            </w:r>
            <w:r w:rsidRPr="00E97620">
              <w:rPr>
                <w:sz w:val="20"/>
                <w:szCs w:val="20"/>
              </w:rPr>
              <w:t> in light of the QCPR and the New Way of Working.</w:t>
            </w:r>
            <w:r w:rsidRPr="00E97620">
              <w:rPr>
                <w:b/>
                <w:bCs/>
                <w:sz w:val="20"/>
                <w:szCs w:val="20"/>
              </w:rPr>
              <w:t xml:space="preserve">  </w:t>
            </w:r>
          </w:p>
          <w:p w14:paraId="569EBED7" w14:textId="055FB503" w:rsidR="00286E9F" w:rsidRPr="00E97620" w:rsidRDefault="009E5F8D" w:rsidP="000C7037">
            <w:pPr>
              <w:spacing w:after="120"/>
              <w:jc w:val="both"/>
              <w:rPr>
                <w:b/>
                <w:bCs/>
                <w:sz w:val="20"/>
                <w:szCs w:val="20"/>
              </w:rPr>
            </w:pPr>
            <w:r w:rsidRPr="00E97620">
              <w:rPr>
                <w:sz w:val="20"/>
                <w:szCs w:val="20"/>
              </w:rPr>
              <w:t>UNDP takes note of the recommendation about strengthening the coherence of its crisis prevention and recovery support, while recognizing that details regarding potential reforms of the United Nations peace and security architecture and wider development system will also guide UNDP work in these areas. </w:t>
            </w:r>
            <w:r w:rsidR="00C03498" w:rsidRPr="00E97620" w:rsidDel="00C03498">
              <w:rPr>
                <w:sz w:val="20"/>
                <w:szCs w:val="20"/>
              </w:rPr>
              <w:t xml:space="preserve"> </w:t>
            </w:r>
          </w:p>
        </w:tc>
      </w:tr>
      <w:tr w:rsidR="00DE5588" w:rsidRPr="00E97620" w14:paraId="66806FCE" w14:textId="77777777" w:rsidTr="00C70D28">
        <w:trPr>
          <w:trHeight w:val="1468"/>
        </w:trPr>
        <w:tc>
          <w:tcPr>
            <w:tcW w:w="2429" w:type="dxa"/>
            <w:hideMark/>
          </w:tcPr>
          <w:p w14:paraId="00C4870A" w14:textId="561AF8C9" w:rsidR="00D53CC4" w:rsidRPr="00E97620" w:rsidRDefault="00D53CC4" w:rsidP="00286E9F">
            <w:pPr>
              <w:rPr>
                <w:sz w:val="20"/>
                <w:szCs w:val="20"/>
              </w:rPr>
            </w:pPr>
            <w:r w:rsidRPr="00E97620">
              <w:rPr>
                <w:sz w:val="20"/>
                <w:szCs w:val="20"/>
              </w:rPr>
              <w:t>Review any financial, organizational and structural implications stemming from the new strategic plan, the SG priorities and wider United Nations reforms, to ensure a strong, coherent/integrated and well-resourced UNDP approach on crisis prevention, response and recovery.</w:t>
            </w:r>
          </w:p>
        </w:tc>
        <w:tc>
          <w:tcPr>
            <w:tcW w:w="2429" w:type="dxa"/>
            <w:hideMark/>
          </w:tcPr>
          <w:p w14:paraId="0E7D4DFF" w14:textId="43AFEF95" w:rsidR="00D53CC4" w:rsidRPr="00E97620" w:rsidRDefault="00D53CC4" w:rsidP="00286E9F">
            <w:pPr>
              <w:rPr>
                <w:sz w:val="20"/>
                <w:szCs w:val="20"/>
              </w:rPr>
            </w:pPr>
            <w:r w:rsidRPr="00E97620">
              <w:rPr>
                <w:sz w:val="20"/>
                <w:szCs w:val="20"/>
              </w:rPr>
              <w:t>Q1 2018</w:t>
            </w:r>
          </w:p>
        </w:tc>
        <w:tc>
          <w:tcPr>
            <w:tcW w:w="2429" w:type="dxa"/>
            <w:hideMark/>
          </w:tcPr>
          <w:p w14:paraId="7825EE6D" w14:textId="4F870982" w:rsidR="00D53CC4" w:rsidRPr="00E97620" w:rsidRDefault="00D53CC4" w:rsidP="00286E9F">
            <w:pPr>
              <w:rPr>
                <w:sz w:val="20"/>
                <w:szCs w:val="20"/>
              </w:rPr>
            </w:pPr>
            <w:r w:rsidRPr="00E97620">
              <w:rPr>
                <w:sz w:val="20"/>
                <w:szCs w:val="20"/>
              </w:rPr>
              <w:t>Executive Office/</w:t>
            </w:r>
            <w:r w:rsidR="00D011F3" w:rsidRPr="00E97620">
              <w:rPr>
                <w:sz w:val="20"/>
                <w:szCs w:val="20"/>
              </w:rPr>
              <w:t>BPPS/CRU</w:t>
            </w:r>
            <w:r w:rsidR="00151916" w:rsidRPr="00E97620">
              <w:rPr>
                <w:sz w:val="20"/>
                <w:szCs w:val="20"/>
              </w:rPr>
              <w:t>/RBx</w:t>
            </w:r>
          </w:p>
        </w:tc>
        <w:tc>
          <w:tcPr>
            <w:tcW w:w="2429" w:type="dxa"/>
            <w:hideMark/>
          </w:tcPr>
          <w:p w14:paraId="6238B92E" w14:textId="0CBD11AF" w:rsidR="00D53CC4" w:rsidRPr="00E97620" w:rsidRDefault="00D53CC4" w:rsidP="00286E9F">
            <w:pPr>
              <w:rPr>
                <w:sz w:val="20"/>
                <w:szCs w:val="20"/>
              </w:rPr>
            </w:pPr>
            <w:r w:rsidRPr="00E97620">
              <w:rPr>
                <w:sz w:val="20"/>
                <w:szCs w:val="20"/>
              </w:rPr>
              <w:t> </w:t>
            </w:r>
          </w:p>
        </w:tc>
        <w:tc>
          <w:tcPr>
            <w:tcW w:w="2249" w:type="dxa"/>
            <w:hideMark/>
          </w:tcPr>
          <w:p w14:paraId="3524F965" w14:textId="4C5C2297" w:rsidR="00D53CC4" w:rsidRPr="00E97620" w:rsidRDefault="00D53CC4" w:rsidP="00286E9F">
            <w:pPr>
              <w:rPr>
                <w:sz w:val="20"/>
                <w:szCs w:val="20"/>
              </w:rPr>
            </w:pPr>
            <w:r w:rsidRPr="00E97620">
              <w:rPr>
                <w:sz w:val="20"/>
                <w:szCs w:val="20"/>
              </w:rPr>
              <w:t> </w:t>
            </w:r>
          </w:p>
        </w:tc>
      </w:tr>
      <w:tr w:rsidR="00286E9F" w:rsidRPr="00E97620" w14:paraId="064B89A5" w14:textId="77777777" w:rsidTr="00C70D28">
        <w:trPr>
          <w:trHeight w:val="300"/>
        </w:trPr>
        <w:tc>
          <w:tcPr>
            <w:tcW w:w="11965" w:type="dxa"/>
            <w:gridSpan w:val="5"/>
            <w:shd w:val="clear" w:color="auto" w:fill="D9D9D9" w:themeFill="background1" w:themeFillShade="D9"/>
            <w:hideMark/>
          </w:tcPr>
          <w:p w14:paraId="70444658" w14:textId="77777777" w:rsidR="00286E9F" w:rsidRPr="00E97620" w:rsidRDefault="00286E9F" w:rsidP="00286E9F">
            <w:pPr>
              <w:rPr>
                <w:b/>
                <w:bCs/>
                <w:sz w:val="20"/>
                <w:szCs w:val="20"/>
              </w:rPr>
            </w:pPr>
            <w:r w:rsidRPr="00E97620">
              <w:rPr>
                <w:b/>
                <w:bCs/>
                <w:sz w:val="20"/>
                <w:szCs w:val="20"/>
              </w:rPr>
              <w:t>Recommendation 8</w:t>
            </w:r>
          </w:p>
        </w:tc>
      </w:tr>
      <w:tr w:rsidR="00286E9F" w:rsidRPr="00E97620" w14:paraId="7273C33F" w14:textId="77777777" w:rsidTr="00C70D28">
        <w:trPr>
          <w:trHeight w:val="570"/>
        </w:trPr>
        <w:tc>
          <w:tcPr>
            <w:tcW w:w="11965" w:type="dxa"/>
            <w:gridSpan w:val="5"/>
            <w:hideMark/>
          </w:tcPr>
          <w:p w14:paraId="1AEC332B" w14:textId="5C9FEDD5" w:rsidR="00286E9F" w:rsidRPr="00E97620" w:rsidRDefault="00286E9F" w:rsidP="000C7037">
            <w:pPr>
              <w:spacing w:after="120"/>
              <w:jc w:val="both"/>
              <w:rPr>
                <w:sz w:val="20"/>
                <w:szCs w:val="20"/>
              </w:rPr>
            </w:pPr>
            <w:r w:rsidRPr="00E97620">
              <w:rPr>
                <w:sz w:val="20"/>
                <w:szCs w:val="20"/>
              </w:rPr>
              <w:t xml:space="preserve">UNDP should strengthen implementation of its gender policies, taking measures to ensure adequate funding to mainstream gender across all programming areas. Work on gender equality and women's empowerment should not be confined to a gender team alone but should ensure that all large programmes have dedicated gender expertise. Specific attention needs to be paid to such areas as environment, energy and crisis response, where gender mainstreaming remains weak. </w:t>
            </w:r>
          </w:p>
        </w:tc>
      </w:tr>
      <w:tr w:rsidR="00286E9F" w:rsidRPr="00E97620" w14:paraId="709DCE9C" w14:textId="77777777" w:rsidTr="00C70D28">
        <w:trPr>
          <w:trHeight w:val="649"/>
        </w:trPr>
        <w:tc>
          <w:tcPr>
            <w:tcW w:w="11965" w:type="dxa"/>
            <w:gridSpan w:val="5"/>
            <w:hideMark/>
          </w:tcPr>
          <w:p w14:paraId="5E1644CA" w14:textId="77777777" w:rsidR="00286E9F" w:rsidRPr="00E97620" w:rsidRDefault="00286E9F" w:rsidP="00945A94">
            <w:pPr>
              <w:spacing w:after="160"/>
              <w:jc w:val="both"/>
              <w:rPr>
                <w:b/>
                <w:bCs/>
                <w:sz w:val="20"/>
                <w:szCs w:val="20"/>
              </w:rPr>
            </w:pPr>
            <w:r w:rsidRPr="00E97620">
              <w:rPr>
                <w:b/>
                <w:bCs/>
                <w:sz w:val="20"/>
                <w:szCs w:val="20"/>
              </w:rPr>
              <w:t>Management response:</w:t>
            </w:r>
          </w:p>
          <w:p w14:paraId="1759F1CC" w14:textId="55069CF8" w:rsidR="00286E9F" w:rsidRPr="00E97620" w:rsidRDefault="00844756" w:rsidP="00D558BA">
            <w:pPr>
              <w:spacing w:after="160"/>
              <w:jc w:val="both"/>
              <w:rPr>
                <w:bCs/>
                <w:sz w:val="20"/>
                <w:szCs w:val="20"/>
              </w:rPr>
            </w:pPr>
            <w:r w:rsidRPr="00E97620">
              <w:rPr>
                <w:sz w:val="20"/>
                <w:szCs w:val="20"/>
              </w:rPr>
              <w:t xml:space="preserve">UNDP agrees with the </w:t>
            </w:r>
            <w:r w:rsidR="00286E9F" w:rsidRPr="00E97620">
              <w:rPr>
                <w:sz w:val="20"/>
                <w:szCs w:val="20"/>
              </w:rPr>
              <w:t xml:space="preserve">recommendation and </w:t>
            </w:r>
            <w:r w:rsidR="00227028" w:rsidRPr="00E97620">
              <w:rPr>
                <w:sz w:val="20"/>
                <w:szCs w:val="20"/>
              </w:rPr>
              <w:t>aims to</w:t>
            </w:r>
            <w:r w:rsidR="00286E9F" w:rsidRPr="00E97620">
              <w:rPr>
                <w:sz w:val="20"/>
                <w:szCs w:val="20"/>
              </w:rPr>
              <w:t xml:space="preserve"> address it in the forthcoming gender equality strategy</w:t>
            </w:r>
            <w:r w:rsidR="003A531D" w:rsidRPr="00E97620">
              <w:rPr>
                <w:sz w:val="20"/>
                <w:szCs w:val="20"/>
              </w:rPr>
              <w:t xml:space="preserve"> which</w:t>
            </w:r>
            <w:r w:rsidR="00286E9F" w:rsidRPr="00E97620">
              <w:rPr>
                <w:sz w:val="20"/>
                <w:szCs w:val="20"/>
              </w:rPr>
              <w:t xml:space="preserve"> will include a more robust gender architecture, stronger accountability mechanisms and budgetary commitments as well as reporting targets. </w:t>
            </w:r>
            <w:r w:rsidR="00D558BA" w:rsidRPr="00E97620">
              <w:rPr>
                <w:sz w:val="20"/>
                <w:szCs w:val="20"/>
              </w:rPr>
              <w:t xml:space="preserve">Progress </w:t>
            </w:r>
            <w:r w:rsidR="00286E9F" w:rsidRPr="00E97620">
              <w:rPr>
                <w:sz w:val="20"/>
                <w:szCs w:val="20"/>
              </w:rPr>
              <w:t>will be reported through a strengthened Gender Steering and Implementation Committee and the annual report to the Executive Board. Emphasis will be placed on strengthening partnerships with UN-Women and other technical partners to deliver gender results across all programming areas.</w:t>
            </w:r>
          </w:p>
        </w:tc>
      </w:tr>
      <w:tr w:rsidR="00DE5588" w:rsidRPr="00E97620" w14:paraId="6DC7F705" w14:textId="77777777" w:rsidTr="00C70D28">
        <w:trPr>
          <w:trHeight w:val="300"/>
        </w:trPr>
        <w:tc>
          <w:tcPr>
            <w:tcW w:w="2429" w:type="dxa"/>
            <w:hideMark/>
          </w:tcPr>
          <w:p w14:paraId="0507F906" w14:textId="4AB8C967" w:rsidR="00286E9F" w:rsidRPr="00E97620" w:rsidRDefault="00DE0E21" w:rsidP="00741743">
            <w:pPr>
              <w:rPr>
                <w:sz w:val="20"/>
                <w:szCs w:val="20"/>
              </w:rPr>
            </w:pPr>
            <w:r w:rsidRPr="00E97620">
              <w:rPr>
                <w:sz w:val="20"/>
                <w:szCs w:val="20"/>
              </w:rPr>
              <w:t xml:space="preserve">Formulate </w:t>
            </w:r>
            <w:r w:rsidR="00286E9F" w:rsidRPr="00E97620">
              <w:rPr>
                <w:sz w:val="20"/>
                <w:szCs w:val="20"/>
              </w:rPr>
              <w:t xml:space="preserve">the new gender equality strategy to </w:t>
            </w:r>
            <w:r w:rsidR="00D82F6C" w:rsidRPr="00E97620">
              <w:rPr>
                <w:sz w:val="20"/>
                <w:szCs w:val="20"/>
              </w:rPr>
              <w:t>incorporate recommend</w:t>
            </w:r>
            <w:r w:rsidR="00925B5B" w:rsidRPr="00E97620">
              <w:rPr>
                <w:sz w:val="20"/>
                <w:szCs w:val="20"/>
              </w:rPr>
              <w:t xml:space="preserve">ed actions and </w:t>
            </w:r>
            <w:r w:rsidR="0092249A" w:rsidRPr="00E97620">
              <w:rPr>
                <w:sz w:val="20"/>
                <w:szCs w:val="20"/>
              </w:rPr>
              <w:t>mainstream gender across thematic areas</w:t>
            </w:r>
            <w:r w:rsidR="00D82F6C" w:rsidRPr="00E97620">
              <w:rPr>
                <w:sz w:val="20"/>
                <w:szCs w:val="20"/>
              </w:rPr>
              <w:t xml:space="preserve"> and </w:t>
            </w:r>
            <w:r w:rsidR="00286E9F" w:rsidRPr="00E97620">
              <w:rPr>
                <w:sz w:val="20"/>
                <w:szCs w:val="20"/>
              </w:rPr>
              <w:t>present</w:t>
            </w:r>
            <w:r w:rsidR="00D82F6C" w:rsidRPr="00E97620">
              <w:rPr>
                <w:sz w:val="20"/>
                <w:szCs w:val="20"/>
              </w:rPr>
              <w:t xml:space="preserve"> it</w:t>
            </w:r>
            <w:r w:rsidR="00286E9F" w:rsidRPr="00E97620">
              <w:rPr>
                <w:sz w:val="20"/>
                <w:szCs w:val="20"/>
              </w:rPr>
              <w:t xml:space="preserve"> to the Executive Board at the first regular session 2018</w:t>
            </w:r>
            <w:r w:rsidR="00D82F6C" w:rsidRPr="00E97620">
              <w:rPr>
                <w:sz w:val="20"/>
                <w:szCs w:val="20"/>
              </w:rPr>
              <w:t xml:space="preserve"> in line with the new </w:t>
            </w:r>
            <w:r w:rsidR="00741743" w:rsidRPr="00E97620">
              <w:rPr>
                <w:sz w:val="20"/>
                <w:szCs w:val="20"/>
              </w:rPr>
              <w:t xml:space="preserve">strategic plan, </w:t>
            </w:r>
            <w:r w:rsidR="00D82F6C" w:rsidRPr="00E97620">
              <w:rPr>
                <w:sz w:val="20"/>
                <w:szCs w:val="20"/>
              </w:rPr>
              <w:t>2018-2021</w:t>
            </w:r>
          </w:p>
        </w:tc>
        <w:tc>
          <w:tcPr>
            <w:tcW w:w="2429" w:type="dxa"/>
            <w:hideMark/>
          </w:tcPr>
          <w:p w14:paraId="1DE91DB8" w14:textId="28E89AEF" w:rsidR="00286E9F" w:rsidRPr="00E97620" w:rsidRDefault="00286E9F" w:rsidP="00286E9F">
            <w:pPr>
              <w:rPr>
                <w:sz w:val="20"/>
                <w:szCs w:val="20"/>
              </w:rPr>
            </w:pPr>
            <w:r w:rsidRPr="00E97620">
              <w:rPr>
                <w:sz w:val="20"/>
                <w:szCs w:val="20"/>
              </w:rPr>
              <w:t>January 2018</w:t>
            </w:r>
          </w:p>
        </w:tc>
        <w:tc>
          <w:tcPr>
            <w:tcW w:w="2429" w:type="dxa"/>
            <w:hideMark/>
          </w:tcPr>
          <w:p w14:paraId="1325DAB6" w14:textId="40072F9C" w:rsidR="00286E9F" w:rsidRPr="00E97620" w:rsidRDefault="00286E9F" w:rsidP="00286E9F">
            <w:pPr>
              <w:rPr>
                <w:sz w:val="20"/>
                <w:szCs w:val="20"/>
              </w:rPr>
            </w:pPr>
            <w:r w:rsidRPr="00E97620">
              <w:rPr>
                <w:sz w:val="20"/>
                <w:szCs w:val="20"/>
              </w:rPr>
              <w:t>BPPS/Gender Team</w:t>
            </w:r>
          </w:p>
        </w:tc>
        <w:tc>
          <w:tcPr>
            <w:tcW w:w="2429" w:type="dxa"/>
            <w:hideMark/>
          </w:tcPr>
          <w:p w14:paraId="2E443ACE" w14:textId="77777777" w:rsidR="00286E9F" w:rsidRPr="00E97620" w:rsidRDefault="00286E9F" w:rsidP="00286E9F">
            <w:pPr>
              <w:rPr>
                <w:sz w:val="20"/>
                <w:szCs w:val="20"/>
              </w:rPr>
            </w:pPr>
            <w:r w:rsidRPr="00E97620">
              <w:rPr>
                <w:sz w:val="20"/>
                <w:szCs w:val="20"/>
              </w:rPr>
              <w:t> </w:t>
            </w:r>
          </w:p>
        </w:tc>
        <w:tc>
          <w:tcPr>
            <w:tcW w:w="2249" w:type="dxa"/>
            <w:hideMark/>
          </w:tcPr>
          <w:p w14:paraId="0A90BDA4" w14:textId="77777777" w:rsidR="00286E9F" w:rsidRPr="00E97620" w:rsidRDefault="00286E9F" w:rsidP="00286E9F">
            <w:pPr>
              <w:rPr>
                <w:sz w:val="20"/>
                <w:szCs w:val="20"/>
              </w:rPr>
            </w:pPr>
            <w:r w:rsidRPr="00E97620">
              <w:rPr>
                <w:sz w:val="20"/>
                <w:szCs w:val="20"/>
              </w:rPr>
              <w:t> </w:t>
            </w:r>
          </w:p>
        </w:tc>
      </w:tr>
      <w:tr w:rsidR="00286E9F" w:rsidRPr="00E97620" w14:paraId="25361D8D" w14:textId="77777777" w:rsidTr="00C70D28">
        <w:trPr>
          <w:trHeight w:val="300"/>
        </w:trPr>
        <w:tc>
          <w:tcPr>
            <w:tcW w:w="11965" w:type="dxa"/>
            <w:gridSpan w:val="5"/>
            <w:shd w:val="clear" w:color="auto" w:fill="D9D9D9" w:themeFill="background1" w:themeFillShade="D9"/>
            <w:hideMark/>
          </w:tcPr>
          <w:p w14:paraId="30E390C8" w14:textId="77777777" w:rsidR="00286E9F" w:rsidRPr="00E97620" w:rsidRDefault="00286E9F" w:rsidP="00286E9F">
            <w:pPr>
              <w:rPr>
                <w:b/>
                <w:bCs/>
                <w:sz w:val="20"/>
                <w:szCs w:val="20"/>
              </w:rPr>
            </w:pPr>
            <w:r w:rsidRPr="00E97620">
              <w:rPr>
                <w:b/>
                <w:bCs/>
                <w:sz w:val="20"/>
                <w:szCs w:val="20"/>
              </w:rPr>
              <w:t>Recommendation 9</w:t>
            </w:r>
          </w:p>
        </w:tc>
      </w:tr>
      <w:tr w:rsidR="00286E9F" w:rsidRPr="00E97620" w14:paraId="4E6718CE" w14:textId="77777777" w:rsidTr="00C70D28">
        <w:trPr>
          <w:trHeight w:val="345"/>
        </w:trPr>
        <w:tc>
          <w:tcPr>
            <w:tcW w:w="11965" w:type="dxa"/>
            <w:gridSpan w:val="5"/>
            <w:hideMark/>
          </w:tcPr>
          <w:p w14:paraId="28187C59" w14:textId="77777777" w:rsidR="00286E9F" w:rsidRPr="00E97620" w:rsidRDefault="00286E9F" w:rsidP="000C7037">
            <w:pPr>
              <w:spacing w:after="120"/>
              <w:jc w:val="both"/>
              <w:rPr>
                <w:sz w:val="20"/>
                <w:szCs w:val="20"/>
              </w:rPr>
            </w:pPr>
            <w:r w:rsidRPr="00E97620">
              <w:rPr>
                <w:sz w:val="20"/>
                <w:szCs w:val="20"/>
              </w:rPr>
              <w:t>UNDP should take a more systematic approach to South-South cooperation, selecting specific areas and partners for expanded cooperation.</w:t>
            </w:r>
          </w:p>
        </w:tc>
      </w:tr>
      <w:tr w:rsidR="00286E9F" w:rsidRPr="00E97620" w14:paraId="18C3E8C2" w14:textId="77777777" w:rsidTr="00C70D28">
        <w:trPr>
          <w:trHeight w:val="1200"/>
        </w:trPr>
        <w:tc>
          <w:tcPr>
            <w:tcW w:w="11965" w:type="dxa"/>
            <w:gridSpan w:val="5"/>
            <w:hideMark/>
          </w:tcPr>
          <w:p w14:paraId="642F72B2" w14:textId="71C715D0" w:rsidR="00286E9F" w:rsidRPr="00E97620" w:rsidRDefault="00DE5588" w:rsidP="000C7037">
            <w:pPr>
              <w:spacing w:after="120"/>
              <w:jc w:val="both"/>
              <w:rPr>
                <w:b/>
                <w:bCs/>
                <w:sz w:val="20"/>
                <w:szCs w:val="20"/>
              </w:rPr>
            </w:pPr>
            <w:r>
              <w:rPr>
                <w:b/>
                <w:bCs/>
                <w:sz w:val="20"/>
                <w:szCs w:val="20"/>
              </w:rPr>
              <w:t>Management response:</w:t>
            </w:r>
          </w:p>
          <w:p w14:paraId="0B500B08" w14:textId="2771198A" w:rsidR="00286E9F" w:rsidRPr="00E97620" w:rsidRDefault="00286E9F" w:rsidP="00741743">
            <w:pPr>
              <w:spacing w:after="160"/>
              <w:jc w:val="both"/>
              <w:rPr>
                <w:bCs/>
                <w:sz w:val="20"/>
                <w:szCs w:val="20"/>
              </w:rPr>
            </w:pPr>
            <w:r w:rsidRPr="00E97620">
              <w:rPr>
                <w:sz w:val="20"/>
                <w:szCs w:val="20"/>
              </w:rPr>
              <w:t xml:space="preserve">UNDP </w:t>
            </w:r>
            <w:r w:rsidR="00844756" w:rsidRPr="00E97620">
              <w:rPr>
                <w:sz w:val="20"/>
                <w:szCs w:val="20"/>
              </w:rPr>
              <w:t>agrees with</w:t>
            </w:r>
            <w:r w:rsidR="00DD7752" w:rsidRPr="00E97620">
              <w:rPr>
                <w:sz w:val="20"/>
                <w:szCs w:val="20"/>
              </w:rPr>
              <w:t xml:space="preserve"> the recommendation and commits to strengthening its </w:t>
            </w:r>
            <w:r w:rsidRPr="00E97620">
              <w:rPr>
                <w:sz w:val="20"/>
                <w:szCs w:val="20"/>
              </w:rPr>
              <w:t xml:space="preserve">systematic approach to South-South and triangular cooperation </w:t>
            </w:r>
            <w:r w:rsidR="00741743" w:rsidRPr="00E97620">
              <w:rPr>
                <w:sz w:val="20"/>
                <w:szCs w:val="20"/>
              </w:rPr>
              <w:t xml:space="preserve">through </w:t>
            </w:r>
            <w:r w:rsidRPr="00E97620">
              <w:rPr>
                <w:sz w:val="20"/>
                <w:szCs w:val="20"/>
              </w:rPr>
              <w:t>leverag</w:t>
            </w:r>
            <w:r w:rsidR="00DD7752" w:rsidRPr="00E97620">
              <w:rPr>
                <w:sz w:val="20"/>
                <w:szCs w:val="20"/>
              </w:rPr>
              <w:t>ing</w:t>
            </w:r>
            <w:r w:rsidRPr="00E97620">
              <w:rPr>
                <w:sz w:val="20"/>
                <w:szCs w:val="20"/>
              </w:rPr>
              <w:t xml:space="preserve"> opportunities offered by the implementation of the </w:t>
            </w:r>
            <w:r w:rsidR="00741743" w:rsidRPr="00E97620">
              <w:rPr>
                <w:sz w:val="20"/>
                <w:szCs w:val="20"/>
              </w:rPr>
              <w:t xml:space="preserve">South-South </w:t>
            </w:r>
            <w:r w:rsidR="00FC6097" w:rsidRPr="00E97620">
              <w:rPr>
                <w:sz w:val="20"/>
                <w:szCs w:val="20"/>
              </w:rPr>
              <w:t>cooperation corporate</w:t>
            </w:r>
            <w:r w:rsidRPr="00E97620">
              <w:rPr>
                <w:sz w:val="20"/>
                <w:szCs w:val="20"/>
              </w:rPr>
              <w:t xml:space="preserve"> strategy. Through its strategic roles (knowledge broker, capacity builder and partnership facilitator), UNDP will contribute to the achievement of the Sustainable Development Goals by continuously taking stock of the challenges facing developing countries, systematically fostering exchanges and partnerships, supporting policy frameworks and institutional capacities, stimulating targeted research to </w:t>
            </w:r>
            <w:r w:rsidR="007159D7" w:rsidRPr="00E97620">
              <w:rPr>
                <w:sz w:val="20"/>
                <w:szCs w:val="20"/>
              </w:rPr>
              <w:t xml:space="preserve">inform </w:t>
            </w:r>
            <w:r w:rsidRPr="00E97620">
              <w:rPr>
                <w:sz w:val="20"/>
                <w:szCs w:val="20"/>
              </w:rPr>
              <w:t>global policy dialogues and relying more heavily on country programming as an efficient way to leverage South-South cooperation at the national level.</w:t>
            </w:r>
            <w:r w:rsidR="00602291" w:rsidRPr="00E97620">
              <w:rPr>
                <w:sz w:val="20"/>
                <w:szCs w:val="20"/>
              </w:rPr>
              <w:t xml:space="preserve"> In addition, UNDP continues to support the UN Development System through hosting the UN Office for South-South cooperation.</w:t>
            </w:r>
          </w:p>
        </w:tc>
      </w:tr>
      <w:tr w:rsidR="00DE5588" w:rsidRPr="00E97620" w14:paraId="1551C501" w14:textId="77777777" w:rsidTr="00C70D28">
        <w:trPr>
          <w:trHeight w:val="300"/>
        </w:trPr>
        <w:tc>
          <w:tcPr>
            <w:tcW w:w="2429" w:type="dxa"/>
            <w:hideMark/>
          </w:tcPr>
          <w:p w14:paraId="3B785946" w14:textId="1EB7917E" w:rsidR="00286E9F" w:rsidRPr="00E97620" w:rsidRDefault="00286E9F" w:rsidP="00741743">
            <w:pPr>
              <w:spacing w:after="160"/>
              <w:rPr>
                <w:bCs/>
                <w:sz w:val="20"/>
                <w:szCs w:val="20"/>
              </w:rPr>
            </w:pPr>
            <w:r w:rsidRPr="00E97620">
              <w:rPr>
                <w:sz w:val="20"/>
                <w:szCs w:val="20"/>
              </w:rPr>
              <w:t xml:space="preserve">Strengthen country programming to ensure systematic mainstreaming of </w:t>
            </w:r>
            <w:r w:rsidR="00741743" w:rsidRPr="00E97620">
              <w:rPr>
                <w:sz w:val="20"/>
                <w:szCs w:val="20"/>
              </w:rPr>
              <w:t xml:space="preserve">South-South cooperation </w:t>
            </w:r>
            <w:r w:rsidRPr="00E97620">
              <w:rPr>
                <w:sz w:val="20"/>
                <w:szCs w:val="20"/>
              </w:rPr>
              <w:t xml:space="preserve">in </w:t>
            </w:r>
            <w:r w:rsidR="00DD7752" w:rsidRPr="00E97620">
              <w:rPr>
                <w:sz w:val="20"/>
                <w:szCs w:val="20"/>
              </w:rPr>
              <w:t xml:space="preserve">all </w:t>
            </w:r>
            <w:r w:rsidRPr="00E97620">
              <w:rPr>
                <w:sz w:val="20"/>
                <w:szCs w:val="20"/>
              </w:rPr>
              <w:t>programme framework</w:t>
            </w:r>
            <w:r w:rsidR="00A4190F" w:rsidRPr="00E97620">
              <w:rPr>
                <w:sz w:val="20"/>
                <w:szCs w:val="20"/>
              </w:rPr>
              <w:t xml:space="preserve">s </w:t>
            </w:r>
            <w:r w:rsidR="0053442A" w:rsidRPr="00E97620">
              <w:rPr>
                <w:sz w:val="20"/>
                <w:szCs w:val="20"/>
              </w:rPr>
              <w:t>as an enabler of progress</w:t>
            </w:r>
            <w:r w:rsidR="00741743" w:rsidRPr="00E97620">
              <w:rPr>
                <w:sz w:val="20"/>
                <w:szCs w:val="20"/>
              </w:rPr>
              <w:t xml:space="preserve"> towards the Sustainable Development Goals</w:t>
            </w:r>
            <w:r w:rsidR="0053442A" w:rsidRPr="00E97620">
              <w:rPr>
                <w:sz w:val="20"/>
                <w:szCs w:val="20"/>
              </w:rPr>
              <w:t>.</w:t>
            </w:r>
          </w:p>
        </w:tc>
        <w:tc>
          <w:tcPr>
            <w:tcW w:w="2429" w:type="dxa"/>
            <w:hideMark/>
          </w:tcPr>
          <w:p w14:paraId="130593B2" w14:textId="04EEC367" w:rsidR="00286E9F" w:rsidRPr="00E97620" w:rsidRDefault="00286E9F" w:rsidP="00741743">
            <w:pPr>
              <w:rPr>
                <w:bCs/>
                <w:sz w:val="20"/>
                <w:szCs w:val="20"/>
              </w:rPr>
            </w:pPr>
            <w:r w:rsidRPr="00E97620">
              <w:rPr>
                <w:sz w:val="20"/>
                <w:szCs w:val="20"/>
              </w:rPr>
              <w:t xml:space="preserve">Mid-2018 for training and guidance for </w:t>
            </w:r>
            <w:r w:rsidR="00741743" w:rsidRPr="00E97620">
              <w:rPr>
                <w:sz w:val="20"/>
                <w:szCs w:val="20"/>
              </w:rPr>
              <w:t xml:space="preserve">regional bureaux </w:t>
            </w:r>
            <w:r w:rsidRPr="00E97620">
              <w:rPr>
                <w:sz w:val="20"/>
                <w:szCs w:val="20"/>
              </w:rPr>
              <w:t xml:space="preserve">and country offices, then each </w:t>
            </w:r>
            <w:r w:rsidR="00741743" w:rsidRPr="00E97620">
              <w:rPr>
                <w:sz w:val="20"/>
                <w:szCs w:val="20"/>
              </w:rPr>
              <w:t xml:space="preserve">country programme document </w:t>
            </w:r>
            <w:r w:rsidRPr="00E97620">
              <w:rPr>
                <w:sz w:val="20"/>
                <w:szCs w:val="20"/>
              </w:rPr>
              <w:t>cycle until end-2021</w:t>
            </w:r>
          </w:p>
        </w:tc>
        <w:tc>
          <w:tcPr>
            <w:tcW w:w="2429" w:type="dxa"/>
            <w:hideMark/>
          </w:tcPr>
          <w:p w14:paraId="57FFCF28" w14:textId="23E2F638" w:rsidR="00286E9F" w:rsidRPr="00E97620" w:rsidRDefault="00286E9F" w:rsidP="00741743">
            <w:pPr>
              <w:rPr>
                <w:bCs/>
                <w:sz w:val="20"/>
                <w:szCs w:val="20"/>
              </w:rPr>
            </w:pPr>
            <w:r w:rsidRPr="00E97620">
              <w:rPr>
                <w:sz w:val="20"/>
                <w:szCs w:val="20"/>
              </w:rPr>
              <w:t xml:space="preserve">BPPS Development Impact Group (DIG) and </w:t>
            </w:r>
            <w:r w:rsidR="003241F9" w:rsidRPr="00E97620">
              <w:rPr>
                <w:sz w:val="20"/>
                <w:szCs w:val="20"/>
              </w:rPr>
              <w:t>Headquarters Project</w:t>
            </w:r>
            <w:r w:rsidRPr="00E97620">
              <w:rPr>
                <w:sz w:val="20"/>
                <w:szCs w:val="20"/>
              </w:rPr>
              <w:t xml:space="preserve"> Appraisal Committee </w:t>
            </w:r>
            <w:r w:rsidR="00FC6097" w:rsidRPr="00E97620">
              <w:rPr>
                <w:sz w:val="20"/>
                <w:szCs w:val="20"/>
              </w:rPr>
              <w:t>secretariat with</w:t>
            </w:r>
            <w:r w:rsidRPr="00E97620">
              <w:rPr>
                <w:sz w:val="20"/>
                <w:szCs w:val="20"/>
              </w:rPr>
              <w:t xml:space="preserve"> support of </w:t>
            </w:r>
            <w:r w:rsidR="00741743" w:rsidRPr="00E97620">
              <w:rPr>
                <w:sz w:val="20"/>
                <w:szCs w:val="20"/>
              </w:rPr>
              <w:t>regional bureaux</w:t>
            </w:r>
          </w:p>
        </w:tc>
        <w:tc>
          <w:tcPr>
            <w:tcW w:w="2429" w:type="dxa"/>
            <w:hideMark/>
          </w:tcPr>
          <w:p w14:paraId="0BBB13EA" w14:textId="77777777" w:rsidR="00286E9F" w:rsidRPr="00E97620" w:rsidRDefault="00286E9F" w:rsidP="00286E9F">
            <w:pPr>
              <w:rPr>
                <w:sz w:val="20"/>
                <w:szCs w:val="20"/>
              </w:rPr>
            </w:pPr>
            <w:r w:rsidRPr="00E97620">
              <w:rPr>
                <w:sz w:val="20"/>
                <w:szCs w:val="20"/>
              </w:rPr>
              <w:t> </w:t>
            </w:r>
          </w:p>
        </w:tc>
        <w:tc>
          <w:tcPr>
            <w:tcW w:w="2249" w:type="dxa"/>
            <w:hideMark/>
          </w:tcPr>
          <w:p w14:paraId="22F7BE71" w14:textId="77777777" w:rsidR="00286E9F" w:rsidRPr="00E97620" w:rsidRDefault="00286E9F" w:rsidP="00286E9F">
            <w:pPr>
              <w:rPr>
                <w:sz w:val="20"/>
                <w:szCs w:val="20"/>
              </w:rPr>
            </w:pPr>
            <w:r w:rsidRPr="00E97620">
              <w:rPr>
                <w:sz w:val="20"/>
                <w:szCs w:val="20"/>
              </w:rPr>
              <w:t> </w:t>
            </w:r>
          </w:p>
        </w:tc>
      </w:tr>
      <w:tr w:rsidR="00DE5588" w:rsidRPr="00E97620" w14:paraId="603D2237" w14:textId="77777777" w:rsidTr="00C70D28">
        <w:trPr>
          <w:trHeight w:val="300"/>
        </w:trPr>
        <w:tc>
          <w:tcPr>
            <w:tcW w:w="2429" w:type="dxa"/>
            <w:hideMark/>
          </w:tcPr>
          <w:p w14:paraId="7CFF6391" w14:textId="113F81CB" w:rsidR="00286E9F" w:rsidRPr="00E97620" w:rsidRDefault="00286E9F" w:rsidP="00741743">
            <w:pPr>
              <w:spacing w:after="160"/>
              <w:rPr>
                <w:bCs/>
                <w:sz w:val="20"/>
                <w:szCs w:val="20"/>
              </w:rPr>
            </w:pPr>
            <w:r w:rsidRPr="00E97620">
              <w:rPr>
                <w:sz w:val="20"/>
                <w:szCs w:val="20"/>
              </w:rPr>
              <w:t xml:space="preserve">Develop and roll out a support package to strengthen national capacities to access and expand </w:t>
            </w:r>
            <w:r w:rsidR="00741743" w:rsidRPr="00E97620">
              <w:rPr>
                <w:sz w:val="20"/>
                <w:szCs w:val="20"/>
              </w:rPr>
              <w:t xml:space="preserve">South-South cooperation </w:t>
            </w:r>
            <w:r w:rsidRPr="00E97620">
              <w:rPr>
                <w:sz w:val="20"/>
                <w:szCs w:val="20"/>
              </w:rPr>
              <w:t>based on country typologies</w:t>
            </w:r>
          </w:p>
        </w:tc>
        <w:tc>
          <w:tcPr>
            <w:tcW w:w="2429" w:type="dxa"/>
            <w:hideMark/>
          </w:tcPr>
          <w:p w14:paraId="6C9BB852" w14:textId="77777777" w:rsidR="00286E9F" w:rsidRPr="00E97620" w:rsidRDefault="00286E9F" w:rsidP="00286E9F">
            <w:pPr>
              <w:spacing w:after="160"/>
              <w:rPr>
                <w:bCs/>
                <w:sz w:val="20"/>
                <w:szCs w:val="20"/>
              </w:rPr>
            </w:pPr>
            <w:r w:rsidRPr="00E97620">
              <w:rPr>
                <w:sz w:val="20"/>
                <w:szCs w:val="20"/>
              </w:rPr>
              <w:t>December 2019</w:t>
            </w:r>
          </w:p>
        </w:tc>
        <w:tc>
          <w:tcPr>
            <w:tcW w:w="2429" w:type="dxa"/>
            <w:hideMark/>
          </w:tcPr>
          <w:p w14:paraId="2CFB0B5D" w14:textId="0FEE004B" w:rsidR="00286E9F" w:rsidRPr="00E97620" w:rsidRDefault="00286E9F" w:rsidP="00741743">
            <w:pPr>
              <w:spacing w:after="160"/>
              <w:rPr>
                <w:bCs/>
                <w:sz w:val="20"/>
                <w:szCs w:val="20"/>
              </w:rPr>
            </w:pPr>
            <w:r w:rsidRPr="00E97620">
              <w:rPr>
                <w:sz w:val="20"/>
                <w:szCs w:val="20"/>
              </w:rPr>
              <w:t xml:space="preserve">BPPS DIG in consultation with </w:t>
            </w:r>
            <w:r w:rsidR="00741743" w:rsidRPr="00E97620">
              <w:rPr>
                <w:sz w:val="20"/>
                <w:szCs w:val="20"/>
              </w:rPr>
              <w:t>regional bureaux</w:t>
            </w:r>
          </w:p>
        </w:tc>
        <w:tc>
          <w:tcPr>
            <w:tcW w:w="2429" w:type="dxa"/>
            <w:hideMark/>
          </w:tcPr>
          <w:p w14:paraId="35EFC614" w14:textId="77777777" w:rsidR="00286E9F" w:rsidRPr="00E97620" w:rsidRDefault="00286E9F" w:rsidP="00286E9F">
            <w:pPr>
              <w:rPr>
                <w:sz w:val="20"/>
                <w:szCs w:val="20"/>
              </w:rPr>
            </w:pPr>
            <w:r w:rsidRPr="00E97620">
              <w:rPr>
                <w:sz w:val="20"/>
                <w:szCs w:val="20"/>
              </w:rPr>
              <w:t> </w:t>
            </w:r>
          </w:p>
        </w:tc>
        <w:tc>
          <w:tcPr>
            <w:tcW w:w="2249" w:type="dxa"/>
            <w:hideMark/>
          </w:tcPr>
          <w:p w14:paraId="4A8EB832" w14:textId="77777777" w:rsidR="00286E9F" w:rsidRPr="00E97620" w:rsidRDefault="00286E9F" w:rsidP="00286E9F">
            <w:pPr>
              <w:rPr>
                <w:sz w:val="20"/>
                <w:szCs w:val="20"/>
              </w:rPr>
            </w:pPr>
            <w:r w:rsidRPr="00E97620">
              <w:rPr>
                <w:sz w:val="20"/>
                <w:szCs w:val="20"/>
              </w:rPr>
              <w:t> </w:t>
            </w:r>
          </w:p>
        </w:tc>
      </w:tr>
      <w:tr w:rsidR="00286E9F" w:rsidRPr="00E97620" w14:paraId="377B1E9C" w14:textId="77777777" w:rsidTr="00C70D28">
        <w:trPr>
          <w:trHeight w:val="300"/>
        </w:trPr>
        <w:tc>
          <w:tcPr>
            <w:tcW w:w="11965" w:type="dxa"/>
            <w:gridSpan w:val="5"/>
            <w:shd w:val="clear" w:color="auto" w:fill="D9D9D9" w:themeFill="background1" w:themeFillShade="D9"/>
            <w:hideMark/>
          </w:tcPr>
          <w:p w14:paraId="7D300D4C" w14:textId="77777777" w:rsidR="00286E9F" w:rsidRPr="00E97620" w:rsidRDefault="00286E9F" w:rsidP="00286E9F">
            <w:pPr>
              <w:rPr>
                <w:b/>
                <w:bCs/>
                <w:sz w:val="20"/>
                <w:szCs w:val="20"/>
              </w:rPr>
            </w:pPr>
            <w:r w:rsidRPr="00E97620">
              <w:rPr>
                <w:b/>
                <w:bCs/>
                <w:sz w:val="20"/>
                <w:szCs w:val="20"/>
              </w:rPr>
              <w:t>Recommendation 10</w:t>
            </w:r>
          </w:p>
        </w:tc>
      </w:tr>
      <w:tr w:rsidR="00286E9F" w:rsidRPr="00E97620" w14:paraId="2F90896F" w14:textId="77777777" w:rsidTr="00C70D28">
        <w:trPr>
          <w:trHeight w:val="615"/>
        </w:trPr>
        <w:tc>
          <w:tcPr>
            <w:tcW w:w="11965" w:type="dxa"/>
            <w:gridSpan w:val="5"/>
            <w:hideMark/>
          </w:tcPr>
          <w:p w14:paraId="09522636" w14:textId="77777777" w:rsidR="00286E9F" w:rsidRPr="00E97620" w:rsidRDefault="00286E9F" w:rsidP="00945A94">
            <w:pPr>
              <w:jc w:val="both"/>
              <w:rPr>
                <w:sz w:val="20"/>
                <w:szCs w:val="20"/>
              </w:rPr>
            </w:pPr>
            <w:r w:rsidRPr="00E97620">
              <w:rPr>
                <w:sz w:val="20"/>
                <w:szCs w:val="20"/>
              </w:rPr>
              <w:t>UNDP should change the global programme into a service line for supporting staff positions at global and regional levels, as its shared deliverables and blurred boundaries make it unsuitable as a specific programme.</w:t>
            </w:r>
          </w:p>
        </w:tc>
      </w:tr>
      <w:tr w:rsidR="00286E9F" w:rsidRPr="00E97620" w14:paraId="28AA1F2C" w14:textId="77777777" w:rsidTr="00C70D28">
        <w:trPr>
          <w:trHeight w:val="1230"/>
        </w:trPr>
        <w:tc>
          <w:tcPr>
            <w:tcW w:w="11965" w:type="dxa"/>
            <w:gridSpan w:val="5"/>
            <w:hideMark/>
          </w:tcPr>
          <w:p w14:paraId="18CF0592" w14:textId="7928D218" w:rsidR="00286E9F" w:rsidRPr="00E97620" w:rsidRDefault="00286E9F" w:rsidP="00261042">
            <w:pPr>
              <w:spacing w:after="160"/>
              <w:jc w:val="both"/>
              <w:rPr>
                <w:sz w:val="20"/>
                <w:szCs w:val="20"/>
              </w:rPr>
            </w:pPr>
            <w:r w:rsidRPr="00E97620">
              <w:rPr>
                <w:b/>
                <w:bCs/>
                <w:sz w:val="20"/>
                <w:szCs w:val="20"/>
              </w:rPr>
              <w:t>Management response</w:t>
            </w:r>
            <w:r w:rsidR="000C7037">
              <w:rPr>
                <w:b/>
                <w:bCs/>
                <w:sz w:val="20"/>
                <w:szCs w:val="20"/>
              </w:rPr>
              <w:t>:</w:t>
            </w:r>
          </w:p>
          <w:p w14:paraId="59157EB1" w14:textId="30D4F5AE" w:rsidR="00286E9F" w:rsidRPr="00E97620" w:rsidRDefault="00844756" w:rsidP="003858FB">
            <w:pPr>
              <w:spacing w:after="160"/>
              <w:jc w:val="both"/>
              <w:rPr>
                <w:sz w:val="20"/>
                <w:szCs w:val="20"/>
              </w:rPr>
            </w:pPr>
            <w:r w:rsidRPr="00E97620">
              <w:rPr>
                <w:sz w:val="20"/>
                <w:szCs w:val="20"/>
              </w:rPr>
              <w:t>UNDP m</w:t>
            </w:r>
            <w:r w:rsidR="00227028" w:rsidRPr="00E97620">
              <w:rPr>
                <w:sz w:val="20"/>
                <w:szCs w:val="20"/>
              </w:rPr>
              <w:t xml:space="preserve">anagement </w:t>
            </w:r>
            <w:r w:rsidRPr="00E97620">
              <w:rPr>
                <w:sz w:val="20"/>
                <w:szCs w:val="20"/>
              </w:rPr>
              <w:t>takes note of</w:t>
            </w:r>
            <w:r w:rsidR="00227028" w:rsidRPr="00E97620">
              <w:rPr>
                <w:sz w:val="20"/>
                <w:szCs w:val="20"/>
              </w:rPr>
              <w:t xml:space="preserve"> the recommendation. </w:t>
            </w:r>
            <w:r w:rsidR="0004076B" w:rsidRPr="00E97620">
              <w:rPr>
                <w:sz w:val="20"/>
                <w:szCs w:val="20"/>
              </w:rPr>
              <w:t>The</w:t>
            </w:r>
            <w:r w:rsidR="00286E9F" w:rsidRPr="00E97620">
              <w:rPr>
                <w:sz w:val="20"/>
                <w:szCs w:val="20"/>
              </w:rPr>
              <w:t xml:space="preserve"> relevance and role of programmatic instruments including the global and regional programmes </w:t>
            </w:r>
            <w:r w:rsidR="00261042" w:rsidRPr="00E97620">
              <w:rPr>
                <w:sz w:val="20"/>
                <w:szCs w:val="20"/>
              </w:rPr>
              <w:t xml:space="preserve">will be further </w:t>
            </w:r>
            <w:r w:rsidR="003858FB" w:rsidRPr="00E97620">
              <w:rPr>
                <w:sz w:val="20"/>
                <w:szCs w:val="20"/>
              </w:rPr>
              <w:t xml:space="preserve">reviewed in the coming year(s).  </w:t>
            </w:r>
            <w:r w:rsidR="00286E9F" w:rsidRPr="00E97620">
              <w:rPr>
                <w:sz w:val="20"/>
                <w:szCs w:val="20"/>
              </w:rPr>
              <w:t xml:space="preserve"> UNDP will explore the idea of converting the current global programme into a service line as one of the options going forward.  </w:t>
            </w:r>
          </w:p>
        </w:tc>
      </w:tr>
      <w:tr w:rsidR="00DE5588" w:rsidRPr="00E97620" w14:paraId="1A0641E0" w14:textId="77777777" w:rsidTr="00C70D28">
        <w:trPr>
          <w:trHeight w:val="631"/>
        </w:trPr>
        <w:tc>
          <w:tcPr>
            <w:tcW w:w="2429" w:type="dxa"/>
            <w:tcBorders>
              <w:bottom w:val="single" w:sz="4" w:space="0" w:color="auto"/>
            </w:tcBorders>
            <w:hideMark/>
          </w:tcPr>
          <w:p w14:paraId="2DDADC50" w14:textId="70363EFB" w:rsidR="00286E9F" w:rsidRPr="00E97620" w:rsidRDefault="00261042" w:rsidP="001136A5">
            <w:pPr>
              <w:rPr>
                <w:sz w:val="20"/>
                <w:szCs w:val="20"/>
              </w:rPr>
            </w:pPr>
            <w:r w:rsidRPr="00E97620">
              <w:rPr>
                <w:sz w:val="20"/>
                <w:szCs w:val="20"/>
              </w:rPr>
              <w:t>Explore and select viable option and s</w:t>
            </w:r>
            <w:r w:rsidR="00286E9F" w:rsidRPr="00E97620">
              <w:rPr>
                <w:sz w:val="20"/>
                <w:szCs w:val="20"/>
              </w:rPr>
              <w:t>ubmit required documentation to the Executive Board</w:t>
            </w:r>
            <w:r w:rsidR="00741743" w:rsidRPr="00E97620">
              <w:rPr>
                <w:sz w:val="20"/>
                <w:szCs w:val="20"/>
              </w:rPr>
              <w:t xml:space="preserve"> </w:t>
            </w:r>
          </w:p>
        </w:tc>
        <w:tc>
          <w:tcPr>
            <w:tcW w:w="2429" w:type="dxa"/>
            <w:tcBorders>
              <w:bottom w:val="single" w:sz="4" w:space="0" w:color="auto"/>
            </w:tcBorders>
            <w:hideMark/>
          </w:tcPr>
          <w:p w14:paraId="4042C36D" w14:textId="77777777" w:rsidR="00286E9F" w:rsidRPr="00E97620" w:rsidRDefault="00286E9F" w:rsidP="00286E9F">
            <w:pPr>
              <w:rPr>
                <w:sz w:val="20"/>
                <w:szCs w:val="20"/>
              </w:rPr>
            </w:pPr>
            <w:r w:rsidRPr="00E97620">
              <w:rPr>
                <w:sz w:val="20"/>
                <w:szCs w:val="20"/>
              </w:rPr>
              <w:t>By January 2018</w:t>
            </w:r>
          </w:p>
        </w:tc>
        <w:tc>
          <w:tcPr>
            <w:tcW w:w="2429" w:type="dxa"/>
            <w:tcBorders>
              <w:bottom w:val="single" w:sz="4" w:space="0" w:color="auto"/>
            </w:tcBorders>
            <w:hideMark/>
          </w:tcPr>
          <w:p w14:paraId="5C5008AF" w14:textId="7AE189C1" w:rsidR="00286E9F" w:rsidRPr="00E97620" w:rsidRDefault="00286E9F" w:rsidP="00286E9F">
            <w:pPr>
              <w:rPr>
                <w:sz w:val="20"/>
                <w:szCs w:val="20"/>
              </w:rPr>
            </w:pPr>
            <w:r w:rsidRPr="00E97620">
              <w:rPr>
                <w:sz w:val="20"/>
                <w:szCs w:val="20"/>
              </w:rPr>
              <w:t> BPPS</w:t>
            </w:r>
            <w:r w:rsidR="001136A5" w:rsidRPr="00E97620">
              <w:rPr>
                <w:sz w:val="20"/>
                <w:szCs w:val="20"/>
              </w:rPr>
              <w:t>, BMS</w:t>
            </w:r>
            <w:r w:rsidRPr="00E97620">
              <w:rPr>
                <w:sz w:val="20"/>
                <w:szCs w:val="20"/>
              </w:rPr>
              <w:t xml:space="preserve"> and the Executive Office</w:t>
            </w:r>
          </w:p>
        </w:tc>
        <w:tc>
          <w:tcPr>
            <w:tcW w:w="2429" w:type="dxa"/>
            <w:tcBorders>
              <w:bottom w:val="single" w:sz="4" w:space="0" w:color="auto"/>
            </w:tcBorders>
            <w:hideMark/>
          </w:tcPr>
          <w:p w14:paraId="056A047C" w14:textId="77777777" w:rsidR="00286E9F" w:rsidRPr="00E97620" w:rsidRDefault="00286E9F" w:rsidP="00286E9F">
            <w:pPr>
              <w:rPr>
                <w:sz w:val="20"/>
                <w:szCs w:val="20"/>
              </w:rPr>
            </w:pPr>
            <w:r w:rsidRPr="00E97620">
              <w:rPr>
                <w:sz w:val="20"/>
                <w:szCs w:val="20"/>
              </w:rPr>
              <w:t> </w:t>
            </w:r>
          </w:p>
        </w:tc>
        <w:tc>
          <w:tcPr>
            <w:tcW w:w="2249" w:type="dxa"/>
            <w:tcBorders>
              <w:bottom w:val="single" w:sz="4" w:space="0" w:color="auto"/>
            </w:tcBorders>
            <w:hideMark/>
          </w:tcPr>
          <w:p w14:paraId="4F3AB388" w14:textId="77777777" w:rsidR="00286E9F" w:rsidRPr="00E97620" w:rsidRDefault="00286E9F" w:rsidP="00286E9F">
            <w:pPr>
              <w:rPr>
                <w:sz w:val="20"/>
                <w:szCs w:val="20"/>
              </w:rPr>
            </w:pPr>
            <w:r w:rsidRPr="00E97620">
              <w:rPr>
                <w:sz w:val="20"/>
                <w:szCs w:val="20"/>
              </w:rPr>
              <w:t> </w:t>
            </w:r>
          </w:p>
        </w:tc>
      </w:tr>
      <w:tr w:rsidR="00286E9F" w:rsidRPr="00E97620" w14:paraId="42F6190E" w14:textId="77777777" w:rsidTr="00C70D28">
        <w:trPr>
          <w:trHeight w:val="300"/>
        </w:trPr>
        <w:tc>
          <w:tcPr>
            <w:tcW w:w="11965" w:type="dxa"/>
            <w:gridSpan w:val="5"/>
            <w:shd w:val="clear" w:color="auto" w:fill="D9D9D9" w:themeFill="background1" w:themeFillShade="D9"/>
            <w:hideMark/>
          </w:tcPr>
          <w:p w14:paraId="2A16ACF6" w14:textId="77777777" w:rsidR="00286E9F" w:rsidRPr="00E97620" w:rsidRDefault="00286E9F" w:rsidP="00286E9F">
            <w:pPr>
              <w:rPr>
                <w:b/>
                <w:bCs/>
                <w:sz w:val="20"/>
                <w:szCs w:val="20"/>
              </w:rPr>
            </w:pPr>
            <w:r w:rsidRPr="00E97620">
              <w:rPr>
                <w:b/>
                <w:bCs/>
                <w:sz w:val="20"/>
                <w:szCs w:val="20"/>
              </w:rPr>
              <w:t>Recommendation 11</w:t>
            </w:r>
          </w:p>
        </w:tc>
      </w:tr>
      <w:tr w:rsidR="00286E9F" w:rsidRPr="00E97620" w14:paraId="147D86A6" w14:textId="77777777" w:rsidTr="00C70D28">
        <w:trPr>
          <w:trHeight w:val="600"/>
        </w:trPr>
        <w:tc>
          <w:tcPr>
            <w:tcW w:w="11965" w:type="dxa"/>
            <w:gridSpan w:val="5"/>
            <w:hideMark/>
          </w:tcPr>
          <w:p w14:paraId="762C170F" w14:textId="77777777" w:rsidR="00286E9F" w:rsidRPr="00E97620" w:rsidRDefault="00286E9F" w:rsidP="00945A94">
            <w:pPr>
              <w:jc w:val="both"/>
              <w:rPr>
                <w:sz w:val="20"/>
                <w:szCs w:val="20"/>
              </w:rPr>
            </w:pPr>
            <w:r w:rsidRPr="00E97620">
              <w:rPr>
                <w:sz w:val="20"/>
                <w:szCs w:val="20"/>
              </w:rPr>
              <w:t>UNDP should determine specialties within its sustainable development, governance and resilience areas of work. This will help it build world-class technical expertise and focus its resources on building capacities in those areas.</w:t>
            </w:r>
          </w:p>
        </w:tc>
      </w:tr>
      <w:tr w:rsidR="00286E9F" w:rsidRPr="00E97620" w14:paraId="388112B9" w14:textId="77777777" w:rsidTr="00C70D28">
        <w:trPr>
          <w:trHeight w:val="424"/>
        </w:trPr>
        <w:tc>
          <w:tcPr>
            <w:tcW w:w="11965" w:type="dxa"/>
            <w:gridSpan w:val="5"/>
            <w:hideMark/>
          </w:tcPr>
          <w:p w14:paraId="2EA34CDF" w14:textId="77777777" w:rsidR="00286E9F" w:rsidRPr="00E97620" w:rsidRDefault="00286E9F" w:rsidP="00945A94">
            <w:pPr>
              <w:spacing w:after="160"/>
              <w:jc w:val="both"/>
              <w:rPr>
                <w:b/>
                <w:bCs/>
                <w:sz w:val="20"/>
                <w:szCs w:val="20"/>
              </w:rPr>
            </w:pPr>
            <w:r w:rsidRPr="00E97620">
              <w:rPr>
                <w:b/>
                <w:bCs/>
                <w:sz w:val="20"/>
                <w:szCs w:val="20"/>
              </w:rPr>
              <w:t>Management response:</w:t>
            </w:r>
          </w:p>
          <w:p w14:paraId="49C8D430" w14:textId="1A45A6F0" w:rsidR="00286E9F" w:rsidRPr="00E97620" w:rsidRDefault="00286E9F" w:rsidP="00DE5588">
            <w:pPr>
              <w:tabs>
                <w:tab w:val="left" w:pos="4650"/>
              </w:tabs>
              <w:spacing w:after="120"/>
              <w:jc w:val="both"/>
              <w:rPr>
                <w:sz w:val="20"/>
                <w:szCs w:val="20"/>
              </w:rPr>
            </w:pPr>
            <w:r w:rsidRPr="00E97620">
              <w:rPr>
                <w:sz w:val="20"/>
                <w:szCs w:val="20"/>
              </w:rPr>
              <w:t>UNDP management agrees with this recommendation.  UNDP is committed to having world-class technical expertise in the areas of sustainable development, governance and resilience.  Once the new strategic plan is endorsed by the Executive Board later this year, UNDP will identify the specialized capacities needed to best implement these stated priorities and support country offices to respond to the priorities of national partners. </w:t>
            </w:r>
            <w:r w:rsidRPr="00E97620" w:rsidDel="001625F7">
              <w:rPr>
                <w:sz w:val="20"/>
                <w:szCs w:val="20"/>
              </w:rPr>
              <w:t xml:space="preserve"> </w:t>
            </w:r>
            <w:r w:rsidRPr="00E97620">
              <w:rPr>
                <w:sz w:val="20"/>
                <w:szCs w:val="20"/>
              </w:rPr>
              <w:t xml:space="preserve">The UNDP knowledge management strategy, which the </w:t>
            </w:r>
            <w:r w:rsidR="00741743" w:rsidRPr="00E97620">
              <w:rPr>
                <w:sz w:val="20"/>
                <w:szCs w:val="20"/>
              </w:rPr>
              <w:t xml:space="preserve">evaluation </w:t>
            </w:r>
            <w:r w:rsidRPr="00E97620">
              <w:rPr>
                <w:sz w:val="20"/>
                <w:szCs w:val="20"/>
              </w:rPr>
              <w:t xml:space="preserve">recognizes as “comprehensive” and providing “considerable emphasis recognized as on knowledge facilitation and learning”, asks UNDP to leverage knowledge management for identification, development, mobilization and management of talent and expertise in ways that allow the organization to draw from a pool of qualified practitioners and experts at any time, mobilize staff members to be available for ad-hoc initiatives and virtual projects. To realize this vision, UNDP is investing in the development of an improved, cost-effective mechanism to map and track staff expertise across the organization. Through improved personnel profiles and searches, this offering aims to assist staff and managers </w:t>
            </w:r>
            <w:r w:rsidR="0004076B" w:rsidRPr="00E97620">
              <w:rPr>
                <w:sz w:val="20"/>
                <w:szCs w:val="20"/>
              </w:rPr>
              <w:t xml:space="preserve">to </w:t>
            </w:r>
            <w:r w:rsidRPr="00E97620">
              <w:rPr>
                <w:sz w:val="20"/>
                <w:szCs w:val="20"/>
              </w:rPr>
              <w:t>identify expertise rapidly and systematically. This will also allow tracking of expertise to assess strengths and weaknesses in order</w:t>
            </w:r>
            <w:r w:rsidR="00FC6097">
              <w:rPr>
                <w:sz w:val="20"/>
                <w:szCs w:val="20"/>
              </w:rPr>
              <w:t xml:space="preserve"> </w:t>
            </w:r>
            <w:r w:rsidRPr="00E97620">
              <w:rPr>
                <w:sz w:val="20"/>
                <w:szCs w:val="20"/>
              </w:rPr>
              <w:t>to build and bolster capacities where needed.</w:t>
            </w:r>
            <w:r w:rsidR="0048511B" w:rsidRPr="00E97620">
              <w:rPr>
                <w:sz w:val="20"/>
                <w:szCs w:val="20"/>
              </w:rPr>
              <w:t xml:space="preserve"> Regional </w:t>
            </w:r>
            <w:r w:rsidR="000350FD">
              <w:rPr>
                <w:sz w:val="20"/>
                <w:szCs w:val="20"/>
              </w:rPr>
              <w:t>b</w:t>
            </w:r>
            <w:r w:rsidR="0048511B" w:rsidRPr="00E97620">
              <w:rPr>
                <w:sz w:val="20"/>
                <w:szCs w:val="20"/>
              </w:rPr>
              <w:t xml:space="preserve">ureaux will continue developing and implementing </w:t>
            </w:r>
            <w:r w:rsidR="00741743" w:rsidRPr="00E97620">
              <w:rPr>
                <w:sz w:val="20"/>
                <w:szCs w:val="20"/>
              </w:rPr>
              <w:t xml:space="preserve">Sustainable Development Goal </w:t>
            </w:r>
            <w:r w:rsidR="0048511B" w:rsidRPr="00E97620">
              <w:rPr>
                <w:sz w:val="20"/>
                <w:szCs w:val="20"/>
              </w:rPr>
              <w:t>toolkits, and investing in the capacity of UNDP staff and other partners through trainings, community of practice meetings, and others.</w:t>
            </w:r>
          </w:p>
        </w:tc>
      </w:tr>
      <w:tr w:rsidR="00DE5588" w:rsidRPr="00E97620" w14:paraId="46CA36B8" w14:textId="77777777" w:rsidTr="00C70D28">
        <w:trPr>
          <w:trHeight w:val="1711"/>
        </w:trPr>
        <w:tc>
          <w:tcPr>
            <w:tcW w:w="2429" w:type="dxa"/>
          </w:tcPr>
          <w:p w14:paraId="69F49A3E" w14:textId="7FC3977F" w:rsidR="00286E9F" w:rsidRPr="00E97620" w:rsidRDefault="00286E9F" w:rsidP="00741743">
            <w:pPr>
              <w:rPr>
                <w:sz w:val="20"/>
                <w:szCs w:val="20"/>
              </w:rPr>
            </w:pPr>
            <w:r w:rsidRPr="00E97620">
              <w:rPr>
                <w:sz w:val="20"/>
                <w:szCs w:val="20"/>
              </w:rPr>
              <w:t xml:space="preserve">Review UNDP technical expertise against the priorities identified in the new strategic plan </w:t>
            </w:r>
            <w:r w:rsidR="0048511B" w:rsidRPr="00E97620">
              <w:rPr>
                <w:sz w:val="20"/>
                <w:szCs w:val="20"/>
              </w:rPr>
              <w:t xml:space="preserve">and aligned with the </w:t>
            </w:r>
            <w:r w:rsidR="00741743" w:rsidRPr="00E97620">
              <w:rPr>
                <w:sz w:val="20"/>
                <w:szCs w:val="20"/>
              </w:rPr>
              <w:t xml:space="preserve">Sustainable Development Goals </w:t>
            </w:r>
            <w:r w:rsidRPr="00E97620">
              <w:rPr>
                <w:sz w:val="20"/>
                <w:szCs w:val="20"/>
              </w:rPr>
              <w:t xml:space="preserve">and develop an action plan </w:t>
            </w:r>
            <w:r w:rsidR="0048511B" w:rsidRPr="00E97620">
              <w:rPr>
                <w:sz w:val="20"/>
                <w:szCs w:val="20"/>
              </w:rPr>
              <w:t xml:space="preserve">for training and learning to address </w:t>
            </w:r>
            <w:r w:rsidRPr="00E97620">
              <w:rPr>
                <w:sz w:val="20"/>
                <w:szCs w:val="20"/>
              </w:rPr>
              <w:t>any gaps in capacity arising.</w:t>
            </w:r>
          </w:p>
        </w:tc>
        <w:tc>
          <w:tcPr>
            <w:tcW w:w="2429" w:type="dxa"/>
          </w:tcPr>
          <w:p w14:paraId="67CE384E" w14:textId="64335104" w:rsidR="00286E9F" w:rsidRPr="00E97620" w:rsidRDefault="00DE5588" w:rsidP="00286E9F">
            <w:pPr>
              <w:rPr>
                <w:sz w:val="20"/>
                <w:szCs w:val="20"/>
              </w:rPr>
            </w:pPr>
            <w:r>
              <w:rPr>
                <w:sz w:val="20"/>
                <w:szCs w:val="20"/>
              </w:rPr>
              <w:t>M</w:t>
            </w:r>
            <w:r w:rsidR="003241F9">
              <w:rPr>
                <w:sz w:val="20"/>
                <w:szCs w:val="20"/>
              </w:rPr>
              <w:t>id-</w:t>
            </w:r>
            <w:r w:rsidR="00151916" w:rsidRPr="00E97620">
              <w:rPr>
                <w:sz w:val="20"/>
                <w:szCs w:val="20"/>
              </w:rPr>
              <w:t xml:space="preserve">2018 </w:t>
            </w:r>
          </w:p>
        </w:tc>
        <w:tc>
          <w:tcPr>
            <w:tcW w:w="2429" w:type="dxa"/>
          </w:tcPr>
          <w:p w14:paraId="6D52E4DF" w14:textId="0D97EEE2" w:rsidR="00286E9F" w:rsidRPr="00E97620" w:rsidRDefault="00286E9F" w:rsidP="00286E9F">
            <w:pPr>
              <w:rPr>
                <w:sz w:val="20"/>
                <w:szCs w:val="20"/>
              </w:rPr>
            </w:pPr>
            <w:r w:rsidRPr="00E97620">
              <w:rPr>
                <w:sz w:val="20"/>
                <w:szCs w:val="20"/>
              </w:rPr>
              <w:t>BPPS/</w:t>
            </w:r>
            <w:r w:rsidR="00741743" w:rsidRPr="00E97620">
              <w:rPr>
                <w:rFonts w:eastAsia="HGSoeiKakugothicUB"/>
                <w:sz w:val="20"/>
                <w:szCs w:val="20"/>
              </w:rPr>
              <w:t>Governance and Peacebuilding Unit</w:t>
            </w:r>
          </w:p>
          <w:p w14:paraId="2023255E" w14:textId="7E390CC2" w:rsidR="00286E9F" w:rsidRPr="00E97620" w:rsidRDefault="00286E9F" w:rsidP="00286E9F">
            <w:pPr>
              <w:rPr>
                <w:sz w:val="20"/>
                <w:szCs w:val="20"/>
              </w:rPr>
            </w:pPr>
            <w:r w:rsidRPr="00E97620">
              <w:rPr>
                <w:sz w:val="20"/>
                <w:szCs w:val="20"/>
              </w:rPr>
              <w:t>BPPS/Sustainable Development</w:t>
            </w:r>
            <w:r w:rsidR="00741743" w:rsidRPr="00E97620">
              <w:rPr>
                <w:sz w:val="20"/>
                <w:szCs w:val="20"/>
              </w:rPr>
              <w:t xml:space="preserve"> Unit</w:t>
            </w:r>
          </w:p>
          <w:p w14:paraId="7F5D3F6B" w14:textId="6DAB5CEB" w:rsidR="00286E9F" w:rsidRPr="00E97620" w:rsidRDefault="00286E9F" w:rsidP="00286E9F">
            <w:pPr>
              <w:rPr>
                <w:sz w:val="20"/>
                <w:szCs w:val="20"/>
              </w:rPr>
            </w:pPr>
            <w:r w:rsidRPr="00E97620">
              <w:rPr>
                <w:sz w:val="20"/>
                <w:szCs w:val="20"/>
              </w:rPr>
              <w:t>BPPS/Climate Change and Disaster Risk Reduction</w:t>
            </w:r>
            <w:r w:rsidR="00741743" w:rsidRPr="00E97620">
              <w:rPr>
                <w:sz w:val="20"/>
                <w:szCs w:val="20"/>
              </w:rPr>
              <w:t xml:space="preserve"> Unit</w:t>
            </w:r>
          </w:p>
          <w:p w14:paraId="3756D585" w14:textId="143AC8C2" w:rsidR="00286E9F" w:rsidRPr="00E97620" w:rsidRDefault="00741743" w:rsidP="00741743">
            <w:pPr>
              <w:rPr>
                <w:sz w:val="20"/>
                <w:szCs w:val="20"/>
              </w:rPr>
            </w:pPr>
            <w:r w:rsidRPr="00E97620">
              <w:rPr>
                <w:sz w:val="20"/>
                <w:szCs w:val="20"/>
              </w:rPr>
              <w:t xml:space="preserve">in </w:t>
            </w:r>
            <w:r w:rsidR="00286E9F" w:rsidRPr="00E97620">
              <w:rPr>
                <w:sz w:val="20"/>
                <w:szCs w:val="20"/>
              </w:rPr>
              <w:t xml:space="preserve">consultation with Executive Office and </w:t>
            </w:r>
            <w:r w:rsidRPr="00E97620">
              <w:rPr>
                <w:sz w:val="20"/>
                <w:szCs w:val="20"/>
              </w:rPr>
              <w:t>regional bureaux</w:t>
            </w:r>
          </w:p>
        </w:tc>
        <w:tc>
          <w:tcPr>
            <w:tcW w:w="2429" w:type="dxa"/>
            <w:hideMark/>
          </w:tcPr>
          <w:p w14:paraId="194A2DA7" w14:textId="77777777" w:rsidR="00286E9F" w:rsidRPr="00E97620" w:rsidRDefault="00286E9F" w:rsidP="00286E9F">
            <w:pPr>
              <w:rPr>
                <w:sz w:val="20"/>
                <w:szCs w:val="20"/>
              </w:rPr>
            </w:pPr>
            <w:r w:rsidRPr="00E97620">
              <w:rPr>
                <w:sz w:val="20"/>
                <w:szCs w:val="20"/>
              </w:rPr>
              <w:t> </w:t>
            </w:r>
          </w:p>
        </w:tc>
        <w:tc>
          <w:tcPr>
            <w:tcW w:w="2249" w:type="dxa"/>
            <w:hideMark/>
          </w:tcPr>
          <w:p w14:paraId="4DC62D71" w14:textId="77777777" w:rsidR="00286E9F" w:rsidRPr="00E97620" w:rsidRDefault="00286E9F" w:rsidP="00286E9F">
            <w:pPr>
              <w:rPr>
                <w:sz w:val="20"/>
                <w:szCs w:val="20"/>
              </w:rPr>
            </w:pPr>
            <w:r w:rsidRPr="00E97620">
              <w:rPr>
                <w:sz w:val="20"/>
                <w:szCs w:val="20"/>
              </w:rPr>
              <w:t> </w:t>
            </w:r>
          </w:p>
        </w:tc>
      </w:tr>
      <w:tr w:rsidR="00DE5588" w:rsidRPr="00E97620" w14:paraId="5B0FE7C8" w14:textId="77777777" w:rsidTr="00C70D28">
        <w:trPr>
          <w:trHeight w:val="300"/>
        </w:trPr>
        <w:tc>
          <w:tcPr>
            <w:tcW w:w="2429" w:type="dxa"/>
            <w:tcBorders>
              <w:bottom w:val="single" w:sz="4" w:space="0" w:color="auto"/>
            </w:tcBorders>
            <w:hideMark/>
          </w:tcPr>
          <w:p w14:paraId="56A2158C" w14:textId="77777777" w:rsidR="00286E9F" w:rsidRPr="00E97620" w:rsidRDefault="00286E9F" w:rsidP="00286E9F">
            <w:pPr>
              <w:rPr>
                <w:sz w:val="20"/>
                <w:szCs w:val="20"/>
              </w:rPr>
            </w:pPr>
            <w:r w:rsidRPr="00E97620">
              <w:rPr>
                <w:sz w:val="20"/>
                <w:szCs w:val="20"/>
              </w:rPr>
              <w:t>Continue development of a staff expertise mapping and search system (“PeopleSearch”) to enable offices to easily locate subject matter experts and for UNDP to assess expertise globally against priority areas.</w:t>
            </w:r>
          </w:p>
        </w:tc>
        <w:tc>
          <w:tcPr>
            <w:tcW w:w="2429" w:type="dxa"/>
            <w:tcBorders>
              <w:bottom w:val="single" w:sz="4" w:space="0" w:color="auto"/>
            </w:tcBorders>
            <w:hideMark/>
          </w:tcPr>
          <w:p w14:paraId="23217A7F" w14:textId="380FCBE6" w:rsidR="00286E9F" w:rsidRPr="00E97620" w:rsidRDefault="00974BAE" w:rsidP="00286E9F">
            <w:pPr>
              <w:rPr>
                <w:sz w:val="20"/>
                <w:szCs w:val="20"/>
              </w:rPr>
            </w:pPr>
            <w:r w:rsidRPr="00E97620">
              <w:rPr>
                <w:sz w:val="20"/>
                <w:szCs w:val="20"/>
              </w:rPr>
              <w:t xml:space="preserve">Q1 </w:t>
            </w:r>
            <w:r w:rsidR="00286E9F" w:rsidRPr="00E97620">
              <w:rPr>
                <w:sz w:val="20"/>
                <w:szCs w:val="20"/>
              </w:rPr>
              <w:t>2018</w:t>
            </w:r>
          </w:p>
        </w:tc>
        <w:tc>
          <w:tcPr>
            <w:tcW w:w="2429" w:type="dxa"/>
            <w:tcBorders>
              <w:bottom w:val="single" w:sz="4" w:space="0" w:color="auto"/>
            </w:tcBorders>
            <w:hideMark/>
          </w:tcPr>
          <w:p w14:paraId="56651D6C" w14:textId="77777777" w:rsidR="00286E9F" w:rsidRPr="00E97620" w:rsidRDefault="00286E9F" w:rsidP="00286E9F">
            <w:pPr>
              <w:rPr>
                <w:sz w:val="20"/>
                <w:szCs w:val="20"/>
              </w:rPr>
            </w:pPr>
            <w:r w:rsidRPr="00E97620">
              <w:rPr>
                <w:sz w:val="20"/>
                <w:szCs w:val="20"/>
              </w:rPr>
              <w:t>BPPS/DIG</w:t>
            </w:r>
          </w:p>
          <w:p w14:paraId="63656D12" w14:textId="139072DC" w:rsidR="00286E9F" w:rsidRPr="00E97620" w:rsidRDefault="00286E9F" w:rsidP="00741743">
            <w:pPr>
              <w:rPr>
                <w:sz w:val="20"/>
                <w:szCs w:val="20"/>
              </w:rPr>
            </w:pPr>
            <w:r w:rsidRPr="00E97620">
              <w:rPr>
                <w:sz w:val="20"/>
                <w:szCs w:val="20"/>
              </w:rPr>
              <w:t>Bureau of Management Services/Office of Information Management Services</w:t>
            </w:r>
            <w:r w:rsidR="00741743" w:rsidRPr="00E97620">
              <w:rPr>
                <w:sz w:val="20"/>
                <w:szCs w:val="20"/>
              </w:rPr>
              <w:t xml:space="preserve">, </w:t>
            </w:r>
            <w:r w:rsidRPr="00E97620">
              <w:rPr>
                <w:sz w:val="20"/>
                <w:szCs w:val="20"/>
              </w:rPr>
              <w:t>Office of Human Resources</w:t>
            </w:r>
          </w:p>
        </w:tc>
        <w:tc>
          <w:tcPr>
            <w:tcW w:w="2429" w:type="dxa"/>
            <w:tcBorders>
              <w:bottom w:val="single" w:sz="4" w:space="0" w:color="auto"/>
            </w:tcBorders>
            <w:hideMark/>
          </w:tcPr>
          <w:p w14:paraId="45164274" w14:textId="77777777" w:rsidR="00286E9F" w:rsidRPr="00E97620" w:rsidRDefault="00286E9F" w:rsidP="00286E9F">
            <w:pPr>
              <w:rPr>
                <w:sz w:val="20"/>
                <w:szCs w:val="20"/>
              </w:rPr>
            </w:pPr>
            <w:r w:rsidRPr="00E97620">
              <w:rPr>
                <w:sz w:val="20"/>
                <w:szCs w:val="20"/>
              </w:rPr>
              <w:t> </w:t>
            </w:r>
          </w:p>
        </w:tc>
        <w:tc>
          <w:tcPr>
            <w:tcW w:w="2249" w:type="dxa"/>
            <w:tcBorders>
              <w:bottom w:val="single" w:sz="4" w:space="0" w:color="auto"/>
            </w:tcBorders>
            <w:hideMark/>
          </w:tcPr>
          <w:p w14:paraId="0200281F" w14:textId="77777777" w:rsidR="00286E9F" w:rsidRPr="00E97620" w:rsidRDefault="00286E9F" w:rsidP="00286E9F">
            <w:pPr>
              <w:rPr>
                <w:sz w:val="20"/>
                <w:szCs w:val="20"/>
              </w:rPr>
            </w:pPr>
            <w:r w:rsidRPr="00E97620">
              <w:rPr>
                <w:sz w:val="20"/>
                <w:szCs w:val="20"/>
              </w:rPr>
              <w:t> </w:t>
            </w:r>
          </w:p>
        </w:tc>
      </w:tr>
      <w:tr w:rsidR="00286E9F" w:rsidRPr="00E97620" w14:paraId="295A63C7" w14:textId="77777777" w:rsidTr="00C70D28">
        <w:trPr>
          <w:trHeight w:val="300"/>
        </w:trPr>
        <w:tc>
          <w:tcPr>
            <w:tcW w:w="11965" w:type="dxa"/>
            <w:gridSpan w:val="5"/>
            <w:shd w:val="clear" w:color="auto" w:fill="D9D9D9" w:themeFill="background1" w:themeFillShade="D9"/>
            <w:hideMark/>
          </w:tcPr>
          <w:p w14:paraId="3E7BAAF6" w14:textId="77777777" w:rsidR="00286E9F" w:rsidRPr="00E97620" w:rsidRDefault="00286E9F" w:rsidP="00286E9F">
            <w:pPr>
              <w:rPr>
                <w:b/>
                <w:bCs/>
                <w:sz w:val="20"/>
                <w:szCs w:val="20"/>
              </w:rPr>
            </w:pPr>
            <w:r w:rsidRPr="00E97620">
              <w:rPr>
                <w:b/>
                <w:bCs/>
                <w:sz w:val="20"/>
                <w:szCs w:val="20"/>
              </w:rPr>
              <w:t>Recommendation 12</w:t>
            </w:r>
          </w:p>
        </w:tc>
      </w:tr>
      <w:tr w:rsidR="00286E9F" w:rsidRPr="00E97620" w14:paraId="5E3A8BC2" w14:textId="77777777" w:rsidTr="00C70D28">
        <w:trPr>
          <w:trHeight w:val="660"/>
        </w:trPr>
        <w:tc>
          <w:tcPr>
            <w:tcW w:w="11965" w:type="dxa"/>
            <w:gridSpan w:val="5"/>
            <w:hideMark/>
          </w:tcPr>
          <w:p w14:paraId="0BB29CEB" w14:textId="77777777" w:rsidR="00286E9F" w:rsidRPr="00E97620" w:rsidRDefault="00286E9F" w:rsidP="00DE5588">
            <w:pPr>
              <w:spacing w:after="120"/>
              <w:jc w:val="both"/>
              <w:rPr>
                <w:sz w:val="20"/>
                <w:szCs w:val="20"/>
              </w:rPr>
            </w:pPr>
            <w:r w:rsidRPr="00E97620">
              <w:rPr>
                <w:sz w:val="20"/>
                <w:szCs w:val="20"/>
              </w:rPr>
              <w:t>UNDP should reassess the roles and financial sustainability of the regional hubs, striving to make them centres of excellence for innovation and learning while expanding cooperation and partnerships with regional institutions. It should reduce overlap between regional and country-level programming.</w:t>
            </w:r>
          </w:p>
        </w:tc>
      </w:tr>
      <w:tr w:rsidR="00286E9F" w:rsidRPr="00E97620" w14:paraId="0BE857D5" w14:textId="77777777" w:rsidTr="00C70D28">
        <w:trPr>
          <w:trHeight w:val="710"/>
        </w:trPr>
        <w:tc>
          <w:tcPr>
            <w:tcW w:w="11965" w:type="dxa"/>
            <w:gridSpan w:val="5"/>
            <w:hideMark/>
          </w:tcPr>
          <w:p w14:paraId="13F45F4A" w14:textId="77777777" w:rsidR="00B91450" w:rsidRPr="00E97620" w:rsidRDefault="00286E9F" w:rsidP="00DE5588">
            <w:pPr>
              <w:spacing w:after="120"/>
              <w:rPr>
                <w:b/>
                <w:bCs/>
                <w:sz w:val="20"/>
                <w:szCs w:val="20"/>
              </w:rPr>
            </w:pPr>
            <w:r w:rsidRPr="00E97620">
              <w:rPr>
                <w:b/>
                <w:bCs/>
                <w:sz w:val="20"/>
                <w:szCs w:val="20"/>
              </w:rPr>
              <w:t xml:space="preserve">Management response: </w:t>
            </w:r>
          </w:p>
          <w:p w14:paraId="1B64FA70" w14:textId="6254C5FC" w:rsidR="00286E9F" w:rsidRPr="00E97620" w:rsidRDefault="00844756" w:rsidP="00DE5588">
            <w:pPr>
              <w:spacing w:after="120"/>
              <w:rPr>
                <w:b/>
                <w:bCs/>
                <w:sz w:val="20"/>
                <w:szCs w:val="20"/>
              </w:rPr>
            </w:pPr>
            <w:r w:rsidRPr="00E97620">
              <w:rPr>
                <w:sz w:val="20"/>
                <w:szCs w:val="20"/>
              </w:rPr>
              <w:t>UNDP m</w:t>
            </w:r>
            <w:r w:rsidR="00227028" w:rsidRPr="00E97620">
              <w:rPr>
                <w:sz w:val="20"/>
                <w:szCs w:val="20"/>
              </w:rPr>
              <w:t xml:space="preserve">anagement </w:t>
            </w:r>
            <w:r w:rsidR="00823DAC" w:rsidRPr="00E97620">
              <w:rPr>
                <w:sz w:val="20"/>
                <w:szCs w:val="20"/>
              </w:rPr>
              <w:t xml:space="preserve">takes note of </w:t>
            </w:r>
            <w:r w:rsidR="00227028" w:rsidRPr="00E97620">
              <w:rPr>
                <w:sz w:val="20"/>
                <w:szCs w:val="20"/>
              </w:rPr>
              <w:t xml:space="preserve">this recommendation </w:t>
            </w:r>
            <w:r w:rsidR="00286E9F" w:rsidRPr="00E97620">
              <w:rPr>
                <w:sz w:val="20"/>
                <w:szCs w:val="20"/>
              </w:rPr>
              <w:t xml:space="preserve">and </w:t>
            </w:r>
            <w:r w:rsidR="00823DAC" w:rsidRPr="00E97620">
              <w:rPr>
                <w:sz w:val="20"/>
                <w:szCs w:val="20"/>
              </w:rPr>
              <w:t xml:space="preserve">will review the financial sustainability and roles </w:t>
            </w:r>
            <w:r w:rsidR="00B96A2B" w:rsidRPr="00E97620">
              <w:rPr>
                <w:sz w:val="20"/>
                <w:szCs w:val="20"/>
              </w:rPr>
              <w:t xml:space="preserve">of the regional hubs </w:t>
            </w:r>
            <w:r w:rsidR="00823DAC" w:rsidRPr="00E97620">
              <w:rPr>
                <w:sz w:val="20"/>
                <w:szCs w:val="20"/>
              </w:rPr>
              <w:t xml:space="preserve">over the next Strategic Plan 2018-2021.  </w:t>
            </w:r>
          </w:p>
        </w:tc>
      </w:tr>
      <w:tr w:rsidR="00DE5588" w:rsidRPr="00E97620" w14:paraId="3780EB67" w14:textId="77777777" w:rsidTr="00C70D28">
        <w:trPr>
          <w:trHeight w:val="300"/>
        </w:trPr>
        <w:tc>
          <w:tcPr>
            <w:tcW w:w="2429" w:type="dxa"/>
            <w:hideMark/>
          </w:tcPr>
          <w:p w14:paraId="3FF5816D" w14:textId="276D4582" w:rsidR="00286E9F" w:rsidRPr="00E97620" w:rsidRDefault="00286E9F" w:rsidP="00916CB0">
            <w:pPr>
              <w:rPr>
                <w:sz w:val="20"/>
                <w:szCs w:val="20"/>
              </w:rPr>
            </w:pPr>
            <w:r w:rsidRPr="00E97620">
              <w:rPr>
                <w:sz w:val="20"/>
                <w:szCs w:val="20"/>
              </w:rPr>
              <w:t xml:space="preserve">Review </w:t>
            </w:r>
            <w:r w:rsidR="00916CB0" w:rsidRPr="00E97620">
              <w:rPr>
                <w:sz w:val="20"/>
                <w:szCs w:val="20"/>
              </w:rPr>
              <w:t xml:space="preserve">financial sustainability of regional hubs </w:t>
            </w:r>
          </w:p>
        </w:tc>
        <w:tc>
          <w:tcPr>
            <w:tcW w:w="2429" w:type="dxa"/>
            <w:hideMark/>
          </w:tcPr>
          <w:p w14:paraId="4872F7D5" w14:textId="5BBE67A7" w:rsidR="00286E9F" w:rsidRPr="00E97620" w:rsidRDefault="00286E9F" w:rsidP="00916CB0">
            <w:pPr>
              <w:rPr>
                <w:sz w:val="20"/>
                <w:szCs w:val="20"/>
              </w:rPr>
            </w:pPr>
            <w:r w:rsidRPr="00E97620">
              <w:rPr>
                <w:sz w:val="20"/>
                <w:szCs w:val="20"/>
              </w:rPr>
              <w:t> </w:t>
            </w:r>
            <w:r w:rsidR="00916CB0" w:rsidRPr="00E97620">
              <w:rPr>
                <w:sz w:val="20"/>
                <w:szCs w:val="20"/>
              </w:rPr>
              <w:t>2</w:t>
            </w:r>
            <w:r w:rsidRPr="00E97620">
              <w:rPr>
                <w:sz w:val="20"/>
                <w:szCs w:val="20"/>
              </w:rPr>
              <w:t>018</w:t>
            </w:r>
            <w:r w:rsidR="00916CB0" w:rsidRPr="00E97620">
              <w:rPr>
                <w:sz w:val="20"/>
                <w:szCs w:val="20"/>
              </w:rPr>
              <w:t xml:space="preserve"> -21</w:t>
            </w:r>
          </w:p>
        </w:tc>
        <w:tc>
          <w:tcPr>
            <w:tcW w:w="2429" w:type="dxa"/>
            <w:hideMark/>
          </w:tcPr>
          <w:p w14:paraId="7D9A79EC" w14:textId="1B8C758B" w:rsidR="00286E9F" w:rsidRPr="00E97620" w:rsidRDefault="00286E9F" w:rsidP="00514D8F">
            <w:pPr>
              <w:rPr>
                <w:sz w:val="20"/>
                <w:szCs w:val="20"/>
              </w:rPr>
            </w:pPr>
            <w:r w:rsidRPr="00E97620">
              <w:rPr>
                <w:sz w:val="20"/>
                <w:szCs w:val="20"/>
              </w:rPr>
              <w:t> </w:t>
            </w:r>
            <w:r w:rsidR="0061620E" w:rsidRPr="00E97620">
              <w:rPr>
                <w:sz w:val="20"/>
                <w:szCs w:val="20"/>
              </w:rPr>
              <w:t>Executive Office</w:t>
            </w:r>
            <w:r w:rsidR="000350FD">
              <w:rPr>
                <w:sz w:val="20"/>
                <w:szCs w:val="20"/>
              </w:rPr>
              <w:t>/regional bureaux/BPPS</w:t>
            </w:r>
          </w:p>
        </w:tc>
        <w:tc>
          <w:tcPr>
            <w:tcW w:w="2429" w:type="dxa"/>
            <w:hideMark/>
          </w:tcPr>
          <w:p w14:paraId="2A4440E1" w14:textId="77777777" w:rsidR="00286E9F" w:rsidRPr="00E97620" w:rsidRDefault="00286E9F" w:rsidP="00286E9F">
            <w:pPr>
              <w:rPr>
                <w:sz w:val="20"/>
                <w:szCs w:val="20"/>
              </w:rPr>
            </w:pPr>
            <w:r w:rsidRPr="00E97620">
              <w:rPr>
                <w:sz w:val="20"/>
                <w:szCs w:val="20"/>
              </w:rPr>
              <w:t> </w:t>
            </w:r>
          </w:p>
        </w:tc>
        <w:tc>
          <w:tcPr>
            <w:tcW w:w="2249" w:type="dxa"/>
            <w:hideMark/>
          </w:tcPr>
          <w:p w14:paraId="1779D22E" w14:textId="77777777" w:rsidR="00286E9F" w:rsidRPr="00E97620" w:rsidRDefault="00286E9F" w:rsidP="00286E9F">
            <w:pPr>
              <w:rPr>
                <w:sz w:val="20"/>
                <w:szCs w:val="20"/>
              </w:rPr>
            </w:pPr>
            <w:r w:rsidRPr="00E97620">
              <w:rPr>
                <w:sz w:val="20"/>
                <w:szCs w:val="20"/>
              </w:rPr>
              <w:t> </w:t>
            </w:r>
          </w:p>
        </w:tc>
      </w:tr>
    </w:tbl>
    <w:tbl>
      <w:tblPr>
        <w:tblStyle w:val="TableGrid1"/>
        <w:tblW w:w="12192" w:type="dxa"/>
        <w:tblLook w:val="04A0" w:firstRow="1" w:lastRow="0" w:firstColumn="1" w:lastColumn="0" w:noHBand="0" w:noVBand="1"/>
      </w:tblPr>
      <w:tblGrid>
        <w:gridCol w:w="2814"/>
        <w:gridCol w:w="2551"/>
        <w:gridCol w:w="2588"/>
        <w:gridCol w:w="2119"/>
        <w:gridCol w:w="2120"/>
      </w:tblGrid>
      <w:tr w:rsidR="00B91FB2" w:rsidRPr="00DE5588" w14:paraId="3C43EDBF" w14:textId="77777777" w:rsidTr="00DE5588">
        <w:trPr>
          <w:trHeight w:val="300"/>
        </w:trPr>
        <w:tc>
          <w:tcPr>
            <w:tcW w:w="0" w:type="auto"/>
            <w:gridSpan w:val="5"/>
            <w:shd w:val="clear" w:color="auto" w:fill="D9D9D9" w:themeFill="background1" w:themeFillShade="D9"/>
            <w:hideMark/>
          </w:tcPr>
          <w:p w14:paraId="05D7A0E4" w14:textId="68DBFC77" w:rsidR="00B91FB2" w:rsidRPr="00DE5588" w:rsidRDefault="00B91FB2" w:rsidP="00A508D7">
            <w:pPr>
              <w:rPr>
                <w:rFonts w:ascii="Times New Roman" w:hAnsi="Times New Roman" w:cs="Times New Roman"/>
                <w:b/>
                <w:bCs/>
                <w:sz w:val="20"/>
                <w:szCs w:val="20"/>
              </w:rPr>
            </w:pPr>
            <w:r w:rsidRPr="00DE5588">
              <w:rPr>
                <w:rFonts w:ascii="Times New Roman" w:hAnsi="Times New Roman" w:cs="Times New Roman"/>
                <w:b/>
                <w:bCs/>
                <w:sz w:val="20"/>
                <w:szCs w:val="20"/>
              </w:rPr>
              <w:t>Recommendation 13</w:t>
            </w:r>
          </w:p>
        </w:tc>
      </w:tr>
      <w:tr w:rsidR="00B91FB2" w:rsidRPr="00DE5588" w14:paraId="695F6447" w14:textId="77777777" w:rsidTr="00DE5588">
        <w:trPr>
          <w:trHeight w:val="660"/>
        </w:trPr>
        <w:tc>
          <w:tcPr>
            <w:tcW w:w="0" w:type="auto"/>
            <w:gridSpan w:val="5"/>
            <w:hideMark/>
          </w:tcPr>
          <w:p w14:paraId="15048497" w14:textId="77777777" w:rsidR="00B91FB2" w:rsidRPr="00DE5588" w:rsidRDefault="006D6CCD" w:rsidP="00B91450">
            <w:pPr>
              <w:spacing w:after="240"/>
              <w:jc w:val="both"/>
              <w:rPr>
                <w:rFonts w:ascii="Times New Roman" w:hAnsi="Times New Roman" w:cs="Times New Roman"/>
                <w:sz w:val="20"/>
                <w:szCs w:val="20"/>
              </w:rPr>
            </w:pPr>
            <w:r w:rsidRPr="00DE5588">
              <w:rPr>
                <w:rFonts w:ascii="Times New Roman" w:hAnsi="Times New Roman" w:cs="Times New Roman"/>
                <w:sz w:val="20"/>
                <w:szCs w:val="20"/>
                <w:lang w:val="en-GB"/>
              </w:rPr>
              <w:t>Regional programming, if better defined, has the potential to be a valuable tool to prioritize and organize UNDP regional engagement and support to country offices. UNDP should develop its regional programmes as frameworks, outlining the regional issues to be addressed and approaches to be followed. To maximize its activities at the regional level and position UNDP to make a meaningful contribution, there should be more focus on a select number of areas at the regional level.  For regional programmes to be effective, the activities that are considered should be realistic and pay sufficient attention to regionality principles.</w:t>
            </w:r>
          </w:p>
        </w:tc>
      </w:tr>
      <w:tr w:rsidR="00B91FB2" w:rsidRPr="00DE5588" w14:paraId="3DCBE8E5" w14:textId="77777777" w:rsidTr="00DE5588">
        <w:trPr>
          <w:trHeight w:val="710"/>
        </w:trPr>
        <w:tc>
          <w:tcPr>
            <w:tcW w:w="0" w:type="auto"/>
            <w:gridSpan w:val="5"/>
            <w:hideMark/>
          </w:tcPr>
          <w:p w14:paraId="59B9EBEA" w14:textId="77777777" w:rsidR="00B91450" w:rsidRPr="00DE5588" w:rsidRDefault="00B91FB2" w:rsidP="00383BB9">
            <w:pPr>
              <w:spacing w:line="276" w:lineRule="auto"/>
              <w:rPr>
                <w:rFonts w:ascii="Times New Roman" w:hAnsi="Times New Roman" w:cs="Times New Roman"/>
                <w:b/>
                <w:bCs/>
                <w:sz w:val="20"/>
                <w:szCs w:val="20"/>
              </w:rPr>
            </w:pPr>
            <w:r w:rsidRPr="00DE5588">
              <w:rPr>
                <w:rFonts w:ascii="Times New Roman" w:hAnsi="Times New Roman" w:cs="Times New Roman"/>
                <w:b/>
                <w:bCs/>
                <w:sz w:val="20"/>
                <w:szCs w:val="20"/>
              </w:rPr>
              <w:t xml:space="preserve">Management response: </w:t>
            </w:r>
          </w:p>
          <w:p w14:paraId="370E61D5" w14:textId="0BAF28B9" w:rsidR="00B91FB2" w:rsidRPr="00DE5588" w:rsidRDefault="005B032D" w:rsidP="00B91450">
            <w:pPr>
              <w:spacing w:after="240"/>
              <w:rPr>
                <w:rFonts w:ascii="Times New Roman" w:hAnsi="Times New Roman" w:cs="Times New Roman"/>
                <w:b/>
                <w:bCs/>
                <w:sz w:val="20"/>
                <w:szCs w:val="20"/>
              </w:rPr>
            </w:pPr>
            <w:r w:rsidRPr="00DE5588">
              <w:rPr>
                <w:rFonts w:ascii="Times New Roman" w:hAnsi="Times New Roman" w:cs="Times New Roman"/>
                <w:sz w:val="20"/>
                <w:szCs w:val="20"/>
              </w:rPr>
              <w:t xml:space="preserve">Management </w:t>
            </w:r>
            <w:r w:rsidR="00996031" w:rsidRPr="00DE5588">
              <w:rPr>
                <w:rFonts w:ascii="Times New Roman" w:hAnsi="Times New Roman" w:cs="Times New Roman"/>
                <w:sz w:val="20"/>
                <w:szCs w:val="20"/>
              </w:rPr>
              <w:t xml:space="preserve">agrees </w:t>
            </w:r>
            <w:r w:rsidR="00D832D9" w:rsidRPr="00DE5588">
              <w:rPr>
                <w:rFonts w:ascii="Times New Roman" w:hAnsi="Times New Roman" w:cs="Times New Roman"/>
                <w:sz w:val="20"/>
                <w:szCs w:val="20"/>
              </w:rPr>
              <w:t xml:space="preserve">with </w:t>
            </w:r>
            <w:r w:rsidR="00B91FB2" w:rsidRPr="00DE5588">
              <w:rPr>
                <w:rFonts w:ascii="Times New Roman" w:hAnsi="Times New Roman" w:cs="Times New Roman"/>
                <w:sz w:val="20"/>
                <w:szCs w:val="20"/>
              </w:rPr>
              <w:t xml:space="preserve">the recommendation that regional programmes should be developed as frameworks outlining the regional issues to be addressed and approaches to be followed within a select number of areas in support of the 2030 Agenda. </w:t>
            </w:r>
          </w:p>
        </w:tc>
      </w:tr>
      <w:tr w:rsidR="00981010" w:rsidRPr="00DE5588" w14:paraId="5894159D" w14:textId="77777777" w:rsidTr="003241F9">
        <w:trPr>
          <w:trHeight w:val="300"/>
        </w:trPr>
        <w:tc>
          <w:tcPr>
            <w:tcW w:w="2438" w:type="dxa"/>
            <w:hideMark/>
          </w:tcPr>
          <w:p w14:paraId="650301FC" w14:textId="60950A8D" w:rsidR="00B91FB2" w:rsidRPr="00DE5588" w:rsidRDefault="00B91FB2" w:rsidP="00D94044">
            <w:pPr>
              <w:rPr>
                <w:rFonts w:ascii="Times New Roman" w:hAnsi="Times New Roman" w:cs="Times New Roman"/>
                <w:sz w:val="20"/>
                <w:szCs w:val="20"/>
              </w:rPr>
            </w:pPr>
            <w:r w:rsidRPr="00DE5588">
              <w:rPr>
                <w:rFonts w:ascii="Times New Roman" w:hAnsi="Times New Roman" w:cs="Times New Roman"/>
                <w:sz w:val="20"/>
                <w:szCs w:val="20"/>
              </w:rPr>
              <w:t xml:space="preserve">Formulation of the </w:t>
            </w:r>
            <w:r w:rsidR="006D6CCD" w:rsidRPr="00DE5588">
              <w:rPr>
                <w:rFonts w:ascii="Times New Roman" w:hAnsi="Times New Roman" w:cs="Times New Roman"/>
                <w:sz w:val="20"/>
                <w:szCs w:val="20"/>
              </w:rPr>
              <w:t xml:space="preserve">regional programmes, </w:t>
            </w:r>
            <w:r w:rsidRPr="00DE5588">
              <w:rPr>
                <w:rFonts w:ascii="Times New Roman" w:hAnsi="Times New Roman" w:cs="Times New Roman"/>
                <w:sz w:val="20"/>
                <w:szCs w:val="20"/>
              </w:rPr>
              <w:t>2018-</w:t>
            </w:r>
            <w:r w:rsidR="006D6CCD" w:rsidRPr="00DE5588">
              <w:rPr>
                <w:rFonts w:ascii="Times New Roman" w:hAnsi="Times New Roman" w:cs="Times New Roman"/>
                <w:sz w:val="20"/>
                <w:szCs w:val="20"/>
              </w:rPr>
              <w:t>20</w:t>
            </w:r>
            <w:r w:rsidRPr="00DE5588">
              <w:rPr>
                <w:rFonts w:ascii="Times New Roman" w:hAnsi="Times New Roman" w:cs="Times New Roman"/>
                <w:sz w:val="20"/>
                <w:szCs w:val="20"/>
              </w:rPr>
              <w:t>2</w:t>
            </w:r>
            <w:r w:rsidR="00D94044">
              <w:rPr>
                <w:rFonts w:ascii="Times New Roman" w:hAnsi="Times New Roman" w:cs="Times New Roman"/>
                <w:sz w:val="20"/>
                <w:szCs w:val="20"/>
              </w:rPr>
              <w:t>1</w:t>
            </w:r>
            <w:r w:rsidR="006D6CCD" w:rsidRPr="00DE5588">
              <w:rPr>
                <w:rFonts w:ascii="Times New Roman" w:hAnsi="Times New Roman" w:cs="Times New Roman"/>
                <w:sz w:val="20"/>
                <w:szCs w:val="20"/>
              </w:rPr>
              <w:t xml:space="preserve">, </w:t>
            </w:r>
            <w:r w:rsidRPr="00DE5588">
              <w:rPr>
                <w:rFonts w:ascii="Times New Roman" w:hAnsi="Times New Roman" w:cs="Times New Roman"/>
                <w:sz w:val="20"/>
                <w:szCs w:val="20"/>
              </w:rPr>
              <w:t>guided by the 2030 Agenda will support distinct and specific regional public goods</w:t>
            </w:r>
          </w:p>
        </w:tc>
        <w:tc>
          <w:tcPr>
            <w:tcW w:w="2438" w:type="dxa"/>
            <w:hideMark/>
          </w:tcPr>
          <w:p w14:paraId="3F700D7E" w14:textId="77777777" w:rsidR="00B91FB2" w:rsidRPr="00DE5588" w:rsidRDefault="00B91FB2" w:rsidP="00A508D7">
            <w:pPr>
              <w:rPr>
                <w:rFonts w:ascii="Times New Roman" w:hAnsi="Times New Roman" w:cs="Times New Roman"/>
                <w:sz w:val="20"/>
                <w:szCs w:val="20"/>
              </w:rPr>
            </w:pPr>
            <w:r w:rsidRPr="00DE5588">
              <w:rPr>
                <w:rFonts w:ascii="Times New Roman" w:hAnsi="Times New Roman" w:cs="Times New Roman"/>
                <w:sz w:val="20"/>
                <w:szCs w:val="20"/>
              </w:rPr>
              <w:t> Jan</w:t>
            </w:r>
            <w:r w:rsidR="00B718F1" w:rsidRPr="00DE5588">
              <w:rPr>
                <w:rFonts w:ascii="Times New Roman" w:hAnsi="Times New Roman" w:cs="Times New Roman"/>
                <w:sz w:val="20"/>
                <w:szCs w:val="20"/>
              </w:rPr>
              <w:t>uary</w:t>
            </w:r>
            <w:r w:rsidRPr="00DE5588">
              <w:rPr>
                <w:rFonts w:ascii="Times New Roman" w:hAnsi="Times New Roman" w:cs="Times New Roman"/>
                <w:sz w:val="20"/>
                <w:szCs w:val="20"/>
              </w:rPr>
              <w:t xml:space="preserve"> 2018</w:t>
            </w:r>
          </w:p>
        </w:tc>
        <w:tc>
          <w:tcPr>
            <w:tcW w:w="2439" w:type="dxa"/>
            <w:hideMark/>
          </w:tcPr>
          <w:p w14:paraId="48C278A9" w14:textId="5C72AC68" w:rsidR="00B91FB2" w:rsidRPr="00DE5588" w:rsidRDefault="00B718F1" w:rsidP="00A508D7">
            <w:pPr>
              <w:rPr>
                <w:rFonts w:ascii="Times New Roman" w:hAnsi="Times New Roman" w:cs="Times New Roman"/>
                <w:sz w:val="20"/>
                <w:szCs w:val="20"/>
              </w:rPr>
            </w:pPr>
            <w:r w:rsidRPr="00DE5588">
              <w:rPr>
                <w:rFonts w:ascii="Times New Roman" w:hAnsi="Times New Roman" w:cs="Times New Roman"/>
                <w:sz w:val="20"/>
                <w:szCs w:val="20"/>
              </w:rPr>
              <w:t xml:space="preserve">Regional </w:t>
            </w:r>
            <w:r w:rsidR="00F346BD" w:rsidRPr="00DE5588">
              <w:rPr>
                <w:rFonts w:ascii="Times New Roman" w:hAnsi="Times New Roman" w:cs="Times New Roman"/>
                <w:sz w:val="20"/>
                <w:szCs w:val="20"/>
              </w:rPr>
              <w:t>bureau</w:t>
            </w:r>
            <w:r w:rsidR="0061620E" w:rsidRPr="00DE5588">
              <w:rPr>
                <w:rFonts w:ascii="Times New Roman" w:hAnsi="Times New Roman" w:cs="Times New Roman"/>
                <w:sz w:val="20"/>
                <w:szCs w:val="20"/>
              </w:rPr>
              <w:t>x</w:t>
            </w:r>
          </w:p>
        </w:tc>
        <w:tc>
          <w:tcPr>
            <w:tcW w:w="2438" w:type="dxa"/>
            <w:hideMark/>
          </w:tcPr>
          <w:p w14:paraId="679BB5B9" w14:textId="77777777" w:rsidR="00B91FB2" w:rsidRPr="00DE5588" w:rsidRDefault="00B91FB2" w:rsidP="00A508D7">
            <w:pPr>
              <w:rPr>
                <w:rFonts w:ascii="Times New Roman" w:hAnsi="Times New Roman" w:cs="Times New Roman"/>
                <w:sz w:val="20"/>
                <w:szCs w:val="20"/>
              </w:rPr>
            </w:pPr>
            <w:r w:rsidRPr="00DE5588">
              <w:rPr>
                <w:rFonts w:ascii="Times New Roman" w:hAnsi="Times New Roman" w:cs="Times New Roman"/>
                <w:sz w:val="20"/>
                <w:szCs w:val="20"/>
              </w:rPr>
              <w:t> </w:t>
            </w:r>
          </w:p>
        </w:tc>
        <w:tc>
          <w:tcPr>
            <w:tcW w:w="2439" w:type="dxa"/>
            <w:hideMark/>
          </w:tcPr>
          <w:p w14:paraId="5B975B3D" w14:textId="77777777" w:rsidR="00B91FB2" w:rsidRPr="00DE5588" w:rsidRDefault="00B91FB2" w:rsidP="00A508D7">
            <w:pPr>
              <w:rPr>
                <w:rFonts w:ascii="Times New Roman" w:hAnsi="Times New Roman" w:cs="Times New Roman"/>
                <w:sz w:val="20"/>
                <w:szCs w:val="20"/>
              </w:rPr>
            </w:pPr>
            <w:r w:rsidRPr="00DE5588">
              <w:rPr>
                <w:rFonts w:ascii="Times New Roman" w:hAnsi="Times New Roman" w:cs="Times New Roman"/>
                <w:sz w:val="20"/>
                <w:szCs w:val="20"/>
              </w:rPr>
              <w:t> </w:t>
            </w:r>
          </w:p>
        </w:tc>
      </w:tr>
    </w:tbl>
    <w:tbl>
      <w:tblPr>
        <w:tblStyle w:val="TableGrid"/>
        <w:tblW w:w="12197" w:type="dxa"/>
        <w:tblInd w:w="-5" w:type="dxa"/>
        <w:tblLook w:val="04A0" w:firstRow="1" w:lastRow="0" w:firstColumn="1" w:lastColumn="0" w:noHBand="0" w:noVBand="1"/>
      </w:tblPr>
      <w:tblGrid>
        <w:gridCol w:w="2439"/>
        <w:gridCol w:w="2439"/>
        <w:gridCol w:w="2440"/>
        <w:gridCol w:w="2439"/>
        <w:gridCol w:w="2440"/>
      </w:tblGrid>
      <w:tr w:rsidR="00B91FB2" w:rsidRPr="00DE5588" w14:paraId="0ECD137E" w14:textId="77777777" w:rsidTr="00DE5588">
        <w:trPr>
          <w:trHeight w:val="300"/>
        </w:trPr>
        <w:tc>
          <w:tcPr>
            <w:tcW w:w="12197" w:type="dxa"/>
            <w:gridSpan w:val="5"/>
            <w:shd w:val="clear" w:color="auto" w:fill="D9D9D9" w:themeFill="background1" w:themeFillShade="D9"/>
            <w:hideMark/>
          </w:tcPr>
          <w:p w14:paraId="77B5A6CE" w14:textId="77777777" w:rsidR="00B91FB2" w:rsidRPr="00DE5588" w:rsidRDefault="00B91FB2" w:rsidP="00A508D7">
            <w:pPr>
              <w:rPr>
                <w:b/>
                <w:bCs/>
                <w:sz w:val="20"/>
                <w:szCs w:val="20"/>
              </w:rPr>
            </w:pPr>
            <w:r w:rsidRPr="00DE5588">
              <w:rPr>
                <w:b/>
                <w:bCs/>
                <w:sz w:val="20"/>
                <w:szCs w:val="20"/>
              </w:rPr>
              <w:t>Recommendation 14</w:t>
            </w:r>
          </w:p>
        </w:tc>
      </w:tr>
      <w:tr w:rsidR="00B91FB2" w:rsidRPr="00DE5588" w14:paraId="57DDFEC0" w14:textId="77777777" w:rsidTr="00DE5588">
        <w:trPr>
          <w:trHeight w:val="615"/>
        </w:trPr>
        <w:tc>
          <w:tcPr>
            <w:tcW w:w="12197" w:type="dxa"/>
            <w:gridSpan w:val="5"/>
            <w:hideMark/>
          </w:tcPr>
          <w:p w14:paraId="6C71768D" w14:textId="77777777" w:rsidR="00B91FB2" w:rsidRPr="00DE5588" w:rsidRDefault="00B91FB2" w:rsidP="00945A94">
            <w:pPr>
              <w:jc w:val="both"/>
              <w:rPr>
                <w:sz w:val="20"/>
                <w:szCs w:val="20"/>
              </w:rPr>
            </w:pPr>
            <w:r w:rsidRPr="00DE5588">
              <w:rPr>
                <w:sz w:val="20"/>
                <w:szCs w:val="20"/>
              </w:rPr>
              <w:t>UNDP should promote a results culture that encourages critical reflection and continuous organizational learning for improved results and institutional effectiveness.</w:t>
            </w:r>
          </w:p>
        </w:tc>
      </w:tr>
      <w:tr w:rsidR="00B91FB2" w:rsidRPr="00DE5588" w14:paraId="64C1A146" w14:textId="77777777" w:rsidTr="00DE5588">
        <w:trPr>
          <w:trHeight w:val="1200"/>
        </w:trPr>
        <w:tc>
          <w:tcPr>
            <w:tcW w:w="12197" w:type="dxa"/>
            <w:gridSpan w:val="5"/>
            <w:hideMark/>
          </w:tcPr>
          <w:p w14:paraId="07E72DC8" w14:textId="77777777" w:rsidR="00B91450" w:rsidRPr="00DE5588" w:rsidRDefault="00B91FB2" w:rsidP="00B91450">
            <w:pPr>
              <w:spacing w:line="360" w:lineRule="auto"/>
              <w:rPr>
                <w:b/>
                <w:bCs/>
                <w:sz w:val="20"/>
                <w:szCs w:val="20"/>
              </w:rPr>
            </w:pPr>
            <w:r w:rsidRPr="00DE5588">
              <w:rPr>
                <w:b/>
                <w:bCs/>
                <w:sz w:val="20"/>
                <w:szCs w:val="20"/>
              </w:rPr>
              <w:t xml:space="preserve">Management response: </w:t>
            </w:r>
          </w:p>
          <w:p w14:paraId="0B94992F" w14:textId="43FFECE3" w:rsidR="00B91FB2" w:rsidRPr="00DE5588" w:rsidRDefault="00844756" w:rsidP="00B91450">
            <w:pPr>
              <w:rPr>
                <w:sz w:val="20"/>
                <w:szCs w:val="20"/>
              </w:rPr>
            </w:pPr>
            <w:r w:rsidRPr="00DE5588">
              <w:rPr>
                <w:sz w:val="20"/>
                <w:szCs w:val="20"/>
              </w:rPr>
              <w:t>UNDP m</w:t>
            </w:r>
            <w:r w:rsidR="005B032D" w:rsidRPr="00DE5588">
              <w:rPr>
                <w:sz w:val="20"/>
                <w:szCs w:val="20"/>
              </w:rPr>
              <w:t xml:space="preserve">anagement </w:t>
            </w:r>
            <w:r w:rsidRPr="00DE5588">
              <w:rPr>
                <w:sz w:val="20"/>
                <w:szCs w:val="20"/>
              </w:rPr>
              <w:t>agrees</w:t>
            </w:r>
            <w:r w:rsidR="00144F4C" w:rsidRPr="00DE5588">
              <w:rPr>
                <w:sz w:val="20"/>
                <w:szCs w:val="20"/>
              </w:rPr>
              <w:t xml:space="preserve"> with</w:t>
            </w:r>
            <w:r w:rsidR="005B032D" w:rsidRPr="00DE5588">
              <w:rPr>
                <w:sz w:val="20"/>
                <w:szCs w:val="20"/>
              </w:rPr>
              <w:t xml:space="preserve"> this recommendation.  </w:t>
            </w:r>
            <w:r w:rsidR="00EA26E0" w:rsidRPr="00DE5588">
              <w:rPr>
                <w:sz w:val="20"/>
                <w:szCs w:val="20"/>
              </w:rPr>
              <w:t xml:space="preserve">As the </w:t>
            </w:r>
            <w:r w:rsidR="00144F4C" w:rsidRPr="00DE5588">
              <w:rPr>
                <w:sz w:val="20"/>
                <w:szCs w:val="20"/>
              </w:rPr>
              <w:t xml:space="preserve">Executive Board </w:t>
            </w:r>
            <w:r w:rsidR="00EA26E0" w:rsidRPr="00DE5588">
              <w:rPr>
                <w:sz w:val="20"/>
                <w:szCs w:val="20"/>
              </w:rPr>
              <w:t xml:space="preserve">noted in several decisions, UNDP </w:t>
            </w:r>
            <w:r w:rsidR="00D832D9" w:rsidRPr="00DE5588">
              <w:rPr>
                <w:sz w:val="20"/>
                <w:szCs w:val="20"/>
              </w:rPr>
              <w:t xml:space="preserve">has </w:t>
            </w:r>
            <w:r w:rsidR="00144F4C" w:rsidRPr="00DE5588">
              <w:rPr>
                <w:sz w:val="20"/>
                <w:szCs w:val="20"/>
              </w:rPr>
              <w:t xml:space="preserve">made </w:t>
            </w:r>
            <w:r w:rsidR="00EA26E0" w:rsidRPr="00DE5588">
              <w:rPr>
                <w:sz w:val="20"/>
                <w:szCs w:val="20"/>
              </w:rPr>
              <w:t xml:space="preserve">significant progress </w:t>
            </w:r>
            <w:r w:rsidR="00144F4C" w:rsidRPr="00DE5588">
              <w:rPr>
                <w:sz w:val="20"/>
                <w:szCs w:val="20"/>
              </w:rPr>
              <w:t>in strengthening its analytical capacities</w:t>
            </w:r>
            <w:r w:rsidR="00EA26E0" w:rsidRPr="00DE5588">
              <w:rPr>
                <w:sz w:val="20"/>
                <w:szCs w:val="20"/>
              </w:rPr>
              <w:t>.</w:t>
            </w:r>
            <w:r w:rsidR="00144F4C" w:rsidRPr="00DE5588">
              <w:rPr>
                <w:sz w:val="20"/>
                <w:szCs w:val="20"/>
              </w:rPr>
              <w:t xml:space="preserve"> </w:t>
            </w:r>
            <w:r w:rsidR="00EA26E0" w:rsidRPr="00DE5588">
              <w:rPr>
                <w:sz w:val="20"/>
                <w:szCs w:val="20"/>
              </w:rPr>
              <w:t>T</w:t>
            </w:r>
            <w:r w:rsidR="00144F4C" w:rsidRPr="00DE5588">
              <w:rPr>
                <w:sz w:val="20"/>
                <w:szCs w:val="20"/>
              </w:rPr>
              <w:t>o</w:t>
            </w:r>
            <w:r w:rsidR="00750D18" w:rsidRPr="00DE5588">
              <w:rPr>
                <w:sz w:val="20"/>
                <w:szCs w:val="20"/>
              </w:rPr>
              <w:t xml:space="preserve"> </w:t>
            </w:r>
            <w:r w:rsidR="00EA26E0" w:rsidRPr="00DE5588">
              <w:rPr>
                <w:sz w:val="20"/>
                <w:szCs w:val="20"/>
              </w:rPr>
              <w:t>build</w:t>
            </w:r>
            <w:r w:rsidR="00750D18" w:rsidRPr="00DE5588">
              <w:rPr>
                <w:sz w:val="20"/>
                <w:szCs w:val="20"/>
              </w:rPr>
              <w:t xml:space="preserve"> a</w:t>
            </w:r>
            <w:r w:rsidR="00144F4C" w:rsidRPr="00DE5588">
              <w:rPr>
                <w:sz w:val="20"/>
                <w:szCs w:val="20"/>
              </w:rPr>
              <w:t xml:space="preserve"> strong</w:t>
            </w:r>
            <w:r w:rsidR="00750D18" w:rsidRPr="00DE5588">
              <w:rPr>
                <w:sz w:val="20"/>
                <w:szCs w:val="20"/>
              </w:rPr>
              <w:t xml:space="preserve"> results</w:t>
            </w:r>
            <w:r w:rsidR="00B91FB2" w:rsidRPr="00DE5588">
              <w:rPr>
                <w:sz w:val="20"/>
                <w:szCs w:val="20"/>
              </w:rPr>
              <w:t xml:space="preserve"> culture across the organization</w:t>
            </w:r>
            <w:r w:rsidR="00EA26E0" w:rsidRPr="00DE5588">
              <w:rPr>
                <w:sz w:val="20"/>
                <w:szCs w:val="20"/>
              </w:rPr>
              <w:t>,</w:t>
            </w:r>
            <w:r w:rsidR="00F346BD" w:rsidRPr="00DE5588">
              <w:rPr>
                <w:sz w:val="20"/>
                <w:szCs w:val="20"/>
              </w:rPr>
              <w:t xml:space="preserve"> UNDP will </w:t>
            </w:r>
            <w:r w:rsidR="00B91FB2" w:rsidRPr="00DE5588">
              <w:rPr>
                <w:sz w:val="20"/>
                <w:szCs w:val="20"/>
              </w:rPr>
              <w:t>streamline its results architecture</w:t>
            </w:r>
            <w:r w:rsidR="00390297" w:rsidRPr="00DE5588">
              <w:rPr>
                <w:sz w:val="20"/>
                <w:szCs w:val="20"/>
              </w:rPr>
              <w:t>,</w:t>
            </w:r>
            <w:r w:rsidR="00B91FB2" w:rsidRPr="00DE5588">
              <w:rPr>
                <w:sz w:val="20"/>
                <w:szCs w:val="20"/>
              </w:rPr>
              <w:t xml:space="preserve"> reporting and performance analysis systems </w:t>
            </w:r>
            <w:r w:rsidR="00B718F1" w:rsidRPr="00DE5588">
              <w:rPr>
                <w:sz w:val="20"/>
                <w:szCs w:val="20"/>
              </w:rPr>
              <w:t>to</w:t>
            </w:r>
            <w:r w:rsidR="00B91FB2" w:rsidRPr="00DE5588">
              <w:rPr>
                <w:sz w:val="20"/>
                <w:szCs w:val="20"/>
              </w:rPr>
              <w:t xml:space="preserve"> allow all parts of the organization to use results </w:t>
            </w:r>
            <w:r w:rsidR="00B718F1" w:rsidRPr="00DE5588">
              <w:rPr>
                <w:sz w:val="20"/>
                <w:szCs w:val="20"/>
              </w:rPr>
              <w:t xml:space="preserve">and </w:t>
            </w:r>
            <w:r w:rsidR="00B91FB2" w:rsidRPr="00DE5588">
              <w:rPr>
                <w:sz w:val="20"/>
                <w:szCs w:val="20"/>
              </w:rPr>
              <w:t xml:space="preserve">evidence </w:t>
            </w:r>
            <w:r w:rsidR="00390297" w:rsidRPr="00DE5588">
              <w:rPr>
                <w:sz w:val="20"/>
                <w:szCs w:val="20"/>
              </w:rPr>
              <w:t>for learning and</w:t>
            </w:r>
            <w:r w:rsidR="00B91FB2" w:rsidRPr="00DE5588">
              <w:rPr>
                <w:sz w:val="20"/>
                <w:szCs w:val="20"/>
              </w:rPr>
              <w:t xml:space="preserve"> strategic decisions.</w:t>
            </w:r>
            <w:r w:rsidR="00B91FB2" w:rsidRPr="00DE5588">
              <w:rPr>
                <w:b/>
                <w:bCs/>
                <w:sz w:val="20"/>
                <w:szCs w:val="20"/>
              </w:rPr>
              <w:t xml:space="preserve"> </w:t>
            </w:r>
            <w:r w:rsidR="00773649" w:rsidRPr="00DE5588">
              <w:rPr>
                <w:sz w:val="20"/>
                <w:szCs w:val="20"/>
              </w:rPr>
              <w:t>During the current Strategic Plan cycle</w:t>
            </w:r>
            <w:r w:rsidR="00B718F1" w:rsidRPr="00DE5588">
              <w:rPr>
                <w:sz w:val="20"/>
                <w:szCs w:val="20"/>
              </w:rPr>
              <w:t>,</w:t>
            </w:r>
            <w:r w:rsidR="00B91FB2" w:rsidRPr="00DE5588">
              <w:rPr>
                <w:sz w:val="20"/>
                <w:szCs w:val="20"/>
              </w:rPr>
              <w:t xml:space="preserve"> </w:t>
            </w:r>
            <w:r w:rsidR="006942CA" w:rsidRPr="00DE5588">
              <w:rPr>
                <w:sz w:val="20"/>
                <w:szCs w:val="20"/>
              </w:rPr>
              <w:t xml:space="preserve">UNDP </w:t>
            </w:r>
            <w:r w:rsidR="00EA26E0" w:rsidRPr="00DE5588">
              <w:rPr>
                <w:sz w:val="20"/>
                <w:szCs w:val="20"/>
              </w:rPr>
              <w:t>developed</w:t>
            </w:r>
            <w:r w:rsidR="006942CA" w:rsidRPr="00DE5588">
              <w:rPr>
                <w:sz w:val="20"/>
                <w:szCs w:val="20"/>
              </w:rPr>
              <w:t xml:space="preserve"> a</w:t>
            </w:r>
            <w:r w:rsidR="00EA26E0" w:rsidRPr="00DE5588">
              <w:rPr>
                <w:sz w:val="20"/>
                <w:szCs w:val="20"/>
              </w:rPr>
              <w:t>n</w:t>
            </w:r>
            <w:r w:rsidR="006942CA" w:rsidRPr="00DE5588">
              <w:rPr>
                <w:sz w:val="20"/>
                <w:szCs w:val="20"/>
              </w:rPr>
              <w:t xml:space="preserve"> </w:t>
            </w:r>
            <w:r w:rsidR="00EA26E0" w:rsidRPr="00DE5588">
              <w:rPr>
                <w:sz w:val="20"/>
                <w:szCs w:val="20"/>
              </w:rPr>
              <w:t>integrated</w:t>
            </w:r>
            <w:r w:rsidR="006942CA" w:rsidRPr="00DE5588">
              <w:rPr>
                <w:sz w:val="20"/>
                <w:szCs w:val="20"/>
              </w:rPr>
              <w:t xml:space="preserve"> corporate planning system to </w:t>
            </w:r>
            <w:r w:rsidR="00EA26E0" w:rsidRPr="00DE5588">
              <w:rPr>
                <w:sz w:val="20"/>
                <w:szCs w:val="20"/>
              </w:rPr>
              <w:t>manage</w:t>
            </w:r>
            <w:r w:rsidR="006942CA" w:rsidRPr="00DE5588">
              <w:rPr>
                <w:sz w:val="20"/>
                <w:szCs w:val="20"/>
              </w:rPr>
              <w:t xml:space="preserve"> </w:t>
            </w:r>
            <w:r w:rsidR="00EA26E0" w:rsidRPr="00DE5588">
              <w:rPr>
                <w:sz w:val="20"/>
                <w:szCs w:val="20"/>
              </w:rPr>
              <w:t>the programme</w:t>
            </w:r>
            <w:r w:rsidR="006942CA" w:rsidRPr="00DE5588">
              <w:rPr>
                <w:sz w:val="20"/>
                <w:szCs w:val="20"/>
              </w:rPr>
              <w:t xml:space="preserve"> and </w:t>
            </w:r>
            <w:r w:rsidR="00EA26E0" w:rsidRPr="00DE5588">
              <w:rPr>
                <w:sz w:val="20"/>
                <w:szCs w:val="20"/>
              </w:rPr>
              <w:t xml:space="preserve">inform </w:t>
            </w:r>
            <w:r w:rsidR="006942CA" w:rsidRPr="00DE5588">
              <w:rPr>
                <w:sz w:val="20"/>
                <w:szCs w:val="20"/>
              </w:rPr>
              <w:t xml:space="preserve">development and institutional performance analyses. The strength of the </w:t>
            </w:r>
            <w:r w:rsidR="005614AA" w:rsidRPr="00DE5588">
              <w:rPr>
                <w:sz w:val="20"/>
                <w:szCs w:val="20"/>
              </w:rPr>
              <w:t xml:space="preserve">UNDP </w:t>
            </w:r>
            <w:r w:rsidR="006942CA" w:rsidRPr="00DE5588">
              <w:rPr>
                <w:sz w:val="20"/>
                <w:szCs w:val="20"/>
              </w:rPr>
              <w:t xml:space="preserve">programme management was well recognized in the </w:t>
            </w:r>
            <w:r w:rsidR="0061620E" w:rsidRPr="00DE5588">
              <w:rPr>
                <w:sz w:val="20"/>
                <w:szCs w:val="20"/>
              </w:rPr>
              <w:t xml:space="preserve">results-based management audit </w:t>
            </w:r>
            <w:r w:rsidR="006942CA" w:rsidRPr="00DE5588">
              <w:rPr>
                <w:sz w:val="20"/>
                <w:szCs w:val="20"/>
              </w:rPr>
              <w:t xml:space="preserve">conducted by OAI in 2016, which rated </w:t>
            </w:r>
            <w:r w:rsidR="005614AA" w:rsidRPr="00DE5588">
              <w:rPr>
                <w:sz w:val="20"/>
                <w:szCs w:val="20"/>
              </w:rPr>
              <w:t>the</w:t>
            </w:r>
            <w:r w:rsidR="006942CA" w:rsidRPr="00DE5588">
              <w:rPr>
                <w:sz w:val="20"/>
                <w:szCs w:val="20"/>
              </w:rPr>
              <w:t xml:space="preserve"> system satisfactory, the highest rate possible and the first to have been received</w:t>
            </w:r>
            <w:r w:rsidR="00F346BD" w:rsidRPr="00DE5588">
              <w:rPr>
                <w:sz w:val="20"/>
                <w:szCs w:val="20"/>
              </w:rPr>
              <w:t xml:space="preserve"> </w:t>
            </w:r>
            <w:r w:rsidR="0061620E" w:rsidRPr="00DE5588">
              <w:rPr>
                <w:sz w:val="20"/>
                <w:szCs w:val="20"/>
              </w:rPr>
              <w:t>for results-based management</w:t>
            </w:r>
            <w:r w:rsidR="006942CA" w:rsidRPr="00DE5588">
              <w:rPr>
                <w:sz w:val="20"/>
                <w:szCs w:val="20"/>
              </w:rPr>
              <w:t xml:space="preserve">. To inform the </w:t>
            </w:r>
            <w:r w:rsidR="0061620E" w:rsidRPr="00DE5588">
              <w:rPr>
                <w:sz w:val="20"/>
                <w:szCs w:val="20"/>
              </w:rPr>
              <w:t xml:space="preserve">midterm review </w:t>
            </w:r>
            <w:r w:rsidR="006942CA" w:rsidRPr="00DE5588">
              <w:rPr>
                <w:sz w:val="20"/>
                <w:szCs w:val="20"/>
              </w:rPr>
              <w:t xml:space="preserve">of the Strategic Plan, </w:t>
            </w:r>
            <w:r w:rsidR="0061620E" w:rsidRPr="00DE5588">
              <w:rPr>
                <w:sz w:val="20"/>
                <w:szCs w:val="20"/>
              </w:rPr>
              <w:t xml:space="preserve">2014-2017, </w:t>
            </w:r>
            <w:r w:rsidR="006942CA" w:rsidRPr="00DE5588">
              <w:rPr>
                <w:sz w:val="20"/>
                <w:szCs w:val="20"/>
              </w:rPr>
              <w:t>UNDP also conducted</w:t>
            </w:r>
            <w:r w:rsidR="00B91FB2" w:rsidRPr="00DE5588">
              <w:rPr>
                <w:sz w:val="20"/>
                <w:szCs w:val="20"/>
              </w:rPr>
              <w:t xml:space="preserve"> analys</w:t>
            </w:r>
            <w:r w:rsidR="006942CA" w:rsidRPr="00DE5588">
              <w:rPr>
                <w:sz w:val="20"/>
                <w:szCs w:val="20"/>
              </w:rPr>
              <w:t>e</w:t>
            </w:r>
            <w:r w:rsidR="00B91FB2" w:rsidRPr="00DE5588">
              <w:rPr>
                <w:sz w:val="20"/>
                <w:szCs w:val="20"/>
              </w:rPr>
              <w:t>s of lessons learned from results-oriented annual reports and decentralized evaluations</w:t>
            </w:r>
            <w:r w:rsidR="006942CA" w:rsidRPr="00DE5588">
              <w:rPr>
                <w:sz w:val="20"/>
                <w:szCs w:val="20"/>
              </w:rPr>
              <w:t>.</w:t>
            </w:r>
            <w:r w:rsidR="00B91FB2" w:rsidRPr="00DE5588">
              <w:rPr>
                <w:sz w:val="20"/>
                <w:szCs w:val="20"/>
              </w:rPr>
              <w:t xml:space="preserve"> </w:t>
            </w:r>
            <w:r w:rsidR="005614AA" w:rsidRPr="00DE5588">
              <w:rPr>
                <w:sz w:val="20"/>
                <w:szCs w:val="20"/>
              </w:rPr>
              <w:t xml:space="preserve">A </w:t>
            </w:r>
            <w:r w:rsidR="006942CA" w:rsidRPr="00DE5588">
              <w:rPr>
                <w:sz w:val="20"/>
                <w:szCs w:val="20"/>
              </w:rPr>
              <w:t xml:space="preserve">complete </w:t>
            </w:r>
            <w:r w:rsidR="00B91FB2" w:rsidRPr="00DE5588">
              <w:rPr>
                <w:sz w:val="20"/>
                <w:szCs w:val="20"/>
              </w:rPr>
              <w:t>roll-out of an upgraded knowledge sharing infrastructure; and the relaunch of the UNDP pubic library of knowledge products along with new mechanisms to measure their quality, reach and impact</w:t>
            </w:r>
            <w:r w:rsidR="006942CA" w:rsidRPr="00DE5588">
              <w:rPr>
                <w:sz w:val="20"/>
                <w:szCs w:val="20"/>
              </w:rPr>
              <w:t xml:space="preserve"> </w:t>
            </w:r>
            <w:r w:rsidR="005614AA" w:rsidRPr="00DE5588">
              <w:rPr>
                <w:sz w:val="20"/>
                <w:szCs w:val="20"/>
              </w:rPr>
              <w:t xml:space="preserve">also </w:t>
            </w:r>
            <w:r w:rsidR="006942CA" w:rsidRPr="00DE5588">
              <w:rPr>
                <w:sz w:val="20"/>
                <w:szCs w:val="20"/>
              </w:rPr>
              <w:t>took place within this strategic plan timeframe</w:t>
            </w:r>
            <w:r w:rsidR="00B91FB2" w:rsidRPr="00DE5588">
              <w:rPr>
                <w:sz w:val="20"/>
                <w:szCs w:val="20"/>
              </w:rPr>
              <w:t xml:space="preserve">. </w:t>
            </w:r>
          </w:p>
          <w:p w14:paraId="5EC562D5" w14:textId="77777777" w:rsidR="00B91FB2" w:rsidRPr="00FC6097" w:rsidRDefault="00B91FB2" w:rsidP="00945A94">
            <w:pPr>
              <w:jc w:val="both"/>
              <w:rPr>
                <w:bCs/>
                <w:sz w:val="12"/>
                <w:szCs w:val="12"/>
              </w:rPr>
            </w:pPr>
          </w:p>
          <w:p w14:paraId="556D7F83" w14:textId="06482422" w:rsidR="00B91FB2" w:rsidRPr="00DE5588" w:rsidRDefault="006604D5" w:rsidP="00A73701">
            <w:pPr>
              <w:spacing w:after="160"/>
              <w:jc w:val="both"/>
              <w:rPr>
                <w:b/>
                <w:bCs/>
                <w:sz w:val="20"/>
                <w:szCs w:val="20"/>
              </w:rPr>
            </w:pPr>
            <w:r w:rsidRPr="00DE5588">
              <w:rPr>
                <w:sz w:val="20"/>
                <w:szCs w:val="20"/>
              </w:rPr>
              <w:t>To ensure</w:t>
            </w:r>
            <w:r w:rsidR="00F346BD" w:rsidRPr="00DE5588">
              <w:rPr>
                <w:sz w:val="20"/>
                <w:szCs w:val="20"/>
              </w:rPr>
              <w:t xml:space="preserve"> programme management and evaluation support learning</w:t>
            </w:r>
            <w:r w:rsidRPr="00DE5588">
              <w:rPr>
                <w:sz w:val="20"/>
                <w:szCs w:val="20"/>
              </w:rPr>
              <w:t>,</w:t>
            </w:r>
            <w:r w:rsidR="00B91FB2" w:rsidRPr="00DE5588">
              <w:rPr>
                <w:sz w:val="20"/>
                <w:szCs w:val="20"/>
              </w:rPr>
              <w:t xml:space="preserve"> UNDP work</w:t>
            </w:r>
            <w:r w:rsidRPr="00DE5588">
              <w:rPr>
                <w:sz w:val="20"/>
                <w:szCs w:val="20"/>
              </w:rPr>
              <w:t>s</w:t>
            </w:r>
            <w:r w:rsidR="00B91FB2" w:rsidRPr="00DE5588">
              <w:rPr>
                <w:sz w:val="20"/>
                <w:szCs w:val="20"/>
              </w:rPr>
              <w:t xml:space="preserve"> on</w:t>
            </w:r>
            <w:r w:rsidR="0061620E" w:rsidRPr="00DE5588">
              <w:rPr>
                <w:sz w:val="20"/>
                <w:szCs w:val="20"/>
              </w:rPr>
              <w:t>:</w:t>
            </w:r>
            <w:r w:rsidR="00B91FB2" w:rsidRPr="00DE5588">
              <w:rPr>
                <w:sz w:val="20"/>
                <w:szCs w:val="20"/>
              </w:rPr>
              <w:t xml:space="preserve"> </w:t>
            </w:r>
            <w:r w:rsidR="00B718F1" w:rsidRPr="00DE5588">
              <w:rPr>
                <w:sz w:val="20"/>
                <w:szCs w:val="20"/>
              </w:rPr>
              <w:t>(a</w:t>
            </w:r>
            <w:r w:rsidR="00B91FB2" w:rsidRPr="00DE5588">
              <w:rPr>
                <w:sz w:val="20"/>
                <w:szCs w:val="20"/>
              </w:rPr>
              <w:t xml:space="preserve">) designing a tool for capturing quality lessons learned in the </w:t>
            </w:r>
            <w:r w:rsidR="00187430" w:rsidRPr="00DE5588">
              <w:rPr>
                <w:sz w:val="20"/>
                <w:szCs w:val="20"/>
              </w:rPr>
              <w:t xml:space="preserve">corporate system </w:t>
            </w:r>
            <w:r w:rsidR="00F346BD" w:rsidRPr="00DE5588">
              <w:rPr>
                <w:sz w:val="20"/>
                <w:szCs w:val="20"/>
              </w:rPr>
              <w:t>and the</w:t>
            </w:r>
            <w:r w:rsidR="00B91FB2" w:rsidRPr="00DE5588">
              <w:rPr>
                <w:sz w:val="20"/>
                <w:szCs w:val="20"/>
              </w:rPr>
              <w:t xml:space="preserve"> Evaluation Resource Centre; </w:t>
            </w:r>
            <w:r w:rsidR="00B718F1" w:rsidRPr="00DE5588">
              <w:rPr>
                <w:sz w:val="20"/>
                <w:szCs w:val="20"/>
              </w:rPr>
              <w:t>(b</w:t>
            </w:r>
            <w:r w:rsidR="00B91FB2" w:rsidRPr="00DE5588">
              <w:rPr>
                <w:sz w:val="20"/>
                <w:szCs w:val="20"/>
              </w:rPr>
              <w:t>) fostering exchange and learning through recently relaunched knowledge networks and an improved corporate social networking platform</w:t>
            </w:r>
            <w:r w:rsidR="003A5F7B" w:rsidRPr="00DE5588">
              <w:rPr>
                <w:sz w:val="20"/>
                <w:szCs w:val="20"/>
              </w:rPr>
              <w:t>,</w:t>
            </w:r>
            <w:r w:rsidR="00B91FB2" w:rsidRPr="00DE5588">
              <w:rPr>
                <w:sz w:val="20"/>
                <w:szCs w:val="20"/>
              </w:rPr>
              <w:t xml:space="preserve"> in addition to a newly established One U</w:t>
            </w:r>
            <w:r w:rsidR="003A5F7B" w:rsidRPr="00DE5588">
              <w:rPr>
                <w:sz w:val="20"/>
                <w:szCs w:val="20"/>
              </w:rPr>
              <w:t xml:space="preserve">nited </w:t>
            </w:r>
            <w:r w:rsidR="00B91FB2" w:rsidRPr="00DE5588">
              <w:rPr>
                <w:sz w:val="20"/>
                <w:szCs w:val="20"/>
              </w:rPr>
              <w:t>N</w:t>
            </w:r>
            <w:r w:rsidR="003A5F7B" w:rsidRPr="00DE5588">
              <w:rPr>
                <w:sz w:val="20"/>
                <w:szCs w:val="20"/>
              </w:rPr>
              <w:t>ations</w:t>
            </w:r>
            <w:r w:rsidR="00B91FB2" w:rsidRPr="00DE5588">
              <w:rPr>
                <w:sz w:val="20"/>
                <w:szCs w:val="20"/>
              </w:rPr>
              <w:t xml:space="preserve"> </w:t>
            </w:r>
            <w:r w:rsidR="003A5F7B" w:rsidRPr="00DE5588">
              <w:rPr>
                <w:sz w:val="20"/>
                <w:szCs w:val="20"/>
              </w:rPr>
              <w:t xml:space="preserve">network </w:t>
            </w:r>
            <w:r w:rsidR="00B91FB2" w:rsidRPr="00DE5588">
              <w:rPr>
                <w:sz w:val="20"/>
                <w:szCs w:val="20"/>
              </w:rPr>
              <w:t xml:space="preserve">for inter-agency collaboration, exchange and learning (as per </w:t>
            </w:r>
            <w:r w:rsidR="003A5F7B" w:rsidRPr="00DE5588">
              <w:rPr>
                <w:sz w:val="20"/>
                <w:szCs w:val="20"/>
              </w:rPr>
              <w:t xml:space="preserve">a </w:t>
            </w:r>
            <w:r w:rsidR="00B91FB2" w:rsidRPr="00DE5588">
              <w:rPr>
                <w:sz w:val="20"/>
                <w:szCs w:val="20"/>
              </w:rPr>
              <w:t>recommendation</w:t>
            </w:r>
            <w:r w:rsidR="003A5F7B" w:rsidRPr="00DE5588">
              <w:rPr>
                <w:sz w:val="20"/>
                <w:szCs w:val="20"/>
              </w:rPr>
              <w:t xml:space="preserve"> of the QCPR</w:t>
            </w:r>
            <w:r w:rsidR="00B91FB2" w:rsidRPr="00DE5588">
              <w:rPr>
                <w:sz w:val="20"/>
                <w:szCs w:val="20"/>
              </w:rPr>
              <w:t xml:space="preserve">); </w:t>
            </w:r>
            <w:r w:rsidR="003A5F7B" w:rsidRPr="00DE5588">
              <w:rPr>
                <w:sz w:val="20"/>
                <w:szCs w:val="20"/>
              </w:rPr>
              <w:t>and (c</w:t>
            </w:r>
            <w:r w:rsidR="00B91FB2" w:rsidRPr="00DE5588">
              <w:rPr>
                <w:sz w:val="20"/>
                <w:szCs w:val="20"/>
              </w:rPr>
              <w:t xml:space="preserve">) offering dedicated training and outreach to empower staff to use these mechanisms effectively for learning and knowledge exchange. UNDP has taken practical steps to operationalize self-learning from experiments, from what works and what does not, through the establishment of the Innovation Facility in 2014. A key component of the mandate of this </w:t>
            </w:r>
            <w:r w:rsidR="003A5F7B" w:rsidRPr="00DE5588">
              <w:rPr>
                <w:sz w:val="20"/>
                <w:szCs w:val="20"/>
              </w:rPr>
              <w:t xml:space="preserve">facility </w:t>
            </w:r>
            <w:r w:rsidR="00B91FB2" w:rsidRPr="00DE5588">
              <w:rPr>
                <w:sz w:val="20"/>
                <w:szCs w:val="20"/>
              </w:rPr>
              <w:t xml:space="preserve">is the provision of risk capital and advisory services to country offices to test new approaches to solve development problems. The Innovation Facility documents successes, learning and lessons in its annual reviews and through regular blogging by </w:t>
            </w:r>
            <w:r w:rsidR="003A5F7B" w:rsidRPr="00DE5588">
              <w:rPr>
                <w:sz w:val="20"/>
                <w:szCs w:val="20"/>
              </w:rPr>
              <w:t xml:space="preserve">offices </w:t>
            </w:r>
            <w:r w:rsidR="00B91FB2" w:rsidRPr="00DE5588">
              <w:rPr>
                <w:sz w:val="20"/>
                <w:szCs w:val="20"/>
              </w:rPr>
              <w:t xml:space="preserve">supported by the </w:t>
            </w:r>
            <w:r w:rsidR="003A5F7B" w:rsidRPr="00DE5588">
              <w:rPr>
                <w:sz w:val="20"/>
                <w:szCs w:val="20"/>
              </w:rPr>
              <w:t>facility</w:t>
            </w:r>
            <w:r w:rsidR="00B91FB2" w:rsidRPr="00DE5588">
              <w:rPr>
                <w:sz w:val="20"/>
                <w:szCs w:val="20"/>
              </w:rPr>
              <w:t>.</w:t>
            </w:r>
          </w:p>
        </w:tc>
      </w:tr>
      <w:tr w:rsidR="00C008B8" w:rsidRPr="00DE5588" w14:paraId="290E7125" w14:textId="77777777" w:rsidTr="00C70D28">
        <w:trPr>
          <w:trHeight w:val="1200"/>
        </w:trPr>
        <w:tc>
          <w:tcPr>
            <w:tcW w:w="2439" w:type="dxa"/>
            <w:hideMark/>
          </w:tcPr>
          <w:p w14:paraId="5EDBE7AF" w14:textId="7FDC155B" w:rsidR="00B91FB2" w:rsidRPr="00DE5588" w:rsidRDefault="00B91FB2" w:rsidP="005614AA">
            <w:pPr>
              <w:rPr>
                <w:sz w:val="20"/>
                <w:szCs w:val="20"/>
              </w:rPr>
            </w:pPr>
            <w:r w:rsidRPr="00DE5588">
              <w:rPr>
                <w:sz w:val="20"/>
                <w:szCs w:val="20"/>
              </w:rPr>
              <w:t xml:space="preserve">Streamline results monitoring, reporting and analysis systems allowing all units to view and </w:t>
            </w:r>
            <w:r w:rsidR="003A5F7B" w:rsidRPr="00DE5588">
              <w:rPr>
                <w:sz w:val="20"/>
                <w:szCs w:val="20"/>
              </w:rPr>
              <w:t xml:space="preserve">analyse </w:t>
            </w:r>
            <w:r w:rsidRPr="00DE5588">
              <w:rPr>
                <w:sz w:val="20"/>
                <w:szCs w:val="20"/>
              </w:rPr>
              <w:t xml:space="preserve">UNDP-wide results and resources data (by </w:t>
            </w:r>
            <w:r w:rsidR="003A5F7B" w:rsidRPr="00DE5588">
              <w:rPr>
                <w:sz w:val="20"/>
                <w:szCs w:val="20"/>
              </w:rPr>
              <w:t xml:space="preserve">strategic plan </w:t>
            </w:r>
            <w:r w:rsidRPr="00DE5588">
              <w:rPr>
                <w:sz w:val="20"/>
                <w:szCs w:val="20"/>
              </w:rPr>
              <w:t>outcomes</w:t>
            </w:r>
            <w:r w:rsidR="003A5F7B" w:rsidRPr="00DE5588">
              <w:rPr>
                <w:sz w:val="20"/>
                <w:szCs w:val="20"/>
              </w:rPr>
              <w:t>/</w:t>
            </w:r>
            <w:r w:rsidRPr="00DE5588">
              <w:rPr>
                <w:sz w:val="20"/>
                <w:szCs w:val="20"/>
              </w:rPr>
              <w:t xml:space="preserve"> outputs, countries, country typologies, etc.) for learning and </w:t>
            </w:r>
            <w:r w:rsidR="003A5F7B" w:rsidRPr="00DE5588">
              <w:rPr>
                <w:sz w:val="20"/>
                <w:szCs w:val="20"/>
              </w:rPr>
              <w:t>decision-</w:t>
            </w:r>
            <w:r w:rsidRPr="00DE5588">
              <w:rPr>
                <w:sz w:val="20"/>
                <w:szCs w:val="20"/>
              </w:rPr>
              <w:t>making</w:t>
            </w:r>
          </w:p>
        </w:tc>
        <w:tc>
          <w:tcPr>
            <w:tcW w:w="2439" w:type="dxa"/>
            <w:hideMark/>
          </w:tcPr>
          <w:p w14:paraId="35540DA0" w14:textId="77777777" w:rsidR="00B91FB2" w:rsidRPr="00DE5588" w:rsidRDefault="00B91FB2" w:rsidP="00A508D7">
            <w:pPr>
              <w:rPr>
                <w:sz w:val="20"/>
                <w:szCs w:val="20"/>
              </w:rPr>
            </w:pPr>
            <w:r w:rsidRPr="00DE5588">
              <w:rPr>
                <w:sz w:val="20"/>
                <w:szCs w:val="20"/>
              </w:rPr>
              <w:t>Q3 2018</w:t>
            </w:r>
          </w:p>
        </w:tc>
        <w:tc>
          <w:tcPr>
            <w:tcW w:w="2440" w:type="dxa"/>
            <w:hideMark/>
          </w:tcPr>
          <w:p w14:paraId="749B7FEC" w14:textId="77777777" w:rsidR="00B91FB2" w:rsidRPr="00DE5588" w:rsidRDefault="00B91FB2" w:rsidP="003A5F7B">
            <w:pPr>
              <w:rPr>
                <w:sz w:val="20"/>
                <w:szCs w:val="20"/>
              </w:rPr>
            </w:pPr>
            <w:r w:rsidRPr="00DE5588">
              <w:rPr>
                <w:sz w:val="20"/>
                <w:szCs w:val="20"/>
              </w:rPr>
              <w:t xml:space="preserve">BPPS/DIG and </w:t>
            </w:r>
            <w:r w:rsidR="003A5F7B" w:rsidRPr="00DE5588">
              <w:rPr>
                <w:sz w:val="20"/>
                <w:szCs w:val="20"/>
              </w:rPr>
              <w:t>Executive Office</w:t>
            </w:r>
          </w:p>
        </w:tc>
        <w:tc>
          <w:tcPr>
            <w:tcW w:w="2439" w:type="dxa"/>
            <w:hideMark/>
          </w:tcPr>
          <w:p w14:paraId="0C8787E9" w14:textId="77777777" w:rsidR="00B91FB2" w:rsidRPr="00DE5588" w:rsidRDefault="00B91FB2" w:rsidP="00A508D7">
            <w:pPr>
              <w:rPr>
                <w:sz w:val="20"/>
                <w:szCs w:val="20"/>
              </w:rPr>
            </w:pPr>
            <w:r w:rsidRPr="00DE5588">
              <w:rPr>
                <w:sz w:val="20"/>
                <w:szCs w:val="20"/>
              </w:rPr>
              <w:t> </w:t>
            </w:r>
          </w:p>
        </w:tc>
        <w:tc>
          <w:tcPr>
            <w:tcW w:w="2440" w:type="dxa"/>
            <w:hideMark/>
          </w:tcPr>
          <w:p w14:paraId="46759CD5" w14:textId="77777777" w:rsidR="00B91FB2" w:rsidRPr="00DE5588" w:rsidRDefault="00B91FB2" w:rsidP="00A508D7">
            <w:pPr>
              <w:rPr>
                <w:sz w:val="20"/>
                <w:szCs w:val="20"/>
              </w:rPr>
            </w:pPr>
            <w:r w:rsidRPr="00DE5588">
              <w:rPr>
                <w:sz w:val="20"/>
                <w:szCs w:val="20"/>
              </w:rPr>
              <w:t> </w:t>
            </w:r>
          </w:p>
        </w:tc>
      </w:tr>
      <w:tr w:rsidR="00C008B8" w:rsidRPr="00DE5588" w14:paraId="613CD6A2" w14:textId="77777777" w:rsidTr="00C70D28">
        <w:trPr>
          <w:trHeight w:val="1756"/>
        </w:trPr>
        <w:tc>
          <w:tcPr>
            <w:tcW w:w="2439" w:type="dxa"/>
            <w:hideMark/>
          </w:tcPr>
          <w:p w14:paraId="2A176326" w14:textId="77777777" w:rsidR="00B91FB2" w:rsidRPr="00DE5588" w:rsidRDefault="00B91FB2" w:rsidP="003A5F7B">
            <w:pPr>
              <w:rPr>
                <w:sz w:val="20"/>
                <w:szCs w:val="20"/>
              </w:rPr>
            </w:pPr>
            <w:r w:rsidRPr="00DE5588">
              <w:rPr>
                <w:sz w:val="20"/>
                <w:szCs w:val="20"/>
              </w:rPr>
              <w:t xml:space="preserve">Strengthen UNDP analytical tools and capacities in order to ensure evidence-based </w:t>
            </w:r>
            <w:r w:rsidR="003A5F7B" w:rsidRPr="00DE5588">
              <w:rPr>
                <w:sz w:val="20"/>
                <w:szCs w:val="20"/>
              </w:rPr>
              <w:t>decision-</w:t>
            </w:r>
            <w:r w:rsidRPr="00DE5588">
              <w:rPr>
                <w:sz w:val="20"/>
                <w:szCs w:val="20"/>
              </w:rPr>
              <w:t>making at corporate</w:t>
            </w:r>
            <w:r w:rsidR="003A5F7B" w:rsidRPr="00DE5588">
              <w:rPr>
                <w:sz w:val="20"/>
                <w:szCs w:val="20"/>
              </w:rPr>
              <w:t xml:space="preserve">, </w:t>
            </w:r>
            <w:r w:rsidRPr="00DE5588">
              <w:rPr>
                <w:sz w:val="20"/>
                <w:szCs w:val="20"/>
              </w:rPr>
              <w:t>regional</w:t>
            </w:r>
            <w:r w:rsidR="003A5F7B" w:rsidRPr="00DE5588">
              <w:rPr>
                <w:sz w:val="20"/>
                <w:szCs w:val="20"/>
              </w:rPr>
              <w:t xml:space="preserve"> and country office </w:t>
            </w:r>
            <w:r w:rsidRPr="00DE5588">
              <w:rPr>
                <w:sz w:val="20"/>
                <w:szCs w:val="20"/>
              </w:rPr>
              <w:t>levels</w:t>
            </w:r>
          </w:p>
        </w:tc>
        <w:tc>
          <w:tcPr>
            <w:tcW w:w="2439" w:type="dxa"/>
            <w:hideMark/>
          </w:tcPr>
          <w:p w14:paraId="5E435FF3" w14:textId="77777777" w:rsidR="00B91FB2" w:rsidRPr="00DE5588" w:rsidRDefault="00B91FB2" w:rsidP="00A508D7">
            <w:pPr>
              <w:rPr>
                <w:sz w:val="20"/>
                <w:szCs w:val="20"/>
              </w:rPr>
            </w:pPr>
            <w:r w:rsidRPr="00DE5588">
              <w:rPr>
                <w:sz w:val="20"/>
                <w:szCs w:val="20"/>
              </w:rPr>
              <w:t>Q4 2019</w:t>
            </w:r>
          </w:p>
        </w:tc>
        <w:tc>
          <w:tcPr>
            <w:tcW w:w="2440" w:type="dxa"/>
            <w:hideMark/>
          </w:tcPr>
          <w:p w14:paraId="59C4E17D" w14:textId="77777777" w:rsidR="00B91FB2" w:rsidRPr="00DE5588" w:rsidRDefault="005F0E97" w:rsidP="00A508D7">
            <w:pPr>
              <w:rPr>
                <w:sz w:val="20"/>
                <w:szCs w:val="20"/>
              </w:rPr>
            </w:pPr>
            <w:r w:rsidRPr="00DE5588">
              <w:rPr>
                <w:sz w:val="20"/>
                <w:szCs w:val="20"/>
              </w:rPr>
              <w:t>BPPS/DIG and Executive Office</w:t>
            </w:r>
          </w:p>
        </w:tc>
        <w:tc>
          <w:tcPr>
            <w:tcW w:w="2439" w:type="dxa"/>
            <w:hideMark/>
          </w:tcPr>
          <w:p w14:paraId="710B6E0B" w14:textId="77777777" w:rsidR="00B91FB2" w:rsidRPr="00DE5588" w:rsidRDefault="00B91FB2" w:rsidP="00A508D7">
            <w:pPr>
              <w:rPr>
                <w:sz w:val="20"/>
                <w:szCs w:val="20"/>
              </w:rPr>
            </w:pPr>
            <w:r w:rsidRPr="00DE5588">
              <w:rPr>
                <w:sz w:val="20"/>
                <w:szCs w:val="20"/>
              </w:rPr>
              <w:t> </w:t>
            </w:r>
          </w:p>
        </w:tc>
        <w:tc>
          <w:tcPr>
            <w:tcW w:w="2440" w:type="dxa"/>
            <w:hideMark/>
          </w:tcPr>
          <w:p w14:paraId="5E89A2F1" w14:textId="77777777" w:rsidR="00B91FB2" w:rsidRPr="00DE5588" w:rsidRDefault="00B91FB2" w:rsidP="00A508D7">
            <w:pPr>
              <w:rPr>
                <w:sz w:val="20"/>
                <w:szCs w:val="20"/>
              </w:rPr>
            </w:pPr>
            <w:r w:rsidRPr="00DE5588">
              <w:rPr>
                <w:sz w:val="20"/>
                <w:szCs w:val="20"/>
              </w:rPr>
              <w:t> </w:t>
            </w:r>
          </w:p>
        </w:tc>
      </w:tr>
      <w:tr w:rsidR="00B91FB2" w:rsidRPr="00DE5588" w14:paraId="0A6CEABE" w14:textId="77777777" w:rsidTr="00DE5588">
        <w:trPr>
          <w:trHeight w:val="300"/>
        </w:trPr>
        <w:tc>
          <w:tcPr>
            <w:tcW w:w="12197" w:type="dxa"/>
            <w:gridSpan w:val="5"/>
            <w:shd w:val="clear" w:color="auto" w:fill="D9D9D9" w:themeFill="background1" w:themeFillShade="D9"/>
            <w:hideMark/>
          </w:tcPr>
          <w:p w14:paraId="61F18AF6" w14:textId="77777777" w:rsidR="00B91FB2" w:rsidRPr="00DE5588" w:rsidRDefault="00B91FB2" w:rsidP="00A508D7">
            <w:pPr>
              <w:rPr>
                <w:b/>
                <w:bCs/>
                <w:sz w:val="20"/>
                <w:szCs w:val="20"/>
              </w:rPr>
            </w:pPr>
            <w:r w:rsidRPr="00DE5588">
              <w:rPr>
                <w:b/>
                <w:bCs/>
                <w:sz w:val="20"/>
                <w:szCs w:val="20"/>
              </w:rPr>
              <w:t>Recommendation 15</w:t>
            </w:r>
          </w:p>
        </w:tc>
      </w:tr>
      <w:tr w:rsidR="00B91FB2" w:rsidRPr="00DE5588" w14:paraId="458F02E7" w14:textId="77777777" w:rsidTr="00DE5588">
        <w:trPr>
          <w:trHeight w:val="300"/>
        </w:trPr>
        <w:tc>
          <w:tcPr>
            <w:tcW w:w="12197" w:type="dxa"/>
            <w:gridSpan w:val="5"/>
            <w:hideMark/>
          </w:tcPr>
          <w:p w14:paraId="0F7639AB" w14:textId="691D2BE2" w:rsidR="00B91FB2" w:rsidRPr="00DE5588" w:rsidRDefault="00B91FB2" w:rsidP="00C70D28">
            <w:pPr>
              <w:spacing w:after="120"/>
              <w:rPr>
                <w:sz w:val="20"/>
                <w:szCs w:val="20"/>
              </w:rPr>
            </w:pPr>
            <w:r w:rsidRPr="00DE5588">
              <w:rPr>
                <w:sz w:val="20"/>
                <w:szCs w:val="20"/>
              </w:rPr>
              <w:t xml:space="preserve">UNDP should increase the involvement of the Office of Human Resources </w:t>
            </w:r>
            <w:r w:rsidR="0061620E" w:rsidRPr="00DE5588">
              <w:rPr>
                <w:sz w:val="20"/>
                <w:szCs w:val="20"/>
              </w:rPr>
              <w:t xml:space="preserve">(OHR) </w:t>
            </w:r>
            <w:r w:rsidRPr="00DE5588">
              <w:rPr>
                <w:sz w:val="20"/>
                <w:szCs w:val="20"/>
              </w:rPr>
              <w:t xml:space="preserve">in strategic decision-making, especially in future institutional restructuring. </w:t>
            </w:r>
            <w:r w:rsidR="003A5F7B" w:rsidRPr="00DE5588">
              <w:rPr>
                <w:sz w:val="20"/>
                <w:szCs w:val="20"/>
                <w:lang w:val="en-GB"/>
              </w:rPr>
              <w:t>Given the increasing complexity of programme delivery, inter-agency work and collaboration with a range of partners including civil society, investment in developing skills in leadership, relationship management and management across complex systems should be prioritized.</w:t>
            </w:r>
          </w:p>
        </w:tc>
      </w:tr>
      <w:tr w:rsidR="00B91FB2" w:rsidRPr="00DE5588" w14:paraId="38231F2E" w14:textId="77777777" w:rsidTr="00DE5588">
        <w:trPr>
          <w:trHeight w:val="1117"/>
        </w:trPr>
        <w:tc>
          <w:tcPr>
            <w:tcW w:w="12197" w:type="dxa"/>
            <w:gridSpan w:val="5"/>
            <w:hideMark/>
          </w:tcPr>
          <w:p w14:paraId="1A6F3116" w14:textId="77777777" w:rsidR="00945A94" w:rsidRPr="00DE5588" w:rsidRDefault="00B91FB2" w:rsidP="003A5F7B">
            <w:pPr>
              <w:spacing w:after="160"/>
              <w:rPr>
                <w:b/>
                <w:bCs/>
                <w:sz w:val="20"/>
                <w:szCs w:val="20"/>
              </w:rPr>
            </w:pPr>
            <w:r w:rsidRPr="00DE5588">
              <w:rPr>
                <w:b/>
                <w:bCs/>
                <w:sz w:val="20"/>
                <w:szCs w:val="20"/>
              </w:rPr>
              <w:t>Management response:  </w:t>
            </w:r>
          </w:p>
          <w:p w14:paraId="36BAD250" w14:textId="65D2F45C" w:rsidR="00B91FB2" w:rsidRPr="00DE5588" w:rsidRDefault="00844756" w:rsidP="0079461E">
            <w:pPr>
              <w:spacing w:after="160"/>
              <w:jc w:val="both"/>
              <w:rPr>
                <w:bCs/>
                <w:spacing w:val="4"/>
                <w:w w:val="103"/>
                <w:kern w:val="14"/>
                <w:sz w:val="20"/>
                <w:szCs w:val="20"/>
              </w:rPr>
            </w:pPr>
            <w:r w:rsidRPr="00DE5588">
              <w:rPr>
                <w:bCs/>
                <w:spacing w:val="4"/>
                <w:w w:val="103"/>
                <w:kern w:val="14"/>
                <w:sz w:val="20"/>
                <w:szCs w:val="20"/>
              </w:rPr>
              <w:t>UNDP management agrees with</w:t>
            </w:r>
            <w:r w:rsidR="005B032D" w:rsidRPr="00DE5588">
              <w:rPr>
                <w:bCs/>
                <w:spacing w:val="4"/>
                <w:w w:val="103"/>
                <w:kern w:val="14"/>
                <w:sz w:val="20"/>
                <w:szCs w:val="20"/>
              </w:rPr>
              <w:t xml:space="preserve"> this recommendation.  </w:t>
            </w:r>
            <w:r w:rsidR="00261042" w:rsidRPr="00DE5588">
              <w:rPr>
                <w:bCs/>
                <w:spacing w:val="4"/>
                <w:w w:val="103"/>
                <w:kern w:val="14"/>
                <w:sz w:val="20"/>
                <w:szCs w:val="20"/>
              </w:rPr>
              <w:t>UNDP</w:t>
            </w:r>
            <w:r w:rsidR="009040AA" w:rsidRPr="00DE5588">
              <w:rPr>
                <w:bCs/>
                <w:spacing w:val="4"/>
                <w:w w:val="103"/>
                <w:kern w:val="14"/>
                <w:sz w:val="20"/>
                <w:szCs w:val="20"/>
              </w:rPr>
              <w:t xml:space="preserve"> is committed to ensuring pivotal importance of human resources matters, including OHR representation at early stages </w:t>
            </w:r>
            <w:r w:rsidR="0061620E" w:rsidRPr="00DE5588">
              <w:rPr>
                <w:bCs/>
                <w:spacing w:val="4"/>
                <w:w w:val="103"/>
                <w:kern w:val="14"/>
                <w:sz w:val="20"/>
                <w:szCs w:val="20"/>
              </w:rPr>
              <w:t>of decision-</w:t>
            </w:r>
            <w:r w:rsidR="009040AA" w:rsidRPr="00DE5588">
              <w:rPr>
                <w:bCs/>
                <w:spacing w:val="4"/>
                <w:w w:val="103"/>
                <w:kern w:val="14"/>
                <w:sz w:val="20"/>
                <w:szCs w:val="20"/>
              </w:rPr>
              <w:t>making.</w:t>
            </w:r>
          </w:p>
        </w:tc>
      </w:tr>
      <w:tr w:rsidR="009040AA" w:rsidRPr="00DE5588" w14:paraId="5FBC5791" w14:textId="77777777" w:rsidTr="00C70D28">
        <w:trPr>
          <w:trHeight w:val="505"/>
        </w:trPr>
        <w:tc>
          <w:tcPr>
            <w:tcW w:w="2439" w:type="dxa"/>
            <w:hideMark/>
          </w:tcPr>
          <w:p w14:paraId="7AFD1212" w14:textId="410D0508" w:rsidR="009040AA" w:rsidRPr="00DE5588" w:rsidRDefault="009040AA" w:rsidP="0061620E">
            <w:pPr>
              <w:rPr>
                <w:sz w:val="20"/>
                <w:szCs w:val="20"/>
              </w:rPr>
            </w:pPr>
            <w:r w:rsidRPr="00DE5588">
              <w:rPr>
                <w:sz w:val="20"/>
                <w:szCs w:val="20"/>
              </w:rPr>
              <w:t xml:space="preserve">In 2017, a training programme for newly appointed </w:t>
            </w:r>
            <w:r w:rsidR="0061620E" w:rsidRPr="00DE5588">
              <w:rPr>
                <w:sz w:val="20"/>
                <w:szCs w:val="20"/>
              </w:rPr>
              <w:t xml:space="preserve">resident representative </w:t>
            </w:r>
            <w:r w:rsidRPr="00DE5588">
              <w:rPr>
                <w:sz w:val="20"/>
                <w:szCs w:val="20"/>
              </w:rPr>
              <w:t xml:space="preserve">focused on leadership development in complex </w:t>
            </w:r>
            <w:r w:rsidR="00FC6097" w:rsidRPr="00DE5588">
              <w:rPr>
                <w:sz w:val="20"/>
                <w:szCs w:val="20"/>
              </w:rPr>
              <w:t>environment and</w:t>
            </w:r>
            <w:r w:rsidRPr="00DE5588">
              <w:rPr>
                <w:sz w:val="20"/>
                <w:szCs w:val="20"/>
              </w:rPr>
              <w:t xml:space="preserve"> collaboration with partners.</w:t>
            </w:r>
            <w:r w:rsidRPr="00DE5588">
              <w:rPr>
                <w:rStyle w:val="apple-converted-space"/>
                <w:sz w:val="20"/>
                <w:szCs w:val="20"/>
              </w:rPr>
              <w:t> </w:t>
            </w:r>
          </w:p>
        </w:tc>
        <w:tc>
          <w:tcPr>
            <w:tcW w:w="2439" w:type="dxa"/>
            <w:hideMark/>
          </w:tcPr>
          <w:p w14:paraId="59AB3805" w14:textId="77777777" w:rsidR="009040AA" w:rsidRPr="00DE5588" w:rsidRDefault="009040AA" w:rsidP="00457A31">
            <w:pPr>
              <w:rPr>
                <w:sz w:val="20"/>
                <w:szCs w:val="20"/>
              </w:rPr>
            </w:pPr>
            <w:r w:rsidRPr="00DE5588">
              <w:rPr>
                <w:sz w:val="20"/>
                <w:szCs w:val="20"/>
              </w:rPr>
              <w:t>2017</w:t>
            </w:r>
          </w:p>
        </w:tc>
        <w:tc>
          <w:tcPr>
            <w:tcW w:w="2440" w:type="dxa"/>
            <w:hideMark/>
          </w:tcPr>
          <w:p w14:paraId="1890FED8" w14:textId="77777777" w:rsidR="009040AA" w:rsidRPr="00DE5588" w:rsidRDefault="009040AA" w:rsidP="00A508D7">
            <w:pPr>
              <w:rPr>
                <w:sz w:val="20"/>
                <w:szCs w:val="20"/>
              </w:rPr>
            </w:pPr>
            <w:r w:rsidRPr="00DE5588">
              <w:rPr>
                <w:sz w:val="20"/>
                <w:szCs w:val="20"/>
              </w:rPr>
              <w:t> OHR</w:t>
            </w:r>
          </w:p>
        </w:tc>
        <w:tc>
          <w:tcPr>
            <w:tcW w:w="2439" w:type="dxa"/>
            <w:hideMark/>
          </w:tcPr>
          <w:p w14:paraId="0D8D74F2" w14:textId="77777777" w:rsidR="009040AA" w:rsidRPr="00DE5588" w:rsidRDefault="009040AA" w:rsidP="009040AA">
            <w:pPr>
              <w:rPr>
                <w:sz w:val="20"/>
                <w:szCs w:val="20"/>
              </w:rPr>
            </w:pPr>
            <w:r w:rsidRPr="00DE5588">
              <w:rPr>
                <w:sz w:val="20"/>
                <w:szCs w:val="20"/>
              </w:rPr>
              <w:t> Completed</w:t>
            </w:r>
          </w:p>
        </w:tc>
        <w:tc>
          <w:tcPr>
            <w:tcW w:w="2440" w:type="dxa"/>
            <w:hideMark/>
          </w:tcPr>
          <w:p w14:paraId="06CC1E8A" w14:textId="77777777" w:rsidR="009040AA" w:rsidRPr="00DE5588" w:rsidRDefault="009040AA" w:rsidP="00A508D7">
            <w:pPr>
              <w:rPr>
                <w:sz w:val="20"/>
                <w:szCs w:val="20"/>
              </w:rPr>
            </w:pPr>
            <w:r w:rsidRPr="00DE5588">
              <w:rPr>
                <w:sz w:val="20"/>
                <w:szCs w:val="20"/>
              </w:rPr>
              <w:t> </w:t>
            </w:r>
          </w:p>
        </w:tc>
      </w:tr>
      <w:tr w:rsidR="009040AA" w:rsidRPr="00DE5588" w14:paraId="7CAD0A82" w14:textId="77777777" w:rsidTr="00C70D28">
        <w:trPr>
          <w:trHeight w:val="300"/>
        </w:trPr>
        <w:tc>
          <w:tcPr>
            <w:tcW w:w="2439" w:type="dxa"/>
            <w:hideMark/>
          </w:tcPr>
          <w:p w14:paraId="577841CC" w14:textId="62B7E98F" w:rsidR="009040AA" w:rsidRPr="00DE5588" w:rsidRDefault="009040AA" w:rsidP="0061620E">
            <w:pPr>
              <w:rPr>
                <w:sz w:val="20"/>
                <w:szCs w:val="20"/>
              </w:rPr>
            </w:pPr>
            <w:r w:rsidRPr="00DE5588">
              <w:rPr>
                <w:sz w:val="20"/>
                <w:szCs w:val="20"/>
              </w:rPr>
              <w:t xml:space="preserve">Leadership </w:t>
            </w:r>
            <w:r w:rsidR="0061620E" w:rsidRPr="00DE5588">
              <w:rPr>
                <w:sz w:val="20"/>
                <w:szCs w:val="20"/>
              </w:rPr>
              <w:t xml:space="preserve">development programmes </w:t>
            </w:r>
            <w:r w:rsidRPr="00DE5588">
              <w:rPr>
                <w:sz w:val="20"/>
                <w:szCs w:val="20"/>
              </w:rPr>
              <w:t>(LDP) invest in developing skills in complex problem solving, relationship and partnership development for managers and supervisors. supervisors and managers to develop skills including in complex problem solving, in relationship building and in partnership building.</w:t>
            </w:r>
          </w:p>
        </w:tc>
        <w:tc>
          <w:tcPr>
            <w:tcW w:w="2439" w:type="dxa"/>
            <w:hideMark/>
          </w:tcPr>
          <w:p w14:paraId="3B810D12" w14:textId="77777777" w:rsidR="009040AA" w:rsidRPr="00DE5588" w:rsidRDefault="009040AA" w:rsidP="00A508D7">
            <w:pPr>
              <w:rPr>
                <w:sz w:val="20"/>
                <w:szCs w:val="20"/>
              </w:rPr>
            </w:pPr>
            <w:r w:rsidRPr="00DE5588">
              <w:rPr>
                <w:sz w:val="20"/>
                <w:szCs w:val="20"/>
              </w:rPr>
              <w:t> Ongoing</w:t>
            </w:r>
          </w:p>
        </w:tc>
        <w:tc>
          <w:tcPr>
            <w:tcW w:w="2440" w:type="dxa"/>
            <w:hideMark/>
          </w:tcPr>
          <w:p w14:paraId="60DF3CD6" w14:textId="77777777" w:rsidR="009040AA" w:rsidRPr="00DE5588" w:rsidRDefault="009040AA" w:rsidP="00A508D7">
            <w:pPr>
              <w:rPr>
                <w:sz w:val="20"/>
                <w:szCs w:val="20"/>
              </w:rPr>
            </w:pPr>
            <w:r w:rsidRPr="00DE5588">
              <w:rPr>
                <w:sz w:val="20"/>
                <w:szCs w:val="20"/>
              </w:rPr>
              <w:t> </w:t>
            </w:r>
          </w:p>
        </w:tc>
        <w:tc>
          <w:tcPr>
            <w:tcW w:w="2439" w:type="dxa"/>
            <w:hideMark/>
          </w:tcPr>
          <w:p w14:paraId="6F2DBAA7" w14:textId="77777777" w:rsidR="009040AA" w:rsidRPr="00DE5588" w:rsidRDefault="009040AA" w:rsidP="009040AA">
            <w:pPr>
              <w:rPr>
                <w:sz w:val="20"/>
                <w:szCs w:val="20"/>
              </w:rPr>
            </w:pPr>
            <w:r w:rsidRPr="00DE5588">
              <w:rPr>
                <w:sz w:val="20"/>
                <w:szCs w:val="20"/>
              </w:rPr>
              <w:t> </w:t>
            </w:r>
          </w:p>
        </w:tc>
        <w:tc>
          <w:tcPr>
            <w:tcW w:w="2440" w:type="dxa"/>
            <w:hideMark/>
          </w:tcPr>
          <w:p w14:paraId="485E7B80" w14:textId="77777777" w:rsidR="009040AA" w:rsidRPr="00DE5588" w:rsidRDefault="009040AA">
            <w:pPr>
              <w:spacing w:line="240" w:lineRule="atLeast"/>
              <w:rPr>
                <w:sz w:val="20"/>
                <w:szCs w:val="20"/>
              </w:rPr>
            </w:pPr>
            <w:r w:rsidRPr="00DE5588">
              <w:rPr>
                <w:sz w:val="20"/>
                <w:szCs w:val="20"/>
              </w:rPr>
              <w:t> LDP I / II (ongoing)</w:t>
            </w:r>
          </w:p>
          <w:p w14:paraId="6BB4A774" w14:textId="77777777" w:rsidR="009040AA" w:rsidRPr="00DE5588" w:rsidRDefault="009040AA">
            <w:pPr>
              <w:spacing w:line="240" w:lineRule="atLeast"/>
              <w:rPr>
                <w:sz w:val="20"/>
                <w:szCs w:val="20"/>
              </w:rPr>
            </w:pPr>
            <w:r w:rsidRPr="00DE5588">
              <w:rPr>
                <w:sz w:val="20"/>
                <w:szCs w:val="20"/>
              </w:rPr>
              <w:t>LDP III</w:t>
            </w:r>
          </w:p>
          <w:p w14:paraId="0C88F1B3" w14:textId="77777777" w:rsidR="009040AA" w:rsidRPr="00DE5588" w:rsidRDefault="009040AA" w:rsidP="00A508D7">
            <w:pPr>
              <w:rPr>
                <w:sz w:val="20"/>
                <w:szCs w:val="20"/>
              </w:rPr>
            </w:pPr>
            <w:r w:rsidRPr="00DE5588">
              <w:rPr>
                <w:sz w:val="20"/>
                <w:szCs w:val="20"/>
              </w:rPr>
              <w:t>(2018)</w:t>
            </w:r>
          </w:p>
        </w:tc>
      </w:tr>
      <w:tr w:rsidR="00B91FB2" w:rsidRPr="00DE5588" w14:paraId="731C79D1" w14:textId="77777777" w:rsidTr="00DE5588">
        <w:trPr>
          <w:trHeight w:val="300"/>
        </w:trPr>
        <w:tc>
          <w:tcPr>
            <w:tcW w:w="12197" w:type="dxa"/>
            <w:gridSpan w:val="5"/>
            <w:shd w:val="clear" w:color="auto" w:fill="D9D9D9" w:themeFill="background1" w:themeFillShade="D9"/>
            <w:hideMark/>
          </w:tcPr>
          <w:p w14:paraId="1C3D34BA" w14:textId="77777777" w:rsidR="00B91FB2" w:rsidRPr="00DE5588" w:rsidRDefault="00B91FB2" w:rsidP="00A508D7">
            <w:pPr>
              <w:rPr>
                <w:b/>
                <w:bCs/>
                <w:sz w:val="20"/>
                <w:szCs w:val="20"/>
              </w:rPr>
            </w:pPr>
            <w:r w:rsidRPr="00DE5588">
              <w:rPr>
                <w:b/>
                <w:bCs/>
                <w:sz w:val="20"/>
                <w:szCs w:val="20"/>
              </w:rPr>
              <w:t>Recommendation 16</w:t>
            </w:r>
          </w:p>
        </w:tc>
      </w:tr>
      <w:tr w:rsidR="00B91FB2" w:rsidRPr="00DE5588" w14:paraId="7BAB6634" w14:textId="77777777" w:rsidTr="00DE5588">
        <w:trPr>
          <w:trHeight w:val="615"/>
        </w:trPr>
        <w:tc>
          <w:tcPr>
            <w:tcW w:w="12197" w:type="dxa"/>
            <w:gridSpan w:val="5"/>
            <w:hideMark/>
          </w:tcPr>
          <w:p w14:paraId="39332F53" w14:textId="431003F4" w:rsidR="00B91FB2" w:rsidRPr="00DE5588" w:rsidRDefault="003A5F7B" w:rsidP="00C70D28">
            <w:pPr>
              <w:spacing w:after="120"/>
              <w:jc w:val="both"/>
              <w:rPr>
                <w:sz w:val="20"/>
                <w:szCs w:val="20"/>
              </w:rPr>
            </w:pPr>
            <w:r w:rsidRPr="00DE5588">
              <w:rPr>
                <w:sz w:val="20"/>
                <w:szCs w:val="20"/>
              </w:rPr>
              <w:t>UNDP should transition from political budgeting to a more risk- and results-based budgeting process, to more effectively link results to resources. This will help mobilize funds and better highlight investment gaps to donors. UNDP is being held accountable to a corporate strategic plan without predictable and adequate resources. UNDP should work with funders and influence groups to raise understanding of the unintended effects of reductions in core funding. Focus should be on bringing the donor community together to work more effectively on integrated multidimensional approaches to support fulfilment of the Sustainable Development Goals, while contributing to partner country priorities.</w:t>
            </w:r>
          </w:p>
        </w:tc>
      </w:tr>
      <w:tr w:rsidR="00B91FB2" w:rsidRPr="00DE5588" w14:paraId="465EF6EE" w14:textId="77777777" w:rsidTr="00C70D28">
        <w:trPr>
          <w:trHeight w:val="613"/>
        </w:trPr>
        <w:tc>
          <w:tcPr>
            <w:tcW w:w="12197" w:type="dxa"/>
            <w:gridSpan w:val="5"/>
            <w:hideMark/>
          </w:tcPr>
          <w:p w14:paraId="361C7866" w14:textId="527F4381" w:rsidR="00B91450" w:rsidRPr="00DE5588" w:rsidRDefault="00B91FB2" w:rsidP="00383BB9">
            <w:pPr>
              <w:spacing w:line="360" w:lineRule="auto"/>
              <w:rPr>
                <w:sz w:val="20"/>
                <w:szCs w:val="20"/>
              </w:rPr>
            </w:pPr>
            <w:r w:rsidRPr="00DE5588">
              <w:rPr>
                <w:b/>
                <w:bCs/>
                <w:sz w:val="20"/>
                <w:szCs w:val="20"/>
              </w:rPr>
              <w:t>Management response:</w:t>
            </w:r>
            <w:r w:rsidR="00C70D28">
              <w:rPr>
                <w:sz w:val="20"/>
                <w:szCs w:val="20"/>
              </w:rPr>
              <w:t xml:space="preserve"> </w:t>
            </w:r>
          </w:p>
          <w:p w14:paraId="797CDE09" w14:textId="5A1015AD" w:rsidR="00B91FB2" w:rsidRPr="00DE5588" w:rsidRDefault="00E94C70" w:rsidP="00FC6097">
            <w:pPr>
              <w:spacing w:after="120"/>
              <w:rPr>
                <w:sz w:val="20"/>
                <w:szCs w:val="20"/>
              </w:rPr>
            </w:pPr>
            <w:r w:rsidRPr="00DE5588">
              <w:rPr>
                <w:sz w:val="20"/>
                <w:szCs w:val="20"/>
              </w:rPr>
              <w:t xml:space="preserve">The UNDP management concurs with this recommendation. </w:t>
            </w:r>
            <w:r w:rsidR="00B91FB2" w:rsidRPr="00DE5588">
              <w:rPr>
                <w:sz w:val="20"/>
                <w:szCs w:val="20"/>
              </w:rPr>
              <w:t xml:space="preserve">To build solid results to resources linkages, UNDP will strengthen its results based budgeting process through the analysis of demand (from </w:t>
            </w:r>
            <w:r w:rsidR="0061620E" w:rsidRPr="00DE5588">
              <w:rPr>
                <w:sz w:val="20"/>
                <w:szCs w:val="20"/>
              </w:rPr>
              <w:t>country programme documents</w:t>
            </w:r>
            <w:r w:rsidR="00B91FB2" w:rsidRPr="00DE5588">
              <w:rPr>
                <w:sz w:val="20"/>
                <w:szCs w:val="20"/>
              </w:rPr>
              <w:t>) and supply (from pipelines and donor intelligence).  To better analyze resources invested and results achieved, UNDP will establish a close link between the IRRF indicator targets and the resource plan in the Integrated Budget, which will enable the organization to analyze investment gaps and facilitate dialogue with stakeholders.</w:t>
            </w:r>
            <w:r w:rsidR="005D2A47" w:rsidRPr="00DE5588">
              <w:rPr>
                <w:sz w:val="20"/>
                <w:szCs w:val="20"/>
              </w:rPr>
              <w:t xml:space="preserve"> </w:t>
            </w:r>
          </w:p>
        </w:tc>
      </w:tr>
      <w:tr w:rsidR="00C008B8" w:rsidRPr="00DE5588" w14:paraId="4A51ADCB" w14:textId="77777777" w:rsidTr="00C70D28">
        <w:trPr>
          <w:trHeight w:val="600"/>
        </w:trPr>
        <w:tc>
          <w:tcPr>
            <w:tcW w:w="2439" w:type="dxa"/>
            <w:hideMark/>
          </w:tcPr>
          <w:p w14:paraId="3A8546CE" w14:textId="48852638" w:rsidR="00B91FB2" w:rsidRPr="00DE5588" w:rsidRDefault="00B91FB2" w:rsidP="00A778E1">
            <w:pPr>
              <w:rPr>
                <w:sz w:val="20"/>
                <w:szCs w:val="20"/>
              </w:rPr>
            </w:pPr>
            <w:r w:rsidRPr="00DE5588">
              <w:rPr>
                <w:sz w:val="20"/>
                <w:szCs w:val="20"/>
              </w:rPr>
              <w:t xml:space="preserve">Set baselines, milestones and </w:t>
            </w:r>
            <w:r w:rsidR="00FC6097" w:rsidRPr="00DE5588">
              <w:rPr>
                <w:sz w:val="20"/>
                <w:szCs w:val="20"/>
              </w:rPr>
              <w:t>targets for</w:t>
            </w:r>
            <w:r w:rsidRPr="00DE5588">
              <w:rPr>
                <w:sz w:val="20"/>
                <w:szCs w:val="20"/>
              </w:rPr>
              <w:t xml:space="preserve"> IRRF indicators by linking BMTs with the corporate resource plan   </w:t>
            </w:r>
          </w:p>
        </w:tc>
        <w:tc>
          <w:tcPr>
            <w:tcW w:w="2439" w:type="dxa"/>
            <w:hideMark/>
          </w:tcPr>
          <w:p w14:paraId="25FA287A" w14:textId="77777777" w:rsidR="00B91FB2" w:rsidRPr="00DE5588" w:rsidRDefault="00B91FB2" w:rsidP="00A508D7">
            <w:pPr>
              <w:rPr>
                <w:sz w:val="20"/>
                <w:szCs w:val="20"/>
              </w:rPr>
            </w:pPr>
            <w:r w:rsidRPr="00DE5588">
              <w:rPr>
                <w:sz w:val="20"/>
                <w:szCs w:val="20"/>
              </w:rPr>
              <w:t>Q1 2018</w:t>
            </w:r>
          </w:p>
        </w:tc>
        <w:tc>
          <w:tcPr>
            <w:tcW w:w="2440" w:type="dxa"/>
            <w:hideMark/>
          </w:tcPr>
          <w:p w14:paraId="08EF896B" w14:textId="7B50010D" w:rsidR="00B91FB2" w:rsidRPr="00DE5588" w:rsidRDefault="00B91FB2" w:rsidP="0061620E">
            <w:pPr>
              <w:rPr>
                <w:sz w:val="20"/>
                <w:szCs w:val="20"/>
              </w:rPr>
            </w:pPr>
            <w:r w:rsidRPr="00DE5588">
              <w:rPr>
                <w:sz w:val="20"/>
                <w:szCs w:val="20"/>
              </w:rPr>
              <w:t>BPPS/DIG, BMS/</w:t>
            </w:r>
            <w:r w:rsidR="0061620E" w:rsidRPr="00DE5588">
              <w:rPr>
                <w:sz w:val="20"/>
                <w:szCs w:val="20"/>
              </w:rPr>
              <w:t xml:space="preserve">Office of Finance and Resource </w:t>
            </w:r>
            <w:r w:rsidR="00FC6097" w:rsidRPr="00DE5588">
              <w:rPr>
                <w:sz w:val="20"/>
                <w:szCs w:val="20"/>
              </w:rPr>
              <w:t>Management (</w:t>
            </w:r>
            <w:r w:rsidRPr="00DE5588">
              <w:rPr>
                <w:sz w:val="20"/>
                <w:szCs w:val="20"/>
              </w:rPr>
              <w:t>OFRM</w:t>
            </w:r>
            <w:r w:rsidR="0061620E" w:rsidRPr="00DE5588">
              <w:rPr>
                <w:sz w:val="20"/>
                <w:szCs w:val="20"/>
              </w:rPr>
              <w:t>)</w:t>
            </w:r>
            <w:r w:rsidRPr="00DE5588">
              <w:rPr>
                <w:sz w:val="20"/>
                <w:szCs w:val="20"/>
              </w:rPr>
              <w:t xml:space="preserve">, </w:t>
            </w:r>
            <w:r w:rsidR="003A5F7B" w:rsidRPr="00DE5588">
              <w:rPr>
                <w:sz w:val="20"/>
                <w:szCs w:val="20"/>
              </w:rPr>
              <w:t>Executive Office</w:t>
            </w:r>
          </w:p>
        </w:tc>
        <w:tc>
          <w:tcPr>
            <w:tcW w:w="2439" w:type="dxa"/>
            <w:hideMark/>
          </w:tcPr>
          <w:p w14:paraId="68779114" w14:textId="77777777" w:rsidR="00B91FB2" w:rsidRPr="00DE5588" w:rsidRDefault="00B91FB2" w:rsidP="00A508D7">
            <w:pPr>
              <w:rPr>
                <w:sz w:val="20"/>
                <w:szCs w:val="20"/>
              </w:rPr>
            </w:pPr>
            <w:r w:rsidRPr="00DE5588">
              <w:rPr>
                <w:sz w:val="20"/>
                <w:szCs w:val="20"/>
              </w:rPr>
              <w:t> </w:t>
            </w:r>
          </w:p>
        </w:tc>
        <w:tc>
          <w:tcPr>
            <w:tcW w:w="2440" w:type="dxa"/>
            <w:hideMark/>
          </w:tcPr>
          <w:p w14:paraId="4E05A9D8" w14:textId="77777777" w:rsidR="00B91FB2" w:rsidRPr="00DE5588" w:rsidRDefault="00B91FB2" w:rsidP="00A508D7">
            <w:pPr>
              <w:rPr>
                <w:sz w:val="20"/>
                <w:szCs w:val="20"/>
              </w:rPr>
            </w:pPr>
            <w:r w:rsidRPr="00DE5588">
              <w:rPr>
                <w:sz w:val="20"/>
                <w:szCs w:val="20"/>
              </w:rPr>
              <w:t> </w:t>
            </w:r>
          </w:p>
        </w:tc>
      </w:tr>
      <w:tr w:rsidR="00C008B8" w:rsidRPr="00DE5588" w14:paraId="317BB6F1" w14:textId="77777777" w:rsidTr="00C70D28">
        <w:trPr>
          <w:trHeight w:val="600"/>
        </w:trPr>
        <w:tc>
          <w:tcPr>
            <w:tcW w:w="2439" w:type="dxa"/>
            <w:hideMark/>
          </w:tcPr>
          <w:p w14:paraId="3A8514EC" w14:textId="77777777" w:rsidR="00B91FB2" w:rsidRPr="00DE5588" w:rsidRDefault="003A5F7B" w:rsidP="003A5F7B">
            <w:pPr>
              <w:rPr>
                <w:sz w:val="20"/>
                <w:szCs w:val="20"/>
              </w:rPr>
            </w:pPr>
            <w:r w:rsidRPr="00DE5588">
              <w:rPr>
                <w:sz w:val="20"/>
                <w:szCs w:val="20"/>
              </w:rPr>
              <w:t xml:space="preserve">Analyse </w:t>
            </w:r>
            <w:r w:rsidR="00B91FB2" w:rsidRPr="00DE5588">
              <w:rPr>
                <w:sz w:val="20"/>
                <w:szCs w:val="20"/>
              </w:rPr>
              <w:t xml:space="preserve">resources invested and results achieved to identify investment gaps during the midterm review of the strategic plan  </w:t>
            </w:r>
          </w:p>
        </w:tc>
        <w:tc>
          <w:tcPr>
            <w:tcW w:w="2439" w:type="dxa"/>
            <w:hideMark/>
          </w:tcPr>
          <w:p w14:paraId="1E8062D9" w14:textId="77777777" w:rsidR="00B91FB2" w:rsidRPr="00DE5588" w:rsidRDefault="00B91FB2" w:rsidP="00A508D7">
            <w:pPr>
              <w:rPr>
                <w:sz w:val="20"/>
                <w:szCs w:val="20"/>
              </w:rPr>
            </w:pPr>
            <w:r w:rsidRPr="00DE5588">
              <w:rPr>
                <w:sz w:val="20"/>
                <w:szCs w:val="20"/>
              </w:rPr>
              <w:t>Q1 2019</w:t>
            </w:r>
          </w:p>
        </w:tc>
        <w:tc>
          <w:tcPr>
            <w:tcW w:w="2440" w:type="dxa"/>
            <w:hideMark/>
          </w:tcPr>
          <w:p w14:paraId="3E5CF2C1" w14:textId="77777777" w:rsidR="00B91FB2" w:rsidRPr="00DE5588" w:rsidRDefault="00B91FB2" w:rsidP="004C47C1">
            <w:pPr>
              <w:rPr>
                <w:sz w:val="20"/>
                <w:szCs w:val="20"/>
              </w:rPr>
            </w:pPr>
            <w:r w:rsidRPr="00DE5588">
              <w:rPr>
                <w:sz w:val="20"/>
                <w:szCs w:val="20"/>
              </w:rPr>
              <w:t xml:space="preserve">BPPS/DIG, BMS/OFRM, </w:t>
            </w:r>
            <w:r w:rsidR="004C47C1" w:rsidRPr="00DE5588">
              <w:rPr>
                <w:sz w:val="20"/>
                <w:szCs w:val="20"/>
              </w:rPr>
              <w:t>Executive Office</w:t>
            </w:r>
          </w:p>
        </w:tc>
        <w:tc>
          <w:tcPr>
            <w:tcW w:w="2439" w:type="dxa"/>
            <w:hideMark/>
          </w:tcPr>
          <w:p w14:paraId="0ED99A60" w14:textId="77777777" w:rsidR="00B91FB2" w:rsidRPr="00DE5588" w:rsidRDefault="00B91FB2" w:rsidP="00A508D7">
            <w:pPr>
              <w:rPr>
                <w:sz w:val="20"/>
                <w:szCs w:val="20"/>
              </w:rPr>
            </w:pPr>
            <w:r w:rsidRPr="00DE5588">
              <w:rPr>
                <w:sz w:val="20"/>
                <w:szCs w:val="20"/>
              </w:rPr>
              <w:t> </w:t>
            </w:r>
          </w:p>
        </w:tc>
        <w:tc>
          <w:tcPr>
            <w:tcW w:w="2440" w:type="dxa"/>
            <w:hideMark/>
          </w:tcPr>
          <w:p w14:paraId="4D041A8F" w14:textId="77777777" w:rsidR="00B91FB2" w:rsidRPr="00DE5588" w:rsidRDefault="00B91FB2" w:rsidP="00A508D7">
            <w:pPr>
              <w:rPr>
                <w:sz w:val="20"/>
                <w:szCs w:val="20"/>
              </w:rPr>
            </w:pPr>
            <w:r w:rsidRPr="00DE5588">
              <w:rPr>
                <w:sz w:val="20"/>
                <w:szCs w:val="20"/>
              </w:rPr>
              <w:t> </w:t>
            </w:r>
          </w:p>
        </w:tc>
      </w:tr>
      <w:tr w:rsidR="00C008B8" w:rsidRPr="00DE5588" w14:paraId="4406174E" w14:textId="77777777" w:rsidTr="00E21614">
        <w:trPr>
          <w:trHeight w:val="3151"/>
        </w:trPr>
        <w:tc>
          <w:tcPr>
            <w:tcW w:w="2439" w:type="dxa"/>
            <w:hideMark/>
          </w:tcPr>
          <w:p w14:paraId="722610F7" w14:textId="2FBBBA3A" w:rsidR="00B91FB2" w:rsidRPr="00DE5588" w:rsidRDefault="00602291" w:rsidP="004C47C1">
            <w:pPr>
              <w:rPr>
                <w:sz w:val="20"/>
                <w:szCs w:val="20"/>
              </w:rPr>
            </w:pPr>
            <w:r w:rsidRPr="00DE5588">
              <w:rPr>
                <w:sz w:val="20"/>
                <w:szCs w:val="20"/>
              </w:rPr>
              <w:t>In line with corporate RM strategy for the new SP, i</w:t>
            </w:r>
            <w:r w:rsidR="005F5493" w:rsidRPr="00DE5588">
              <w:rPr>
                <w:sz w:val="20"/>
                <w:szCs w:val="20"/>
              </w:rPr>
              <w:t xml:space="preserve">ntroduce a </w:t>
            </w:r>
            <w:r w:rsidR="004C47C1" w:rsidRPr="00DE5588">
              <w:rPr>
                <w:sz w:val="20"/>
                <w:szCs w:val="20"/>
              </w:rPr>
              <w:t>partnership</w:t>
            </w:r>
            <w:r w:rsidR="005F5493" w:rsidRPr="00DE5588">
              <w:rPr>
                <w:sz w:val="20"/>
                <w:szCs w:val="20"/>
              </w:rPr>
              <w:t xml:space="preserve">, </w:t>
            </w:r>
            <w:r w:rsidR="004C47C1" w:rsidRPr="00DE5588">
              <w:rPr>
                <w:sz w:val="20"/>
                <w:szCs w:val="20"/>
              </w:rPr>
              <w:t xml:space="preserve">pipeline </w:t>
            </w:r>
            <w:r w:rsidR="005F5493" w:rsidRPr="00DE5588">
              <w:rPr>
                <w:sz w:val="20"/>
                <w:szCs w:val="20"/>
              </w:rPr>
              <w:t xml:space="preserve">and </w:t>
            </w:r>
            <w:r w:rsidR="004C47C1" w:rsidRPr="00DE5588">
              <w:rPr>
                <w:sz w:val="20"/>
                <w:szCs w:val="20"/>
              </w:rPr>
              <w:t xml:space="preserve">resource mobilization strategy </w:t>
            </w:r>
            <w:r w:rsidR="005F5493" w:rsidRPr="00DE5588">
              <w:rPr>
                <w:sz w:val="20"/>
                <w:szCs w:val="20"/>
              </w:rPr>
              <w:t>as part of programme development to identify resource gaps that are critical to deliver the results of the programme, and to advocate with funding partners based on the investment gap.</w:t>
            </w:r>
          </w:p>
        </w:tc>
        <w:tc>
          <w:tcPr>
            <w:tcW w:w="2439" w:type="dxa"/>
            <w:hideMark/>
          </w:tcPr>
          <w:p w14:paraId="3965D6A2" w14:textId="77777777" w:rsidR="00B91FB2" w:rsidRPr="00DE5588" w:rsidRDefault="00B91FB2" w:rsidP="00A508D7">
            <w:pPr>
              <w:rPr>
                <w:sz w:val="20"/>
                <w:szCs w:val="20"/>
              </w:rPr>
            </w:pPr>
            <w:r w:rsidRPr="00DE5588">
              <w:rPr>
                <w:sz w:val="20"/>
                <w:szCs w:val="20"/>
              </w:rPr>
              <w:t> </w:t>
            </w:r>
            <w:r w:rsidR="00ED66BF" w:rsidRPr="00DE5588">
              <w:rPr>
                <w:sz w:val="20"/>
                <w:szCs w:val="20"/>
              </w:rPr>
              <w:t>Q1 2018</w:t>
            </w:r>
          </w:p>
        </w:tc>
        <w:tc>
          <w:tcPr>
            <w:tcW w:w="2440" w:type="dxa"/>
            <w:hideMark/>
          </w:tcPr>
          <w:p w14:paraId="12E7C4EB" w14:textId="77777777" w:rsidR="00B91FB2" w:rsidRPr="00DE5588" w:rsidRDefault="005F5493" w:rsidP="00A778E1">
            <w:pPr>
              <w:rPr>
                <w:sz w:val="20"/>
                <w:szCs w:val="20"/>
              </w:rPr>
            </w:pPr>
            <w:r w:rsidRPr="00DE5588">
              <w:rPr>
                <w:sz w:val="20"/>
                <w:szCs w:val="20"/>
              </w:rPr>
              <w:t xml:space="preserve">BPPS/DIG and </w:t>
            </w:r>
            <w:r w:rsidR="004C47C1" w:rsidRPr="00DE5588">
              <w:rPr>
                <w:sz w:val="20"/>
                <w:szCs w:val="20"/>
              </w:rPr>
              <w:t xml:space="preserve">Bureau of </w:t>
            </w:r>
            <w:r w:rsidR="00A778E1" w:rsidRPr="00DE5588">
              <w:rPr>
                <w:sz w:val="20"/>
                <w:szCs w:val="20"/>
              </w:rPr>
              <w:t xml:space="preserve">External Relations </w:t>
            </w:r>
            <w:r w:rsidR="004C47C1" w:rsidRPr="00DE5588">
              <w:rPr>
                <w:sz w:val="20"/>
                <w:szCs w:val="20"/>
              </w:rPr>
              <w:t>and Advocacy</w:t>
            </w:r>
          </w:p>
        </w:tc>
        <w:tc>
          <w:tcPr>
            <w:tcW w:w="2439" w:type="dxa"/>
            <w:hideMark/>
          </w:tcPr>
          <w:p w14:paraId="607A2A76" w14:textId="77777777" w:rsidR="00B91FB2" w:rsidRPr="00DE5588" w:rsidRDefault="00B91FB2" w:rsidP="00A508D7">
            <w:pPr>
              <w:rPr>
                <w:sz w:val="20"/>
                <w:szCs w:val="20"/>
              </w:rPr>
            </w:pPr>
            <w:r w:rsidRPr="00DE5588">
              <w:rPr>
                <w:sz w:val="20"/>
                <w:szCs w:val="20"/>
              </w:rPr>
              <w:t> </w:t>
            </w:r>
          </w:p>
        </w:tc>
        <w:tc>
          <w:tcPr>
            <w:tcW w:w="2440" w:type="dxa"/>
            <w:hideMark/>
          </w:tcPr>
          <w:p w14:paraId="49BBC875" w14:textId="77777777" w:rsidR="00B91FB2" w:rsidRPr="00DE5588" w:rsidRDefault="00B91FB2" w:rsidP="00A508D7">
            <w:pPr>
              <w:rPr>
                <w:sz w:val="20"/>
                <w:szCs w:val="20"/>
              </w:rPr>
            </w:pPr>
            <w:r w:rsidRPr="00DE5588">
              <w:rPr>
                <w:sz w:val="20"/>
                <w:szCs w:val="20"/>
              </w:rPr>
              <w:t> </w:t>
            </w:r>
          </w:p>
        </w:tc>
      </w:tr>
    </w:tbl>
    <w:p w14:paraId="1BDE40BF" w14:textId="5C199E91" w:rsidR="00C25D55" w:rsidRDefault="00C25D55" w:rsidP="00383BB9">
      <w:pPr>
        <w:tabs>
          <w:tab w:val="left" w:pos="4515"/>
        </w:tabs>
        <w:rPr>
          <w:sz w:val="20"/>
          <w:szCs w:val="20"/>
        </w:rPr>
      </w:pPr>
    </w:p>
    <w:p w14:paraId="7BAAF595" w14:textId="64A3395B" w:rsidR="00C70D28" w:rsidRDefault="00C70D28" w:rsidP="00383BB9">
      <w:pPr>
        <w:tabs>
          <w:tab w:val="left" w:pos="4515"/>
        </w:tabs>
        <w:rPr>
          <w:sz w:val="20"/>
          <w:szCs w:val="20"/>
        </w:rPr>
      </w:pPr>
    </w:p>
    <w:p w14:paraId="64DC3C50" w14:textId="64805220" w:rsidR="00E21614" w:rsidRPr="00DE5588" w:rsidRDefault="00E21614" w:rsidP="00E21614">
      <w:pPr>
        <w:tabs>
          <w:tab w:val="left" w:pos="4515"/>
        </w:tabs>
        <w:jc w:val="center"/>
        <w:rPr>
          <w:sz w:val="20"/>
          <w:szCs w:val="20"/>
        </w:rPr>
      </w:pPr>
      <w:r>
        <w:rPr>
          <w:noProof/>
          <w:sz w:val="20"/>
          <w:szCs w:val="20"/>
        </w:rPr>
        <w:drawing>
          <wp:inline distT="0" distB="0" distL="0" distR="0" wp14:anchorId="0C853F20" wp14:editId="49C9F9C8">
            <wp:extent cx="920750" cy="635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E21614" w:rsidRPr="00DE5588" w:rsidSect="00C25D55">
      <w:headerReference w:type="even" r:id="rId27"/>
      <w:headerReference w:type="default" r:id="rId28"/>
      <w:footerReference w:type="even" r:id="rId29"/>
      <w:footerReference w:type="default" r:id="rId30"/>
      <w:endnotePr>
        <w:numFmt w:val="decimal"/>
      </w:endnotePr>
      <w:pgSz w:w="15840" w:h="12240" w:orient="landscape" w:code="1"/>
      <w:pgMar w:top="1195" w:right="1742" w:bottom="1195" w:left="1901" w:header="576" w:footer="1037"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08-29T18:45:00Z" w:initials="Start">
    <w:p w14:paraId="61E7024B" w14:textId="77777777" w:rsidR="003F6410" w:rsidRDefault="003F64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NO&gt;&gt;N1726398E&lt;&lt;ODS JOB NO&gt;&gt;</w:t>
      </w:r>
    </w:p>
    <w:p w14:paraId="70AA586D" w14:textId="77777777" w:rsidR="003F6410" w:rsidRDefault="003F6410">
      <w:pPr>
        <w:pStyle w:val="CommentText"/>
      </w:pPr>
      <w:r>
        <w:t>&lt;&lt;ODS DOC SYMBOL1&gt;&gt;DP/2017/33&lt;&lt;ODS DOC SYMBOL1&gt;&gt;</w:t>
      </w:r>
    </w:p>
    <w:p w14:paraId="46D9D8A1" w14:textId="520F47CE" w:rsidR="003F6410" w:rsidRDefault="003F641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D9D8A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FB38E" w14:textId="77777777" w:rsidR="003B2B3F" w:rsidRDefault="003B2B3F">
      <w:r>
        <w:separator/>
      </w:r>
    </w:p>
  </w:endnote>
  <w:endnote w:type="continuationSeparator" w:id="0">
    <w:p w14:paraId="61E12C91" w14:textId="77777777" w:rsidR="003B2B3F" w:rsidRDefault="003B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HGSoeiKakugothicUB">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6871EC" w14:paraId="363A8C02" w14:textId="77777777" w:rsidTr="00E85E5F">
      <w:tc>
        <w:tcPr>
          <w:tcW w:w="5028" w:type="dxa"/>
          <w:shd w:val="clear" w:color="auto" w:fill="auto"/>
        </w:tcPr>
        <w:p w14:paraId="69CE5292" w14:textId="7BBFB2C6" w:rsidR="006871EC" w:rsidRPr="00E85E5F" w:rsidRDefault="006871EC" w:rsidP="00E85E5F">
          <w:pPr>
            <w:pStyle w:val="Footer"/>
            <w:jc w:val="right"/>
            <w:rPr>
              <w:b w:val="0"/>
              <w:w w:val="103"/>
              <w:sz w:val="14"/>
            </w:rPr>
          </w:pPr>
        </w:p>
      </w:tc>
      <w:tc>
        <w:tcPr>
          <w:tcW w:w="5028" w:type="dxa"/>
          <w:shd w:val="clear" w:color="auto" w:fill="auto"/>
        </w:tcPr>
        <w:p w14:paraId="2B42A181" w14:textId="63344B1E" w:rsidR="006871EC" w:rsidRPr="00E85E5F" w:rsidRDefault="006871EC" w:rsidP="00E85E5F">
          <w:pPr>
            <w:pStyle w:val="Footer"/>
            <w:rPr>
              <w:w w:val="103"/>
            </w:rPr>
          </w:pPr>
          <w:r>
            <w:rPr>
              <w:w w:val="103"/>
            </w:rPr>
            <w:fldChar w:fldCharType="begin"/>
          </w:r>
          <w:r>
            <w:rPr>
              <w:w w:val="103"/>
            </w:rPr>
            <w:instrText xml:space="preserve"> PAGE  \* Arabic  \* MERGEFORMAT </w:instrText>
          </w:r>
          <w:r>
            <w:rPr>
              <w:w w:val="103"/>
            </w:rPr>
            <w:fldChar w:fldCharType="separate"/>
          </w:r>
          <w:r w:rsidR="00D26B2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6B2C">
            <w:rPr>
              <w:w w:val="103"/>
            </w:rPr>
            <w:t>6</w:t>
          </w:r>
          <w:r>
            <w:rPr>
              <w:w w:val="103"/>
            </w:rPr>
            <w:fldChar w:fldCharType="end"/>
          </w:r>
        </w:p>
      </w:tc>
    </w:tr>
  </w:tbl>
  <w:p w14:paraId="7F1A00C4" w14:textId="77777777" w:rsidR="006871EC" w:rsidRPr="00E85E5F" w:rsidRDefault="006871EC" w:rsidP="00E85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6871EC" w14:paraId="4BB16100" w14:textId="77777777" w:rsidTr="00E85E5F">
      <w:tc>
        <w:tcPr>
          <w:tcW w:w="5028" w:type="dxa"/>
          <w:shd w:val="clear" w:color="auto" w:fill="auto"/>
        </w:tcPr>
        <w:p w14:paraId="3DBAB07F" w14:textId="639CDF4D" w:rsidR="006871EC" w:rsidRPr="00E85E5F" w:rsidRDefault="006871EC" w:rsidP="00E85E5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6B2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6B2C">
            <w:rPr>
              <w:w w:val="103"/>
            </w:rPr>
            <w:t>3</w:t>
          </w:r>
          <w:r>
            <w:rPr>
              <w:w w:val="103"/>
            </w:rPr>
            <w:fldChar w:fldCharType="end"/>
          </w:r>
        </w:p>
      </w:tc>
      <w:tc>
        <w:tcPr>
          <w:tcW w:w="5028" w:type="dxa"/>
          <w:shd w:val="clear" w:color="auto" w:fill="auto"/>
        </w:tcPr>
        <w:p w14:paraId="3E11CB4F" w14:textId="0D15CD6D" w:rsidR="006871EC" w:rsidRPr="00E85E5F" w:rsidRDefault="006871EC" w:rsidP="00E85E5F">
          <w:pPr>
            <w:pStyle w:val="Footer"/>
            <w:rPr>
              <w:b w:val="0"/>
              <w:w w:val="103"/>
              <w:sz w:val="14"/>
            </w:rPr>
          </w:pPr>
        </w:p>
      </w:tc>
    </w:tr>
  </w:tbl>
  <w:p w14:paraId="6EE32BE4" w14:textId="77777777" w:rsidR="006871EC" w:rsidRPr="00E85E5F" w:rsidRDefault="006871EC" w:rsidP="00E85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028"/>
    </w:tblGrid>
    <w:tr w:rsidR="00BD1D2F" w14:paraId="0E8B531B" w14:textId="77777777" w:rsidTr="00BD1D2F">
      <w:tc>
        <w:tcPr>
          <w:tcW w:w="3700" w:type="dxa"/>
          <w:shd w:val="clear" w:color="auto" w:fill="auto"/>
        </w:tcPr>
        <w:p w14:paraId="42E400D3" w14:textId="776BBA5B" w:rsidR="00BD1D2F" w:rsidRDefault="00BD1D2F">
          <w:pPr>
            <w:pStyle w:val="Footer"/>
            <w:rPr>
              <w:b w:val="0"/>
              <w:sz w:val="20"/>
            </w:rPr>
          </w:pPr>
          <w:r>
            <w:rPr>
              <w:b w:val="0"/>
              <w:sz w:val="20"/>
            </w:rPr>
            <w:drawing>
              <wp:anchor distT="0" distB="0" distL="114300" distR="114300" simplePos="0" relativeHeight="251658240" behindDoc="0" locked="0" layoutInCell="1" allowOverlap="1" wp14:anchorId="055BD163" wp14:editId="439555FF">
                <wp:simplePos x="0" y="0"/>
                <wp:positionH relativeFrom="column">
                  <wp:posOffset>5458460</wp:posOffset>
                </wp:positionH>
                <wp:positionV relativeFrom="paragraph">
                  <wp:posOffset>-383540</wp:posOffset>
                </wp:positionV>
                <wp:extent cx="694690" cy="694690"/>
                <wp:effectExtent l="0" t="0" r="0" b="0"/>
                <wp:wrapNone/>
                <wp:docPr id="6" name="Picture 6" descr="https://undocs.org/m2/QRCode2.ashx?DS=DP/2017/3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7/3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0"/>
            </w:rPr>
            <w:t xml:space="preserve">17-14395 (E)    </w:t>
          </w:r>
        </w:p>
        <w:p w14:paraId="2BD9A60C" w14:textId="40007498" w:rsidR="00BD1D2F" w:rsidRPr="00BD1D2F" w:rsidRDefault="00BD1D2F">
          <w:pPr>
            <w:pStyle w:val="Footer"/>
            <w:rPr>
              <w:rFonts w:ascii="Barcode 3 of 9 by request" w:hAnsi="Barcode 3 of 9 by request"/>
              <w:b w:val="0"/>
              <w:sz w:val="24"/>
            </w:rPr>
          </w:pPr>
          <w:r>
            <w:rPr>
              <w:rFonts w:ascii="Barcode 3 of 9 by request" w:hAnsi="Barcode 3 of 9 by request"/>
              <w:b w:val="0"/>
              <w:sz w:val="24"/>
            </w:rPr>
            <w:t>*1714395*</w:t>
          </w:r>
        </w:p>
      </w:tc>
      <w:tc>
        <w:tcPr>
          <w:tcW w:w="5028" w:type="dxa"/>
          <w:shd w:val="clear" w:color="auto" w:fill="auto"/>
        </w:tcPr>
        <w:p w14:paraId="57C3D33B" w14:textId="22A7FF62" w:rsidR="00BD1D2F" w:rsidRDefault="00BD1D2F" w:rsidP="00BD1D2F">
          <w:pPr>
            <w:pStyle w:val="Footer"/>
            <w:spacing w:line="240" w:lineRule="atLeast"/>
            <w:jc w:val="right"/>
            <w:rPr>
              <w:b w:val="0"/>
              <w:sz w:val="20"/>
            </w:rPr>
          </w:pPr>
          <w:r>
            <w:rPr>
              <w:b w:val="0"/>
              <w:sz w:val="20"/>
            </w:rPr>
            <w:drawing>
              <wp:inline distT="0" distB="0" distL="0" distR="0" wp14:anchorId="21FD06FB" wp14:editId="6B340D43">
                <wp:extent cx="9296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72C058B" w14:textId="77777777" w:rsidR="00BD1D2F" w:rsidRPr="00BD1D2F" w:rsidRDefault="00BD1D2F">
    <w:pPr>
      <w:pStyle w:val="Footer"/>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7113"/>
    </w:tblGrid>
    <w:tr w:rsidR="006871EC" w14:paraId="457E257B" w14:textId="77777777" w:rsidTr="006871EC">
      <w:tc>
        <w:tcPr>
          <w:tcW w:w="5028" w:type="dxa"/>
          <w:shd w:val="clear" w:color="auto" w:fill="auto"/>
        </w:tcPr>
        <w:p w14:paraId="47A418E4" w14:textId="05291154" w:rsidR="006871EC" w:rsidRPr="00E85E5F" w:rsidRDefault="006871EC" w:rsidP="00E85E5F">
          <w:pPr>
            <w:pStyle w:val="Footer"/>
            <w:jc w:val="right"/>
            <w:rPr>
              <w:b w:val="0"/>
              <w:w w:val="103"/>
              <w:sz w:val="14"/>
            </w:rPr>
          </w:pPr>
        </w:p>
      </w:tc>
      <w:tc>
        <w:tcPr>
          <w:tcW w:w="7113" w:type="dxa"/>
          <w:shd w:val="clear" w:color="auto" w:fill="auto"/>
        </w:tcPr>
        <w:p w14:paraId="7D5BCAC0" w14:textId="622BE901" w:rsidR="006871EC" w:rsidRPr="00E85E5F" w:rsidRDefault="006871EC" w:rsidP="00E85E5F">
          <w:pPr>
            <w:pStyle w:val="Footer"/>
            <w:rPr>
              <w:w w:val="103"/>
            </w:rPr>
          </w:pPr>
          <w:r>
            <w:rPr>
              <w:w w:val="103"/>
            </w:rPr>
            <w:fldChar w:fldCharType="begin"/>
          </w:r>
          <w:r>
            <w:rPr>
              <w:w w:val="103"/>
            </w:rPr>
            <w:instrText xml:space="preserve"> PAGE  \* Arabic  \* MERGEFORMAT </w:instrText>
          </w:r>
          <w:r>
            <w:rPr>
              <w:w w:val="103"/>
            </w:rPr>
            <w:fldChar w:fldCharType="separate"/>
          </w:r>
          <w:r w:rsidR="003F6410">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6410">
            <w:rPr>
              <w:w w:val="103"/>
            </w:rPr>
            <w:t>19</w:t>
          </w:r>
          <w:r>
            <w:rPr>
              <w:w w:val="103"/>
            </w:rPr>
            <w:fldChar w:fldCharType="end"/>
          </w:r>
        </w:p>
      </w:tc>
    </w:tr>
  </w:tbl>
  <w:p w14:paraId="655F28CD" w14:textId="58109203" w:rsidR="006871EC" w:rsidRDefault="006871E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6871EC" w14:paraId="5A7EEFCA" w14:textId="77777777" w:rsidTr="00E85E5F">
      <w:tc>
        <w:tcPr>
          <w:tcW w:w="5028" w:type="dxa"/>
          <w:shd w:val="clear" w:color="auto" w:fill="auto"/>
        </w:tcPr>
        <w:p w14:paraId="22C2F622" w14:textId="5BFE752B" w:rsidR="006871EC" w:rsidRPr="00E85E5F" w:rsidRDefault="006871EC" w:rsidP="00E85E5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6B2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6B2C">
            <w:rPr>
              <w:w w:val="103"/>
            </w:rPr>
            <w:t>5</w:t>
          </w:r>
          <w:r>
            <w:rPr>
              <w:w w:val="103"/>
            </w:rPr>
            <w:fldChar w:fldCharType="end"/>
          </w:r>
        </w:p>
      </w:tc>
      <w:tc>
        <w:tcPr>
          <w:tcW w:w="5028" w:type="dxa"/>
          <w:shd w:val="clear" w:color="auto" w:fill="auto"/>
        </w:tcPr>
        <w:p w14:paraId="2C6930B9" w14:textId="77777777" w:rsidR="006871EC" w:rsidRPr="00E85E5F" w:rsidRDefault="006871EC" w:rsidP="00E85E5F">
          <w:pPr>
            <w:pStyle w:val="Footer"/>
            <w:rPr>
              <w:b w:val="0"/>
              <w:w w:val="103"/>
              <w:sz w:val="14"/>
            </w:rPr>
          </w:pPr>
        </w:p>
      </w:tc>
    </w:tr>
  </w:tbl>
  <w:p w14:paraId="76117F64" w14:textId="5840E3A8" w:rsidR="006871EC" w:rsidRPr="00DE5588" w:rsidRDefault="006871EC">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1EAA" w14:textId="77777777" w:rsidR="003B2B3F" w:rsidRDefault="003B2B3F">
      <w:r>
        <w:separator/>
      </w:r>
    </w:p>
  </w:footnote>
  <w:footnote w:type="continuationSeparator" w:id="0">
    <w:p w14:paraId="278C69E9" w14:textId="77777777" w:rsidR="003B2B3F" w:rsidRDefault="003B2B3F">
      <w:r>
        <w:continuationSeparator/>
      </w:r>
    </w:p>
  </w:footnote>
  <w:footnote w:id="1">
    <w:p w14:paraId="604403EF" w14:textId="77777777" w:rsidR="006871EC" w:rsidRDefault="006871EC" w:rsidP="007C1B45">
      <w:pPr>
        <w:pStyle w:val="FootnoteText"/>
      </w:pPr>
      <w:r>
        <w:rPr>
          <w:rStyle w:val="FootnoteReference"/>
        </w:rPr>
        <w:footnoteRef/>
      </w:r>
      <w:r>
        <w:t xml:space="preserve"> See </w:t>
      </w:r>
      <w:hyperlink r:id="rId1" w:history="1">
        <w:r w:rsidRPr="008F4753">
          <w:rPr>
            <w:rStyle w:val="Hyperlink"/>
          </w:rPr>
          <w:t>https://erc.undp.org/evaluation/evaluations/detail/8847</w:t>
        </w:r>
      </w:hyperlink>
      <w:r>
        <w:rPr>
          <w:rStyle w:val="Hyperlink"/>
        </w:rPr>
        <w:t xml:space="preserve">, </w:t>
      </w:r>
      <w:r w:rsidRPr="00DE08AB">
        <w:t>Evaluation of the EC Contribution to the Parliamentary Action for Renewable Energy (PARE) Project</w:t>
      </w:r>
      <w:r>
        <w:t>, which found that the project played a key role in the enactment of a sustainability clause in the new Constitution of Tunisia, in doubling the renewable energy budget in India in 2013/2014; and in bringing into effect the Sustainable Energy Development Authority in Bangladesh.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871EC" w14:paraId="2D49173B" w14:textId="77777777" w:rsidTr="00E85E5F">
      <w:trPr>
        <w:trHeight w:hRule="exact" w:val="864"/>
      </w:trPr>
      <w:tc>
        <w:tcPr>
          <w:tcW w:w="4838" w:type="dxa"/>
          <w:shd w:val="clear" w:color="auto" w:fill="auto"/>
          <w:vAlign w:val="bottom"/>
        </w:tcPr>
        <w:p w14:paraId="51A6DF1D" w14:textId="79E6E4EE" w:rsidR="006871EC" w:rsidRPr="00E85E5F" w:rsidRDefault="006871EC" w:rsidP="00E85E5F">
          <w:pPr>
            <w:pStyle w:val="Header"/>
            <w:spacing w:after="80"/>
            <w:rPr>
              <w:b/>
            </w:rPr>
          </w:pPr>
          <w:r>
            <w:rPr>
              <w:b/>
            </w:rPr>
            <w:t>DP/2017/33</w:t>
          </w:r>
        </w:p>
      </w:tc>
      <w:tc>
        <w:tcPr>
          <w:tcW w:w="5028" w:type="dxa"/>
          <w:shd w:val="clear" w:color="auto" w:fill="auto"/>
          <w:vAlign w:val="bottom"/>
        </w:tcPr>
        <w:p w14:paraId="09CA3467" w14:textId="77777777" w:rsidR="006871EC" w:rsidRDefault="006871EC" w:rsidP="00E85E5F">
          <w:pPr>
            <w:pStyle w:val="Header"/>
          </w:pPr>
        </w:p>
      </w:tc>
    </w:tr>
  </w:tbl>
  <w:p w14:paraId="680CF4AB" w14:textId="77777777" w:rsidR="006871EC" w:rsidRPr="00E85E5F" w:rsidRDefault="006871EC" w:rsidP="00E8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871EC" w14:paraId="66C27CAF" w14:textId="77777777" w:rsidTr="00E85E5F">
      <w:trPr>
        <w:trHeight w:hRule="exact" w:val="864"/>
      </w:trPr>
      <w:tc>
        <w:tcPr>
          <w:tcW w:w="4838" w:type="dxa"/>
          <w:shd w:val="clear" w:color="auto" w:fill="auto"/>
          <w:vAlign w:val="bottom"/>
        </w:tcPr>
        <w:p w14:paraId="7FB89246" w14:textId="77777777" w:rsidR="006871EC" w:rsidRDefault="006871EC" w:rsidP="00E85E5F">
          <w:pPr>
            <w:pStyle w:val="Header"/>
          </w:pPr>
        </w:p>
      </w:tc>
      <w:tc>
        <w:tcPr>
          <w:tcW w:w="5028" w:type="dxa"/>
          <w:shd w:val="clear" w:color="auto" w:fill="auto"/>
          <w:vAlign w:val="bottom"/>
        </w:tcPr>
        <w:p w14:paraId="66D07918" w14:textId="7B876672" w:rsidR="006871EC" w:rsidRPr="00E85E5F" w:rsidRDefault="006871EC" w:rsidP="00E85E5F">
          <w:pPr>
            <w:pStyle w:val="Header"/>
            <w:spacing w:after="80"/>
            <w:jc w:val="right"/>
            <w:rPr>
              <w:b/>
            </w:rPr>
          </w:pPr>
          <w:r>
            <w:rPr>
              <w:b/>
            </w:rPr>
            <w:t>DP/2017/33</w:t>
          </w:r>
        </w:p>
      </w:tc>
    </w:tr>
  </w:tbl>
  <w:p w14:paraId="4E364627" w14:textId="77777777" w:rsidR="006871EC" w:rsidRPr="00E85E5F" w:rsidRDefault="006871EC" w:rsidP="00E8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58"/>
    </w:tblGrid>
    <w:tr w:rsidR="006871EC" w14:paraId="54AC95E2" w14:textId="77777777" w:rsidTr="00BB4116">
      <w:trPr>
        <w:trHeight w:hRule="exact" w:val="864"/>
      </w:trPr>
      <w:tc>
        <w:tcPr>
          <w:tcW w:w="1267" w:type="dxa"/>
          <w:tcBorders>
            <w:bottom w:val="single" w:sz="4" w:space="0" w:color="auto"/>
          </w:tcBorders>
          <w:shd w:val="clear" w:color="auto" w:fill="auto"/>
          <w:vAlign w:val="bottom"/>
        </w:tcPr>
        <w:p w14:paraId="56B17208" w14:textId="77777777" w:rsidR="006871EC" w:rsidRDefault="006871EC" w:rsidP="00E85E5F">
          <w:pPr>
            <w:pStyle w:val="Header"/>
            <w:spacing w:after="120"/>
          </w:pPr>
        </w:p>
      </w:tc>
      <w:tc>
        <w:tcPr>
          <w:tcW w:w="1872" w:type="dxa"/>
          <w:tcBorders>
            <w:bottom w:val="single" w:sz="4" w:space="0" w:color="auto"/>
          </w:tcBorders>
          <w:shd w:val="clear" w:color="auto" w:fill="auto"/>
          <w:vAlign w:val="bottom"/>
        </w:tcPr>
        <w:p w14:paraId="70708EA5" w14:textId="77777777" w:rsidR="006871EC" w:rsidRPr="00E85E5F" w:rsidRDefault="006871EC" w:rsidP="00E85E5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91D45CE" w14:textId="77777777" w:rsidR="006871EC" w:rsidRDefault="006871EC" w:rsidP="00E85E5F">
          <w:pPr>
            <w:pStyle w:val="Header"/>
            <w:spacing w:after="120"/>
          </w:pPr>
        </w:p>
      </w:tc>
      <w:tc>
        <w:tcPr>
          <w:tcW w:w="6513" w:type="dxa"/>
          <w:gridSpan w:val="3"/>
          <w:tcBorders>
            <w:bottom w:val="single" w:sz="4" w:space="0" w:color="auto"/>
          </w:tcBorders>
          <w:shd w:val="clear" w:color="auto" w:fill="auto"/>
          <w:vAlign w:val="bottom"/>
        </w:tcPr>
        <w:p w14:paraId="630BBF09" w14:textId="2E2909DE" w:rsidR="006871EC" w:rsidRPr="00E85E5F" w:rsidRDefault="006871EC" w:rsidP="00BB4116">
          <w:pPr>
            <w:spacing w:after="80"/>
            <w:jc w:val="right"/>
            <w:rPr>
              <w:position w:val="-4"/>
            </w:rPr>
          </w:pPr>
          <w:r>
            <w:rPr>
              <w:position w:val="-4"/>
              <w:sz w:val="40"/>
            </w:rPr>
            <w:t>DP</w:t>
          </w:r>
          <w:r>
            <w:rPr>
              <w:position w:val="-4"/>
            </w:rPr>
            <w:t>/2017/33</w:t>
          </w:r>
        </w:p>
      </w:tc>
    </w:tr>
    <w:tr w:rsidR="006871EC" w:rsidRPr="00E85E5F" w14:paraId="16B49E24" w14:textId="77777777" w:rsidTr="00BB4116">
      <w:trPr>
        <w:trHeight w:hRule="exact" w:val="2880"/>
      </w:trPr>
      <w:tc>
        <w:tcPr>
          <w:tcW w:w="1267" w:type="dxa"/>
          <w:tcBorders>
            <w:top w:val="single" w:sz="4" w:space="0" w:color="auto"/>
            <w:bottom w:val="single" w:sz="12" w:space="0" w:color="auto"/>
          </w:tcBorders>
          <w:shd w:val="clear" w:color="auto" w:fill="auto"/>
        </w:tcPr>
        <w:p w14:paraId="7BFEE23A" w14:textId="12A6DF40" w:rsidR="006871EC" w:rsidRPr="00E85E5F" w:rsidRDefault="006871EC" w:rsidP="00E85E5F">
          <w:pPr>
            <w:pStyle w:val="Header"/>
            <w:spacing w:before="120"/>
            <w:jc w:val="center"/>
          </w:pPr>
          <w:r>
            <w:drawing>
              <wp:inline distT="0" distB="0" distL="0" distR="0" wp14:anchorId="26CF5F8F" wp14:editId="7C91CB76">
                <wp:extent cx="713232" cy="59710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r>
            <w:t xml:space="preserve"> </w:t>
          </w:r>
        </w:p>
      </w:tc>
      <w:tc>
        <w:tcPr>
          <w:tcW w:w="5227" w:type="dxa"/>
          <w:gridSpan w:val="3"/>
          <w:tcBorders>
            <w:top w:val="single" w:sz="4" w:space="0" w:color="auto"/>
            <w:bottom w:val="single" w:sz="12" w:space="0" w:color="auto"/>
          </w:tcBorders>
          <w:shd w:val="clear" w:color="auto" w:fill="auto"/>
        </w:tcPr>
        <w:p w14:paraId="7C39D72F" w14:textId="77777777" w:rsidR="006871EC" w:rsidRPr="00E85E5F" w:rsidRDefault="006871EC" w:rsidP="00E85E5F">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tcBorders>
            <w:top w:val="single" w:sz="4" w:space="0" w:color="auto"/>
            <w:bottom w:val="single" w:sz="12" w:space="0" w:color="auto"/>
          </w:tcBorders>
          <w:shd w:val="clear" w:color="auto" w:fill="auto"/>
        </w:tcPr>
        <w:p w14:paraId="520119B0" w14:textId="77777777" w:rsidR="006871EC" w:rsidRPr="00E85E5F" w:rsidRDefault="006871EC" w:rsidP="00E85E5F">
          <w:pPr>
            <w:pStyle w:val="Header"/>
            <w:spacing w:before="109"/>
          </w:pPr>
        </w:p>
      </w:tc>
      <w:tc>
        <w:tcPr>
          <w:tcW w:w="3158" w:type="dxa"/>
          <w:tcBorders>
            <w:top w:val="single" w:sz="4" w:space="0" w:color="auto"/>
            <w:bottom w:val="single" w:sz="12" w:space="0" w:color="auto"/>
          </w:tcBorders>
          <w:shd w:val="clear" w:color="auto" w:fill="auto"/>
        </w:tcPr>
        <w:p w14:paraId="0F435945" w14:textId="77777777" w:rsidR="006871EC" w:rsidRDefault="006871EC" w:rsidP="00E85E5F">
          <w:pPr>
            <w:pStyle w:val="Distribution"/>
            <w:rPr>
              <w:color w:val="010000"/>
            </w:rPr>
          </w:pPr>
          <w:r>
            <w:rPr>
              <w:color w:val="010000"/>
            </w:rPr>
            <w:t>Distr.: General</w:t>
          </w:r>
        </w:p>
        <w:p w14:paraId="25C467DC" w14:textId="157509F7" w:rsidR="006871EC" w:rsidRDefault="006871EC" w:rsidP="00E85E5F">
          <w:pPr>
            <w:pStyle w:val="Publication"/>
            <w:rPr>
              <w:color w:val="010000"/>
            </w:rPr>
          </w:pPr>
          <w:r>
            <w:rPr>
              <w:color w:val="010000"/>
            </w:rPr>
            <w:t>18 August 2017</w:t>
          </w:r>
        </w:p>
        <w:p w14:paraId="7AD13ACF" w14:textId="77777777" w:rsidR="006871EC" w:rsidRDefault="006871EC" w:rsidP="00E85E5F"/>
        <w:p w14:paraId="47CA19E0" w14:textId="77777777" w:rsidR="006871EC" w:rsidRDefault="006871EC" w:rsidP="00E85E5F">
          <w:pPr>
            <w:pStyle w:val="Original"/>
            <w:rPr>
              <w:color w:val="010000"/>
            </w:rPr>
          </w:pPr>
          <w:r>
            <w:rPr>
              <w:color w:val="010000"/>
            </w:rPr>
            <w:t>Original: English</w:t>
          </w:r>
        </w:p>
        <w:p w14:paraId="2F4F77D3" w14:textId="77777777" w:rsidR="006871EC" w:rsidRPr="00E85E5F" w:rsidRDefault="006871EC" w:rsidP="00E85E5F"/>
      </w:tc>
    </w:tr>
  </w:tbl>
  <w:p w14:paraId="2A237F4E" w14:textId="77777777" w:rsidR="006871EC" w:rsidRPr="00E85E5F" w:rsidRDefault="006871EC" w:rsidP="00E85E5F">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77" w:type="dxa"/>
      <w:tblBorders>
        <w:bottom w:val="single" w:sz="2" w:space="0" w:color="000000"/>
      </w:tblBorders>
      <w:tblLayout w:type="fixed"/>
      <w:tblCellMar>
        <w:left w:w="0" w:type="dxa"/>
        <w:right w:w="0" w:type="dxa"/>
      </w:tblCellMar>
      <w:tblLook w:val="0000" w:firstRow="0" w:lastRow="0" w:firstColumn="0" w:lastColumn="0" w:noHBand="0" w:noVBand="0"/>
    </w:tblPr>
    <w:tblGrid>
      <w:gridCol w:w="5971"/>
      <w:gridCol w:w="6206"/>
    </w:tblGrid>
    <w:tr w:rsidR="006871EC" w14:paraId="56B6259A" w14:textId="77777777" w:rsidTr="006871EC">
      <w:trPr>
        <w:trHeight w:hRule="exact" w:val="788"/>
      </w:trPr>
      <w:tc>
        <w:tcPr>
          <w:tcW w:w="5971" w:type="dxa"/>
          <w:shd w:val="clear" w:color="auto" w:fill="auto"/>
          <w:vAlign w:val="bottom"/>
        </w:tcPr>
        <w:p w14:paraId="7A422C50" w14:textId="7872B293" w:rsidR="006871EC" w:rsidRPr="00E85E5F" w:rsidRDefault="006871EC" w:rsidP="00E85E5F">
          <w:pPr>
            <w:pStyle w:val="Header"/>
            <w:spacing w:after="80"/>
            <w:rPr>
              <w:b/>
            </w:rPr>
          </w:pPr>
          <w:r>
            <w:rPr>
              <w:b/>
            </w:rPr>
            <w:t>DP/2017/33</w:t>
          </w:r>
        </w:p>
      </w:tc>
      <w:tc>
        <w:tcPr>
          <w:tcW w:w="6206" w:type="dxa"/>
          <w:shd w:val="clear" w:color="auto" w:fill="auto"/>
          <w:vAlign w:val="bottom"/>
        </w:tcPr>
        <w:p w14:paraId="57AB039B" w14:textId="77777777" w:rsidR="006871EC" w:rsidRDefault="006871EC" w:rsidP="00E85E5F">
          <w:pPr>
            <w:pStyle w:val="Header"/>
          </w:pPr>
        </w:p>
      </w:tc>
    </w:tr>
  </w:tbl>
  <w:p w14:paraId="24CD6C0C" w14:textId="77777777" w:rsidR="006871EC" w:rsidRPr="00E85E5F" w:rsidRDefault="006871EC" w:rsidP="00E85E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312"/>
    </w:tblGrid>
    <w:tr w:rsidR="006871EC" w14:paraId="77FC37D9" w14:textId="77777777" w:rsidTr="006871EC">
      <w:trPr>
        <w:trHeight w:hRule="exact" w:val="864"/>
      </w:trPr>
      <w:tc>
        <w:tcPr>
          <w:tcW w:w="4838" w:type="dxa"/>
          <w:shd w:val="clear" w:color="auto" w:fill="auto"/>
          <w:vAlign w:val="bottom"/>
        </w:tcPr>
        <w:p w14:paraId="3DB49457" w14:textId="77777777" w:rsidR="006871EC" w:rsidRDefault="006871EC" w:rsidP="00E85E5F">
          <w:pPr>
            <w:pStyle w:val="Header"/>
          </w:pPr>
        </w:p>
      </w:tc>
      <w:tc>
        <w:tcPr>
          <w:tcW w:w="7312" w:type="dxa"/>
          <w:shd w:val="clear" w:color="auto" w:fill="auto"/>
          <w:vAlign w:val="bottom"/>
        </w:tcPr>
        <w:p w14:paraId="53AB9191" w14:textId="153D36DE" w:rsidR="006871EC" w:rsidRPr="00E85E5F" w:rsidRDefault="006871EC" w:rsidP="00E85E5F">
          <w:pPr>
            <w:pStyle w:val="Header"/>
            <w:spacing w:after="80"/>
            <w:jc w:val="right"/>
            <w:rPr>
              <w:b/>
            </w:rPr>
          </w:pPr>
          <w:r>
            <w:rPr>
              <w:b/>
            </w:rPr>
            <w:t>DP/2017/33</w:t>
          </w:r>
        </w:p>
      </w:tc>
    </w:tr>
  </w:tbl>
  <w:p w14:paraId="21F7674F" w14:textId="77777777" w:rsidR="006871EC" w:rsidRPr="00E85E5F" w:rsidRDefault="006871EC" w:rsidP="00E8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0E2"/>
    <w:multiLevelType w:val="multilevel"/>
    <w:tmpl w:val="61567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31AB9"/>
    <w:multiLevelType w:val="hybridMultilevel"/>
    <w:tmpl w:val="B32085A4"/>
    <w:lvl w:ilvl="0" w:tplc="6BEA7A36">
      <w:start w:val="1"/>
      <w:numFmt w:val="bullet"/>
      <w:lvlText w:val=""/>
      <w:lvlJc w:val="left"/>
      <w:pPr>
        <w:ind w:left="720" w:hanging="360"/>
      </w:pPr>
      <w:rPr>
        <w:rFonts w:ascii="Symbol" w:hAnsi="Symbol" w:hint="default"/>
      </w:rPr>
    </w:lvl>
    <w:lvl w:ilvl="1" w:tplc="D528E7CC">
      <w:start w:val="1"/>
      <w:numFmt w:val="bullet"/>
      <w:lvlText w:val="o"/>
      <w:lvlJc w:val="left"/>
      <w:pPr>
        <w:ind w:left="1440" w:hanging="360"/>
      </w:pPr>
      <w:rPr>
        <w:rFonts w:ascii="Courier New" w:hAnsi="Courier New" w:hint="default"/>
      </w:rPr>
    </w:lvl>
    <w:lvl w:ilvl="2" w:tplc="2C8AFA5E">
      <w:start w:val="1"/>
      <w:numFmt w:val="bullet"/>
      <w:lvlText w:val=""/>
      <w:lvlJc w:val="left"/>
      <w:pPr>
        <w:ind w:left="2160" w:hanging="360"/>
      </w:pPr>
      <w:rPr>
        <w:rFonts w:ascii="Wingdings" w:hAnsi="Wingdings" w:hint="default"/>
      </w:rPr>
    </w:lvl>
    <w:lvl w:ilvl="3" w:tplc="A01A741E">
      <w:start w:val="1"/>
      <w:numFmt w:val="bullet"/>
      <w:lvlText w:val=""/>
      <w:lvlJc w:val="left"/>
      <w:pPr>
        <w:ind w:left="2880" w:hanging="360"/>
      </w:pPr>
      <w:rPr>
        <w:rFonts w:ascii="Symbol" w:hAnsi="Symbol" w:hint="default"/>
      </w:rPr>
    </w:lvl>
    <w:lvl w:ilvl="4" w:tplc="0E86855A">
      <w:start w:val="1"/>
      <w:numFmt w:val="bullet"/>
      <w:lvlText w:val="o"/>
      <w:lvlJc w:val="left"/>
      <w:pPr>
        <w:ind w:left="3600" w:hanging="360"/>
      </w:pPr>
      <w:rPr>
        <w:rFonts w:ascii="Courier New" w:hAnsi="Courier New" w:hint="default"/>
      </w:rPr>
    </w:lvl>
    <w:lvl w:ilvl="5" w:tplc="337464CC">
      <w:start w:val="1"/>
      <w:numFmt w:val="bullet"/>
      <w:lvlText w:val=""/>
      <w:lvlJc w:val="left"/>
      <w:pPr>
        <w:ind w:left="4320" w:hanging="360"/>
      </w:pPr>
      <w:rPr>
        <w:rFonts w:ascii="Wingdings" w:hAnsi="Wingdings" w:hint="default"/>
      </w:rPr>
    </w:lvl>
    <w:lvl w:ilvl="6" w:tplc="5D8C4EDE">
      <w:start w:val="1"/>
      <w:numFmt w:val="bullet"/>
      <w:lvlText w:val=""/>
      <w:lvlJc w:val="left"/>
      <w:pPr>
        <w:ind w:left="5040" w:hanging="360"/>
      </w:pPr>
      <w:rPr>
        <w:rFonts w:ascii="Symbol" w:hAnsi="Symbol" w:hint="default"/>
      </w:rPr>
    </w:lvl>
    <w:lvl w:ilvl="7" w:tplc="E9FCF904">
      <w:start w:val="1"/>
      <w:numFmt w:val="bullet"/>
      <w:lvlText w:val="o"/>
      <w:lvlJc w:val="left"/>
      <w:pPr>
        <w:ind w:left="5760" w:hanging="360"/>
      </w:pPr>
      <w:rPr>
        <w:rFonts w:ascii="Courier New" w:hAnsi="Courier New" w:hint="default"/>
      </w:rPr>
    </w:lvl>
    <w:lvl w:ilvl="8" w:tplc="B6DCBB8E">
      <w:start w:val="1"/>
      <w:numFmt w:val="bullet"/>
      <w:lvlText w:val=""/>
      <w:lvlJc w:val="left"/>
      <w:pPr>
        <w:ind w:left="6480" w:hanging="360"/>
      </w:pPr>
      <w:rPr>
        <w:rFonts w:ascii="Wingdings" w:hAnsi="Wingdings" w:hint="default"/>
      </w:rPr>
    </w:lvl>
  </w:abstractNum>
  <w:abstractNum w:abstractNumId="2" w15:restartNumberingAfterBreak="0">
    <w:nsid w:val="0A0E7ED4"/>
    <w:multiLevelType w:val="multilevel"/>
    <w:tmpl w:val="C25CB3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7017D5"/>
    <w:multiLevelType w:val="hybridMultilevel"/>
    <w:tmpl w:val="EB522C98"/>
    <w:lvl w:ilvl="0" w:tplc="7DE89E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AC417B"/>
    <w:multiLevelType w:val="hybridMultilevel"/>
    <w:tmpl w:val="9F8687E8"/>
    <w:lvl w:ilvl="0" w:tplc="DFF09E42">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7C34617"/>
    <w:multiLevelType w:val="hybridMultilevel"/>
    <w:tmpl w:val="595C91A8"/>
    <w:lvl w:ilvl="0" w:tplc="F288EC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24D7"/>
    <w:multiLevelType w:val="hybridMultilevel"/>
    <w:tmpl w:val="1A661A70"/>
    <w:lvl w:ilvl="0" w:tplc="B21EBAF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74ACE"/>
    <w:multiLevelType w:val="hybridMultilevel"/>
    <w:tmpl w:val="654EBBD4"/>
    <w:lvl w:ilvl="0" w:tplc="302EDF3C">
      <w:start w:val="1"/>
      <w:numFmt w:val="lowerLetter"/>
      <w:lvlText w:val="(%1)"/>
      <w:lvlJc w:val="left"/>
      <w:pPr>
        <w:ind w:left="4039" w:hanging="360"/>
      </w:pPr>
      <w:rPr>
        <w:rFonts w:ascii="Times New Roman" w:hAnsi="Times New Roman" w:cs="Times New Roman" w:hint="default"/>
        <w:sz w:val="20"/>
        <w:szCs w:val="20"/>
      </w:rPr>
    </w:lvl>
    <w:lvl w:ilvl="1" w:tplc="04090003" w:tentative="1">
      <w:start w:val="1"/>
      <w:numFmt w:val="bullet"/>
      <w:lvlText w:val="o"/>
      <w:lvlJc w:val="left"/>
      <w:pPr>
        <w:ind w:left="4759" w:hanging="360"/>
      </w:pPr>
      <w:rPr>
        <w:rFonts w:ascii="Courier New" w:hAnsi="Courier New" w:cs="Courier New" w:hint="default"/>
      </w:rPr>
    </w:lvl>
    <w:lvl w:ilvl="2" w:tplc="04090005" w:tentative="1">
      <w:start w:val="1"/>
      <w:numFmt w:val="bullet"/>
      <w:lvlText w:val=""/>
      <w:lvlJc w:val="left"/>
      <w:pPr>
        <w:ind w:left="5479" w:hanging="360"/>
      </w:pPr>
      <w:rPr>
        <w:rFonts w:ascii="Wingdings" w:hAnsi="Wingdings" w:hint="default"/>
      </w:rPr>
    </w:lvl>
    <w:lvl w:ilvl="3" w:tplc="04090001" w:tentative="1">
      <w:start w:val="1"/>
      <w:numFmt w:val="bullet"/>
      <w:lvlText w:val=""/>
      <w:lvlJc w:val="left"/>
      <w:pPr>
        <w:ind w:left="6199" w:hanging="360"/>
      </w:pPr>
      <w:rPr>
        <w:rFonts w:ascii="Symbol" w:hAnsi="Symbol" w:hint="default"/>
      </w:rPr>
    </w:lvl>
    <w:lvl w:ilvl="4" w:tplc="04090003" w:tentative="1">
      <w:start w:val="1"/>
      <w:numFmt w:val="bullet"/>
      <w:lvlText w:val="o"/>
      <w:lvlJc w:val="left"/>
      <w:pPr>
        <w:ind w:left="6919" w:hanging="360"/>
      </w:pPr>
      <w:rPr>
        <w:rFonts w:ascii="Courier New" w:hAnsi="Courier New" w:cs="Courier New" w:hint="default"/>
      </w:rPr>
    </w:lvl>
    <w:lvl w:ilvl="5" w:tplc="04090005" w:tentative="1">
      <w:start w:val="1"/>
      <w:numFmt w:val="bullet"/>
      <w:lvlText w:val=""/>
      <w:lvlJc w:val="left"/>
      <w:pPr>
        <w:ind w:left="7639" w:hanging="360"/>
      </w:pPr>
      <w:rPr>
        <w:rFonts w:ascii="Wingdings" w:hAnsi="Wingdings" w:hint="default"/>
      </w:rPr>
    </w:lvl>
    <w:lvl w:ilvl="6" w:tplc="04090001" w:tentative="1">
      <w:start w:val="1"/>
      <w:numFmt w:val="bullet"/>
      <w:lvlText w:val=""/>
      <w:lvlJc w:val="left"/>
      <w:pPr>
        <w:ind w:left="8359" w:hanging="360"/>
      </w:pPr>
      <w:rPr>
        <w:rFonts w:ascii="Symbol" w:hAnsi="Symbol" w:hint="default"/>
      </w:rPr>
    </w:lvl>
    <w:lvl w:ilvl="7" w:tplc="04090003" w:tentative="1">
      <w:start w:val="1"/>
      <w:numFmt w:val="bullet"/>
      <w:lvlText w:val="o"/>
      <w:lvlJc w:val="left"/>
      <w:pPr>
        <w:ind w:left="9079" w:hanging="360"/>
      </w:pPr>
      <w:rPr>
        <w:rFonts w:ascii="Courier New" w:hAnsi="Courier New" w:cs="Courier New" w:hint="default"/>
      </w:rPr>
    </w:lvl>
    <w:lvl w:ilvl="8" w:tplc="04090005" w:tentative="1">
      <w:start w:val="1"/>
      <w:numFmt w:val="bullet"/>
      <w:lvlText w:val=""/>
      <w:lvlJc w:val="left"/>
      <w:pPr>
        <w:ind w:left="9799" w:hanging="360"/>
      </w:pPr>
      <w:rPr>
        <w:rFonts w:ascii="Wingdings" w:hAnsi="Wingdings" w:hint="default"/>
      </w:rPr>
    </w:lvl>
  </w:abstractNum>
  <w:abstractNum w:abstractNumId="8" w15:restartNumberingAfterBreak="0">
    <w:nsid w:val="278A1FC7"/>
    <w:multiLevelType w:val="multilevel"/>
    <w:tmpl w:val="A198F0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667426"/>
    <w:multiLevelType w:val="multilevel"/>
    <w:tmpl w:val="6BBC85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15:restartNumberingAfterBreak="0">
    <w:nsid w:val="4CE53FE4"/>
    <w:multiLevelType w:val="hybridMultilevel"/>
    <w:tmpl w:val="9550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4574B"/>
    <w:multiLevelType w:val="multilevel"/>
    <w:tmpl w:val="2B281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6851325A"/>
    <w:multiLevelType w:val="hybridMultilevel"/>
    <w:tmpl w:val="CFCE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DB713F"/>
    <w:multiLevelType w:val="hybridMultilevel"/>
    <w:tmpl w:val="63A89574"/>
    <w:lvl w:ilvl="0" w:tplc="D996060A">
      <w:start w:val="1"/>
      <w:numFmt w:val="decimal"/>
      <w:lvlText w:val="%1."/>
      <w:lvlJc w:val="left"/>
      <w:pPr>
        <w:ind w:left="0" w:firstLine="0"/>
      </w:pPr>
      <w:rPr>
        <w:rFonts w:ascii="Times New Roman" w:hAnsi="Times New Roman" w:cs="Times New Roman" w:hint="default"/>
        <w:b w:val="0"/>
        <w:i w:val="0"/>
        <w:color w:val="auto"/>
        <w:sz w:val="20"/>
      </w:rPr>
    </w:lvl>
    <w:lvl w:ilvl="1" w:tplc="08090019">
      <w:start w:val="1"/>
      <w:numFmt w:val="lowerLetter"/>
      <w:lvlText w:val="%2."/>
      <w:lvlJc w:val="left"/>
      <w:pPr>
        <w:ind w:left="1170" w:hanging="360"/>
      </w:pPr>
    </w:lvl>
    <w:lvl w:ilvl="2" w:tplc="D7E06EE0">
      <w:start w:val="1"/>
      <w:numFmt w:val="upperLetter"/>
      <w:lvlText w:val="%3."/>
      <w:lvlJc w:val="left"/>
      <w:pPr>
        <w:ind w:left="2070" w:hanging="360"/>
      </w:pPr>
      <w:rPr>
        <w:rFonts w:hint="default"/>
      </w:r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10"/>
  </w:num>
  <w:num w:numId="2">
    <w:abstractNumId w:val="13"/>
  </w:num>
  <w:num w:numId="3">
    <w:abstractNumId w:val="4"/>
  </w:num>
  <w:num w:numId="4">
    <w:abstractNumId w:val="7"/>
  </w:num>
  <w:num w:numId="5">
    <w:abstractNumId w:val="9"/>
  </w:num>
  <w:num w:numId="6">
    <w:abstractNumId w:val="8"/>
  </w:num>
  <w:num w:numId="7">
    <w:abstractNumId w:val="12"/>
  </w:num>
  <w:num w:numId="8">
    <w:abstractNumId w:val="2"/>
  </w:num>
  <w:num w:numId="9">
    <w:abstractNumId w:val="3"/>
  </w:num>
  <w:num w:numId="10">
    <w:abstractNumId w:val="6"/>
  </w:num>
  <w:num w:numId="11">
    <w:abstractNumId w:val="15"/>
  </w:num>
  <w:num w:numId="12">
    <w:abstractNumId w:val="14"/>
  </w:num>
  <w:num w:numId="13">
    <w:abstractNumId w:val="1"/>
  </w:num>
  <w:num w:numId="14">
    <w:abstractNumId w:val="1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4395*"/>
    <w:docVar w:name="jobn" w:val="17-14395 (E)"/>
    <w:docVar w:name="JobNo" w:val="1714395E"/>
    <w:docVar w:name="ODSRefJobNo" w:val="1726398E"/>
    <w:docVar w:name="sss1" w:val="DP/2017/33"/>
    <w:docVar w:name="sss2" w:val="-"/>
  </w:docVars>
  <w:rsids>
    <w:rsidRoot w:val="00B213FD"/>
    <w:rsid w:val="000023A9"/>
    <w:rsid w:val="0000301C"/>
    <w:rsid w:val="000044BD"/>
    <w:rsid w:val="00006208"/>
    <w:rsid w:val="00007748"/>
    <w:rsid w:val="00010CB2"/>
    <w:rsid w:val="000115C7"/>
    <w:rsid w:val="00013277"/>
    <w:rsid w:val="000137FE"/>
    <w:rsid w:val="00013C9F"/>
    <w:rsid w:val="00016453"/>
    <w:rsid w:val="0001793F"/>
    <w:rsid w:val="00021540"/>
    <w:rsid w:val="00023BDE"/>
    <w:rsid w:val="000243C1"/>
    <w:rsid w:val="00024B08"/>
    <w:rsid w:val="00024E5A"/>
    <w:rsid w:val="00025848"/>
    <w:rsid w:val="0002787D"/>
    <w:rsid w:val="000308AA"/>
    <w:rsid w:val="00031A80"/>
    <w:rsid w:val="00032100"/>
    <w:rsid w:val="0003242E"/>
    <w:rsid w:val="0003253D"/>
    <w:rsid w:val="000350FD"/>
    <w:rsid w:val="000401EF"/>
    <w:rsid w:val="0004076B"/>
    <w:rsid w:val="00041CAB"/>
    <w:rsid w:val="00051981"/>
    <w:rsid w:val="00051D6F"/>
    <w:rsid w:val="00054828"/>
    <w:rsid w:val="00056ACA"/>
    <w:rsid w:val="00057F99"/>
    <w:rsid w:val="00057FD3"/>
    <w:rsid w:val="00060FB4"/>
    <w:rsid w:val="000615FF"/>
    <w:rsid w:val="000616E9"/>
    <w:rsid w:val="00062E0F"/>
    <w:rsid w:val="0006693B"/>
    <w:rsid w:val="000705A4"/>
    <w:rsid w:val="00073B00"/>
    <w:rsid w:val="00076459"/>
    <w:rsid w:val="00077B95"/>
    <w:rsid w:val="00077C68"/>
    <w:rsid w:val="00077DB0"/>
    <w:rsid w:val="00080355"/>
    <w:rsid w:val="00081CC0"/>
    <w:rsid w:val="000834F6"/>
    <w:rsid w:val="00084E62"/>
    <w:rsid w:val="000856C4"/>
    <w:rsid w:val="0008703A"/>
    <w:rsid w:val="000873DA"/>
    <w:rsid w:val="00090909"/>
    <w:rsid w:val="0009142F"/>
    <w:rsid w:val="000930EA"/>
    <w:rsid w:val="00095653"/>
    <w:rsid w:val="00096611"/>
    <w:rsid w:val="000977D9"/>
    <w:rsid w:val="000A1401"/>
    <w:rsid w:val="000A249E"/>
    <w:rsid w:val="000A73E4"/>
    <w:rsid w:val="000B07B7"/>
    <w:rsid w:val="000B2AB1"/>
    <w:rsid w:val="000B2DB0"/>
    <w:rsid w:val="000B599F"/>
    <w:rsid w:val="000B6117"/>
    <w:rsid w:val="000B6278"/>
    <w:rsid w:val="000B6F32"/>
    <w:rsid w:val="000B7718"/>
    <w:rsid w:val="000B7BA3"/>
    <w:rsid w:val="000C0DDB"/>
    <w:rsid w:val="000C30BC"/>
    <w:rsid w:val="000C32C4"/>
    <w:rsid w:val="000C676D"/>
    <w:rsid w:val="000C7037"/>
    <w:rsid w:val="000D51E1"/>
    <w:rsid w:val="000D6F3E"/>
    <w:rsid w:val="000E110E"/>
    <w:rsid w:val="000E3E97"/>
    <w:rsid w:val="000E4962"/>
    <w:rsid w:val="000E496D"/>
    <w:rsid w:val="000E4DB4"/>
    <w:rsid w:val="000E578F"/>
    <w:rsid w:val="000E6736"/>
    <w:rsid w:val="000E7174"/>
    <w:rsid w:val="000E7902"/>
    <w:rsid w:val="000F0681"/>
    <w:rsid w:val="000F429E"/>
    <w:rsid w:val="000F537B"/>
    <w:rsid w:val="000F6E1A"/>
    <w:rsid w:val="000F70AF"/>
    <w:rsid w:val="000F7692"/>
    <w:rsid w:val="00100B22"/>
    <w:rsid w:val="00104C2F"/>
    <w:rsid w:val="00105C9B"/>
    <w:rsid w:val="00107D5F"/>
    <w:rsid w:val="0011241F"/>
    <w:rsid w:val="001136A5"/>
    <w:rsid w:val="00113764"/>
    <w:rsid w:val="00114F9E"/>
    <w:rsid w:val="0011565A"/>
    <w:rsid w:val="0012032E"/>
    <w:rsid w:val="001208CF"/>
    <w:rsid w:val="0012551B"/>
    <w:rsid w:val="0012652C"/>
    <w:rsid w:val="00127689"/>
    <w:rsid w:val="00132F77"/>
    <w:rsid w:val="00135DA1"/>
    <w:rsid w:val="00136ECF"/>
    <w:rsid w:val="001377D7"/>
    <w:rsid w:val="001410E1"/>
    <w:rsid w:val="00142298"/>
    <w:rsid w:val="00143C9C"/>
    <w:rsid w:val="00144F4C"/>
    <w:rsid w:val="00146E4B"/>
    <w:rsid w:val="001505B6"/>
    <w:rsid w:val="00151916"/>
    <w:rsid w:val="00152C51"/>
    <w:rsid w:val="001531AF"/>
    <w:rsid w:val="00153716"/>
    <w:rsid w:val="00154A7D"/>
    <w:rsid w:val="00156B2C"/>
    <w:rsid w:val="001625F7"/>
    <w:rsid w:val="00163673"/>
    <w:rsid w:val="00164BCE"/>
    <w:rsid w:val="001651D6"/>
    <w:rsid w:val="001652E9"/>
    <w:rsid w:val="001653FB"/>
    <w:rsid w:val="00170BC8"/>
    <w:rsid w:val="0017380E"/>
    <w:rsid w:val="001745C0"/>
    <w:rsid w:val="0017562C"/>
    <w:rsid w:val="0017584B"/>
    <w:rsid w:val="001809B5"/>
    <w:rsid w:val="001829F5"/>
    <w:rsid w:val="00182B15"/>
    <w:rsid w:val="00184193"/>
    <w:rsid w:val="00184294"/>
    <w:rsid w:val="00184939"/>
    <w:rsid w:val="001866B9"/>
    <w:rsid w:val="00187430"/>
    <w:rsid w:val="001917A6"/>
    <w:rsid w:val="0019245C"/>
    <w:rsid w:val="00192845"/>
    <w:rsid w:val="001936F0"/>
    <w:rsid w:val="001947AD"/>
    <w:rsid w:val="00194D8D"/>
    <w:rsid w:val="00196A9E"/>
    <w:rsid w:val="00196C99"/>
    <w:rsid w:val="00196F27"/>
    <w:rsid w:val="00197346"/>
    <w:rsid w:val="001A077F"/>
    <w:rsid w:val="001A5D2D"/>
    <w:rsid w:val="001A6BBE"/>
    <w:rsid w:val="001B071E"/>
    <w:rsid w:val="001B0B41"/>
    <w:rsid w:val="001B1048"/>
    <w:rsid w:val="001B1926"/>
    <w:rsid w:val="001B1FD5"/>
    <w:rsid w:val="001B2AEA"/>
    <w:rsid w:val="001B3651"/>
    <w:rsid w:val="001B6CFE"/>
    <w:rsid w:val="001C0012"/>
    <w:rsid w:val="001C12AB"/>
    <w:rsid w:val="001C266D"/>
    <w:rsid w:val="001C26F7"/>
    <w:rsid w:val="001C5625"/>
    <w:rsid w:val="001C7E54"/>
    <w:rsid w:val="001D1F8D"/>
    <w:rsid w:val="001D36B2"/>
    <w:rsid w:val="001D4790"/>
    <w:rsid w:val="001D6950"/>
    <w:rsid w:val="001D7216"/>
    <w:rsid w:val="001E0548"/>
    <w:rsid w:val="001E0581"/>
    <w:rsid w:val="001E077C"/>
    <w:rsid w:val="001E0893"/>
    <w:rsid w:val="001E0B55"/>
    <w:rsid w:val="001E0DE8"/>
    <w:rsid w:val="001E15EF"/>
    <w:rsid w:val="001E4D56"/>
    <w:rsid w:val="001E5AE9"/>
    <w:rsid w:val="001E6CDB"/>
    <w:rsid w:val="001F2BDA"/>
    <w:rsid w:val="001F5923"/>
    <w:rsid w:val="001F5FE7"/>
    <w:rsid w:val="001F670D"/>
    <w:rsid w:val="001F6818"/>
    <w:rsid w:val="001F6E66"/>
    <w:rsid w:val="001F78BC"/>
    <w:rsid w:val="001F7C50"/>
    <w:rsid w:val="001F7CCF"/>
    <w:rsid w:val="002016A6"/>
    <w:rsid w:val="00203408"/>
    <w:rsid w:val="002108FF"/>
    <w:rsid w:val="00211F3F"/>
    <w:rsid w:val="00213104"/>
    <w:rsid w:val="002141E3"/>
    <w:rsid w:val="00217149"/>
    <w:rsid w:val="00217D97"/>
    <w:rsid w:val="00220027"/>
    <w:rsid w:val="00221573"/>
    <w:rsid w:val="00222D9B"/>
    <w:rsid w:val="00223E81"/>
    <w:rsid w:val="00224A9D"/>
    <w:rsid w:val="00225B63"/>
    <w:rsid w:val="002261FF"/>
    <w:rsid w:val="0022656E"/>
    <w:rsid w:val="00227028"/>
    <w:rsid w:val="002324AE"/>
    <w:rsid w:val="00232992"/>
    <w:rsid w:val="00232F19"/>
    <w:rsid w:val="002346A6"/>
    <w:rsid w:val="00234C5B"/>
    <w:rsid w:val="00234E47"/>
    <w:rsid w:val="00236DA6"/>
    <w:rsid w:val="00236E6D"/>
    <w:rsid w:val="00240FCD"/>
    <w:rsid w:val="00243655"/>
    <w:rsid w:val="002453F5"/>
    <w:rsid w:val="00245C5A"/>
    <w:rsid w:val="00246DC2"/>
    <w:rsid w:val="00246E06"/>
    <w:rsid w:val="00246F11"/>
    <w:rsid w:val="00247E83"/>
    <w:rsid w:val="00250321"/>
    <w:rsid w:val="002508E9"/>
    <w:rsid w:val="00251A44"/>
    <w:rsid w:val="002523CA"/>
    <w:rsid w:val="00253D26"/>
    <w:rsid w:val="00254277"/>
    <w:rsid w:val="00256A49"/>
    <w:rsid w:val="0025759D"/>
    <w:rsid w:val="00257ED9"/>
    <w:rsid w:val="00261042"/>
    <w:rsid w:val="00261FDB"/>
    <w:rsid w:val="002630C4"/>
    <w:rsid w:val="00264279"/>
    <w:rsid w:val="002645D0"/>
    <w:rsid w:val="002665CB"/>
    <w:rsid w:val="00267EA9"/>
    <w:rsid w:val="00271129"/>
    <w:rsid w:val="002713B7"/>
    <w:rsid w:val="0027290F"/>
    <w:rsid w:val="00272E66"/>
    <w:rsid w:val="00273626"/>
    <w:rsid w:val="00274B66"/>
    <w:rsid w:val="00275106"/>
    <w:rsid w:val="00275598"/>
    <w:rsid w:val="00276162"/>
    <w:rsid w:val="00276B79"/>
    <w:rsid w:val="00276FD6"/>
    <w:rsid w:val="00281885"/>
    <w:rsid w:val="00284AF2"/>
    <w:rsid w:val="00285B05"/>
    <w:rsid w:val="00286E9F"/>
    <w:rsid w:val="002877DA"/>
    <w:rsid w:val="002901C3"/>
    <w:rsid w:val="00290C42"/>
    <w:rsid w:val="00294980"/>
    <w:rsid w:val="00296E6C"/>
    <w:rsid w:val="00296F6B"/>
    <w:rsid w:val="002A0F27"/>
    <w:rsid w:val="002A2A24"/>
    <w:rsid w:val="002A5739"/>
    <w:rsid w:val="002A5DBE"/>
    <w:rsid w:val="002A6017"/>
    <w:rsid w:val="002B0DEC"/>
    <w:rsid w:val="002B4B8E"/>
    <w:rsid w:val="002B52A3"/>
    <w:rsid w:val="002B623F"/>
    <w:rsid w:val="002B649C"/>
    <w:rsid w:val="002B6DDB"/>
    <w:rsid w:val="002B77DF"/>
    <w:rsid w:val="002C0552"/>
    <w:rsid w:val="002C12A1"/>
    <w:rsid w:val="002C171C"/>
    <w:rsid w:val="002C3AE4"/>
    <w:rsid w:val="002C69A3"/>
    <w:rsid w:val="002D0A3F"/>
    <w:rsid w:val="002D2550"/>
    <w:rsid w:val="002D25CC"/>
    <w:rsid w:val="002D4228"/>
    <w:rsid w:val="002D4776"/>
    <w:rsid w:val="002D6636"/>
    <w:rsid w:val="002E1C17"/>
    <w:rsid w:val="002E288B"/>
    <w:rsid w:val="002E5A80"/>
    <w:rsid w:val="002E67CC"/>
    <w:rsid w:val="002E7A79"/>
    <w:rsid w:val="002F0531"/>
    <w:rsid w:val="002F5FAC"/>
    <w:rsid w:val="002F762D"/>
    <w:rsid w:val="00300297"/>
    <w:rsid w:val="00303242"/>
    <w:rsid w:val="00312D4B"/>
    <w:rsid w:val="00314F83"/>
    <w:rsid w:val="00316B88"/>
    <w:rsid w:val="00316C23"/>
    <w:rsid w:val="00320E1B"/>
    <w:rsid w:val="00321A47"/>
    <w:rsid w:val="00322E87"/>
    <w:rsid w:val="003241F9"/>
    <w:rsid w:val="003245CB"/>
    <w:rsid w:val="0032488B"/>
    <w:rsid w:val="00324A92"/>
    <w:rsid w:val="00324B19"/>
    <w:rsid w:val="003268E2"/>
    <w:rsid w:val="00326A29"/>
    <w:rsid w:val="0032749A"/>
    <w:rsid w:val="00327D2C"/>
    <w:rsid w:val="00327EBA"/>
    <w:rsid w:val="003302D1"/>
    <w:rsid w:val="00332088"/>
    <w:rsid w:val="003345CC"/>
    <w:rsid w:val="00341AF8"/>
    <w:rsid w:val="00343F24"/>
    <w:rsid w:val="003466DC"/>
    <w:rsid w:val="00347DD3"/>
    <w:rsid w:val="00350876"/>
    <w:rsid w:val="00351C2B"/>
    <w:rsid w:val="0035225D"/>
    <w:rsid w:val="00355EB3"/>
    <w:rsid w:val="00357AA1"/>
    <w:rsid w:val="00360D7D"/>
    <w:rsid w:val="0036222E"/>
    <w:rsid w:val="003646C7"/>
    <w:rsid w:val="00365017"/>
    <w:rsid w:val="00367578"/>
    <w:rsid w:val="00372DA9"/>
    <w:rsid w:val="003769DF"/>
    <w:rsid w:val="003774F9"/>
    <w:rsid w:val="0037786A"/>
    <w:rsid w:val="003801AF"/>
    <w:rsid w:val="0038080A"/>
    <w:rsid w:val="00383922"/>
    <w:rsid w:val="00383BB9"/>
    <w:rsid w:val="003858FB"/>
    <w:rsid w:val="00386F15"/>
    <w:rsid w:val="00387FE0"/>
    <w:rsid w:val="0039024C"/>
    <w:rsid w:val="00390297"/>
    <w:rsid w:val="003928D1"/>
    <w:rsid w:val="00392D52"/>
    <w:rsid w:val="003A37D2"/>
    <w:rsid w:val="003A416C"/>
    <w:rsid w:val="003A5087"/>
    <w:rsid w:val="003A531D"/>
    <w:rsid w:val="003A5F7B"/>
    <w:rsid w:val="003A7D99"/>
    <w:rsid w:val="003B0DE7"/>
    <w:rsid w:val="003B102B"/>
    <w:rsid w:val="003B2B3F"/>
    <w:rsid w:val="003B3D0B"/>
    <w:rsid w:val="003C05E2"/>
    <w:rsid w:val="003C0D55"/>
    <w:rsid w:val="003C3A7D"/>
    <w:rsid w:val="003C43F7"/>
    <w:rsid w:val="003C5C1E"/>
    <w:rsid w:val="003C65CD"/>
    <w:rsid w:val="003C7E92"/>
    <w:rsid w:val="003D097F"/>
    <w:rsid w:val="003D5797"/>
    <w:rsid w:val="003D7F08"/>
    <w:rsid w:val="003E0D98"/>
    <w:rsid w:val="003E134D"/>
    <w:rsid w:val="003E2D53"/>
    <w:rsid w:val="003E36C7"/>
    <w:rsid w:val="003E4AC2"/>
    <w:rsid w:val="003E7000"/>
    <w:rsid w:val="003E72BD"/>
    <w:rsid w:val="003E78BF"/>
    <w:rsid w:val="003E78EC"/>
    <w:rsid w:val="003F1663"/>
    <w:rsid w:val="003F1BFF"/>
    <w:rsid w:val="003F1E2B"/>
    <w:rsid w:val="003F49AB"/>
    <w:rsid w:val="003F4EDB"/>
    <w:rsid w:val="003F6410"/>
    <w:rsid w:val="00400B5A"/>
    <w:rsid w:val="004017EF"/>
    <w:rsid w:val="004018EE"/>
    <w:rsid w:val="00401E19"/>
    <w:rsid w:val="004039A5"/>
    <w:rsid w:val="0040560E"/>
    <w:rsid w:val="00405F0B"/>
    <w:rsid w:val="00407301"/>
    <w:rsid w:val="004104F1"/>
    <w:rsid w:val="00410A02"/>
    <w:rsid w:val="00411700"/>
    <w:rsid w:val="004125C5"/>
    <w:rsid w:val="00412A57"/>
    <w:rsid w:val="00412ACF"/>
    <w:rsid w:val="00414F44"/>
    <w:rsid w:val="0041500E"/>
    <w:rsid w:val="00417407"/>
    <w:rsid w:val="00431630"/>
    <w:rsid w:val="00431B47"/>
    <w:rsid w:val="00434183"/>
    <w:rsid w:val="00436FEA"/>
    <w:rsid w:val="004400B1"/>
    <w:rsid w:val="00440A09"/>
    <w:rsid w:val="004411C5"/>
    <w:rsid w:val="00441580"/>
    <w:rsid w:val="00441EF4"/>
    <w:rsid w:val="004423AB"/>
    <w:rsid w:val="00443A4A"/>
    <w:rsid w:val="00444725"/>
    <w:rsid w:val="00445E5E"/>
    <w:rsid w:val="004472AD"/>
    <w:rsid w:val="00451397"/>
    <w:rsid w:val="00451C53"/>
    <w:rsid w:val="0045397A"/>
    <w:rsid w:val="00453E64"/>
    <w:rsid w:val="00455CD0"/>
    <w:rsid w:val="00457A31"/>
    <w:rsid w:val="00457ADA"/>
    <w:rsid w:val="004677E2"/>
    <w:rsid w:val="00470EE0"/>
    <w:rsid w:val="00470EE6"/>
    <w:rsid w:val="0047572C"/>
    <w:rsid w:val="004774B3"/>
    <w:rsid w:val="00477F9F"/>
    <w:rsid w:val="00480517"/>
    <w:rsid w:val="004818A0"/>
    <w:rsid w:val="004831A5"/>
    <w:rsid w:val="004846D7"/>
    <w:rsid w:val="0048511B"/>
    <w:rsid w:val="00485B77"/>
    <w:rsid w:val="00487627"/>
    <w:rsid w:val="00487D0A"/>
    <w:rsid w:val="004906FA"/>
    <w:rsid w:val="004907C3"/>
    <w:rsid w:val="00492648"/>
    <w:rsid w:val="00494C70"/>
    <w:rsid w:val="00496B26"/>
    <w:rsid w:val="00497BF5"/>
    <w:rsid w:val="004A06AE"/>
    <w:rsid w:val="004A36EA"/>
    <w:rsid w:val="004A492C"/>
    <w:rsid w:val="004A5068"/>
    <w:rsid w:val="004A5674"/>
    <w:rsid w:val="004A635B"/>
    <w:rsid w:val="004A6F00"/>
    <w:rsid w:val="004B3314"/>
    <w:rsid w:val="004B3A6B"/>
    <w:rsid w:val="004B5A15"/>
    <w:rsid w:val="004B6AB6"/>
    <w:rsid w:val="004B732D"/>
    <w:rsid w:val="004B7656"/>
    <w:rsid w:val="004C0A4B"/>
    <w:rsid w:val="004C0F41"/>
    <w:rsid w:val="004C22EB"/>
    <w:rsid w:val="004C35DB"/>
    <w:rsid w:val="004C47C1"/>
    <w:rsid w:val="004C599F"/>
    <w:rsid w:val="004C66BC"/>
    <w:rsid w:val="004C7A38"/>
    <w:rsid w:val="004C7E05"/>
    <w:rsid w:val="004D0839"/>
    <w:rsid w:val="004D0C85"/>
    <w:rsid w:val="004D2970"/>
    <w:rsid w:val="004D3027"/>
    <w:rsid w:val="004D580C"/>
    <w:rsid w:val="004D5846"/>
    <w:rsid w:val="004D7A08"/>
    <w:rsid w:val="004E19A4"/>
    <w:rsid w:val="004E393D"/>
    <w:rsid w:val="004E669B"/>
    <w:rsid w:val="004F006E"/>
    <w:rsid w:val="004F09C3"/>
    <w:rsid w:val="004F269C"/>
    <w:rsid w:val="004F2B25"/>
    <w:rsid w:val="004F4085"/>
    <w:rsid w:val="004F443C"/>
    <w:rsid w:val="004F4AA8"/>
    <w:rsid w:val="004F4B25"/>
    <w:rsid w:val="004F71A8"/>
    <w:rsid w:val="00500E81"/>
    <w:rsid w:val="00502499"/>
    <w:rsid w:val="00502EBE"/>
    <w:rsid w:val="00511E5A"/>
    <w:rsid w:val="00514854"/>
    <w:rsid w:val="00514D8F"/>
    <w:rsid w:val="00515DAE"/>
    <w:rsid w:val="005200EA"/>
    <w:rsid w:val="0052176E"/>
    <w:rsid w:val="00522D2C"/>
    <w:rsid w:val="00523329"/>
    <w:rsid w:val="00525877"/>
    <w:rsid w:val="00526BC7"/>
    <w:rsid w:val="0052754A"/>
    <w:rsid w:val="005300F6"/>
    <w:rsid w:val="00533129"/>
    <w:rsid w:val="00533F54"/>
    <w:rsid w:val="0053442A"/>
    <w:rsid w:val="00534D74"/>
    <w:rsid w:val="00537D2B"/>
    <w:rsid w:val="00541089"/>
    <w:rsid w:val="00542A9C"/>
    <w:rsid w:val="00542FE7"/>
    <w:rsid w:val="005438F7"/>
    <w:rsid w:val="00543905"/>
    <w:rsid w:val="005445AF"/>
    <w:rsid w:val="00544A15"/>
    <w:rsid w:val="00546F5D"/>
    <w:rsid w:val="005513EE"/>
    <w:rsid w:val="0055275D"/>
    <w:rsid w:val="0055474C"/>
    <w:rsid w:val="00554C61"/>
    <w:rsid w:val="00554CEC"/>
    <w:rsid w:val="00556945"/>
    <w:rsid w:val="0055753C"/>
    <w:rsid w:val="00560735"/>
    <w:rsid w:val="005607F2"/>
    <w:rsid w:val="0056111A"/>
    <w:rsid w:val="005614AA"/>
    <w:rsid w:val="005619C0"/>
    <w:rsid w:val="005628A8"/>
    <w:rsid w:val="00566407"/>
    <w:rsid w:val="00566B69"/>
    <w:rsid w:val="00566C95"/>
    <w:rsid w:val="00567C3A"/>
    <w:rsid w:val="00567F84"/>
    <w:rsid w:val="005729BA"/>
    <w:rsid w:val="00574714"/>
    <w:rsid w:val="0057512C"/>
    <w:rsid w:val="00581E11"/>
    <w:rsid w:val="005827E6"/>
    <w:rsid w:val="00583963"/>
    <w:rsid w:val="00586902"/>
    <w:rsid w:val="00586986"/>
    <w:rsid w:val="00591C19"/>
    <w:rsid w:val="00594A53"/>
    <w:rsid w:val="00595BC5"/>
    <w:rsid w:val="005A0C73"/>
    <w:rsid w:val="005A155C"/>
    <w:rsid w:val="005A3D90"/>
    <w:rsid w:val="005A6530"/>
    <w:rsid w:val="005B032D"/>
    <w:rsid w:val="005B0B96"/>
    <w:rsid w:val="005B3D59"/>
    <w:rsid w:val="005B426E"/>
    <w:rsid w:val="005B500B"/>
    <w:rsid w:val="005B6B7F"/>
    <w:rsid w:val="005C2441"/>
    <w:rsid w:val="005C394D"/>
    <w:rsid w:val="005C639D"/>
    <w:rsid w:val="005C76B7"/>
    <w:rsid w:val="005D0BE5"/>
    <w:rsid w:val="005D2A47"/>
    <w:rsid w:val="005D3D41"/>
    <w:rsid w:val="005E0744"/>
    <w:rsid w:val="005E360C"/>
    <w:rsid w:val="005E3FB8"/>
    <w:rsid w:val="005E498C"/>
    <w:rsid w:val="005E5E3E"/>
    <w:rsid w:val="005F03CA"/>
    <w:rsid w:val="005F0E97"/>
    <w:rsid w:val="005F2E21"/>
    <w:rsid w:val="005F443D"/>
    <w:rsid w:val="005F5493"/>
    <w:rsid w:val="005F5764"/>
    <w:rsid w:val="005F6860"/>
    <w:rsid w:val="005F7608"/>
    <w:rsid w:val="00600132"/>
    <w:rsid w:val="006010AB"/>
    <w:rsid w:val="00601E37"/>
    <w:rsid w:val="00602291"/>
    <w:rsid w:val="0060256A"/>
    <w:rsid w:val="006034E2"/>
    <w:rsid w:val="006035F9"/>
    <w:rsid w:val="0060441D"/>
    <w:rsid w:val="00605495"/>
    <w:rsid w:val="006104AB"/>
    <w:rsid w:val="00610819"/>
    <w:rsid w:val="00610AC8"/>
    <w:rsid w:val="0061160A"/>
    <w:rsid w:val="006124E0"/>
    <w:rsid w:val="006139E4"/>
    <w:rsid w:val="0061620E"/>
    <w:rsid w:val="006208E6"/>
    <w:rsid w:val="0062207B"/>
    <w:rsid w:val="006242A5"/>
    <w:rsid w:val="006246A9"/>
    <w:rsid w:val="0062527E"/>
    <w:rsid w:val="00626FAF"/>
    <w:rsid w:val="006300B5"/>
    <w:rsid w:val="006300C2"/>
    <w:rsid w:val="00632654"/>
    <w:rsid w:val="00633D0B"/>
    <w:rsid w:val="00634617"/>
    <w:rsid w:val="00634BD7"/>
    <w:rsid w:val="00634FA8"/>
    <w:rsid w:val="006365D0"/>
    <w:rsid w:val="00642ADA"/>
    <w:rsid w:val="00643D37"/>
    <w:rsid w:val="00645A2F"/>
    <w:rsid w:val="00647927"/>
    <w:rsid w:val="00647B1A"/>
    <w:rsid w:val="00647F62"/>
    <w:rsid w:val="00650698"/>
    <w:rsid w:val="00651876"/>
    <w:rsid w:val="006520C7"/>
    <w:rsid w:val="0065341F"/>
    <w:rsid w:val="00653B25"/>
    <w:rsid w:val="00655F4D"/>
    <w:rsid w:val="00656459"/>
    <w:rsid w:val="006604D5"/>
    <w:rsid w:val="0066134F"/>
    <w:rsid w:val="00661E75"/>
    <w:rsid w:val="0066368E"/>
    <w:rsid w:val="00665391"/>
    <w:rsid w:val="00666AFB"/>
    <w:rsid w:val="0067014A"/>
    <w:rsid w:val="006710A1"/>
    <w:rsid w:val="0067179A"/>
    <w:rsid w:val="00673A86"/>
    <w:rsid w:val="00673D70"/>
    <w:rsid w:val="00677C8D"/>
    <w:rsid w:val="00683F70"/>
    <w:rsid w:val="006845F9"/>
    <w:rsid w:val="006871EC"/>
    <w:rsid w:val="006904DC"/>
    <w:rsid w:val="00691C7E"/>
    <w:rsid w:val="006942CA"/>
    <w:rsid w:val="00694A4C"/>
    <w:rsid w:val="00694DAB"/>
    <w:rsid w:val="006964B0"/>
    <w:rsid w:val="00696C4F"/>
    <w:rsid w:val="00696DA0"/>
    <w:rsid w:val="0069758C"/>
    <w:rsid w:val="006A012D"/>
    <w:rsid w:val="006A1098"/>
    <w:rsid w:val="006A188B"/>
    <w:rsid w:val="006A21B2"/>
    <w:rsid w:val="006A33A3"/>
    <w:rsid w:val="006A344D"/>
    <w:rsid w:val="006A39AB"/>
    <w:rsid w:val="006A45EA"/>
    <w:rsid w:val="006A630B"/>
    <w:rsid w:val="006A7C03"/>
    <w:rsid w:val="006B241D"/>
    <w:rsid w:val="006B2F19"/>
    <w:rsid w:val="006B4FAA"/>
    <w:rsid w:val="006B513C"/>
    <w:rsid w:val="006B6458"/>
    <w:rsid w:val="006B6CD0"/>
    <w:rsid w:val="006B6EDE"/>
    <w:rsid w:val="006B78A3"/>
    <w:rsid w:val="006C03FD"/>
    <w:rsid w:val="006C19E0"/>
    <w:rsid w:val="006C3723"/>
    <w:rsid w:val="006C465B"/>
    <w:rsid w:val="006C509E"/>
    <w:rsid w:val="006C7E5F"/>
    <w:rsid w:val="006D0C8A"/>
    <w:rsid w:val="006D0D1D"/>
    <w:rsid w:val="006D4201"/>
    <w:rsid w:val="006D42DA"/>
    <w:rsid w:val="006D4C87"/>
    <w:rsid w:val="006D6CCD"/>
    <w:rsid w:val="006D6ED5"/>
    <w:rsid w:val="006D74B5"/>
    <w:rsid w:val="006D766E"/>
    <w:rsid w:val="006D7904"/>
    <w:rsid w:val="006E0E18"/>
    <w:rsid w:val="006E4B8F"/>
    <w:rsid w:val="006E5457"/>
    <w:rsid w:val="006F3091"/>
    <w:rsid w:val="006F40EA"/>
    <w:rsid w:val="006F6266"/>
    <w:rsid w:val="007002C1"/>
    <w:rsid w:val="00702C5A"/>
    <w:rsid w:val="007039C4"/>
    <w:rsid w:val="00704652"/>
    <w:rsid w:val="00706216"/>
    <w:rsid w:val="007159D7"/>
    <w:rsid w:val="00720F53"/>
    <w:rsid w:val="007222CF"/>
    <w:rsid w:val="0072272F"/>
    <w:rsid w:val="007232F5"/>
    <w:rsid w:val="00724074"/>
    <w:rsid w:val="00730B23"/>
    <w:rsid w:val="0073221F"/>
    <w:rsid w:val="007324C1"/>
    <w:rsid w:val="00732F0E"/>
    <w:rsid w:val="00734332"/>
    <w:rsid w:val="00737C69"/>
    <w:rsid w:val="00741743"/>
    <w:rsid w:val="007417DD"/>
    <w:rsid w:val="00744797"/>
    <w:rsid w:val="007464BB"/>
    <w:rsid w:val="00750D18"/>
    <w:rsid w:val="00751408"/>
    <w:rsid w:val="00756D62"/>
    <w:rsid w:val="007608D8"/>
    <w:rsid w:val="00762A8D"/>
    <w:rsid w:val="0076370D"/>
    <w:rsid w:val="00763A76"/>
    <w:rsid w:val="00763D87"/>
    <w:rsid w:val="0076482E"/>
    <w:rsid w:val="007669B0"/>
    <w:rsid w:val="00773649"/>
    <w:rsid w:val="007741DB"/>
    <w:rsid w:val="00774FF3"/>
    <w:rsid w:val="0077523D"/>
    <w:rsid w:val="00777FFC"/>
    <w:rsid w:val="0078007F"/>
    <w:rsid w:val="00780BE7"/>
    <w:rsid w:val="00781EAF"/>
    <w:rsid w:val="00783B13"/>
    <w:rsid w:val="00783F24"/>
    <w:rsid w:val="0078480B"/>
    <w:rsid w:val="00787D22"/>
    <w:rsid w:val="00790D12"/>
    <w:rsid w:val="00792C8E"/>
    <w:rsid w:val="007932C1"/>
    <w:rsid w:val="0079386A"/>
    <w:rsid w:val="0079461E"/>
    <w:rsid w:val="0079519A"/>
    <w:rsid w:val="00795305"/>
    <w:rsid w:val="00796A8E"/>
    <w:rsid w:val="00796F4C"/>
    <w:rsid w:val="007A196D"/>
    <w:rsid w:val="007A35FA"/>
    <w:rsid w:val="007A3E92"/>
    <w:rsid w:val="007A4518"/>
    <w:rsid w:val="007A4F17"/>
    <w:rsid w:val="007A5254"/>
    <w:rsid w:val="007A5A47"/>
    <w:rsid w:val="007A6F6C"/>
    <w:rsid w:val="007A79E0"/>
    <w:rsid w:val="007B06B7"/>
    <w:rsid w:val="007B3AC6"/>
    <w:rsid w:val="007B5026"/>
    <w:rsid w:val="007B6885"/>
    <w:rsid w:val="007C1B45"/>
    <w:rsid w:val="007C29F7"/>
    <w:rsid w:val="007C3C42"/>
    <w:rsid w:val="007C3EEC"/>
    <w:rsid w:val="007C4728"/>
    <w:rsid w:val="007C5499"/>
    <w:rsid w:val="007C5AD3"/>
    <w:rsid w:val="007C78B7"/>
    <w:rsid w:val="007D23AB"/>
    <w:rsid w:val="007D2E6A"/>
    <w:rsid w:val="007D39FE"/>
    <w:rsid w:val="007D4BE5"/>
    <w:rsid w:val="007D586B"/>
    <w:rsid w:val="007D5E0A"/>
    <w:rsid w:val="007D7C7B"/>
    <w:rsid w:val="007E3463"/>
    <w:rsid w:val="007E3D89"/>
    <w:rsid w:val="007E46AE"/>
    <w:rsid w:val="007E5210"/>
    <w:rsid w:val="007E7AFA"/>
    <w:rsid w:val="007F23CE"/>
    <w:rsid w:val="007F3C8D"/>
    <w:rsid w:val="007F4A1D"/>
    <w:rsid w:val="007F621D"/>
    <w:rsid w:val="007F6537"/>
    <w:rsid w:val="00802C43"/>
    <w:rsid w:val="0080697C"/>
    <w:rsid w:val="00810F2C"/>
    <w:rsid w:val="00816CF9"/>
    <w:rsid w:val="008205EE"/>
    <w:rsid w:val="008213E3"/>
    <w:rsid w:val="00823DAC"/>
    <w:rsid w:val="0082530E"/>
    <w:rsid w:val="00826ECD"/>
    <w:rsid w:val="00835605"/>
    <w:rsid w:val="00835A0F"/>
    <w:rsid w:val="0083646F"/>
    <w:rsid w:val="00836679"/>
    <w:rsid w:val="00837D72"/>
    <w:rsid w:val="00837F18"/>
    <w:rsid w:val="0084109B"/>
    <w:rsid w:val="008446CE"/>
    <w:rsid w:val="00844756"/>
    <w:rsid w:val="00844846"/>
    <w:rsid w:val="008457BA"/>
    <w:rsid w:val="008470B8"/>
    <w:rsid w:val="0084786F"/>
    <w:rsid w:val="00852178"/>
    <w:rsid w:val="008527BE"/>
    <w:rsid w:val="00853FF3"/>
    <w:rsid w:val="0085451D"/>
    <w:rsid w:val="008548F3"/>
    <w:rsid w:val="00854EC8"/>
    <w:rsid w:val="008603B4"/>
    <w:rsid w:val="00861579"/>
    <w:rsid w:val="008621AB"/>
    <w:rsid w:val="008622EE"/>
    <w:rsid w:val="008640BE"/>
    <w:rsid w:val="008642D7"/>
    <w:rsid w:val="0086531E"/>
    <w:rsid w:val="00865377"/>
    <w:rsid w:val="00865C17"/>
    <w:rsid w:val="00865ECA"/>
    <w:rsid w:val="00867748"/>
    <w:rsid w:val="008677CE"/>
    <w:rsid w:val="00870BAC"/>
    <w:rsid w:val="00871578"/>
    <w:rsid w:val="008726B0"/>
    <w:rsid w:val="0087322A"/>
    <w:rsid w:val="00874731"/>
    <w:rsid w:val="00875D2D"/>
    <w:rsid w:val="0088069E"/>
    <w:rsid w:val="00880CB5"/>
    <w:rsid w:val="008816F4"/>
    <w:rsid w:val="00882652"/>
    <w:rsid w:val="00884D77"/>
    <w:rsid w:val="008858E6"/>
    <w:rsid w:val="00885F41"/>
    <w:rsid w:val="00885F6C"/>
    <w:rsid w:val="0089101E"/>
    <w:rsid w:val="00891142"/>
    <w:rsid w:val="008915FF"/>
    <w:rsid w:val="0089481D"/>
    <w:rsid w:val="00895AA1"/>
    <w:rsid w:val="00896C72"/>
    <w:rsid w:val="008971FD"/>
    <w:rsid w:val="008972B3"/>
    <w:rsid w:val="008A1B6C"/>
    <w:rsid w:val="008A2500"/>
    <w:rsid w:val="008A287C"/>
    <w:rsid w:val="008A653A"/>
    <w:rsid w:val="008A7260"/>
    <w:rsid w:val="008A7B66"/>
    <w:rsid w:val="008B026E"/>
    <w:rsid w:val="008B22EF"/>
    <w:rsid w:val="008B38BA"/>
    <w:rsid w:val="008B4161"/>
    <w:rsid w:val="008B4249"/>
    <w:rsid w:val="008B6E5F"/>
    <w:rsid w:val="008B7C56"/>
    <w:rsid w:val="008C0422"/>
    <w:rsid w:val="008C04D4"/>
    <w:rsid w:val="008C1F48"/>
    <w:rsid w:val="008C23A8"/>
    <w:rsid w:val="008C2DAD"/>
    <w:rsid w:val="008C3B43"/>
    <w:rsid w:val="008C3E90"/>
    <w:rsid w:val="008C4CE3"/>
    <w:rsid w:val="008C6DFD"/>
    <w:rsid w:val="008C7168"/>
    <w:rsid w:val="008D006F"/>
    <w:rsid w:val="008D1689"/>
    <w:rsid w:val="008D2798"/>
    <w:rsid w:val="008D728A"/>
    <w:rsid w:val="008E2435"/>
    <w:rsid w:val="008E2700"/>
    <w:rsid w:val="008E38D3"/>
    <w:rsid w:val="008E473A"/>
    <w:rsid w:val="008E4BE7"/>
    <w:rsid w:val="008E4C20"/>
    <w:rsid w:val="008E7CC7"/>
    <w:rsid w:val="008F0604"/>
    <w:rsid w:val="008F3409"/>
    <w:rsid w:val="008F3AD2"/>
    <w:rsid w:val="008F3F72"/>
    <w:rsid w:val="008F53F0"/>
    <w:rsid w:val="008F78FD"/>
    <w:rsid w:val="009010E2"/>
    <w:rsid w:val="00902473"/>
    <w:rsid w:val="00902D37"/>
    <w:rsid w:val="00902F4F"/>
    <w:rsid w:val="00902F7B"/>
    <w:rsid w:val="009040AA"/>
    <w:rsid w:val="00905226"/>
    <w:rsid w:val="0090685F"/>
    <w:rsid w:val="00907393"/>
    <w:rsid w:val="009117E9"/>
    <w:rsid w:val="00911EE5"/>
    <w:rsid w:val="00913750"/>
    <w:rsid w:val="00916CB0"/>
    <w:rsid w:val="00916EBB"/>
    <w:rsid w:val="00917137"/>
    <w:rsid w:val="00920276"/>
    <w:rsid w:val="00921F7A"/>
    <w:rsid w:val="00922390"/>
    <w:rsid w:val="0092249A"/>
    <w:rsid w:val="0092264E"/>
    <w:rsid w:val="00923057"/>
    <w:rsid w:val="00923331"/>
    <w:rsid w:val="00924CEA"/>
    <w:rsid w:val="0092570A"/>
    <w:rsid w:val="00925B5B"/>
    <w:rsid w:val="00926CD2"/>
    <w:rsid w:val="00927DEE"/>
    <w:rsid w:val="00927E73"/>
    <w:rsid w:val="00930C56"/>
    <w:rsid w:val="00933F9A"/>
    <w:rsid w:val="00934AED"/>
    <w:rsid w:val="00935F51"/>
    <w:rsid w:val="00936E96"/>
    <w:rsid w:val="00941EDA"/>
    <w:rsid w:val="00944A1F"/>
    <w:rsid w:val="00945A94"/>
    <w:rsid w:val="00945C9B"/>
    <w:rsid w:val="00947B76"/>
    <w:rsid w:val="009525FF"/>
    <w:rsid w:val="00952940"/>
    <w:rsid w:val="0095397B"/>
    <w:rsid w:val="00953E6A"/>
    <w:rsid w:val="00954097"/>
    <w:rsid w:val="00955662"/>
    <w:rsid w:val="00955C4C"/>
    <w:rsid w:val="00956259"/>
    <w:rsid w:val="009567F0"/>
    <w:rsid w:val="00956D53"/>
    <w:rsid w:val="00956E37"/>
    <w:rsid w:val="00956E53"/>
    <w:rsid w:val="00961D71"/>
    <w:rsid w:val="00961E03"/>
    <w:rsid w:val="00963A67"/>
    <w:rsid w:val="009642DF"/>
    <w:rsid w:val="00965FCB"/>
    <w:rsid w:val="00966166"/>
    <w:rsid w:val="00966B7D"/>
    <w:rsid w:val="00966C76"/>
    <w:rsid w:val="00967133"/>
    <w:rsid w:val="00974046"/>
    <w:rsid w:val="00974073"/>
    <w:rsid w:val="00974513"/>
    <w:rsid w:val="00974BAE"/>
    <w:rsid w:val="00976852"/>
    <w:rsid w:val="0098056A"/>
    <w:rsid w:val="00981010"/>
    <w:rsid w:val="009824C8"/>
    <w:rsid w:val="00982805"/>
    <w:rsid w:val="009866D6"/>
    <w:rsid w:val="00987852"/>
    <w:rsid w:val="00993D85"/>
    <w:rsid w:val="009946BE"/>
    <w:rsid w:val="00994CCF"/>
    <w:rsid w:val="00995CF4"/>
    <w:rsid w:val="0099600D"/>
    <w:rsid w:val="00996031"/>
    <w:rsid w:val="00996610"/>
    <w:rsid w:val="00997A02"/>
    <w:rsid w:val="009A08DF"/>
    <w:rsid w:val="009A64C4"/>
    <w:rsid w:val="009B724B"/>
    <w:rsid w:val="009C1E3A"/>
    <w:rsid w:val="009C20D0"/>
    <w:rsid w:val="009C219D"/>
    <w:rsid w:val="009C2FE7"/>
    <w:rsid w:val="009C4614"/>
    <w:rsid w:val="009C48F0"/>
    <w:rsid w:val="009C72E1"/>
    <w:rsid w:val="009C7D16"/>
    <w:rsid w:val="009D23EF"/>
    <w:rsid w:val="009D426D"/>
    <w:rsid w:val="009D7F7A"/>
    <w:rsid w:val="009E1D8F"/>
    <w:rsid w:val="009E1EC0"/>
    <w:rsid w:val="009E5999"/>
    <w:rsid w:val="009E5F8D"/>
    <w:rsid w:val="009E6C4F"/>
    <w:rsid w:val="009E70E6"/>
    <w:rsid w:val="009F0CB0"/>
    <w:rsid w:val="009F0EFA"/>
    <w:rsid w:val="009F11CF"/>
    <w:rsid w:val="009F1279"/>
    <w:rsid w:val="009F5AD0"/>
    <w:rsid w:val="009F68B5"/>
    <w:rsid w:val="009F7482"/>
    <w:rsid w:val="009F7E5B"/>
    <w:rsid w:val="00A00ED2"/>
    <w:rsid w:val="00A01E3A"/>
    <w:rsid w:val="00A01F16"/>
    <w:rsid w:val="00A03A86"/>
    <w:rsid w:val="00A0449E"/>
    <w:rsid w:val="00A05B1C"/>
    <w:rsid w:val="00A06E05"/>
    <w:rsid w:val="00A07847"/>
    <w:rsid w:val="00A12857"/>
    <w:rsid w:val="00A16742"/>
    <w:rsid w:val="00A16DCD"/>
    <w:rsid w:val="00A2274B"/>
    <w:rsid w:val="00A24811"/>
    <w:rsid w:val="00A251C7"/>
    <w:rsid w:val="00A26996"/>
    <w:rsid w:val="00A274FC"/>
    <w:rsid w:val="00A302C0"/>
    <w:rsid w:val="00A309AC"/>
    <w:rsid w:val="00A32AA6"/>
    <w:rsid w:val="00A33C7F"/>
    <w:rsid w:val="00A35945"/>
    <w:rsid w:val="00A36BDB"/>
    <w:rsid w:val="00A4014F"/>
    <w:rsid w:val="00A4190F"/>
    <w:rsid w:val="00A42868"/>
    <w:rsid w:val="00A42CD6"/>
    <w:rsid w:val="00A44A1E"/>
    <w:rsid w:val="00A4565A"/>
    <w:rsid w:val="00A508D7"/>
    <w:rsid w:val="00A50ED5"/>
    <w:rsid w:val="00A51694"/>
    <w:rsid w:val="00A52CCD"/>
    <w:rsid w:val="00A545B2"/>
    <w:rsid w:val="00A554A0"/>
    <w:rsid w:val="00A56356"/>
    <w:rsid w:val="00A5745C"/>
    <w:rsid w:val="00A57583"/>
    <w:rsid w:val="00A60D77"/>
    <w:rsid w:val="00A653A2"/>
    <w:rsid w:val="00A65AF6"/>
    <w:rsid w:val="00A675FD"/>
    <w:rsid w:val="00A719F9"/>
    <w:rsid w:val="00A71BB0"/>
    <w:rsid w:val="00A71E19"/>
    <w:rsid w:val="00A736E9"/>
    <w:rsid w:val="00A73701"/>
    <w:rsid w:val="00A73895"/>
    <w:rsid w:val="00A740E8"/>
    <w:rsid w:val="00A74979"/>
    <w:rsid w:val="00A7696A"/>
    <w:rsid w:val="00A769C4"/>
    <w:rsid w:val="00A778E1"/>
    <w:rsid w:val="00A77FFB"/>
    <w:rsid w:val="00A81690"/>
    <w:rsid w:val="00A83C88"/>
    <w:rsid w:val="00A856D1"/>
    <w:rsid w:val="00A875FF"/>
    <w:rsid w:val="00A90C30"/>
    <w:rsid w:val="00A90C67"/>
    <w:rsid w:val="00A91D04"/>
    <w:rsid w:val="00A92CA7"/>
    <w:rsid w:val="00A95D06"/>
    <w:rsid w:val="00AA4BEA"/>
    <w:rsid w:val="00AA5215"/>
    <w:rsid w:val="00AA5A14"/>
    <w:rsid w:val="00AA7474"/>
    <w:rsid w:val="00AB0A72"/>
    <w:rsid w:val="00AB12BE"/>
    <w:rsid w:val="00AB2280"/>
    <w:rsid w:val="00AB546D"/>
    <w:rsid w:val="00AC1F01"/>
    <w:rsid w:val="00AC3BFA"/>
    <w:rsid w:val="00AC3DDA"/>
    <w:rsid w:val="00AC6D46"/>
    <w:rsid w:val="00AD03BA"/>
    <w:rsid w:val="00AD0E4B"/>
    <w:rsid w:val="00AD3007"/>
    <w:rsid w:val="00AD4C00"/>
    <w:rsid w:val="00AD4D03"/>
    <w:rsid w:val="00AD64D8"/>
    <w:rsid w:val="00AD7301"/>
    <w:rsid w:val="00AE00C7"/>
    <w:rsid w:val="00AE0747"/>
    <w:rsid w:val="00AE0AB1"/>
    <w:rsid w:val="00AE1D5D"/>
    <w:rsid w:val="00AE6470"/>
    <w:rsid w:val="00AE6AFF"/>
    <w:rsid w:val="00AF0A9D"/>
    <w:rsid w:val="00AF52A7"/>
    <w:rsid w:val="00AF6C82"/>
    <w:rsid w:val="00AF7191"/>
    <w:rsid w:val="00AF7784"/>
    <w:rsid w:val="00AF7885"/>
    <w:rsid w:val="00B056D3"/>
    <w:rsid w:val="00B07BCC"/>
    <w:rsid w:val="00B10B5D"/>
    <w:rsid w:val="00B13D70"/>
    <w:rsid w:val="00B150ED"/>
    <w:rsid w:val="00B16B46"/>
    <w:rsid w:val="00B170A3"/>
    <w:rsid w:val="00B17973"/>
    <w:rsid w:val="00B213FD"/>
    <w:rsid w:val="00B2334D"/>
    <w:rsid w:val="00B24A17"/>
    <w:rsid w:val="00B25FD4"/>
    <w:rsid w:val="00B27A11"/>
    <w:rsid w:val="00B27C06"/>
    <w:rsid w:val="00B30A87"/>
    <w:rsid w:val="00B34385"/>
    <w:rsid w:val="00B34801"/>
    <w:rsid w:val="00B35AF2"/>
    <w:rsid w:val="00B377FF"/>
    <w:rsid w:val="00B37801"/>
    <w:rsid w:val="00B434BE"/>
    <w:rsid w:val="00B44C9A"/>
    <w:rsid w:val="00B4752D"/>
    <w:rsid w:val="00B50FDF"/>
    <w:rsid w:val="00B518D4"/>
    <w:rsid w:val="00B51DB1"/>
    <w:rsid w:val="00B51E41"/>
    <w:rsid w:val="00B52F52"/>
    <w:rsid w:val="00B53945"/>
    <w:rsid w:val="00B54BC7"/>
    <w:rsid w:val="00B61B0D"/>
    <w:rsid w:val="00B62DB0"/>
    <w:rsid w:val="00B63FF7"/>
    <w:rsid w:val="00B64723"/>
    <w:rsid w:val="00B651CE"/>
    <w:rsid w:val="00B6608A"/>
    <w:rsid w:val="00B67B92"/>
    <w:rsid w:val="00B704AF"/>
    <w:rsid w:val="00B718F1"/>
    <w:rsid w:val="00B72250"/>
    <w:rsid w:val="00B746E3"/>
    <w:rsid w:val="00B75B89"/>
    <w:rsid w:val="00B7601D"/>
    <w:rsid w:val="00B7603D"/>
    <w:rsid w:val="00B76E81"/>
    <w:rsid w:val="00B80137"/>
    <w:rsid w:val="00B8044B"/>
    <w:rsid w:val="00B81452"/>
    <w:rsid w:val="00B814A0"/>
    <w:rsid w:val="00B8270B"/>
    <w:rsid w:val="00B82AC7"/>
    <w:rsid w:val="00B85869"/>
    <w:rsid w:val="00B858B2"/>
    <w:rsid w:val="00B8709A"/>
    <w:rsid w:val="00B91450"/>
    <w:rsid w:val="00B91FB2"/>
    <w:rsid w:val="00B93E9A"/>
    <w:rsid w:val="00B9584B"/>
    <w:rsid w:val="00B96A2B"/>
    <w:rsid w:val="00B9725E"/>
    <w:rsid w:val="00BA09DC"/>
    <w:rsid w:val="00BA0F90"/>
    <w:rsid w:val="00BA41CF"/>
    <w:rsid w:val="00BA4E0D"/>
    <w:rsid w:val="00BA50E0"/>
    <w:rsid w:val="00BA6C46"/>
    <w:rsid w:val="00BA76A8"/>
    <w:rsid w:val="00BB1AD4"/>
    <w:rsid w:val="00BB2267"/>
    <w:rsid w:val="00BB23BC"/>
    <w:rsid w:val="00BB3145"/>
    <w:rsid w:val="00BB4116"/>
    <w:rsid w:val="00BC204E"/>
    <w:rsid w:val="00BC2739"/>
    <w:rsid w:val="00BC2DFF"/>
    <w:rsid w:val="00BC44EE"/>
    <w:rsid w:val="00BC5B3D"/>
    <w:rsid w:val="00BC6758"/>
    <w:rsid w:val="00BD0908"/>
    <w:rsid w:val="00BD0DCE"/>
    <w:rsid w:val="00BD0F96"/>
    <w:rsid w:val="00BD1D2F"/>
    <w:rsid w:val="00BD2588"/>
    <w:rsid w:val="00BD2782"/>
    <w:rsid w:val="00BD33F2"/>
    <w:rsid w:val="00BD3825"/>
    <w:rsid w:val="00BD425F"/>
    <w:rsid w:val="00BD54BF"/>
    <w:rsid w:val="00BD6DB7"/>
    <w:rsid w:val="00BD7175"/>
    <w:rsid w:val="00BD7290"/>
    <w:rsid w:val="00BD73CA"/>
    <w:rsid w:val="00BE0DC8"/>
    <w:rsid w:val="00BE1367"/>
    <w:rsid w:val="00BE6CC7"/>
    <w:rsid w:val="00BE79D1"/>
    <w:rsid w:val="00BF13A7"/>
    <w:rsid w:val="00BF4169"/>
    <w:rsid w:val="00BF45F4"/>
    <w:rsid w:val="00BF472E"/>
    <w:rsid w:val="00BF7759"/>
    <w:rsid w:val="00BF7DFA"/>
    <w:rsid w:val="00C008B8"/>
    <w:rsid w:val="00C03498"/>
    <w:rsid w:val="00C03CD1"/>
    <w:rsid w:val="00C05556"/>
    <w:rsid w:val="00C0657F"/>
    <w:rsid w:val="00C07058"/>
    <w:rsid w:val="00C11584"/>
    <w:rsid w:val="00C12789"/>
    <w:rsid w:val="00C15933"/>
    <w:rsid w:val="00C167E7"/>
    <w:rsid w:val="00C20B4C"/>
    <w:rsid w:val="00C20CC5"/>
    <w:rsid w:val="00C21ABA"/>
    <w:rsid w:val="00C2494E"/>
    <w:rsid w:val="00C24D28"/>
    <w:rsid w:val="00C25D55"/>
    <w:rsid w:val="00C2621E"/>
    <w:rsid w:val="00C27D47"/>
    <w:rsid w:val="00C307BD"/>
    <w:rsid w:val="00C313B7"/>
    <w:rsid w:val="00C33DA4"/>
    <w:rsid w:val="00C35789"/>
    <w:rsid w:val="00C404B6"/>
    <w:rsid w:val="00C42166"/>
    <w:rsid w:val="00C421CA"/>
    <w:rsid w:val="00C433B8"/>
    <w:rsid w:val="00C4446E"/>
    <w:rsid w:val="00C449DD"/>
    <w:rsid w:val="00C45124"/>
    <w:rsid w:val="00C45547"/>
    <w:rsid w:val="00C47D17"/>
    <w:rsid w:val="00C51E36"/>
    <w:rsid w:val="00C610D2"/>
    <w:rsid w:val="00C61226"/>
    <w:rsid w:val="00C643AB"/>
    <w:rsid w:val="00C64C5A"/>
    <w:rsid w:val="00C65EDC"/>
    <w:rsid w:val="00C70D28"/>
    <w:rsid w:val="00C72EF9"/>
    <w:rsid w:val="00C74750"/>
    <w:rsid w:val="00C819A4"/>
    <w:rsid w:val="00C83F3A"/>
    <w:rsid w:val="00C84B2D"/>
    <w:rsid w:val="00C85CCE"/>
    <w:rsid w:val="00C86D8D"/>
    <w:rsid w:val="00C870AF"/>
    <w:rsid w:val="00C903D3"/>
    <w:rsid w:val="00C91CCF"/>
    <w:rsid w:val="00C926AF"/>
    <w:rsid w:val="00C96768"/>
    <w:rsid w:val="00CA0404"/>
    <w:rsid w:val="00CA07E4"/>
    <w:rsid w:val="00CA605D"/>
    <w:rsid w:val="00CA72F7"/>
    <w:rsid w:val="00CB0E45"/>
    <w:rsid w:val="00CB1B5C"/>
    <w:rsid w:val="00CB2F01"/>
    <w:rsid w:val="00CB3FDC"/>
    <w:rsid w:val="00CB6DB9"/>
    <w:rsid w:val="00CC1C6D"/>
    <w:rsid w:val="00CC4AF3"/>
    <w:rsid w:val="00CC4FBE"/>
    <w:rsid w:val="00CC5B87"/>
    <w:rsid w:val="00CD2501"/>
    <w:rsid w:val="00CD2939"/>
    <w:rsid w:val="00CD362B"/>
    <w:rsid w:val="00CD39B2"/>
    <w:rsid w:val="00CD3B11"/>
    <w:rsid w:val="00CD5920"/>
    <w:rsid w:val="00CD5CFD"/>
    <w:rsid w:val="00CD5D29"/>
    <w:rsid w:val="00CD634C"/>
    <w:rsid w:val="00CD6651"/>
    <w:rsid w:val="00CD7F8F"/>
    <w:rsid w:val="00CE0A8D"/>
    <w:rsid w:val="00CE1B29"/>
    <w:rsid w:val="00CE3C21"/>
    <w:rsid w:val="00CE5031"/>
    <w:rsid w:val="00CF08B0"/>
    <w:rsid w:val="00CF2576"/>
    <w:rsid w:val="00CF5C85"/>
    <w:rsid w:val="00CF734C"/>
    <w:rsid w:val="00D011F3"/>
    <w:rsid w:val="00D01F0D"/>
    <w:rsid w:val="00D041FF"/>
    <w:rsid w:val="00D048A7"/>
    <w:rsid w:val="00D05C08"/>
    <w:rsid w:val="00D11C1F"/>
    <w:rsid w:val="00D136F0"/>
    <w:rsid w:val="00D13E41"/>
    <w:rsid w:val="00D151CD"/>
    <w:rsid w:val="00D20003"/>
    <w:rsid w:val="00D244DC"/>
    <w:rsid w:val="00D269E0"/>
    <w:rsid w:val="00D26B2C"/>
    <w:rsid w:val="00D321A3"/>
    <w:rsid w:val="00D379B4"/>
    <w:rsid w:val="00D40316"/>
    <w:rsid w:val="00D413BF"/>
    <w:rsid w:val="00D426B1"/>
    <w:rsid w:val="00D43BD4"/>
    <w:rsid w:val="00D44AD6"/>
    <w:rsid w:val="00D4675C"/>
    <w:rsid w:val="00D5025C"/>
    <w:rsid w:val="00D513B3"/>
    <w:rsid w:val="00D53CC4"/>
    <w:rsid w:val="00D5404C"/>
    <w:rsid w:val="00D5488B"/>
    <w:rsid w:val="00D54B65"/>
    <w:rsid w:val="00D54F3F"/>
    <w:rsid w:val="00D558BA"/>
    <w:rsid w:val="00D60660"/>
    <w:rsid w:val="00D66906"/>
    <w:rsid w:val="00D703FE"/>
    <w:rsid w:val="00D7165F"/>
    <w:rsid w:val="00D73E22"/>
    <w:rsid w:val="00D750EB"/>
    <w:rsid w:val="00D76919"/>
    <w:rsid w:val="00D77BBA"/>
    <w:rsid w:val="00D82F6C"/>
    <w:rsid w:val="00D83198"/>
    <w:rsid w:val="00D832D9"/>
    <w:rsid w:val="00D842A1"/>
    <w:rsid w:val="00D84F53"/>
    <w:rsid w:val="00D86EAE"/>
    <w:rsid w:val="00D8722F"/>
    <w:rsid w:val="00D936C9"/>
    <w:rsid w:val="00D94044"/>
    <w:rsid w:val="00D94AF5"/>
    <w:rsid w:val="00D95855"/>
    <w:rsid w:val="00D97C91"/>
    <w:rsid w:val="00DA00A2"/>
    <w:rsid w:val="00DA02C2"/>
    <w:rsid w:val="00DA26DF"/>
    <w:rsid w:val="00DA2FC4"/>
    <w:rsid w:val="00DA51BA"/>
    <w:rsid w:val="00DA58BE"/>
    <w:rsid w:val="00DA6EC8"/>
    <w:rsid w:val="00DA7E22"/>
    <w:rsid w:val="00DB0521"/>
    <w:rsid w:val="00DB32C6"/>
    <w:rsid w:val="00DB4836"/>
    <w:rsid w:val="00DB537B"/>
    <w:rsid w:val="00DC15F1"/>
    <w:rsid w:val="00DC220C"/>
    <w:rsid w:val="00DD0473"/>
    <w:rsid w:val="00DD0B1F"/>
    <w:rsid w:val="00DD1311"/>
    <w:rsid w:val="00DD281C"/>
    <w:rsid w:val="00DD3E52"/>
    <w:rsid w:val="00DD53BD"/>
    <w:rsid w:val="00DD7752"/>
    <w:rsid w:val="00DE02F3"/>
    <w:rsid w:val="00DE08AB"/>
    <w:rsid w:val="00DE0C29"/>
    <w:rsid w:val="00DE0E21"/>
    <w:rsid w:val="00DE5588"/>
    <w:rsid w:val="00DF4368"/>
    <w:rsid w:val="00E02BE4"/>
    <w:rsid w:val="00E049B4"/>
    <w:rsid w:val="00E0514B"/>
    <w:rsid w:val="00E05A3F"/>
    <w:rsid w:val="00E05FB1"/>
    <w:rsid w:val="00E06DAD"/>
    <w:rsid w:val="00E103B0"/>
    <w:rsid w:val="00E1107B"/>
    <w:rsid w:val="00E147DD"/>
    <w:rsid w:val="00E17738"/>
    <w:rsid w:val="00E17BFB"/>
    <w:rsid w:val="00E20DD6"/>
    <w:rsid w:val="00E21614"/>
    <w:rsid w:val="00E23832"/>
    <w:rsid w:val="00E244DB"/>
    <w:rsid w:val="00E2569F"/>
    <w:rsid w:val="00E2744C"/>
    <w:rsid w:val="00E33FE5"/>
    <w:rsid w:val="00E34A2A"/>
    <w:rsid w:val="00E35AF0"/>
    <w:rsid w:val="00E362B3"/>
    <w:rsid w:val="00E37EE7"/>
    <w:rsid w:val="00E40626"/>
    <w:rsid w:val="00E422E3"/>
    <w:rsid w:val="00E43688"/>
    <w:rsid w:val="00E456C6"/>
    <w:rsid w:val="00E462D7"/>
    <w:rsid w:val="00E47B5C"/>
    <w:rsid w:val="00E47B6B"/>
    <w:rsid w:val="00E5289B"/>
    <w:rsid w:val="00E52E9E"/>
    <w:rsid w:val="00E535FA"/>
    <w:rsid w:val="00E53657"/>
    <w:rsid w:val="00E56BA7"/>
    <w:rsid w:val="00E56DD0"/>
    <w:rsid w:val="00E5771D"/>
    <w:rsid w:val="00E62382"/>
    <w:rsid w:val="00E63FCD"/>
    <w:rsid w:val="00E64CFC"/>
    <w:rsid w:val="00E64F8A"/>
    <w:rsid w:val="00E66B96"/>
    <w:rsid w:val="00E67750"/>
    <w:rsid w:val="00E677E7"/>
    <w:rsid w:val="00E71190"/>
    <w:rsid w:val="00E75CA7"/>
    <w:rsid w:val="00E763F4"/>
    <w:rsid w:val="00E76480"/>
    <w:rsid w:val="00E76523"/>
    <w:rsid w:val="00E76A46"/>
    <w:rsid w:val="00E76B5C"/>
    <w:rsid w:val="00E76E00"/>
    <w:rsid w:val="00E836AF"/>
    <w:rsid w:val="00E845AA"/>
    <w:rsid w:val="00E85601"/>
    <w:rsid w:val="00E85E5F"/>
    <w:rsid w:val="00E85EF4"/>
    <w:rsid w:val="00E86E91"/>
    <w:rsid w:val="00E91BB8"/>
    <w:rsid w:val="00E94566"/>
    <w:rsid w:val="00E94860"/>
    <w:rsid w:val="00E94C70"/>
    <w:rsid w:val="00E97620"/>
    <w:rsid w:val="00EA19C9"/>
    <w:rsid w:val="00EA26E0"/>
    <w:rsid w:val="00EA63A7"/>
    <w:rsid w:val="00EA659F"/>
    <w:rsid w:val="00EB0DA4"/>
    <w:rsid w:val="00EB1E10"/>
    <w:rsid w:val="00EB364F"/>
    <w:rsid w:val="00EB7547"/>
    <w:rsid w:val="00EB7684"/>
    <w:rsid w:val="00EC008D"/>
    <w:rsid w:val="00EC11CB"/>
    <w:rsid w:val="00EC2B23"/>
    <w:rsid w:val="00EC4A17"/>
    <w:rsid w:val="00EC744D"/>
    <w:rsid w:val="00ED0461"/>
    <w:rsid w:val="00ED10BE"/>
    <w:rsid w:val="00ED1D3A"/>
    <w:rsid w:val="00ED256B"/>
    <w:rsid w:val="00ED2C11"/>
    <w:rsid w:val="00ED5869"/>
    <w:rsid w:val="00ED66BF"/>
    <w:rsid w:val="00EE0440"/>
    <w:rsid w:val="00EE08CB"/>
    <w:rsid w:val="00EE08E8"/>
    <w:rsid w:val="00EE17B5"/>
    <w:rsid w:val="00EE1B2F"/>
    <w:rsid w:val="00EE6196"/>
    <w:rsid w:val="00EE77A2"/>
    <w:rsid w:val="00EF01D7"/>
    <w:rsid w:val="00EF187D"/>
    <w:rsid w:val="00EF31CF"/>
    <w:rsid w:val="00EF478C"/>
    <w:rsid w:val="00EF4C0F"/>
    <w:rsid w:val="00EF5557"/>
    <w:rsid w:val="00EF55DC"/>
    <w:rsid w:val="00EF63BE"/>
    <w:rsid w:val="00EF7692"/>
    <w:rsid w:val="00F0326E"/>
    <w:rsid w:val="00F12DCE"/>
    <w:rsid w:val="00F12FAD"/>
    <w:rsid w:val="00F13B57"/>
    <w:rsid w:val="00F141EC"/>
    <w:rsid w:val="00F142CB"/>
    <w:rsid w:val="00F156D6"/>
    <w:rsid w:val="00F16A17"/>
    <w:rsid w:val="00F2064A"/>
    <w:rsid w:val="00F20E96"/>
    <w:rsid w:val="00F22132"/>
    <w:rsid w:val="00F260C9"/>
    <w:rsid w:val="00F272B2"/>
    <w:rsid w:val="00F30B11"/>
    <w:rsid w:val="00F31418"/>
    <w:rsid w:val="00F32DEE"/>
    <w:rsid w:val="00F34519"/>
    <w:rsid w:val="00F346BD"/>
    <w:rsid w:val="00F35998"/>
    <w:rsid w:val="00F44C19"/>
    <w:rsid w:val="00F44F26"/>
    <w:rsid w:val="00F455C2"/>
    <w:rsid w:val="00F45C50"/>
    <w:rsid w:val="00F45C7C"/>
    <w:rsid w:val="00F5385D"/>
    <w:rsid w:val="00F5477C"/>
    <w:rsid w:val="00F54CC3"/>
    <w:rsid w:val="00F562FE"/>
    <w:rsid w:val="00F573A4"/>
    <w:rsid w:val="00F573BA"/>
    <w:rsid w:val="00F61009"/>
    <w:rsid w:val="00F615FE"/>
    <w:rsid w:val="00F64B07"/>
    <w:rsid w:val="00F67DD9"/>
    <w:rsid w:val="00F7009B"/>
    <w:rsid w:val="00F70C0E"/>
    <w:rsid w:val="00F7137F"/>
    <w:rsid w:val="00F724E2"/>
    <w:rsid w:val="00F727BE"/>
    <w:rsid w:val="00F73835"/>
    <w:rsid w:val="00F742F9"/>
    <w:rsid w:val="00F7764C"/>
    <w:rsid w:val="00F819EA"/>
    <w:rsid w:val="00F82744"/>
    <w:rsid w:val="00F828C2"/>
    <w:rsid w:val="00F834F2"/>
    <w:rsid w:val="00F846E7"/>
    <w:rsid w:val="00F8507F"/>
    <w:rsid w:val="00F864B6"/>
    <w:rsid w:val="00F90544"/>
    <w:rsid w:val="00F9238A"/>
    <w:rsid w:val="00F9421B"/>
    <w:rsid w:val="00F94FF9"/>
    <w:rsid w:val="00F95870"/>
    <w:rsid w:val="00F95D36"/>
    <w:rsid w:val="00F976F1"/>
    <w:rsid w:val="00F9791A"/>
    <w:rsid w:val="00FA02D8"/>
    <w:rsid w:val="00FA2355"/>
    <w:rsid w:val="00FA2933"/>
    <w:rsid w:val="00FA3A98"/>
    <w:rsid w:val="00FB03AC"/>
    <w:rsid w:val="00FB05EA"/>
    <w:rsid w:val="00FB166C"/>
    <w:rsid w:val="00FB2AE2"/>
    <w:rsid w:val="00FB2BAB"/>
    <w:rsid w:val="00FB772F"/>
    <w:rsid w:val="00FC06E9"/>
    <w:rsid w:val="00FC2FBA"/>
    <w:rsid w:val="00FC3370"/>
    <w:rsid w:val="00FC3C0B"/>
    <w:rsid w:val="00FC43F4"/>
    <w:rsid w:val="00FC527B"/>
    <w:rsid w:val="00FC6097"/>
    <w:rsid w:val="00FC62E0"/>
    <w:rsid w:val="00FD0A8D"/>
    <w:rsid w:val="00FD1BBC"/>
    <w:rsid w:val="00FD4657"/>
    <w:rsid w:val="00FD78CF"/>
    <w:rsid w:val="00FE0CE3"/>
    <w:rsid w:val="00FE49B3"/>
    <w:rsid w:val="00FE6063"/>
    <w:rsid w:val="00FE7FE9"/>
    <w:rsid w:val="00FF1915"/>
    <w:rsid w:val="00FF1C46"/>
    <w:rsid w:val="00FF2081"/>
    <w:rsid w:val="00FF409B"/>
    <w:rsid w:val="00FF5537"/>
    <w:rsid w:val="00FF6478"/>
    <w:rsid w:val="00FF6DB5"/>
    <w:rsid w:val="00FF73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A0313"/>
  <w15:docId w15:val="{57AA5DB1-4CDE-404D-9D27-4038A104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40AA"/>
    <w:rPr>
      <w:sz w:val="24"/>
      <w:szCs w:val="24"/>
    </w:rPr>
  </w:style>
  <w:style w:type="paragraph" w:styleId="Heading4">
    <w:name w:val="heading 4"/>
    <w:basedOn w:val="Normal"/>
    <w:next w:val="Normal"/>
    <w:link w:val="Heading4Char"/>
    <w:qFormat/>
    <w:rsid w:val="00AD3007"/>
    <w:pPr>
      <w:keepNext/>
      <w:outlineLvl w:val="3"/>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r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M">
    <w:name w:val="__S_M"/>
    <w:basedOn w:val="Normal"/>
    <w:next w:val="Normal"/>
    <w:rsid w:val="00546F5D"/>
    <w:pPr>
      <w:keepNext/>
      <w:keepLines/>
      <w:tabs>
        <w:tab w:val="right" w:leader="dot" w:pos="360"/>
      </w:tabs>
      <w:suppressAutoHyphens/>
      <w:spacing w:line="390" w:lineRule="exact"/>
      <w:ind w:left="1267" w:right="1267"/>
      <w:outlineLvl w:val="0"/>
    </w:pPr>
    <w:rPr>
      <w:b/>
      <w:spacing w:val="-4"/>
      <w:w w:val="98"/>
      <w:kern w:val="14"/>
      <w:sz w:val="40"/>
      <w:szCs w:val="2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BalloonText">
    <w:name w:val="Balloon Text"/>
    <w:basedOn w:val="Normal"/>
    <w:semiHidden/>
    <w:rsid w:val="00546F5D"/>
    <w:pPr>
      <w:suppressAutoHyphens/>
      <w:spacing w:line="240" w:lineRule="exact"/>
    </w:pPr>
    <w:rPr>
      <w:rFonts w:ascii="Tahoma" w:hAnsi="Tahoma" w:cs="Tahoma"/>
      <w:spacing w:val="4"/>
      <w:w w:val="103"/>
      <w:kern w:val="14"/>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uppressAutoHyphens/>
      <w:spacing w:line="210" w:lineRule="exact"/>
      <w:ind w:left="475" w:hanging="475"/>
    </w:pPr>
    <w:rPr>
      <w:spacing w:val="5"/>
      <w:w w:val="103"/>
      <w:kern w:val="14"/>
      <w:sz w:val="17"/>
      <w:szCs w:val="20"/>
    </w:rPr>
  </w:style>
  <w:style w:type="paragraph" w:styleId="EndnoteText">
    <w:name w:val="endnote text"/>
    <w:basedOn w:val="FootnoteText"/>
    <w:semiHidden/>
    <w:rsid w:val="00546F5D"/>
  </w:style>
  <w:style w:type="paragraph" w:styleId="Footer">
    <w:name w:val="footer"/>
    <w:link w:val="FooterCha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uppressAutoHyphens/>
      <w:spacing w:line="210" w:lineRule="exact"/>
    </w:pPr>
    <w:rPr>
      <w:spacing w:val="5"/>
      <w:w w:val="104"/>
      <w:kern w:val="14"/>
      <w:sz w:val="17"/>
      <w:szCs w:val="20"/>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rPr>
      <w:rFonts w:ascii="Courier New" w:eastAsia="Times New Roman" w:hAnsi="Courier New"/>
      <w:sz w:val="20"/>
      <w:szCs w:val="20"/>
      <w:lang w:eastAsia="en-GB"/>
    </w:rPr>
  </w:style>
  <w:style w:type="table" w:styleId="TableGrid">
    <w:name w:val="Table Grid"/>
    <w:basedOn w:val="TableNormal"/>
    <w:uiPriority w:val="3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pPr>
      <w:suppressAutoHyphens/>
      <w:spacing w:line="240" w:lineRule="exact"/>
    </w:pPr>
    <w:rPr>
      <w:spacing w:val="4"/>
      <w:w w:val="103"/>
      <w:kern w:val="14"/>
      <w:sz w:val="20"/>
      <w:szCs w:val="20"/>
    </w:rPr>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aliases w:val="Light Grid - Accent 31,List Paragraph (numbered (a)),WB Para,List Paragraph1,Lapis Bulleted List,Dot pt,F5 List Paragraph,No Spacing1,List Paragraph Char Char Char,Indicator Text,Numbered Para 1,List Paragraph12,Bullet Points,MAIN CONTENT"/>
    <w:basedOn w:val="Normal"/>
    <w:link w:val="LightGrid-Accent3Char"/>
    <w:uiPriority w:val="34"/>
    <w:qFormat/>
    <w:rsid w:val="00ED10BE"/>
    <w:pPr>
      <w:numPr>
        <w:numId w:val="2"/>
      </w:numPr>
      <w:tabs>
        <w:tab w:val="left" w:pos="2217"/>
      </w:tabs>
      <w:suppressAutoHyphens/>
      <w:spacing w:after="120" w:line="240" w:lineRule="atLeast"/>
      <w:ind w:left="1743" w:right="1267" w:hanging="130"/>
      <w:jc w:val="both"/>
    </w:pPr>
    <w:rPr>
      <w:spacing w:val="4"/>
      <w:w w:val="103"/>
      <w:kern w:val="14"/>
      <w:sz w:val="20"/>
      <w:szCs w:val="20"/>
    </w:rPr>
  </w:style>
  <w:style w:type="paragraph" w:customStyle="1" w:styleId="Bullet2">
    <w:name w:val="Bullet 2"/>
    <w:basedOn w:val="Normal"/>
    <w:qFormat/>
    <w:rsid w:val="00792C8E"/>
    <w:pPr>
      <w:numPr>
        <w:numId w:val="1"/>
      </w:numPr>
      <w:tabs>
        <w:tab w:val="left" w:pos="2217"/>
      </w:tabs>
      <w:suppressAutoHyphens/>
      <w:spacing w:after="120" w:line="240" w:lineRule="exact"/>
      <w:ind w:left="2217" w:right="1264" w:hanging="130"/>
      <w:jc w:val="both"/>
    </w:pPr>
    <w:rPr>
      <w:spacing w:val="4"/>
      <w:w w:val="103"/>
      <w:kern w:val="14"/>
      <w:sz w:val="20"/>
      <w:szCs w:val="20"/>
    </w:rPr>
  </w:style>
  <w:style w:type="paragraph" w:styleId="CommentText">
    <w:name w:val="annotation text"/>
    <w:basedOn w:val="Normal"/>
    <w:link w:val="CommentTextChar"/>
    <w:rsid w:val="00E85E5F"/>
    <w:pPr>
      <w:suppressAutoHyphens/>
    </w:pPr>
    <w:rPr>
      <w:spacing w:val="4"/>
      <w:w w:val="103"/>
      <w:kern w:val="14"/>
      <w:sz w:val="20"/>
      <w:szCs w:val="20"/>
    </w:rPr>
  </w:style>
  <w:style w:type="character" w:customStyle="1" w:styleId="CommentTextChar">
    <w:name w:val="Comment Text Char"/>
    <w:basedOn w:val="DefaultParagraphFont"/>
    <w:link w:val="CommentText"/>
    <w:rsid w:val="00E85E5F"/>
    <w:rPr>
      <w:spacing w:val="4"/>
      <w:w w:val="103"/>
      <w:kern w:val="14"/>
      <w:lang w:val="en-GB"/>
    </w:rPr>
  </w:style>
  <w:style w:type="paragraph" w:styleId="CommentSubject">
    <w:name w:val="annotation subject"/>
    <w:basedOn w:val="CommentText"/>
    <w:next w:val="CommentText"/>
    <w:link w:val="CommentSubjectChar"/>
    <w:rsid w:val="00E85E5F"/>
    <w:rPr>
      <w:b/>
      <w:bCs/>
    </w:rPr>
  </w:style>
  <w:style w:type="character" w:customStyle="1" w:styleId="CommentSubjectChar">
    <w:name w:val="Comment Subject Char"/>
    <w:basedOn w:val="CommentTextChar"/>
    <w:link w:val="CommentSubject"/>
    <w:rsid w:val="00E85E5F"/>
    <w:rPr>
      <w:b/>
      <w:bCs/>
      <w:spacing w:val="4"/>
      <w:w w:val="103"/>
      <w:kern w:val="14"/>
      <w:lang w:val="en-GB"/>
    </w:rPr>
  </w:style>
  <w:style w:type="character" w:customStyle="1" w:styleId="Heading4Char">
    <w:name w:val="Heading 4 Char"/>
    <w:basedOn w:val="DefaultParagraphFont"/>
    <w:link w:val="Heading4"/>
    <w:rsid w:val="00AD3007"/>
    <w:rPr>
      <w:rFonts w:eastAsia="Times New Roman"/>
      <w:b/>
    </w:rPr>
  </w:style>
  <w:style w:type="character" w:customStyle="1" w:styleId="LightGrid-Accent3Char">
    <w:name w:val="Light Grid - Accent 3 Char"/>
    <w:aliases w:val="List Paragraph (numbered (a)) Char,WB Para Char,List Paragraph1 Char,Lapis Bulleted List Char,Dot pt Char,F5 List Paragraph Char,No Spacing1 Char,List Paragraph Char Char Char Char,Indicator Text Char,Numbered Para 1 Char"/>
    <w:link w:val="Bullet1"/>
    <w:uiPriority w:val="34"/>
    <w:qFormat/>
    <w:rsid w:val="00184294"/>
    <w:rPr>
      <w:spacing w:val="4"/>
      <w:w w:val="103"/>
      <w:kern w:val="14"/>
      <w:lang w:val="en-GB"/>
    </w:rPr>
  </w:style>
  <w:style w:type="paragraph" w:styleId="ListParagraph">
    <w:name w:val="List Paragraph"/>
    <w:aliases w:val="Bullets"/>
    <w:basedOn w:val="Normal"/>
    <w:uiPriority w:val="34"/>
    <w:qFormat/>
    <w:rsid w:val="00184294"/>
    <w:pPr>
      <w:ind w:left="720"/>
      <w:contextualSpacing/>
    </w:pPr>
    <w:rPr>
      <w:rFonts w:eastAsia="Times New Roman"/>
    </w:rPr>
  </w:style>
  <w:style w:type="table" w:customStyle="1" w:styleId="TableGrid1">
    <w:name w:val="Table Grid1"/>
    <w:basedOn w:val="TableNormal"/>
    <w:next w:val="TableGrid"/>
    <w:uiPriority w:val="39"/>
    <w:rsid w:val="00B91FB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4A4C"/>
  </w:style>
  <w:style w:type="character" w:customStyle="1" w:styleId="UnresolvedMention1">
    <w:name w:val="Unresolved Mention1"/>
    <w:basedOn w:val="DefaultParagraphFont"/>
    <w:rsid w:val="005F5493"/>
    <w:rPr>
      <w:color w:val="808080"/>
      <w:shd w:val="clear" w:color="auto" w:fill="E6E6E6"/>
    </w:rPr>
  </w:style>
  <w:style w:type="paragraph" w:styleId="Revision">
    <w:name w:val="Revision"/>
    <w:hidden/>
    <w:uiPriority w:val="99"/>
    <w:semiHidden/>
    <w:rsid w:val="008F3409"/>
    <w:rPr>
      <w:spacing w:val="4"/>
      <w:w w:val="103"/>
      <w:kern w:val="14"/>
    </w:rPr>
  </w:style>
  <w:style w:type="character" w:styleId="FollowedHyperlink">
    <w:name w:val="FollowedHyperlink"/>
    <w:basedOn w:val="DefaultParagraphFont"/>
    <w:semiHidden/>
    <w:unhideWhenUsed/>
    <w:rsid w:val="00996610"/>
    <w:rPr>
      <w:color w:val="0000FF"/>
      <w:u w:val="none"/>
    </w:rPr>
  </w:style>
  <w:style w:type="character" w:customStyle="1" w:styleId="FooterChar">
    <w:name w:val="Footer Char"/>
    <w:basedOn w:val="DefaultParagraphFont"/>
    <w:link w:val="Footer"/>
    <w:rsid w:val="007A5A47"/>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660">
      <w:bodyDiv w:val="1"/>
      <w:marLeft w:val="0"/>
      <w:marRight w:val="0"/>
      <w:marTop w:val="0"/>
      <w:marBottom w:val="0"/>
      <w:divBdr>
        <w:top w:val="none" w:sz="0" w:space="0" w:color="auto"/>
        <w:left w:val="none" w:sz="0" w:space="0" w:color="auto"/>
        <w:bottom w:val="none" w:sz="0" w:space="0" w:color="auto"/>
        <w:right w:val="none" w:sz="0" w:space="0" w:color="auto"/>
      </w:divBdr>
    </w:div>
    <w:div w:id="281810488">
      <w:bodyDiv w:val="1"/>
      <w:marLeft w:val="0"/>
      <w:marRight w:val="0"/>
      <w:marTop w:val="0"/>
      <w:marBottom w:val="0"/>
      <w:divBdr>
        <w:top w:val="none" w:sz="0" w:space="0" w:color="auto"/>
        <w:left w:val="none" w:sz="0" w:space="0" w:color="auto"/>
        <w:bottom w:val="none" w:sz="0" w:space="0" w:color="auto"/>
        <w:right w:val="none" w:sz="0" w:space="0" w:color="auto"/>
      </w:divBdr>
    </w:div>
    <w:div w:id="337923549">
      <w:bodyDiv w:val="1"/>
      <w:marLeft w:val="0"/>
      <w:marRight w:val="0"/>
      <w:marTop w:val="0"/>
      <w:marBottom w:val="0"/>
      <w:divBdr>
        <w:top w:val="none" w:sz="0" w:space="0" w:color="auto"/>
        <w:left w:val="none" w:sz="0" w:space="0" w:color="auto"/>
        <w:bottom w:val="none" w:sz="0" w:space="0" w:color="auto"/>
        <w:right w:val="none" w:sz="0" w:space="0" w:color="auto"/>
      </w:divBdr>
    </w:div>
    <w:div w:id="366104869">
      <w:bodyDiv w:val="1"/>
      <w:marLeft w:val="0"/>
      <w:marRight w:val="0"/>
      <w:marTop w:val="0"/>
      <w:marBottom w:val="0"/>
      <w:divBdr>
        <w:top w:val="none" w:sz="0" w:space="0" w:color="auto"/>
        <w:left w:val="none" w:sz="0" w:space="0" w:color="auto"/>
        <w:bottom w:val="none" w:sz="0" w:space="0" w:color="auto"/>
        <w:right w:val="none" w:sz="0" w:space="0" w:color="auto"/>
      </w:divBdr>
    </w:div>
    <w:div w:id="373651943">
      <w:bodyDiv w:val="1"/>
      <w:marLeft w:val="0"/>
      <w:marRight w:val="0"/>
      <w:marTop w:val="0"/>
      <w:marBottom w:val="0"/>
      <w:divBdr>
        <w:top w:val="none" w:sz="0" w:space="0" w:color="auto"/>
        <w:left w:val="none" w:sz="0" w:space="0" w:color="auto"/>
        <w:bottom w:val="none" w:sz="0" w:space="0" w:color="auto"/>
        <w:right w:val="none" w:sz="0" w:space="0" w:color="auto"/>
      </w:divBdr>
    </w:div>
    <w:div w:id="398410355">
      <w:bodyDiv w:val="1"/>
      <w:marLeft w:val="0"/>
      <w:marRight w:val="0"/>
      <w:marTop w:val="0"/>
      <w:marBottom w:val="0"/>
      <w:divBdr>
        <w:top w:val="none" w:sz="0" w:space="0" w:color="auto"/>
        <w:left w:val="none" w:sz="0" w:space="0" w:color="auto"/>
        <w:bottom w:val="none" w:sz="0" w:space="0" w:color="auto"/>
        <w:right w:val="none" w:sz="0" w:space="0" w:color="auto"/>
      </w:divBdr>
    </w:div>
    <w:div w:id="753361131">
      <w:bodyDiv w:val="1"/>
      <w:marLeft w:val="0"/>
      <w:marRight w:val="0"/>
      <w:marTop w:val="0"/>
      <w:marBottom w:val="0"/>
      <w:divBdr>
        <w:top w:val="none" w:sz="0" w:space="0" w:color="auto"/>
        <w:left w:val="none" w:sz="0" w:space="0" w:color="auto"/>
        <w:bottom w:val="none" w:sz="0" w:space="0" w:color="auto"/>
        <w:right w:val="none" w:sz="0" w:space="0" w:color="auto"/>
      </w:divBdr>
      <w:divsChild>
        <w:div w:id="1535314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2119">
              <w:marLeft w:val="0"/>
              <w:marRight w:val="0"/>
              <w:marTop w:val="0"/>
              <w:marBottom w:val="0"/>
              <w:divBdr>
                <w:top w:val="none" w:sz="0" w:space="0" w:color="auto"/>
                <w:left w:val="none" w:sz="0" w:space="0" w:color="auto"/>
                <w:bottom w:val="none" w:sz="0" w:space="0" w:color="auto"/>
                <w:right w:val="none" w:sz="0" w:space="0" w:color="auto"/>
              </w:divBdr>
              <w:divsChild>
                <w:div w:id="596640671">
                  <w:marLeft w:val="0"/>
                  <w:marRight w:val="0"/>
                  <w:marTop w:val="0"/>
                  <w:marBottom w:val="0"/>
                  <w:divBdr>
                    <w:top w:val="none" w:sz="0" w:space="0" w:color="auto"/>
                    <w:left w:val="none" w:sz="0" w:space="0" w:color="auto"/>
                    <w:bottom w:val="none" w:sz="0" w:space="0" w:color="auto"/>
                    <w:right w:val="none" w:sz="0" w:space="0" w:color="auto"/>
                  </w:divBdr>
                  <w:divsChild>
                    <w:div w:id="1633487393">
                      <w:marLeft w:val="0"/>
                      <w:marRight w:val="0"/>
                      <w:marTop w:val="0"/>
                      <w:marBottom w:val="0"/>
                      <w:divBdr>
                        <w:top w:val="none" w:sz="0" w:space="0" w:color="auto"/>
                        <w:left w:val="none" w:sz="0" w:space="0" w:color="auto"/>
                        <w:bottom w:val="none" w:sz="0" w:space="0" w:color="auto"/>
                        <w:right w:val="none" w:sz="0" w:space="0" w:color="auto"/>
                      </w:divBdr>
                      <w:divsChild>
                        <w:div w:id="20094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711895">
                              <w:marLeft w:val="0"/>
                              <w:marRight w:val="0"/>
                              <w:marTop w:val="0"/>
                              <w:marBottom w:val="0"/>
                              <w:divBdr>
                                <w:top w:val="none" w:sz="0" w:space="0" w:color="auto"/>
                                <w:left w:val="none" w:sz="0" w:space="0" w:color="auto"/>
                                <w:bottom w:val="none" w:sz="0" w:space="0" w:color="auto"/>
                                <w:right w:val="none" w:sz="0" w:space="0" w:color="auto"/>
                              </w:divBdr>
                              <w:divsChild>
                                <w:div w:id="993678407">
                                  <w:marLeft w:val="0"/>
                                  <w:marRight w:val="0"/>
                                  <w:marTop w:val="0"/>
                                  <w:marBottom w:val="0"/>
                                  <w:divBdr>
                                    <w:top w:val="none" w:sz="0" w:space="0" w:color="auto"/>
                                    <w:left w:val="none" w:sz="0" w:space="0" w:color="auto"/>
                                    <w:bottom w:val="none" w:sz="0" w:space="0" w:color="auto"/>
                                    <w:right w:val="none" w:sz="0" w:space="0" w:color="auto"/>
                                  </w:divBdr>
                                  <w:divsChild>
                                    <w:div w:id="1815218562">
                                      <w:marLeft w:val="0"/>
                                      <w:marRight w:val="0"/>
                                      <w:marTop w:val="0"/>
                                      <w:marBottom w:val="0"/>
                                      <w:divBdr>
                                        <w:top w:val="none" w:sz="0" w:space="0" w:color="auto"/>
                                        <w:left w:val="none" w:sz="0" w:space="0" w:color="auto"/>
                                        <w:bottom w:val="none" w:sz="0" w:space="0" w:color="auto"/>
                                        <w:right w:val="none" w:sz="0" w:space="0" w:color="auto"/>
                                      </w:divBdr>
                                    </w:div>
                                  </w:divsChild>
                                </w:div>
                                <w:div w:id="378209188">
                                  <w:marLeft w:val="0"/>
                                  <w:marRight w:val="0"/>
                                  <w:marTop w:val="0"/>
                                  <w:marBottom w:val="0"/>
                                  <w:divBdr>
                                    <w:top w:val="none" w:sz="0" w:space="0" w:color="auto"/>
                                    <w:left w:val="none" w:sz="0" w:space="0" w:color="auto"/>
                                    <w:bottom w:val="none" w:sz="0" w:space="0" w:color="auto"/>
                                    <w:right w:val="none" w:sz="0" w:space="0" w:color="auto"/>
                                  </w:divBdr>
                                  <w:divsChild>
                                    <w:div w:id="1296837565">
                                      <w:marLeft w:val="0"/>
                                      <w:marRight w:val="0"/>
                                      <w:marTop w:val="0"/>
                                      <w:marBottom w:val="0"/>
                                      <w:divBdr>
                                        <w:top w:val="none" w:sz="0" w:space="0" w:color="auto"/>
                                        <w:left w:val="none" w:sz="0" w:space="0" w:color="auto"/>
                                        <w:bottom w:val="none" w:sz="0" w:space="0" w:color="auto"/>
                                        <w:right w:val="none" w:sz="0" w:space="0" w:color="auto"/>
                                      </w:divBdr>
                                    </w:div>
                                  </w:divsChild>
                                </w:div>
                                <w:div w:id="1308703243">
                                  <w:marLeft w:val="0"/>
                                  <w:marRight w:val="0"/>
                                  <w:marTop w:val="0"/>
                                  <w:marBottom w:val="0"/>
                                  <w:divBdr>
                                    <w:top w:val="none" w:sz="0" w:space="0" w:color="auto"/>
                                    <w:left w:val="none" w:sz="0" w:space="0" w:color="auto"/>
                                    <w:bottom w:val="none" w:sz="0" w:space="0" w:color="auto"/>
                                    <w:right w:val="none" w:sz="0" w:space="0" w:color="auto"/>
                                  </w:divBdr>
                                  <w:divsChild>
                                    <w:div w:id="10321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681544">
      <w:bodyDiv w:val="1"/>
      <w:marLeft w:val="0"/>
      <w:marRight w:val="0"/>
      <w:marTop w:val="0"/>
      <w:marBottom w:val="0"/>
      <w:divBdr>
        <w:top w:val="none" w:sz="0" w:space="0" w:color="auto"/>
        <w:left w:val="none" w:sz="0" w:space="0" w:color="auto"/>
        <w:bottom w:val="none" w:sz="0" w:space="0" w:color="auto"/>
        <w:right w:val="none" w:sz="0" w:space="0" w:color="auto"/>
      </w:divBdr>
    </w:div>
    <w:div w:id="790439276">
      <w:bodyDiv w:val="1"/>
      <w:marLeft w:val="0"/>
      <w:marRight w:val="0"/>
      <w:marTop w:val="0"/>
      <w:marBottom w:val="0"/>
      <w:divBdr>
        <w:top w:val="none" w:sz="0" w:space="0" w:color="auto"/>
        <w:left w:val="none" w:sz="0" w:space="0" w:color="auto"/>
        <w:bottom w:val="none" w:sz="0" w:space="0" w:color="auto"/>
        <w:right w:val="none" w:sz="0" w:space="0" w:color="auto"/>
      </w:divBdr>
    </w:div>
    <w:div w:id="1032457035">
      <w:bodyDiv w:val="1"/>
      <w:marLeft w:val="0"/>
      <w:marRight w:val="0"/>
      <w:marTop w:val="0"/>
      <w:marBottom w:val="0"/>
      <w:divBdr>
        <w:top w:val="none" w:sz="0" w:space="0" w:color="auto"/>
        <w:left w:val="none" w:sz="0" w:space="0" w:color="auto"/>
        <w:bottom w:val="none" w:sz="0" w:space="0" w:color="auto"/>
        <w:right w:val="none" w:sz="0" w:space="0" w:color="auto"/>
      </w:divBdr>
    </w:div>
    <w:div w:id="1417170243">
      <w:bodyDiv w:val="1"/>
      <w:marLeft w:val="0"/>
      <w:marRight w:val="0"/>
      <w:marTop w:val="0"/>
      <w:marBottom w:val="0"/>
      <w:divBdr>
        <w:top w:val="none" w:sz="0" w:space="0" w:color="auto"/>
        <w:left w:val="none" w:sz="0" w:space="0" w:color="auto"/>
        <w:bottom w:val="none" w:sz="0" w:space="0" w:color="auto"/>
        <w:right w:val="none" w:sz="0" w:space="0" w:color="auto"/>
      </w:divBdr>
    </w:div>
    <w:div w:id="1544445396">
      <w:bodyDiv w:val="1"/>
      <w:marLeft w:val="0"/>
      <w:marRight w:val="0"/>
      <w:marTop w:val="0"/>
      <w:marBottom w:val="0"/>
      <w:divBdr>
        <w:top w:val="none" w:sz="0" w:space="0" w:color="auto"/>
        <w:left w:val="none" w:sz="0" w:space="0" w:color="auto"/>
        <w:bottom w:val="none" w:sz="0" w:space="0" w:color="auto"/>
        <w:right w:val="none" w:sz="0" w:space="0" w:color="auto"/>
      </w:divBdr>
    </w:div>
    <w:div w:id="1594051116">
      <w:bodyDiv w:val="1"/>
      <w:marLeft w:val="0"/>
      <w:marRight w:val="0"/>
      <w:marTop w:val="0"/>
      <w:marBottom w:val="0"/>
      <w:divBdr>
        <w:top w:val="none" w:sz="0" w:space="0" w:color="auto"/>
        <w:left w:val="none" w:sz="0" w:space="0" w:color="auto"/>
        <w:bottom w:val="none" w:sz="0" w:space="0" w:color="auto"/>
        <w:right w:val="none" w:sz="0" w:space="0" w:color="auto"/>
      </w:divBdr>
    </w:div>
    <w:div w:id="1752696397">
      <w:bodyDiv w:val="1"/>
      <w:marLeft w:val="0"/>
      <w:marRight w:val="0"/>
      <w:marTop w:val="0"/>
      <w:marBottom w:val="0"/>
      <w:divBdr>
        <w:top w:val="none" w:sz="0" w:space="0" w:color="auto"/>
        <w:left w:val="none" w:sz="0" w:space="0" w:color="auto"/>
        <w:bottom w:val="none" w:sz="0" w:space="0" w:color="auto"/>
        <w:right w:val="none" w:sz="0" w:space="0" w:color="auto"/>
      </w:divBdr>
    </w:div>
    <w:div w:id="1929538338">
      <w:bodyDiv w:val="1"/>
      <w:marLeft w:val="0"/>
      <w:marRight w:val="0"/>
      <w:marTop w:val="0"/>
      <w:marBottom w:val="0"/>
      <w:divBdr>
        <w:top w:val="none" w:sz="0" w:space="0" w:color="auto"/>
        <w:left w:val="none" w:sz="0" w:space="0" w:color="auto"/>
        <w:bottom w:val="none" w:sz="0" w:space="0" w:color="auto"/>
        <w:right w:val="none" w:sz="0" w:space="0" w:color="auto"/>
      </w:divBdr>
    </w:div>
    <w:div w:id="1958874749">
      <w:bodyDiv w:val="1"/>
      <w:marLeft w:val="0"/>
      <w:marRight w:val="0"/>
      <w:marTop w:val="0"/>
      <w:marBottom w:val="0"/>
      <w:divBdr>
        <w:top w:val="none" w:sz="0" w:space="0" w:color="auto"/>
        <w:left w:val="none" w:sz="0" w:space="0" w:color="auto"/>
        <w:bottom w:val="none" w:sz="0" w:space="0" w:color="auto"/>
        <w:right w:val="none" w:sz="0" w:space="0" w:color="auto"/>
      </w:divBdr>
    </w:div>
    <w:div w:id="2033913977">
      <w:bodyDiv w:val="1"/>
      <w:marLeft w:val="0"/>
      <w:marRight w:val="0"/>
      <w:marTop w:val="0"/>
      <w:marBottom w:val="0"/>
      <w:divBdr>
        <w:top w:val="none" w:sz="0" w:space="0" w:color="auto"/>
        <w:left w:val="none" w:sz="0" w:space="0" w:color="auto"/>
        <w:bottom w:val="none" w:sz="0" w:space="0" w:color="auto"/>
        <w:right w:val="none" w:sz="0" w:space="0" w:color="auto"/>
      </w:divBdr>
    </w:div>
    <w:div w:id="2146659491">
      <w:bodyDiv w:val="1"/>
      <w:marLeft w:val="0"/>
      <w:marRight w:val="0"/>
      <w:marTop w:val="0"/>
      <w:marBottom w:val="0"/>
      <w:divBdr>
        <w:top w:val="none" w:sz="0" w:space="0" w:color="auto"/>
        <w:left w:val="none" w:sz="0" w:space="0" w:color="auto"/>
        <w:bottom w:val="none" w:sz="0" w:space="0" w:color="auto"/>
        <w:right w:val="none" w:sz="0" w:space="0" w:color="auto"/>
      </w:divBdr>
      <w:divsChild>
        <w:div w:id="134350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erc.undp.org/evaluation/evaluations/detail/4784"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undg.org/wp-content/uploads/2017/03/Guidelines-to-Support-Country-Reporting-on-SDGs-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ndocs.org/DP/2016/26" TargetMode="External"/><Relationship Id="rId25" Type="http://schemas.openxmlformats.org/officeDocument/2006/relationships/hyperlink" Target="https://www.unsceb.org/content/un-system-strategic-approach-climate-change-action-0" TargetMode="External"/><Relationship Id="rId2" Type="http://schemas.openxmlformats.org/officeDocument/2006/relationships/numbering" Target="numbering.xml"/><Relationship Id="rId16" Type="http://schemas.openxmlformats.org/officeDocument/2006/relationships/hyperlink" Target="http://undocs.org/DP/2017/15" TargetMode="External"/><Relationship Id="rId20" Type="http://schemas.openxmlformats.org/officeDocument/2006/relationships/hyperlink" Target="https://sustainabledevelopment.un.org/hlp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ocalizingthesdg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g.org/document/2017-undaf-guidance/"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sustainabledevelopment.un.org/content/documents/11819Voluntary_guidelines_VNRs.pdf"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g.org/document/mainstreaming-the-2030-agenda-for-sustainable-development-reference-guide-for-un-country-teams/" TargetMode="External"/><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erc.undp.org/evaluation/evaluations/detail/88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0112-D256-40C7-A679-9252B473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7178</Words>
  <Characters>40917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Simona Marinescu</dc:creator>
  <dc:description>JR (F)</dc:description>
  <cp:lastModifiedBy>Kristina Leuchowius</cp:lastModifiedBy>
  <cp:revision>2</cp:revision>
  <cp:lastPrinted>2017-08-29T22:09:00Z</cp:lastPrinted>
  <dcterms:created xsi:type="dcterms:W3CDTF">2017-10-19T13:21:00Z</dcterms:created>
  <dcterms:modified xsi:type="dcterms:W3CDTF">2017-10-19T13:21:00Z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General</vt:lpwstr>
  </property>
  <property fmtid="{D5CDD505-2E9C-101B-9397-08002B2CF9AE}" pid="3" name="Publication Date">
    <vt:lpwstr>18 August 2017</vt:lpwstr>
  </property>
  <property fmtid="{D5CDD505-2E9C-101B-9397-08002B2CF9AE}" pid="4" name="Original">
    <vt:lpwstr>English</vt:lpwstr>
  </property>
  <property fmtid="{D5CDD505-2E9C-101B-9397-08002B2CF9AE}" pid="5" name="Release Date">
    <vt:lpwstr>290817</vt:lpwstr>
  </property>
  <property fmtid="{D5CDD505-2E9C-101B-9397-08002B2CF9AE}" pid="6" name="JobNo">
    <vt:lpwstr>1714395E</vt:lpwstr>
  </property>
  <property fmtid="{D5CDD505-2E9C-101B-9397-08002B2CF9AE}" pid="7" name="ODSRefJobNo">
    <vt:lpwstr>1726398E</vt:lpwstr>
  </property>
  <property fmtid="{D5CDD505-2E9C-101B-9397-08002B2CF9AE}" pid="8" name="Symbol1">
    <vt:lpwstr>DP/2017/33</vt:lpwstr>
  </property>
  <property fmtid="{D5CDD505-2E9C-101B-9397-08002B2CF9AE}" pid="9" name="Symbol2">
    <vt:lpwstr/>
  </property>
</Properties>
</file>