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24A2" w14:textId="4EE4F8CC" w:rsidR="00522373" w:rsidRPr="00522373" w:rsidRDefault="00522373" w:rsidP="00522373">
      <w:pPr>
        <w:tabs>
          <w:tab w:val="left" w:pos="1080"/>
        </w:tabs>
        <w:rPr>
          <w:b/>
          <w:sz w:val="20"/>
          <w:szCs w:val="20"/>
          <w:lang w:val="en-GB"/>
        </w:rPr>
      </w:pPr>
      <w:bookmarkStart w:id="0" w:name="_GoBack"/>
      <w:bookmarkEnd w:id="0"/>
      <w:r w:rsidRPr="00522373">
        <w:rPr>
          <w:b/>
          <w:sz w:val="20"/>
          <w:szCs w:val="20"/>
          <w:lang w:val="en-GB"/>
        </w:rPr>
        <w:t>Second regular session 2018</w:t>
      </w:r>
    </w:p>
    <w:p w14:paraId="04C32C14" w14:textId="77777777" w:rsidR="00522373" w:rsidRPr="00522373" w:rsidRDefault="00522373" w:rsidP="00522373">
      <w:pPr>
        <w:tabs>
          <w:tab w:val="left" w:pos="1080"/>
        </w:tabs>
        <w:rPr>
          <w:sz w:val="20"/>
          <w:szCs w:val="20"/>
          <w:lang w:val="en-GB"/>
        </w:rPr>
      </w:pPr>
      <w:r w:rsidRPr="00522373">
        <w:rPr>
          <w:sz w:val="20"/>
          <w:szCs w:val="20"/>
          <w:lang w:val="en-GB"/>
        </w:rPr>
        <w:t>4 – 7 September 2017, New York</w:t>
      </w:r>
    </w:p>
    <w:p w14:paraId="4E7EAAD8" w14:textId="77777777" w:rsidR="00522373" w:rsidRPr="00522373" w:rsidRDefault="00522373" w:rsidP="00522373">
      <w:pPr>
        <w:pStyle w:val="H56"/>
        <w:keepNext w:val="0"/>
        <w:keepLines w:val="0"/>
        <w:tabs>
          <w:tab w:val="clear" w:pos="360"/>
          <w:tab w:val="left" w:pos="1080"/>
        </w:tabs>
        <w:suppressAutoHyphens w:val="0"/>
        <w:spacing w:line="240" w:lineRule="auto"/>
        <w:outlineLvl w:val="9"/>
        <w:rPr>
          <w:spacing w:val="0"/>
          <w:w w:val="100"/>
          <w:kern w:val="0"/>
        </w:rPr>
      </w:pPr>
      <w:r w:rsidRPr="00522373">
        <w:rPr>
          <w:spacing w:val="0"/>
          <w:w w:val="100"/>
          <w:kern w:val="0"/>
        </w:rPr>
        <w:t>Item 5 of the provisional agenda</w:t>
      </w:r>
    </w:p>
    <w:p w14:paraId="6C6D076B" w14:textId="77777777" w:rsidR="00522373" w:rsidRPr="00522373" w:rsidRDefault="00522373" w:rsidP="00522373">
      <w:pPr>
        <w:pStyle w:val="Heading4"/>
        <w:tabs>
          <w:tab w:val="left" w:pos="1080"/>
        </w:tabs>
        <w:rPr>
          <w:lang w:val="en-GB"/>
        </w:rPr>
      </w:pPr>
      <w:r w:rsidRPr="00522373">
        <w:rPr>
          <w:lang w:val="en-GB"/>
        </w:rPr>
        <w:t>Evaluation</w:t>
      </w:r>
    </w:p>
    <w:p w14:paraId="34B268B9" w14:textId="77777777" w:rsidR="00F655D7" w:rsidRPr="00C4626B" w:rsidRDefault="00F655D7" w:rsidP="00F655D7">
      <w:pPr>
        <w:tabs>
          <w:tab w:val="left" w:pos="1080"/>
        </w:tabs>
        <w:spacing w:line="120" w:lineRule="exact"/>
        <w:rPr>
          <w:sz w:val="20"/>
          <w:szCs w:val="20"/>
          <w:lang w:val="en-GB"/>
        </w:rPr>
      </w:pPr>
    </w:p>
    <w:p w14:paraId="3B686024" w14:textId="77777777" w:rsidR="00F655D7" w:rsidRPr="00C4626B" w:rsidRDefault="00F655D7" w:rsidP="00F655D7">
      <w:pPr>
        <w:tabs>
          <w:tab w:val="left" w:pos="1080"/>
        </w:tabs>
        <w:spacing w:line="120" w:lineRule="exact"/>
        <w:rPr>
          <w:sz w:val="20"/>
          <w:szCs w:val="20"/>
          <w:lang w:val="en-GB"/>
        </w:rPr>
      </w:pPr>
    </w:p>
    <w:p w14:paraId="2E3D243D" w14:textId="77777777" w:rsidR="00F655D7" w:rsidRPr="00C4626B" w:rsidRDefault="00F655D7" w:rsidP="00F655D7">
      <w:pPr>
        <w:tabs>
          <w:tab w:val="left" w:pos="1080"/>
        </w:tabs>
        <w:spacing w:line="120" w:lineRule="exact"/>
        <w:rPr>
          <w:sz w:val="20"/>
          <w:szCs w:val="20"/>
          <w:lang w:val="en-GB"/>
        </w:rPr>
      </w:pPr>
    </w:p>
    <w:p w14:paraId="7E0C053E" w14:textId="77777777" w:rsidR="00522373" w:rsidRPr="00512882" w:rsidRDefault="00522373" w:rsidP="00522373">
      <w:pPr>
        <w:pStyle w:val="HM"/>
        <w:tabs>
          <w:tab w:val="left" w:pos="0"/>
        </w:tabs>
        <w:rPr>
          <w:sz w:val="32"/>
          <w:szCs w:val="32"/>
        </w:rPr>
      </w:pPr>
      <w:r w:rsidRPr="00512882">
        <w:rPr>
          <w:sz w:val="32"/>
          <w:szCs w:val="32"/>
        </w:rPr>
        <w:t xml:space="preserve">Management response to the evaluation of UNDP inter-agency operational services  </w:t>
      </w:r>
    </w:p>
    <w:p w14:paraId="2E320CF7" w14:textId="77777777" w:rsidR="00522373" w:rsidRPr="00C24AEB" w:rsidRDefault="00522373" w:rsidP="00522373">
      <w:pPr>
        <w:tabs>
          <w:tab w:val="left" w:pos="0"/>
        </w:tabs>
        <w:jc w:val="both"/>
        <w:rPr>
          <w:lang w:val="en-GB"/>
        </w:rPr>
      </w:pPr>
    </w:p>
    <w:p w14:paraId="512839DE" w14:textId="77777777" w:rsidR="00522373" w:rsidRPr="00512882" w:rsidRDefault="00522373" w:rsidP="00B70625">
      <w:pPr>
        <w:pStyle w:val="SingleTxt"/>
        <w:tabs>
          <w:tab w:val="clear" w:pos="1267"/>
          <w:tab w:val="left" w:pos="0"/>
          <w:tab w:val="left" w:pos="180"/>
          <w:tab w:val="left" w:pos="1170"/>
          <w:tab w:val="left" w:pos="1260"/>
          <w:tab w:val="left" w:pos="1620"/>
        </w:tabs>
        <w:spacing w:after="0"/>
        <w:ind w:left="1080" w:right="1271"/>
        <w:rPr>
          <w:b/>
          <w:sz w:val="24"/>
          <w:szCs w:val="24"/>
        </w:rPr>
      </w:pPr>
      <w:r w:rsidRPr="00512882">
        <w:rPr>
          <w:b/>
          <w:sz w:val="24"/>
          <w:szCs w:val="24"/>
        </w:rPr>
        <w:t xml:space="preserve">Context and background </w:t>
      </w:r>
    </w:p>
    <w:p w14:paraId="0F40E732" w14:textId="0B56BAE1" w:rsidR="00522373" w:rsidRPr="00E303F0" w:rsidRDefault="001C6312" w:rsidP="00B706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 w:val="left" w:pos="90"/>
          <w:tab w:val="left" w:pos="720"/>
          <w:tab w:val="left" w:pos="1440"/>
          <w:tab w:val="left" w:pos="2160"/>
          <w:tab w:val="left" w:pos="2880"/>
          <w:tab w:val="left" w:pos="3600"/>
          <w:tab w:val="left" w:pos="4320"/>
          <w:tab w:val="left" w:pos="5040"/>
          <w:tab w:val="left" w:pos="5760"/>
        </w:tabs>
        <w:spacing w:after="0" w:line="240" w:lineRule="auto"/>
        <w:ind w:left="1080" w:right="1271"/>
      </w:pPr>
      <w:r w:rsidRPr="00512882">
        <w:rPr>
          <w:sz w:val="24"/>
          <w:szCs w:val="24"/>
        </w:rPr>
        <w:tab/>
      </w:r>
      <w:r w:rsidRPr="00512882">
        <w:rPr>
          <w:sz w:val="24"/>
          <w:szCs w:val="24"/>
        </w:rPr>
        <w:tab/>
      </w:r>
      <w:r w:rsidRPr="00512882">
        <w:rPr>
          <w:sz w:val="24"/>
          <w:szCs w:val="24"/>
        </w:rPr>
        <w:tab/>
      </w:r>
      <w:r w:rsidRPr="00512882">
        <w:rPr>
          <w:sz w:val="24"/>
          <w:szCs w:val="24"/>
        </w:rPr>
        <w:tab/>
      </w:r>
      <w:r>
        <w:tab/>
      </w:r>
      <w:r>
        <w:tab/>
      </w:r>
      <w:r>
        <w:tab/>
      </w:r>
      <w:r>
        <w:tab/>
      </w:r>
      <w:r>
        <w:tab/>
      </w:r>
      <w:r>
        <w:tab/>
      </w:r>
    </w:p>
    <w:p w14:paraId="3177AC44" w14:textId="2D0AB0D1" w:rsidR="00522373" w:rsidRPr="00E303F0" w:rsidRDefault="00F33AF4" w:rsidP="00B70625">
      <w:pPr>
        <w:pStyle w:val="SingleTxt"/>
        <w:tabs>
          <w:tab w:val="left" w:pos="0"/>
          <w:tab w:val="left" w:pos="900"/>
          <w:tab w:val="left" w:pos="1170"/>
        </w:tabs>
        <w:spacing w:line="240" w:lineRule="auto"/>
        <w:ind w:left="1080" w:right="1271"/>
      </w:pPr>
      <w:r w:rsidRPr="00F33AF4">
        <w:t>1.</w:t>
      </w:r>
      <w:r>
        <w:t xml:space="preserve"> </w:t>
      </w:r>
      <w:r w:rsidR="00522373" w:rsidRPr="00E303F0">
        <w:t xml:space="preserve">UNDP </w:t>
      </w:r>
      <w:r w:rsidR="006A2496">
        <w:t xml:space="preserve">management </w:t>
      </w:r>
      <w:r w:rsidR="00522373" w:rsidRPr="00E303F0">
        <w:t xml:space="preserve">welcomes the recommendations of the </w:t>
      </w:r>
      <w:r w:rsidR="006A2496">
        <w:t>e</w:t>
      </w:r>
      <w:r w:rsidR="00522373" w:rsidRPr="00E303F0">
        <w:t>valuation report on inter-agency operational services</w:t>
      </w:r>
      <w:r w:rsidR="006A2496">
        <w:t xml:space="preserve"> (DP/2018/25)</w:t>
      </w:r>
      <w:r w:rsidR="00522373" w:rsidRPr="00E303F0">
        <w:t xml:space="preserve">, whose analysis and findings, covering the period 2010-2017, largely confirm </w:t>
      </w:r>
      <w:r w:rsidR="006A2496">
        <w:t xml:space="preserve">the organization’s </w:t>
      </w:r>
      <w:r w:rsidR="00522373" w:rsidRPr="00E303F0">
        <w:t xml:space="preserve">own </w:t>
      </w:r>
      <w:r w:rsidR="006A2496">
        <w:t xml:space="preserve">recent internal </w:t>
      </w:r>
      <w:r w:rsidR="00522373" w:rsidRPr="00E303F0">
        <w:t>analysis under</w:t>
      </w:r>
      <w:r w:rsidR="006A2496">
        <w:t>taken as part of</w:t>
      </w:r>
      <w:r w:rsidR="00522373" w:rsidRPr="00E303F0">
        <w:t xml:space="preserve"> the </w:t>
      </w:r>
      <w:r w:rsidR="006A2496">
        <w:t xml:space="preserve">review of the UNDP business model in relation to the </w:t>
      </w:r>
      <w:r w:rsidR="00522373" w:rsidRPr="00E303F0">
        <w:t>Strategic Plan</w:t>
      </w:r>
      <w:r w:rsidR="006A2496">
        <w:t>, 2018-2021</w:t>
      </w:r>
      <w:r w:rsidR="00522373" w:rsidRPr="00E303F0">
        <w:t>.</w:t>
      </w:r>
    </w:p>
    <w:p w14:paraId="5EB584CB" w14:textId="1A3FBD68" w:rsidR="00522373" w:rsidRPr="00E303F0" w:rsidRDefault="00F33AF4" w:rsidP="00B70625">
      <w:pPr>
        <w:pStyle w:val="SingleTxt"/>
        <w:tabs>
          <w:tab w:val="left" w:pos="0"/>
          <w:tab w:val="left" w:pos="1170"/>
        </w:tabs>
        <w:spacing w:line="240" w:lineRule="auto"/>
        <w:ind w:left="1080" w:right="1271"/>
      </w:pPr>
      <w:r>
        <w:t xml:space="preserve">2. </w:t>
      </w:r>
      <w:r w:rsidR="006A2496">
        <w:t>T</w:t>
      </w:r>
      <w:r w:rsidR="00522373" w:rsidRPr="00E303F0">
        <w:t xml:space="preserve">he Strategic Plan </w:t>
      </w:r>
      <w:r w:rsidR="006A2496">
        <w:t>articulates</w:t>
      </w:r>
      <w:r w:rsidR="006A2496" w:rsidRPr="00E303F0">
        <w:t xml:space="preserve"> </w:t>
      </w:r>
      <w:r w:rsidR="00522373" w:rsidRPr="00E303F0">
        <w:t xml:space="preserve">a bold, deliberate vision of what </w:t>
      </w:r>
      <w:r w:rsidR="006A2496">
        <w:t xml:space="preserve">UNDP </w:t>
      </w:r>
      <w:r w:rsidR="00522373" w:rsidRPr="00E303F0">
        <w:t xml:space="preserve">needs to achieve in the </w:t>
      </w:r>
      <w:r w:rsidR="006A2496">
        <w:t>next</w:t>
      </w:r>
      <w:r w:rsidR="006A2496" w:rsidRPr="00E303F0">
        <w:t xml:space="preserve"> </w:t>
      </w:r>
      <w:r w:rsidR="00522373" w:rsidRPr="00E303F0">
        <w:t xml:space="preserve">three years, including </w:t>
      </w:r>
      <w:r w:rsidR="006A2496">
        <w:t xml:space="preserve">its </w:t>
      </w:r>
      <w:r w:rsidR="00522373" w:rsidRPr="00E303F0">
        <w:t>role as an operational backbone for the U</w:t>
      </w:r>
      <w:r w:rsidR="006A2496">
        <w:t xml:space="preserve">nited </w:t>
      </w:r>
      <w:r w:rsidR="00522373" w:rsidRPr="00E303F0">
        <w:t>N</w:t>
      </w:r>
      <w:r w:rsidR="006A2496">
        <w:t>ations system</w:t>
      </w:r>
      <w:r w:rsidR="00522373" w:rsidRPr="00E303F0">
        <w:t xml:space="preserve"> and other partners. As per the Strategic Plan and in line </w:t>
      </w:r>
      <w:r w:rsidR="00522373" w:rsidRPr="00E303F0">
        <w:rPr>
          <w:w w:val="100"/>
          <w:lang w:val="en-US" w:bidi="en-US"/>
        </w:rPr>
        <w:t>with G</w:t>
      </w:r>
      <w:r w:rsidR="006A2496">
        <w:rPr>
          <w:w w:val="100"/>
          <w:lang w:val="en-US" w:bidi="en-US"/>
        </w:rPr>
        <w:t xml:space="preserve">eneral </w:t>
      </w:r>
      <w:r w:rsidR="00522373" w:rsidRPr="00E303F0">
        <w:rPr>
          <w:w w:val="100"/>
          <w:lang w:val="en-US" w:bidi="en-US"/>
        </w:rPr>
        <w:t>A</w:t>
      </w:r>
      <w:r w:rsidR="006A2496">
        <w:rPr>
          <w:w w:val="100"/>
          <w:lang w:val="en-US" w:bidi="en-US"/>
        </w:rPr>
        <w:t>ssembly</w:t>
      </w:r>
      <w:r w:rsidR="00522373" w:rsidRPr="00E303F0">
        <w:t xml:space="preserve"> </w:t>
      </w:r>
      <w:r w:rsidR="006A2496">
        <w:t>r</w:t>
      </w:r>
      <w:r w:rsidR="006A2496" w:rsidRPr="00E303F0">
        <w:t xml:space="preserve">esolution </w:t>
      </w:r>
      <w:r w:rsidR="00522373" w:rsidRPr="00E303F0">
        <w:t>72/279</w:t>
      </w:r>
      <w:r w:rsidR="006A2496">
        <w:t xml:space="preserve"> of 31 May 2018 on</w:t>
      </w:r>
      <w:r w:rsidR="00522373" w:rsidRPr="00E303F0">
        <w:t xml:space="preserve"> </w:t>
      </w:r>
      <w:r w:rsidR="006A2496" w:rsidRPr="006A2496">
        <w:rPr>
          <w:bCs/>
          <w:lang w:val="en-US"/>
        </w:rPr>
        <w:t xml:space="preserve">repositioning </w:t>
      </w:r>
      <w:r w:rsidR="00522373" w:rsidRPr="006A2496">
        <w:rPr>
          <w:bCs/>
          <w:lang w:val="en-US"/>
        </w:rPr>
        <w:t>of the United Nations development system in the context of the quadrennial comprehensive policy review of operational activities for development of the United Nations system</w:t>
      </w:r>
      <w:r w:rsidR="00522373" w:rsidRPr="00E303F0">
        <w:rPr>
          <w:bCs/>
          <w:lang w:val="en-US"/>
        </w:rPr>
        <w:t xml:space="preserve">, </w:t>
      </w:r>
      <w:r w:rsidR="00522373" w:rsidRPr="00E303F0">
        <w:rPr>
          <w:w w:val="100"/>
          <w:lang w:val="en-US" w:bidi="en-US"/>
        </w:rPr>
        <w:t>UNDP</w:t>
      </w:r>
      <w:r w:rsidR="00522373" w:rsidRPr="00E303F0">
        <w:t xml:space="preserve"> </w:t>
      </w:r>
      <w:r w:rsidR="00522373" w:rsidRPr="00E303F0">
        <w:rPr>
          <w:w w:val="100"/>
          <w:lang w:val="en-US" w:bidi="en-US"/>
        </w:rPr>
        <w:t xml:space="preserve">will contribute to </w:t>
      </w:r>
      <w:r w:rsidR="0044310E" w:rsidRPr="00E303F0">
        <w:rPr>
          <w:w w:val="100"/>
          <w:lang w:val="en-US" w:bidi="en-US"/>
        </w:rPr>
        <w:t>shap</w:t>
      </w:r>
      <w:r w:rsidR="0044310E">
        <w:rPr>
          <w:w w:val="100"/>
          <w:lang w:val="en-US" w:bidi="en-US"/>
        </w:rPr>
        <w:t>ing</w:t>
      </w:r>
      <w:r w:rsidR="0044310E" w:rsidRPr="00E303F0">
        <w:rPr>
          <w:w w:val="100"/>
          <w:lang w:val="en-US" w:bidi="en-US"/>
        </w:rPr>
        <w:t xml:space="preserve"> </w:t>
      </w:r>
      <w:r w:rsidR="00522373" w:rsidRPr="00E303F0">
        <w:rPr>
          <w:w w:val="100"/>
          <w:lang w:val="en-US" w:bidi="en-US"/>
        </w:rPr>
        <w:t>a United Nations development system that responds to a changing world and works in increasingly effective ways to deliver the Sustainable Development Goals. The provision of</w:t>
      </w:r>
      <w:r w:rsidR="00522373" w:rsidRPr="00E303F0">
        <w:t xml:space="preserve"> inter-agency operational services by UNDP is not viewed as an objective unto itself, </w:t>
      </w:r>
      <w:r w:rsidR="009A3C05">
        <w:t xml:space="preserve">but </w:t>
      </w:r>
      <w:r w:rsidR="00522373" w:rsidRPr="00E303F0">
        <w:t>rather as a means to strengthen and enable adaptive and increasingly effective and efficient U</w:t>
      </w:r>
      <w:r w:rsidR="0044310E">
        <w:t xml:space="preserve">nited </w:t>
      </w:r>
      <w:r w:rsidR="00522373" w:rsidRPr="00E303F0">
        <w:t>N</w:t>
      </w:r>
      <w:r w:rsidR="0044310E">
        <w:t>ations</w:t>
      </w:r>
      <w:r w:rsidR="00522373" w:rsidRPr="00E303F0">
        <w:t xml:space="preserve"> support to partner Governments.</w:t>
      </w:r>
    </w:p>
    <w:p w14:paraId="433FA813" w14:textId="541E0747" w:rsidR="00522373" w:rsidRPr="00E303F0" w:rsidRDefault="00F33AF4" w:rsidP="00B70625">
      <w:pPr>
        <w:pStyle w:val="SingleTxt"/>
        <w:tabs>
          <w:tab w:val="left" w:pos="0"/>
          <w:tab w:val="left" w:pos="1170"/>
        </w:tabs>
        <w:spacing w:line="240" w:lineRule="auto"/>
        <w:ind w:left="1080" w:right="1271"/>
      </w:pPr>
      <w:r>
        <w:t xml:space="preserve">3. </w:t>
      </w:r>
      <w:r w:rsidR="0044310E">
        <w:t xml:space="preserve">The role of </w:t>
      </w:r>
      <w:r w:rsidR="00522373" w:rsidRPr="00E303F0">
        <w:t>UNDP as operational backbone is grounded in the organization’s management infrastructure across the globe, which is deployed to meet demand from fellow U</w:t>
      </w:r>
      <w:r w:rsidR="0044310E">
        <w:t xml:space="preserve">nited </w:t>
      </w:r>
      <w:r w:rsidR="00522373" w:rsidRPr="00E303F0">
        <w:t>N</w:t>
      </w:r>
      <w:r w:rsidR="0044310E">
        <w:t>ations</w:t>
      </w:r>
      <w:r w:rsidR="00522373" w:rsidRPr="00E303F0">
        <w:t xml:space="preserve"> entities and partner Governments for services in </w:t>
      </w:r>
      <w:r w:rsidR="0044310E">
        <w:t>h</w:t>
      </w:r>
      <w:r w:rsidR="0044310E" w:rsidRPr="00E303F0">
        <w:t xml:space="preserve">uman </w:t>
      </w:r>
      <w:r w:rsidR="0044310E">
        <w:t>r</w:t>
      </w:r>
      <w:r w:rsidR="0044310E" w:rsidRPr="00E303F0">
        <w:t xml:space="preserve">esources </w:t>
      </w:r>
      <w:r w:rsidR="00522373" w:rsidRPr="00E303F0">
        <w:t xml:space="preserve">management, finance, procurement, </w:t>
      </w:r>
      <w:r w:rsidR="0044310E">
        <w:t>i</w:t>
      </w:r>
      <w:r w:rsidR="0044310E" w:rsidRPr="00E303F0">
        <w:t xml:space="preserve">nformation </w:t>
      </w:r>
      <w:r w:rsidR="00522373" w:rsidRPr="00E303F0">
        <w:t xml:space="preserve">and </w:t>
      </w:r>
      <w:r w:rsidR="0044310E">
        <w:t>c</w:t>
      </w:r>
      <w:r w:rsidR="0044310E" w:rsidRPr="00E303F0">
        <w:t xml:space="preserve">ommunication </w:t>
      </w:r>
      <w:r w:rsidR="0044310E">
        <w:t>t</w:t>
      </w:r>
      <w:r w:rsidR="0044310E" w:rsidRPr="00E303F0">
        <w:t xml:space="preserve">echnology </w:t>
      </w:r>
      <w:r w:rsidR="00522373" w:rsidRPr="00E303F0">
        <w:t>(ICT), legal affairs, security, and other administrative areas. UNDP</w:t>
      </w:r>
      <w:r w:rsidR="0044310E">
        <w:t>,</w:t>
      </w:r>
      <w:r w:rsidR="00522373" w:rsidRPr="00E303F0">
        <w:t xml:space="preserve"> uniquely among U</w:t>
      </w:r>
      <w:r w:rsidR="0044310E">
        <w:t xml:space="preserve">nited </w:t>
      </w:r>
      <w:r w:rsidR="00522373" w:rsidRPr="00E303F0">
        <w:t>N</w:t>
      </w:r>
      <w:r w:rsidR="0044310E">
        <w:t>ations</w:t>
      </w:r>
      <w:r w:rsidR="00522373" w:rsidRPr="00E303F0">
        <w:t xml:space="preserve"> and other multilateral institutions</w:t>
      </w:r>
      <w:r w:rsidR="0044310E">
        <w:t>,</w:t>
      </w:r>
      <w:r w:rsidR="00522373" w:rsidRPr="00E303F0">
        <w:t xml:space="preserve"> has extensive operational capacities in these service areas and the </w:t>
      </w:r>
      <w:r w:rsidR="0044310E" w:rsidRPr="00E303F0">
        <w:t xml:space="preserve">capability </w:t>
      </w:r>
      <w:r w:rsidR="00522373" w:rsidRPr="00E303F0">
        <w:t xml:space="preserve">to provide them through a network of 131 country offices, additional </w:t>
      </w:r>
      <w:r w:rsidR="0044310E" w:rsidRPr="00E303F0">
        <w:t>speciali</w:t>
      </w:r>
      <w:r w:rsidR="0044310E">
        <w:t>z</w:t>
      </w:r>
      <w:r w:rsidR="0044310E" w:rsidRPr="00E303F0">
        <w:t xml:space="preserve">ed </w:t>
      </w:r>
      <w:r w:rsidR="00522373" w:rsidRPr="00E303F0">
        <w:t>offices, five regional hubs and two global shared services centres in Copenhagen</w:t>
      </w:r>
      <w:r w:rsidR="009A3C05">
        <w:t>, Denmark</w:t>
      </w:r>
      <w:r w:rsidR="00522373" w:rsidRPr="00E303F0">
        <w:t xml:space="preserve"> and Kuala Lumpur</w:t>
      </w:r>
      <w:r w:rsidR="009A3C05">
        <w:t>, Malaysia</w:t>
      </w:r>
      <w:r w:rsidR="0044310E">
        <w:t>.</w:t>
      </w:r>
      <w:r w:rsidR="00522373" w:rsidRPr="00E303F0">
        <w:t xml:space="preserve"> </w:t>
      </w:r>
      <w:r w:rsidR="0044310E">
        <w:t>T</w:t>
      </w:r>
      <w:r w:rsidR="0044310E" w:rsidRPr="00E303F0">
        <w:t xml:space="preserve">he </w:t>
      </w:r>
      <w:r w:rsidR="00522373" w:rsidRPr="00E303F0">
        <w:t xml:space="preserve">provision of these services </w:t>
      </w:r>
      <w:r w:rsidR="0044310E">
        <w:t xml:space="preserve">by UNDP </w:t>
      </w:r>
      <w:r w:rsidR="00522373" w:rsidRPr="00E303F0">
        <w:t>enables</w:t>
      </w:r>
      <w:r w:rsidR="00522373" w:rsidRPr="00C24AEB">
        <w:rPr>
          <w:sz w:val="24"/>
          <w:szCs w:val="24"/>
        </w:rPr>
        <w:t xml:space="preserve"> </w:t>
      </w:r>
      <w:r w:rsidR="00522373" w:rsidRPr="00E303F0">
        <w:t>U</w:t>
      </w:r>
      <w:r w:rsidR="0044310E">
        <w:t xml:space="preserve">nited </w:t>
      </w:r>
      <w:r w:rsidR="00522373" w:rsidRPr="00E303F0">
        <w:t>N</w:t>
      </w:r>
      <w:r w:rsidR="0044310E">
        <w:t>ations</w:t>
      </w:r>
      <w:r w:rsidR="00522373" w:rsidRPr="00E303F0">
        <w:t xml:space="preserve"> and other partners to operate effectively and cost-efficiently in difficult and sometimes risky operational contexts.</w:t>
      </w:r>
    </w:p>
    <w:p w14:paraId="692652DD" w14:textId="246C48A1" w:rsidR="00522373" w:rsidRPr="00E303F0" w:rsidRDefault="00F33AF4" w:rsidP="00B70625">
      <w:pPr>
        <w:pStyle w:val="SingleTxt"/>
        <w:tabs>
          <w:tab w:val="left" w:pos="0"/>
          <w:tab w:val="left" w:pos="1170"/>
        </w:tabs>
        <w:spacing w:line="240" w:lineRule="auto"/>
        <w:ind w:left="1080" w:right="1271"/>
      </w:pPr>
      <w:r>
        <w:t xml:space="preserve">4. </w:t>
      </w:r>
      <w:r w:rsidR="00522373" w:rsidRPr="00E303F0">
        <w:t xml:space="preserve">Today, management support (operations) services </w:t>
      </w:r>
      <w:r w:rsidR="0044310E">
        <w:t xml:space="preserve">provided by UNDP </w:t>
      </w:r>
      <w:r w:rsidR="00522373" w:rsidRPr="00E303F0">
        <w:t>comprise human resources, finance, ICT, procurement and common services, delivered through two sites</w:t>
      </w:r>
      <w:r w:rsidR="0044310E">
        <w:t>,</w:t>
      </w:r>
      <w:r w:rsidR="0044310E" w:rsidRPr="00E303F0">
        <w:t xml:space="preserve"> </w:t>
      </w:r>
      <w:r w:rsidR="00522373" w:rsidRPr="00E303F0">
        <w:t xml:space="preserve">Copenhagen and Kuala Lumpur, as well as </w:t>
      </w:r>
      <w:r w:rsidR="0044310E">
        <w:t>through</w:t>
      </w:r>
      <w:r w:rsidR="0044310E" w:rsidRPr="00E303F0">
        <w:t xml:space="preserve"> </w:t>
      </w:r>
      <w:r w:rsidR="00522373" w:rsidRPr="00E303F0">
        <w:t xml:space="preserve">country offices and regional hubs.  </w:t>
      </w:r>
      <w:r w:rsidR="00522373" w:rsidRPr="00E303F0">
        <w:lastRenderedPageBreak/>
        <w:t xml:space="preserve">The volume of operations services </w:t>
      </w:r>
      <w:r w:rsidR="0044310E">
        <w:t xml:space="preserve">which </w:t>
      </w:r>
      <w:r w:rsidR="00522373" w:rsidRPr="00E303F0">
        <w:t>UNDP provides to U</w:t>
      </w:r>
      <w:r w:rsidR="0044310E">
        <w:t xml:space="preserve">nited </w:t>
      </w:r>
      <w:r w:rsidR="00522373" w:rsidRPr="00E303F0">
        <w:t>N</w:t>
      </w:r>
      <w:r w:rsidR="0044310E">
        <w:t>ations</w:t>
      </w:r>
      <w:r w:rsidR="00522373" w:rsidRPr="00E303F0">
        <w:t xml:space="preserve"> clients annually is considerable:</w:t>
      </w:r>
    </w:p>
    <w:p w14:paraId="686368F9" w14:textId="768CC907" w:rsidR="00DA0185" w:rsidRPr="00DA0185" w:rsidRDefault="00DA0185" w:rsidP="00B70625">
      <w:pPr>
        <w:spacing w:after="120"/>
        <w:ind w:left="1080" w:right="1271"/>
        <w:jc w:val="both"/>
        <w:rPr>
          <w:spacing w:val="4"/>
          <w:w w:val="103"/>
          <w:kern w:val="14"/>
          <w:sz w:val="20"/>
          <w:szCs w:val="20"/>
          <w:lang w:val="en-GB"/>
        </w:rPr>
      </w:pPr>
      <w:r w:rsidRPr="00DA0185">
        <w:rPr>
          <w:spacing w:val="4"/>
          <w:w w:val="103"/>
          <w:kern w:val="14"/>
          <w:sz w:val="20"/>
          <w:szCs w:val="20"/>
          <w:lang w:val="en-GB"/>
        </w:rPr>
        <w:t xml:space="preserve">(a) </w:t>
      </w:r>
      <w:r w:rsidR="00522373" w:rsidRPr="00DA0185">
        <w:rPr>
          <w:spacing w:val="4"/>
          <w:w w:val="103"/>
          <w:kern w:val="14"/>
          <w:sz w:val="20"/>
          <w:szCs w:val="20"/>
          <w:lang w:val="en-GB"/>
        </w:rPr>
        <w:t>Provision of transaction processing services to 118 external clients in over 170 countries with an annual operational volume of approximately $2.04 billion</w:t>
      </w:r>
      <w:r w:rsidR="0044310E">
        <w:rPr>
          <w:spacing w:val="4"/>
          <w:w w:val="103"/>
          <w:kern w:val="14"/>
          <w:sz w:val="20"/>
          <w:szCs w:val="20"/>
          <w:lang w:val="en-GB"/>
        </w:rPr>
        <w:t>: seven</w:t>
      </w:r>
      <w:r w:rsidR="00522373" w:rsidRPr="00DA0185">
        <w:rPr>
          <w:spacing w:val="4"/>
          <w:w w:val="103"/>
          <w:kern w:val="14"/>
          <w:sz w:val="20"/>
          <w:szCs w:val="20"/>
          <w:lang w:val="en-GB"/>
        </w:rPr>
        <w:t xml:space="preserve"> U</w:t>
      </w:r>
      <w:r w:rsidR="0044310E">
        <w:rPr>
          <w:spacing w:val="4"/>
          <w:w w:val="103"/>
          <w:kern w:val="14"/>
          <w:sz w:val="20"/>
          <w:szCs w:val="20"/>
          <w:lang w:val="en-GB"/>
        </w:rPr>
        <w:t xml:space="preserve">nited </w:t>
      </w:r>
      <w:r w:rsidR="00522373" w:rsidRPr="00DA0185">
        <w:rPr>
          <w:spacing w:val="4"/>
          <w:w w:val="103"/>
          <w:kern w:val="14"/>
          <w:sz w:val="20"/>
          <w:szCs w:val="20"/>
          <w:lang w:val="en-GB"/>
        </w:rPr>
        <w:t>N</w:t>
      </w:r>
      <w:r w:rsidR="0044310E">
        <w:rPr>
          <w:spacing w:val="4"/>
          <w:w w:val="103"/>
          <w:kern w:val="14"/>
          <w:sz w:val="20"/>
          <w:szCs w:val="20"/>
          <w:lang w:val="en-GB"/>
        </w:rPr>
        <w:t>ations</w:t>
      </w:r>
      <w:r w:rsidR="00EA1696" w:rsidRPr="00EA1696">
        <w:t xml:space="preserve"> </w:t>
      </w:r>
      <w:r w:rsidR="00022921" w:rsidRPr="00022921">
        <w:rPr>
          <w:sz w:val="22"/>
          <w:szCs w:val="22"/>
        </w:rPr>
        <w:t>agencies in</w:t>
      </w:r>
      <w:r w:rsidR="00022921">
        <w:t xml:space="preserve"> </w:t>
      </w:r>
      <w:r w:rsidR="00EA1696" w:rsidRPr="00022921">
        <w:rPr>
          <w:spacing w:val="4"/>
          <w:w w:val="103"/>
          <w:kern w:val="14"/>
          <w:sz w:val="20"/>
          <w:szCs w:val="20"/>
          <w:lang w:val="en-GB"/>
        </w:rPr>
        <w:t>the UNDP</w:t>
      </w:r>
      <w:r w:rsidR="00EA1696">
        <w:t xml:space="preserve"> </w:t>
      </w:r>
      <w:r w:rsidR="00522373" w:rsidRPr="00DA0185">
        <w:rPr>
          <w:spacing w:val="4"/>
          <w:w w:val="103"/>
          <w:kern w:val="14"/>
          <w:sz w:val="20"/>
          <w:szCs w:val="20"/>
          <w:lang w:val="en-GB"/>
        </w:rPr>
        <w:t>A</w:t>
      </w:r>
      <w:r w:rsidR="0044310E" w:rsidRPr="00DA0185">
        <w:rPr>
          <w:spacing w:val="4"/>
          <w:w w:val="103"/>
          <w:kern w:val="14"/>
          <w:sz w:val="20"/>
          <w:szCs w:val="20"/>
          <w:lang w:val="en-GB"/>
        </w:rPr>
        <w:t>tlas</w:t>
      </w:r>
      <w:r w:rsidR="00522373" w:rsidRPr="00DA0185">
        <w:rPr>
          <w:spacing w:val="4"/>
          <w:w w:val="103"/>
          <w:kern w:val="14"/>
          <w:sz w:val="20"/>
          <w:szCs w:val="20"/>
          <w:lang w:val="en-GB"/>
        </w:rPr>
        <w:t xml:space="preserve"> </w:t>
      </w:r>
      <w:r w:rsidR="00022921" w:rsidRPr="00022921">
        <w:rPr>
          <w:spacing w:val="4"/>
          <w:w w:val="103"/>
          <w:kern w:val="14"/>
          <w:sz w:val="20"/>
          <w:szCs w:val="20"/>
          <w:lang w:val="en-GB"/>
        </w:rPr>
        <w:t>enterprise resource planning (ERP) system</w:t>
      </w:r>
      <w:r w:rsidR="00121388">
        <w:rPr>
          <w:spacing w:val="4"/>
          <w:w w:val="103"/>
          <w:kern w:val="14"/>
          <w:sz w:val="20"/>
          <w:szCs w:val="20"/>
          <w:lang w:val="en-GB"/>
        </w:rPr>
        <w:t xml:space="preserve"> </w:t>
      </w:r>
      <w:r w:rsidR="00522373" w:rsidRPr="00DA0185">
        <w:rPr>
          <w:spacing w:val="4"/>
          <w:w w:val="103"/>
          <w:kern w:val="14"/>
          <w:sz w:val="20"/>
          <w:szCs w:val="20"/>
          <w:lang w:val="en-GB"/>
        </w:rPr>
        <w:t>(mainly payroll and vendor payments) for a total of $1.21 billion</w:t>
      </w:r>
      <w:r w:rsidR="00480EE7">
        <w:rPr>
          <w:spacing w:val="4"/>
          <w:w w:val="103"/>
          <w:kern w:val="14"/>
          <w:sz w:val="20"/>
          <w:szCs w:val="20"/>
          <w:lang w:val="en-GB"/>
        </w:rPr>
        <w:t>;</w:t>
      </w:r>
      <w:r w:rsidR="00522373" w:rsidRPr="00DA0185">
        <w:rPr>
          <w:spacing w:val="4"/>
          <w:w w:val="103"/>
          <w:kern w:val="14"/>
          <w:sz w:val="20"/>
          <w:szCs w:val="20"/>
          <w:lang w:val="en-GB"/>
        </w:rPr>
        <w:t xml:space="preserve"> and 111 non-Atlas (external</w:t>
      </w:r>
      <w:r w:rsidR="00022921">
        <w:rPr>
          <w:spacing w:val="4"/>
          <w:w w:val="103"/>
          <w:kern w:val="14"/>
          <w:sz w:val="20"/>
          <w:szCs w:val="20"/>
          <w:lang w:val="en-GB"/>
        </w:rPr>
        <w:t xml:space="preserve"> users of Atlas</w:t>
      </w:r>
      <w:r w:rsidR="00522373" w:rsidRPr="00DA0185">
        <w:rPr>
          <w:spacing w:val="4"/>
          <w:w w:val="103"/>
          <w:kern w:val="14"/>
          <w:sz w:val="20"/>
          <w:szCs w:val="20"/>
          <w:lang w:val="en-GB"/>
        </w:rPr>
        <w:t>) U</w:t>
      </w:r>
      <w:r w:rsidR="00586A4E">
        <w:rPr>
          <w:spacing w:val="4"/>
          <w:w w:val="103"/>
          <w:kern w:val="14"/>
          <w:sz w:val="20"/>
          <w:szCs w:val="20"/>
          <w:lang w:val="en-GB"/>
        </w:rPr>
        <w:t xml:space="preserve">nited </w:t>
      </w:r>
      <w:r w:rsidR="00522373" w:rsidRPr="00DA0185">
        <w:rPr>
          <w:spacing w:val="4"/>
          <w:w w:val="103"/>
          <w:kern w:val="14"/>
          <w:sz w:val="20"/>
          <w:szCs w:val="20"/>
          <w:lang w:val="en-GB"/>
        </w:rPr>
        <w:t>N</w:t>
      </w:r>
      <w:r w:rsidR="00586A4E">
        <w:rPr>
          <w:spacing w:val="4"/>
          <w:w w:val="103"/>
          <w:kern w:val="14"/>
          <w:sz w:val="20"/>
          <w:szCs w:val="20"/>
          <w:lang w:val="en-GB"/>
        </w:rPr>
        <w:t>ations</w:t>
      </w:r>
      <w:r w:rsidR="00522373" w:rsidRPr="00DA0185">
        <w:rPr>
          <w:spacing w:val="4"/>
          <w:w w:val="103"/>
          <w:kern w:val="14"/>
          <w:sz w:val="20"/>
          <w:szCs w:val="20"/>
          <w:lang w:val="en-GB"/>
        </w:rPr>
        <w:t xml:space="preserve"> agencies and other entities for a total of $0.83 billion</w:t>
      </w:r>
      <w:r w:rsidR="00586A4E">
        <w:rPr>
          <w:spacing w:val="4"/>
          <w:w w:val="103"/>
          <w:kern w:val="14"/>
          <w:sz w:val="20"/>
          <w:szCs w:val="20"/>
          <w:lang w:val="en-GB"/>
        </w:rPr>
        <w:t>;</w:t>
      </w:r>
    </w:p>
    <w:p w14:paraId="43FD9BF1" w14:textId="716AAB11" w:rsidR="00522373" w:rsidRPr="00DA0185" w:rsidRDefault="00DA0185" w:rsidP="00B70625">
      <w:pPr>
        <w:spacing w:after="120"/>
        <w:ind w:left="1080" w:right="1271"/>
        <w:jc w:val="both"/>
        <w:rPr>
          <w:spacing w:val="4"/>
          <w:w w:val="103"/>
          <w:kern w:val="14"/>
          <w:sz w:val="20"/>
          <w:szCs w:val="20"/>
          <w:lang w:val="en-GB"/>
        </w:rPr>
      </w:pPr>
      <w:r w:rsidRPr="00DA0185">
        <w:rPr>
          <w:spacing w:val="4"/>
          <w:w w:val="103"/>
          <w:kern w:val="14"/>
          <w:sz w:val="20"/>
          <w:szCs w:val="20"/>
          <w:lang w:val="en-GB"/>
        </w:rPr>
        <w:t xml:space="preserve">(b) </w:t>
      </w:r>
      <w:r w:rsidR="00522373" w:rsidRPr="00DA0185">
        <w:rPr>
          <w:sz w:val="20"/>
          <w:szCs w:val="20"/>
        </w:rPr>
        <w:t xml:space="preserve">Provision of treasury investment services </w:t>
      </w:r>
      <w:r w:rsidR="00586A4E">
        <w:rPr>
          <w:sz w:val="20"/>
          <w:szCs w:val="20"/>
        </w:rPr>
        <w:t xml:space="preserve">totaling </w:t>
      </w:r>
      <w:r w:rsidR="00522373" w:rsidRPr="00DA0185">
        <w:rPr>
          <w:sz w:val="20"/>
          <w:szCs w:val="20"/>
        </w:rPr>
        <w:t>$7.</w:t>
      </w:r>
      <w:r w:rsidR="00504FEC">
        <w:rPr>
          <w:sz w:val="20"/>
          <w:szCs w:val="20"/>
        </w:rPr>
        <w:t>5</w:t>
      </w:r>
      <w:r w:rsidR="00522373" w:rsidRPr="00DA0185">
        <w:rPr>
          <w:sz w:val="20"/>
          <w:szCs w:val="20"/>
        </w:rPr>
        <w:t>8</w:t>
      </w:r>
      <w:r w:rsidR="00504FEC">
        <w:rPr>
          <w:sz w:val="20"/>
          <w:szCs w:val="20"/>
        </w:rPr>
        <w:t>85</w:t>
      </w:r>
      <w:r w:rsidR="00522373" w:rsidRPr="00DA0185">
        <w:rPr>
          <w:sz w:val="20"/>
          <w:szCs w:val="20"/>
        </w:rPr>
        <w:t xml:space="preserve"> billion</w:t>
      </w:r>
      <w:r w:rsidR="00586A4E">
        <w:rPr>
          <w:sz w:val="20"/>
          <w:szCs w:val="20"/>
        </w:rPr>
        <w:t>:</w:t>
      </w:r>
      <w:r w:rsidR="00522373" w:rsidRPr="00DA0185">
        <w:rPr>
          <w:sz w:val="20"/>
          <w:szCs w:val="20"/>
        </w:rPr>
        <w:t xml:space="preserve"> $5.67</w:t>
      </w:r>
      <w:r w:rsidR="00504FEC">
        <w:rPr>
          <w:sz w:val="20"/>
          <w:szCs w:val="20"/>
        </w:rPr>
        <w:t>78</w:t>
      </w:r>
      <w:r w:rsidR="00522373" w:rsidRPr="00DA0185">
        <w:rPr>
          <w:sz w:val="20"/>
          <w:szCs w:val="20"/>
        </w:rPr>
        <w:t xml:space="preserve"> billion for UNDP and the Multi-Donor Trust Fund, $1.1</w:t>
      </w:r>
      <w:r w:rsidR="00504FEC">
        <w:rPr>
          <w:sz w:val="20"/>
          <w:szCs w:val="20"/>
        </w:rPr>
        <w:t>73</w:t>
      </w:r>
      <w:r w:rsidR="00522373" w:rsidRPr="00DA0185">
        <w:rPr>
          <w:sz w:val="20"/>
          <w:szCs w:val="20"/>
        </w:rPr>
        <w:t xml:space="preserve">1 billion for </w:t>
      </w:r>
      <w:r w:rsidR="00586A4E">
        <w:rPr>
          <w:sz w:val="20"/>
          <w:szCs w:val="20"/>
        </w:rPr>
        <w:t>six</w:t>
      </w:r>
      <w:r w:rsidR="00522373" w:rsidRPr="00DA0185">
        <w:rPr>
          <w:sz w:val="20"/>
          <w:szCs w:val="20"/>
        </w:rPr>
        <w:t xml:space="preserve"> U</w:t>
      </w:r>
      <w:r w:rsidR="00586A4E">
        <w:rPr>
          <w:sz w:val="20"/>
          <w:szCs w:val="20"/>
        </w:rPr>
        <w:t xml:space="preserve">nited </w:t>
      </w:r>
      <w:r w:rsidR="00522373" w:rsidRPr="00DA0185">
        <w:rPr>
          <w:sz w:val="20"/>
          <w:szCs w:val="20"/>
        </w:rPr>
        <w:t>N</w:t>
      </w:r>
      <w:r w:rsidR="00586A4E">
        <w:rPr>
          <w:sz w:val="20"/>
          <w:szCs w:val="20"/>
        </w:rPr>
        <w:t>ations</w:t>
      </w:r>
      <w:r w:rsidR="00522373" w:rsidRPr="00DA0185">
        <w:rPr>
          <w:sz w:val="20"/>
          <w:szCs w:val="20"/>
        </w:rPr>
        <w:t xml:space="preserve"> agencies</w:t>
      </w:r>
      <w:r w:rsidR="009A3C05">
        <w:rPr>
          <w:sz w:val="20"/>
          <w:szCs w:val="20"/>
        </w:rPr>
        <w:t>;</w:t>
      </w:r>
      <w:r w:rsidR="00522373" w:rsidRPr="00DA0185">
        <w:rPr>
          <w:sz w:val="20"/>
          <w:szCs w:val="20"/>
        </w:rPr>
        <w:t xml:space="preserve"> and $0.</w:t>
      </w:r>
      <w:r w:rsidR="00D60044">
        <w:rPr>
          <w:sz w:val="20"/>
          <w:szCs w:val="20"/>
        </w:rPr>
        <w:t>7376</w:t>
      </w:r>
      <w:r w:rsidR="00522373" w:rsidRPr="00DA0185">
        <w:rPr>
          <w:sz w:val="20"/>
          <w:szCs w:val="20"/>
        </w:rPr>
        <w:t xml:space="preserve"> billion </w:t>
      </w:r>
      <w:r w:rsidR="00586A4E">
        <w:rPr>
          <w:sz w:val="20"/>
          <w:szCs w:val="20"/>
        </w:rPr>
        <w:t xml:space="preserve">for after-service health insurance </w:t>
      </w:r>
      <w:r w:rsidR="00522373" w:rsidRPr="00DA0185">
        <w:rPr>
          <w:sz w:val="20"/>
          <w:szCs w:val="20"/>
        </w:rPr>
        <w:t>(externally managed with UNDP oversight) for UNDP ($0.</w:t>
      </w:r>
      <w:r w:rsidR="00D60044">
        <w:rPr>
          <w:sz w:val="20"/>
          <w:szCs w:val="20"/>
        </w:rPr>
        <w:t>4931</w:t>
      </w:r>
      <w:r w:rsidR="00522373" w:rsidRPr="00DA0185">
        <w:rPr>
          <w:sz w:val="20"/>
          <w:szCs w:val="20"/>
        </w:rPr>
        <w:t xml:space="preserve"> billion), </w:t>
      </w:r>
      <w:r w:rsidR="00586A4E">
        <w:rPr>
          <w:sz w:val="20"/>
          <w:szCs w:val="20"/>
        </w:rPr>
        <w:t>the United Nations Population Fund</w:t>
      </w:r>
      <w:r w:rsidR="00522373" w:rsidRPr="00DA0185">
        <w:rPr>
          <w:sz w:val="20"/>
          <w:szCs w:val="20"/>
        </w:rPr>
        <w:t xml:space="preserve">, </w:t>
      </w:r>
      <w:r w:rsidR="00586A4E">
        <w:rPr>
          <w:sz w:val="20"/>
          <w:szCs w:val="20"/>
        </w:rPr>
        <w:t>the United Nations Entity for Gender Equality and the Empowerment of Women (</w:t>
      </w:r>
      <w:r w:rsidR="00522373" w:rsidRPr="00DA0185">
        <w:rPr>
          <w:sz w:val="20"/>
          <w:szCs w:val="20"/>
        </w:rPr>
        <w:t>UN</w:t>
      </w:r>
      <w:r w:rsidR="00586A4E">
        <w:rPr>
          <w:sz w:val="20"/>
          <w:szCs w:val="20"/>
        </w:rPr>
        <w:t>-</w:t>
      </w:r>
      <w:r w:rsidR="00522373" w:rsidRPr="00DA0185">
        <w:rPr>
          <w:sz w:val="20"/>
          <w:szCs w:val="20"/>
        </w:rPr>
        <w:t>Women</w:t>
      </w:r>
      <w:r w:rsidR="00586A4E">
        <w:rPr>
          <w:sz w:val="20"/>
          <w:szCs w:val="20"/>
        </w:rPr>
        <w:t>)</w:t>
      </w:r>
      <w:r w:rsidR="00522373" w:rsidRPr="00DA0185">
        <w:rPr>
          <w:sz w:val="20"/>
          <w:szCs w:val="20"/>
        </w:rPr>
        <w:t xml:space="preserve"> and </w:t>
      </w:r>
      <w:r w:rsidR="00586A4E">
        <w:rPr>
          <w:sz w:val="20"/>
          <w:szCs w:val="20"/>
        </w:rPr>
        <w:t>the United Nations Capital Development Fund (</w:t>
      </w:r>
      <w:r w:rsidR="00522373" w:rsidRPr="00DA0185">
        <w:rPr>
          <w:sz w:val="20"/>
          <w:szCs w:val="20"/>
        </w:rPr>
        <w:t>UNCDF</w:t>
      </w:r>
      <w:r w:rsidR="00586A4E">
        <w:rPr>
          <w:sz w:val="20"/>
          <w:szCs w:val="20"/>
        </w:rPr>
        <w:t>)</w:t>
      </w:r>
      <w:r w:rsidR="00522373" w:rsidRPr="00DA0185">
        <w:rPr>
          <w:sz w:val="20"/>
          <w:szCs w:val="20"/>
        </w:rPr>
        <w:t xml:space="preserve"> </w:t>
      </w:r>
      <w:r w:rsidR="00586A4E">
        <w:rPr>
          <w:sz w:val="20"/>
          <w:szCs w:val="20"/>
        </w:rPr>
        <w:t>(</w:t>
      </w:r>
      <w:r w:rsidR="00522373" w:rsidRPr="00DA0185">
        <w:rPr>
          <w:sz w:val="20"/>
          <w:szCs w:val="20"/>
        </w:rPr>
        <w:t>total</w:t>
      </w:r>
      <w:r w:rsidR="00586A4E">
        <w:rPr>
          <w:sz w:val="20"/>
          <w:szCs w:val="20"/>
        </w:rPr>
        <w:t>ing</w:t>
      </w:r>
      <w:r w:rsidR="00522373" w:rsidRPr="00DA0185">
        <w:rPr>
          <w:sz w:val="20"/>
          <w:szCs w:val="20"/>
        </w:rPr>
        <w:t xml:space="preserve"> $0.2</w:t>
      </w:r>
      <w:r w:rsidR="00D60044">
        <w:rPr>
          <w:sz w:val="20"/>
          <w:szCs w:val="20"/>
        </w:rPr>
        <w:t>445</w:t>
      </w:r>
      <w:r w:rsidR="00522373" w:rsidRPr="00DA0185">
        <w:rPr>
          <w:sz w:val="20"/>
          <w:szCs w:val="20"/>
        </w:rPr>
        <w:t xml:space="preserve"> billion</w:t>
      </w:r>
      <w:r w:rsidR="00586A4E">
        <w:rPr>
          <w:sz w:val="20"/>
          <w:szCs w:val="20"/>
        </w:rPr>
        <w:t>)</w:t>
      </w:r>
      <w:r w:rsidR="00D60044">
        <w:rPr>
          <w:sz w:val="20"/>
          <w:szCs w:val="20"/>
        </w:rPr>
        <w:t>*</w:t>
      </w:r>
      <w:r w:rsidR="00586A4E">
        <w:rPr>
          <w:sz w:val="20"/>
          <w:szCs w:val="20"/>
        </w:rPr>
        <w:t>;</w:t>
      </w:r>
    </w:p>
    <w:p w14:paraId="00379D5F" w14:textId="120912B9" w:rsidR="00522373" w:rsidRPr="00DA0185" w:rsidRDefault="00DA0185" w:rsidP="00B70625">
      <w:pPr>
        <w:pStyle w:val="SingleTxt"/>
        <w:tabs>
          <w:tab w:val="left" w:pos="900"/>
          <w:tab w:val="left" w:pos="1170"/>
        </w:tabs>
        <w:spacing w:line="240" w:lineRule="auto"/>
        <w:ind w:left="1080" w:right="1271"/>
      </w:pPr>
      <w:r w:rsidRPr="00DA0185">
        <w:t xml:space="preserve">(c) </w:t>
      </w:r>
      <w:r w:rsidR="00522373" w:rsidRPr="00DA0185">
        <w:t xml:space="preserve">Disbursement of $1.35 billion </w:t>
      </w:r>
      <w:r w:rsidR="00586A4E" w:rsidRPr="00DA0185">
        <w:t xml:space="preserve">in 114 currencies </w:t>
      </w:r>
      <w:r w:rsidR="00522373" w:rsidRPr="00DA0185">
        <w:t xml:space="preserve">through UNDP payroll systems, </w:t>
      </w:r>
      <w:r w:rsidR="00586A4E">
        <w:t xml:space="preserve">of which </w:t>
      </w:r>
      <w:r w:rsidR="00522373" w:rsidRPr="00DA0185">
        <w:t>$0.62 billion (46</w:t>
      </w:r>
      <w:r w:rsidR="00586A4E">
        <w:t xml:space="preserve"> per cent</w:t>
      </w:r>
      <w:r w:rsidR="00586A4E" w:rsidRPr="00DA0185">
        <w:t xml:space="preserve">) </w:t>
      </w:r>
      <w:r w:rsidR="00586A4E">
        <w:t>is</w:t>
      </w:r>
      <w:r w:rsidR="00522373" w:rsidRPr="00DA0185">
        <w:t xml:space="preserve"> on behalf of U</w:t>
      </w:r>
      <w:r w:rsidR="00586A4E">
        <w:t xml:space="preserve">nited </w:t>
      </w:r>
      <w:r w:rsidR="00522373" w:rsidRPr="00DA0185">
        <w:t>N</w:t>
      </w:r>
      <w:r w:rsidR="00586A4E">
        <w:t>ations</w:t>
      </w:r>
      <w:r w:rsidR="00522373" w:rsidRPr="00DA0185">
        <w:t xml:space="preserve"> partner organizations for </w:t>
      </w:r>
      <w:r w:rsidR="0031031A">
        <w:t>o</w:t>
      </w:r>
      <w:r w:rsidR="00522373" w:rsidRPr="00DA0185">
        <w:t>n average 34,800 personnel per month. Payroll clients include staff</w:t>
      </w:r>
      <w:r w:rsidR="00586A4E">
        <w:t>,</w:t>
      </w:r>
      <w:r w:rsidR="00522373" w:rsidRPr="00DA0185">
        <w:t xml:space="preserve"> U</w:t>
      </w:r>
      <w:r w:rsidR="00586A4E">
        <w:t xml:space="preserve">nited </w:t>
      </w:r>
      <w:r w:rsidR="00522373" w:rsidRPr="00DA0185">
        <w:t>N</w:t>
      </w:r>
      <w:r w:rsidR="00586A4E">
        <w:t>ations</w:t>
      </w:r>
      <w:r w:rsidR="00522373" w:rsidRPr="00DA0185">
        <w:t xml:space="preserve"> Volunteers and </w:t>
      </w:r>
      <w:r w:rsidR="00586A4E">
        <w:t>s</w:t>
      </w:r>
      <w:r w:rsidR="00586A4E" w:rsidRPr="00DA0185">
        <w:t xml:space="preserve">ervice </w:t>
      </w:r>
      <w:r w:rsidR="00586A4E">
        <w:t>c</w:t>
      </w:r>
      <w:r w:rsidR="00586A4E" w:rsidRPr="00DA0185">
        <w:t xml:space="preserve">ontract </w:t>
      </w:r>
      <w:r w:rsidR="00522373" w:rsidRPr="00DA0185">
        <w:t xml:space="preserve">holders </w:t>
      </w:r>
      <w:r w:rsidR="00586A4E">
        <w:t>at</w:t>
      </w:r>
      <w:r w:rsidR="00522373" w:rsidRPr="00DA0185">
        <w:t xml:space="preserve"> </w:t>
      </w:r>
      <w:r w:rsidR="00586A4E">
        <w:t>headquarters</w:t>
      </w:r>
      <w:r w:rsidR="00586A4E" w:rsidRPr="00DA0185">
        <w:t xml:space="preserve"> </w:t>
      </w:r>
      <w:r w:rsidR="00522373" w:rsidRPr="00DA0185">
        <w:t xml:space="preserve">and </w:t>
      </w:r>
      <w:r w:rsidR="00586A4E">
        <w:t>in c</w:t>
      </w:r>
      <w:r w:rsidR="00586A4E" w:rsidRPr="00DA0185">
        <w:t xml:space="preserve">ountry </w:t>
      </w:r>
      <w:r w:rsidR="00586A4E">
        <w:t>o</w:t>
      </w:r>
      <w:r w:rsidR="00586A4E" w:rsidRPr="00DA0185">
        <w:t xml:space="preserve">ffices </w:t>
      </w:r>
      <w:r w:rsidR="00522373" w:rsidRPr="00DA0185">
        <w:t>across more than 40 U</w:t>
      </w:r>
      <w:r w:rsidR="005E2134">
        <w:t xml:space="preserve">nited </w:t>
      </w:r>
      <w:r w:rsidR="00522373" w:rsidRPr="00DA0185">
        <w:t>N</w:t>
      </w:r>
      <w:r w:rsidR="005E2134">
        <w:t>ations</w:t>
      </w:r>
      <w:r w:rsidR="00522373" w:rsidRPr="00DA0185">
        <w:t xml:space="preserve"> agencies, funds, programmes and other entities</w:t>
      </w:r>
      <w:r w:rsidR="005E2134">
        <w:t>.</w:t>
      </w:r>
      <w:r w:rsidR="005E2134">
        <w:rPr>
          <w:rStyle w:val="FootnoteReference"/>
        </w:rPr>
        <w:footnoteReference w:id="2"/>
      </w:r>
      <w:r w:rsidR="005E2134">
        <w:t xml:space="preserve"> </w:t>
      </w:r>
      <w:r w:rsidR="00B65F4C">
        <w:t xml:space="preserve">Each month, </w:t>
      </w:r>
      <w:r w:rsidR="00522373" w:rsidRPr="00DA0185">
        <w:t xml:space="preserve">UNDP also administers benefits and entitlements for </w:t>
      </w:r>
      <w:r w:rsidR="007E7ABD">
        <w:t xml:space="preserve">an average of </w:t>
      </w:r>
      <w:r w:rsidR="00522373" w:rsidRPr="00DA0185">
        <w:t xml:space="preserve">4,200 </w:t>
      </w:r>
      <w:r w:rsidR="00B65F4C">
        <w:t>I</w:t>
      </w:r>
      <w:r w:rsidR="00B65F4C" w:rsidRPr="00DA0185">
        <w:t xml:space="preserve">nternational </w:t>
      </w:r>
      <w:r w:rsidR="00B65F4C">
        <w:t>P</w:t>
      </w:r>
      <w:r w:rsidR="00B65F4C" w:rsidRPr="00DA0185">
        <w:t xml:space="preserve">rofessional </w:t>
      </w:r>
      <w:r w:rsidR="00522373" w:rsidRPr="00DA0185">
        <w:t xml:space="preserve">and </w:t>
      </w:r>
      <w:r w:rsidR="00B65F4C">
        <w:t>G</w:t>
      </w:r>
      <w:r w:rsidR="00B65F4C" w:rsidRPr="00DA0185">
        <w:t xml:space="preserve">eneral </w:t>
      </w:r>
      <w:r w:rsidR="00B65F4C">
        <w:t>S</w:t>
      </w:r>
      <w:r w:rsidR="00B65F4C" w:rsidRPr="00DA0185">
        <w:t xml:space="preserve">ervice </w:t>
      </w:r>
      <w:r w:rsidR="00522373" w:rsidRPr="00DA0185">
        <w:t>staff from 10 U</w:t>
      </w:r>
      <w:r w:rsidR="00B65F4C">
        <w:t xml:space="preserve">nited </w:t>
      </w:r>
      <w:r w:rsidR="00522373" w:rsidRPr="00DA0185">
        <w:t>N</w:t>
      </w:r>
      <w:r w:rsidR="00B65F4C">
        <w:t>ations</w:t>
      </w:r>
      <w:r w:rsidR="00522373" w:rsidRPr="00DA0185">
        <w:t xml:space="preserve"> </w:t>
      </w:r>
      <w:r w:rsidR="00B65F4C">
        <w:t>a</w:t>
      </w:r>
      <w:r w:rsidR="00522373" w:rsidRPr="00DA0185">
        <w:t xml:space="preserve">gencies (4,900 individuals </w:t>
      </w:r>
      <w:r w:rsidR="007E7ABD">
        <w:t xml:space="preserve">serviced </w:t>
      </w:r>
      <w:r w:rsidR="00522373" w:rsidRPr="00DA0185">
        <w:t>annually)</w:t>
      </w:r>
      <w:r w:rsidR="00B65F4C">
        <w:t>;</w:t>
      </w:r>
    </w:p>
    <w:p w14:paraId="4F53E73E" w14:textId="75204F57" w:rsidR="00522373" w:rsidRPr="00DA0185" w:rsidRDefault="00DA0185" w:rsidP="00B70625">
      <w:pPr>
        <w:pStyle w:val="SingleTxt"/>
        <w:tabs>
          <w:tab w:val="left" w:pos="900"/>
          <w:tab w:val="left" w:pos="1170"/>
        </w:tabs>
        <w:spacing w:line="240" w:lineRule="auto"/>
        <w:ind w:left="1080" w:right="1271"/>
      </w:pPr>
      <w:r w:rsidRPr="00DA0185">
        <w:t xml:space="preserve">(d) </w:t>
      </w:r>
      <w:r w:rsidR="00522373" w:rsidRPr="00DA0185">
        <w:t xml:space="preserve">Annual procurement of $2.1 billion for directly implemented projects and $1.1 billion for </w:t>
      </w:r>
      <w:r w:rsidR="00B65F4C">
        <w:t xml:space="preserve">nationally implemented </w:t>
      </w:r>
      <w:r w:rsidR="00522373" w:rsidRPr="00DA0185">
        <w:t>projects, including $</w:t>
      </w:r>
      <w:r w:rsidR="00F40D9E">
        <w:t>274</w:t>
      </w:r>
      <w:r w:rsidR="00522373" w:rsidRPr="00DA0185">
        <w:t xml:space="preserve"> million on behalf of other agencies; </w:t>
      </w:r>
      <w:r w:rsidR="0031031A">
        <w:t xml:space="preserve">and </w:t>
      </w:r>
      <w:r w:rsidR="00522373" w:rsidRPr="00DA0185">
        <w:t xml:space="preserve">support for </w:t>
      </w:r>
      <w:r w:rsidR="00B65F4C">
        <w:t>G</w:t>
      </w:r>
      <w:r w:rsidR="00B65F4C" w:rsidRPr="00DA0185">
        <w:t xml:space="preserve">overnments </w:t>
      </w:r>
      <w:r w:rsidR="00522373" w:rsidRPr="00DA0185">
        <w:t>in undertaking large national procurement portfolios</w:t>
      </w:r>
      <w:r w:rsidR="00B65F4C">
        <w:t>;</w:t>
      </w:r>
    </w:p>
    <w:p w14:paraId="60DB0386" w14:textId="011FFC62" w:rsidR="00522373" w:rsidRPr="00DA0185" w:rsidRDefault="00DA0185" w:rsidP="00B70625">
      <w:pPr>
        <w:pStyle w:val="SingleTxt"/>
        <w:tabs>
          <w:tab w:val="left" w:pos="900"/>
          <w:tab w:val="left" w:pos="1170"/>
        </w:tabs>
        <w:spacing w:line="240" w:lineRule="auto"/>
        <w:ind w:left="1080" w:right="1271"/>
      </w:pPr>
      <w:r w:rsidRPr="00DA0185">
        <w:t xml:space="preserve">(e) </w:t>
      </w:r>
      <w:r w:rsidR="00522373" w:rsidRPr="00DA0185">
        <w:t xml:space="preserve">Provision of common premises for other agencies in 126 countries, with opportunities for all to avail </w:t>
      </w:r>
      <w:r w:rsidR="00B65F4C">
        <w:t xml:space="preserve">of </w:t>
      </w:r>
      <w:r w:rsidR="00522373" w:rsidRPr="00DA0185">
        <w:t>common services, including travel management</w:t>
      </w:r>
      <w:r w:rsidR="00B65F4C">
        <w:t>;</w:t>
      </w:r>
    </w:p>
    <w:p w14:paraId="4D2308E4" w14:textId="170A718C" w:rsidR="00522373" w:rsidRPr="00DA0185" w:rsidRDefault="00DA0185" w:rsidP="00B70625">
      <w:pPr>
        <w:pStyle w:val="SingleTxt"/>
        <w:tabs>
          <w:tab w:val="left" w:pos="900"/>
          <w:tab w:val="left" w:pos="1170"/>
        </w:tabs>
        <w:spacing w:line="240" w:lineRule="auto"/>
        <w:ind w:left="1080" w:right="1271"/>
      </w:pPr>
      <w:r w:rsidRPr="00DA0185">
        <w:t xml:space="preserve">(f) </w:t>
      </w:r>
      <w:r w:rsidR="00522373" w:rsidRPr="00DA0185">
        <w:t>Support for 13 U</w:t>
      </w:r>
      <w:r w:rsidR="00B65F4C">
        <w:t xml:space="preserve">nited </w:t>
      </w:r>
      <w:r w:rsidR="00522373" w:rsidRPr="00DA0185">
        <w:t>N</w:t>
      </w:r>
      <w:r w:rsidR="00B65F4C">
        <w:t>ations</w:t>
      </w:r>
      <w:r w:rsidR="00522373" w:rsidRPr="00DA0185">
        <w:t xml:space="preserve"> entities with 40,000 U</w:t>
      </w:r>
      <w:r w:rsidR="00B65F4C">
        <w:t xml:space="preserve">nited </w:t>
      </w:r>
      <w:r w:rsidR="00522373" w:rsidRPr="00DA0185">
        <w:t>N</w:t>
      </w:r>
      <w:r w:rsidR="00B65F4C">
        <w:t>ations</w:t>
      </w:r>
      <w:r w:rsidR="00522373" w:rsidRPr="00DA0185">
        <w:t xml:space="preserve"> and external users of </w:t>
      </w:r>
      <w:r w:rsidR="00B65F4C">
        <w:t xml:space="preserve">the </w:t>
      </w:r>
      <w:r w:rsidR="00522373" w:rsidRPr="00DA0185">
        <w:t xml:space="preserve">Atlas ERP system, and provision of ICT solutions for </w:t>
      </w:r>
      <w:r w:rsidR="00B65F4C">
        <w:t xml:space="preserve">the </w:t>
      </w:r>
      <w:r w:rsidR="00522373" w:rsidRPr="00DA0185">
        <w:t>U</w:t>
      </w:r>
      <w:r w:rsidR="00B65F4C">
        <w:t xml:space="preserve">nited </w:t>
      </w:r>
      <w:r w:rsidR="00522373" w:rsidRPr="00DA0185">
        <w:t>N</w:t>
      </w:r>
      <w:r w:rsidR="00B65F4C">
        <w:t>ations</w:t>
      </w:r>
      <w:r w:rsidR="00522373" w:rsidRPr="00DA0185">
        <w:t xml:space="preserve"> field presence (infrastructure, communications and applications). </w:t>
      </w:r>
    </w:p>
    <w:p w14:paraId="5418EB2B" w14:textId="17FE63DA" w:rsidR="00522373" w:rsidRPr="00DA0185" w:rsidRDefault="00DA0185" w:rsidP="00B70625">
      <w:pPr>
        <w:pStyle w:val="SingleTxt"/>
        <w:tabs>
          <w:tab w:val="left" w:pos="900"/>
          <w:tab w:val="left" w:pos="1170"/>
        </w:tabs>
        <w:ind w:left="1080" w:right="1271"/>
      </w:pPr>
      <w:r w:rsidRPr="00DA0185">
        <w:t xml:space="preserve">(g) </w:t>
      </w:r>
      <w:r w:rsidR="00522373" w:rsidRPr="00DA0185">
        <w:t xml:space="preserve">Direct legal services to </w:t>
      </w:r>
      <w:r w:rsidR="009A3C05">
        <w:t xml:space="preserve">the United Nations Volunteers programme </w:t>
      </w:r>
      <w:r w:rsidR="00522373" w:rsidRPr="00DA0185">
        <w:t xml:space="preserve"> and UNCDF and legal work for UNDP associated with UNDP </w:t>
      </w:r>
      <w:r w:rsidR="00066FD0">
        <w:t>l</w:t>
      </w:r>
      <w:r w:rsidR="00066FD0" w:rsidRPr="00DA0185">
        <w:t xml:space="preserve">etters </w:t>
      </w:r>
      <w:r w:rsidR="00522373" w:rsidRPr="00DA0185">
        <w:t xml:space="preserve">of </w:t>
      </w:r>
      <w:r w:rsidR="00066FD0">
        <w:t>a</w:t>
      </w:r>
      <w:r w:rsidR="00066FD0" w:rsidRPr="00DA0185">
        <w:t xml:space="preserve">ppointment </w:t>
      </w:r>
      <w:r w:rsidR="00522373" w:rsidRPr="00DA0185">
        <w:t>and UNDP contracts issued as a service to other U</w:t>
      </w:r>
      <w:r w:rsidR="00480EE7">
        <w:t xml:space="preserve">nited </w:t>
      </w:r>
      <w:r w:rsidR="00522373" w:rsidRPr="00DA0185">
        <w:t>N</w:t>
      </w:r>
      <w:r w:rsidR="00480EE7">
        <w:t>ations</w:t>
      </w:r>
      <w:r w:rsidR="00522373" w:rsidRPr="00DA0185">
        <w:t xml:space="preserve"> agencies (recently </w:t>
      </w:r>
      <w:r w:rsidR="009A3C05">
        <w:t>the International Fund for Agricultural Development</w:t>
      </w:r>
      <w:r w:rsidR="00522373" w:rsidRPr="00DA0185">
        <w:t xml:space="preserve">, </w:t>
      </w:r>
      <w:r w:rsidR="009A3C05">
        <w:t>United Nations Department for Safety and Security</w:t>
      </w:r>
      <w:r w:rsidR="00522373" w:rsidRPr="00DA0185">
        <w:t xml:space="preserve">, </w:t>
      </w:r>
      <w:r w:rsidR="009A3C05" w:rsidRPr="00DA0185">
        <w:t>U</w:t>
      </w:r>
      <w:r w:rsidR="009A3C05">
        <w:t xml:space="preserve">nited </w:t>
      </w:r>
      <w:r w:rsidR="009A3C05" w:rsidRPr="00DA0185">
        <w:t>N</w:t>
      </w:r>
      <w:r w:rsidR="009A3C05">
        <w:t xml:space="preserve">ations </w:t>
      </w:r>
      <w:r w:rsidR="009A3C05" w:rsidRPr="00DA0185">
        <w:t>O</w:t>
      </w:r>
      <w:r w:rsidR="009A3C05">
        <w:t xml:space="preserve">ffice for the </w:t>
      </w:r>
      <w:r w:rsidR="009A3C05" w:rsidRPr="00DA0185">
        <w:t>C</w:t>
      </w:r>
      <w:r w:rsidR="009A3C05">
        <w:t xml:space="preserve">oordination of </w:t>
      </w:r>
      <w:r w:rsidR="009A3C05" w:rsidRPr="00DA0185">
        <w:t>H</w:t>
      </w:r>
      <w:r w:rsidR="009A3C05">
        <w:t>umanitarian Affairs</w:t>
      </w:r>
      <w:r w:rsidR="00522373" w:rsidRPr="00DA0185">
        <w:t xml:space="preserve">, </w:t>
      </w:r>
      <w:r w:rsidR="00B44FE3">
        <w:t>United Nations Office on Drugs and Crime</w:t>
      </w:r>
      <w:r w:rsidR="00522373" w:rsidRPr="00DA0185">
        <w:t xml:space="preserve">, </w:t>
      </w:r>
      <w:r w:rsidR="00066FD0">
        <w:t xml:space="preserve">Office of the United Nations High Commissioner for Human Rights </w:t>
      </w:r>
      <w:r w:rsidR="00522373" w:rsidRPr="00DA0185">
        <w:t xml:space="preserve">and </w:t>
      </w:r>
      <w:r w:rsidR="00066FD0">
        <w:t>United Nations Environment Programme</w:t>
      </w:r>
      <w:r w:rsidR="00522373" w:rsidRPr="00DA0185">
        <w:t>)</w:t>
      </w:r>
      <w:r w:rsidR="009A3C05">
        <w:t>;</w:t>
      </w:r>
      <w:r w:rsidR="00522373" w:rsidRPr="00DA0185">
        <w:t xml:space="preserve"> </w:t>
      </w:r>
    </w:p>
    <w:p w14:paraId="11355853" w14:textId="63148CC6" w:rsidR="00522373" w:rsidRPr="00DA0185" w:rsidRDefault="00DA0185" w:rsidP="00B70625">
      <w:pPr>
        <w:pStyle w:val="SingleTxt"/>
        <w:tabs>
          <w:tab w:val="left" w:pos="900"/>
          <w:tab w:val="left" w:pos="1170"/>
        </w:tabs>
        <w:spacing w:line="240" w:lineRule="auto"/>
        <w:ind w:left="1080" w:right="1271"/>
      </w:pPr>
      <w:r w:rsidRPr="00DA0185">
        <w:t xml:space="preserve">(h) </w:t>
      </w:r>
      <w:r w:rsidR="00522373" w:rsidRPr="00DA0185">
        <w:t>Security advice and support to all UNDP personnel and specified U</w:t>
      </w:r>
      <w:r w:rsidR="00066FD0">
        <w:t xml:space="preserve">nited </w:t>
      </w:r>
      <w:r w:rsidR="00522373" w:rsidRPr="00DA0185">
        <w:t>N</w:t>
      </w:r>
      <w:r w:rsidR="00066FD0">
        <w:t>ations</w:t>
      </w:r>
      <w:r w:rsidR="00522373" w:rsidRPr="00DA0185">
        <w:t xml:space="preserve"> agencies, funds and programmes when co-located in UNDP</w:t>
      </w:r>
      <w:r w:rsidR="00066FD0">
        <w:t>-</w:t>
      </w:r>
      <w:r w:rsidR="00522373" w:rsidRPr="00DA0185">
        <w:t>managed common premises.</w:t>
      </w:r>
    </w:p>
    <w:p w14:paraId="3E357FEC" w14:textId="5435F062" w:rsidR="00522373" w:rsidRPr="00E303F0" w:rsidRDefault="00F33AF4" w:rsidP="00B70625">
      <w:pPr>
        <w:pStyle w:val="SingleTxt"/>
        <w:tabs>
          <w:tab w:val="left" w:pos="0"/>
          <w:tab w:val="left" w:pos="900"/>
          <w:tab w:val="left" w:pos="1170"/>
        </w:tabs>
        <w:spacing w:line="240" w:lineRule="auto"/>
        <w:ind w:left="1080" w:right="1271"/>
      </w:pPr>
      <w:r>
        <w:t xml:space="preserve">5. </w:t>
      </w:r>
      <w:r w:rsidR="00522373" w:rsidRPr="00E303F0">
        <w:t xml:space="preserve">After the Executive Board approved the Strategic Plan in November 2017, </w:t>
      </w:r>
      <w:r w:rsidR="00066FD0">
        <w:t>UNDP</w:t>
      </w:r>
      <w:r w:rsidR="00522373" w:rsidRPr="00E303F0">
        <w:t xml:space="preserve"> immediately set out to review the policy and programme </w:t>
      </w:r>
      <w:r w:rsidR="001702A7" w:rsidRPr="00E303F0">
        <w:t>function and</w:t>
      </w:r>
      <w:r w:rsidR="00066FD0">
        <w:t xml:space="preserve"> </w:t>
      </w:r>
      <w:r w:rsidR="00522373" w:rsidRPr="00E303F0">
        <w:t xml:space="preserve">the management services functions to ensure that the </w:t>
      </w:r>
      <w:r w:rsidR="00066FD0">
        <w:t>o</w:t>
      </w:r>
      <w:r w:rsidR="00066FD0" w:rsidRPr="00E303F0">
        <w:t xml:space="preserve">rganization </w:t>
      </w:r>
      <w:r w:rsidR="00522373" w:rsidRPr="00E303F0">
        <w:t xml:space="preserve">had the necessary tools, systems and </w:t>
      </w:r>
      <w:r w:rsidR="00522373" w:rsidRPr="00E303F0">
        <w:lastRenderedPageBreak/>
        <w:t xml:space="preserve">business models to be able to implement the Strategic Plan. This work started in December 2017, was completed in June 2018 and </w:t>
      </w:r>
      <w:r w:rsidR="00066FD0">
        <w:t xml:space="preserve">implementation had started in earnest </w:t>
      </w:r>
      <w:r w:rsidR="00522373" w:rsidRPr="00E303F0">
        <w:t xml:space="preserve">by July 2018. The recommendations from the internal review of management services are aligned to those of the evaluation report. Both sources of analysis will play a significant role in assisting UNDP to embark on an ambitious new course, one in which the organization’s capabilities must equal the ambition of the </w:t>
      </w:r>
      <w:r w:rsidR="00066FD0">
        <w:t>Sustainable Development Goals</w:t>
      </w:r>
      <w:r w:rsidR="00522373" w:rsidRPr="00E303F0">
        <w:t xml:space="preserve">.  </w:t>
      </w:r>
    </w:p>
    <w:p w14:paraId="3DC511DB" w14:textId="0ABE5C8D" w:rsidR="00522373" w:rsidRPr="00E303F0" w:rsidRDefault="00F33AF4" w:rsidP="00B70625">
      <w:pPr>
        <w:pStyle w:val="SingleTxt"/>
        <w:tabs>
          <w:tab w:val="left" w:pos="0"/>
          <w:tab w:val="left" w:pos="900"/>
          <w:tab w:val="left" w:pos="1170"/>
        </w:tabs>
        <w:spacing w:line="240" w:lineRule="auto"/>
        <w:ind w:left="1080" w:right="1271"/>
      </w:pPr>
      <w:r>
        <w:t xml:space="preserve">6. </w:t>
      </w:r>
      <w:r w:rsidR="00522373" w:rsidRPr="00E303F0">
        <w:t>The reform of the U</w:t>
      </w:r>
      <w:r w:rsidR="00B65F4C">
        <w:t xml:space="preserve">nited </w:t>
      </w:r>
      <w:r w:rsidR="00522373" w:rsidRPr="00E303F0">
        <w:t>N</w:t>
      </w:r>
      <w:r w:rsidR="00B65F4C">
        <w:t>ations</w:t>
      </w:r>
      <w:r w:rsidR="00522373" w:rsidRPr="00E303F0">
        <w:t xml:space="preserve"> </w:t>
      </w:r>
      <w:r w:rsidR="00B65F4C">
        <w:t>d</w:t>
      </w:r>
      <w:r w:rsidR="00B65F4C" w:rsidRPr="00E303F0">
        <w:t xml:space="preserve">evelopment </w:t>
      </w:r>
      <w:r w:rsidR="00522373" w:rsidRPr="00E303F0">
        <w:t xml:space="preserve">System (UNDS) is expected to start early </w:t>
      </w:r>
      <w:r w:rsidR="00066FD0">
        <w:t xml:space="preserve">in 2019 </w:t>
      </w:r>
      <w:r w:rsidR="00522373" w:rsidRPr="00E303F0">
        <w:t xml:space="preserve">and will be a complex undertaking for UNDP and </w:t>
      </w:r>
      <w:r w:rsidR="00066FD0">
        <w:t>all</w:t>
      </w:r>
      <w:r w:rsidR="00522373" w:rsidRPr="00E303F0">
        <w:t xml:space="preserve"> other U</w:t>
      </w:r>
      <w:r w:rsidR="00066FD0">
        <w:t xml:space="preserve">nited </w:t>
      </w:r>
      <w:r w:rsidR="00522373" w:rsidRPr="00E303F0">
        <w:t>N</w:t>
      </w:r>
      <w:r w:rsidR="00066FD0">
        <w:t>ations</w:t>
      </w:r>
      <w:r w:rsidR="00522373" w:rsidRPr="00E303F0">
        <w:t xml:space="preserve"> agencies. UNDP will be guided by G</w:t>
      </w:r>
      <w:r w:rsidR="00066FD0">
        <w:t xml:space="preserve">eneral </w:t>
      </w:r>
      <w:r w:rsidR="00522373" w:rsidRPr="00E303F0">
        <w:t>A</w:t>
      </w:r>
      <w:r w:rsidR="00066FD0">
        <w:t>ssembly</w:t>
      </w:r>
      <w:r w:rsidR="00522373" w:rsidRPr="00E303F0">
        <w:t xml:space="preserve"> </w:t>
      </w:r>
      <w:r w:rsidR="00066FD0">
        <w:t>r</w:t>
      </w:r>
      <w:r w:rsidR="00066FD0" w:rsidRPr="00E303F0">
        <w:t xml:space="preserve">esolution </w:t>
      </w:r>
      <w:r w:rsidR="00522373" w:rsidRPr="00E303F0">
        <w:t>72/279</w:t>
      </w:r>
      <w:r w:rsidR="00BE1E78">
        <w:t>,</w:t>
      </w:r>
      <w:r w:rsidR="00522373" w:rsidRPr="00E303F0">
        <w:t xml:space="preserve"> </w:t>
      </w:r>
      <w:r w:rsidR="00BE1E78">
        <w:rPr>
          <w:bCs/>
          <w:lang w:val="en-US"/>
        </w:rPr>
        <w:t xml:space="preserve">in which </w:t>
      </w:r>
      <w:r w:rsidR="00522373" w:rsidRPr="00E303F0">
        <w:rPr>
          <w:bCs/>
          <w:lang w:val="en-US"/>
        </w:rPr>
        <w:t xml:space="preserve">Member States </w:t>
      </w:r>
      <w:r w:rsidR="00BE1E78">
        <w:rPr>
          <w:bCs/>
          <w:lang w:val="en-US"/>
        </w:rPr>
        <w:t xml:space="preserve">welcomed </w:t>
      </w:r>
      <w:r w:rsidR="00522373" w:rsidRPr="00E303F0">
        <w:rPr>
          <w:bCs/>
          <w:lang w:val="en-US"/>
        </w:rPr>
        <w:t>measures by the Secretary-General to advance common business operations, where appropriate</w:t>
      </w:r>
      <w:r w:rsidR="00BE1E78">
        <w:rPr>
          <w:bCs/>
          <w:lang w:val="en-US"/>
        </w:rPr>
        <w:t xml:space="preserve">, </w:t>
      </w:r>
      <w:r w:rsidR="00522373" w:rsidRPr="00E303F0">
        <w:rPr>
          <w:bCs/>
          <w:lang w:val="en-US"/>
        </w:rPr>
        <w:t>to enable joint work and generate greater efficiencies, synergies and coherence, and request</w:t>
      </w:r>
      <w:r w:rsidR="00B44FE3">
        <w:rPr>
          <w:bCs/>
          <w:lang w:val="en-US"/>
        </w:rPr>
        <w:t>ed</w:t>
      </w:r>
      <w:r w:rsidR="00522373" w:rsidRPr="00E303F0">
        <w:rPr>
          <w:bCs/>
          <w:lang w:val="en-US"/>
        </w:rPr>
        <w:t xml:space="preserve"> the implementation of those measures in accordance with </w:t>
      </w:r>
      <w:r w:rsidR="00BE1E78">
        <w:rPr>
          <w:bCs/>
          <w:lang w:val="en-US"/>
        </w:rPr>
        <w:t xml:space="preserve">General Assembly </w:t>
      </w:r>
      <w:r w:rsidR="00522373" w:rsidRPr="00E303F0">
        <w:rPr>
          <w:bCs/>
          <w:lang w:val="en-US"/>
        </w:rPr>
        <w:t>resolution 71/243</w:t>
      </w:r>
      <w:r w:rsidR="00BE1E78">
        <w:rPr>
          <w:bCs/>
          <w:lang w:val="en-US"/>
        </w:rPr>
        <w:t xml:space="preserve"> of 21 December 2016 on the quadrennial comprehensive policy review of operational activities for development of the United Nations system</w:t>
      </w:r>
      <w:r w:rsidR="00522373" w:rsidRPr="00E303F0">
        <w:rPr>
          <w:bCs/>
          <w:lang w:val="en-US"/>
        </w:rPr>
        <w:t xml:space="preserve">. </w:t>
      </w:r>
      <w:r w:rsidR="00522373" w:rsidRPr="00E303F0">
        <w:t>U</w:t>
      </w:r>
      <w:r w:rsidR="00BE1E78">
        <w:t xml:space="preserve">nited </w:t>
      </w:r>
      <w:r w:rsidR="00522373" w:rsidRPr="00E303F0">
        <w:t>N</w:t>
      </w:r>
      <w:r w:rsidR="00BE1E78">
        <w:t>ations</w:t>
      </w:r>
      <w:r w:rsidR="00522373" w:rsidRPr="00E303F0">
        <w:t xml:space="preserve"> efforts to build greater cohesion across the entities working at the country level both inform</w:t>
      </w:r>
      <w:r w:rsidR="00BE1E78">
        <w:t>,</w:t>
      </w:r>
      <w:r w:rsidR="00522373" w:rsidRPr="00E303F0">
        <w:t xml:space="preserve"> and are informed by</w:t>
      </w:r>
      <w:r w:rsidR="00BE1E78">
        <w:t>,</w:t>
      </w:r>
      <w:r w:rsidR="00522373" w:rsidRPr="00E303F0">
        <w:t xml:space="preserve"> how UNDP provides services to other U</w:t>
      </w:r>
      <w:r w:rsidR="00BE1E78">
        <w:t xml:space="preserve">nited </w:t>
      </w:r>
      <w:r w:rsidR="00522373" w:rsidRPr="00E303F0">
        <w:t>N</w:t>
      </w:r>
      <w:r w:rsidR="00BE1E78">
        <w:t>ations</w:t>
      </w:r>
      <w:r w:rsidR="00522373" w:rsidRPr="00E303F0">
        <w:t xml:space="preserve"> entities. UNDP recognizes that its business model and the fundamentals of how it works must improve so as better </w:t>
      </w:r>
      <w:r w:rsidR="00522373" w:rsidRPr="00E303F0">
        <w:rPr>
          <w:lang w:val="en-US"/>
        </w:rPr>
        <w:t xml:space="preserve">serve </w:t>
      </w:r>
      <w:r w:rsidR="00BE1E78">
        <w:rPr>
          <w:lang w:val="en-US"/>
        </w:rPr>
        <w:t>its</w:t>
      </w:r>
      <w:r w:rsidR="00BE1E78" w:rsidRPr="00E303F0">
        <w:rPr>
          <w:lang w:val="en-US"/>
        </w:rPr>
        <w:t xml:space="preserve"> </w:t>
      </w:r>
      <w:r w:rsidR="00BE1E78">
        <w:rPr>
          <w:lang w:val="en-US"/>
        </w:rPr>
        <w:t>g</w:t>
      </w:r>
      <w:r w:rsidR="00BE1E78" w:rsidRPr="00E303F0">
        <w:rPr>
          <w:lang w:val="en-US"/>
        </w:rPr>
        <w:t xml:space="preserve">overnment </w:t>
      </w:r>
      <w:r w:rsidR="00522373" w:rsidRPr="00E303F0">
        <w:rPr>
          <w:lang w:val="en-US"/>
        </w:rPr>
        <w:t xml:space="preserve">partners, achieve the </w:t>
      </w:r>
      <w:r w:rsidR="00522373" w:rsidRPr="00E303F0">
        <w:t xml:space="preserve">vision set forth in </w:t>
      </w:r>
      <w:r w:rsidR="00BE1E78">
        <w:t>the</w:t>
      </w:r>
      <w:r w:rsidR="00BE1E78" w:rsidRPr="00E303F0">
        <w:t xml:space="preserve"> </w:t>
      </w:r>
      <w:r w:rsidR="00522373" w:rsidRPr="00E303F0">
        <w:t>new Strategic Plan, strengthen the provision of operational services to U</w:t>
      </w:r>
      <w:r w:rsidR="00BE1E78">
        <w:t xml:space="preserve">nited </w:t>
      </w:r>
      <w:r w:rsidR="00522373" w:rsidRPr="00E303F0">
        <w:t>N</w:t>
      </w:r>
      <w:r w:rsidR="00BE1E78">
        <w:t>ations</w:t>
      </w:r>
      <w:r w:rsidR="00522373" w:rsidRPr="00E303F0">
        <w:t xml:space="preserve"> partners and support the S</w:t>
      </w:r>
      <w:r w:rsidR="00512882">
        <w:t>ecretary</w:t>
      </w:r>
      <w:r w:rsidR="00BE1E78">
        <w:t>-</w:t>
      </w:r>
      <w:r w:rsidR="00512882">
        <w:t>General’s reform vision.</w:t>
      </w:r>
    </w:p>
    <w:p w14:paraId="6E98F002" w14:textId="0594EC26" w:rsidR="00522373" w:rsidRPr="00512882" w:rsidRDefault="00F33AF4" w:rsidP="00B70625">
      <w:pPr>
        <w:pStyle w:val="NormalWeb"/>
        <w:spacing w:before="0" w:beforeAutospacing="0" w:after="120" w:afterAutospacing="0"/>
        <w:ind w:left="1080" w:right="1271"/>
        <w:jc w:val="both"/>
        <w:rPr>
          <w:sz w:val="20"/>
          <w:szCs w:val="20"/>
        </w:rPr>
      </w:pPr>
      <w:r>
        <w:rPr>
          <w:sz w:val="20"/>
          <w:szCs w:val="20"/>
        </w:rPr>
        <w:t xml:space="preserve">7. </w:t>
      </w:r>
      <w:r w:rsidR="00522373" w:rsidRPr="00E303F0">
        <w:rPr>
          <w:sz w:val="20"/>
          <w:szCs w:val="20"/>
        </w:rPr>
        <w:t xml:space="preserve">The </w:t>
      </w:r>
      <w:r w:rsidR="00BE1E78">
        <w:rPr>
          <w:sz w:val="20"/>
          <w:szCs w:val="20"/>
        </w:rPr>
        <w:t>e</w:t>
      </w:r>
      <w:r w:rsidR="00BE1E78" w:rsidRPr="00E303F0">
        <w:rPr>
          <w:sz w:val="20"/>
          <w:szCs w:val="20"/>
        </w:rPr>
        <w:t xml:space="preserve">valuation’s </w:t>
      </w:r>
      <w:r w:rsidR="00522373" w:rsidRPr="00E303F0">
        <w:rPr>
          <w:sz w:val="20"/>
          <w:szCs w:val="20"/>
        </w:rPr>
        <w:t>key findings, conclusions and recommendations are informing management decisions and priority-setting for strategic engagement</w:t>
      </w:r>
      <w:r w:rsidR="00BE1E78">
        <w:rPr>
          <w:sz w:val="20"/>
          <w:szCs w:val="20"/>
        </w:rPr>
        <w:t xml:space="preserve"> by UNDP</w:t>
      </w:r>
      <w:r w:rsidR="00522373" w:rsidRPr="00E303F0">
        <w:rPr>
          <w:sz w:val="20"/>
          <w:szCs w:val="20"/>
        </w:rPr>
        <w:t xml:space="preserve">. The UNDP management response (see annex) encompasses practical and time-bound key actions which build on ongoing work and designate the parties responsible for these actions. The planned actions will be tracked on a regular basis through the Evaluation Resource Centre. </w:t>
      </w:r>
    </w:p>
    <w:p w14:paraId="3607BA00" w14:textId="605D6718" w:rsidR="00522373" w:rsidRPr="00512882" w:rsidRDefault="00522373" w:rsidP="00B70625">
      <w:pPr>
        <w:tabs>
          <w:tab w:val="left" w:pos="0"/>
          <w:tab w:val="left" w:pos="1170"/>
          <w:tab w:val="left" w:pos="1260"/>
        </w:tabs>
        <w:spacing w:after="120"/>
        <w:ind w:left="1080" w:right="1271"/>
        <w:jc w:val="both"/>
        <w:rPr>
          <w:b/>
          <w:lang w:val="en-GB"/>
        </w:rPr>
      </w:pPr>
      <w:r w:rsidRPr="00512882">
        <w:rPr>
          <w:b/>
          <w:lang w:val="en-GB"/>
        </w:rPr>
        <w:t>Findings and conclusions</w:t>
      </w:r>
    </w:p>
    <w:p w14:paraId="3DD8641F" w14:textId="30C854F9" w:rsidR="00522373" w:rsidRPr="00E303F0" w:rsidRDefault="00F33AF4" w:rsidP="00B70625">
      <w:pPr>
        <w:pStyle w:val="SingleTxt"/>
        <w:tabs>
          <w:tab w:val="left" w:pos="0"/>
          <w:tab w:val="left" w:pos="1170"/>
        </w:tabs>
        <w:spacing w:line="240" w:lineRule="auto"/>
        <w:ind w:left="1080" w:right="1271"/>
      </w:pPr>
      <w:r>
        <w:t xml:space="preserve">8. </w:t>
      </w:r>
      <w:r w:rsidR="00522373" w:rsidRPr="00E303F0">
        <w:t xml:space="preserve">UNDP is cognizant that achieving </w:t>
      </w:r>
      <w:r w:rsidR="00BE1E78">
        <w:t xml:space="preserve">the goals of </w:t>
      </w:r>
      <w:r w:rsidR="00522373" w:rsidRPr="00E303F0">
        <w:t xml:space="preserve">its ambitious Strategic Plan, </w:t>
      </w:r>
      <w:r w:rsidR="00BE1E78" w:rsidRPr="00E303F0">
        <w:t>whil</w:t>
      </w:r>
      <w:r w:rsidR="00BE1E78">
        <w:t>e</w:t>
      </w:r>
      <w:r w:rsidR="00BE1E78" w:rsidRPr="00E303F0">
        <w:t xml:space="preserve"> </w:t>
      </w:r>
      <w:r w:rsidR="00522373" w:rsidRPr="00E303F0">
        <w:t>meeting the evolving operational demands of U</w:t>
      </w:r>
      <w:r w:rsidR="00BE1E78">
        <w:t xml:space="preserve">nited </w:t>
      </w:r>
      <w:r w:rsidR="00522373" w:rsidRPr="00E303F0">
        <w:t>N</w:t>
      </w:r>
      <w:r w:rsidR="00BE1E78">
        <w:t>ations</w:t>
      </w:r>
      <w:r w:rsidR="00522373" w:rsidRPr="00E303F0">
        <w:t xml:space="preserve"> partners and supporting the ongoing UNDS reform processes, requires a step change in both the quality and efficiency </w:t>
      </w:r>
      <w:r w:rsidR="00BE1E78">
        <w:t>of</w:t>
      </w:r>
      <w:r w:rsidR="00BE1E78" w:rsidRPr="00E303F0">
        <w:t xml:space="preserve"> </w:t>
      </w:r>
      <w:r w:rsidR="00522373" w:rsidRPr="00E303F0">
        <w:t xml:space="preserve">its provision of operational services. As articulated in the Strategic Plan 2018-2021, improvement is being driven by two streams of work: performance and innovation. The performance stream focuses on making the current operational services business model more cost-efficient and effective in the </w:t>
      </w:r>
      <w:r w:rsidR="002D449B">
        <w:t>near</w:t>
      </w:r>
      <w:r w:rsidR="002D449B" w:rsidRPr="00E303F0">
        <w:t xml:space="preserve"> </w:t>
      </w:r>
      <w:r w:rsidR="00522373" w:rsidRPr="00E303F0">
        <w:t>term.  The innovation st</w:t>
      </w:r>
      <w:r w:rsidR="001525F3">
        <w:t>r</w:t>
      </w:r>
      <w:r w:rsidR="00522373" w:rsidRPr="00E303F0">
        <w:t xml:space="preserve">eam is identifying new approaches to how operational services are delivered, testing them for scalability and financial feasibility and replicating </w:t>
      </w:r>
      <w:r w:rsidR="001525F3">
        <w:t xml:space="preserve">them </w:t>
      </w:r>
      <w:r w:rsidR="00522373" w:rsidRPr="00E303F0">
        <w:t xml:space="preserve">as needed. </w:t>
      </w:r>
    </w:p>
    <w:p w14:paraId="76B29619" w14:textId="43F149B1" w:rsidR="00522373" w:rsidRPr="00E303F0" w:rsidRDefault="00F33AF4" w:rsidP="00B70625">
      <w:pPr>
        <w:pStyle w:val="SingleTxt"/>
        <w:tabs>
          <w:tab w:val="left" w:pos="0"/>
          <w:tab w:val="left" w:pos="1170"/>
        </w:tabs>
        <w:spacing w:line="240" w:lineRule="auto"/>
        <w:ind w:left="1080" w:right="1271"/>
      </w:pPr>
      <w:r>
        <w:t xml:space="preserve">9. </w:t>
      </w:r>
      <w:r w:rsidR="00522373" w:rsidRPr="00E303F0">
        <w:t xml:space="preserve">To accelerate improvement in operational services and </w:t>
      </w:r>
      <w:r w:rsidR="002D449B">
        <w:t xml:space="preserve">the </w:t>
      </w:r>
      <w:r w:rsidR="00522373" w:rsidRPr="00E303F0">
        <w:t>evolution of new business models to underpin them, UNDP has completed a review of its capacity to provide operational services</w:t>
      </w:r>
      <w:r w:rsidR="002D449B">
        <w:t>. T</w:t>
      </w:r>
      <w:r w:rsidR="00522373" w:rsidRPr="00E303F0">
        <w:t>he process design phase ran from December 2017</w:t>
      </w:r>
      <w:r w:rsidR="002D449B">
        <w:t xml:space="preserve"> to</w:t>
      </w:r>
      <w:r w:rsidR="00522373" w:rsidRPr="00E303F0">
        <w:t xml:space="preserve"> February 2018, followed by </w:t>
      </w:r>
      <w:r w:rsidR="002D449B">
        <w:t xml:space="preserve">an </w:t>
      </w:r>
      <w:r w:rsidR="00522373" w:rsidRPr="00E303F0">
        <w:t>analysis phase from March to June 2018</w:t>
      </w:r>
      <w:r w:rsidR="001525F3">
        <w:t xml:space="preserve"> and</w:t>
      </w:r>
      <w:r w:rsidR="00522373" w:rsidRPr="00E303F0">
        <w:t xml:space="preserve"> culminating in a series of recommendations approved in early July, many of which are currently under implementation. UNDP also has drawn upon audit and programmatic and other evaluation findings to inform its work, including the </w:t>
      </w:r>
      <w:r w:rsidR="002D449B">
        <w:t xml:space="preserve">recent analysis by the </w:t>
      </w:r>
      <w:r w:rsidR="00522373" w:rsidRPr="00E303F0">
        <w:t>Office of Audit and Investigation</w:t>
      </w:r>
      <w:r w:rsidR="002D449B">
        <w:t>s</w:t>
      </w:r>
      <w:r w:rsidR="00522373" w:rsidRPr="00E303F0">
        <w:t xml:space="preserve"> </w:t>
      </w:r>
      <w:r w:rsidR="002D449B">
        <w:t xml:space="preserve">(OAI) </w:t>
      </w:r>
      <w:r w:rsidR="00522373" w:rsidRPr="00E303F0">
        <w:t xml:space="preserve">of </w:t>
      </w:r>
      <w:r w:rsidR="002D449B">
        <w:t xml:space="preserve">the </w:t>
      </w:r>
      <w:r w:rsidR="00522373" w:rsidRPr="00E303F0">
        <w:t xml:space="preserve">UNDP clustering initiative. </w:t>
      </w:r>
    </w:p>
    <w:p w14:paraId="5DA017C1" w14:textId="232FF270" w:rsidR="00522373" w:rsidRPr="00E303F0" w:rsidRDefault="00F33AF4" w:rsidP="00B70625">
      <w:pPr>
        <w:pStyle w:val="SingleTxt"/>
        <w:tabs>
          <w:tab w:val="left" w:pos="0"/>
          <w:tab w:val="left" w:pos="1170"/>
        </w:tabs>
        <w:spacing w:line="240" w:lineRule="auto"/>
        <w:ind w:left="1080" w:right="1271"/>
      </w:pPr>
      <w:r>
        <w:t xml:space="preserve">10. </w:t>
      </w:r>
      <w:r w:rsidR="00522373" w:rsidRPr="00E303F0">
        <w:t>The areas of improvement defined through the above</w:t>
      </w:r>
      <w:r w:rsidR="002D449B">
        <w:t>-mentioned</w:t>
      </w:r>
      <w:r w:rsidR="00522373" w:rsidRPr="00E303F0">
        <w:t xml:space="preserve"> process include: streamlining and refining business processes for operational services</w:t>
      </w:r>
      <w:r w:rsidR="002D449B">
        <w:t>;</w:t>
      </w:r>
      <w:r w:rsidR="00522373" w:rsidRPr="00E303F0">
        <w:t xml:space="preserve"> scaling up the provision of operational services through a shared service modality</w:t>
      </w:r>
      <w:r w:rsidR="002D449B">
        <w:t>;</w:t>
      </w:r>
      <w:r w:rsidR="00522373" w:rsidRPr="00E303F0">
        <w:t xml:space="preserve"> greatly improving the quality and customer-centric delivery of operational services at the </w:t>
      </w:r>
      <w:r w:rsidR="002D449B">
        <w:t>c</w:t>
      </w:r>
      <w:r w:rsidR="00522373" w:rsidRPr="00E303F0">
        <w:t xml:space="preserve">ountry </w:t>
      </w:r>
      <w:r w:rsidR="002D449B">
        <w:t>o</w:t>
      </w:r>
      <w:r w:rsidR="00522373" w:rsidRPr="00E303F0">
        <w:t>ffice level</w:t>
      </w:r>
      <w:r w:rsidR="002D449B">
        <w:t>;</w:t>
      </w:r>
      <w:r w:rsidR="00522373" w:rsidRPr="00E303F0">
        <w:t xml:space="preserve"> and digitally transforming way UNDP provides such services at the global and country level</w:t>
      </w:r>
      <w:r w:rsidR="002D449B">
        <w:t>s</w:t>
      </w:r>
      <w:r w:rsidR="00522373" w:rsidRPr="00E303F0">
        <w:t xml:space="preserve">.  As is evident, all areas are aligned with the findings of the evaluation of UNDP inter-agency operational services. Work is already underway in each of these areas. </w:t>
      </w:r>
    </w:p>
    <w:p w14:paraId="09FE1A2B" w14:textId="4093234C" w:rsidR="00522373" w:rsidRPr="00E303F0" w:rsidRDefault="00F33AF4" w:rsidP="00B70625">
      <w:pPr>
        <w:pStyle w:val="SingleTxt"/>
        <w:tabs>
          <w:tab w:val="left" w:pos="0"/>
          <w:tab w:val="left" w:pos="1170"/>
        </w:tabs>
        <w:spacing w:line="240" w:lineRule="auto"/>
        <w:ind w:left="1080" w:right="1271"/>
      </w:pPr>
      <w:r>
        <w:t xml:space="preserve">11. </w:t>
      </w:r>
      <w:r w:rsidR="00522373" w:rsidRPr="00E303F0">
        <w:t xml:space="preserve">UNDP has identified continuous improvement of business processes as critical to maintain the quality of operational service provision. </w:t>
      </w:r>
      <w:r w:rsidR="002D449B">
        <w:t>Twelve</w:t>
      </w:r>
      <w:r w:rsidR="002D449B" w:rsidRPr="00E303F0">
        <w:t xml:space="preserve"> </w:t>
      </w:r>
      <w:r w:rsidR="00522373" w:rsidRPr="00E303F0">
        <w:t>core operational processes have been analysed with recommendations made to improve them; work is already underway to improve processes including recruitment, independent contractor procurement, travel and payroll</w:t>
      </w:r>
      <w:r w:rsidR="001525F3">
        <w:t>, B</w:t>
      </w:r>
      <w:r w:rsidR="00522373" w:rsidRPr="00E303F0">
        <w:t>enefits will be realized from November 2018 through December 2019, leading to tangible improvements in the quality of these services for U</w:t>
      </w:r>
      <w:r w:rsidR="002D449B">
        <w:t xml:space="preserve">nited </w:t>
      </w:r>
      <w:r w:rsidR="00522373" w:rsidRPr="00E303F0">
        <w:t>N</w:t>
      </w:r>
      <w:r w:rsidR="002D449B">
        <w:t>ations</w:t>
      </w:r>
      <w:r w:rsidR="00522373" w:rsidRPr="00E303F0">
        <w:t xml:space="preserve"> partners</w:t>
      </w:r>
      <w:r w:rsidR="002D449B">
        <w:t xml:space="preserve"> and</w:t>
      </w:r>
      <w:r w:rsidR="00522373" w:rsidRPr="00E303F0">
        <w:t xml:space="preserve"> UNDP programmes. The remaining business processes will be addressed through the corporate shared services effort. </w:t>
      </w:r>
    </w:p>
    <w:p w14:paraId="217C3D24" w14:textId="71719659" w:rsidR="00522373" w:rsidRPr="00E303F0" w:rsidRDefault="00F33AF4" w:rsidP="00B70625">
      <w:pPr>
        <w:pStyle w:val="SingleTxt"/>
        <w:tabs>
          <w:tab w:val="left" w:pos="0"/>
          <w:tab w:val="left" w:pos="1170"/>
        </w:tabs>
        <w:spacing w:line="240" w:lineRule="auto"/>
        <w:ind w:left="1080" w:right="1271"/>
      </w:pPr>
      <w:r>
        <w:t xml:space="preserve">12. </w:t>
      </w:r>
      <w:r w:rsidR="00522373" w:rsidRPr="00E303F0">
        <w:t xml:space="preserve">The second area of improvement is shared services (clustering). The </w:t>
      </w:r>
      <w:r w:rsidR="002D449B">
        <w:t xml:space="preserve">OAI </w:t>
      </w:r>
      <w:r w:rsidR="00522373" w:rsidRPr="00E303F0">
        <w:t>findings and recommendations have been complemented by the recent analysis of UNDP operational services. A cross-organization team has been established to lead the formulation of a business case for the scale</w:t>
      </w:r>
      <w:r w:rsidR="002D449B">
        <w:t>-</w:t>
      </w:r>
      <w:r w:rsidR="00522373" w:rsidRPr="00E303F0">
        <w:t>up of operational service provision through a shared services modality, including enhanced standard operating procedures (SOPs), required capacities, timelines, automation solutions (such as robotic process automation), cost</w:t>
      </w:r>
      <w:r w:rsidR="0025024E">
        <w:t>-</w:t>
      </w:r>
      <w:r w:rsidR="00522373" w:rsidRPr="00E303F0">
        <w:t>recovery methodology and cost</w:t>
      </w:r>
      <w:r w:rsidR="0025024E">
        <w:t>-</w:t>
      </w:r>
      <w:r w:rsidR="00522373" w:rsidRPr="00E303F0">
        <w:t xml:space="preserve">benefit analysis. UNDP is also improving its existing shared services workflows and structure, including expanding </w:t>
      </w:r>
      <w:r w:rsidR="0025024E">
        <w:t xml:space="preserve">the </w:t>
      </w:r>
      <w:r w:rsidR="00522373" w:rsidRPr="00E303F0">
        <w:t>roll</w:t>
      </w:r>
      <w:r w:rsidR="0025024E">
        <w:t>-</w:t>
      </w:r>
      <w:r w:rsidR="00522373" w:rsidRPr="00E303F0">
        <w:t xml:space="preserve">out of </w:t>
      </w:r>
      <w:r w:rsidR="0025024E">
        <w:t>k</w:t>
      </w:r>
      <w:r w:rsidR="00522373" w:rsidRPr="00E303F0">
        <w:t xml:space="preserve">ey </w:t>
      </w:r>
      <w:r w:rsidR="0025024E">
        <w:t>p</w:t>
      </w:r>
      <w:r w:rsidR="00522373" w:rsidRPr="00E303F0">
        <w:t xml:space="preserve">erformance </w:t>
      </w:r>
      <w:r w:rsidR="0025024E">
        <w:t>i</w:t>
      </w:r>
      <w:r w:rsidR="00522373" w:rsidRPr="00E303F0">
        <w:t>ndicators (KPIs) to measure shared service provision performance, improving current SOPs, upgrading existing ICT system and updating of the time-motion study to identify ways to increase operational efficiency.</w:t>
      </w:r>
    </w:p>
    <w:p w14:paraId="02C7B388" w14:textId="3FBD28B6" w:rsidR="000920B2" w:rsidRDefault="00F33AF4" w:rsidP="00B70625">
      <w:pPr>
        <w:pStyle w:val="SingleTxt"/>
        <w:tabs>
          <w:tab w:val="left" w:pos="0"/>
          <w:tab w:val="left" w:pos="1170"/>
        </w:tabs>
        <w:spacing w:line="240" w:lineRule="auto"/>
        <w:ind w:left="1080" w:right="1271"/>
      </w:pPr>
      <w:r>
        <w:t xml:space="preserve">13. </w:t>
      </w:r>
      <w:r w:rsidR="00522373" w:rsidRPr="00E303F0">
        <w:t xml:space="preserve">The third area of work underway is the improvement of UNDP operational service provision at the </w:t>
      </w:r>
      <w:r w:rsidR="0025024E">
        <w:t>c</w:t>
      </w:r>
      <w:r w:rsidR="00522373" w:rsidRPr="00E303F0">
        <w:t xml:space="preserve">ountry </w:t>
      </w:r>
      <w:r w:rsidR="0025024E">
        <w:t>o</w:t>
      </w:r>
      <w:r w:rsidR="00522373" w:rsidRPr="00E303F0">
        <w:t>ffice level. In support of the Secretary</w:t>
      </w:r>
      <w:r w:rsidR="0025024E">
        <w:t>-</w:t>
      </w:r>
      <w:r w:rsidR="00522373" w:rsidRPr="00E303F0">
        <w:t>General’s UNDS reform efforts, and in close coordination with the related U</w:t>
      </w:r>
      <w:r w:rsidR="0025024E">
        <w:t xml:space="preserve">nited </w:t>
      </w:r>
      <w:r w:rsidR="00522373" w:rsidRPr="00E303F0">
        <w:t>N</w:t>
      </w:r>
      <w:r w:rsidR="0025024E">
        <w:t xml:space="preserve">ations </w:t>
      </w:r>
      <w:r w:rsidR="00522373" w:rsidRPr="00E303F0">
        <w:t>D</w:t>
      </w:r>
      <w:r w:rsidR="0025024E">
        <w:t xml:space="preserve">evelopment </w:t>
      </w:r>
      <w:r w:rsidR="00522373" w:rsidRPr="00E303F0">
        <w:t>G</w:t>
      </w:r>
      <w:r w:rsidR="0025024E">
        <w:t>roup (UND</w:t>
      </w:r>
      <w:r w:rsidR="007A7375">
        <w:t>G</w:t>
      </w:r>
      <w:r w:rsidR="0025024E">
        <w:t>)</w:t>
      </w:r>
      <w:r w:rsidR="00522373" w:rsidRPr="00E303F0">
        <w:t xml:space="preserve"> Business Innovations Group (BIG) processes, UNDP has begun implementing a series of changes aimed at improving the quality of </w:t>
      </w:r>
      <w:r w:rsidR="0025024E">
        <w:t>c</w:t>
      </w:r>
      <w:r w:rsidR="00522373" w:rsidRPr="00E303F0">
        <w:t xml:space="preserve">ountry </w:t>
      </w:r>
      <w:r w:rsidR="0025024E">
        <w:t>o</w:t>
      </w:r>
      <w:r w:rsidR="00522373" w:rsidRPr="00E303F0">
        <w:t>ffice service provision and build</w:t>
      </w:r>
      <w:r w:rsidR="0025024E">
        <w:t>ing</w:t>
      </w:r>
      <w:r w:rsidR="00522373" w:rsidRPr="00E303F0">
        <w:t xml:space="preserve"> </w:t>
      </w:r>
      <w:r w:rsidR="0025024E">
        <w:t>the</w:t>
      </w:r>
      <w:r w:rsidR="0025024E" w:rsidRPr="00E303F0">
        <w:t xml:space="preserve"> </w:t>
      </w:r>
      <w:r w:rsidR="0025024E">
        <w:t xml:space="preserve">requisite </w:t>
      </w:r>
      <w:r w:rsidR="00522373" w:rsidRPr="00E303F0">
        <w:t xml:space="preserve">strong customer-centric mind-set. </w:t>
      </w:r>
      <w:r w:rsidR="0025024E">
        <w:t>B</w:t>
      </w:r>
      <w:r w:rsidR="00522373" w:rsidRPr="00E303F0">
        <w:t>y August 2018</w:t>
      </w:r>
      <w:r w:rsidR="0025024E">
        <w:t>, UNDP will complete</w:t>
      </w:r>
      <w:r w:rsidR="00522373" w:rsidRPr="00E303F0">
        <w:t xml:space="preserve"> its own </w:t>
      </w:r>
      <w:r w:rsidR="0025024E">
        <w:t>s</w:t>
      </w:r>
      <w:r w:rsidR="0025024E" w:rsidRPr="00E303F0">
        <w:t xml:space="preserve">trategy </w:t>
      </w:r>
      <w:r w:rsidR="00522373" w:rsidRPr="00E303F0">
        <w:t>to support the UNDG BIG processes, including roll</w:t>
      </w:r>
      <w:r w:rsidR="0025024E">
        <w:t>-</w:t>
      </w:r>
      <w:r w:rsidR="00522373" w:rsidRPr="00E303F0">
        <w:t xml:space="preserve">out of </w:t>
      </w:r>
      <w:r w:rsidR="0025024E">
        <w:t>b</w:t>
      </w:r>
      <w:r w:rsidR="0025024E" w:rsidRPr="00E303F0">
        <w:t xml:space="preserve">usiness </w:t>
      </w:r>
      <w:r w:rsidR="0025024E">
        <w:t>o</w:t>
      </w:r>
      <w:r w:rsidR="0025024E" w:rsidRPr="00E303F0">
        <w:t xml:space="preserve">perations </w:t>
      </w:r>
      <w:r w:rsidR="0025024E">
        <w:t>s</w:t>
      </w:r>
      <w:r w:rsidR="0025024E" w:rsidRPr="00E303F0">
        <w:t xml:space="preserve">trategies </w:t>
      </w:r>
      <w:r w:rsidR="00522373" w:rsidRPr="00E303F0">
        <w:t xml:space="preserve">and common back offices. </w:t>
      </w:r>
      <w:r w:rsidR="0025024E">
        <w:t>A</w:t>
      </w:r>
      <w:r w:rsidR="00522373" w:rsidRPr="00E303F0">
        <w:t xml:space="preserve"> cost-benefit analysis software </w:t>
      </w:r>
      <w:r w:rsidR="0025024E">
        <w:t xml:space="preserve">developed by UNDP </w:t>
      </w:r>
      <w:r w:rsidR="00522373" w:rsidRPr="00E303F0">
        <w:t>is currently being coded as a web application for utilization by U</w:t>
      </w:r>
      <w:r w:rsidR="0025024E">
        <w:t xml:space="preserve">nited </w:t>
      </w:r>
      <w:r w:rsidR="00522373" w:rsidRPr="00E303F0">
        <w:t>N</w:t>
      </w:r>
      <w:r w:rsidR="0025024E">
        <w:t>ations</w:t>
      </w:r>
      <w:r w:rsidR="00522373" w:rsidRPr="00E303F0">
        <w:t xml:space="preserve"> </w:t>
      </w:r>
      <w:r w:rsidR="0025024E">
        <w:t>c</w:t>
      </w:r>
      <w:r w:rsidR="00522373" w:rsidRPr="00E303F0">
        <w:t xml:space="preserve">ountry </w:t>
      </w:r>
      <w:r w:rsidR="0025024E">
        <w:t>t</w:t>
      </w:r>
      <w:r w:rsidR="00522373" w:rsidRPr="00E303F0">
        <w:t>eams (UNCT</w:t>
      </w:r>
      <w:r w:rsidR="0025024E">
        <w:t>s</w:t>
      </w:r>
      <w:r w:rsidR="00522373" w:rsidRPr="00E303F0">
        <w:t xml:space="preserve">) to conduct like-for-like comparisons of </w:t>
      </w:r>
      <w:r w:rsidR="0025024E">
        <w:t xml:space="preserve">the </w:t>
      </w:r>
      <w:r w:rsidR="00522373" w:rsidRPr="00E303F0">
        <w:t>cost of location</w:t>
      </w:r>
      <w:r w:rsidR="0025024E">
        <w:t>-</w:t>
      </w:r>
      <w:r w:rsidR="00522373" w:rsidRPr="00E303F0">
        <w:t xml:space="preserve">dependent service provision by different UNCT members, which in turn will lead to rational decisions </w:t>
      </w:r>
      <w:r w:rsidR="0025024E">
        <w:t>about</w:t>
      </w:r>
      <w:r w:rsidR="0025024E" w:rsidRPr="00E303F0">
        <w:t xml:space="preserve"> </w:t>
      </w:r>
      <w:r w:rsidR="00522373" w:rsidRPr="00E303F0">
        <w:t>which U</w:t>
      </w:r>
      <w:r w:rsidR="0025024E">
        <w:t xml:space="preserve">nited </w:t>
      </w:r>
      <w:r w:rsidR="00522373" w:rsidRPr="00E303F0">
        <w:t>N</w:t>
      </w:r>
      <w:r w:rsidR="0025024E">
        <w:t>ations</w:t>
      </w:r>
      <w:r w:rsidR="00522373" w:rsidRPr="00E303F0">
        <w:t xml:space="preserve"> entity is best placed to provide said service</w:t>
      </w:r>
      <w:r w:rsidR="0025024E">
        <w:t>s</w:t>
      </w:r>
      <w:r w:rsidR="00522373" w:rsidRPr="00E303F0">
        <w:t xml:space="preserve"> at the </w:t>
      </w:r>
      <w:r w:rsidR="0025024E">
        <w:t>c</w:t>
      </w:r>
      <w:r w:rsidR="00522373" w:rsidRPr="00E303F0">
        <w:t xml:space="preserve">ountry level. Lastly, UNDP will roll out a new </w:t>
      </w:r>
      <w:r w:rsidR="0025024E">
        <w:t>c</w:t>
      </w:r>
      <w:r w:rsidR="00522373" w:rsidRPr="00E303F0">
        <w:t xml:space="preserve">ustomer </w:t>
      </w:r>
      <w:r w:rsidR="0025024E">
        <w:t>r</w:t>
      </w:r>
      <w:r w:rsidR="00522373" w:rsidRPr="00E303F0">
        <w:t xml:space="preserve">elations </w:t>
      </w:r>
      <w:r w:rsidR="0025024E">
        <w:t>m</w:t>
      </w:r>
      <w:r w:rsidR="00522373" w:rsidRPr="00E303F0">
        <w:t>anagement platform that will allow seamless tracking of service requests and provision of feedback on the quality of service provision; the specifications are being developed and roll</w:t>
      </w:r>
      <w:r w:rsidR="00080E25">
        <w:t>-</w:t>
      </w:r>
      <w:r w:rsidR="00522373" w:rsidRPr="00E303F0">
        <w:t xml:space="preserve">out will begin in the last quarter of 2018. </w:t>
      </w:r>
    </w:p>
    <w:p w14:paraId="76B20BC7" w14:textId="1432F041" w:rsidR="00522373" w:rsidRPr="00E303F0" w:rsidRDefault="00F33AF4" w:rsidP="00B70625">
      <w:pPr>
        <w:pStyle w:val="SingleTxt"/>
        <w:tabs>
          <w:tab w:val="left" w:pos="0"/>
          <w:tab w:val="left" w:pos="1170"/>
        </w:tabs>
        <w:spacing w:line="240" w:lineRule="auto"/>
        <w:ind w:left="1080" w:right="1271"/>
      </w:pPr>
      <w:r>
        <w:t xml:space="preserve">14. </w:t>
      </w:r>
      <w:r w:rsidR="00522373" w:rsidRPr="00E303F0">
        <w:t xml:space="preserve">Lastly, UNDP has begun digitally transforming its operational services. A </w:t>
      </w:r>
      <w:r w:rsidR="00080E25">
        <w:t>d</w:t>
      </w:r>
      <w:r w:rsidR="00522373" w:rsidRPr="00E303F0">
        <w:t xml:space="preserve">igital </w:t>
      </w:r>
      <w:r w:rsidR="00080E25">
        <w:t>t</w:t>
      </w:r>
      <w:r w:rsidR="00522373" w:rsidRPr="00E303F0">
        <w:t xml:space="preserve">ransformation </w:t>
      </w:r>
      <w:r w:rsidR="00080E25">
        <w:t>s</w:t>
      </w:r>
      <w:r w:rsidR="00522373" w:rsidRPr="00E303F0">
        <w:t>trategy</w:t>
      </w:r>
      <w:r w:rsidR="00080E25">
        <w:t>,</w:t>
      </w:r>
      <w:r w:rsidR="00522373" w:rsidRPr="00E303F0">
        <w:t xml:space="preserve"> currently in draft form, will guide a series of investments that will improve both operational and programmatic services. </w:t>
      </w:r>
      <w:r w:rsidR="00080E25">
        <w:t>A</w:t>
      </w:r>
      <w:r w:rsidR="00522373" w:rsidRPr="00E303F0">
        <w:t xml:space="preserve"> </w:t>
      </w:r>
      <w:r w:rsidR="00080E25">
        <w:t>d</w:t>
      </w:r>
      <w:r w:rsidR="00522373" w:rsidRPr="00E303F0">
        <w:t xml:space="preserve">igital </w:t>
      </w:r>
      <w:r w:rsidR="00080E25">
        <w:t>i</w:t>
      </w:r>
      <w:r w:rsidR="00522373" w:rsidRPr="00E303F0">
        <w:t xml:space="preserve">nnovation </w:t>
      </w:r>
      <w:r w:rsidR="00080E25">
        <w:t>p</w:t>
      </w:r>
      <w:r w:rsidR="00522373" w:rsidRPr="00E303F0">
        <w:t xml:space="preserve">latform </w:t>
      </w:r>
      <w:r w:rsidR="00080E25">
        <w:t xml:space="preserve">under </w:t>
      </w:r>
      <w:r w:rsidR="00522373" w:rsidRPr="00E303F0">
        <w:t>develop</w:t>
      </w:r>
      <w:r w:rsidR="00080E25">
        <w:t>ment</w:t>
      </w:r>
      <w:r w:rsidR="00522373" w:rsidRPr="00E303F0">
        <w:t xml:space="preserve"> will allow UNDP and U</w:t>
      </w:r>
      <w:r w:rsidR="00080E25">
        <w:t xml:space="preserve">nited </w:t>
      </w:r>
      <w:r w:rsidR="00522373" w:rsidRPr="00E303F0">
        <w:t>N</w:t>
      </w:r>
      <w:r w:rsidR="00080E25">
        <w:t>ations</w:t>
      </w:r>
      <w:r w:rsidR="00522373" w:rsidRPr="00E303F0">
        <w:t xml:space="preserve"> partners to develop </w:t>
      </w:r>
      <w:r w:rsidR="00080E25">
        <w:t xml:space="preserve">safe and scalable </w:t>
      </w:r>
      <w:r w:rsidR="00522373" w:rsidRPr="00E303F0">
        <w:t xml:space="preserve">digital applications to support better operational service delivery. An upgrade </w:t>
      </w:r>
      <w:r w:rsidR="00080E25">
        <w:t>of</w:t>
      </w:r>
      <w:r w:rsidR="00522373" w:rsidRPr="00E303F0">
        <w:t xml:space="preserve"> the A</w:t>
      </w:r>
      <w:r w:rsidR="00080E25" w:rsidRPr="00E303F0">
        <w:t>tlas</w:t>
      </w:r>
      <w:r w:rsidR="00522373" w:rsidRPr="00E303F0">
        <w:t xml:space="preserve"> </w:t>
      </w:r>
      <w:r w:rsidR="00286FE9">
        <w:t xml:space="preserve">ERP </w:t>
      </w:r>
      <w:r w:rsidR="00522373" w:rsidRPr="00E303F0">
        <w:t>system to the most recent version available</w:t>
      </w:r>
      <w:r w:rsidR="00080E25">
        <w:t>,</w:t>
      </w:r>
      <w:r w:rsidR="00522373" w:rsidRPr="00E303F0">
        <w:t xml:space="preserve"> </w:t>
      </w:r>
      <w:r w:rsidR="00080E25">
        <w:t>to be</w:t>
      </w:r>
      <w:r w:rsidR="00522373" w:rsidRPr="00E303F0">
        <w:t xml:space="preserve"> launched in August 2018</w:t>
      </w:r>
      <w:r w:rsidR="00080E25">
        <w:t>,</w:t>
      </w:r>
      <w:r w:rsidR="00080E25" w:rsidRPr="00E303F0">
        <w:t xml:space="preserve"> </w:t>
      </w:r>
      <w:r w:rsidR="00522373" w:rsidRPr="00E303F0">
        <w:t xml:space="preserve">will allow both continuity in service provision and improvement in </w:t>
      </w:r>
      <w:r w:rsidR="00080E25">
        <w:t xml:space="preserve">the </w:t>
      </w:r>
      <w:r w:rsidR="00522373" w:rsidRPr="00E303F0">
        <w:t xml:space="preserve">user experience. </w:t>
      </w:r>
    </w:p>
    <w:p w14:paraId="277AC283" w14:textId="4EFA97EE" w:rsidR="00522373" w:rsidRPr="00E303F0" w:rsidRDefault="00F33AF4" w:rsidP="00B70625">
      <w:pPr>
        <w:pStyle w:val="SingleTxt"/>
        <w:tabs>
          <w:tab w:val="left" w:pos="0"/>
          <w:tab w:val="left" w:pos="1170"/>
        </w:tabs>
        <w:spacing w:line="240" w:lineRule="auto"/>
        <w:ind w:left="1080" w:right="1271"/>
      </w:pPr>
      <w:r>
        <w:t xml:space="preserve">15. </w:t>
      </w:r>
      <w:r w:rsidR="00522373" w:rsidRPr="00E303F0">
        <w:t xml:space="preserve">In each of the </w:t>
      </w:r>
      <w:r w:rsidR="00080E25">
        <w:t xml:space="preserve">above-mentioned </w:t>
      </w:r>
      <w:r w:rsidR="00522373" w:rsidRPr="00E303F0">
        <w:t>areas, UNDP will ensure that its operational services to the U</w:t>
      </w:r>
      <w:r w:rsidR="00A54C07">
        <w:t xml:space="preserve">nited </w:t>
      </w:r>
      <w:r w:rsidR="00522373" w:rsidRPr="00E303F0">
        <w:t>N</w:t>
      </w:r>
      <w:r w:rsidR="00A54C07">
        <w:t>ations</w:t>
      </w:r>
      <w:r w:rsidR="00522373" w:rsidRPr="00E303F0">
        <w:t xml:space="preserve"> system are provided in a financially sustainable manner, based on the principles of cost recovery and full transparency in pricing structure and strategy. Service</w:t>
      </w:r>
      <w:r w:rsidR="00A54C07">
        <w:t>-</w:t>
      </w:r>
      <w:r w:rsidR="00522373" w:rsidRPr="00E303F0">
        <w:t xml:space="preserve">level agreements for services provided by </w:t>
      </w:r>
      <w:r w:rsidR="00A54C07">
        <w:t>h</w:t>
      </w:r>
      <w:r w:rsidR="00522373" w:rsidRPr="00E303F0">
        <w:t xml:space="preserve">eadquarters units and the </w:t>
      </w:r>
      <w:r w:rsidR="00A54C07">
        <w:t>u</w:t>
      </w:r>
      <w:r w:rsidR="00522373" w:rsidRPr="00E303F0">
        <w:t xml:space="preserve">niversal </w:t>
      </w:r>
      <w:r w:rsidR="00A54C07">
        <w:t>p</w:t>
      </w:r>
      <w:r w:rsidR="00522373" w:rsidRPr="00E303F0">
        <w:t xml:space="preserve">rice </w:t>
      </w:r>
      <w:r w:rsidR="00A54C07">
        <w:t>l</w:t>
      </w:r>
      <w:r w:rsidR="00522373" w:rsidRPr="00E303F0">
        <w:t>ist for services provided by country offices are the existing mechanisms in place to ensure effective recovery of costs associated with the provision of services to U</w:t>
      </w:r>
      <w:r w:rsidR="00A54C07">
        <w:t xml:space="preserve">nited </w:t>
      </w:r>
      <w:r w:rsidR="00522373" w:rsidRPr="00E303F0">
        <w:t>N</w:t>
      </w:r>
      <w:r w:rsidR="00A54C07">
        <w:t>ations</w:t>
      </w:r>
      <w:r w:rsidR="00522373" w:rsidRPr="00E303F0">
        <w:t xml:space="preserve"> system agencies. These mechanisms will be reviewed within the overall effort to achieve cost efficiency and enhance quality of service. </w:t>
      </w:r>
    </w:p>
    <w:p w14:paraId="5921C7A0" w14:textId="521AEE01" w:rsidR="004A6258" w:rsidRDefault="004A6258" w:rsidP="00D57E81">
      <w:pPr>
        <w:tabs>
          <w:tab w:val="left" w:pos="0"/>
        </w:tabs>
        <w:spacing w:after="120"/>
        <w:ind w:left="1440" w:right="1210"/>
        <w:jc w:val="both"/>
        <w:rPr>
          <w:sz w:val="20"/>
          <w:szCs w:val="20"/>
        </w:rPr>
        <w:sectPr w:rsidR="004A6258" w:rsidSect="007C4A7B">
          <w:headerReference w:type="even" r:id="rId8"/>
          <w:headerReference w:type="default" r:id="rId9"/>
          <w:footerReference w:type="even" r:id="rId10"/>
          <w:footerReference w:type="default" r:id="rId11"/>
          <w:headerReference w:type="first" r:id="rId12"/>
          <w:footerReference w:type="first" r:id="rId13"/>
          <w:pgSz w:w="12240" w:h="15840" w:code="1"/>
          <w:pgMar w:top="1474" w:right="1134" w:bottom="1474" w:left="1195" w:header="540" w:footer="1037" w:gutter="0"/>
          <w:cols w:space="720"/>
          <w:noEndnote/>
          <w:titlePg/>
          <w:docGrid w:linePitch="326"/>
        </w:sectPr>
      </w:pPr>
    </w:p>
    <w:p w14:paraId="2B84E0C0" w14:textId="30877F0C" w:rsidR="00522373" w:rsidRPr="00E303F0" w:rsidRDefault="00522373" w:rsidP="00522373">
      <w:pPr>
        <w:tabs>
          <w:tab w:val="left" w:pos="0"/>
        </w:tabs>
        <w:jc w:val="both"/>
        <w:rPr>
          <w:spacing w:val="4"/>
          <w:w w:val="103"/>
          <w:kern w:val="14"/>
          <w:sz w:val="20"/>
          <w:szCs w:val="20"/>
          <w:lang w:val="en-GB"/>
        </w:rPr>
      </w:pPr>
    </w:p>
    <w:p w14:paraId="1EDDDF31" w14:textId="77777777" w:rsidR="00CA5269" w:rsidRPr="00F1146D" w:rsidRDefault="00CA5269" w:rsidP="00CA5269">
      <w:pPr>
        <w:pStyle w:val="HCh"/>
        <w:spacing w:after="120"/>
        <w:ind w:left="-900" w:right="-579" w:firstLine="90"/>
        <w:jc w:val="both"/>
        <w:rPr>
          <w:sz w:val="24"/>
          <w:szCs w:val="24"/>
        </w:rPr>
      </w:pPr>
      <w:r w:rsidRPr="00F1146D">
        <w:rPr>
          <w:sz w:val="24"/>
          <w:szCs w:val="24"/>
        </w:rPr>
        <w:t>Annex. Key evaluation recommendations and UNDP management response</w:t>
      </w:r>
    </w:p>
    <w:tbl>
      <w:tblPr>
        <w:tblW w:w="1442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2340"/>
        <w:gridCol w:w="1292"/>
        <w:gridCol w:w="598"/>
        <w:gridCol w:w="990"/>
        <w:gridCol w:w="2160"/>
        <w:gridCol w:w="23"/>
      </w:tblGrid>
      <w:tr w:rsidR="00CA5269" w:rsidRPr="009B4CFA" w14:paraId="562BE7B7" w14:textId="77777777" w:rsidTr="00BE1E78">
        <w:tc>
          <w:tcPr>
            <w:tcW w:w="14423" w:type="dxa"/>
            <w:gridSpan w:val="7"/>
            <w:tcBorders>
              <w:bottom w:val="single" w:sz="4" w:space="0" w:color="auto"/>
            </w:tcBorders>
            <w:shd w:val="clear" w:color="auto" w:fill="E6E6E6"/>
          </w:tcPr>
          <w:p w14:paraId="40C81073" w14:textId="2C5D19D6" w:rsidR="00CA5269" w:rsidRPr="009B4CFA" w:rsidRDefault="00CA5269" w:rsidP="00BE1E78">
            <w:pPr>
              <w:pStyle w:val="normal2"/>
              <w:numPr>
                <w:ilvl w:val="0"/>
                <w:numId w:val="0"/>
              </w:numPr>
              <w:spacing w:before="60" w:after="60"/>
              <w:rPr>
                <w:b/>
              </w:rPr>
            </w:pPr>
            <w:r w:rsidRPr="009B4CFA">
              <w:rPr>
                <w:b/>
              </w:rPr>
              <w:t xml:space="preserve">Recommendation 1. </w:t>
            </w:r>
            <w:r w:rsidR="00A54C07" w:rsidRPr="00A54C07">
              <w:rPr>
                <w:b/>
                <w:iCs/>
              </w:rPr>
              <w:t>U</w:t>
            </w:r>
            <w:r w:rsidR="00A54C07" w:rsidRPr="00A54C07">
              <w:rPr>
                <w:b/>
              </w:rPr>
              <w:t xml:space="preserve">NDP should develop a clear vision </w:t>
            </w:r>
            <w:bookmarkStart w:id="1" w:name="_Hlk517714767"/>
            <w:r w:rsidR="00A54C07" w:rsidRPr="00A54C07">
              <w:rPr>
                <w:b/>
              </w:rPr>
              <w:t>refining its role vis-à-vis the UNDS reform to serve United Nations entities with improved customer orientation and quality of services.</w:t>
            </w:r>
            <w:r w:rsidR="00A54C07" w:rsidRPr="000E2CC2">
              <w:rPr>
                <w:b/>
              </w:rPr>
              <w:t xml:space="preserve"> </w:t>
            </w:r>
            <w:bookmarkEnd w:id="1"/>
            <w:r w:rsidR="00A54C07" w:rsidRPr="00A54C07">
              <w:t xml:space="preserve">In developing a clear vision, UNDP should strategically specify boundaries – what services are to its advantage to offer and how – and demonstrate that it wants the business of United Nations agencies with a plan to improve client orientation through proper incentives to improve quality of services. This includes developing </w:t>
            </w:r>
            <w:r w:rsidR="00A54C07">
              <w:t xml:space="preserve">service-level agreements </w:t>
            </w:r>
            <w:r w:rsidR="00A54C07" w:rsidRPr="00A54C07">
              <w:t xml:space="preserve">with mandatory reporting of KPIs and establishing a real-time appraisal system with automated feedback channels incorporated into service delivery to ensure quality of services and timeliness of response. </w:t>
            </w:r>
          </w:p>
        </w:tc>
      </w:tr>
      <w:tr w:rsidR="00CA5269" w:rsidRPr="009B4CFA" w14:paraId="11E0E21D" w14:textId="77777777" w:rsidTr="00BE1E78">
        <w:tc>
          <w:tcPr>
            <w:tcW w:w="14423" w:type="dxa"/>
            <w:gridSpan w:val="7"/>
            <w:shd w:val="clear" w:color="auto" w:fill="F3F3F3"/>
          </w:tcPr>
          <w:p w14:paraId="6D652C72" w14:textId="77777777" w:rsidR="00CA5269" w:rsidRPr="009B4CFA" w:rsidRDefault="00CA5269" w:rsidP="00C60155">
            <w:pPr>
              <w:tabs>
                <w:tab w:val="left" w:pos="2880"/>
              </w:tabs>
              <w:spacing w:after="120"/>
              <w:ind w:right="461"/>
              <w:jc w:val="both"/>
              <w:rPr>
                <w:b/>
                <w:sz w:val="20"/>
                <w:szCs w:val="20"/>
                <w:lang w:val="en-GB"/>
              </w:rPr>
            </w:pPr>
            <w:r w:rsidRPr="009B4CFA">
              <w:rPr>
                <w:b/>
                <w:sz w:val="20"/>
                <w:szCs w:val="20"/>
                <w:lang w:val="en-GB"/>
              </w:rPr>
              <w:t xml:space="preserve">Management response: </w:t>
            </w:r>
          </w:p>
          <w:p w14:paraId="5D6710DE" w14:textId="1BF2CC8B" w:rsidR="00CA5269" w:rsidRPr="009B4CFA" w:rsidRDefault="00CA5269" w:rsidP="00C60155">
            <w:pPr>
              <w:tabs>
                <w:tab w:val="left" w:pos="2880"/>
              </w:tabs>
              <w:spacing w:after="120"/>
              <w:ind w:right="461"/>
              <w:jc w:val="both"/>
              <w:rPr>
                <w:b/>
                <w:sz w:val="20"/>
                <w:szCs w:val="20"/>
                <w:lang w:val="en-GB"/>
              </w:rPr>
            </w:pPr>
            <w:r w:rsidRPr="009B4CFA">
              <w:rPr>
                <w:sz w:val="20"/>
                <w:szCs w:val="20"/>
                <w:lang w:val="en-GB"/>
              </w:rPr>
              <w:t xml:space="preserve">UNDP management agrees with this recommendation and is </w:t>
            </w:r>
            <w:r w:rsidR="00A54C07">
              <w:rPr>
                <w:sz w:val="20"/>
                <w:szCs w:val="20"/>
                <w:lang w:val="en-GB"/>
              </w:rPr>
              <w:t xml:space="preserve">working actively </w:t>
            </w:r>
            <w:r w:rsidRPr="009B4CFA">
              <w:rPr>
                <w:sz w:val="20"/>
                <w:szCs w:val="20"/>
                <w:lang w:val="en-GB"/>
              </w:rPr>
              <w:t>to ensure that its ability to provide management and operational support services play</w:t>
            </w:r>
            <w:r w:rsidR="00A54C07">
              <w:rPr>
                <w:sz w:val="20"/>
                <w:szCs w:val="20"/>
                <w:lang w:val="en-GB"/>
              </w:rPr>
              <w:t>s</w:t>
            </w:r>
            <w:r w:rsidRPr="009B4CFA">
              <w:rPr>
                <w:sz w:val="20"/>
                <w:szCs w:val="20"/>
                <w:lang w:val="en-GB"/>
              </w:rPr>
              <w:t xml:space="preserve"> a critical role in supporting the growth and positioning </w:t>
            </w:r>
            <w:r w:rsidR="00A54C07">
              <w:rPr>
                <w:sz w:val="20"/>
                <w:szCs w:val="20"/>
                <w:lang w:val="en-GB"/>
              </w:rPr>
              <w:t>of UNDP</w:t>
            </w:r>
            <w:r w:rsidRPr="009B4CFA">
              <w:rPr>
                <w:sz w:val="20"/>
                <w:szCs w:val="20"/>
                <w:lang w:val="en-GB"/>
              </w:rPr>
              <w:t xml:space="preserve"> as the backbone of the U</w:t>
            </w:r>
            <w:r w:rsidR="00A54C07">
              <w:rPr>
                <w:sz w:val="20"/>
                <w:szCs w:val="20"/>
                <w:lang w:val="en-GB"/>
              </w:rPr>
              <w:t xml:space="preserve">nited </w:t>
            </w:r>
            <w:r w:rsidRPr="009B4CFA">
              <w:rPr>
                <w:sz w:val="20"/>
                <w:szCs w:val="20"/>
                <w:lang w:val="en-GB"/>
              </w:rPr>
              <w:t>N</w:t>
            </w:r>
            <w:r w:rsidR="00A54C07">
              <w:rPr>
                <w:sz w:val="20"/>
                <w:szCs w:val="20"/>
                <w:lang w:val="en-GB"/>
              </w:rPr>
              <w:t>ations</w:t>
            </w:r>
            <w:r w:rsidRPr="009B4CFA">
              <w:rPr>
                <w:sz w:val="20"/>
                <w:szCs w:val="20"/>
                <w:lang w:val="en-GB"/>
              </w:rPr>
              <w:t xml:space="preserve"> </w:t>
            </w:r>
            <w:r w:rsidR="00A54C07">
              <w:rPr>
                <w:sz w:val="20"/>
                <w:szCs w:val="20"/>
                <w:lang w:val="en-GB"/>
              </w:rPr>
              <w:t>s</w:t>
            </w:r>
            <w:r w:rsidRPr="009B4CFA">
              <w:rPr>
                <w:sz w:val="20"/>
                <w:szCs w:val="20"/>
                <w:lang w:val="en-GB"/>
              </w:rPr>
              <w:t>ystem, and achieves the vision and improved business model reflected in the Strategic Plan</w:t>
            </w:r>
            <w:r w:rsidR="00A54C07">
              <w:rPr>
                <w:sz w:val="20"/>
                <w:szCs w:val="20"/>
                <w:lang w:val="en-GB"/>
              </w:rPr>
              <w:t>,</w:t>
            </w:r>
            <w:r w:rsidRPr="009B4CFA">
              <w:rPr>
                <w:sz w:val="20"/>
                <w:szCs w:val="20"/>
                <w:lang w:val="en-GB"/>
              </w:rPr>
              <w:t xml:space="preserve"> 2018-2021. The completed corporate review of management services is supporting the development of this new corporate business model which focuses on areas where UNDP can deliver the best value to its partners.</w:t>
            </w:r>
          </w:p>
          <w:p w14:paraId="55FEED70" w14:textId="7D5F61F3" w:rsidR="00CA5269" w:rsidRPr="009B4CFA" w:rsidRDefault="00CA5269" w:rsidP="00BE1E78">
            <w:pPr>
              <w:tabs>
                <w:tab w:val="left" w:pos="2880"/>
              </w:tabs>
              <w:spacing w:before="60" w:after="120"/>
              <w:ind w:right="461"/>
              <w:jc w:val="both"/>
              <w:rPr>
                <w:sz w:val="20"/>
                <w:szCs w:val="20"/>
                <w:lang w:val="en-GB"/>
              </w:rPr>
            </w:pPr>
            <w:r w:rsidRPr="009B4CFA">
              <w:rPr>
                <w:sz w:val="20"/>
                <w:szCs w:val="20"/>
                <w:lang w:val="en-GB"/>
              </w:rPr>
              <w:t>UNDP is investing in digital platforms and is streamlining its business processes to enhance the effectiveness and efficiency of its field operations. This will provide opportunities for the broader U</w:t>
            </w:r>
            <w:r w:rsidR="00A54C07">
              <w:rPr>
                <w:sz w:val="20"/>
                <w:szCs w:val="20"/>
                <w:lang w:val="en-GB"/>
              </w:rPr>
              <w:t xml:space="preserve">nited </w:t>
            </w:r>
            <w:r w:rsidRPr="009B4CFA">
              <w:rPr>
                <w:sz w:val="20"/>
                <w:szCs w:val="20"/>
                <w:lang w:val="en-GB"/>
              </w:rPr>
              <w:t>N</w:t>
            </w:r>
            <w:r w:rsidR="00A54C07">
              <w:rPr>
                <w:sz w:val="20"/>
                <w:szCs w:val="20"/>
                <w:lang w:val="en-GB"/>
              </w:rPr>
              <w:t>ations</w:t>
            </w:r>
            <w:r w:rsidRPr="009B4CFA">
              <w:rPr>
                <w:sz w:val="20"/>
                <w:szCs w:val="20"/>
                <w:lang w:val="en-GB"/>
              </w:rPr>
              <w:t xml:space="preserve"> system to take advantage of these streamlined processes and systems to enhance their own delivery.</w:t>
            </w:r>
          </w:p>
          <w:p w14:paraId="2FE7C4E5" w14:textId="4C9DB581" w:rsidR="00CA5269" w:rsidRPr="009B4CFA" w:rsidRDefault="00CA5269" w:rsidP="00BE1E78">
            <w:pPr>
              <w:tabs>
                <w:tab w:val="left" w:pos="2880"/>
              </w:tabs>
              <w:spacing w:before="60" w:after="120"/>
              <w:ind w:right="461"/>
              <w:jc w:val="both"/>
              <w:rPr>
                <w:sz w:val="20"/>
                <w:szCs w:val="20"/>
                <w:lang w:val="en-GB"/>
              </w:rPr>
            </w:pPr>
            <w:r w:rsidRPr="009B4CFA">
              <w:rPr>
                <w:sz w:val="20"/>
                <w:szCs w:val="20"/>
                <w:lang w:val="en-GB"/>
              </w:rPr>
              <w:t>The UNDP Strategic Plan</w:t>
            </w:r>
            <w:r w:rsidR="00A54C07">
              <w:rPr>
                <w:sz w:val="20"/>
                <w:szCs w:val="20"/>
                <w:lang w:val="en-GB"/>
              </w:rPr>
              <w:t>,</w:t>
            </w:r>
            <w:r w:rsidRPr="009B4CFA">
              <w:rPr>
                <w:sz w:val="20"/>
                <w:szCs w:val="20"/>
                <w:lang w:val="en-GB"/>
              </w:rPr>
              <w:t xml:space="preserve"> 2018-2021 clearly defines </w:t>
            </w:r>
            <w:r w:rsidR="00A54C07">
              <w:rPr>
                <w:sz w:val="20"/>
                <w:szCs w:val="20"/>
                <w:lang w:val="en-GB"/>
              </w:rPr>
              <w:t xml:space="preserve">the vision of </w:t>
            </w:r>
            <w:r w:rsidRPr="009B4CFA">
              <w:rPr>
                <w:sz w:val="20"/>
                <w:szCs w:val="20"/>
                <w:lang w:val="en-GB"/>
              </w:rPr>
              <w:t>UNDP for its role at the country level as:</w:t>
            </w:r>
          </w:p>
          <w:p w14:paraId="69794B8C" w14:textId="535846E9" w:rsidR="00CA5269" w:rsidRPr="00DE7ECD" w:rsidRDefault="00CA5269" w:rsidP="00DE7ECD">
            <w:pPr>
              <w:pStyle w:val="ListParagraph"/>
              <w:numPr>
                <w:ilvl w:val="0"/>
                <w:numId w:val="12"/>
              </w:numPr>
              <w:tabs>
                <w:tab w:val="left" w:pos="2880"/>
              </w:tabs>
              <w:spacing w:before="60" w:after="120"/>
              <w:ind w:right="461"/>
              <w:jc w:val="both"/>
              <w:rPr>
                <w:sz w:val="20"/>
                <w:szCs w:val="20"/>
                <w:lang w:val="en-GB"/>
              </w:rPr>
            </w:pPr>
            <w:r w:rsidRPr="00DE7ECD">
              <w:rPr>
                <w:sz w:val="20"/>
                <w:szCs w:val="20"/>
                <w:lang w:val="en-GB"/>
              </w:rPr>
              <w:t xml:space="preserve">An integrator across policy, programme and organizational silos that delivers impact at scale and utilizes limited resources efficiently on the 2030 </w:t>
            </w:r>
            <w:r w:rsidR="00DE7ECD">
              <w:rPr>
                <w:sz w:val="20"/>
                <w:szCs w:val="20"/>
                <w:lang w:val="en-GB"/>
              </w:rPr>
              <w:t>Agenda for D</w:t>
            </w:r>
            <w:r w:rsidR="00DE7ECD" w:rsidRPr="00DE7ECD">
              <w:rPr>
                <w:sz w:val="20"/>
                <w:szCs w:val="20"/>
                <w:lang w:val="en-GB"/>
              </w:rPr>
              <w:t>evelopment</w:t>
            </w:r>
            <w:r w:rsidR="00DE7ECD">
              <w:rPr>
                <w:sz w:val="20"/>
                <w:szCs w:val="20"/>
                <w:lang w:val="en-GB"/>
              </w:rPr>
              <w:t>;</w:t>
            </w:r>
          </w:p>
          <w:p w14:paraId="50BD8695" w14:textId="296282B9" w:rsidR="00CA5269" w:rsidRPr="00DE7ECD" w:rsidRDefault="00CA5269" w:rsidP="00DE7ECD">
            <w:pPr>
              <w:pStyle w:val="ListParagraph"/>
              <w:numPr>
                <w:ilvl w:val="0"/>
                <w:numId w:val="12"/>
              </w:numPr>
              <w:tabs>
                <w:tab w:val="left" w:pos="2880"/>
              </w:tabs>
              <w:spacing w:before="60" w:after="120"/>
              <w:ind w:right="461"/>
              <w:jc w:val="both"/>
              <w:rPr>
                <w:sz w:val="20"/>
                <w:szCs w:val="20"/>
                <w:lang w:val="en-GB"/>
              </w:rPr>
            </w:pPr>
            <w:r w:rsidRPr="00DE7ECD">
              <w:rPr>
                <w:sz w:val="20"/>
                <w:szCs w:val="20"/>
                <w:lang w:val="en-GB"/>
              </w:rPr>
              <w:t>An operational backbone for U</w:t>
            </w:r>
            <w:r w:rsidR="00DE7ECD">
              <w:rPr>
                <w:sz w:val="20"/>
                <w:szCs w:val="20"/>
                <w:lang w:val="en-GB"/>
              </w:rPr>
              <w:t xml:space="preserve">nited </w:t>
            </w:r>
            <w:r w:rsidRPr="00DE7ECD">
              <w:rPr>
                <w:sz w:val="20"/>
                <w:szCs w:val="20"/>
                <w:lang w:val="en-GB"/>
              </w:rPr>
              <w:t>N</w:t>
            </w:r>
            <w:r w:rsidR="00DE7ECD">
              <w:rPr>
                <w:sz w:val="20"/>
                <w:szCs w:val="20"/>
                <w:lang w:val="en-GB"/>
              </w:rPr>
              <w:t>ations</w:t>
            </w:r>
            <w:r w:rsidRPr="00DE7ECD">
              <w:rPr>
                <w:sz w:val="20"/>
                <w:szCs w:val="20"/>
                <w:lang w:val="en-GB"/>
              </w:rPr>
              <w:t xml:space="preserve"> and other partners whereby many U</w:t>
            </w:r>
            <w:r w:rsidR="00DE7ECD">
              <w:rPr>
                <w:sz w:val="20"/>
                <w:szCs w:val="20"/>
                <w:lang w:val="en-GB"/>
              </w:rPr>
              <w:t xml:space="preserve">nited </w:t>
            </w:r>
            <w:r w:rsidRPr="00DE7ECD">
              <w:rPr>
                <w:sz w:val="20"/>
                <w:szCs w:val="20"/>
                <w:lang w:val="en-GB"/>
              </w:rPr>
              <w:t>N</w:t>
            </w:r>
            <w:r w:rsidR="00DE7ECD">
              <w:rPr>
                <w:sz w:val="20"/>
                <w:szCs w:val="20"/>
                <w:lang w:val="en-GB"/>
              </w:rPr>
              <w:t>ations</w:t>
            </w:r>
            <w:r w:rsidRPr="00DE7ECD">
              <w:rPr>
                <w:sz w:val="20"/>
                <w:szCs w:val="20"/>
                <w:lang w:val="en-GB"/>
              </w:rPr>
              <w:t xml:space="preserve"> agencies utilize </w:t>
            </w:r>
            <w:r w:rsidR="00DE7ECD">
              <w:rPr>
                <w:sz w:val="20"/>
                <w:szCs w:val="20"/>
                <w:lang w:val="en-GB"/>
              </w:rPr>
              <w:t xml:space="preserve">the </w:t>
            </w:r>
            <w:r w:rsidRPr="00DE7ECD">
              <w:rPr>
                <w:sz w:val="20"/>
                <w:szCs w:val="20"/>
                <w:lang w:val="en-GB"/>
              </w:rPr>
              <w:t xml:space="preserve">UNDP implementation capacity, including </w:t>
            </w:r>
            <w:r w:rsidR="00DE7ECD">
              <w:rPr>
                <w:sz w:val="20"/>
                <w:szCs w:val="20"/>
                <w:lang w:val="en-GB"/>
              </w:rPr>
              <w:t xml:space="preserve">its </w:t>
            </w:r>
            <w:r w:rsidR="001525F3">
              <w:rPr>
                <w:sz w:val="20"/>
                <w:szCs w:val="20"/>
                <w:lang w:val="en-GB"/>
              </w:rPr>
              <w:t>information technology (</w:t>
            </w:r>
            <w:r w:rsidRPr="00DE7ECD">
              <w:rPr>
                <w:sz w:val="20"/>
                <w:szCs w:val="20"/>
                <w:lang w:val="en-GB"/>
              </w:rPr>
              <w:t>IT</w:t>
            </w:r>
            <w:r w:rsidR="001525F3">
              <w:rPr>
                <w:sz w:val="20"/>
                <w:szCs w:val="20"/>
                <w:lang w:val="en-GB"/>
              </w:rPr>
              <w:t>)</w:t>
            </w:r>
            <w:r w:rsidRPr="00DE7ECD">
              <w:rPr>
                <w:sz w:val="20"/>
                <w:szCs w:val="20"/>
                <w:lang w:val="en-GB"/>
              </w:rPr>
              <w:t xml:space="preserve">, finance and </w:t>
            </w:r>
            <w:r w:rsidR="00DE7ECD">
              <w:rPr>
                <w:sz w:val="20"/>
                <w:szCs w:val="20"/>
                <w:lang w:val="en-GB"/>
              </w:rPr>
              <w:t>human resources</w:t>
            </w:r>
            <w:r w:rsidR="00DE7ECD" w:rsidRPr="00DE7ECD">
              <w:rPr>
                <w:sz w:val="20"/>
                <w:szCs w:val="20"/>
                <w:lang w:val="en-GB"/>
              </w:rPr>
              <w:t xml:space="preserve"> </w:t>
            </w:r>
            <w:r w:rsidRPr="00DE7ECD">
              <w:rPr>
                <w:sz w:val="20"/>
                <w:szCs w:val="20"/>
                <w:lang w:val="en-GB"/>
              </w:rPr>
              <w:t>infrastructure</w:t>
            </w:r>
            <w:r w:rsidR="00DE7ECD">
              <w:rPr>
                <w:sz w:val="20"/>
                <w:szCs w:val="20"/>
                <w:lang w:val="en-GB"/>
              </w:rPr>
              <w:t>,</w:t>
            </w:r>
            <w:r w:rsidRPr="00DE7ECD">
              <w:rPr>
                <w:sz w:val="20"/>
                <w:szCs w:val="20"/>
                <w:lang w:val="en-GB"/>
              </w:rPr>
              <w:t xml:space="preserve"> to enable them to operate effectively and cost efficiently in difficult and sometimes risky operational contexts.</w:t>
            </w:r>
          </w:p>
        </w:tc>
      </w:tr>
      <w:tr w:rsidR="00CA5269" w:rsidRPr="009B4CFA" w14:paraId="25A991D2" w14:textId="77777777" w:rsidTr="00B8287F">
        <w:tc>
          <w:tcPr>
            <w:tcW w:w="7020" w:type="dxa"/>
            <w:vMerge w:val="restart"/>
            <w:shd w:val="clear" w:color="auto" w:fill="F3F3F3"/>
          </w:tcPr>
          <w:p w14:paraId="7B4F4028" w14:textId="77777777" w:rsidR="00CA5269" w:rsidRPr="009B4CFA" w:rsidRDefault="00CA5269" w:rsidP="00786AA7">
            <w:pPr>
              <w:tabs>
                <w:tab w:val="left" w:pos="2880"/>
              </w:tabs>
              <w:spacing w:before="60"/>
              <w:jc w:val="center"/>
              <w:rPr>
                <w:b/>
                <w:sz w:val="20"/>
                <w:szCs w:val="20"/>
                <w:lang w:val="en-GB"/>
              </w:rPr>
            </w:pPr>
            <w:r w:rsidRPr="009B4CFA">
              <w:rPr>
                <w:b/>
                <w:sz w:val="20"/>
                <w:szCs w:val="20"/>
                <w:lang w:val="en-GB"/>
              </w:rPr>
              <w:t>Key action(s)</w:t>
            </w:r>
          </w:p>
        </w:tc>
        <w:tc>
          <w:tcPr>
            <w:tcW w:w="2340" w:type="dxa"/>
            <w:vMerge w:val="restart"/>
            <w:shd w:val="clear" w:color="auto" w:fill="F3F3F3"/>
          </w:tcPr>
          <w:p w14:paraId="7AA2FDFD" w14:textId="77777777" w:rsidR="00CA5269" w:rsidRDefault="00CA5269" w:rsidP="00786AA7">
            <w:pPr>
              <w:tabs>
                <w:tab w:val="left" w:pos="2880"/>
              </w:tabs>
              <w:spacing w:before="60"/>
              <w:jc w:val="center"/>
              <w:rPr>
                <w:b/>
                <w:sz w:val="20"/>
                <w:szCs w:val="20"/>
                <w:lang w:val="en-GB"/>
              </w:rPr>
            </w:pPr>
            <w:r w:rsidRPr="009B4CFA">
              <w:rPr>
                <w:b/>
                <w:sz w:val="20"/>
                <w:szCs w:val="20"/>
                <w:lang w:val="en-GB"/>
              </w:rPr>
              <w:t>Time frame</w:t>
            </w:r>
          </w:p>
          <w:p w14:paraId="2A5D45A1" w14:textId="515837CC" w:rsidR="000B28A8" w:rsidRPr="009B4CFA" w:rsidRDefault="000B28A8" w:rsidP="00786AA7">
            <w:pPr>
              <w:tabs>
                <w:tab w:val="left" w:pos="2880"/>
              </w:tabs>
              <w:spacing w:before="60"/>
              <w:jc w:val="center"/>
              <w:rPr>
                <w:b/>
                <w:sz w:val="20"/>
                <w:szCs w:val="20"/>
                <w:lang w:val="en-GB"/>
              </w:rPr>
            </w:pPr>
            <w:r>
              <w:rPr>
                <w:b/>
                <w:sz w:val="20"/>
                <w:szCs w:val="20"/>
                <w:lang w:val="en-GB"/>
              </w:rPr>
              <w:t>(Q=Quarter)</w:t>
            </w:r>
          </w:p>
        </w:tc>
        <w:tc>
          <w:tcPr>
            <w:tcW w:w="1292" w:type="dxa"/>
            <w:vMerge w:val="restart"/>
            <w:shd w:val="clear" w:color="auto" w:fill="F3F3F3"/>
          </w:tcPr>
          <w:p w14:paraId="5744F825" w14:textId="77777777" w:rsidR="00CA5269" w:rsidRPr="009B4CFA" w:rsidRDefault="00CA5269" w:rsidP="00786AA7">
            <w:pPr>
              <w:tabs>
                <w:tab w:val="left" w:pos="2880"/>
              </w:tabs>
              <w:spacing w:before="60"/>
              <w:jc w:val="center"/>
              <w:rPr>
                <w:b/>
                <w:sz w:val="20"/>
                <w:szCs w:val="20"/>
                <w:lang w:val="en-GB"/>
              </w:rPr>
            </w:pPr>
            <w:r w:rsidRPr="009B4CFA">
              <w:rPr>
                <w:b/>
                <w:sz w:val="20"/>
                <w:szCs w:val="20"/>
                <w:lang w:val="en-GB"/>
              </w:rPr>
              <w:t>Responsible unit(s)</w:t>
            </w:r>
          </w:p>
        </w:tc>
        <w:tc>
          <w:tcPr>
            <w:tcW w:w="3771" w:type="dxa"/>
            <w:gridSpan w:val="4"/>
            <w:shd w:val="clear" w:color="auto" w:fill="F3F3F3"/>
          </w:tcPr>
          <w:p w14:paraId="0BF0884C" w14:textId="77777777" w:rsidR="00CA5269" w:rsidRPr="009B4CFA" w:rsidRDefault="00CA5269" w:rsidP="00786AA7">
            <w:pPr>
              <w:tabs>
                <w:tab w:val="left" w:pos="2880"/>
              </w:tabs>
              <w:jc w:val="center"/>
              <w:rPr>
                <w:b/>
                <w:sz w:val="20"/>
                <w:szCs w:val="20"/>
                <w:lang w:val="en-GB"/>
              </w:rPr>
            </w:pPr>
            <w:r w:rsidRPr="009B4CFA">
              <w:rPr>
                <w:b/>
                <w:sz w:val="20"/>
                <w:szCs w:val="20"/>
                <w:lang w:val="en-GB"/>
              </w:rPr>
              <w:t>Tracking</w:t>
            </w:r>
            <w:r w:rsidRPr="009B4CFA">
              <w:rPr>
                <w:rStyle w:val="FootnoteReference"/>
                <w:b/>
                <w:sz w:val="20"/>
                <w:szCs w:val="20"/>
                <w:lang w:val="en-GB"/>
              </w:rPr>
              <w:footnoteReference w:id="3"/>
            </w:r>
          </w:p>
        </w:tc>
      </w:tr>
      <w:tr w:rsidR="00CA5269" w:rsidRPr="009B4CFA" w14:paraId="42E991F9" w14:textId="77777777" w:rsidTr="00B8287F">
        <w:tc>
          <w:tcPr>
            <w:tcW w:w="7020" w:type="dxa"/>
            <w:vMerge/>
            <w:shd w:val="clear" w:color="auto" w:fill="auto"/>
          </w:tcPr>
          <w:p w14:paraId="754BE054" w14:textId="77777777" w:rsidR="00CA5269" w:rsidRPr="009B4CFA" w:rsidRDefault="00CA5269" w:rsidP="00BE1E78">
            <w:pPr>
              <w:tabs>
                <w:tab w:val="left" w:pos="2880"/>
              </w:tabs>
              <w:rPr>
                <w:b/>
                <w:sz w:val="20"/>
                <w:szCs w:val="20"/>
                <w:lang w:val="en-GB"/>
              </w:rPr>
            </w:pPr>
          </w:p>
        </w:tc>
        <w:tc>
          <w:tcPr>
            <w:tcW w:w="2340" w:type="dxa"/>
            <w:vMerge/>
            <w:shd w:val="clear" w:color="auto" w:fill="auto"/>
          </w:tcPr>
          <w:p w14:paraId="7AE9FBCF" w14:textId="77777777" w:rsidR="00CA5269" w:rsidRPr="009B4CFA" w:rsidRDefault="00CA5269" w:rsidP="00B8287F">
            <w:pPr>
              <w:tabs>
                <w:tab w:val="left" w:pos="2880"/>
              </w:tabs>
              <w:rPr>
                <w:b/>
                <w:sz w:val="20"/>
                <w:szCs w:val="20"/>
                <w:lang w:val="en-GB"/>
              </w:rPr>
            </w:pPr>
          </w:p>
        </w:tc>
        <w:tc>
          <w:tcPr>
            <w:tcW w:w="1292" w:type="dxa"/>
            <w:vMerge/>
            <w:shd w:val="clear" w:color="auto" w:fill="auto"/>
          </w:tcPr>
          <w:p w14:paraId="7D6E39CB" w14:textId="77777777" w:rsidR="00CA5269" w:rsidRPr="009B4CFA" w:rsidRDefault="00CA5269" w:rsidP="00B8287F">
            <w:pPr>
              <w:tabs>
                <w:tab w:val="left" w:pos="2880"/>
              </w:tabs>
              <w:rPr>
                <w:b/>
                <w:sz w:val="20"/>
                <w:szCs w:val="20"/>
                <w:lang w:val="en-GB"/>
              </w:rPr>
            </w:pPr>
          </w:p>
        </w:tc>
        <w:tc>
          <w:tcPr>
            <w:tcW w:w="1588" w:type="dxa"/>
            <w:gridSpan w:val="2"/>
            <w:shd w:val="clear" w:color="auto" w:fill="auto"/>
          </w:tcPr>
          <w:p w14:paraId="08AC1BDB" w14:textId="77777777" w:rsidR="00CA5269" w:rsidRPr="009B4CFA" w:rsidRDefault="00CA5269" w:rsidP="00786AA7">
            <w:pPr>
              <w:tabs>
                <w:tab w:val="left" w:pos="2880"/>
              </w:tabs>
              <w:jc w:val="center"/>
              <w:rPr>
                <w:b/>
                <w:sz w:val="20"/>
                <w:szCs w:val="20"/>
                <w:lang w:val="en-GB"/>
              </w:rPr>
            </w:pPr>
            <w:r w:rsidRPr="009B4CFA">
              <w:rPr>
                <w:b/>
                <w:sz w:val="20"/>
                <w:szCs w:val="20"/>
                <w:lang w:val="en-GB"/>
              </w:rPr>
              <w:t>Status</w:t>
            </w:r>
          </w:p>
        </w:tc>
        <w:tc>
          <w:tcPr>
            <w:tcW w:w="2183" w:type="dxa"/>
            <w:gridSpan w:val="2"/>
            <w:shd w:val="clear" w:color="auto" w:fill="auto"/>
          </w:tcPr>
          <w:p w14:paraId="4DB564D1" w14:textId="77777777" w:rsidR="00CA5269" w:rsidRPr="009B4CFA" w:rsidRDefault="00CA5269" w:rsidP="00786AA7">
            <w:pPr>
              <w:tabs>
                <w:tab w:val="left" w:pos="2880"/>
              </w:tabs>
              <w:jc w:val="center"/>
              <w:rPr>
                <w:b/>
                <w:sz w:val="20"/>
                <w:szCs w:val="20"/>
                <w:lang w:val="en-GB"/>
              </w:rPr>
            </w:pPr>
            <w:r w:rsidRPr="009B4CFA">
              <w:rPr>
                <w:b/>
                <w:sz w:val="20"/>
                <w:szCs w:val="20"/>
                <w:lang w:val="en-GB"/>
              </w:rPr>
              <w:t>Comments</w:t>
            </w:r>
          </w:p>
        </w:tc>
      </w:tr>
      <w:tr w:rsidR="00CA5269" w:rsidRPr="009B4CFA" w14:paraId="51F627EB" w14:textId="77777777" w:rsidTr="00B8287F">
        <w:trPr>
          <w:trHeight w:val="514"/>
        </w:trPr>
        <w:tc>
          <w:tcPr>
            <w:tcW w:w="7020" w:type="dxa"/>
            <w:shd w:val="clear" w:color="auto" w:fill="auto"/>
          </w:tcPr>
          <w:p w14:paraId="1591D474" w14:textId="31F50883" w:rsidR="00CA5269" w:rsidRPr="009B4CFA" w:rsidRDefault="00CA5269" w:rsidP="00294C42">
            <w:pPr>
              <w:tabs>
                <w:tab w:val="left" w:pos="2880"/>
              </w:tabs>
              <w:contextualSpacing/>
              <w:rPr>
                <w:sz w:val="20"/>
                <w:szCs w:val="20"/>
                <w:lang w:val="en-GB"/>
              </w:rPr>
            </w:pPr>
            <w:r w:rsidRPr="009B4CFA">
              <w:rPr>
                <w:sz w:val="20"/>
                <w:szCs w:val="20"/>
                <w:lang w:val="en-GB"/>
              </w:rPr>
              <w:t xml:space="preserve">Review and update corporate </w:t>
            </w:r>
            <w:r w:rsidR="00DE7ECD">
              <w:rPr>
                <w:sz w:val="20"/>
                <w:szCs w:val="20"/>
                <w:lang w:val="en-GB"/>
              </w:rPr>
              <w:t>s</w:t>
            </w:r>
            <w:r w:rsidRPr="009B4CFA">
              <w:rPr>
                <w:sz w:val="20"/>
                <w:szCs w:val="20"/>
                <w:lang w:val="en-GB"/>
              </w:rPr>
              <w:t>ervice</w:t>
            </w:r>
            <w:r w:rsidR="00DE7ECD">
              <w:rPr>
                <w:sz w:val="20"/>
                <w:szCs w:val="20"/>
                <w:lang w:val="en-GB"/>
              </w:rPr>
              <w:t>-l</w:t>
            </w:r>
            <w:r w:rsidRPr="009B4CFA">
              <w:rPr>
                <w:sz w:val="20"/>
                <w:szCs w:val="20"/>
                <w:lang w:val="en-GB"/>
              </w:rPr>
              <w:t xml:space="preserve">evel </w:t>
            </w:r>
            <w:r w:rsidR="00DE7ECD">
              <w:rPr>
                <w:sz w:val="20"/>
                <w:szCs w:val="20"/>
                <w:lang w:val="en-GB"/>
              </w:rPr>
              <w:t>a</w:t>
            </w:r>
            <w:r w:rsidRPr="009B4CFA">
              <w:rPr>
                <w:sz w:val="20"/>
                <w:szCs w:val="20"/>
                <w:lang w:val="en-GB"/>
              </w:rPr>
              <w:t>greements (SLA</w:t>
            </w:r>
            <w:r w:rsidR="00DE7ECD">
              <w:rPr>
                <w:sz w:val="20"/>
                <w:szCs w:val="20"/>
                <w:lang w:val="en-GB"/>
              </w:rPr>
              <w:t>s</w:t>
            </w:r>
            <w:r w:rsidRPr="009B4CFA">
              <w:rPr>
                <w:sz w:val="20"/>
                <w:szCs w:val="20"/>
                <w:lang w:val="en-GB"/>
              </w:rPr>
              <w:t>) with U</w:t>
            </w:r>
            <w:r w:rsidR="00DE7ECD">
              <w:rPr>
                <w:sz w:val="20"/>
                <w:szCs w:val="20"/>
                <w:lang w:val="en-GB"/>
              </w:rPr>
              <w:t xml:space="preserve">nited </w:t>
            </w:r>
            <w:r w:rsidRPr="009B4CFA">
              <w:rPr>
                <w:sz w:val="20"/>
                <w:szCs w:val="20"/>
                <w:lang w:val="en-GB"/>
              </w:rPr>
              <w:t>N</w:t>
            </w:r>
            <w:r w:rsidR="00DE7ECD">
              <w:rPr>
                <w:sz w:val="20"/>
                <w:szCs w:val="20"/>
                <w:lang w:val="en-GB"/>
              </w:rPr>
              <w:t>ations</w:t>
            </w:r>
            <w:r w:rsidRPr="009B4CFA">
              <w:rPr>
                <w:sz w:val="20"/>
                <w:szCs w:val="20"/>
                <w:lang w:val="en-GB"/>
              </w:rPr>
              <w:t xml:space="preserve"> </w:t>
            </w:r>
            <w:r w:rsidR="00DE7ECD">
              <w:rPr>
                <w:sz w:val="20"/>
                <w:szCs w:val="20"/>
                <w:lang w:val="en-GB"/>
              </w:rPr>
              <w:t>a</w:t>
            </w:r>
            <w:r w:rsidRPr="009B4CFA">
              <w:rPr>
                <w:sz w:val="20"/>
                <w:szCs w:val="20"/>
                <w:lang w:val="en-GB"/>
              </w:rPr>
              <w:t>gencies</w:t>
            </w:r>
            <w:r w:rsidR="00DE7ECD">
              <w:rPr>
                <w:sz w:val="20"/>
                <w:szCs w:val="20"/>
                <w:lang w:val="en-GB"/>
              </w:rPr>
              <w:t>.</w:t>
            </w:r>
          </w:p>
        </w:tc>
        <w:tc>
          <w:tcPr>
            <w:tcW w:w="2340" w:type="dxa"/>
            <w:tcBorders>
              <w:top w:val="single" w:sz="4" w:space="0" w:color="auto"/>
              <w:left w:val="single" w:sz="4" w:space="0" w:color="auto"/>
              <w:bottom w:val="single" w:sz="8" w:space="0" w:color="auto"/>
              <w:right w:val="single" w:sz="4" w:space="0" w:color="auto"/>
            </w:tcBorders>
            <w:shd w:val="clear" w:color="auto" w:fill="auto"/>
          </w:tcPr>
          <w:p w14:paraId="16901533" w14:textId="6CE5C425" w:rsidR="00CA5269" w:rsidRPr="009B4CFA" w:rsidRDefault="00CA5269" w:rsidP="00B8287F">
            <w:pPr>
              <w:contextualSpacing/>
              <w:rPr>
                <w:sz w:val="20"/>
                <w:szCs w:val="20"/>
                <w:lang w:val="en-GB"/>
              </w:rPr>
            </w:pPr>
            <w:r w:rsidRPr="009B4CFA">
              <w:rPr>
                <w:sz w:val="20"/>
                <w:szCs w:val="20"/>
                <w:lang w:val="en-GB"/>
              </w:rPr>
              <w:t>Q1 2019</w:t>
            </w:r>
          </w:p>
        </w:tc>
        <w:tc>
          <w:tcPr>
            <w:tcW w:w="1292" w:type="dxa"/>
            <w:tcBorders>
              <w:top w:val="single" w:sz="4" w:space="0" w:color="auto"/>
              <w:left w:val="nil"/>
              <w:bottom w:val="single" w:sz="8" w:space="0" w:color="auto"/>
              <w:right w:val="single" w:sz="4" w:space="0" w:color="auto"/>
            </w:tcBorders>
            <w:shd w:val="clear" w:color="auto" w:fill="auto"/>
          </w:tcPr>
          <w:p w14:paraId="3089FBB4" w14:textId="20545233" w:rsidR="00CA5269" w:rsidRPr="009B4CFA" w:rsidRDefault="00DE7ECD" w:rsidP="00B8287F">
            <w:pPr>
              <w:tabs>
                <w:tab w:val="left" w:pos="2880"/>
              </w:tabs>
              <w:contextualSpacing/>
              <w:rPr>
                <w:sz w:val="20"/>
                <w:szCs w:val="20"/>
                <w:lang w:val="en-GB"/>
              </w:rPr>
            </w:pPr>
            <w:r>
              <w:rPr>
                <w:sz w:val="20"/>
                <w:szCs w:val="20"/>
                <w:lang w:val="en-GB"/>
              </w:rPr>
              <w:t>Bureau for Management Services</w:t>
            </w:r>
          </w:p>
        </w:tc>
        <w:tc>
          <w:tcPr>
            <w:tcW w:w="1588" w:type="dxa"/>
            <w:gridSpan w:val="2"/>
            <w:tcBorders>
              <w:top w:val="single" w:sz="4" w:space="0" w:color="auto"/>
              <w:left w:val="nil"/>
              <w:bottom w:val="single" w:sz="8" w:space="0" w:color="auto"/>
              <w:right w:val="single" w:sz="4" w:space="0" w:color="auto"/>
            </w:tcBorders>
            <w:shd w:val="clear" w:color="auto" w:fill="auto"/>
          </w:tcPr>
          <w:p w14:paraId="3889E861" w14:textId="77777777" w:rsidR="00CA5269" w:rsidRPr="009B4CFA" w:rsidRDefault="00CA5269" w:rsidP="00B8287F">
            <w:pPr>
              <w:tabs>
                <w:tab w:val="left" w:pos="2880"/>
              </w:tabs>
              <w:contextualSpacing/>
              <w:rPr>
                <w:sz w:val="20"/>
                <w:szCs w:val="20"/>
                <w:lang w:val="en-GB"/>
              </w:rPr>
            </w:pPr>
            <w:r w:rsidRPr="009B4CFA">
              <w:rPr>
                <w:sz w:val="20"/>
                <w:szCs w:val="20"/>
                <w:lang w:val="en-GB"/>
              </w:rPr>
              <w:t> </w:t>
            </w:r>
          </w:p>
        </w:tc>
        <w:tc>
          <w:tcPr>
            <w:tcW w:w="2183" w:type="dxa"/>
            <w:gridSpan w:val="2"/>
            <w:tcBorders>
              <w:top w:val="single" w:sz="4" w:space="0" w:color="auto"/>
              <w:left w:val="nil"/>
              <w:bottom w:val="single" w:sz="8" w:space="0" w:color="auto"/>
              <w:right w:val="single" w:sz="8" w:space="0" w:color="auto"/>
            </w:tcBorders>
            <w:shd w:val="clear" w:color="auto" w:fill="auto"/>
          </w:tcPr>
          <w:p w14:paraId="1DA4AFBA" w14:textId="77777777" w:rsidR="00CA5269" w:rsidRPr="009B4CFA" w:rsidRDefault="00CA5269" w:rsidP="00B8287F">
            <w:pPr>
              <w:tabs>
                <w:tab w:val="left" w:pos="2880"/>
              </w:tabs>
              <w:rPr>
                <w:sz w:val="20"/>
                <w:szCs w:val="20"/>
                <w:lang w:val="en-GB"/>
              </w:rPr>
            </w:pPr>
            <w:r w:rsidRPr="009B4CFA">
              <w:rPr>
                <w:sz w:val="20"/>
                <w:szCs w:val="20"/>
                <w:lang w:val="en-GB"/>
              </w:rPr>
              <w:t> </w:t>
            </w:r>
          </w:p>
        </w:tc>
      </w:tr>
      <w:tr w:rsidR="00CA5269" w:rsidRPr="009B4CFA" w14:paraId="393565FD" w14:textId="77777777" w:rsidTr="00B8287F">
        <w:trPr>
          <w:trHeight w:val="784"/>
        </w:trPr>
        <w:tc>
          <w:tcPr>
            <w:tcW w:w="7020" w:type="dxa"/>
            <w:shd w:val="clear" w:color="auto" w:fill="auto"/>
          </w:tcPr>
          <w:p w14:paraId="6B6648CC" w14:textId="5DE22260" w:rsidR="00CA5269" w:rsidRPr="009B4CFA" w:rsidRDefault="00CA5269" w:rsidP="00294C42">
            <w:pPr>
              <w:tabs>
                <w:tab w:val="left" w:pos="2880"/>
              </w:tabs>
              <w:contextualSpacing/>
              <w:rPr>
                <w:sz w:val="20"/>
                <w:szCs w:val="20"/>
                <w:lang w:val="en-GB"/>
              </w:rPr>
            </w:pPr>
            <w:r w:rsidRPr="009B4CFA">
              <w:rPr>
                <w:sz w:val="20"/>
                <w:szCs w:val="20"/>
                <w:lang w:val="en-GB"/>
              </w:rPr>
              <w:t xml:space="preserve">Develop a revised set of KPIs, baselines and targets for tracking continuous process improvement and client satisfaction from </w:t>
            </w:r>
            <w:r w:rsidR="00DE7ECD">
              <w:rPr>
                <w:sz w:val="20"/>
                <w:szCs w:val="20"/>
                <w:lang w:val="en-GB"/>
              </w:rPr>
              <w:t>global shared service units.</w:t>
            </w:r>
          </w:p>
        </w:tc>
        <w:tc>
          <w:tcPr>
            <w:tcW w:w="2340" w:type="dxa"/>
            <w:shd w:val="clear" w:color="auto" w:fill="auto"/>
          </w:tcPr>
          <w:p w14:paraId="4E039F90" w14:textId="474DB163" w:rsidR="00CA5269" w:rsidRPr="009B4CFA" w:rsidRDefault="00CA5269" w:rsidP="00B8287F">
            <w:pPr>
              <w:contextualSpacing/>
              <w:rPr>
                <w:color w:val="000000"/>
                <w:sz w:val="20"/>
                <w:szCs w:val="20"/>
              </w:rPr>
            </w:pPr>
            <w:r w:rsidRPr="009B4CFA">
              <w:rPr>
                <w:color w:val="000000"/>
                <w:sz w:val="20"/>
                <w:szCs w:val="20"/>
              </w:rPr>
              <w:t>Dec</w:t>
            </w:r>
            <w:r w:rsidR="00DE7ECD">
              <w:rPr>
                <w:color w:val="000000"/>
                <w:sz w:val="20"/>
                <w:szCs w:val="20"/>
              </w:rPr>
              <w:t>ember 20</w:t>
            </w:r>
            <w:r w:rsidRPr="009B4CFA">
              <w:rPr>
                <w:color w:val="000000"/>
                <w:sz w:val="20"/>
                <w:szCs w:val="20"/>
              </w:rPr>
              <w:t>18</w:t>
            </w:r>
          </w:p>
          <w:p w14:paraId="7C0D2F0D" w14:textId="77777777" w:rsidR="00CA5269" w:rsidRPr="009B4CFA" w:rsidRDefault="00CA5269" w:rsidP="00B8287F">
            <w:pPr>
              <w:tabs>
                <w:tab w:val="left" w:pos="2880"/>
              </w:tabs>
              <w:contextualSpacing/>
              <w:rPr>
                <w:sz w:val="20"/>
                <w:szCs w:val="20"/>
                <w:lang w:val="en-GB"/>
              </w:rPr>
            </w:pPr>
          </w:p>
        </w:tc>
        <w:tc>
          <w:tcPr>
            <w:tcW w:w="1292" w:type="dxa"/>
            <w:shd w:val="clear" w:color="auto" w:fill="auto"/>
          </w:tcPr>
          <w:p w14:paraId="20D2FA77" w14:textId="0A9B0E1E" w:rsidR="00CA5269" w:rsidRPr="009B4CFA" w:rsidRDefault="00DE7ECD" w:rsidP="00B8287F">
            <w:pPr>
              <w:tabs>
                <w:tab w:val="left" w:pos="2880"/>
              </w:tabs>
              <w:contextualSpacing/>
              <w:rPr>
                <w:sz w:val="20"/>
                <w:szCs w:val="20"/>
                <w:lang w:val="en-GB"/>
              </w:rPr>
            </w:pPr>
            <w:r>
              <w:rPr>
                <w:sz w:val="20"/>
                <w:szCs w:val="20"/>
                <w:lang w:val="en-GB"/>
              </w:rPr>
              <w:t>Bureau for Management Services</w:t>
            </w:r>
            <w:r w:rsidR="00CA5269" w:rsidRPr="009B4CFA">
              <w:rPr>
                <w:sz w:val="20"/>
                <w:szCs w:val="20"/>
                <w:lang w:val="en-GB"/>
              </w:rPr>
              <w:t xml:space="preserve"> </w:t>
            </w:r>
          </w:p>
        </w:tc>
        <w:tc>
          <w:tcPr>
            <w:tcW w:w="1588" w:type="dxa"/>
            <w:gridSpan w:val="2"/>
            <w:shd w:val="clear" w:color="auto" w:fill="auto"/>
          </w:tcPr>
          <w:p w14:paraId="58DF5AB4" w14:textId="77777777" w:rsidR="00CA5269" w:rsidRPr="009B4CFA" w:rsidRDefault="00CA5269" w:rsidP="00B8287F">
            <w:pPr>
              <w:tabs>
                <w:tab w:val="left" w:pos="2880"/>
              </w:tabs>
              <w:contextualSpacing/>
              <w:rPr>
                <w:sz w:val="20"/>
                <w:szCs w:val="20"/>
                <w:lang w:val="en-GB"/>
              </w:rPr>
            </w:pPr>
          </w:p>
        </w:tc>
        <w:tc>
          <w:tcPr>
            <w:tcW w:w="2183" w:type="dxa"/>
            <w:gridSpan w:val="2"/>
            <w:shd w:val="clear" w:color="auto" w:fill="auto"/>
          </w:tcPr>
          <w:p w14:paraId="0BA7A36E" w14:textId="311C7C1E" w:rsidR="00CA5269" w:rsidRPr="009B4CFA" w:rsidRDefault="00CA5269" w:rsidP="00B8287F">
            <w:pPr>
              <w:tabs>
                <w:tab w:val="left" w:pos="2880"/>
              </w:tabs>
              <w:rPr>
                <w:sz w:val="20"/>
                <w:szCs w:val="20"/>
                <w:lang w:val="en-GB"/>
              </w:rPr>
            </w:pPr>
            <w:r w:rsidRPr="009B4CFA">
              <w:rPr>
                <w:sz w:val="20"/>
                <w:szCs w:val="20"/>
                <w:lang w:val="en-GB"/>
              </w:rPr>
              <w:t xml:space="preserve">Per the </w:t>
            </w:r>
            <w:r w:rsidR="00DE7ECD">
              <w:rPr>
                <w:sz w:val="20"/>
                <w:szCs w:val="20"/>
                <w:lang w:val="en-GB"/>
              </w:rPr>
              <w:t>m</w:t>
            </w:r>
            <w:r w:rsidRPr="009B4CFA">
              <w:rPr>
                <w:sz w:val="20"/>
                <w:szCs w:val="20"/>
                <w:lang w:val="en-GB"/>
              </w:rPr>
              <w:t xml:space="preserve">anagement </w:t>
            </w:r>
            <w:r w:rsidR="00DE7ECD">
              <w:rPr>
                <w:sz w:val="20"/>
                <w:szCs w:val="20"/>
                <w:lang w:val="en-GB"/>
              </w:rPr>
              <w:t>a</w:t>
            </w:r>
            <w:r w:rsidRPr="009B4CFA">
              <w:rPr>
                <w:sz w:val="20"/>
                <w:szCs w:val="20"/>
                <w:lang w:val="en-GB"/>
              </w:rPr>
              <w:t xml:space="preserve">ction </w:t>
            </w:r>
            <w:r w:rsidR="00DE7ECD">
              <w:rPr>
                <w:sz w:val="20"/>
                <w:szCs w:val="20"/>
                <w:lang w:val="en-GB"/>
              </w:rPr>
              <w:t>p</w:t>
            </w:r>
            <w:r w:rsidRPr="009B4CFA">
              <w:rPr>
                <w:sz w:val="20"/>
                <w:szCs w:val="20"/>
                <w:lang w:val="en-GB"/>
              </w:rPr>
              <w:t xml:space="preserve">lan of </w:t>
            </w:r>
            <w:r w:rsidR="00DE7ECD">
              <w:rPr>
                <w:sz w:val="20"/>
                <w:szCs w:val="20"/>
                <w:lang w:val="en-GB"/>
              </w:rPr>
              <w:t xml:space="preserve">the </w:t>
            </w:r>
            <w:r w:rsidRPr="009B4CFA">
              <w:rPr>
                <w:sz w:val="20"/>
                <w:szCs w:val="20"/>
                <w:lang w:val="en-GB"/>
              </w:rPr>
              <w:t xml:space="preserve">OAI </w:t>
            </w:r>
            <w:r w:rsidR="00DE7ECD">
              <w:rPr>
                <w:sz w:val="20"/>
                <w:szCs w:val="20"/>
                <w:lang w:val="en-GB"/>
              </w:rPr>
              <w:t>a</w:t>
            </w:r>
            <w:r w:rsidRPr="009B4CFA">
              <w:rPr>
                <w:sz w:val="20"/>
                <w:szCs w:val="20"/>
                <w:lang w:val="en-GB"/>
              </w:rPr>
              <w:t xml:space="preserve">udit of </w:t>
            </w:r>
            <w:r w:rsidR="00DE7ECD">
              <w:rPr>
                <w:sz w:val="20"/>
                <w:szCs w:val="20"/>
                <w:lang w:val="en-GB"/>
              </w:rPr>
              <w:t xml:space="preserve">the </w:t>
            </w:r>
            <w:r w:rsidRPr="009B4CFA">
              <w:rPr>
                <w:sz w:val="20"/>
                <w:szCs w:val="20"/>
                <w:lang w:val="en-GB"/>
              </w:rPr>
              <w:t xml:space="preserve">UNDP </w:t>
            </w:r>
            <w:r w:rsidR="00DE7ECD">
              <w:rPr>
                <w:sz w:val="20"/>
                <w:szCs w:val="20"/>
                <w:lang w:val="en-GB"/>
              </w:rPr>
              <w:t>c</w:t>
            </w:r>
            <w:r w:rsidRPr="009B4CFA">
              <w:rPr>
                <w:sz w:val="20"/>
                <w:szCs w:val="20"/>
                <w:lang w:val="en-GB"/>
              </w:rPr>
              <w:t xml:space="preserve">lustering </w:t>
            </w:r>
            <w:r w:rsidR="00DE7ECD">
              <w:rPr>
                <w:sz w:val="20"/>
                <w:szCs w:val="20"/>
                <w:lang w:val="en-GB"/>
              </w:rPr>
              <w:t>p</w:t>
            </w:r>
            <w:r w:rsidRPr="009B4CFA">
              <w:rPr>
                <w:sz w:val="20"/>
                <w:szCs w:val="20"/>
                <w:lang w:val="en-GB"/>
              </w:rPr>
              <w:t>rocess.</w:t>
            </w:r>
          </w:p>
        </w:tc>
      </w:tr>
      <w:tr w:rsidR="00CA5269" w:rsidRPr="009B4CFA" w14:paraId="3AF88842" w14:textId="77777777" w:rsidTr="00B8287F">
        <w:trPr>
          <w:trHeight w:val="857"/>
        </w:trPr>
        <w:tc>
          <w:tcPr>
            <w:tcW w:w="7020" w:type="dxa"/>
            <w:shd w:val="clear" w:color="auto" w:fill="auto"/>
          </w:tcPr>
          <w:p w14:paraId="50966922" w14:textId="433DAACE" w:rsidR="00CA5269" w:rsidRPr="009B4CFA" w:rsidRDefault="00CA5269" w:rsidP="00294C42">
            <w:pPr>
              <w:tabs>
                <w:tab w:val="left" w:pos="2880"/>
              </w:tabs>
              <w:contextualSpacing/>
              <w:rPr>
                <w:sz w:val="20"/>
                <w:szCs w:val="20"/>
                <w:lang w:val="en-GB"/>
              </w:rPr>
            </w:pPr>
            <w:r w:rsidRPr="009B4CFA">
              <w:rPr>
                <w:sz w:val="20"/>
                <w:szCs w:val="20"/>
                <w:lang w:val="en-GB"/>
              </w:rPr>
              <w:t xml:space="preserve">Establish customer service enhancement structures, mechanisms and focal points at </w:t>
            </w:r>
            <w:r w:rsidR="00DE7ECD">
              <w:rPr>
                <w:sz w:val="20"/>
                <w:szCs w:val="20"/>
                <w:lang w:val="en-GB"/>
              </w:rPr>
              <w:t>headquarters</w:t>
            </w:r>
            <w:r w:rsidRPr="009B4CFA">
              <w:rPr>
                <w:sz w:val="20"/>
                <w:szCs w:val="20"/>
                <w:lang w:val="en-GB"/>
              </w:rPr>
              <w:t xml:space="preserve">, regional and </w:t>
            </w:r>
            <w:r w:rsidR="00DE7ECD">
              <w:rPr>
                <w:sz w:val="20"/>
                <w:szCs w:val="20"/>
                <w:lang w:val="en-GB"/>
              </w:rPr>
              <w:t>country office</w:t>
            </w:r>
            <w:r w:rsidR="00DE7ECD" w:rsidRPr="009B4CFA">
              <w:rPr>
                <w:sz w:val="20"/>
                <w:szCs w:val="20"/>
                <w:lang w:val="en-GB"/>
              </w:rPr>
              <w:t xml:space="preserve"> </w:t>
            </w:r>
            <w:r w:rsidRPr="009B4CFA">
              <w:rPr>
                <w:sz w:val="20"/>
                <w:szCs w:val="20"/>
                <w:lang w:val="en-GB"/>
              </w:rPr>
              <w:t>levels</w:t>
            </w:r>
            <w:r w:rsidR="001525F3">
              <w:rPr>
                <w:sz w:val="20"/>
                <w:szCs w:val="20"/>
                <w:lang w:val="en-GB"/>
              </w:rPr>
              <w:t>.</w:t>
            </w:r>
          </w:p>
        </w:tc>
        <w:tc>
          <w:tcPr>
            <w:tcW w:w="2340" w:type="dxa"/>
            <w:tcBorders>
              <w:top w:val="single" w:sz="4" w:space="0" w:color="auto"/>
              <w:left w:val="single" w:sz="4" w:space="0" w:color="auto"/>
              <w:bottom w:val="single" w:sz="8" w:space="0" w:color="auto"/>
              <w:right w:val="single" w:sz="4" w:space="0" w:color="auto"/>
            </w:tcBorders>
            <w:shd w:val="clear" w:color="auto" w:fill="auto"/>
          </w:tcPr>
          <w:p w14:paraId="354C2F78" w14:textId="16A8B403" w:rsidR="00CA5269" w:rsidRPr="009B4CFA" w:rsidRDefault="00CA5269" w:rsidP="00B8287F">
            <w:pPr>
              <w:contextualSpacing/>
              <w:rPr>
                <w:sz w:val="20"/>
                <w:szCs w:val="20"/>
                <w:lang w:val="en-GB"/>
              </w:rPr>
            </w:pPr>
            <w:r w:rsidRPr="009B4CFA">
              <w:rPr>
                <w:sz w:val="20"/>
                <w:szCs w:val="20"/>
                <w:lang w:val="en-GB"/>
              </w:rPr>
              <w:t>Q4 2018</w:t>
            </w:r>
          </w:p>
        </w:tc>
        <w:tc>
          <w:tcPr>
            <w:tcW w:w="1292" w:type="dxa"/>
            <w:tcBorders>
              <w:top w:val="single" w:sz="4" w:space="0" w:color="auto"/>
              <w:left w:val="nil"/>
              <w:bottom w:val="single" w:sz="8" w:space="0" w:color="auto"/>
              <w:right w:val="single" w:sz="4" w:space="0" w:color="auto"/>
            </w:tcBorders>
            <w:shd w:val="clear" w:color="auto" w:fill="auto"/>
          </w:tcPr>
          <w:p w14:paraId="46C5DA92" w14:textId="77777777" w:rsidR="00CA5269" w:rsidRPr="009B4CFA" w:rsidRDefault="00CA5269" w:rsidP="00B8287F">
            <w:pPr>
              <w:tabs>
                <w:tab w:val="left" w:pos="2880"/>
              </w:tabs>
              <w:contextualSpacing/>
              <w:rPr>
                <w:sz w:val="20"/>
                <w:szCs w:val="20"/>
                <w:lang w:val="en-GB"/>
              </w:rPr>
            </w:pPr>
            <w:r w:rsidRPr="009B4CFA">
              <w:rPr>
                <w:sz w:val="20"/>
                <w:szCs w:val="20"/>
                <w:lang w:val="en-GB"/>
              </w:rPr>
              <w:t>Cross-organization implementation team</w:t>
            </w:r>
          </w:p>
        </w:tc>
        <w:tc>
          <w:tcPr>
            <w:tcW w:w="1588" w:type="dxa"/>
            <w:gridSpan w:val="2"/>
            <w:tcBorders>
              <w:top w:val="single" w:sz="4" w:space="0" w:color="auto"/>
              <w:left w:val="nil"/>
              <w:bottom w:val="single" w:sz="8" w:space="0" w:color="auto"/>
              <w:right w:val="single" w:sz="4" w:space="0" w:color="auto"/>
            </w:tcBorders>
            <w:shd w:val="clear" w:color="auto" w:fill="auto"/>
          </w:tcPr>
          <w:p w14:paraId="2F5EF3EC" w14:textId="77777777" w:rsidR="00CA5269" w:rsidRPr="009B4CFA" w:rsidRDefault="00CA5269" w:rsidP="00B8287F">
            <w:pPr>
              <w:tabs>
                <w:tab w:val="left" w:pos="2880"/>
              </w:tabs>
              <w:contextualSpacing/>
              <w:rPr>
                <w:sz w:val="20"/>
                <w:szCs w:val="20"/>
                <w:lang w:val="en-GB"/>
              </w:rPr>
            </w:pPr>
          </w:p>
        </w:tc>
        <w:tc>
          <w:tcPr>
            <w:tcW w:w="2183" w:type="dxa"/>
            <w:gridSpan w:val="2"/>
            <w:tcBorders>
              <w:top w:val="single" w:sz="4" w:space="0" w:color="auto"/>
              <w:left w:val="nil"/>
              <w:bottom w:val="single" w:sz="8" w:space="0" w:color="auto"/>
              <w:right w:val="single" w:sz="8" w:space="0" w:color="auto"/>
            </w:tcBorders>
            <w:shd w:val="clear" w:color="auto" w:fill="auto"/>
          </w:tcPr>
          <w:p w14:paraId="68C07940" w14:textId="77777777" w:rsidR="00CA5269" w:rsidRPr="009B4CFA" w:rsidRDefault="00CA5269" w:rsidP="00B8287F">
            <w:pPr>
              <w:tabs>
                <w:tab w:val="left" w:pos="2880"/>
              </w:tabs>
              <w:rPr>
                <w:sz w:val="20"/>
                <w:szCs w:val="20"/>
                <w:lang w:val="en-GB"/>
              </w:rPr>
            </w:pPr>
          </w:p>
        </w:tc>
      </w:tr>
      <w:tr w:rsidR="00CA5269" w:rsidRPr="009B4CFA" w14:paraId="5F3D4733" w14:textId="77777777" w:rsidTr="00C60155">
        <w:trPr>
          <w:trHeight w:val="1323"/>
        </w:trPr>
        <w:tc>
          <w:tcPr>
            <w:tcW w:w="7020" w:type="dxa"/>
            <w:shd w:val="clear" w:color="auto" w:fill="auto"/>
          </w:tcPr>
          <w:p w14:paraId="6B90170D" w14:textId="7C971A1C" w:rsidR="00CA5269" w:rsidRPr="009B4CFA" w:rsidRDefault="00CA5269" w:rsidP="00D14EF9">
            <w:pPr>
              <w:tabs>
                <w:tab w:val="left" w:pos="2880"/>
              </w:tabs>
              <w:contextualSpacing/>
              <w:rPr>
                <w:sz w:val="20"/>
                <w:szCs w:val="20"/>
                <w:lang w:val="en-GB"/>
              </w:rPr>
            </w:pPr>
            <w:r w:rsidRPr="009B4CFA">
              <w:rPr>
                <w:sz w:val="20"/>
                <w:szCs w:val="20"/>
                <w:lang w:val="en-GB"/>
              </w:rPr>
              <w:t>Conduct a detailed baseline analysis on current service quality standards and client needs, including service costing and pricing analysis/review, leading to updated agreements with U</w:t>
            </w:r>
            <w:r w:rsidR="00DE7ECD">
              <w:rPr>
                <w:sz w:val="20"/>
                <w:szCs w:val="20"/>
                <w:lang w:val="en-GB"/>
              </w:rPr>
              <w:t xml:space="preserve">nited </w:t>
            </w:r>
            <w:r w:rsidRPr="009B4CFA">
              <w:rPr>
                <w:sz w:val="20"/>
                <w:szCs w:val="20"/>
                <w:lang w:val="en-GB"/>
              </w:rPr>
              <w:t>N</w:t>
            </w:r>
            <w:r w:rsidR="00DE7ECD">
              <w:rPr>
                <w:sz w:val="20"/>
                <w:szCs w:val="20"/>
                <w:lang w:val="en-GB"/>
              </w:rPr>
              <w:t>ations</w:t>
            </w:r>
            <w:r w:rsidRPr="009B4CFA">
              <w:rPr>
                <w:sz w:val="20"/>
                <w:szCs w:val="20"/>
                <w:lang w:val="en-GB"/>
              </w:rPr>
              <w:t xml:space="preserve"> agencies on service provision </w:t>
            </w:r>
            <w:r w:rsidR="00FE3F16" w:rsidRPr="009B4CFA">
              <w:rPr>
                <w:sz w:val="20"/>
                <w:szCs w:val="20"/>
                <w:lang w:val="en-GB"/>
              </w:rPr>
              <w:t>and revised</w:t>
            </w:r>
            <w:r w:rsidRPr="009B4CFA">
              <w:rPr>
                <w:sz w:val="20"/>
                <w:szCs w:val="20"/>
                <w:lang w:val="en-GB"/>
              </w:rPr>
              <w:t xml:space="preserve"> set of KPIs, baselines and targets for tracking continuous process improvement and client satisfaction for </w:t>
            </w:r>
            <w:r w:rsidR="00DE7ECD">
              <w:rPr>
                <w:sz w:val="20"/>
                <w:szCs w:val="20"/>
                <w:lang w:val="en-GB"/>
              </w:rPr>
              <w:t>c</w:t>
            </w:r>
            <w:r w:rsidRPr="009B4CFA">
              <w:rPr>
                <w:sz w:val="20"/>
                <w:szCs w:val="20"/>
                <w:lang w:val="en-GB"/>
              </w:rPr>
              <w:t xml:space="preserve">ountry </w:t>
            </w:r>
            <w:r w:rsidR="00DE7ECD">
              <w:rPr>
                <w:sz w:val="20"/>
                <w:szCs w:val="20"/>
                <w:lang w:val="en-GB"/>
              </w:rPr>
              <w:t>o</w:t>
            </w:r>
            <w:r w:rsidRPr="009B4CFA">
              <w:rPr>
                <w:sz w:val="20"/>
                <w:szCs w:val="20"/>
                <w:lang w:val="en-GB"/>
              </w:rPr>
              <w:t>ffices</w:t>
            </w:r>
            <w:r w:rsidR="00DE7ECD">
              <w:rPr>
                <w:sz w:val="20"/>
                <w:szCs w:val="20"/>
                <w:lang w:val="en-GB"/>
              </w:rPr>
              <w:t>.</w:t>
            </w:r>
          </w:p>
        </w:tc>
        <w:tc>
          <w:tcPr>
            <w:tcW w:w="2340" w:type="dxa"/>
            <w:tcBorders>
              <w:top w:val="single" w:sz="4" w:space="0" w:color="auto"/>
              <w:left w:val="single" w:sz="4" w:space="0" w:color="auto"/>
              <w:bottom w:val="single" w:sz="8" w:space="0" w:color="auto"/>
              <w:right w:val="single" w:sz="4" w:space="0" w:color="auto"/>
            </w:tcBorders>
            <w:shd w:val="clear" w:color="auto" w:fill="auto"/>
          </w:tcPr>
          <w:p w14:paraId="11D14E14" w14:textId="05F22DD6" w:rsidR="00CA5269" w:rsidRPr="009B4CFA" w:rsidRDefault="00CA5269" w:rsidP="00D14EF9">
            <w:pPr>
              <w:contextualSpacing/>
              <w:rPr>
                <w:sz w:val="20"/>
                <w:szCs w:val="20"/>
                <w:lang w:val="en-GB"/>
              </w:rPr>
            </w:pPr>
            <w:r w:rsidRPr="009B4CFA">
              <w:rPr>
                <w:sz w:val="20"/>
                <w:szCs w:val="20"/>
                <w:lang w:val="en-GB"/>
              </w:rPr>
              <w:t>Q4 2018 to Q4 2019</w:t>
            </w:r>
          </w:p>
        </w:tc>
        <w:tc>
          <w:tcPr>
            <w:tcW w:w="1292" w:type="dxa"/>
            <w:tcBorders>
              <w:top w:val="single" w:sz="4" w:space="0" w:color="auto"/>
              <w:left w:val="nil"/>
              <w:bottom w:val="single" w:sz="8" w:space="0" w:color="auto"/>
              <w:right w:val="single" w:sz="4" w:space="0" w:color="auto"/>
            </w:tcBorders>
            <w:shd w:val="clear" w:color="auto" w:fill="auto"/>
          </w:tcPr>
          <w:p w14:paraId="25AD0E96" w14:textId="77777777" w:rsidR="00CA5269" w:rsidRPr="009B4CFA" w:rsidRDefault="00CA5269" w:rsidP="00D14EF9">
            <w:pPr>
              <w:tabs>
                <w:tab w:val="left" w:pos="2880"/>
              </w:tabs>
              <w:contextualSpacing/>
              <w:rPr>
                <w:sz w:val="20"/>
                <w:szCs w:val="20"/>
                <w:lang w:val="en-GB"/>
              </w:rPr>
            </w:pPr>
            <w:r w:rsidRPr="009B4CFA">
              <w:rPr>
                <w:sz w:val="20"/>
                <w:szCs w:val="20"/>
                <w:lang w:val="en-GB"/>
              </w:rPr>
              <w:t>Cross-organization implementation team</w:t>
            </w:r>
          </w:p>
        </w:tc>
        <w:tc>
          <w:tcPr>
            <w:tcW w:w="1588" w:type="dxa"/>
            <w:gridSpan w:val="2"/>
            <w:tcBorders>
              <w:top w:val="single" w:sz="4" w:space="0" w:color="auto"/>
              <w:left w:val="nil"/>
              <w:bottom w:val="single" w:sz="8" w:space="0" w:color="auto"/>
              <w:right w:val="single" w:sz="4" w:space="0" w:color="auto"/>
            </w:tcBorders>
            <w:shd w:val="clear" w:color="auto" w:fill="auto"/>
          </w:tcPr>
          <w:p w14:paraId="7B15689B" w14:textId="77777777" w:rsidR="00CA5269" w:rsidRPr="009B4CFA" w:rsidRDefault="00CA5269" w:rsidP="00D14EF9">
            <w:pPr>
              <w:tabs>
                <w:tab w:val="left" w:pos="2880"/>
              </w:tabs>
              <w:contextualSpacing/>
              <w:rPr>
                <w:sz w:val="20"/>
                <w:szCs w:val="20"/>
                <w:lang w:val="en-GB"/>
              </w:rPr>
            </w:pPr>
          </w:p>
        </w:tc>
        <w:tc>
          <w:tcPr>
            <w:tcW w:w="2183" w:type="dxa"/>
            <w:gridSpan w:val="2"/>
            <w:tcBorders>
              <w:top w:val="single" w:sz="4" w:space="0" w:color="auto"/>
              <w:left w:val="nil"/>
              <w:bottom w:val="single" w:sz="8" w:space="0" w:color="auto"/>
              <w:right w:val="single" w:sz="8" w:space="0" w:color="auto"/>
            </w:tcBorders>
            <w:shd w:val="clear" w:color="auto" w:fill="auto"/>
          </w:tcPr>
          <w:p w14:paraId="7F5AF386" w14:textId="77777777" w:rsidR="00CA5269" w:rsidRPr="009B4CFA" w:rsidRDefault="00CA5269" w:rsidP="00D14EF9">
            <w:pPr>
              <w:tabs>
                <w:tab w:val="left" w:pos="2880"/>
              </w:tabs>
              <w:contextualSpacing/>
              <w:rPr>
                <w:sz w:val="20"/>
                <w:szCs w:val="20"/>
                <w:lang w:val="en-GB"/>
              </w:rPr>
            </w:pPr>
          </w:p>
        </w:tc>
      </w:tr>
      <w:tr w:rsidR="00CA5269" w:rsidRPr="009B4CFA" w14:paraId="7D8E415D" w14:textId="77777777" w:rsidTr="00B8287F">
        <w:trPr>
          <w:gridAfter w:val="1"/>
          <w:wAfter w:w="23" w:type="dxa"/>
        </w:trPr>
        <w:tc>
          <w:tcPr>
            <w:tcW w:w="14400" w:type="dxa"/>
            <w:gridSpan w:val="6"/>
            <w:tcBorders>
              <w:bottom w:val="single" w:sz="4" w:space="0" w:color="auto"/>
            </w:tcBorders>
            <w:shd w:val="clear" w:color="auto" w:fill="E6E6E6"/>
          </w:tcPr>
          <w:p w14:paraId="4CE1628B" w14:textId="26F5EB5F" w:rsidR="00CA5269" w:rsidRPr="009B4CFA" w:rsidRDefault="00CA5269" w:rsidP="00DE7ECD">
            <w:pPr>
              <w:pStyle w:val="normal2"/>
              <w:numPr>
                <w:ilvl w:val="0"/>
                <w:numId w:val="0"/>
              </w:numPr>
              <w:tabs>
                <w:tab w:val="clear" w:pos="1620"/>
              </w:tabs>
              <w:spacing w:before="60" w:after="60"/>
              <w:ind w:left="-16"/>
              <w:rPr>
                <w:b/>
              </w:rPr>
            </w:pPr>
            <w:r w:rsidRPr="009B4CFA">
              <w:rPr>
                <w:b/>
              </w:rPr>
              <w:t xml:space="preserve">Recommendation 2. </w:t>
            </w:r>
            <w:r w:rsidR="00DE7ECD" w:rsidRPr="00DE7ECD">
              <w:rPr>
                <w:b/>
              </w:rPr>
              <w:t>The Bureau for Management Services should appropriately price and implement full cost recovery for all services to United Nations entities.</w:t>
            </w:r>
            <w:r w:rsidR="00DE7ECD">
              <w:rPr>
                <w:b/>
              </w:rPr>
              <w:t xml:space="preserve"> </w:t>
            </w:r>
            <w:r w:rsidR="00DE7ECD" w:rsidRPr="00DE7ECD">
              <w:t>It will thus be important to revise current cost-recovery methodologies, reconsider the universal price list and offer tools and capacity-building for country offices to customize costing methods that better capture the process chain behind each service line, including the cost of managing risks and liabilities absorbed by UNDP as a service provider. As it devises a more detailed costing strategy, UNDP should also identify where efficiency gains can be made in processes, compared to other agencies and include the cost of business sustainability enhancements.</w:t>
            </w:r>
          </w:p>
        </w:tc>
      </w:tr>
      <w:tr w:rsidR="00CA5269" w:rsidRPr="009B4CFA" w14:paraId="0C885EA5" w14:textId="77777777" w:rsidTr="00B8287F">
        <w:trPr>
          <w:gridAfter w:val="1"/>
          <w:wAfter w:w="23" w:type="dxa"/>
        </w:trPr>
        <w:tc>
          <w:tcPr>
            <w:tcW w:w="14400" w:type="dxa"/>
            <w:gridSpan w:val="6"/>
            <w:tcBorders>
              <w:bottom w:val="single" w:sz="4" w:space="0" w:color="auto"/>
            </w:tcBorders>
            <w:shd w:val="clear" w:color="auto" w:fill="F3F3F3"/>
          </w:tcPr>
          <w:p w14:paraId="556E88F1" w14:textId="1B28A561" w:rsidR="00CA5269" w:rsidRPr="009B4CFA" w:rsidRDefault="00CA5269" w:rsidP="00B8287F">
            <w:pPr>
              <w:tabs>
                <w:tab w:val="left" w:pos="2880"/>
              </w:tabs>
              <w:spacing w:before="60" w:after="60"/>
              <w:rPr>
                <w:sz w:val="20"/>
                <w:szCs w:val="20"/>
                <w:lang w:val="en-GB"/>
              </w:rPr>
            </w:pPr>
            <w:r w:rsidRPr="009B4CFA">
              <w:rPr>
                <w:b/>
                <w:sz w:val="20"/>
                <w:szCs w:val="20"/>
                <w:lang w:val="en-GB"/>
              </w:rPr>
              <w:t>Management response:</w:t>
            </w:r>
            <w:r w:rsidRPr="009B4CFA">
              <w:rPr>
                <w:sz w:val="20"/>
                <w:szCs w:val="20"/>
                <w:lang w:val="en-GB"/>
              </w:rPr>
              <w:t xml:space="preserve"> UNDP management agrees with this recommendation, recognizing the need for a change in cost pricing from partial to full cost recovery and is committed to improving the predictability of the cost structure to enable U</w:t>
            </w:r>
            <w:r w:rsidR="00DE7ECD">
              <w:rPr>
                <w:sz w:val="20"/>
                <w:szCs w:val="20"/>
                <w:lang w:val="en-GB"/>
              </w:rPr>
              <w:t xml:space="preserve">nited </w:t>
            </w:r>
            <w:r w:rsidRPr="009B4CFA">
              <w:rPr>
                <w:sz w:val="20"/>
                <w:szCs w:val="20"/>
                <w:lang w:val="en-GB"/>
              </w:rPr>
              <w:t>N</w:t>
            </w:r>
            <w:r w:rsidR="00DE7ECD">
              <w:rPr>
                <w:sz w:val="20"/>
                <w:szCs w:val="20"/>
                <w:lang w:val="en-GB"/>
              </w:rPr>
              <w:t>ations</w:t>
            </w:r>
            <w:r w:rsidRPr="009B4CFA">
              <w:rPr>
                <w:sz w:val="20"/>
                <w:szCs w:val="20"/>
                <w:lang w:val="en-GB"/>
              </w:rPr>
              <w:t xml:space="preserve"> agencies </w:t>
            </w:r>
            <w:r w:rsidR="00FE3F16" w:rsidRPr="009B4CFA">
              <w:rPr>
                <w:sz w:val="20"/>
                <w:szCs w:val="20"/>
                <w:lang w:val="en-GB"/>
              </w:rPr>
              <w:t>to undertake</w:t>
            </w:r>
            <w:r w:rsidRPr="009B4CFA">
              <w:rPr>
                <w:sz w:val="20"/>
                <w:szCs w:val="20"/>
                <w:lang w:val="en-GB"/>
              </w:rPr>
              <w:t xml:space="preserve"> their planning accordingly. UNDP is currently reviewing the cost recovery levels and agreements (SLAs) for organizational support services that it provides to U</w:t>
            </w:r>
            <w:r w:rsidR="000B28A8">
              <w:rPr>
                <w:sz w:val="20"/>
                <w:szCs w:val="20"/>
                <w:lang w:val="en-GB"/>
              </w:rPr>
              <w:t xml:space="preserve">nited </w:t>
            </w:r>
            <w:r w:rsidRPr="009B4CFA">
              <w:rPr>
                <w:sz w:val="20"/>
                <w:szCs w:val="20"/>
                <w:lang w:val="en-GB"/>
              </w:rPr>
              <w:t>N</w:t>
            </w:r>
            <w:r w:rsidR="000B28A8">
              <w:rPr>
                <w:sz w:val="20"/>
                <w:szCs w:val="20"/>
                <w:lang w:val="en-GB"/>
              </w:rPr>
              <w:t>ations</w:t>
            </w:r>
            <w:r w:rsidRPr="009B4CFA">
              <w:rPr>
                <w:sz w:val="20"/>
                <w:szCs w:val="20"/>
                <w:lang w:val="en-GB"/>
              </w:rPr>
              <w:t xml:space="preserve"> agencies.</w:t>
            </w:r>
          </w:p>
        </w:tc>
      </w:tr>
      <w:tr w:rsidR="00CA5269" w:rsidRPr="009B4CFA" w14:paraId="22CA1778" w14:textId="77777777" w:rsidTr="00B8287F">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66A3924B" w14:textId="1DFD5F44" w:rsidR="00CA5269" w:rsidRPr="009B4CFA" w:rsidRDefault="00CA5269" w:rsidP="00B8287F">
            <w:pPr>
              <w:tabs>
                <w:tab w:val="left" w:pos="2880"/>
              </w:tabs>
              <w:spacing w:before="60" w:after="60"/>
              <w:rPr>
                <w:sz w:val="20"/>
                <w:szCs w:val="20"/>
                <w:lang w:val="en-GB"/>
              </w:rPr>
            </w:pPr>
            <w:r w:rsidRPr="009B4CFA">
              <w:rPr>
                <w:sz w:val="20"/>
                <w:szCs w:val="20"/>
                <w:lang w:val="en-GB"/>
              </w:rPr>
              <w:t>Review cost-recovery levels for global services</w:t>
            </w:r>
            <w:r w:rsidR="001525F3">
              <w:rPr>
                <w:sz w:val="20"/>
                <w:szCs w:val="20"/>
                <w:lang w:val="en-GB"/>
              </w:rPr>
              <w:t>.</w:t>
            </w:r>
          </w:p>
        </w:tc>
        <w:tc>
          <w:tcPr>
            <w:tcW w:w="2340" w:type="dxa"/>
            <w:tcBorders>
              <w:top w:val="single" w:sz="4" w:space="0" w:color="auto"/>
              <w:left w:val="single" w:sz="4" w:space="0" w:color="auto"/>
              <w:bottom w:val="single" w:sz="4" w:space="0" w:color="auto"/>
              <w:right w:val="nil"/>
            </w:tcBorders>
            <w:shd w:val="clear" w:color="auto" w:fill="auto"/>
          </w:tcPr>
          <w:p w14:paraId="2C30237C" w14:textId="36D50D49" w:rsidR="00CA5269" w:rsidRPr="009B4CFA" w:rsidRDefault="00CA5269" w:rsidP="00B8287F">
            <w:pPr>
              <w:tabs>
                <w:tab w:val="left" w:pos="2880"/>
              </w:tabs>
              <w:rPr>
                <w:sz w:val="20"/>
                <w:szCs w:val="20"/>
                <w:lang w:val="en-GB"/>
              </w:rPr>
            </w:pPr>
            <w:r w:rsidRPr="009B4CFA">
              <w:rPr>
                <w:sz w:val="20"/>
                <w:szCs w:val="20"/>
                <w:lang w:val="en-GB"/>
              </w:rPr>
              <w:t>Q1 2019</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DCE1686" w14:textId="4F0901B0" w:rsidR="00CA5269" w:rsidRPr="009B4CFA" w:rsidRDefault="000B28A8" w:rsidP="00B8287F">
            <w:pPr>
              <w:tabs>
                <w:tab w:val="left" w:pos="2880"/>
              </w:tabs>
              <w:rPr>
                <w:sz w:val="20"/>
                <w:szCs w:val="20"/>
                <w:lang w:val="en-GB"/>
              </w:rPr>
            </w:pPr>
            <w:r>
              <w:rPr>
                <w:sz w:val="20"/>
                <w:szCs w:val="20"/>
                <w:lang w:val="en-GB"/>
              </w:rPr>
              <w:t>Bureau for Management Services</w:t>
            </w:r>
          </w:p>
        </w:tc>
        <w:tc>
          <w:tcPr>
            <w:tcW w:w="990" w:type="dxa"/>
            <w:tcBorders>
              <w:top w:val="single" w:sz="4" w:space="0" w:color="auto"/>
              <w:left w:val="nil"/>
              <w:bottom w:val="single" w:sz="4" w:space="0" w:color="auto"/>
              <w:right w:val="nil"/>
            </w:tcBorders>
            <w:shd w:val="clear" w:color="auto" w:fill="auto"/>
          </w:tcPr>
          <w:p w14:paraId="764301A5" w14:textId="77777777" w:rsidR="00CA5269" w:rsidRPr="009B4CFA" w:rsidRDefault="00CA5269" w:rsidP="00B8287F">
            <w:pPr>
              <w:tabs>
                <w:tab w:val="left" w:pos="2880"/>
              </w:tabs>
              <w:rPr>
                <w:sz w:val="20"/>
                <w:szCs w:val="20"/>
                <w:lang w:val="en-GB"/>
              </w:rPr>
            </w:pPr>
            <w:r w:rsidRPr="009B4CFA">
              <w:rPr>
                <w:sz w:val="20"/>
                <w:szCs w:val="20"/>
                <w:lang w:val="en-GB"/>
              </w:rPr>
              <w:t> </w:t>
            </w: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03A31786" w14:textId="77777777" w:rsidR="00CA5269" w:rsidRPr="009B4CFA" w:rsidRDefault="00CA5269" w:rsidP="00B8287F">
            <w:pPr>
              <w:tabs>
                <w:tab w:val="left" w:pos="2880"/>
              </w:tabs>
              <w:rPr>
                <w:sz w:val="20"/>
                <w:szCs w:val="20"/>
                <w:lang w:val="en-GB"/>
              </w:rPr>
            </w:pPr>
            <w:r w:rsidRPr="009B4CFA">
              <w:rPr>
                <w:sz w:val="20"/>
                <w:szCs w:val="20"/>
                <w:lang w:val="en-GB"/>
              </w:rPr>
              <w:t> </w:t>
            </w:r>
          </w:p>
        </w:tc>
      </w:tr>
      <w:tr w:rsidR="00CA5269" w:rsidRPr="009B4CFA" w14:paraId="7143DF0E" w14:textId="77777777" w:rsidTr="00B8287F">
        <w:trPr>
          <w:gridAfter w:val="1"/>
          <w:wAfter w:w="23" w:type="dxa"/>
        </w:trPr>
        <w:tc>
          <w:tcPr>
            <w:tcW w:w="7020" w:type="dxa"/>
            <w:tcBorders>
              <w:top w:val="nil"/>
              <w:left w:val="single" w:sz="8" w:space="0" w:color="auto"/>
              <w:bottom w:val="single" w:sz="4" w:space="0" w:color="auto"/>
              <w:right w:val="nil"/>
            </w:tcBorders>
            <w:shd w:val="clear" w:color="auto" w:fill="auto"/>
          </w:tcPr>
          <w:p w14:paraId="3DF31B61" w14:textId="1C3C702C" w:rsidR="00CA5269" w:rsidRPr="009B4CFA" w:rsidRDefault="00CA5269" w:rsidP="00B8287F">
            <w:pPr>
              <w:tabs>
                <w:tab w:val="left" w:pos="2880"/>
              </w:tabs>
              <w:spacing w:before="60"/>
              <w:rPr>
                <w:sz w:val="20"/>
                <w:szCs w:val="20"/>
                <w:lang w:val="en-GB"/>
              </w:rPr>
            </w:pPr>
            <w:r w:rsidRPr="009B4CFA">
              <w:rPr>
                <w:sz w:val="20"/>
                <w:szCs w:val="20"/>
                <w:lang w:val="en-GB"/>
              </w:rPr>
              <w:t>Review (and update) corporate SLA</w:t>
            </w:r>
            <w:r w:rsidR="000B28A8">
              <w:rPr>
                <w:sz w:val="20"/>
                <w:szCs w:val="20"/>
                <w:lang w:val="en-GB"/>
              </w:rPr>
              <w:t>s</w:t>
            </w:r>
            <w:r w:rsidRPr="009B4CFA">
              <w:rPr>
                <w:sz w:val="20"/>
                <w:szCs w:val="20"/>
                <w:lang w:val="en-GB"/>
              </w:rPr>
              <w:t xml:space="preserve"> with U</w:t>
            </w:r>
            <w:r w:rsidR="000B28A8">
              <w:rPr>
                <w:sz w:val="20"/>
                <w:szCs w:val="20"/>
                <w:lang w:val="en-GB"/>
              </w:rPr>
              <w:t xml:space="preserve">nited </w:t>
            </w:r>
            <w:r w:rsidRPr="009B4CFA">
              <w:rPr>
                <w:sz w:val="20"/>
                <w:szCs w:val="20"/>
                <w:lang w:val="en-GB"/>
              </w:rPr>
              <w:t>N</w:t>
            </w:r>
            <w:r w:rsidR="000B28A8">
              <w:rPr>
                <w:sz w:val="20"/>
                <w:szCs w:val="20"/>
                <w:lang w:val="en-GB"/>
              </w:rPr>
              <w:t>ations</w:t>
            </w:r>
            <w:r w:rsidRPr="009B4CFA">
              <w:rPr>
                <w:sz w:val="20"/>
                <w:szCs w:val="20"/>
                <w:lang w:val="en-GB"/>
              </w:rPr>
              <w:t xml:space="preserve"> </w:t>
            </w:r>
            <w:r w:rsidR="000B28A8">
              <w:rPr>
                <w:sz w:val="20"/>
                <w:szCs w:val="20"/>
                <w:lang w:val="en-GB"/>
              </w:rPr>
              <w:t>a</w:t>
            </w:r>
            <w:r w:rsidRPr="009B4CFA">
              <w:rPr>
                <w:sz w:val="20"/>
                <w:szCs w:val="20"/>
                <w:lang w:val="en-GB"/>
              </w:rPr>
              <w:t>gencies</w:t>
            </w:r>
            <w:r w:rsidR="001525F3">
              <w:rPr>
                <w:sz w:val="20"/>
                <w:szCs w:val="20"/>
                <w:lang w:val="en-GB"/>
              </w:rPr>
              <w:t>.</w:t>
            </w:r>
          </w:p>
        </w:tc>
        <w:tc>
          <w:tcPr>
            <w:tcW w:w="2340" w:type="dxa"/>
            <w:tcBorders>
              <w:top w:val="nil"/>
              <w:left w:val="single" w:sz="4" w:space="0" w:color="auto"/>
              <w:bottom w:val="single" w:sz="4" w:space="0" w:color="auto"/>
              <w:right w:val="nil"/>
            </w:tcBorders>
            <w:shd w:val="clear" w:color="auto" w:fill="auto"/>
          </w:tcPr>
          <w:p w14:paraId="326E2856" w14:textId="06BBC4DF" w:rsidR="00CA5269" w:rsidRPr="009B4CFA" w:rsidRDefault="00CA5269" w:rsidP="00B8287F">
            <w:pPr>
              <w:tabs>
                <w:tab w:val="left" w:pos="2880"/>
              </w:tabs>
              <w:rPr>
                <w:sz w:val="20"/>
                <w:szCs w:val="20"/>
                <w:lang w:val="en-GB"/>
              </w:rPr>
            </w:pPr>
            <w:r w:rsidRPr="009B4CFA">
              <w:rPr>
                <w:sz w:val="20"/>
                <w:szCs w:val="20"/>
                <w:lang w:val="en-GB"/>
              </w:rPr>
              <w:t>Q1 2019</w:t>
            </w:r>
          </w:p>
        </w:tc>
        <w:tc>
          <w:tcPr>
            <w:tcW w:w="1890" w:type="dxa"/>
            <w:gridSpan w:val="2"/>
            <w:tcBorders>
              <w:top w:val="nil"/>
              <w:left w:val="single" w:sz="4" w:space="0" w:color="auto"/>
              <w:bottom w:val="single" w:sz="4" w:space="0" w:color="auto"/>
              <w:right w:val="single" w:sz="4" w:space="0" w:color="auto"/>
            </w:tcBorders>
            <w:shd w:val="clear" w:color="auto" w:fill="auto"/>
          </w:tcPr>
          <w:p w14:paraId="470E4BC0" w14:textId="7FB19143" w:rsidR="00CA5269" w:rsidRPr="009B4CFA" w:rsidRDefault="000B28A8" w:rsidP="00B8287F">
            <w:pPr>
              <w:tabs>
                <w:tab w:val="left" w:pos="2880"/>
              </w:tabs>
              <w:rPr>
                <w:sz w:val="20"/>
                <w:szCs w:val="20"/>
                <w:lang w:val="en-GB"/>
              </w:rPr>
            </w:pPr>
            <w:r>
              <w:rPr>
                <w:sz w:val="20"/>
                <w:szCs w:val="20"/>
                <w:lang w:val="en-GB"/>
              </w:rPr>
              <w:t>Bureau for Management Services</w:t>
            </w:r>
          </w:p>
        </w:tc>
        <w:tc>
          <w:tcPr>
            <w:tcW w:w="990" w:type="dxa"/>
            <w:tcBorders>
              <w:top w:val="nil"/>
              <w:left w:val="nil"/>
              <w:bottom w:val="single" w:sz="4" w:space="0" w:color="auto"/>
              <w:right w:val="nil"/>
            </w:tcBorders>
            <w:shd w:val="clear" w:color="auto" w:fill="auto"/>
          </w:tcPr>
          <w:p w14:paraId="0A7CDCCB" w14:textId="77777777" w:rsidR="00CA5269" w:rsidRPr="009B4CFA" w:rsidRDefault="00CA5269" w:rsidP="00B8287F">
            <w:pPr>
              <w:tabs>
                <w:tab w:val="left" w:pos="2880"/>
              </w:tabs>
              <w:rPr>
                <w:sz w:val="20"/>
                <w:szCs w:val="20"/>
                <w:lang w:val="en-GB"/>
              </w:rPr>
            </w:pPr>
            <w:r w:rsidRPr="009B4CFA">
              <w:rPr>
                <w:sz w:val="20"/>
                <w:szCs w:val="20"/>
                <w:lang w:val="en-GB"/>
              </w:rPr>
              <w:t> </w:t>
            </w:r>
          </w:p>
        </w:tc>
        <w:tc>
          <w:tcPr>
            <w:tcW w:w="2160" w:type="dxa"/>
            <w:tcBorders>
              <w:top w:val="nil"/>
              <w:left w:val="single" w:sz="4" w:space="0" w:color="auto"/>
              <w:bottom w:val="single" w:sz="4" w:space="0" w:color="auto"/>
              <w:right w:val="single" w:sz="8" w:space="0" w:color="auto"/>
            </w:tcBorders>
            <w:shd w:val="clear" w:color="auto" w:fill="auto"/>
          </w:tcPr>
          <w:p w14:paraId="732F1BA1" w14:textId="77777777" w:rsidR="00CA5269" w:rsidRPr="009B4CFA" w:rsidRDefault="00CA5269" w:rsidP="00B8287F">
            <w:pPr>
              <w:tabs>
                <w:tab w:val="left" w:pos="2880"/>
              </w:tabs>
              <w:rPr>
                <w:sz w:val="20"/>
                <w:szCs w:val="20"/>
                <w:lang w:val="en-GB"/>
              </w:rPr>
            </w:pPr>
            <w:r w:rsidRPr="009B4CFA">
              <w:rPr>
                <w:sz w:val="20"/>
                <w:szCs w:val="20"/>
                <w:lang w:val="en-GB"/>
              </w:rPr>
              <w:t> </w:t>
            </w:r>
          </w:p>
        </w:tc>
      </w:tr>
      <w:tr w:rsidR="00CA5269" w:rsidRPr="009B4CFA" w14:paraId="1432B885" w14:textId="77777777" w:rsidTr="00B8287F">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53D107C2" w14:textId="55A811DD" w:rsidR="00CA5269" w:rsidRPr="009B4CFA" w:rsidRDefault="00CA5269" w:rsidP="00B8287F">
            <w:pPr>
              <w:tabs>
                <w:tab w:val="left" w:pos="2880"/>
              </w:tabs>
              <w:spacing w:before="60"/>
              <w:rPr>
                <w:sz w:val="20"/>
                <w:szCs w:val="20"/>
                <w:lang w:val="en-GB"/>
              </w:rPr>
            </w:pPr>
            <w:r w:rsidRPr="009B4CFA">
              <w:rPr>
                <w:sz w:val="20"/>
                <w:szCs w:val="20"/>
              </w:rPr>
              <w:t xml:space="preserve">Conduct a detailed costing and pricing analysis/review of </w:t>
            </w:r>
            <w:r w:rsidR="000B28A8">
              <w:rPr>
                <w:sz w:val="20"/>
                <w:szCs w:val="20"/>
              </w:rPr>
              <w:t>c</w:t>
            </w:r>
            <w:r w:rsidRPr="009B4CFA">
              <w:rPr>
                <w:sz w:val="20"/>
                <w:szCs w:val="20"/>
              </w:rPr>
              <w:t xml:space="preserve">ountry </w:t>
            </w:r>
            <w:r w:rsidR="000B28A8">
              <w:rPr>
                <w:sz w:val="20"/>
                <w:szCs w:val="20"/>
              </w:rPr>
              <w:t>o</w:t>
            </w:r>
            <w:r w:rsidRPr="009B4CFA">
              <w:rPr>
                <w:sz w:val="20"/>
                <w:szCs w:val="20"/>
              </w:rPr>
              <w:t xml:space="preserve">ffice </w:t>
            </w:r>
            <w:r w:rsidR="000B28A8">
              <w:rPr>
                <w:sz w:val="20"/>
                <w:szCs w:val="20"/>
              </w:rPr>
              <w:t>s</w:t>
            </w:r>
            <w:r w:rsidRPr="009B4CFA">
              <w:rPr>
                <w:sz w:val="20"/>
                <w:szCs w:val="20"/>
              </w:rPr>
              <w:t>ervices</w:t>
            </w:r>
            <w:r w:rsidR="001525F3">
              <w:rPr>
                <w:sz w:val="20"/>
                <w:szCs w:val="20"/>
              </w:rPr>
              <w:t>.</w:t>
            </w:r>
          </w:p>
        </w:tc>
        <w:tc>
          <w:tcPr>
            <w:tcW w:w="2340" w:type="dxa"/>
            <w:tcBorders>
              <w:top w:val="single" w:sz="4" w:space="0" w:color="auto"/>
              <w:left w:val="single" w:sz="4" w:space="0" w:color="auto"/>
              <w:bottom w:val="single" w:sz="4" w:space="0" w:color="auto"/>
              <w:right w:val="nil"/>
            </w:tcBorders>
            <w:shd w:val="clear" w:color="auto" w:fill="auto"/>
          </w:tcPr>
          <w:p w14:paraId="15237811" w14:textId="77777777" w:rsidR="00CA5269" w:rsidRPr="009B4CFA" w:rsidRDefault="00CA5269" w:rsidP="00B8287F">
            <w:pPr>
              <w:tabs>
                <w:tab w:val="left" w:pos="2880"/>
              </w:tabs>
              <w:rPr>
                <w:sz w:val="20"/>
                <w:szCs w:val="20"/>
                <w:lang w:val="en-GB"/>
              </w:rPr>
            </w:pPr>
            <w:r w:rsidRPr="009B4CFA">
              <w:rPr>
                <w:sz w:val="20"/>
                <w:szCs w:val="20"/>
                <w:lang w:val="en-GB"/>
              </w:rPr>
              <w:t>Q4 2018 to Q4 2019</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CC1EECF" w14:textId="77777777" w:rsidR="00CA5269" w:rsidRPr="009B4CFA" w:rsidRDefault="00CA5269" w:rsidP="00B8287F">
            <w:pPr>
              <w:tabs>
                <w:tab w:val="left" w:pos="2880"/>
              </w:tabs>
              <w:rPr>
                <w:sz w:val="20"/>
                <w:szCs w:val="20"/>
                <w:lang w:val="en-GB"/>
              </w:rPr>
            </w:pPr>
            <w:r w:rsidRPr="009B4CFA">
              <w:rPr>
                <w:sz w:val="20"/>
                <w:szCs w:val="20"/>
                <w:lang w:val="en-GB"/>
              </w:rPr>
              <w:t>Cross-organization implementation team</w:t>
            </w:r>
          </w:p>
        </w:tc>
        <w:tc>
          <w:tcPr>
            <w:tcW w:w="990" w:type="dxa"/>
            <w:tcBorders>
              <w:top w:val="single" w:sz="4" w:space="0" w:color="auto"/>
              <w:left w:val="nil"/>
              <w:bottom w:val="single" w:sz="4" w:space="0" w:color="auto"/>
              <w:right w:val="nil"/>
            </w:tcBorders>
            <w:shd w:val="clear" w:color="auto" w:fill="auto"/>
          </w:tcPr>
          <w:p w14:paraId="06F32B62" w14:textId="77777777" w:rsidR="00CA5269" w:rsidRPr="009B4CFA" w:rsidRDefault="00CA5269" w:rsidP="00B8287F">
            <w:pPr>
              <w:tabs>
                <w:tab w:val="left" w:pos="2880"/>
              </w:tabs>
              <w:rPr>
                <w:sz w:val="20"/>
                <w:szCs w:val="20"/>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39D3FA36" w14:textId="77777777" w:rsidR="00CA5269" w:rsidRPr="009B4CFA" w:rsidRDefault="00CA5269" w:rsidP="00B8287F">
            <w:pPr>
              <w:tabs>
                <w:tab w:val="left" w:pos="2880"/>
              </w:tabs>
              <w:rPr>
                <w:sz w:val="20"/>
                <w:szCs w:val="20"/>
                <w:lang w:val="en-GB"/>
              </w:rPr>
            </w:pPr>
          </w:p>
        </w:tc>
      </w:tr>
      <w:tr w:rsidR="00CA5269" w:rsidRPr="009B4CFA" w14:paraId="7CD6E852" w14:textId="77777777" w:rsidTr="00B8287F">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78DD840E" w14:textId="2BC228DF" w:rsidR="00CA5269" w:rsidRPr="009B4CFA" w:rsidRDefault="00CA5269" w:rsidP="00B8287F">
            <w:pPr>
              <w:tabs>
                <w:tab w:val="left" w:pos="2880"/>
              </w:tabs>
              <w:spacing w:before="60"/>
              <w:rPr>
                <w:sz w:val="20"/>
                <w:szCs w:val="20"/>
                <w:highlight w:val="yellow"/>
              </w:rPr>
            </w:pPr>
            <w:r w:rsidRPr="009B4CFA">
              <w:rPr>
                <w:sz w:val="20"/>
                <w:szCs w:val="20"/>
              </w:rPr>
              <w:t xml:space="preserve">Review (and update) </w:t>
            </w:r>
            <w:r w:rsidR="000B28A8">
              <w:rPr>
                <w:sz w:val="20"/>
                <w:szCs w:val="20"/>
              </w:rPr>
              <w:t>c</w:t>
            </w:r>
            <w:r w:rsidRPr="009B4CFA">
              <w:rPr>
                <w:sz w:val="20"/>
                <w:szCs w:val="20"/>
              </w:rPr>
              <w:t xml:space="preserve">ountry </w:t>
            </w:r>
            <w:r w:rsidR="000B28A8">
              <w:rPr>
                <w:sz w:val="20"/>
                <w:szCs w:val="20"/>
              </w:rPr>
              <w:t>o</w:t>
            </w:r>
            <w:r w:rsidRPr="009B4CFA">
              <w:rPr>
                <w:sz w:val="20"/>
                <w:szCs w:val="20"/>
              </w:rPr>
              <w:t>ffice SLA</w:t>
            </w:r>
            <w:r w:rsidR="000B28A8">
              <w:rPr>
                <w:sz w:val="20"/>
                <w:szCs w:val="20"/>
              </w:rPr>
              <w:t>s</w:t>
            </w:r>
            <w:r w:rsidRPr="009B4CFA">
              <w:rPr>
                <w:sz w:val="20"/>
                <w:szCs w:val="20"/>
              </w:rPr>
              <w:t xml:space="preserve"> with U</w:t>
            </w:r>
            <w:r w:rsidR="000B28A8">
              <w:rPr>
                <w:sz w:val="20"/>
                <w:szCs w:val="20"/>
              </w:rPr>
              <w:t xml:space="preserve">nited </w:t>
            </w:r>
            <w:r w:rsidRPr="009B4CFA">
              <w:rPr>
                <w:sz w:val="20"/>
                <w:szCs w:val="20"/>
              </w:rPr>
              <w:t>N</w:t>
            </w:r>
            <w:r w:rsidR="000B28A8">
              <w:rPr>
                <w:sz w:val="20"/>
                <w:szCs w:val="20"/>
              </w:rPr>
              <w:t>ations</w:t>
            </w:r>
            <w:r w:rsidRPr="009B4CFA">
              <w:rPr>
                <w:sz w:val="20"/>
                <w:szCs w:val="20"/>
              </w:rPr>
              <w:t xml:space="preserve"> </w:t>
            </w:r>
            <w:r w:rsidR="000B28A8">
              <w:rPr>
                <w:sz w:val="20"/>
                <w:szCs w:val="20"/>
              </w:rPr>
              <w:t>a</w:t>
            </w:r>
            <w:r w:rsidRPr="009B4CFA">
              <w:rPr>
                <w:sz w:val="20"/>
                <w:szCs w:val="20"/>
              </w:rPr>
              <w:t>gencies</w:t>
            </w:r>
            <w:r w:rsidR="001525F3">
              <w:rPr>
                <w:sz w:val="20"/>
                <w:szCs w:val="20"/>
              </w:rPr>
              <w:t>.</w:t>
            </w:r>
          </w:p>
        </w:tc>
        <w:tc>
          <w:tcPr>
            <w:tcW w:w="2340" w:type="dxa"/>
            <w:tcBorders>
              <w:top w:val="single" w:sz="4" w:space="0" w:color="auto"/>
              <w:left w:val="single" w:sz="4" w:space="0" w:color="auto"/>
              <w:bottom w:val="single" w:sz="4" w:space="0" w:color="auto"/>
              <w:right w:val="nil"/>
            </w:tcBorders>
            <w:shd w:val="clear" w:color="auto" w:fill="auto"/>
          </w:tcPr>
          <w:p w14:paraId="652000B3" w14:textId="77777777" w:rsidR="00CA5269" w:rsidRPr="009B4CFA" w:rsidRDefault="00CA5269" w:rsidP="00B8287F">
            <w:pPr>
              <w:tabs>
                <w:tab w:val="left" w:pos="2880"/>
              </w:tabs>
              <w:rPr>
                <w:sz w:val="20"/>
                <w:szCs w:val="20"/>
              </w:rPr>
            </w:pPr>
            <w:r w:rsidRPr="009B4CFA">
              <w:rPr>
                <w:sz w:val="20"/>
                <w:szCs w:val="20"/>
                <w:lang w:val="en-GB"/>
              </w:rPr>
              <w:t>Q4 2018 to Q4 2019</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7C7B75C" w14:textId="77777777" w:rsidR="00CA5269" w:rsidRPr="009B4CFA" w:rsidRDefault="00CA5269" w:rsidP="00B8287F">
            <w:pPr>
              <w:tabs>
                <w:tab w:val="left" w:pos="2880"/>
              </w:tabs>
              <w:rPr>
                <w:sz w:val="20"/>
                <w:szCs w:val="20"/>
              </w:rPr>
            </w:pPr>
            <w:r w:rsidRPr="009B4CFA">
              <w:rPr>
                <w:sz w:val="20"/>
                <w:szCs w:val="20"/>
                <w:lang w:val="en-GB"/>
              </w:rPr>
              <w:t>Cross-organization implementation team</w:t>
            </w:r>
          </w:p>
        </w:tc>
        <w:tc>
          <w:tcPr>
            <w:tcW w:w="990" w:type="dxa"/>
            <w:tcBorders>
              <w:top w:val="single" w:sz="4" w:space="0" w:color="auto"/>
              <w:left w:val="nil"/>
              <w:bottom w:val="single" w:sz="4" w:space="0" w:color="auto"/>
              <w:right w:val="nil"/>
            </w:tcBorders>
            <w:shd w:val="clear" w:color="auto" w:fill="auto"/>
          </w:tcPr>
          <w:p w14:paraId="63D20036" w14:textId="77777777" w:rsidR="00CA5269" w:rsidRPr="009B4CFA" w:rsidRDefault="00CA5269" w:rsidP="00B8287F">
            <w:pPr>
              <w:tabs>
                <w:tab w:val="left" w:pos="2880"/>
              </w:tabs>
              <w:rPr>
                <w:sz w:val="20"/>
                <w:szCs w:val="20"/>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0A5F15E0" w14:textId="77777777" w:rsidR="00CA5269" w:rsidRPr="009B4CFA" w:rsidRDefault="00CA5269" w:rsidP="00B8287F">
            <w:pPr>
              <w:tabs>
                <w:tab w:val="left" w:pos="2880"/>
              </w:tabs>
              <w:rPr>
                <w:sz w:val="20"/>
                <w:szCs w:val="20"/>
                <w:lang w:val="en-GB"/>
              </w:rPr>
            </w:pPr>
          </w:p>
        </w:tc>
      </w:tr>
      <w:tr w:rsidR="00CA5269" w:rsidRPr="009B4CFA" w14:paraId="78FA9D80" w14:textId="77777777" w:rsidTr="00B8287F">
        <w:trPr>
          <w:gridAfter w:val="1"/>
          <w:wAfter w:w="23" w:type="dxa"/>
        </w:trPr>
        <w:tc>
          <w:tcPr>
            <w:tcW w:w="14400" w:type="dxa"/>
            <w:gridSpan w:val="6"/>
            <w:tcBorders>
              <w:bottom w:val="single" w:sz="4" w:space="0" w:color="auto"/>
            </w:tcBorders>
            <w:shd w:val="clear" w:color="auto" w:fill="E6E6E6"/>
          </w:tcPr>
          <w:p w14:paraId="5B9B8999" w14:textId="397F7EB6" w:rsidR="00CA5269" w:rsidRPr="009B4CFA" w:rsidRDefault="00CA5269" w:rsidP="000B28A8">
            <w:pPr>
              <w:pStyle w:val="normal2"/>
              <w:numPr>
                <w:ilvl w:val="0"/>
                <w:numId w:val="0"/>
              </w:numPr>
              <w:tabs>
                <w:tab w:val="clear" w:pos="1620"/>
              </w:tabs>
              <w:spacing w:before="60" w:after="60"/>
              <w:rPr>
                <w:b/>
              </w:rPr>
            </w:pPr>
            <w:r w:rsidRPr="009B4CFA">
              <w:rPr>
                <w:b/>
              </w:rPr>
              <w:t xml:space="preserve">Recommendation 3. </w:t>
            </w:r>
            <w:r w:rsidR="000B28A8" w:rsidRPr="000B28A8">
              <w:rPr>
                <w:b/>
              </w:rPr>
              <w:t xml:space="preserve">UNDP should incrementally implement full clustering of non-location dependent services, for all regions and all country offices, on a mandatory basis at least for services to agencies. </w:t>
            </w:r>
            <w:r w:rsidR="000B28A8" w:rsidRPr="000B28A8">
              <w:t>The Bureau for Management Services will thus need to assess the current capacities available at the GSSUs and develop a strategy to develop adequate structures and professionalize services, adapting locations as needed for languages and time zones. The role of leadership is pivotal to ensure that all regional bureaux adjust to this centralized model needed for further economies of scale and efficiencies. As the UNDS reform establishes new service hubs led by other United Nations agencies, these should be considered to absorb part of the services to be rendered to other United Nations entities, as appropriate.</w:t>
            </w:r>
          </w:p>
        </w:tc>
      </w:tr>
      <w:tr w:rsidR="00CA5269" w:rsidRPr="009B4CFA" w14:paraId="6382D8E4" w14:textId="77777777" w:rsidTr="00B8287F">
        <w:trPr>
          <w:gridAfter w:val="1"/>
          <w:wAfter w:w="23" w:type="dxa"/>
        </w:trPr>
        <w:tc>
          <w:tcPr>
            <w:tcW w:w="14400" w:type="dxa"/>
            <w:gridSpan w:val="6"/>
            <w:shd w:val="clear" w:color="auto" w:fill="F3F3F3"/>
          </w:tcPr>
          <w:p w14:paraId="41793F6C" w14:textId="128851B2" w:rsidR="00CA5269" w:rsidRPr="009B4CFA" w:rsidRDefault="00CA5269" w:rsidP="00B8287F">
            <w:pPr>
              <w:tabs>
                <w:tab w:val="left" w:pos="2880"/>
              </w:tabs>
              <w:spacing w:before="60" w:after="120"/>
              <w:rPr>
                <w:sz w:val="20"/>
                <w:szCs w:val="20"/>
                <w:lang w:val="en-GB"/>
              </w:rPr>
            </w:pPr>
            <w:r w:rsidRPr="009B4CFA">
              <w:rPr>
                <w:b/>
                <w:sz w:val="20"/>
                <w:szCs w:val="20"/>
                <w:lang w:val="en-GB"/>
              </w:rPr>
              <w:t xml:space="preserve">Management response: </w:t>
            </w:r>
            <w:r w:rsidRPr="009B4CFA">
              <w:rPr>
                <w:sz w:val="20"/>
                <w:szCs w:val="20"/>
                <w:lang w:val="en-GB"/>
              </w:rPr>
              <w:t xml:space="preserve">UNDP management agrees with this recommendation. As part of the management response to the recent OAI </w:t>
            </w:r>
            <w:r w:rsidR="000B28A8">
              <w:rPr>
                <w:sz w:val="20"/>
                <w:szCs w:val="20"/>
                <w:lang w:val="en-GB"/>
              </w:rPr>
              <w:t>a</w:t>
            </w:r>
            <w:r w:rsidRPr="009B4CFA">
              <w:rPr>
                <w:sz w:val="20"/>
                <w:szCs w:val="20"/>
                <w:lang w:val="en-GB"/>
              </w:rPr>
              <w:t xml:space="preserve">udit of </w:t>
            </w:r>
            <w:r w:rsidR="000B28A8">
              <w:rPr>
                <w:sz w:val="20"/>
                <w:szCs w:val="20"/>
                <w:lang w:val="en-GB"/>
              </w:rPr>
              <w:t xml:space="preserve">the </w:t>
            </w:r>
            <w:r w:rsidRPr="009B4CFA">
              <w:rPr>
                <w:sz w:val="20"/>
                <w:szCs w:val="20"/>
                <w:lang w:val="en-GB"/>
              </w:rPr>
              <w:t xml:space="preserve">UNDP </w:t>
            </w:r>
            <w:r w:rsidR="000B28A8">
              <w:rPr>
                <w:sz w:val="20"/>
                <w:szCs w:val="20"/>
                <w:lang w:val="en-GB"/>
              </w:rPr>
              <w:t>c</w:t>
            </w:r>
            <w:r w:rsidRPr="009B4CFA">
              <w:rPr>
                <w:sz w:val="20"/>
                <w:szCs w:val="20"/>
                <w:lang w:val="en-GB"/>
              </w:rPr>
              <w:t xml:space="preserve">lustering </w:t>
            </w:r>
            <w:r w:rsidR="000B28A8">
              <w:rPr>
                <w:sz w:val="20"/>
                <w:szCs w:val="20"/>
                <w:lang w:val="en-GB"/>
              </w:rPr>
              <w:t>p</w:t>
            </w:r>
            <w:r w:rsidR="000B28A8" w:rsidRPr="009B4CFA">
              <w:rPr>
                <w:sz w:val="20"/>
                <w:szCs w:val="20"/>
                <w:lang w:val="en-GB"/>
              </w:rPr>
              <w:t>rocess</w:t>
            </w:r>
            <w:r w:rsidRPr="009B4CFA">
              <w:rPr>
                <w:sz w:val="20"/>
                <w:szCs w:val="20"/>
                <w:lang w:val="en-GB"/>
              </w:rPr>
              <w:t xml:space="preserve"> and the analysis conducted by the review of management services, UNDP has established an action plan that includes the review of the corporate design and principles of clustering. UNDP is committed to the full implementation of clustering of non-location dependent services for all regions and country offices on a mandatory basis. UNDP commits to efficiently provide services to U</w:t>
            </w:r>
            <w:r w:rsidR="000B28A8">
              <w:rPr>
                <w:sz w:val="20"/>
                <w:szCs w:val="20"/>
                <w:lang w:val="en-GB"/>
              </w:rPr>
              <w:t xml:space="preserve">nited </w:t>
            </w:r>
            <w:r w:rsidRPr="009B4CFA">
              <w:rPr>
                <w:sz w:val="20"/>
                <w:szCs w:val="20"/>
                <w:lang w:val="en-GB"/>
              </w:rPr>
              <w:t>N</w:t>
            </w:r>
            <w:r w:rsidR="000B28A8">
              <w:rPr>
                <w:sz w:val="20"/>
                <w:szCs w:val="20"/>
                <w:lang w:val="en-GB"/>
              </w:rPr>
              <w:t>ations</w:t>
            </w:r>
            <w:r w:rsidRPr="009B4CFA">
              <w:rPr>
                <w:sz w:val="20"/>
                <w:szCs w:val="20"/>
                <w:lang w:val="en-GB"/>
              </w:rPr>
              <w:t xml:space="preserve"> entities and to actively explore ways to work together with other service providers of the U</w:t>
            </w:r>
            <w:r w:rsidR="000B28A8">
              <w:rPr>
                <w:sz w:val="20"/>
                <w:szCs w:val="20"/>
                <w:lang w:val="en-GB"/>
              </w:rPr>
              <w:t xml:space="preserve">nited </w:t>
            </w:r>
            <w:r w:rsidRPr="009B4CFA">
              <w:rPr>
                <w:sz w:val="20"/>
                <w:szCs w:val="20"/>
                <w:lang w:val="en-GB"/>
              </w:rPr>
              <w:t>N</w:t>
            </w:r>
            <w:r w:rsidR="000B28A8">
              <w:rPr>
                <w:sz w:val="20"/>
                <w:szCs w:val="20"/>
                <w:lang w:val="en-GB"/>
              </w:rPr>
              <w:t>ations</w:t>
            </w:r>
            <w:r w:rsidRPr="009B4CFA">
              <w:rPr>
                <w:sz w:val="20"/>
                <w:szCs w:val="20"/>
                <w:lang w:val="en-GB"/>
              </w:rPr>
              <w:t xml:space="preserve"> </w:t>
            </w:r>
            <w:r w:rsidR="000B28A8">
              <w:rPr>
                <w:sz w:val="20"/>
                <w:szCs w:val="20"/>
                <w:lang w:val="en-GB"/>
              </w:rPr>
              <w:t>s</w:t>
            </w:r>
            <w:r w:rsidRPr="009B4CFA">
              <w:rPr>
                <w:sz w:val="20"/>
                <w:szCs w:val="20"/>
                <w:lang w:val="en-GB"/>
              </w:rPr>
              <w:t>ystem.</w:t>
            </w:r>
          </w:p>
        </w:tc>
      </w:tr>
      <w:tr w:rsidR="00CA5269" w:rsidRPr="009B4CFA" w14:paraId="788A5E8F" w14:textId="77777777" w:rsidTr="00D14EF9">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2DC787AF" w14:textId="1005331B" w:rsidR="00CA5269" w:rsidRPr="009B4CFA" w:rsidRDefault="00CA5269" w:rsidP="00B8287F">
            <w:pPr>
              <w:tabs>
                <w:tab w:val="left" w:pos="2880"/>
              </w:tabs>
              <w:rPr>
                <w:sz w:val="20"/>
                <w:szCs w:val="20"/>
                <w:lang w:val="en-GB"/>
              </w:rPr>
            </w:pPr>
            <w:r w:rsidRPr="009B4CFA">
              <w:rPr>
                <w:sz w:val="20"/>
                <w:szCs w:val="20"/>
                <w:lang w:val="en-GB"/>
              </w:rPr>
              <w:t xml:space="preserve">Design and develop the </w:t>
            </w:r>
            <w:r w:rsidR="00D4642D" w:rsidRPr="009B4CFA">
              <w:rPr>
                <w:sz w:val="20"/>
                <w:szCs w:val="20"/>
                <w:lang w:val="en-GB"/>
              </w:rPr>
              <w:t>high-level</w:t>
            </w:r>
            <w:r w:rsidRPr="009B4CFA">
              <w:rPr>
                <w:sz w:val="20"/>
                <w:szCs w:val="20"/>
                <w:lang w:val="en-GB"/>
              </w:rPr>
              <w:t xml:space="preserve"> design of the process for clustering of non-location dependent services</w:t>
            </w:r>
            <w:r w:rsidR="00286FE9">
              <w:rPr>
                <w:sz w:val="20"/>
                <w:szCs w:val="20"/>
                <w:lang w:val="en-GB"/>
              </w:rPr>
              <w:t>.</w:t>
            </w:r>
          </w:p>
        </w:tc>
        <w:tc>
          <w:tcPr>
            <w:tcW w:w="2340" w:type="dxa"/>
            <w:tcBorders>
              <w:top w:val="single" w:sz="4" w:space="0" w:color="auto"/>
              <w:left w:val="single" w:sz="4" w:space="0" w:color="auto"/>
              <w:bottom w:val="single" w:sz="4" w:space="0" w:color="auto"/>
              <w:right w:val="nil"/>
            </w:tcBorders>
            <w:shd w:val="clear" w:color="auto" w:fill="auto"/>
          </w:tcPr>
          <w:p w14:paraId="5AAD0AC8" w14:textId="12B2CA85" w:rsidR="00B06468" w:rsidRPr="009B4CFA" w:rsidRDefault="00CA5269" w:rsidP="00B8287F">
            <w:pPr>
              <w:tabs>
                <w:tab w:val="left" w:pos="2880"/>
              </w:tabs>
              <w:rPr>
                <w:sz w:val="20"/>
                <w:szCs w:val="20"/>
                <w:lang w:val="en-GB"/>
              </w:rPr>
            </w:pPr>
            <w:r w:rsidRPr="009B4CFA">
              <w:rPr>
                <w:sz w:val="20"/>
                <w:szCs w:val="20"/>
                <w:lang w:val="en-GB"/>
              </w:rPr>
              <w:t>Oct</w:t>
            </w:r>
            <w:r w:rsidR="000B28A8">
              <w:rPr>
                <w:sz w:val="20"/>
                <w:szCs w:val="20"/>
                <w:lang w:val="en-GB"/>
              </w:rPr>
              <w:t>ober</w:t>
            </w:r>
            <w:r w:rsidR="00CC02E4">
              <w:rPr>
                <w:sz w:val="20"/>
                <w:szCs w:val="20"/>
                <w:lang w:val="en-GB"/>
              </w:rPr>
              <w:t xml:space="preserve"> </w:t>
            </w:r>
            <w:r w:rsidR="000B28A8">
              <w:rPr>
                <w:sz w:val="20"/>
                <w:szCs w:val="20"/>
                <w:lang w:val="en-GB"/>
              </w:rPr>
              <w:t>20</w:t>
            </w:r>
            <w:r w:rsidRPr="009B4CFA">
              <w:rPr>
                <w:sz w:val="20"/>
                <w:szCs w:val="20"/>
                <w:lang w:val="en-GB"/>
              </w:rPr>
              <w:t>18</w:t>
            </w:r>
          </w:p>
          <w:p w14:paraId="52D1948B" w14:textId="77777777" w:rsidR="00B06468" w:rsidRPr="009B4CFA" w:rsidRDefault="00B06468" w:rsidP="00B06468">
            <w:pPr>
              <w:rPr>
                <w:sz w:val="20"/>
                <w:szCs w:val="20"/>
                <w:lang w:val="en-GB"/>
              </w:rPr>
            </w:pPr>
          </w:p>
          <w:p w14:paraId="13959101" w14:textId="4D3C7E06" w:rsidR="00B06468" w:rsidRPr="009B4CFA" w:rsidRDefault="00B06468" w:rsidP="00B06468">
            <w:pPr>
              <w:rPr>
                <w:sz w:val="20"/>
                <w:szCs w:val="20"/>
                <w:lang w:val="en-GB"/>
              </w:rPr>
            </w:pPr>
          </w:p>
          <w:p w14:paraId="24BB8ABE" w14:textId="77777777" w:rsidR="00CA5269" w:rsidRPr="009B4CFA" w:rsidRDefault="00CA5269" w:rsidP="00B06468">
            <w:pPr>
              <w:rPr>
                <w:sz w:val="20"/>
                <w:szCs w:val="20"/>
                <w:lang w:val="en-GB"/>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B837C10" w14:textId="33E6B7F8" w:rsidR="00CA5269" w:rsidRPr="009B4CFA" w:rsidRDefault="00CA5269" w:rsidP="00D14EF9">
            <w:pPr>
              <w:tabs>
                <w:tab w:val="left" w:pos="2880"/>
              </w:tabs>
              <w:spacing w:before="60"/>
              <w:rPr>
                <w:sz w:val="20"/>
                <w:szCs w:val="20"/>
                <w:lang w:val="en-GB"/>
              </w:rPr>
            </w:pPr>
            <w:r w:rsidRPr="009B4CFA">
              <w:rPr>
                <w:sz w:val="20"/>
                <w:szCs w:val="20"/>
                <w:lang w:val="en-GB"/>
              </w:rPr>
              <w:t xml:space="preserve">Cross-organization implementation team including </w:t>
            </w:r>
            <w:r w:rsidR="000B28A8">
              <w:rPr>
                <w:sz w:val="20"/>
                <w:szCs w:val="20"/>
                <w:lang w:val="en-GB"/>
              </w:rPr>
              <w:t>Bureau for Management Services, regional bureaux, Executive Office</w:t>
            </w:r>
            <w:r w:rsidRPr="009B4CFA">
              <w:rPr>
                <w:sz w:val="20"/>
                <w:szCs w:val="20"/>
                <w:lang w:val="en-GB"/>
              </w:rPr>
              <w:t xml:space="preserve"> </w:t>
            </w:r>
          </w:p>
        </w:tc>
        <w:tc>
          <w:tcPr>
            <w:tcW w:w="990" w:type="dxa"/>
            <w:shd w:val="clear" w:color="auto" w:fill="auto"/>
          </w:tcPr>
          <w:p w14:paraId="3E3B50BF" w14:textId="77777777" w:rsidR="00CA5269" w:rsidRPr="009B4CFA" w:rsidRDefault="00CA5269" w:rsidP="00B8287F">
            <w:pPr>
              <w:tabs>
                <w:tab w:val="left" w:pos="2880"/>
              </w:tabs>
              <w:rPr>
                <w:sz w:val="20"/>
                <w:szCs w:val="20"/>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04958E8D" w14:textId="37E26AED" w:rsidR="00CA5269" w:rsidRPr="009B4CFA" w:rsidRDefault="00CA5269" w:rsidP="00B8287F">
            <w:pPr>
              <w:tabs>
                <w:tab w:val="left" w:pos="2880"/>
              </w:tabs>
              <w:rPr>
                <w:sz w:val="20"/>
                <w:szCs w:val="20"/>
                <w:lang w:val="en-GB"/>
              </w:rPr>
            </w:pPr>
            <w:r w:rsidRPr="009B4CFA">
              <w:rPr>
                <w:sz w:val="20"/>
                <w:szCs w:val="20"/>
                <w:lang w:val="en-GB"/>
              </w:rPr>
              <w:t xml:space="preserve">Per the </w:t>
            </w:r>
            <w:r w:rsidR="000B28A8">
              <w:rPr>
                <w:sz w:val="20"/>
                <w:szCs w:val="20"/>
                <w:lang w:val="en-GB"/>
              </w:rPr>
              <w:t>m</w:t>
            </w:r>
            <w:r w:rsidRPr="009B4CFA">
              <w:rPr>
                <w:sz w:val="20"/>
                <w:szCs w:val="20"/>
                <w:lang w:val="en-GB"/>
              </w:rPr>
              <w:t xml:space="preserve">anagement </w:t>
            </w:r>
            <w:r w:rsidR="000B28A8">
              <w:rPr>
                <w:sz w:val="20"/>
                <w:szCs w:val="20"/>
                <w:lang w:val="en-GB"/>
              </w:rPr>
              <w:t>a</w:t>
            </w:r>
            <w:r w:rsidRPr="009B4CFA">
              <w:rPr>
                <w:sz w:val="20"/>
                <w:szCs w:val="20"/>
                <w:lang w:val="en-GB"/>
              </w:rPr>
              <w:t xml:space="preserve">ction </w:t>
            </w:r>
            <w:r w:rsidR="000B28A8">
              <w:rPr>
                <w:sz w:val="20"/>
                <w:szCs w:val="20"/>
                <w:lang w:val="en-GB"/>
              </w:rPr>
              <w:t>p</w:t>
            </w:r>
            <w:r w:rsidRPr="009B4CFA">
              <w:rPr>
                <w:sz w:val="20"/>
                <w:szCs w:val="20"/>
                <w:lang w:val="en-GB"/>
              </w:rPr>
              <w:t xml:space="preserve">lan of </w:t>
            </w:r>
            <w:r w:rsidR="000B28A8">
              <w:rPr>
                <w:sz w:val="20"/>
                <w:szCs w:val="20"/>
                <w:lang w:val="en-GB"/>
              </w:rPr>
              <w:t xml:space="preserve">the </w:t>
            </w:r>
            <w:r w:rsidRPr="009B4CFA">
              <w:rPr>
                <w:sz w:val="20"/>
                <w:szCs w:val="20"/>
                <w:lang w:val="en-GB"/>
              </w:rPr>
              <w:t xml:space="preserve">OAI </w:t>
            </w:r>
            <w:r w:rsidR="000B28A8">
              <w:rPr>
                <w:sz w:val="20"/>
                <w:szCs w:val="20"/>
                <w:lang w:val="en-GB"/>
              </w:rPr>
              <w:t>a</w:t>
            </w:r>
            <w:r w:rsidRPr="009B4CFA">
              <w:rPr>
                <w:sz w:val="20"/>
                <w:szCs w:val="20"/>
                <w:lang w:val="en-GB"/>
              </w:rPr>
              <w:t xml:space="preserve">udit of </w:t>
            </w:r>
            <w:r w:rsidR="000B28A8">
              <w:rPr>
                <w:sz w:val="20"/>
                <w:szCs w:val="20"/>
                <w:lang w:val="en-GB"/>
              </w:rPr>
              <w:t xml:space="preserve">the </w:t>
            </w:r>
            <w:r w:rsidRPr="009B4CFA">
              <w:rPr>
                <w:sz w:val="20"/>
                <w:szCs w:val="20"/>
                <w:lang w:val="en-GB"/>
              </w:rPr>
              <w:t xml:space="preserve">UNDP </w:t>
            </w:r>
            <w:r w:rsidR="000B28A8">
              <w:rPr>
                <w:sz w:val="20"/>
                <w:szCs w:val="20"/>
                <w:lang w:val="en-GB"/>
              </w:rPr>
              <w:t>c</w:t>
            </w:r>
            <w:r w:rsidRPr="009B4CFA">
              <w:rPr>
                <w:sz w:val="20"/>
                <w:szCs w:val="20"/>
                <w:lang w:val="en-GB"/>
              </w:rPr>
              <w:t xml:space="preserve">lustering </w:t>
            </w:r>
            <w:r w:rsidR="000B28A8">
              <w:rPr>
                <w:sz w:val="20"/>
                <w:szCs w:val="20"/>
                <w:lang w:val="en-GB"/>
              </w:rPr>
              <w:t>p</w:t>
            </w:r>
            <w:r w:rsidRPr="009B4CFA">
              <w:rPr>
                <w:sz w:val="20"/>
                <w:szCs w:val="20"/>
                <w:lang w:val="en-GB"/>
              </w:rPr>
              <w:t>rocess </w:t>
            </w:r>
          </w:p>
        </w:tc>
      </w:tr>
      <w:tr w:rsidR="00CA5269" w:rsidRPr="009B4CFA" w14:paraId="097904CD" w14:textId="77777777" w:rsidTr="00D14EF9">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6F5A7BA6" w14:textId="042CC950" w:rsidR="00CA5269" w:rsidRPr="009B4CFA" w:rsidRDefault="00CA5269" w:rsidP="00B8287F">
            <w:pPr>
              <w:tabs>
                <w:tab w:val="left" w:pos="2880"/>
              </w:tabs>
              <w:rPr>
                <w:sz w:val="20"/>
                <w:szCs w:val="20"/>
                <w:lang w:val="en-GB"/>
              </w:rPr>
            </w:pPr>
            <w:r w:rsidRPr="009B4CFA">
              <w:rPr>
                <w:sz w:val="20"/>
                <w:szCs w:val="20"/>
                <w:lang w:val="en-GB"/>
              </w:rPr>
              <w:t xml:space="preserve">Business </w:t>
            </w:r>
            <w:r w:rsidR="00286FE9">
              <w:rPr>
                <w:sz w:val="20"/>
                <w:szCs w:val="20"/>
                <w:lang w:val="en-GB"/>
              </w:rPr>
              <w:t>c</w:t>
            </w:r>
            <w:r w:rsidRPr="009B4CFA">
              <w:rPr>
                <w:sz w:val="20"/>
                <w:szCs w:val="20"/>
                <w:lang w:val="en-GB"/>
              </w:rPr>
              <w:t>ases for clustering implementation of non-location dependent services established</w:t>
            </w:r>
            <w:r w:rsidR="00286FE9">
              <w:rPr>
                <w:sz w:val="20"/>
                <w:szCs w:val="20"/>
                <w:lang w:val="en-GB"/>
              </w:rPr>
              <w:t>.</w:t>
            </w:r>
            <w:r w:rsidRPr="009B4CFA">
              <w:rPr>
                <w:sz w:val="20"/>
                <w:szCs w:val="20"/>
                <w:lang w:val="en-GB"/>
              </w:rPr>
              <w:t xml:space="preserve"> </w:t>
            </w:r>
          </w:p>
        </w:tc>
        <w:tc>
          <w:tcPr>
            <w:tcW w:w="2340" w:type="dxa"/>
            <w:tcBorders>
              <w:top w:val="single" w:sz="4" w:space="0" w:color="auto"/>
              <w:left w:val="single" w:sz="4" w:space="0" w:color="auto"/>
              <w:bottom w:val="single" w:sz="4" w:space="0" w:color="auto"/>
              <w:right w:val="nil"/>
            </w:tcBorders>
            <w:shd w:val="clear" w:color="auto" w:fill="auto"/>
          </w:tcPr>
          <w:p w14:paraId="7D467820" w14:textId="4533B2EA" w:rsidR="00CA5269" w:rsidRPr="009B4CFA" w:rsidRDefault="00CA5269" w:rsidP="00B8287F">
            <w:pPr>
              <w:tabs>
                <w:tab w:val="left" w:pos="2880"/>
              </w:tabs>
              <w:spacing w:before="60"/>
              <w:rPr>
                <w:sz w:val="20"/>
                <w:szCs w:val="20"/>
                <w:lang w:val="en-GB"/>
              </w:rPr>
            </w:pPr>
            <w:r w:rsidRPr="009B4CFA">
              <w:rPr>
                <w:sz w:val="20"/>
                <w:szCs w:val="20"/>
                <w:lang w:val="en-GB"/>
              </w:rPr>
              <w:t>June</w:t>
            </w:r>
            <w:r w:rsidR="00286FE9">
              <w:rPr>
                <w:sz w:val="20"/>
                <w:szCs w:val="20"/>
                <w:lang w:val="en-GB"/>
              </w:rPr>
              <w:t xml:space="preserve"> 20</w:t>
            </w:r>
            <w:r w:rsidRPr="009B4CFA">
              <w:rPr>
                <w:sz w:val="20"/>
                <w:szCs w:val="20"/>
                <w:lang w:val="en-GB"/>
              </w:rPr>
              <w:t>19</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37B6853" w14:textId="6B63A554" w:rsidR="00CA5269" w:rsidRPr="009B4CFA" w:rsidRDefault="00CA5269" w:rsidP="00D14EF9">
            <w:pPr>
              <w:tabs>
                <w:tab w:val="left" w:pos="2880"/>
              </w:tabs>
              <w:spacing w:before="60"/>
              <w:rPr>
                <w:sz w:val="20"/>
                <w:szCs w:val="20"/>
                <w:lang w:val="en-GB"/>
              </w:rPr>
            </w:pPr>
            <w:r w:rsidRPr="009B4CFA">
              <w:rPr>
                <w:sz w:val="20"/>
                <w:szCs w:val="20"/>
                <w:lang w:val="en-GB"/>
              </w:rPr>
              <w:t xml:space="preserve">Cross-organization implementation team including </w:t>
            </w:r>
            <w:r w:rsidR="00286FE9">
              <w:rPr>
                <w:sz w:val="20"/>
                <w:szCs w:val="20"/>
                <w:lang w:val="en-GB"/>
              </w:rPr>
              <w:t>Bureau for Management Services, regional bureaux, Executive Office</w:t>
            </w:r>
          </w:p>
        </w:tc>
        <w:tc>
          <w:tcPr>
            <w:tcW w:w="990" w:type="dxa"/>
            <w:shd w:val="clear" w:color="auto" w:fill="auto"/>
          </w:tcPr>
          <w:p w14:paraId="005E0602" w14:textId="77777777" w:rsidR="00CA5269" w:rsidRPr="009B4CFA" w:rsidRDefault="00CA5269" w:rsidP="00B8287F">
            <w:pPr>
              <w:tabs>
                <w:tab w:val="left" w:pos="2880"/>
              </w:tabs>
              <w:rPr>
                <w:sz w:val="20"/>
                <w:szCs w:val="20"/>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321923A3" w14:textId="77777777" w:rsidR="00CA5269" w:rsidRPr="009B4CFA" w:rsidRDefault="00CA5269" w:rsidP="00B8287F">
            <w:pPr>
              <w:tabs>
                <w:tab w:val="left" w:pos="2880"/>
              </w:tabs>
              <w:rPr>
                <w:sz w:val="20"/>
                <w:szCs w:val="20"/>
                <w:lang w:val="en-GB"/>
              </w:rPr>
            </w:pPr>
          </w:p>
        </w:tc>
      </w:tr>
      <w:tr w:rsidR="00CA5269" w:rsidRPr="009B4CFA" w14:paraId="32BF7D32" w14:textId="77777777" w:rsidTr="00B8287F">
        <w:trPr>
          <w:gridAfter w:val="1"/>
          <w:wAfter w:w="23" w:type="dxa"/>
        </w:trPr>
        <w:tc>
          <w:tcPr>
            <w:tcW w:w="14400" w:type="dxa"/>
            <w:gridSpan w:val="6"/>
            <w:tcBorders>
              <w:top w:val="single" w:sz="4" w:space="0" w:color="auto"/>
              <w:bottom w:val="single" w:sz="4" w:space="0" w:color="auto"/>
            </w:tcBorders>
            <w:shd w:val="clear" w:color="auto" w:fill="E6E6E6"/>
          </w:tcPr>
          <w:p w14:paraId="02B9F382" w14:textId="74FBAB35" w:rsidR="00CA5269" w:rsidRPr="009B4CFA" w:rsidRDefault="00CA5269" w:rsidP="00286FE9">
            <w:pPr>
              <w:pStyle w:val="normal2"/>
              <w:numPr>
                <w:ilvl w:val="0"/>
                <w:numId w:val="0"/>
              </w:numPr>
              <w:tabs>
                <w:tab w:val="clear" w:pos="1620"/>
                <w:tab w:val="left" w:pos="1080"/>
              </w:tabs>
              <w:ind w:right="274"/>
            </w:pPr>
            <w:r w:rsidRPr="009B4CFA">
              <w:rPr>
                <w:b/>
              </w:rPr>
              <w:t xml:space="preserve">Recommendation 4. </w:t>
            </w:r>
            <w:r w:rsidR="00286FE9" w:rsidRPr="00F150DA">
              <w:rPr>
                <w:b/>
              </w:rPr>
              <w:t>UNDP should promote common shared integrated service arrangements at the country level for location-dependent services.</w:t>
            </w:r>
            <w:r w:rsidR="00286FE9">
              <w:rPr>
                <w:b/>
              </w:rPr>
              <w:t xml:space="preserve"> </w:t>
            </w:r>
            <w:r w:rsidR="00286FE9">
              <w:t>T</w:t>
            </w:r>
            <w:r w:rsidR="00286FE9" w:rsidRPr="00EF5017">
              <w:t xml:space="preserve">he Bureau for </w:t>
            </w:r>
            <w:r w:rsidR="00286FE9">
              <w:t>M</w:t>
            </w:r>
            <w:r w:rsidR="00286FE9" w:rsidRPr="00EF5017">
              <w:t xml:space="preserve">anagement Services will need to conduct a more critical assessment of what </w:t>
            </w:r>
            <w:r w:rsidR="00286FE9">
              <w:t>are</w:t>
            </w:r>
            <w:r w:rsidR="00286FE9" w:rsidRPr="00EF5017">
              <w:t xml:space="preserve"> currently considered location</w:t>
            </w:r>
            <w:r w:rsidR="00286FE9">
              <w:t>-</w:t>
            </w:r>
            <w:r w:rsidR="00286FE9" w:rsidRPr="00EF5017">
              <w:t xml:space="preserve">dependent services and identify which services are absolutely necessary to be kept in country and cannot be provided by </w:t>
            </w:r>
            <w:r w:rsidR="00286FE9">
              <w:t>global shared service units</w:t>
            </w:r>
            <w:r w:rsidR="00286FE9" w:rsidRPr="00EF5017">
              <w:t xml:space="preserve">. UNDP should then promote </w:t>
            </w:r>
            <w:r w:rsidR="00286FE9">
              <w:t xml:space="preserve">the idea </w:t>
            </w:r>
            <w:r w:rsidR="00286FE9" w:rsidRPr="00EF5017">
              <w:t>that all location</w:t>
            </w:r>
            <w:r w:rsidR="00286FE9">
              <w:t>-</w:t>
            </w:r>
            <w:r w:rsidR="00286FE9" w:rsidRPr="00EF5017">
              <w:t>dependent services be provided by local common shared integrated services arrangements</w:t>
            </w:r>
            <w:r w:rsidR="00286FE9">
              <w:t>,</w:t>
            </w:r>
            <w:r w:rsidR="00286FE9" w:rsidRPr="00EF5017">
              <w:t xml:space="preserve"> by establishing a well-defined corporate structure to support an improved model </w:t>
            </w:r>
            <w:r w:rsidR="00286FE9">
              <w:t>for roll-out of United Nations</w:t>
            </w:r>
            <w:r w:rsidR="00286FE9" w:rsidRPr="00EF5017">
              <w:t xml:space="preserve"> </w:t>
            </w:r>
            <w:r w:rsidR="00286FE9">
              <w:t>b</w:t>
            </w:r>
            <w:r w:rsidR="00286FE9" w:rsidRPr="00EF5017">
              <w:t xml:space="preserve">usiness </w:t>
            </w:r>
            <w:r w:rsidR="00286FE9">
              <w:t>o</w:t>
            </w:r>
            <w:r w:rsidR="00286FE9" w:rsidRPr="00EF5017">
              <w:t xml:space="preserve">perations </w:t>
            </w:r>
            <w:r w:rsidR="00286FE9">
              <w:t>s</w:t>
            </w:r>
            <w:r w:rsidR="00286FE9" w:rsidRPr="00EF5017">
              <w:t xml:space="preserve">trategies to support these integrated arrangements.  At the same time, to strategically position UNDP, the organization should make available tools, such as the </w:t>
            </w:r>
            <w:r w:rsidR="00286FE9">
              <w:t xml:space="preserve">business operations strategy </w:t>
            </w:r>
            <w:r w:rsidR="00286FE9" w:rsidRPr="00EF5017">
              <w:t xml:space="preserve">automated </w:t>
            </w:r>
            <w:r w:rsidR="00286FE9">
              <w:t>c</w:t>
            </w:r>
            <w:r w:rsidR="00286FE9" w:rsidRPr="00EF5017">
              <w:t>ost</w:t>
            </w:r>
            <w:r w:rsidR="00286FE9">
              <w:t>-b</w:t>
            </w:r>
            <w:r w:rsidR="00286FE9" w:rsidRPr="00EF5017">
              <w:t xml:space="preserve">enefit </w:t>
            </w:r>
            <w:r w:rsidR="00286FE9">
              <w:t>a</w:t>
            </w:r>
            <w:r w:rsidR="00286FE9" w:rsidRPr="00EF5017">
              <w:t xml:space="preserve">nalysis, to help UNCTs and UNDP </w:t>
            </w:r>
            <w:r w:rsidR="00286FE9">
              <w:t>c</w:t>
            </w:r>
            <w:r w:rsidR="00286FE9" w:rsidRPr="00EF5017">
              <w:t xml:space="preserve">ountry </w:t>
            </w:r>
            <w:r w:rsidR="00286FE9">
              <w:t>o</w:t>
            </w:r>
            <w:r w:rsidR="00286FE9" w:rsidRPr="00EF5017">
              <w:t>ffices make more transparent and data</w:t>
            </w:r>
            <w:r w:rsidR="00286FE9">
              <w:t>-</w:t>
            </w:r>
            <w:r w:rsidR="00286FE9" w:rsidRPr="00EF5017">
              <w:t>informed decisions around the cost and efficiencies of local shared integrated service arrangements.</w:t>
            </w:r>
          </w:p>
        </w:tc>
      </w:tr>
      <w:tr w:rsidR="00CA5269" w:rsidRPr="009B4CFA" w14:paraId="70DB4F45" w14:textId="77777777" w:rsidTr="00B8287F">
        <w:trPr>
          <w:gridAfter w:val="1"/>
          <w:wAfter w:w="23" w:type="dxa"/>
        </w:trPr>
        <w:tc>
          <w:tcPr>
            <w:tcW w:w="14400" w:type="dxa"/>
            <w:gridSpan w:val="6"/>
            <w:shd w:val="clear" w:color="auto" w:fill="F3F3F3"/>
          </w:tcPr>
          <w:p w14:paraId="7732BF21" w14:textId="1215E4FF" w:rsidR="00CA5269" w:rsidRPr="009B4CFA" w:rsidRDefault="00CA5269" w:rsidP="00B8287F">
            <w:pPr>
              <w:tabs>
                <w:tab w:val="left" w:pos="2880"/>
              </w:tabs>
              <w:spacing w:before="60" w:after="60"/>
              <w:rPr>
                <w:sz w:val="20"/>
                <w:szCs w:val="20"/>
              </w:rPr>
            </w:pPr>
            <w:r w:rsidRPr="009B4CFA">
              <w:rPr>
                <w:b/>
                <w:sz w:val="20"/>
                <w:szCs w:val="20"/>
                <w:lang w:val="en-GB"/>
              </w:rPr>
              <w:t xml:space="preserve">Management response: </w:t>
            </w:r>
            <w:r w:rsidRPr="009B4CFA">
              <w:rPr>
                <w:w w:val="103"/>
                <w:sz w:val="20"/>
                <w:szCs w:val="20"/>
                <w:lang w:val="en-GB"/>
              </w:rPr>
              <w:t>UNDP management agrees with this recommendation and in implementing its Strategic Plan and recommendations stemming from the analysis of management services, will continue to seek efficiencies in its operations as informed by performance metrics, business intelligence and other quantitative and qualitative measures, including value for money and the benefits delivered. As noted above</w:t>
            </w:r>
            <w:r w:rsidR="00286FE9">
              <w:rPr>
                <w:w w:val="103"/>
                <w:sz w:val="20"/>
                <w:szCs w:val="20"/>
                <w:lang w:val="en-GB"/>
              </w:rPr>
              <w:t>,</w:t>
            </w:r>
            <w:r w:rsidRPr="009B4CFA">
              <w:rPr>
                <w:w w:val="103"/>
                <w:sz w:val="20"/>
                <w:szCs w:val="20"/>
                <w:lang w:val="en-GB"/>
              </w:rPr>
              <w:t xml:space="preserve"> a key area of action emerging from the management services review focuses specifically on </w:t>
            </w:r>
            <w:r w:rsidR="00286FE9">
              <w:rPr>
                <w:w w:val="103"/>
                <w:sz w:val="20"/>
                <w:szCs w:val="20"/>
                <w:lang w:val="en-GB"/>
              </w:rPr>
              <w:t>c</w:t>
            </w:r>
            <w:r w:rsidRPr="009B4CFA">
              <w:rPr>
                <w:w w:val="103"/>
                <w:sz w:val="20"/>
                <w:szCs w:val="20"/>
                <w:lang w:val="en-GB"/>
              </w:rPr>
              <w:t xml:space="preserve">ountry </w:t>
            </w:r>
            <w:r w:rsidR="00286FE9">
              <w:rPr>
                <w:w w:val="103"/>
                <w:sz w:val="20"/>
                <w:szCs w:val="20"/>
                <w:lang w:val="en-GB"/>
              </w:rPr>
              <w:t>o</w:t>
            </w:r>
            <w:r w:rsidRPr="009B4CFA">
              <w:rPr>
                <w:w w:val="103"/>
                <w:sz w:val="20"/>
                <w:szCs w:val="20"/>
                <w:lang w:val="en-GB"/>
              </w:rPr>
              <w:t>ffice business operations. In addition, improving efficiency and streamlining compliance processes will be critical, taking into account factors such as risk management, accountability</w:t>
            </w:r>
            <w:r w:rsidR="00286FE9">
              <w:rPr>
                <w:w w:val="103"/>
                <w:sz w:val="20"/>
                <w:szCs w:val="20"/>
                <w:lang w:val="en-GB"/>
              </w:rPr>
              <w:t>,</w:t>
            </w:r>
            <w:r w:rsidRPr="009B4CFA">
              <w:rPr>
                <w:w w:val="103"/>
                <w:sz w:val="20"/>
                <w:szCs w:val="20"/>
                <w:lang w:val="en-GB"/>
              </w:rPr>
              <w:t xml:space="preserve"> empowerment and the need for differentiated country office capacities. Additionally, as part of the implementation of the management action plan for the recommendations of the OAI </w:t>
            </w:r>
            <w:r w:rsidR="00286FE9">
              <w:rPr>
                <w:w w:val="103"/>
                <w:sz w:val="20"/>
                <w:szCs w:val="20"/>
                <w:lang w:val="en-GB"/>
              </w:rPr>
              <w:t>a</w:t>
            </w:r>
            <w:r w:rsidRPr="009B4CFA">
              <w:rPr>
                <w:w w:val="103"/>
                <w:sz w:val="20"/>
                <w:szCs w:val="20"/>
                <w:lang w:val="en-GB"/>
              </w:rPr>
              <w:t xml:space="preserve">udit of </w:t>
            </w:r>
            <w:r w:rsidR="00286FE9">
              <w:rPr>
                <w:w w:val="103"/>
                <w:sz w:val="20"/>
                <w:szCs w:val="20"/>
                <w:lang w:val="en-GB"/>
              </w:rPr>
              <w:t xml:space="preserve">the </w:t>
            </w:r>
            <w:r w:rsidRPr="009B4CFA">
              <w:rPr>
                <w:w w:val="103"/>
                <w:sz w:val="20"/>
                <w:szCs w:val="20"/>
                <w:lang w:val="en-GB"/>
              </w:rPr>
              <w:t xml:space="preserve">UNDP </w:t>
            </w:r>
            <w:r w:rsidR="00286FE9">
              <w:rPr>
                <w:w w:val="103"/>
                <w:sz w:val="20"/>
                <w:szCs w:val="20"/>
                <w:lang w:val="en-GB"/>
              </w:rPr>
              <w:t>c</w:t>
            </w:r>
            <w:r w:rsidRPr="009B4CFA">
              <w:rPr>
                <w:w w:val="103"/>
                <w:sz w:val="20"/>
                <w:szCs w:val="20"/>
                <w:lang w:val="en-GB"/>
              </w:rPr>
              <w:t xml:space="preserve">lustering </w:t>
            </w:r>
            <w:r w:rsidR="00286FE9">
              <w:rPr>
                <w:w w:val="103"/>
                <w:sz w:val="20"/>
                <w:szCs w:val="20"/>
                <w:lang w:val="en-GB"/>
              </w:rPr>
              <w:t>p</w:t>
            </w:r>
            <w:r w:rsidRPr="009B4CFA">
              <w:rPr>
                <w:w w:val="103"/>
                <w:sz w:val="20"/>
                <w:szCs w:val="20"/>
                <w:lang w:val="en-GB"/>
              </w:rPr>
              <w:t xml:space="preserve">rocess, UNDP management will assess those services that are currently provided in-country but have potential to be clustered. </w:t>
            </w:r>
          </w:p>
        </w:tc>
      </w:tr>
      <w:tr w:rsidR="00CA5269" w:rsidRPr="009B4CFA" w14:paraId="4024B533" w14:textId="77777777" w:rsidTr="00B8287F">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287CF4B1" w14:textId="7EB30F80" w:rsidR="00CA5269" w:rsidRPr="009B4CFA" w:rsidRDefault="00CA5269" w:rsidP="00B8287F">
            <w:pPr>
              <w:spacing w:before="60" w:after="60"/>
              <w:rPr>
                <w:w w:val="103"/>
                <w:sz w:val="20"/>
                <w:szCs w:val="20"/>
                <w:lang w:val="en-GB"/>
              </w:rPr>
            </w:pPr>
            <w:r w:rsidRPr="009B4CFA">
              <w:rPr>
                <w:w w:val="103"/>
                <w:sz w:val="20"/>
                <w:szCs w:val="20"/>
                <w:lang w:val="en-GB"/>
              </w:rPr>
              <w:t>As part of the process of completing the business case on the design of the clustering of non-location dependent services, UNDP will propose principles and criteria for the assessment of clustered services</w:t>
            </w:r>
            <w:r w:rsidR="00286FE9">
              <w:rPr>
                <w:w w:val="103"/>
                <w:sz w:val="20"/>
                <w:szCs w:val="20"/>
                <w:lang w:val="en-GB"/>
              </w:rPr>
              <w:t>.</w:t>
            </w:r>
            <w:r w:rsidRPr="009B4CFA">
              <w:rPr>
                <w:w w:val="103"/>
                <w:sz w:val="20"/>
                <w:szCs w:val="20"/>
                <w:lang w:val="en-GB"/>
              </w:rPr>
              <w:t xml:space="preserve"> </w:t>
            </w:r>
          </w:p>
        </w:tc>
        <w:tc>
          <w:tcPr>
            <w:tcW w:w="2340" w:type="dxa"/>
            <w:tcBorders>
              <w:top w:val="single" w:sz="4" w:space="0" w:color="auto"/>
              <w:left w:val="single" w:sz="4" w:space="0" w:color="auto"/>
              <w:bottom w:val="single" w:sz="4" w:space="0" w:color="auto"/>
              <w:right w:val="nil"/>
            </w:tcBorders>
            <w:shd w:val="clear" w:color="auto" w:fill="auto"/>
          </w:tcPr>
          <w:p w14:paraId="5CC3F00F" w14:textId="04D5C471" w:rsidR="00CA5269" w:rsidRPr="009B4CFA" w:rsidRDefault="00CA5269" w:rsidP="00B8287F">
            <w:pPr>
              <w:tabs>
                <w:tab w:val="left" w:pos="2880"/>
              </w:tabs>
              <w:rPr>
                <w:w w:val="103"/>
                <w:sz w:val="20"/>
                <w:szCs w:val="20"/>
                <w:lang w:val="en-GB"/>
              </w:rPr>
            </w:pPr>
            <w:r w:rsidRPr="009B4CFA">
              <w:rPr>
                <w:w w:val="103"/>
                <w:sz w:val="20"/>
                <w:szCs w:val="20"/>
                <w:lang w:val="en-GB"/>
              </w:rPr>
              <w:t>Oct</w:t>
            </w:r>
            <w:r w:rsidR="00286FE9">
              <w:rPr>
                <w:w w:val="103"/>
                <w:sz w:val="20"/>
                <w:szCs w:val="20"/>
                <w:lang w:val="en-GB"/>
              </w:rPr>
              <w:t>ober</w:t>
            </w:r>
            <w:r w:rsidR="00480EE7">
              <w:rPr>
                <w:w w:val="103"/>
                <w:sz w:val="20"/>
                <w:szCs w:val="20"/>
                <w:lang w:val="en-GB"/>
              </w:rPr>
              <w:t xml:space="preserve"> </w:t>
            </w:r>
            <w:r w:rsidR="00286FE9">
              <w:rPr>
                <w:w w:val="103"/>
                <w:sz w:val="20"/>
                <w:szCs w:val="20"/>
                <w:lang w:val="en-GB"/>
              </w:rPr>
              <w:t>20</w:t>
            </w:r>
            <w:r w:rsidRPr="009B4CFA">
              <w:rPr>
                <w:w w:val="103"/>
                <w:sz w:val="20"/>
                <w:szCs w:val="20"/>
                <w:lang w:val="en-GB"/>
              </w:rPr>
              <w:t>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3DD4D68" w14:textId="733D4EA6" w:rsidR="00CA5269" w:rsidRPr="009B4CFA" w:rsidRDefault="00286FE9" w:rsidP="00B8287F">
            <w:pPr>
              <w:tabs>
                <w:tab w:val="left" w:pos="2880"/>
              </w:tabs>
              <w:rPr>
                <w:w w:val="103"/>
                <w:sz w:val="20"/>
                <w:szCs w:val="20"/>
                <w:lang w:val="en-GB"/>
              </w:rPr>
            </w:pPr>
            <w:r>
              <w:rPr>
                <w:w w:val="103"/>
                <w:sz w:val="20"/>
                <w:szCs w:val="20"/>
                <w:lang w:val="en-GB"/>
              </w:rPr>
              <w:t>Bureau for Management Services</w:t>
            </w:r>
          </w:p>
        </w:tc>
        <w:tc>
          <w:tcPr>
            <w:tcW w:w="990" w:type="dxa"/>
            <w:tcBorders>
              <w:top w:val="single" w:sz="4" w:space="0" w:color="auto"/>
              <w:left w:val="nil"/>
              <w:bottom w:val="single" w:sz="4" w:space="0" w:color="auto"/>
              <w:right w:val="nil"/>
            </w:tcBorders>
            <w:shd w:val="clear" w:color="auto" w:fill="auto"/>
          </w:tcPr>
          <w:p w14:paraId="3BEF8671" w14:textId="77777777" w:rsidR="00CA5269" w:rsidRPr="009B4CFA" w:rsidRDefault="00CA5269" w:rsidP="00B8287F">
            <w:pPr>
              <w:tabs>
                <w:tab w:val="left" w:pos="2880"/>
              </w:tabs>
              <w:rPr>
                <w:sz w:val="20"/>
                <w:szCs w:val="20"/>
                <w:lang w:val="en-GB"/>
              </w:rPr>
            </w:pPr>
            <w:r w:rsidRPr="009B4CFA">
              <w:rPr>
                <w:color w:val="000000"/>
                <w:sz w:val="20"/>
                <w:szCs w:val="20"/>
              </w:rPr>
              <w:t> </w:t>
            </w:r>
          </w:p>
        </w:tc>
        <w:tc>
          <w:tcPr>
            <w:tcW w:w="2160" w:type="dxa"/>
            <w:shd w:val="clear" w:color="auto" w:fill="auto"/>
          </w:tcPr>
          <w:p w14:paraId="6F0579F6" w14:textId="75E8BADF" w:rsidR="00CA5269" w:rsidRPr="009B4CFA" w:rsidRDefault="00CA5269" w:rsidP="00B8287F">
            <w:pPr>
              <w:tabs>
                <w:tab w:val="left" w:pos="2880"/>
              </w:tabs>
              <w:rPr>
                <w:sz w:val="20"/>
                <w:szCs w:val="20"/>
                <w:lang w:val="en-GB"/>
              </w:rPr>
            </w:pPr>
            <w:r w:rsidRPr="009B4CFA">
              <w:rPr>
                <w:sz w:val="20"/>
                <w:szCs w:val="20"/>
                <w:lang w:val="en-GB"/>
              </w:rPr>
              <w:t xml:space="preserve">Per the </w:t>
            </w:r>
            <w:r w:rsidR="00286FE9">
              <w:rPr>
                <w:sz w:val="20"/>
                <w:szCs w:val="20"/>
                <w:lang w:val="en-GB"/>
              </w:rPr>
              <w:t>m</w:t>
            </w:r>
            <w:r w:rsidRPr="009B4CFA">
              <w:rPr>
                <w:sz w:val="20"/>
                <w:szCs w:val="20"/>
                <w:lang w:val="en-GB"/>
              </w:rPr>
              <w:t xml:space="preserve">anagement </w:t>
            </w:r>
            <w:r w:rsidR="00286FE9">
              <w:rPr>
                <w:sz w:val="20"/>
                <w:szCs w:val="20"/>
                <w:lang w:val="en-GB"/>
              </w:rPr>
              <w:t>a</w:t>
            </w:r>
            <w:r w:rsidRPr="009B4CFA">
              <w:rPr>
                <w:sz w:val="20"/>
                <w:szCs w:val="20"/>
                <w:lang w:val="en-GB"/>
              </w:rPr>
              <w:t xml:space="preserve">ction </w:t>
            </w:r>
            <w:r w:rsidR="00286FE9">
              <w:rPr>
                <w:sz w:val="20"/>
                <w:szCs w:val="20"/>
                <w:lang w:val="en-GB"/>
              </w:rPr>
              <w:t>p</w:t>
            </w:r>
            <w:r w:rsidRPr="009B4CFA">
              <w:rPr>
                <w:sz w:val="20"/>
                <w:szCs w:val="20"/>
                <w:lang w:val="en-GB"/>
              </w:rPr>
              <w:t xml:space="preserve">lan of </w:t>
            </w:r>
            <w:r w:rsidR="00286FE9">
              <w:rPr>
                <w:sz w:val="20"/>
                <w:szCs w:val="20"/>
                <w:lang w:val="en-GB"/>
              </w:rPr>
              <w:t xml:space="preserve">the </w:t>
            </w:r>
            <w:r w:rsidRPr="009B4CFA">
              <w:rPr>
                <w:sz w:val="20"/>
                <w:szCs w:val="20"/>
                <w:lang w:val="en-GB"/>
              </w:rPr>
              <w:t xml:space="preserve">OAI </w:t>
            </w:r>
            <w:r w:rsidR="00286FE9">
              <w:rPr>
                <w:sz w:val="20"/>
                <w:szCs w:val="20"/>
                <w:lang w:val="en-GB"/>
              </w:rPr>
              <w:t>a</w:t>
            </w:r>
            <w:r w:rsidRPr="009B4CFA">
              <w:rPr>
                <w:sz w:val="20"/>
                <w:szCs w:val="20"/>
                <w:lang w:val="en-GB"/>
              </w:rPr>
              <w:t xml:space="preserve">udit of </w:t>
            </w:r>
            <w:r w:rsidR="00286FE9">
              <w:rPr>
                <w:sz w:val="20"/>
                <w:szCs w:val="20"/>
                <w:lang w:val="en-GB"/>
              </w:rPr>
              <w:t xml:space="preserve">the </w:t>
            </w:r>
            <w:r w:rsidRPr="009B4CFA">
              <w:rPr>
                <w:sz w:val="20"/>
                <w:szCs w:val="20"/>
                <w:lang w:val="en-GB"/>
              </w:rPr>
              <w:t xml:space="preserve">UNDP </w:t>
            </w:r>
            <w:r w:rsidR="00286FE9">
              <w:rPr>
                <w:sz w:val="20"/>
                <w:szCs w:val="20"/>
                <w:lang w:val="en-GB"/>
              </w:rPr>
              <w:t>c</w:t>
            </w:r>
            <w:r w:rsidRPr="009B4CFA">
              <w:rPr>
                <w:sz w:val="20"/>
                <w:szCs w:val="20"/>
                <w:lang w:val="en-GB"/>
              </w:rPr>
              <w:t xml:space="preserve">lustering </w:t>
            </w:r>
            <w:r w:rsidR="00286FE9">
              <w:rPr>
                <w:sz w:val="20"/>
                <w:szCs w:val="20"/>
                <w:lang w:val="en-GB"/>
              </w:rPr>
              <w:t>p</w:t>
            </w:r>
            <w:r w:rsidRPr="009B4CFA">
              <w:rPr>
                <w:sz w:val="20"/>
                <w:szCs w:val="20"/>
                <w:lang w:val="en-GB"/>
              </w:rPr>
              <w:t>rocess. </w:t>
            </w:r>
          </w:p>
        </w:tc>
      </w:tr>
      <w:tr w:rsidR="00CA5269" w:rsidRPr="009B4CFA" w14:paraId="5742A8C1" w14:textId="77777777" w:rsidTr="00B8287F">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5B482F7B" w14:textId="7FE76FF6" w:rsidR="00CA5269" w:rsidRPr="009B4CFA" w:rsidRDefault="00CA5269" w:rsidP="00B8287F">
            <w:pPr>
              <w:rPr>
                <w:w w:val="103"/>
                <w:sz w:val="20"/>
                <w:szCs w:val="20"/>
                <w:lang w:val="en-GB"/>
              </w:rPr>
            </w:pPr>
            <w:r w:rsidRPr="009B4CFA">
              <w:rPr>
                <w:w w:val="103"/>
                <w:sz w:val="20"/>
                <w:szCs w:val="20"/>
                <w:lang w:val="en-GB"/>
              </w:rPr>
              <w:t>Develop a support structure and tools to contribute to the roll</w:t>
            </w:r>
            <w:r w:rsidR="00286FE9">
              <w:rPr>
                <w:w w:val="103"/>
                <w:sz w:val="20"/>
                <w:szCs w:val="20"/>
                <w:lang w:val="en-GB"/>
              </w:rPr>
              <w:t>-</w:t>
            </w:r>
            <w:r w:rsidRPr="009B4CFA">
              <w:rPr>
                <w:w w:val="103"/>
                <w:sz w:val="20"/>
                <w:szCs w:val="20"/>
                <w:lang w:val="en-GB"/>
              </w:rPr>
              <w:t>out of the U</w:t>
            </w:r>
            <w:r w:rsidR="00286FE9">
              <w:rPr>
                <w:w w:val="103"/>
                <w:sz w:val="20"/>
                <w:szCs w:val="20"/>
                <w:lang w:val="en-GB"/>
              </w:rPr>
              <w:t xml:space="preserve">nited </w:t>
            </w:r>
            <w:r w:rsidRPr="009B4CFA">
              <w:rPr>
                <w:w w:val="103"/>
                <w:sz w:val="20"/>
                <w:szCs w:val="20"/>
                <w:lang w:val="en-GB"/>
              </w:rPr>
              <w:t>N</w:t>
            </w:r>
            <w:r w:rsidR="00286FE9">
              <w:rPr>
                <w:w w:val="103"/>
                <w:sz w:val="20"/>
                <w:szCs w:val="20"/>
                <w:lang w:val="en-GB"/>
              </w:rPr>
              <w:t>ations</w:t>
            </w:r>
            <w:r w:rsidRPr="009B4CFA">
              <w:rPr>
                <w:w w:val="103"/>
                <w:sz w:val="20"/>
                <w:szCs w:val="20"/>
                <w:lang w:val="en-GB"/>
              </w:rPr>
              <w:t xml:space="preserve"> </w:t>
            </w:r>
            <w:r w:rsidR="00286FE9">
              <w:rPr>
                <w:w w:val="103"/>
                <w:sz w:val="20"/>
                <w:szCs w:val="20"/>
                <w:lang w:val="en-GB"/>
              </w:rPr>
              <w:t>b</w:t>
            </w:r>
            <w:r w:rsidRPr="009B4CFA">
              <w:rPr>
                <w:w w:val="103"/>
                <w:sz w:val="20"/>
                <w:szCs w:val="20"/>
                <w:lang w:val="en-GB"/>
              </w:rPr>
              <w:t xml:space="preserve">usiness </w:t>
            </w:r>
            <w:r w:rsidR="00286FE9">
              <w:rPr>
                <w:w w:val="103"/>
                <w:sz w:val="20"/>
                <w:szCs w:val="20"/>
                <w:lang w:val="en-GB"/>
              </w:rPr>
              <w:t>o</w:t>
            </w:r>
            <w:r w:rsidRPr="009B4CFA">
              <w:rPr>
                <w:w w:val="103"/>
                <w:sz w:val="20"/>
                <w:szCs w:val="20"/>
                <w:lang w:val="en-GB"/>
              </w:rPr>
              <w:t xml:space="preserve">perations </w:t>
            </w:r>
            <w:r w:rsidR="00286FE9">
              <w:rPr>
                <w:w w:val="103"/>
                <w:sz w:val="20"/>
                <w:szCs w:val="20"/>
                <w:lang w:val="en-GB"/>
              </w:rPr>
              <w:t>s</w:t>
            </w:r>
            <w:r w:rsidRPr="009B4CFA">
              <w:rPr>
                <w:w w:val="103"/>
                <w:sz w:val="20"/>
                <w:szCs w:val="20"/>
                <w:lang w:val="en-GB"/>
              </w:rPr>
              <w:t>trategies</w:t>
            </w:r>
            <w:r w:rsidR="00286FE9">
              <w:rPr>
                <w:w w:val="103"/>
                <w:sz w:val="20"/>
                <w:szCs w:val="20"/>
                <w:lang w:val="en-GB"/>
              </w:rPr>
              <w:t>.</w:t>
            </w:r>
          </w:p>
        </w:tc>
        <w:tc>
          <w:tcPr>
            <w:tcW w:w="2340" w:type="dxa"/>
            <w:tcBorders>
              <w:top w:val="single" w:sz="4" w:space="0" w:color="auto"/>
              <w:left w:val="single" w:sz="4" w:space="0" w:color="auto"/>
              <w:bottom w:val="single" w:sz="4" w:space="0" w:color="auto"/>
              <w:right w:val="nil"/>
            </w:tcBorders>
            <w:shd w:val="clear" w:color="auto" w:fill="auto"/>
          </w:tcPr>
          <w:p w14:paraId="7B52663C" w14:textId="1A72CED3" w:rsidR="00CA5269" w:rsidRPr="009B4CFA" w:rsidRDefault="00CA5269" w:rsidP="00B8287F">
            <w:pPr>
              <w:tabs>
                <w:tab w:val="left" w:pos="2880"/>
              </w:tabs>
              <w:rPr>
                <w:w w:val="103"/>
                <w:sz w:val="20"/>
                <w:szCs w:val="20"/>
                <w:lang w:val="en-GB"/>
              </w:rPr>
            </w:pPr>
            <w:r w:rsidRPr="009B4CFA">
              <w:rPr>
                <w:w w:val="103"/>
                <w:sz w:val="20"/>
                <w:szCs w:val="20"/>
                <w:lang w:val="en-GB"/>
              </w:rPr>
              <w:t xml:space="preserve">June </w:t>
            </w:r>
            <w:r w:rsidR="00286FE9">
              <w:rPr>
                <w:w w:val="103"/>
                <w:sz w:val="20"/>
                <w:szCs w:val="20"/>
                <w:lang w:val="en-GB"/>
              </w:rPr>
              <w:t>20</w:t>
            </w:r>
            <w:r w:rsidRPr="009B4CFA">
              <w:rPr>
                <w:w w:val="103"/>
                <w:sz w:val="20"/>
                <w:szCs w:val="20"/>
                <w:lang w:val="en-GB"/>
              </w:rPr>
              <w:t>19</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32902DC" w14:textId="6CBF2866" w:rsidR="00CA5269" w:rsidRPr="009B4CFA" w:rsidRDefault="00CA5269" w:rsidP="00B8287F">
            <w:pPr>
              <w:tabs>
                <w:tab w:val="left" w:pos="2880"/>
              </w:tabs>
              <w:rPr>
                <w:w w:val="103"/>
                <w:sz w:val="20"/>
                <w:szCs w:val="20"/>
                <w:lang w:val="en-GB"/>
              </w:rPr>
            </w:pPr>
            <w:r w:rsidRPr="009B4CFA">
              <w:rPr>
                <w:sz w:val="20"/>
                <w:szCs w:val="20"/>
                <w:lang w:val="en-GB"/>
              </w:rPr>
              <w:t xml:space="preserve">Cross-organization implementation team including </w:t>
            </w:r>
            <w:r w:rsidR="00286FE9">
              <w:rPr>
                <w:sz w:val="20"/>
                <w:szCs w:val="20"/>
                <w:lang w:val="en-GB"/>
              </w:rPr>
              <w:t>Bureau for Management Services, regional bureaux, Executive Office</w:t>
            </w:r>
          </w:p>
        </w:tc>
        <w:tc>
          <w:tcPr>
            <w:tcW w:w="990" w:type="dxa"/>
            <w:tcBorders>
              <w:top w:val="single" w:sz="4" w:space="0" w:color="auto"/>
              <w:left w:val="nil"/>
              <w:bottom w:val="single" w:sz="4" w:space="0" w:color="auto"/>
              <w:right w:val="nil"/>
            </w:tcBorders>
            <w:shd w:val="clear" w:color="auto" w:fill="auto"/>
          </w:tcPr>
          <w:p w14:paraId="775F7D85" w14:textId="77777777" w:rsidR="00CA5269" w:rsidRPr="009B4CFA" w:rsidRDefault="00CA5269" w:rsidP="00B8287F">
            <w:pPr>
              <w:tabs>
                <w:tab w:val="left" w:pos="2880"/>
              </w:tabs>
              <w:rPr>
                <w:color w:val="000000"/>
                <w:sz w:val="20"/>
                <w:szCs w:val="20"/>
              </w:rPr>
            </w:pPr>
          </w:p>
        </w:tc>
        <w:tc>
          <w:tcPr>
            <w:tcW w:w="2160" w:type="dxa"/>
            <w:shd w:val="clear" w:color="auto" w:fill="auto"/>
          </w:tcPr>
          <w:p w14:paraId="255F6216" w14:textId="77777777" w:rsidR="00CA5269" w:rsidRPr="009B4CFA" w:rsidRDefault="00CA5269" w:rsidP="00B8287F">
            <w:pPr>
              <w:tabs>
                <w:tab w:val="left" w:pos="2880"/>
              </w:tabs>
              <w:rPr>
                <w:sz w:val="20"/>
                <w:szCs w:val="20"/>
                <w:lang w:val="en-GB"/>
              </w:rPr>
            </w:pPr>
          </w:p>
        </w:tc>
      </w:tr>
      <w:tr w:rsidR="00CA5269" w:rsidRPr="009B4CFA" w14:paraId="3D1105CA" w14:textId="77777777" w:rsidTr="00B8287F">
        <w:trPr>
          <w:gridAfter w:val="1"/>
          <w:wAfter w:w="23" w:type="dxa"/>
        </w:trPr>
        <w:tc>
          <w:tcPr>
            <w:tcW w:w="14400" w:type="dxa"/>
            <w:gridSpan w:val="6"/>
            <w:tcBorders>
              <w:bottom w:val="single" w:sz="4" w:space="0" w:color="auto"/>
            </w:tcBorders>
            <w:shd w:val="clear" w:color="auto" w:fill="E6E6E6"/>
          </w:tcPr>
          <w:p w14:paraId="671359A0" w14:textId="29ECC0A1" w:rsidR="00286FE9" w:rsidRPr="00EF5017" w:rsidRDefault="00CA5269" w:rsidP="00286FE9">
            <w:pPr>
              <w:pStyle w:val="normal2"/>
              <w:numPr>
                <w:ilvl w:val="0"/>
                <w:numId w:val="0"/>
              </w:numPr>
              <w:tabs>
                <w:tab w:val="clear" w:pos="1620"/>
              </w:tabs>
              <w:ind w:right="274"/>
            </w:pPr>
            <w:r w:rsidRPr="009B4CFA">
              <w:rPr>
                <w:b/>
              </w:rPr>
              <w:t xml:space="preserve">Recommendation 5. </w:t>
            </w:r>
            <w:r w:rsidR="00286FE9" w:rsidRPr="00F150DA">
              <w:rPr>
                <w:b/>
              </w:rPr>
              <w:t xml:space="preserve">UNDP should develop a phased approach to invest in ICT tools and systems improvements over the next five years and ensure that critical staff and an effective strategy are in place to harvest such investments. </w:t>
            </w:r>
            <w:r w:rsidR="00286FE9" w:rsidRPr="00286FE9">
              <w:t>T</w:t>
            </w:r>
            <w:r w:rsidR="00286FE9" w:rsidRPr="00EF5017">
              <w:t xml:space="preserve">his includes investing in an upgrade of the </w:t>
            </w:r>
            <w:r w:rsidR="00286FE9">
              <w:t xml:space="preserve">ERP system to </w:t>
            </w:r>
            <w:r w:rsidR="00286FE9" w:rsidRPr="00EF5017">
              <w:t>improv</w:t>
            </w:r>
            <w:r w:rsidR="00286FE9">
              <w:t>e</w:t>
            </w:r>
            <w:r w:rsidR="00286FE9" w:rsidRPr="00EF5017">
              <w:t xml:space="preserve"> its user</w:t>
            </w:r>
            <w:r w:rsidR="00286FE9">
              <w:t xml:space="preserve"> </w:t>
            </w:r>
            <w:r w:rsidR="00286FE9" w:rsidRPr="00EF5017">
              <w:t>interfaces and a real-time appraisal system with automated feedback channels to monitor and improve the quality of services. UNDP should also consider partnering with other agencies for e-commerce solutions and explore business partnership solutions to co-develop and pilot innovative and state</w:t>
            </w:r>
            <w:r w:rsidR="00286FE9">
              <w:t>-</w:t>
            </w:r>
            <w:r w:rsidR="00286FE9" w:rsidRPr="00EF5017">
              <w:t>of</w:t>
            </w:r>
            <w:r w:rsidR="00286FE9">
              <w:t>-</w:t>
            </w:r>
            <w:r w:rsidR="00286FE9" w:rsidRPr="00EF5017">
              <w:t>the</w:t>
            </w:r>
            <w:r w:rsidR="00286FE9">
              <w:t>-</w:t>
            </w:r>
            <w:r w:rsidR="00286FE9" w:rsidRPr="00EF5017">
              <w:t xml:space="preserve">art tools and systems, including eventually the replacement of the current ERP, better customized to the needs of all </w:t>
            </w:r>
            <w:r w:rsidR="00286FE9">
              <w:t>United Nations</w:t>
            </w:r>
            <w:r w:rsidR="00286FE9" w:rsidRPr="00EF5017">
              <w:t xml:space="preserve"> entities.</w:t>
            </w:r>
          </w:p>
          <w:p w14:paraId="3350C7E2" w14:textId="58668075" w:rsidR="00CA5269" w:rsidRPr="009B4CFA" w:rsidRDefault="00CA5269" w:rsidP="00B8287F">
            <w:pPr>
              <w:spacing w:before="60" w:after="60"/>
              <w:rPr>
                <w:b/>
                <w:sz w:val="20"/>
                <w:szCs w:val="20"/>
                <w:lang w:val="en-GB"/>
              </w:rPr>
            </w:pPr>
          </w:p>
        </w:tc>
      </w:tr>
      <w:tr w:rsidR="00CA5269" w:rsidRPr="009B4CFA" w14:paraId="1C9E80F2" w14:textId="77777777" w:rsidTr="00B8287F">
        <w:trPr>
          <w:gridAfter w:val="1"/>
          <w:wAfter w:w="23" w:type="dxa"/>
        </w:trPr>
        <w:tc>
          <w:tcPr>
            <w:tcW w:w="14400" w:type="dxa"/>
            <w:gridSpan w:val="6"/>
            <w:tcBorders>
              <w:bottom w:val="single" w:sz="4" w:space="0" w:color="auto"/>
            </w:tcBorders>
            <w:shd w:val="clear" w:color="auto" w:fill="F3F3F3"/>
          </w:tcPr>
          <w:p w14:paraId="5117E44F" w14:textId="4BD1AB7E" w:rsidR="00CA5269" w:rsidRPr="009B4CFA" w:rsidRDefault="00CA5269" w:rsidP="00B8287F">
            <w:pPr>
              <w:spacing w:before="60" w:after="60"/>
              <w:rPr>
                <w:sz w:val="20"/>
                <w:szCs w:val="20"/>
                <w:lang w:val="en-GB"/>
              </w:rPr>
            </w:pPr>
            <w:r w:rsidRPr="009B4CFA">
              <w:rPr>
                <w:b/>
                <w:sz w:val="20"/>
                <w:szCs w:val="20"/>
                <w:lang w:val="en-GB"/>
              </w:rPr>
              <w:t>Management response</w:t>
            </w:r>
            <w:r w:rsidRPr="009B4CFA">
              <w:rPr>
                <w:sz w:val="20"/>
                <w:szCs w:val="20"/>
                <w:lang w:val="en-GB"/>
              </w:rPr>
              <w:t xml:space="preserve">: UNDP management agrees with this recommendation and would like to highlight that it is working on a new </w:t>
            </w:r>
            <w:r w:rsidR="00E952C2">
              <w:rPr>
                <w:sz w:val="20"/>
                <w:szCs w:val="20"/>
                <w:lang w:val="en-GB"/>
              </w:rPr>
              <w:t>digital transformation s</w:t>
            </w:r>
            <w:r w:rsidRPr="009B4CFA">
              <w:rPr>
                <w:sz w:val="20"/>
                <w:szCs w:val="20"/>
                <w:lang w:val="en-GB"/>
              </w:rPr>
              <w:t xml:space="preserve">trategy that will focus on new technologies that can drive innovation and efficiency gains in operational service delivery, and more critically </w:t>
            </w:r>
            <w:r w:rsidR="00E952C2">
              <w:rPr>
                <w:sz w:val="20"/>
                <w:szCs w:val="20"/>
                <w:lang w:val="en-GB"/>
              </w:rPr>
              <w:t xml:space="preserve">is </w:t>
            </w:r>
            <w:r w:rsidRPr="009B4CFA">
              <w:rPr>
                <w:sz w:val="20"/>
                <w:szCs w:val="20"/>
                <w:lang w:val="en-GB"/>
              </w:rPr>
              <w:t xml:space="preserve">establishing the proper enablers such as policy, processes and staff capacities that will allow such to occur. In addition, </w:t>
            </w:r>
            <w:r w:rsidR="00E952C2">
              <w:rPr>
                <w:sz w:val="20"/>
                <w:szCs w:val="20"/>
                <w:lang w:val="en-GB"/>
              </w:rPr>
              <w:t xml:space="preserve">the current </w:t>
            </w:r>
            <w:r w:rsidRPr="009B4CFA">
              <w:rPr>
                <w:sz w:val="20"/>
                <w:szCs w:val="20"/>
                <w:lang w:val="en-GB"/>
              </w:rPr>
              <w:t>UNDP ICT governance structure is aligned to ISO 38500</w:t>
            </w:r>
            <w:r w:rsidR="00E27C35">
              <w:rPr>
                <w:sz w:val="20"/>
                <w:szCs w:val="20"/>
                <w:lang w:val="en-GB"/>
              </w:rPr>
              <w:t>,</w:t>
            </w:r>
            <w:r w:rsidRPr="009B4CFA">
              <w:rPr>
                <w:sz w:val="20"/>
                <w:szCs w:val="20"/>
                <w:lang w:val="en-GB"/>
              </w:rPr>
              <w:t xml:space="preserve"> which is the international standard for organizational IT governance and is considered a best practice globally.</w:t>
            </w:r>
          </w:p>
        </w:tc>
      </w:tr>
      <w:tr w:rsidR="00CA5269" w:rsidRPr="009B4CFA" w14:paraId="02CC1250" w14:textId="77777777" w:rsidTr="00B8287F">
        <w:trPr>
          <w:gridAfter w:val="1"/>
          <w:wAfter w:w="23" w:type="dxa"/>
        </w:trPr>
        <w:tc>
          <w:tcPr>
            <w:tcW w:w="7020" w:type="dxa"/>
            <w:tcBorders>
              <w:top w:val="single" w:sz="4" w:space="0" w:color="auto"/>
              <w:left w:val="single" w:sz="8" w:space="0" w:color="auto"/>
              <w:bottom w:val="single" w:sz="4" w:space="0" w:color="auto"/>
              <w:right w:val="nil"/>
            </w:tcBorders>
            <w:shd w:val="clear" w:color="auto" w:fill="auto"/>
          </w:tcPr>
          <w:p w14:paraId="07C57A04" w14:textId="2608ABD0" w:rsidR="00CA5269" w:rsidRPr="009B4CFA" w:rsidRDefault="00CA5269" w:rsidP="00B8287F">
            <w:pPr>
              <w:spacing w:before="60" w:after="60"/>
              <w:rPr>
                <w:sz w:val="20"/>
                <w:szCs w:val="20"/>
                <w:lang w:val="en-GB"/>
              </w:rPr>
            </w:pPr>
            <w:r w:rsidRPr="009B4CFA">
              <w:rPr>
                <w:sz w:val="20"/>
                <w:szCs w:val="20"/>
                <w:lang w:val="en-GB"/>
              </w:rPr>
              <w:t xml:space="preserve">Develop a </w:t>
            </w:r>
            <w:r w:rsidR="00E952C2">
              <w:rPr>
                <w:sz w:val="20"/>
                <w:szCs w:val="20"/>
                <w:lang w:val="en-GB"/>
              </w:rPr>
              <w:t>d</w:t>
            </w:r>
            <w:r w:rsidRPr="009B4CFA">
              <w:rPr>
                <w:sz w:val="20"/>
                <w:szCs w:val="20"/>
                <w:lang w:val="en-GB"/>
              </w:rPr>
              <w:t xml:space="preserve">igital strategy outlining the vision for </w:t>
            </w:r>
            <w:r w:rsidR="00E952C2">
              <w:rPr>
                <w:sz w:val="20"/>
                <w:szCs w:val="20"/>
                <w:lang w:val="en-GB"/>
              </w:rPr>
              <w:t xml:space="preserve">the </w:t>
            </w:r>
            <w:r w:rsidRPr="009B4CFA">
              <w:rPr>
                <w:sz w:val="20"/>
                <w:szCs w:val="20"/>
                <w:lang w:val="en-GB"/>
              </w:rPr>
              <w:t>UNDP IT capabilities</w:t>
            </w:r>
            <w:r w:rsidR="00E952C2">
              <w:rPr>
                <w:sz w:val="20"/>
                <w:szCs w:val="20"/>
                <w:lang w:val="en-GB"/>
              </w:rPr>
              <w:t>,</w:t>
            </w:r>
            <w:r w:rsidRPr="009B4CFA">
              <w:rPr>
                <w:sz w:val="20"/>
                <w:szCs w:val="20"/>
                <w:lang w:val="en-GB"/>
              </w:rPr>
              <w:t xml:space="preserve"> in line with </w:t>
            </w:r>
            <w:r w:rsidR="00E952C2">
              <w:rPr>
                <w:sz w:val="20"/>
                <w:szCs w:val="20"/>
                <w:lang w:val="en-GB"/>
              </w:rPr>
              <w:t xml:space="preserve">the </w:t>
            </w:r>
            <w:r w:rsidRPr="009B4CFA">
              <w:rPr>
                <w:sz w:val="20"/>
                <w:szCs w:val="20"/>
                <w:lang w:val="en-GB"/>
              </w:rPr>
              <w:t>UNDP Strategic Plan</w:t>
            </w:r>
            <w:r w:rsidR="00E952C2">
              <w:rPr>
                <w:sz w:val="20"/>
                <w:szCs w:val="20"/>
                <w:lang w:val="en-GB"/>
              </w:rPr>
              <w:t>, 2018-2021</w:t>
            </w:r>
            <w:r w:rsidRPr="009B4CFA">
              <w:rPr>
                <w:sz w:val="20"/>
                <w:szCs w:val="20"/>
                <w:lang w:val="en-GB"/>
              </w:rPr>
              <w:t xml:space="preserve">. </w:t>
            </w:r>
          </w:p>
        </w:tc>
        <w:tc>
          <w:tcPr>
            <w:tcW w:w="2340" w:type="dxa"/>
            <w:tcBorders>
              <w:top w:val="single" w:sz="4" w:space="0" w:color="auto"/>
              <w:left w:val="single" w:sz="4" w:space="0" w:color="auto"/>
              <w:bottom w:val="single" w:sz="4" w:space="0" w:color="auto"/>
              <w:right w:val="nil"/>
            </w:tcBorders>
            <w:shd w:val="clear" w:color="auto" w:fill="auto"/>
          </w:tcPr>
          <w:p w14:paraId="3DE6A479" w14:textId="77777777" w:rsidR="00CA5269" w:rsidRPr="009B4CFA" w:rsidRDefault="00CA5269" w:rsidP="00B8287F">
            <w:pPr>
              <w:rPr>
                <w:sz w:val="20"/>
                <w:szCs w:val="20"/>
                <w:lang w:val="en-GB"/>
              </w:rPr>
            </w:pPr>
            <w:r w:rsidRPr="009B4CFA">
              <w:rPr>
                <w:sz w:val="20"/>
                <w:szCs w:val="20"/>
                <w:lang w:val="en-GB"/>
              </w:rPr>
              <w:t>October 2018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4409890" w14:textId="568FC702" w:rsidR="00CA5269" w:rsidRPr="009B4CFA" w:rsidRDefault="00CA5269" w:rsidP="00B8287F">
            <w:pPr>
              <w:rPr>
                <w:sz w:val="20"/>
                <w:szCs w:val="20"/>
                <w:lang w:val="en-GB"/>
              </w:rPr>
            </w:pPr>
            <w:r w:rsidRPr="009B4CFA">
              <w:rPr>
                <w:sz w:val="20"/>
                <w:szCs w:val="20"/>
                <w:lang w:val="en-GB"/>
              </w:rPr>
              <w:t xml:space="preserve">Cross-organization implementation team including </w:t>
            </w:r>
            <w:r w:rsidR="00E952C2">
              <w:rPr>
                <w:sz w:val="20"/>
                <w:szCs w:val="20"/>
                <w:lang w:val="en-GB"/>
              </w:rPr>
              <w:t>Bureau for Management Services, regional bureaux, Executive Office</w:t>
            </w:r>
          </w:p>
        </w:tc>
        <w:tc>
          <w:tcPr>
            <w:tcW w:w="990" w:type="dxa"/>
            <w:tcBorders>
              <w:top w:val="single" w:sz="4" w:space="0" w:color="auto"/>
              <w:bottom w:val="single" w:sz="4" w:space="0" w:color="auto"/>
            </w:tcBorders>
            <w:shd w:val="clear" w:color="auto" w:fill="auto"/>
          </w:tcPr>
          <w:p w14:paraId="4D29A7A6" w14:textId="77777777" w:rsidR="00CA5269" w:rsidRPr="009B4CFA" w:rsidRDefault="00CA5269" w:rsidP="00B8287F">
            <w:pPr>
              <w:rPr>
                <w:sz w:val="20"/>
                <w:szCs w:val="20"/>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52117541" w14:textId="4C96C706" w:rsidR="00CA5269" w:rsidRPr="009B4CFA" w:rsidRDefault="00CA5269" w:rsidP="00B8287F">
            <w:pPr>
              <w:rPr>
                <w:sz w:val="20"/>
                <w:szCs w:val="20"/>
                <w:lang w:val="en-GB"/>
              </w:rPr>
            </w:pPr>
            <w:r w:rsidRPr="009B4CFA">
              <w:rPr>
                <w:sz w:val="20"/>
                <w:szCs w:val="20"/>
                <w:lang w:val="en-GB"/>
              </w:rPr>
              <w:t xml:space="preserve">Per </w:t>
            </w:r>
            <w:r w:rsidR="00E952C2">
              <w:rPr>
                <w:sz w:val="20"/>
                <w:szCs w:val="20"/>
                <w:lang w:val="en-GB"/>
              </w:rPr>
              <w:t>a</w:t>
            </w:r>
            <w:r w:rsidRPr="009B4CFA">
              <w:rPr>
                <w:sz w:val="20"/>
                <w:szCs w:val="20"/>
                <w:lang w:val="en-GB"/>
              </w:rPr>
              <w:t>dvice of the Audit and Evaluation Advisory Committee</w:t>
            </w:r>
            <w:r w:rsidR="005D2D2B">
              <w:rPr>
                <w:sz w:val="20"/>
                <w:szCs w:val="20"/>
                <w:lang w:val="en-GB"/>
              </w:rPr>
              <w:t>,</w:t>
            </w:r>
            <w:r w:rsidR="005D2D2B" w:rsidRPr="009B4CFA">
              <w:rPr>
                <w:sz w:val="20"/>
                <w:szCs w:val="20"/>
                <w:lang w:val="en-GB"/>
              </w:rPr>
              <w:t xml:space="preserve"> </w:t>
            </w:r>
            <w:r w:rsidRPr="009B4CFA">
              <w:rPr>
                <w:sz w:val="20"/>
                <w:szCs w:val="20"/>
                <w:lang w:val="en-GB"/>
              </w:rPr>
              <w:t xml:space="preserve">a </w:t>
            </w:r>
            <w:r w:rsidR="005D2D2B">
              <w:rPr>
                <w:sz w:val="20"/>
                <w:szCs w:val="20"/>
                <w:lang w:val="en-GB"/>
              </w:rPr>
              <w:t>d</w:t>
            </w:r>
            <w:r w:rsidR="005D2D2B" w:rsidRPr="009B4CFA">
              <w:rPr>
                <w:sz w:val="20"/>
                <w:szCs w:val="20"/>
                <w:lang w:val="en-GB"/>
              </w:rPr>
              <w:t xml:space="preserve">igital </w:t>
            </w:r>
            <w:r w:rsidRPr="009B4CFA">
              <w:rPr>
                <w:sz w:val="20"/>
                <w:szCs w:val="20"/>
                <w:lang w:val="en-GB"/>
              </w:rPr>
              <w:t>strategy is being developed outlining the vision for UNDP IT capabilities moving forward.</w:t>
            </w:r>
          </w:p>
        </w:tc>
      </w:tr>
      <w:tr w:rsidR="00CA5269" w:rsidRPr="009B4CFA" w14:paraId="71C24D28" w14:textId="77777777" w:rsidTr="00C60155">
        <w:trPr>
          <w:gridAfter w:val="1"/>
          <w:wAfter w:w="23" w:type="dxa"/>
          <w:trHeight w:val="748"/>
        </w:trPr>
        <w:tc>
          <w:tcPr>
            <w:tcW w:w="7020" w:type="dxa"/>
            <w:tcBorders>
              <w:top w:val="single" w:sz="4" w:space="0" w:color="auto"/>
              <w:left w:val="single" w:sz="8" w:space="0" w:color="auto"/>
              <w:bottom w:val="single" w:sz="4" w:space="0" w:color="auto"/>
              <w:right w:val="nil"/>
            </w:tcBorders>
            <w:shd w:val="clear" w:color="auto" w:fill="auto"/>
          </w:tcPr>
          <w:p w14:paraId="69E7366A" w14:textId="446C9F7A" w:rsidR="00CA5269" w:rsidRPr="009B4CFA" w:rsidRDefault="00CA5269" w:rsidP="00B8287F">
            <w:pPr>
              <w:rPr>
                <w:sz w:val="20"/>
                <w:szCs w:val="20"/>
                <w:lang w:val="en-GB"/>
              </w:rPr>
            </w:pPr>
            <w:r w:rsidRPr="009B4CFA">
              <w:rPr>
                <w:sz w:val="20"/>
                <w:szCs w:val="20"/>
                <w:lang w:val="en-GB"/>
              </w:rPr>
              <w:t>Initiation of A</w:t>
            </w:r>
            <w:r w:rsidR="00E952C2" w:rsidRPr="00E952C2">
              <w:rPr>
                <w:sz w:val="20"/>
                <w:szCs w:val="20"/>
                <w:lang w:val="en-GB"/>
              </w:rPr>
              <w:t>tlas</w:t>
            </w:r>
            <w:r w:rsidRPr="009B4CFA">
              <w:rPr>
                <w:sz w:val="20"/>
                <w:szCs w:val="20"/>
                <w:lang w:val="en-GB"/>
              </w:rPr>
              <w:t xml:space="preserve"> upgrade to version 9.2</w:t>
            </w:r>
            <w:r w:rsidR="00E27C35">
              <w:rPr>
                <w:sz w:val="20"/>
                <w:szCs w:val="20"/>
                <w:lang w:val="en-GB"/>
              </w:rPr>
              <w:t>.</w:t>
            </w:r>
          </w:p>
        </w:tc>
        <w:tc>
          <w:tcPr>
            <w:tcW w:w="2340" w:type="dxa"/>
            <w:tcBorders>
              <w:top w:val="single" w:sz="4" w:space="0" w:color="auto"/>
              <w:left w:val="single" w:sz="4" w:space="0" w:color="auto"/>
              <w:bottom w:val="single" w:sz="4" w:space="0" w:color="auto"/>
              <w:right w:val="nil"/>
            </w:tcBorders>
            <w:shd w:val="clear" w:color="auto" w:fill="auto"/>
          </w:tcPr>
          <w:p w14:paraId="661F78EB" w14:textId="4F5E10F0" w:rsidR="00CA5269" w:rsidRPr="009B4CFA" w:rsidRDefault="00CA5269" w:rsidP="00B8287F">
            <w:pPr>
              <w:rPr>
                <w:sz w:val="20"/>
                <w:szCs w:val="20"/>
                <w:lang w:val="en-GB"/>
              </w:rPr>
            </w:pPr>
            <w:r w:rsidRPr="009B4CFA">
              <w:rPr>
                <w:sz w:val="20"/>
                <w:szCs w:val="20"/>
                <w:lang w:val="en-GB"/>
              </w:rPr>
              <w:t xml:space="preserve">August 2018 </w:t>
            </w:r>
            <w:r w:rsidR="00E952C2">
              <w:rPr>
                <w:sz w:val="20"/>
                <w:szCs w:val="20"/>
                <w:lang w:val="en-GB"/>
              </w:rPr>
              <w:t>(</w:t>
            </w:r>
            <w:r w:rsidRPr="009B4CFA">
              <w:rPr>
                <w:sz w:val="20"/>
                <w:szCs w:val="20"/>
                <w:lang w:val="en-GB"/>
              </w:rPr>
              <w:t>upgrade to be completed by December 2019)</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06EBC3E" w14:textId="66BCB1BC" w:rsidR="00CA5269" w:rsidRPr="009B4CFA" w:rsidRDefault="00E952C2" w:rsidP="00B8287F">
            <w:pPr>
              <w:rPr>
                <w:sz w:val="20"/>
                <w:szCs w:val="20"/>
                <w:lang w:val="en-GB"/>
              </w:rPr>
            </w:pPr>
            <w:r>
              <w:rPr>
                <w:sz w:val="20"/>
                <w:szCs w:val="20"/>
                <w:lang w:val="en-GB"/>
              </w:rPr>
              <w:t>Bureau for Management Services</w:t>
            </w:r>
          </w:p>
        </w:tc>
        <w:tc>
          <w:tcPr>
            <w:tcW w:w="990" w:type="dxa"/>
            <w:tcBorders>
              <w:top w:val="single" w:sz="4" w:space="0" w:color="auto"/>
              <w:bottom w:val="single" w:sz="4" w:space="0" w:color="auto"/>
            </w:tcBorders>
            <w:shd w:val="clear" w:color="auto" w:fill="auto"/>
          </w:tcPr>
          <w:p w14:paraId="13386D71" w14:textId="77777777" w:rsidR="00CA5269" w:rsidRPr="009B4CFA" w:rsidRDefault="00CA5269" w:rsidP="00B8287F">
            <w:pPr>
              <w:rPr>
                <w:sz w:val="20"/>
                <w:szCs w:val="20"/>
                <w:highlight w:val="yellow"/>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76CB567F" w14:textId="77777777" w:rsidR="00CA5269" w:rsidRPr="009B4CFA" w:rsidRDefault="00CA5269" w:rsidP="00B8287F">
            <w:pPr>
              <w:rPr>
                <w:sz w:val="20"/>
                <w:szCs w:val="20"/>
                <w:highlight w:val="yellow"/>
                <w:lang w:val="en-GB"/>
              </w:rPr>
            </w:pPr>
          </w:p>
        </w:tc>
      </w:tr>
      <w:tr w:rsidR="00CA5269" w:rsidRPr="009B4CFA" w14:paraId="3482F5A2" w14:textId="77777777" w:rsidTr="00B8287F">
        <w:trPr>
          <w:gridAfter w:val="1"/>
          <w:wAfter w:w="23" w:type="dxa"/>
          <w:trHeight w:val="244"/>
        </w:trPr>
        <w:tc>
          <w:tcPr>
            <w:tcW w:w="7020" w:type="dxa"/>
            <w:tcBorders>
              <w:top w:val="single" w:sz="4" w:space="0" w:color="auto"/>
              <w:left w:val="single" w:sz="8" w:space="0" w:color="auto"/>
              <w:bottom w:val="single" w:sz="4" w:space="0" w:color="auto"/>
              <w:right w:val="nil"/>
            </w:tcBorders>
            <w:shd w:val="clear" w:color="auto" w:fill="auto"/>
          </w:tcPr>
          <w:p w14:paraId="4616DDA9" w14:textId="162EE59D" w:rsidR="00CA5269" w:rsidRPr="009B4CFA" w:rsidDel="00DA7363" w:rsidRDefault="00CA5269" w:rsidP="00B8287F">
            <w:pPr>
              <w:spacing w:line="240" w:lineRule="atLeast"/>
              <w:rPr>
                <w:sz w:val="20"/>
                <w:szCs w:val="20"/>
                <w:lang w:val="en-GB"/>
              </w:rPr>
            </w:pPr>
            <w:r w:rsidRPr="009B4CFA">
              <w:rPr>
                <w:sz w:val="20"/>
                <w:szCs w:val="20"/>
                <w:lang w:val="en-GB"/>
              </w:rPr>
              <w:t>Establishment of digital innovations platform</w:t>
            </w:r>
            <w:r w:rsidR="00E27C35">
              <w:rPr>
                <w:sz w:val="20"/>
                <w:szCs w:val="20"/>
                <w:lang w:val="en-GB"/>
              </w:rPr>
              <w:t>.</w:t>
            </w:r>
          </w:p>
        </w:tc>
        <w:tc>
          <w:tcPr>
            <w:tcW w:w="2340" w:type="dxa"/>
            <w:tcBorders>
              <w:top w:val="single" w:sz="4" w:space="0" w:color="auto"/>
              <w:left w:val="single" w:sz="4" w:space="0" w:color="auto"/>
              <w:bottom w:val="single" w:sz="4" w:space="0" w:color="auto"/>
              <w:right w:val="nil"/>
            </w:tcBorders>
            <w:shd w:val="clear" w:color="auto" w:fill="auto"/>
          </w:tcPr>
          <w:p w14:paraId="7642660C" w14:textId="77777777" w:rsidR="00CA5269" w:rsidRPr="009B4CFA" w:rsidDel="00DA7363" w:rsidRDefault="00CA5269" w:rsidP="00B8287F">
            <w:pPr>
              <w:spacing w:line="240" w:lineRule="atLeast"/>
              <w:rPr>
                <w:sz w:val="20"/>
                <w:szCs w:val="20"/>
                <w:lang w:val="en-GB"/>
              </w:rPr>
            </w:pPr>
            <w:r w:rsidRPr="009B4CFA">
              <w:rPr>
                <w:sz w:val="20"/>
                <w:szCs w:val="20"/>
                <w:lang w:val="en-GB"/>
              </w:rPr>
              <w:t>December 2018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C51C967" w14:textId="6FFB5E5F" w:rsidR="00CA5269" w:rsidRPr="009B4CFA" w:rsidRDefault="00CA5269" w:rsidP="00B8287F">
            <w:pPr>
              <w:spacing w:line="240" w:lineRule="atLeast"/>
              <w:rPr>
                <w:sz w:val="20"/>
                <w:szCs w:val="20"/>
                <w:lang w:val="en-GB"/>
              </w:rPr>
            </w:pPr>
            <w:r w:rsidRPr="009B4CFA">
              <w:rPr>
                <w:sz w:val="20"/>
                <w:szCs w:val="20"/>
                <w:lang w:val="en-GB"/>
              </w:rPr>
              <w:t xml:space="preserve">Cross-organization implementation team including </w:t>
            </w:r>
            <w:r w:rsidR="00E952C2">
              <w:rPr>
                <w:sz w:val="20"/>
                <w:szCs w:val="20"/>
                <w:lang w:val="en-GB"/>
              </w:rPr>
              <w:t>Bureau for Management Services, regional bureaux, Executive Office</w:t>
            </w:r>
          </w:p>
        </w:tc>
        <w:tc>
          <w:tcPr>
            <w:tcW w:w="990" w:type="dxa"/>
            <w:tcBorders>
              <w:top w:val="single" w:sz="4" w:space="0" w:color="auto"/>
            </w:tcBorders>
            <w:shd w:val="clear" w:color="auto" w:fill="auto"/>
          </w:tcPr>
          <w:p w14:paraId="18A855C1" w14:textId="77777777" w:rsidR="00CA5269" w:rsidRPr="009B4CFA" w:rsidRDefault="00CA5269" w:rsidP="00B8287F">
            <w:pPr>
              <w:spacing w:line="240" w:lineRule="atLeast"/>
              <w:rPr>
                <w:sz w:val="20"/>
                <w:szCs w:val="20"/>
                <w:highlight w:val="yellow"/>
                <w:lang w:val="en-GB"/>
              </w:rPr>
            </w:pPr>
          </w:p>
        </w:tc>
        <w:tc>
          <w:tcPr>
            <w:tcW w:w="2160" w:type="dxa"/>
            <w:tcBorders>
              <w:top w:val="single" w:sz="4" w:space="0" w:color="auto"/>
              <w:left w:val="single" w:sz="4" w:space="0" w:color="auto"/>
              <w:bottom w:val="single" w:sz="4" w:space="0" w:color="auto"/>
              <w:right w:val="single" w:sz="8" w:space="0" w:color="auto"/>
            </w:tcBorders>
            <w:shd w:val="clear" w:color="auto" w:fill="auto"/>
          </w:tcPr>
          <w:p w14:paraId="0CEE7ECB" w14:textId="77777777" w:rsidR="00CA5269" w:rsidRPr="009B4CFA" w:rsidRDefault="00CA5269" w:rsidP="00B8287F">
            <w:pPr>
              <w:spacing w:line="240" w:lineRule="atLeast"/>
              <w:rPr>
                <w:sz w:val="20"/>
                <w:szCs w:val="20"/>
                <w:highlight w:val="yellow"/>
                <w:lang w:val="en-GB"/>
              </w:rPr>
            </w:pPr>
          </w:p>
        </w:tc>
      </w:tr>
    </w:tbl>
    <w:p w14:paraId="0C13DA1F" w14:textId="77777777" w:rsidR="00CA5269" w:rsidRPr="000B3017" w:rsidRDefault="00CA5269" w:rsidP="00CA5269">
      <w:pPr>
        <w:rPr>
          <w:sz w:val="20"/>
          <w:szCs w:val="20"/>
        </w:rPr>
      </w:pPr>
    </w:p>
    <w:p w14:paraId="1D82241D" w14:textId="77777777" w:rsidR="00A80449" w:rsidRPr="000B3017" w:rsidRDefault="00A80449" w:rsidP="00A80449">
      <w:pPr>
        <w:jc w:val="center"/>
        <w:rPr>
          <w:sz w:val="20"/>
          <w:szCs w:val="20"/>
          <w:lang w:val="en-GB"/>
        </w:rPr>
      </w:pPr>
      <w:r w:rsidRPr="000B3017">
        <w:rPr>
          <w:noProof/>
          <w:sz w:val="20"/>
          <w:szCs w:val="20"/>
        </w:rPr>
        <w:drawing>
          <wp:inline distT="0" distB="0" distL="0" distR="0" wp14:anchorId="271EFD10" wp14:editId="6ADF0BF4">
            <wp:extent cx="942975" cy="285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A80449" w:rsidRPr="000B3017" w:rsidSect="004A6258">
      <w:headerReference w:type="even" r:id="rId15"/>
      <w:headerReference w:type="default" r:id="rId16"/>
      <w:footerReference w:type="even" r:id="rId17"/>
      <w:headerReference w:type="first" r:id="rId18"/>
      <w:pgSz w:w="15840" w:h="12240" w:orient="landscape" w:code="1"/>
      <w:pgMar w:top="1195" w:right="1474" w:bottom="1134" w:left="1474" w:header="540"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93A3F" w14:textId="77777777" w:rsidR="000A62B4" w:rsidRDefault="000A62B4">
      <w:r>
        <w:separator/>
      </w:r>
    </w:p>
  </w:endnote>
  <w:endnote w:type="continuationSeparator" w:id="0">
    <w:p w14:paraId="2488B8D9" w14:textId="77777777" w:rsidR="000A62B4" w:rsidRDefault="000A62B4">
      <w:r>
        <w:continuationSeparator/>
      </w:r>
    </w:p>
  </w:endnote>
  <w:endnote w:type="continuationNotice" w:id="1">
    <w:p w14:paraId="1D13FE2D" w14:textId="77777777" w:rsidR="000A62B4" w:rsidRDefault="000A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B04C" w14:textId="2323FE4F" w:rsidR="00480EE7" w:rsidRPr="002979FA" w:rsidRDefault="00480EE7" w:rsidP="00172009">
    <w:pPr>
      <w:pStyle w:val="Footer"/>
      <w:ind w:left="54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4</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D340" w14:textId="069F4300" w:rsidR="00480EE7" w:rsidRPr="00F22912" w:rsidRDefault="00480EE7" w:rsidP="00B06468">
    <w:pPr>
      <w:pStyle w:val="Footer"/>
      <w:ind w:right="731"/>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7</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903246"/>
      <w:docPartObj>
        <w:docPartGallery w:val="Page Numbers (Bottom of Page)"/>
        <w:docPartUnique/>
      </w:docPartObj>
    </w:sdtPr>
    <w:sdtEndPr>
      <w:rPr>
        <w:b/>
        <w:noProof/>
        <w:sz w:val="17"/>
        <w:szCs w:val="17"/>
      </w:rPr>
    </w:sdtEndPr>
    <w:sdtContent>
      <w:p w14:paraId="62E40994" w14:textId="3C6B1D69" w:rsidR="00480EE7" w:rsidRPr="00B06468" w:rsidRDefault="00480EE7" w:rsidP="00B06468">
        <w:pPr>
          <w:pStyle w:val="Footer"/>
          <w:jc w:val="right"/>
          <w:rPr>
            <w:b/>
            <w:sz w:val="17"/>
            <w:szCs w:val="17"/>
          </w:rPr>
        </w:pPr>
        <w:r w:rsidRPr="00B06468">
          <w:rPr>
            <w:b/>
            <w:sz w:val="17"/>
            <w:szCs w:val="17"/>
          </w:rPr>
          <w:fldChar w:fldCharType="begin"/>
        </w:r>
        <w:r w:rsidRPr="00B06468">
          <w:rPr>
            <w:b/>
            <w:sz w:val="17"/>
            <w:szCs w:val="17"/>
          </w:rPr>
          <w:instrText xml:space="preserve"> PAGE   \* MERGEFORMAT </w:instrText>
        </w:r>
        <w:r w:rsidRPr="00B06468">
          <w:rPr>
            <w:b/>
            <w:sz w:val="17"/>
            <w:szCs w:val="17"/>
          </w:rPr>
          <w:fldChar w:fldCharType="separate"/>
        </w:r>
        <w:r>
          <w:rPr>
            <w:b/>
            <w:noProof/>
            <w:sz w:val="17"/>
            <w:szCs w:val="17"/>
          </w:rPr>
          <w:t>5</w:t>
        </w:r>
        <w:r w:rsidRPr="00B06468">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8B6B" w14:textId="77777777" w:rsidR="00480EE7" w:rsidRPr="002979FA" w:rsidRDefault="00480EE7" w:rsidP="00B06468">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8</w:t>
    </w:r>
    <w:r w:rsidRPr="002979FA">
      <w:rPr>
        <w:b/>
        <w:noProof/>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225B" w14:textId="77777777" w:rsidR="000A62B4" w:rsidRDefault="000A62B4">
      <w:r>
        <w:separator/>
      </w:r>
    </w:p>
  </w:footnote>
  <w:footnote w:type="continuationSeparator" w:id="0">
    <w:p w14:paraId="5E4866B1" w14:textId="77777777" w:rsidR="000A62B4" w:rsidRDefault="000A62B4">
      <w:r>
        <w:continuationSeparator/>
      </w:r>
    </w:p>
  </w:footnote>
  <w:footnote w:type="continuationNotice" w:id="1">
    <w:p w14:paraId="66FC7345" w14:textId="77777777" w:rsidR="000A62B4" w:rsidRDefault="000A62B4"/>
  </w:footnote>
  <w:footnote w:id="2">
    <w:p w14:paraId="5ABA4958" w14:textId="1E6CDE7D" w:rsidR="00EE240F" w:rsidRDefault="00EE240F" w:rsidP="00B44FE3">
      <w:pPr>
        <w:pStyle w:val="FootnoteText"/>
        <w:jc w:val="both"/>
      </w:pPr>
      <w:r>
        <w:t xml:space="preserve">* </w:t>
      </w:r>
      <w:r w:rsidRPr="00EE240F">
        <w:t>The figures are based upon treasury portfolio balances</w:t>
      </w:r>
      <w:r>
        <w:t>.</w:t>
      </w:r>
    </w:p>
    <w:p w14:paraId="4BDE521C" w14:textId="1CD96311" w:rsidR="00480EE7" w:rsidRDefault="00480EE7" w:rsidP="00B44FE3">
      <w:pPr>
        <w:pStyle w:val="FootnoteText"/>
        <w:jc w:val="both"/>
      </w:pPr>
      <w:r>
        <w:rPr>
          <w:rStyle w:val="FootnoteReference"/>
        </w:rPr>
        <w:footnoteRef/>
      </w:r>
      <w:r>
        <w:t xml:space="preserve"> These include </w:t>
      </w:r>
      <w:r w:rsidRPr="00DA0185">
        <w:t xml:space="preserve">UNDP, </w:t>
      </w:r>
      <w:r w:rsidR="00B44FE3">
        <w:t>United Nations Capital Development Fund</w:t>
      </w:r>
      <w:r w:rsidRPr="00DA0185">
        <w:t xml:space="preserve">, </w:t>
      </w:r>
      <w:r w:rsidR="00B44FE3">
        <w:t>United Nations Population Fund</w:t>
      </w:r>
      <w:r>
        <w:t xml:space="preserve">, </w:t>
      </w:r>
      <w:r w:rsidRPr="00DA0185">
        <w:t>U</w:t>
      </w:r>
      <w:r>
        <w:t xml:space="preserve">nited </w:t>
      </w:r>
      <w:r w:rsidRPr="00DA0185">
        <w:t>N</w:t>
      </w:r>
      <w:r>
        <w:t xml:space="preserve">ations </w:t>
      </w:r>
      <w:r w:rsidRPr="00DA0185">
        <w:t>V</w:t>
      </w:r>
      <w:r>
        <w:t>olunteers programme</w:t>
      </w:r>
      <w:r w:rsidRPr="00DA0185">
        <w:t xml:space="preserve">, </w:t>
      </w:r>
      <w:r>
        <w:t>United Nations System Staff College</w:t>
      </w:r>
      <w:r w:rsidRPr="00DA0185">
        <w:t xml:space="preserve">, </w:t>
      </w:r>
      <w:r>
        <w:t xml:space="preserve">United Nations Institute for Training and Research, </w:t>
      </w:r>
      <w:r w:rsidRPr="00DA0185">
        <w:t>UN</w:t>
      </w:r>
      <w:r>
        <w:t>-</w:t>
      </w:r>
      <w:r w:rsidRPr="00DA0185">
        <w:t xml:space="preserve">Women, </w:t>
      </w:r>
      <w:r>
        <w:t>United Nations University</w:t>
      </w:r>
      <w:r w:rsidRPr="00DA0185">
        <w:t xml:space="preserve">, </w:t>
      </w:r>
      <w:r>
        <w:t>United Nations Department for Safety and Security</w:t>
      </w:r>
      <w:r w:rsidRPr="00DA0185">
        <w:t>, U</w:t>
      </w:r>
      <w:r>
        <w:t xml:space="preserve">nited </w:t>
      </w:r>
      <w:r w:rsidRPr="00DA0185">
        <w:t>N</w:t>
      </w:r>
      <w:r>
        <w:t xml:space="preserve">ations </w:t>
      </w:r>
      <w:r w:rsidRPr="00DA0185">
        <w:t>O</w:t>
      </w:r>
      <w:r>
        <w:t xml:space="preserve">ffice for the </w:t>
      </w:r>
      <w:r w:rsidRPr="00DA0185">
        <w:t>C</w:t>
      </w:r>
      <w:r>
        <w:t xml:space="preserve">oordination of </w:t>
      </w:r>
      <w:r w:rsidRPr="00DA0185">
        <w:t>H</w:t>
      </w:r>
      <w:r>
        <w:t>umanitarian Affairs</w:t>
      </w:r>
      <w:r w:rsidRPr="00DA0185">
        <w:t>, U</w:t>
      </w:r>
      <w:r>
        <w:t xml:space="preserve">nited </w:t>
      </w:r>
      <w:r w:rsidRPr="00DA0185">
        <w:t>N</w:t>
      </w:r>
      <w:r>
        <w:t xml:space="preserve">ations </w:t>
      </w:r>
      <w:r w:rsidRPr="00DA0185">
        <w:t>O</w:t>
      </w:r>
      <w:r>
        <w:t xml:space="preserve">ffice on </w:t>
      </w:r>
      <w:r w:rsidRPr="00DA0185">
        <w:t>D</w:t>
      </w:r>
      <w:r>
        <w:t xml:space="preserve">rugs and </w:t>
      </w:r>
      <w:r w:rsidRPr="00DA0185">
        <w:t>C</w:t>
      </w:r>
      <w:r>
        <w:t>rime</w:t>
      </w:r>
      <w:r w:rsidRPr="00DA0185">
        <w:t xml:space="preserve">, </w:t>
      </w:r>
      <w:r>
        <w:t>United Nations Human Settlements Programme</w:t>
      </w:r>
      <w:r w:rsidRPr="00DA0185">
        <w:t xml:space="preserve">, </w:t>
      </w:r>
      <w:r>
        <w:t>International Fund for Agricultural Development</w:t>
      </w:r>
      <w:r w:rsidRPr="00DA0185">
        <w:t xml:space="preserve">, </w:t>
      </w:r>
      <w:r>
        <w:t>World Food Programme and United Nations information centres</w:t>
      </w:r>
      <w:r w:rsidRPr="00DA0185">
        <w:t>.</w:t>
      </w:r>
    </w:p>
  </w:footnote>
  <w:footnote w:id="3">
    <w:p w14:paraId="70A39F0A" w14:textId="5C2BFD22" w:rsidR="00480EE7" w:rsidRPr="00A06FAD" w:rsidRDefault="00480EE7" w:rsidP="00CA5269">
      <w:pPr>
        <w:rPr>
          <w:sz w:val="18"/>
          <w:szCs w:val="18"/>
          <w:lang w:val="en-GB"/>
        </w:rPr>
      </w:pPr>
      <w:r w:rsidRPr="007164D2">
        <w:rPr>
          <w:rStyle w:val="FootnoteReference"/>
          <w:sz w:val="18"/>
          <w:szCs w:val="18"/>
        </w:rPr>
        <w:footnoteRef/>
      </w:r>
      <w:r w:rsidRPr="007164D2">
        <w:rPr>
          <w:sz w:val="18"/>
          <w:szCs w:val="18"/>
        </w:rPr>
        <w:t xml:space="preserve"> </w:t>
      </w:r>
      <w:r>
        <w:rPr>
          <w:sz w:val="18"/>
          <w:szCs w:val="18"/>
          <w:lang w:val="en-GB"/>
        </w:rPr>
        <w:t>I</w:t>
      </w:r>
      <w:r w:rsidRPr="00A06FAD">
        <w:rPr>
          <w:sz w:val="18"/>
          <w:szCs w:val="18"/>
          <w:lang w:val="en-GB"/>
        </w:rPr>
        <w:t>mplementation status is tracked in</w:t>
      </w:r>
      <w:r>
        <w:rPr>
          <w:sz w:val="18"/>
          <w:szCs w:val="18"/>
          <w:lang w:val="en-GB"/>
        </w:rPr>
        <w:t xml:space="preserve"> the Evaluation Resource Centre.</w:t>
      </w:r>
    </w:p>
    <w:p w14:paraId="50194349" w14:textId="77777777" w:rsidR="00480EE7" w:rsidRPr="007164D2" w:rsidRDefault="00480EE7" w:rsidP="00CA526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6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130"/>
    </w:tblGrid>
    <w:tr w:rsidR="00480EE7" w:rsidRPr="00B06468" w14:paraId="79744CAF" w14:textId="77777777" w:rsidTr="00BE1E78">
      <w:trPr>
        <w:trHeight w:hRule="exact" w:val="864"/>
      </w:trPr>
      <w:tc>
        <w:tcPr>
          <w:tcW w:w="4838" w:type="dxa"/>
          <w:shd w:val="clear" w:color="auto" w:fill="auto"/>
          <w:vAlign w:val="bottom"/>
        </w:tcPr>
        <w:p w14:paraId="59F4F4FA" w14:textId="3746454D" w:rsidR="00480EE7" w:rsidRPr="00B06468" w:rsidRDefault="00480EE7" w:rsidP="00B06468">
          <w:pPr>
            <w:tabs>
              <w:tab w:val="center" w:pos="4320"/>
              <w:tab w:val="right" w:pos="8640"/>
            </w:tabs>
            <w:suppressAutoHyphens/>
            <w:spacing w:after="80"/>
            <w:rPr>
              <w:rFonts w:eastAsia="Calibri"/>
              <w:b/>
              <w:noProof/>
              <w:spacing w:val="4"/>
              <w:w w:val="103"/>
              <w:kern w:val="14"/>
              <w:sz w:val="17"/>
              <w:szCs w:val="20"/>
            </w:rPr>
          </w:pPr>
          <w:r w:rsidRPr="00B06468">
            <w:rPr>
              <w:rFonts w:eastAsia="Calibri"/>
              <w:b/>
              <w:noProof/>
              <w:spacing w:val="4"/>
              <w:w w:val="103"/>
              <w:kern w:val="14"/>
              <w:sz w:val="17"/>
              <w:szCs w:val="20"/>
            </w:rPr>
            <w:t>DP/2018/2</w:t>
          </w:r>
          <w:r>
            <w:rPr>
              <w:rFonts w:eastAsia="Calibri"/>
              <w:b/>
              <w:noProof/>
              <w:spacing w:val="4"/>
              <w:w w:val="103"/>
              <w:kern w:val="14"/>
              <w:sz w:val="17"/>
              <w:szCs w:val="20"/>
            </w:rPr>
            <w:t>6</w:t>
          </w:r>
        </w:p>
      </w:tc>
      <w:tc>
        <w:tcPr>
          <w:tcW w:w="4130" w:type="dxa"/>
          <w:shd w:val="clear" w:color="auto" w:fill="auto"/>
          <w:vAlign w:val="bottom"/>
        </w:tcPr>
        <w:p w14:paraId="2566F290" w14:textId="77777777" w:rsidR="00480EE7" w:rsidRPr="00B06468" w:rsidRDefault="00480EE7" w:rsidP="00B06468">
          <w:pPr>
            <w:tabs>
              <w:tab w:val="center" w:pos="4320"/>
              <w:tab w:val="right" w:pos="8640"/>
            </w:tabs>
            <w:suppressAutoHyphens/>
            <w:rPr>
              <w:rFonts w:eastAsia="Calibri"/>
              <w:noProof/>
              <w:spacing w:val="4"/>
              <w:w w:val="103"/>
              <w:kern w:val="14"/>
              <w:sz w:val="17"/>
              <w:szCs w:val="20"/>
            </w:rPr>
          </w:pPr>
        </w:p>
      </w:tc>
    </w:tr>
  </w:tbl>
  <w:p w14:paraId="3DE5B096" w14:textId="77777777" w:rsidR="00480EE7" w:rsidRPr="00B06468" w:rsidRDefault="00480EE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144"/>
    </w:tblGrid>
    <w:tr w:rsidR="00480EE7" w:rsidRPr="00B06468" w14:paraId="76D75404" w14:textId="77777777" w:rsidTr="00BE1E78">
      <w:trPr>
        <w:trHeight w:hRule="exact" w:val="864"/>
      </w:trPr>
      <w:tc>
        <w:tcPr>
          <w:tcW w:w="4838" w:type="dxa"/>
          <w:shd w:val="clear" w:color="auto" w:fill="auto"/>
          <w:vAlign w:val="bottom"/>
        </w:tcPr>
        <w:p w14:paraId="7C19F8F3" w14:textId="77777777" w:rsidR="00480EE7" w:rsidRPr="00B06468" w:rsidRDefault="00480EE7" w:rsidP="00B06468">
          <w:pPr>
            <w:tabs>
              <w:tab w:val="center" w:pos="4320"/>
              <w:tab w:val="right" w:pos="8640"/>
            </w:tabs>
            <w:suppressAutoHyphens/>
            <w:rPr>
              <w:rFonts w:eastAsia="Calibri"/>
              <w:noProof/>
              <w:spacing w:val="4"/>
              <w:w w:val="103"/>
              <w:kern w:val="14"/>
              <w:sz w:val="17"/>
              <w:szCs w:val="20"/>
            </w:rPr>
          </w:pPr>
        </w:p>
      </w:tc>
      <w:tc>
        <w:tcPr>
          <w:tcW w:w="4144" w:type="dxa"/>
          <w:shd w:val="clear" w:color="auto" w:fill="auto"/>
          <w:vAlign w:val="bottom"/>
        </w:tcPr>
        <w:p w14:paraId="0B708628" w14:textId="664C3A16" w:rsidR="00480EE7" w:rsidRPr="00B06468" w:rsidRDefault="00480EE7" w:rsidP="00B06468">
          <w:pPr>
            <w:tabs>
              <w:tab w:val="center" w:pos="4320"/>
              <w:tab w:val="right" w:pos="8640"/>
            </w:tabs>
            <w:suppressAutoHyphens/>
            <w:spacing w:after="80"/>
            <w:jc w:val="right"/>
            <w:rPr>
              <w:rFonts w:eastAsia="Calibri"/>
              <w:b/>
              <w:noProof/>
              <w:spacing w:val="4"/>
              <w:w w:val="103"/>
              <w:kern w:val="14"/>
              <w:sz w:val="17"/>
              <w:szCs w:val="20"/>
              <w:highlight w:val="yellow"/>
            </w:rPr>
          </w:pPr>
          <w:r w:rsidRPr="00B06468">
            <w:rPr>
              <w:rFonts w:eastAsia="Calibri"/>
              <w:b/>
              <w:noProof/>
              <w:spacing w:val="4"/>
              <w:w w:val="103"/>
              <w:kern w:val="14"/>
              <w:sz w:val="17"/>
              <w:szCs w:val="20"/>
            </w:rPr>
            <w:t>DP/2018/2</w:t>
          </w:r>
          <w:r>
            <w:rPr>
              <w:rFonts w:eastAsia="Calibri"/>
              <w:b/>
              <w:noProof/>
              <w:spacing w:val="4"/>
              <w:w w:val="103"/>
              <w:kern w:val="14"/>
              <w:sz w:val="17"/>
              <w:szCs w:val="20"/>
            </w:rPr>
            <w:t>6</w:t>
          </w:r>
        </w:p>
      </w:tc>
    </w:tr>
  </w:tbl>
  <w:p w14:paraId="30CB2CC5" w14:textId="77777777" w:rsidR="00480EE7" w:rsidRPr="00B06468" w:rsidRDefault="00480EE7">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80EE7" w:rsidRPr="00B06468" w14:paraId="7AFAE23B" w14:textId="77777777" w:rsidTr="00BE1E78">
      <w:trPr>
        <w:trHeight w:hRule="exact" w:val="864"/>
      </w:trPr>
      <w:tc>
        <w:tcPr>
          <w:tcW w:w="1267" w:type="dxa"/>
          <w:tcBorders>
            <w:bottom w:val="single" w:sz="4" w:space="0" w:color="auto"/>
          </w:tcBorders>
          <w:shd w:val="clear" w:color="auto" w:fill="auto"/>
          <w:vAlign w:val="bottom"/>
        </w:tcPr>
        <w:p w14:paraId="7D81473F" w14:textId="77777777" w:rsidR="00480EE7" w:rsidRPr="00B06468" w:rsidRDefault="00480EE7" w:rsidP="00B06468">
          <w:pPr>
            <w:tabs>
              <w:tab w:val="center" w:pos="4320"/>
              <w:tab w:val="right" w:pos="8640"/>
            </w:tabs>
            <w:spacing w:after="120"/>
            <w:rPr>
              <w:rFonts w:eastAsia="Calibri"/>
              <w:noProof/>
              <w:sz w:val="17"/>
              <w:szCs w:val="20"/>
            </w:rPr>
          </w:pPr>
        </w:p>
      </w:tc>
      <w:tc>
        <w:tcPr>
          <w:tcW w:w="1872" w:type="dxa"/>
          <w:tcBorders>
            <w:bottom w:val="single" w:sz="4" w:space="0" w:color="auto"/>
          </w:tcBorders>
          <w:shd w:val="clear" w:color="auto" w:fill="auto"/>
          <w:vAlign w:val="bottom"/>
        </w:tcPr>
        <w:p w14:paraId="6397393D" w14:textId="77777777" w:rsidR="00480EE7" w:rsidRPr="00B06468" w:rsidRDefault="00480EE7" w:rsidP="00B064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szCs w:val="20"/>
              <w:lang w:val="en-GB"/>
            </w:rPr>
          </w:pPr>
          <w:r w:rsidRPr="00B06468">
            <w:rPr>
              <w:rFonts w:eastAsia="Calibri"/>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3B7BD504" w14:textId="77777777" w:rsidR="00480EE7" w:rsidRPr="00B06468" w:rsidRDefault="00480EE7" w:rsidP="00B06468">
          <w:pPr>
            <w:tabs>
              <w:tab w:val="center" w:pos="4320"/>
              <w:tab w:val="right" w:pos="8640"/>
            </w:tabs>
            <w:spacing w:after="120"/>
            <w:rPr>
              <w:rFonts w:eastAsia="Calibri"/>
              <w:noProof/>
              <w:sz w:val="17"/>
              <w:szCs w:val="20"/>
            </w:rPr>
          </w:pPr>
        </w:p>
      </w:tc>
      <w:tc>
        <w:tcPr>
          <w:tcW w:w="6523" w:type="dxa"/>
          <w:gridSpan w:val="4"/>
          <w:tcBorders>
            <w:bottom w:val="single" w:sz="4" w:space="0" w:color="auto"/>
          </w:tcBorders>
          <w:shd w:val="clear" w:color="auto" w:fill="auto"/>
          <w:vAlign w:val="bottom"/>
        </w:tcPr>
        <w:p w14:paraId="18A7DDF6" w14:textId="34B1B886" w:rsidR="00480EE7" w:rsidRPr="00B06468" w:rsidRDefault="00480EE7" w:rsidP="00B06468">
          <w:pPr>
            <w:suppressAutoHyphens/>
            <w:spacing w:after="80"/>
            <w:jc w:val="right"/>
            <w:rPr>
              <w:rFonts w:eastAsia="Calibri"/>
              <w:spacing w:val="4"/>
              <w:w w:val="103"/>
              <w:kern w:val="14"/>
              <w:position w:val="-4"/>
              <w:sz w:val="20"/>
              <w:szCs w:val="20"/>
              <w:lang w:val="en-GB"/>
            </w:rPr>
          </w:pPr>
          <w:r w:rsidRPr="00B06468">
            <w:rPr>
              <w:rFonts w:eastAsia="Calibri"/>
              <w:spacing w:val="4"/>
              <w:w w:val="103"/>
              <w:kern w:val="14"/>
              <w:position w:val="-4"/>
              <w:sz w:val="40"/>
              <w:szCs w:val="20"/>
              <w:lang w:val="en-GB"/>
            </w:rPr>
            <w:t>DP</w:t>
          </w:r>
          <w:r w:rsidRPr="00B06468">
            <w:rPr>
              <w:rFonts w:eastAsia="Calibri"/>
              <w:spacing w:val="4"/>
              <w:w w:val="103"/>
              <w:kern w:val="14"/>
              <w:position w:val="-4"/>
              <w:sz w:val="20"/>
              <w:szCs w:val="20"/>
              <w:lang w:val="en-GB"/>
            </w:rPr>
            <w:t>/2018/2</w:t>
          </w:r>
          <w:r>
            <w:rPr>
              <w:rFonts w:eastAsia="Calibri"/>
              <w:spacing w:val="4"/>
              <w:w w:val="103"/>
              <w:kern w:val="14"/>
              <w:position w:val="-4"/>
              <w:sz w:val="20"/>
              <w:szCs w:val="20"/>
              <w:lang w:val="en-GB"/>
            </w:rPr>
            <w:t>6</w:t>
          </w:r>
        </w:p>
      </w:tc>
    </w:tr>
    <w:tr w:rsidR="00480EE7" w:rsidRPr="00B06468" w14:paraId="70820EEE" w14:textId="77777777" w:rsidTr="00BE1E78">
      <w:trPr>
        <w:gridAfter w:val="1"/>
        <w:wAfter w:w="28" w:type="dxa"/>
        <w:trHeight w:hRule="exact" w:val="2880"/>
      </w:trPr>
      <w:tc>
        <w:tcPr>
          <w:tcW w:w="1267" w:type="dxa"/>
          <w:tcBorders>
            <w:top w:val="single" w:sz="4" w:space="0" w:color="auto"/>
            <w:bottom w:val="single" w:sz="12" w:space="0" w:color="auto"/>
          </w:tcBorders>
          <w:shd w:val="clear" w:color="auto" w:fill="auto"/>
        </w:tcPr>
        <w:p w14:paraId="05C5F6A9" w14:textId="77777777" w:rsidR="00480EE7" w:rsidRPr="00B06468" w:rsidRDefault="00480EE7" w:rsidP="00B06468">
          <w:pPr>
            <w:tabs>
              <w:tab w:val="center" w:pos="4320"/>
              <w:tab w:val="right" w:pos="8640"/>
            </w:tabs>
            <w:spacing w:before="120"/>
            <w:jc w:val="center"/>
            <w:rPr>
              <w:rFonts w:eastAsia="Calibri"/>
              <w:noProof/>
              <w:sz w:val="17"/>
              <w:szCs w:val="20"/>
            </w:rPr>
          </w:pPr>
          <w:r w:rsidRPr="00B06468">
            <w:rPr>
              <w:rFonts w:eastAsia="Calibri"/>
              <w:noProof/>
              <w:sz w:val="17"/>
              <w:szCs w:val="20"/>
            </w:rPr>
            <w:t xml:space="preserve"> </w:t>
          </w:r>
          <w:r w:rsidRPr="00B06468">
            <w:rPr>
              <w:rFonts w:eastAsia="Calibri"/>
              <w:noProof/>
              <w:sz w:val="17"/>
              <w:szCs w:val="20"/>
            </w:rPr>
            <w:drawing>
              <wp:inline distT="0" distB="0" distL="0" distR="0" wp14:anchorId="4883C23D" wp14:editId="01BF68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946360" w14:textId="77777777" w:rsidR="00480EE7" w:rsidRPr="00B06468" w:rsidRDefault="00480EE7" w:rsidP="00B064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szCs w:val="20"/>
              <w:lang w:val="en-GB"/>
            </w:rPr>
          </w:pPr>
          <w:r w:rsidRPr="00B06468">
            <w:rPr>
              <w:rFonts w:eastAsia="Calibri"/>
              <w:b/>
              <w:spacing w:val="-4"/>
              <w:w w:val="98"/>
              <w:kern w:val="14"/>
              <w:sz w:val="34"/>
              <w:szCs w:val="20"/>
              <w:lang w:val="en-GB"/>
            </w:rPr>
            <w:t>Executive Board of the</w:t>
          </w:r>
          <w:r w:rsidRPr="00B06468">
            <w:rPr>
              <w:rFonts w:eastAsia="Calibri"/>
              <w:b/>
              <w:spacing w:val="-4"/>
              <w:w w:val="98"/>
              <w:kern w:val="14"/>
              <w:sz w:val="34"/>
              <w:szCs w:val="20"/>
              <w:lang w:val="en-GB"/>
            </w:rPr>
            <w:br/>
            <w:t>United Nations Development</w:t>
          </w:r>
          <w:r w:rsidRPr="00B06468">
            <w:rPr>
              <w:rFonts w:eastAsia="Calibri"/>
              <w:b/>
              <w:spacing w:val="-4"/>
              <w:w w:val="98"/>
              <w:kern w:val="14"/>
              <w:sz w:val="34"/>
              <w:szCs w:val="20"/>
              <w:lang w:val="en-GB"/>
            </w:rPr>
            <w:br/>
            <w:t>Programme, the United Nations</w:t>
          </w:r>
          <w:r w:rsidRPr="00B06468">
            <w:rPr>
              <w:rFonts w:eastAsia="Calibri"/>
              <w:b/>
              <w:spacing w:val="-4"/>
              <w:w w:val="98"/>
              <w:kern w:val="14"/>
              <w:sz w:val="34"/>
              <w:szCs w:val="20"/>
              <w:lang w:val="en-GB"/>
            </w:rPr>
            <w:br/>
            <w:t xml:space="preserve">Population Fund and the </w:t>
          </w:r>
          <w:r w:rsidRPr="00B06468">
            <w:rPr>
              <w:rFonts w:eastAsia="Calibri"/>
              <w:b/>
              <w:spacing w:val="-4"/>
              <w:w w:val="98"/>
              <w:kern w:val="14"/>
              <w:sz w:val="34"/>
              <w:szCs w:val="20"/>
              <w:lang w:val="en-GB"/>
            </w:rPr>
            <w:br/>
            <w:t>United Nations Office for</w:t>
          </w:r>
          <w:r w:rsidRPr="00B06468">
            <w:rPr>
              <w:rFonts w:eastAsia="Calibri"/>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55B51345" w14:textId="77777777" w:rsidR="00480EE7" w:rsidRPr="00B06468" w:rsidRDefault="00480EE7" w:rsidP="00B06468">
          <w:pPr>
            <w:tabs>
              <w:tab w:val="center" w:pos="4320"/>
              <w:tab w:val="right" w:pos="8640"/>
            </w:tabs>
            <w:spacing w:before="109"/>
            <w:rPr>
              <w:rFonts w:eastAsia="Calibri"/>
              <w:noProof/>
              <w:sz w:val="17"/>
              <w:szCs w:val="20"/>
            </w:rPr>
          </w:pPr>
        </w:p>
      </w:tc>
      <w:tc>
        <w:tcPr>
          <w:tcW w:w="3140" w:type="dxa"/>
          <w:tcBorders>
            <w:top w:val="single" w:sz="4" w:space="0" w:color="auto"/>
            <w:bottom w:val="single" w:sz="12" w:space="0" w:color="auto"/>
          </w:tcBorders>
          <w:shd w:val="clear" w:color="auto" w:fill="auto"/>
        </w:tcPr>
        <w:p w14:paraId="1EB11D27" w14:textId="3BDAC13D" w:rsidR="00480EE7" w:rsidRPr="00B06468" w:rsidRDefault="00480EE7" w:rsidP="00B06468">
          <w:pPr>
            <w:spacing w:before="240"/>
            <w:rPr>
              <w:rFonts w:eastAsia="Calibri"/>
              <w:color w:val="010000"/>
              <w:spacing w:val="4"/>
              <w:w w:val="103"/>
              <w:kern w:val="14"/>
              <w:sz w:val="20"/>
              <w:szCs w:val="20"/>
              <w:lang w:val="en-GB"/>
            </w:rPr>
          </w:pPr>
          <w:r w:rsidRPr="00B06468">
            <w:rPr>
              <w:rFonts w:eastAsia="Calibri"/>
              <w:color w:val="010000"/>
              <w:spacing w:val="4"/>
              <w:w w:val="103"/>
              <w:kern w:val="14"/>
              <w:sz w:val="20"/>
              <w:szCs w:val="20"/>
              <w:lang w:val="en-GB"/>
            </w:rPr>
            <w:t>Distr.: General</w:t>
          </w:r>
          <w:r w:rsidRPr="00B06468">
            <w:rPr>
              <w:rFonts w:eastAsia="Calibri"/>
              <w:color w:val="010000"/>
              <w:spacing w:val="4"/>
              <w:w w:val="103"/>
              <w:kern w:val="14"/>
              <w:sz w:val="20"/>
              <w:szCs w:val="20"/>
              <w:lang w:val="en-GB"/>
            </w:rPr>
            <w:br/>
            <w:t>2</w:t>
          </w:r>
          <w:r>
            <w:rPr>
              <w:rFonts w:eastAsia="Calibri"/>
              <w:color w:val="010000"/>
              <w:spacing w:val="4"/>
              <w:w w:val="103"/>
              <w:kern w:val="14"/>
              <w:sz w:val="20"/>
              <w:szCs w:val="20"/>
              <w:lang w:val="en-GB"/>
            </w:rPr>
            <w:t>3</w:t>
          </w:r>
          <w:r w:rsidRPr="00B06468">
            <w:rPr>
              <w:rFonts w:eastAsia="Calibri"/>
              <w:color w:val="010000"/>
              <w:spacing w:val="4"/>
              <w:w w:val="103"/>
              <w:kern w:val="14"/>
              <w:sz w:val="20"/>
              <w:szCs w:val="20"/>
              <w:lang w:val="en-GB"/>
            </w:rPr>
            <w:t xml:space="preserve"> July 2018</w:t>
          </w:r>
        </w:p>
        <w:p w14:paraId="0BB827E7" w14:textId="77777777" w:rsidR="00480EE7" w:rsidRPr="00B06468" w:rsidRDefault="00480EE7" w:rsidP="00B06468">
          <w:pPr>
            <w:suppressAutoHyphens/>
            <w:spacing w:line="240" w:lineRule="exact"/>
            <w:rPr>
              <w:rFonts w:eastAsia="Calibri"/>
              <w:spacing w:val="4"/>
              <w:w w:val="103"/>
              <w:kern w:val="14"/>
              <w:sz w:val="20"/>
              <w:szCs w:val="20"/>
              <w:lang w:val="en-GB"/>
            </w:rPr>
          </w:pPr>
        </w:p>
        <w:p w14:paraId="32DF8E61" w14:textId="77777777" w:rsidR="00480EE7" w:rsidRPr="00B06468" w:rsidRDefault="00480EE7" w:rsidP="00B06468">
          <w:pPr>
            <w:rPr>
              <w:rFonts w:eastAsia="Calibri"/>
              <w:color w:val="010000"/>
              <w:spacing w:val="4"/>
              <w:w w:val="103"/>
              <w:kern w:val="14"/>
              <w:sz w:val="20"/>
              <w:szCs w:val="20"/>
              <w:lang w:val="en-GB"/>
            </w:rPr>
          </w:pPr>
          <w:r w:rsidRPr="00B06468">
            <w:rPr>
              <w:rFonts w:eastAsia="Calibri"/>
              <w:color w:val="010000"/>
              <w:spacing w:val="4"/>
              <w:w w:val="103"/>
              <w:kern w:val="14"/>
              <w:sz w:val="20"/>
              <w:szCs w:val="20"/>
              <w:lang w:val="en-GB"/>
            </w:rPr>
            <w:t>Original: English</w:t>
          </w:r>
        </w:p>
        <w:p w14:paraId="4565E153" w14:textId="77777777" w:rsidR="00480EE7" w:rsidRPr="00B06468" w:rsidRDefault="00480EE7" w:rsidP="00B06468">
          <w:pPr>
            <w:suppressAutoHyphens/>
            <w:spacing w:line="240" w:lineRule="exact"/>
            <w:rPr>
              <w:rFonts w:eastAsia="Calibri"/>
              <w:spacing w:val="4"/>
              <w:w w:val="103"/>
              <w:kern w:val="14"/>
              <w:sz w:val="20"/>
              <w:szCs w:val="20"/>
              <w:lang w:val="en-GB"/>
            </w:rPr>
          </w:pPr>
        </w:p>
      </w:tc>
    </w:tr>
  </w:tbl>
  <w:p w14:paraId="02D73998" w14:textId="77777777" w:rsidR="00480EE7" w:rsidRDefault="00480EE7"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0" w:type="dxa"/>
      <w:tblInd w:w="-8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72"/>
    </w:tblGrid>
    <w:tr w:rsidR="00480EE7" w:rsidRPr="00B06468" w14:paraId="6BCD7D4B" w14:textId="77777777" w:rsidTr="00B06468">
      <w:trPr>
        <w:trHeight w:hRule="exact" w:val="864"/>
      </w:trPr>
      <w:tc>
        <w:tcPr>
          <w:tcW w:w="4838" w:type="dxa"/>
          <w:shd w:val="clear" w:color="auto" w:fill="auto"/>
          <w:vAlign w:val="bottom"/>
        </w:tcPr>
        <w:p w14:paraId="4937D157" w14:textId="77777777" w:rsidR="00480EE7" w:rsidRPr="00B06468" w:rsidRDefault="00480EE7" w:rsidP="00B06468">
          <w:pPr>
            <w:tabs>
              <w:tab w:val="center" w:pos="4320"/>
              <w:tab w:val="right" w:pos="8640"/>
            </w:tabs>
            <w:suppressAutoHyphens/>
            <w:spacing w:after="80"/>
            <w:rPr>
              <w:rFonts w:eastAsia="Calibri"/>
              <w:b/>
              <w:noProof/>
              <w:spacing w:val="4"/>
              <w:w w:val="103"/>
              <w:kern w:val="14"/>
              <w:sz w:val="17"/>
              <w:szCs w:val="20"/>
            </w:rPr>
          </w:pPr>
          <w:r w:rsidRPr="00B06468">
            <w:rPr>
              <w:rFonts w:eastAsia="Calibri"/>
              <w:b/>
              <w:noProof/>
              <w:spacing w:val="4"/>
              <w:w w:val="103"/>
              <w:kern w:val="14"/>
              <w:sz w:val="17"/>
              <w:szCs w:val="20"/>
            </w:rPr>
            <w:t>DP/2018/2</w:t>
          </w:r>
          <w:r>
            <w:rPr>
              <w:rFonts w:eastAsia="Calibri"/>
              <w:b/>
              <w:noProof/>
              <w:spacing w:val="4"/>
              <w:w w:val="103"/>
              <w:kern w:val="14"/>
              <w:sz w:val="17"/>
              <w:szCs w:val="20"/>
            </w:rPr>
            <w:t>6</w:t>
          </w:r>
        </w:p>
      </w:tc>
      <w:tc>
        <w:tcPr>
          <w:tcW w:w="9472" w:type="dxa"/>
          <w:shd w:val="clear" w:color="auto" w:fill="auto"/>
          <w:vAlign w:val="bottom"/>
        </w:tcPr>
        <w:p w14:paraId="7D66CCD8" w14:textId="77777777" w:rsidR="00480EE7" w:rsidRPr="00B06468" w:rsidRDefault="00480EE7" w:rsidP="00B06468">
          <w:pPr>
            <w:tabs>
              <w:tab w:val="center" w:pos="4320"/>
              <w:tab w:val="right" w:pos="8640"/>
            </w:tabs>
            <w:suppressAutoHyphens/>
            <w:rPr>
              <w:rFonts w:eastAsia="Calibri"/>
              <w:noProof/>
              <w:spacing w:val="4"/>
              <w:w w:val="103"/>
              <w:kern w:val="14"/>
              <w:sz w:val="17"/>
              <w:szCs w:val="20"/>
            </w:rPr>
          </w:pPr>
        </w:p>
      </w:tc>
    </w:tr>
  </w:tbl>
  <w:p w14:paraId="454C85C8" w14:textId="77777777" w:rsidR="00480EE7" w:rsidRPr="00B06468" w:rsidRDefault="00480EE7">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0" w:type="dxa"/>
      <w:tblInd w:w="-9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72"/>
    </w:tblGrid>
    <w:tr w:rsidR="00480EE7" w:rsidRPr="00B06468" w14:paraId="12A54F73" w14:textId="77777777" w:rsidTr="00B06468">
      <w:trPr>
        <w:trHeight w:hRule="exact" w:val="864"/>
      </w:trPr>
      <w:tc>
        <w:tcPr>
          <w:tcW w:w="4838" w:type="dxa"/>
          <w:shd w:val="clear" w:color="auto" w:fill="auto"/>
          <w:vAlign w:val="bottom"/>
        </w:tcPr>
        <w:p w14:paraId="61090E55" w14:textId="77777777" w:rsidR="00480EE7" w:rsidRPr="00B06468" w:rsidRDefault="00480EE7" w:rsidP="00B06468">
          <w:pPr>
            <w:tabs>
              <w:tab w:val="center" w:pos="4320"/>
              <w:tab w:val="right" w:pos="8640"/>
            </w:tabs>
            <w:suppressAutoHyphens/>
            <w:rPr>
              <w:rFonts w:eastAsia="Calibri"/>
              <w:noProof/>
              <w:spacing w:val="4"/>
              <w:w w:val="103"/>
              <w:kern w:val="14"/>
              <w:sz w:val="17"/>
              <w:szCs w:val="20"/>
            </w:rPr>
          </w:pPr>
        </w:p>
      </w:tc>
      <w:tc>
        <w:tcPr>
          <w:tcW w:w="9472" w:type="dxa"/>
          <w:shd w:val="clear" w:color="auto" w:fill="auto"/>
          <w:vAlign w:val="bottom"/>
        </w:tcPr>
        <w:p w14:paraId="3377B69C" w14:textId="77777777" w:rsidR="00480EE7" w:rsidRPr="00B06468" w:rsidRDefault="00480EE7" w:rsidP="00B06468">
          <w:pPr>
            <w:tabs>
              <w:tab w:val="center" w:pos="4320"/>
              <w:tab w:val="right" w:pos="8640"/>
            </w:tabs>
            <w:suppressAutoHyphens/>
            <w:spacing w:after="80"/>
            <w:jc w:val="right"/>
            <w:rPr>
              <w:rFonts w:eastAsia="Calibri"/>
              <w:b/>
              <w:noProof/>
              <w:spacing w:val="4"/>
              <w:w w:val="103"/>
              <w:kern w:val="14"/>
              <w:sz w:val="17"/>
              <w:szCs w:val="20"/>
              <w:highlight w:val="yellow"/>
            </w:rPr>
          </w:pPr>
          <w:r w:rsidRPr="00B06468">
            <w:rPr>
              <w:rFonts w:eastAsia="Calibri"/>
              <w:b/>
              <w:noProof/>
              <w:spacing w:val="4"/>
              <w:w w:val="103"/>
              <w:kern w:val="14"/>
              <w:sz w:val="17"/>
              <w:szCs w:val="20"/>
            </w:rPr>
            <w:t>DP/2018/2</w:t>
          </w:r>
          <w:r>
            <w:rPr>
              <w:rFonts w:eastAsia="Calibri"/>
              <w:b/>
              <w:noProof/>
              <w:spacing w:val="4"/>
              <w:w w:val="103"/>
              <w:kern w:val="14"/>
              <w:sz w:val="17"/>
              <w:szCs w:val="20"/>
            </w:rPr>
            <w:t>6</w:t>
          </w:r>
        </w:p>
      </w:tc>
    </w:tr>
  </w:tbl>
  <w:p w14:paraId="6AE59AE8" w14:textId="77777777" w:rsidR="00480EE7" w:rsidRPr="00B06468" w:rsidRDefault="00480EE7">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9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562"/>
    </w:tblGrid>
    <w:tr w:rsidR="00480EE7" w:rsidRPr="00B06468" w14:paraId="33D0CE27" w14:textId="77777777" w:rsidTr="00B06468">
      <w:trPr>
        <w:trHeight w:hRule="exact" w:val="864"/>
      </w:trPr>
      <w:tc>
        <w:tcPr>
          <w:tcW w:w="4838" w:type="dxa"/>
          <w:shd w:val="clear" w:color="auto" w:fill="auto"/>
          <w:vAlign w:val="bottom"/>
        </w:tcPr>
        <w:p w14:paraId="0F3A2A8C" w14:textId="77777777" w:rsidR="00480EE7" w:rsidRPr="00B06468" w:rsidRDefault="00480EE7" w:rsidP="00B06468">
          <w:pPr>
            <w:tabs>
              <w:tab w:val="center" w:pos="4320"/>
              <w:tab w:val="right" w:pos="8640"/>
            </w:tabs>
            <w:suppressAutoHyphens/>
            <w:rPr>
              <w:rFonts w:eastAsia="Calibri"/>
              <w:noProof/>
              <w:spacing w:val="4"/>
              <w:w w:val="103"/>
              <w:kern w:val="14"/>
              <w:sz w:val="17"/>
              <w:szCs w:val="20"/>
            </w:rPr>
          </w:pPr>
        </w:p>
      </w:tc>
      <w:tc>
        <w:tcPr>
          <w:tcW w:w="9562" w:type="dxa"/>
          <w:shd w:val="clear" w:color="auto" w:fill="auto"/>
          <w:vAlign w:val="bottom"/>
        </w:tcPr>
        <w:p w14:paraId="457EFD86" w14:textId="77777777" w:rsidR="00480EE7" w:rsidRPr="00B06468" w:rsidRDefault="00480EE7" w:rsidP="00B06468">
          <w:pPr>
            <w:tabs>
              <w:tab w:val="center" w:pos="4320"/>
              <w:tab w:val="right" w:pos="8640"/>
            </w:tabs>
            <w:suppressAutoHyphens/>
            <w:spacing w:after="80"/>
            <w:jc w:val="right"/>
            <w:rPr>
              <w:rFonts w:eastAsia="Calibri"/>
              <w:b/>
              <w:noProof/>
              <w:spacing w:val="4"/>
              <w:w w:val="103"/>
              <w:kern w:val="14"/>
              <w:sz w:val="17"/>
              <w:szCs w:val="20"/>
              <w:highlight w:val="yellow"/>
            </w:rPr>
          </w:pPr>
          <w:r w:rsidRPr="00B06468">
            <w:rPr>
              <w:rFonts w:eastAsia="Calibri"/>
              <w:b/>
              <w:noProof/>
              <w:spacing w:val="4"/>
              <w:w w:val="103"/>
              <w:kern w:val="14"/>
              <w:sz w:val="17"/>
              <w:szCs w:val="20"/>
            </w:rPr>
            <w:t>DP/2018/2</w:t>
          </w:r>
          <w:r>
            <w:rPr>
              <w:rFonts w:eastAsia="Calibri"/>
              <w:b/>
              <w:noProof/>
              <w:spacing w:val="4"/>
              <w:w w:val="103"/>
              <w:kern w:val="14"/>
              <w:sz w:val="17"/>
              <w:szCs w:val="20"/>
            </w:rPr>
            <w:t>6</w:t>
          </w:r>
        </w:p>
      </w:tc>
    </w:tr>
  </w:tbl>
  <w:p w14:paraId="64DD87EA" w14:textId="77777777" w:rsidR="00480EE7" w:rsidRDefault="00480EE7"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64B"/>
    <w:multiLevelType w:val="hybridMultilevel"/>
    <w:tmpl w:val="3674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2" w15:restartNumberingAfterBreak="0">
    <w:nsid w:val="0A3537C8"/>
    <w:multiLevelType w:val="hybridMultilevel"/>
    <w:tmpl w:val="8E166A96"/>
    <w:lvl w:ilvl="0" w:tplc="3CA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30A4D"/>
    <w:multiLevelType w:val="hybridMultilevel"/>
    <w:tmpl w:val="64380D12"/>
    <w:lvl w:ilvl="0" w:tplc="7122C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F0365"/>
    <w:multiLevelType w:val="hybridMultilevel"/>
    <w:tmpl w:val="098C791E"/>
    <w:lvl w:ilvl="0" w:tplc="F0823F46">
      <w:start w:val="1"/>
      <w:numFmt w:val="lowerLetter"/>
      <w:lvlText w:val="(%1)"/>
      <w:lvlJc w:val="left"/>
      <w:pPr>
        <w:ind w:left="1800" w:hanging="360"/>
      </w:pPr>
      <w:rPr>
        <w:rFonts w:ascii="Times New Roman" w:hAnsi="Times New Roman" w:cs="Times New Roman"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A3455"/>
    <w:multiLevelType w:val="hybridMultilevel"/>
    <w:tmpl w:val="B0820516"/>
    <w:lvl w:ilvl="0" w:tplc="9DAAEEA4">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565BD8"/>
    <w:multiLevelType w:val="hybridMultilevel"/>
    <w:tmpl w:val="8AC0513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9FB61D8"/>
    <w:multiLevelType w:val="hybridMultilevel"/>
    <w:tmpl w:val="0F0CB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num>
  <w:num w:numId="8">
    <w:abstractNumId w:val="1"/>
    <w:lvlOverride w:ilvl="0">
      <w:startOverride w:val="1"/>
    </w:lvlOverride>
  </w:num>
  <w:num w:numId="9">
    <w:abstractNumId w:val="1"/>
  </w:num>
  <w:num w:numId="10">
    <w:abstractNumId w:val="0"/>
  </w:num>
  <w:num w:numId="11">
    <w:abstractNumId w:val="2"/>
  </w:num>
  <w:num w:numId="12">
    <w:abstractNumId w:val="4"/>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06227*"/>
    <w:docVar w:name="jobn" w:val="17-06227 (E)"/>
    <w:docVar w:name="JobNo" w:val="1706227E"/>
    <w:docVar w:name="ODSRefJobNo" w:val="1710650E"/>
    <w:docVar w:name="sss1" w:val="DP/2017/22"/>
    <w:docVar w:name="sss2" w:val="-"/>
  </w:docVars>
  <w:rsids>
    <w:rsidRoot w:val="00F206D9"/>
    <w:rsid w:val="0000053B"/>
    <w:rsid w:val="00000D28"/>
    <w:rsid w:val="00000E95"/>
    <w:rsid w:val="00000EAA"/>
    <w:rsid w:val="0000129D"/>
    <w:rsid w:val="00001903"/>
    <w:rsid w:val="0000277B"/>
    <w:rsid w:val="0000359C"/>
    <w:rsid w:val="00007AD0"/>
    <w:rsid w:val="00010993"/>
    <w:rsid w:val="00011288"/>
    <w:rsid w:val="000115A9"/>
    <w:rsid w:val="00011E88"/>
    <w:rsid w:val="00014B3D"/>
    <w:rsid w:val="00016027"/>
    <w:rsid w:val="00016455"/>
    <w:rsid w:val="000202C2"/>
    <w:rsid w:val="00020626"/>
    <w:rsid w:val="0002223F"/>
    <w:rsid w:val="00022921"/>
    <w:rsid w:val="00022D0E"/>
    <w:rsid w:val="0002392B"/>
    <w:rsid w:val="000249F1"/>
    <w:rsid w:val="00025811"/>
    <w:rsid w:val="00025D6A"/>
    <w:rsid w:val="0002606D"/>
    <w:rsid w:val="000268A2"/>
    <w:rsid w:val="00026BC9"/>
    <w:rsid w:val="00030C4D"/>
    <w:rsid w:val="00032F0E"/>
    <w:rsid w:val="00033872"/>
    <w:rsid w:val="000362AA"/>
    <w:rsid w:val="0003733C"/>
    <w:rsid w:val="00037D6A"/>
    <w:rsid w:val="000422C2"/>
    <w:rsid w:val="00042E60"/>
    <w:rsid w:val="00043209"/>
    <w:rsid w:val="00044195"/>
    <w:rsid w:val="000452B1"/>
    <w:rsid w:val="000476AC"/>
    <w:rsid w:val="000506DD"/>
    <w:rsid w:val="0005113F"/>
    <w:rsid w:val="00051310"/>
    <w:rsid w:val="000514CD"/>
    <w:rsid w:val="000515B7"/>
    <w:rsid w:val="00052CDC"/>
    <w:rsid w:val="000546E4"/>
    <w:rsid w:val="00055CBF"/>
    <w:rsid w:val="0006000B"/>
    <w:rsid w:val="00060627"/>
    <w:rsid w:val="00066F0C"/>
    <w:rsid w:val="00066FD0"/>
    <w:rsid w:val="000677A9"/>
    <w:rsid w:val="000701BE"/>
    <w:rsid w:val="000702F2"/>
    <w:rsid w:val="00073A09"/>
    <w:rsid w:val="00075308"/>
    <w:rsid w:val="0007653F"/>
    <w:rsid w:val="00077C91"/>
    <w:rsid w:val="00080E25"/>
    <w:rsid w:val="00080E48"/>
    <w:rsid w:val="000816E1"/>
    <w:rsid w:val="00082355"/>
    <w:rsid w:val="000824D3"/>
    <w:rsid w:val="00082854"/>
    <w:rsid w:val="0008299C"/>
    <w:rsid w:val="000846C9"/>
    <w:rsid w:val="0008741E"/>
    <w:rsid w:val="00087652"/>
    <w:rsid w:val="00090D25"/>
    <w:rsid w:val="000910FB"/>
    <w:rsid w:val="00091256"/>
    <w:rsid w:val="0009202B"/>
    <w:rsid w:val="000920B2"/>
    <w:rsid w:val="00092C16"/>
    <w:rsid w:val="0009326E"/>
    <w:rsid w:val="00094192"/>
    <w:rsid w:val="000960DE"/>
    <w:rsid w:val="000A0780"/>
    <w:rsid w:val="000A1680"/>
    <w:rsid w:val="000A1939"/>
    <w:rsid w:val="000A3615"/>
    <w:rsid w:val="000A38E3"/>
    <w:rsid w:val="000A419E"/>
    <w:rsid w:val="000A43F3"/>
    <w:rsid w:val="000A62B4"/>
    <w:rsid w:val="000A74EB"/>
    <w:rsid w:val="000A7BFF"/>
    <w:rsid w:val="000A7C33"/>
    <w:rsid w:val="000B17F6"/>
    <w:rsid w:val="000B28A8"/>
    <w:rsid w:val="000B2E77"/>
    <w:rsid w:val="000B3017"/>
    <w:rsid w:val="000B328F"/>
    <w:rsid w:val="000B382E"/>
    <w:rsid w:val="000B4535"/>
    <w:rsid w:val="000B64A2"/>
    <w:rsid w:val="000C0C40"/>
    <w:rsid w:val="000C0FE0"/>
    <w:rsid w:val="000C6A65"/>
    <w:rsid w:val="000C7680"/>
    <w:rsid w:val="000C7F70"/>
    <w:rsid w:val="000D0468"/>
    <w:rsid w:val="000D0835"/>
    <w:rsid w:val="000D107C"/>
    <w:rsid w:val="000D24EE"/>
    <w:rsid w:val="000D26A3"/>
    <w:rsid w:val="000D345E"/>
    <w:rsid w:val="000D48DF"/>
    <w:rsid w:val="000D51DB"/>
    <w:rsid w:val="000D53FA"/>
    <w:rsid w:val="000D55F9"/>
    <w:rsid w:val="000D5C40"/>
    <w:rsid w:val="000D5C8F"/>
    <w:rsid w:val="000D7238"/>
    <w:rsid w:val="000E0E4F"/>
    <w:rsid w:val="000E1B60"/>
    <w:rsid w:val="000E3674"/>
    <w:rsid w:val="000E3E59"/>
    <w:rsid w:val="000E4EF9"/>
    <w:rsid w:val="000E4F67"/>
    <w:rsid w:val="000E5F18"/>
    <w:rsid w:val="000E6A47"/>
    <w:rsid w:val="000E6DA2"/>
    <w:rsid w:val="000F0356"/>
    <w:rsid w:val="000F32D6"/>
    <w:rsid w:val="000F4AE7"/>
    <w:rsid w:val="000F4CCB"/>
    <w:rsid w:val="000F5098"/>
    <w:rsid w:val="000F56DD"/>
    <w:rsid w:val="000F6294"/>
    <w:rsid w:val="000F6EB1"/>
    <w:rsid w:val="000F73B7"/>
    <w:rsid w:val="000F7448"/>
    <w:rsid w:val="000F7D3D"/>
    <w:rsid w:val="0010035C"/>
    <w:rsid w:val="00100C88"/>
    <w:rsid w:val="001019A3"/>
    <w:rsid w:val="00101BA4"/>
    <w:rsid w:val="00103914"/>
    <w:rsid w:val="001046C3"/>
    <w:rsid w:val="0010486E"/>
    <w:rsid w:val="001064C7"/>
    <w:rsid w:val="001105D8"/>
    <w:rsid w:val="00111095"/>
    <w:rsid w:val="0011134E"/>
    <w:rsid w:val="00111C05"/>
    <w:rsid w:val="001130E3"/>
    <w:rsid w:val="001131FE"/>
    <w:rsid w:val="001203C8"/>
    <w:rsid w:val="00121388"/>
    <w:rsid w:val="00121652"/>
    <w:rsid w:val="001216F3"/>
    <w:rsid w:val="00122267"/>
    <w:rsid w:val="0012252D"/>
    <w:rsid w:val="00125260"/>
    <w:rsid w:val="0012578E"/>
    <w:rsid w:val="00127335"/>
    <w:rsid w:val="00131B81"/>
    <w:rsid w:val="00132097"/>
    <w:rsid w:val="001330EF"/>
    <w:rsid w:val="001336BB"/>
    <w:rsid w:val="00135924"/>
    <w:rsid w:val="00137B09"/>
    <w:rsid w:val="00140FB2"/>
    <w:rsid w:val="001418AF"/>
    <w:rsid w:val="00141C51"/>
    <w:rsid w:val="00143DC1"/>
    <w:rsid w:val="00144802"/>
    <w:rsid w:val="00144D25"/>
    <w:rsid w:val="00144E68"/>
    <w:rsid w:val="00145137"/>
    <w:rsid w:val="00145399"/>
    <w:rsid w:val="00145F28"/>
    <w:rsid w:val="001516BF"/>
    <w:rsid w:val="00151C87"/>
    <w:rsid w:val="001525F3"/>
    <w:rsid w:val="00153622"/>
    <w:rsid w:val="00153756"/>
    <w:rsid w:val="001540A4"/>
    <w:rsid w:val="00154D6A"/>
    <w:rsid w:val="00154DB4"/>
    <w:rsid w:val="00156549"/>
    <w:rsid w:val="00156EEB"/>
    <w:rsid w:val="001577E1"/>
    <w:rsid w:val="001605CB"/>
    <w:rsid w:val="00161927"/>
    <w:rsid w:val="00162CD1"/>
    <w:rsid w:val="001634A8"/>
    <w:rsid w:val="0016387D"/>
    <w:rsid w:val="00164099"/>
    <w:rsid w:val="0016675C"/>
    <w:rsid w:val="00167112"/>
    <w:rsid w:val="00167316"/>
    <w:rsid w:val="00167577"/>
    <w:rsid w:val="001702A7"/>
    <w:rsid w:val="001704D6"/>
    <w:rsid w:val="00171957"/>
    <w:rsid w:val="00172009"/>
    <w:rsid w:val="0017256C"/>
    <w:rsid w:val="0017392E"/>
    <w:rsid w:val="00174BC7"/>
    <w:rsid w:val="001802AF"/>
    <w:rsid w:val="001806B4"/>
    <w:rsid w:val="001809FF"/>
    <w:rsid w:val="001811FB"/>
    <w:rsid w:val="00181923"/>
    <w:rsid w:val="0018263C"/>
    <w:rsid w:val="00182781"/>
    <w:rsid w:val="00182842"/>
    <w:rsid w:val="00182C30"/>
    <w:rsid w:val="0018344B"/>
    <w:rsid w:val="00183F13"/>
    <w:rsid w:val="00184B99"/>
    <w:rsid w:val="0018647A"/>
    <w:rsid w:val="001870DA"/>
    <w:rsid w:val="00190523"/>
    <w:rsid w:val="0019289F"/>
    <w:rsid w:val="00192AD8"/>
    <w:rsid w:val="00193403"/>
    <w:rsid w:val="00193502"/>
    <w:rsid w:val="0019361C"/>
    <w:rsid w:val="001939CA"/>
    <w:rsid w:val="00194524"/>
    <w:rsid w:val="001946AD"/>
    <w:rsid w:val="00196D1C"/>
    <w:rsid w:val="00197886"/>
    <w:rsid w:val="001A0309"/>
    <w:rsid w:val="001A0469"/>
    <w:rsid w:val="001A079E"/>
    <w:rsid w:val="001A0A7D"/>
    <w:rsid w:val="001A0E1A"/>
    <w:rsid w:val="001A19E1"/>
    <w:rsid w:val="001A299C"/>
    <w:rsid w:val="001A3460"/>
    <w:rsid w:val="001A54D7"/>
    <w:rsid w:val="001A5719"/>
    <w:rsid w:val="001A583B"/>
    <w:rsid w:val="001A65E2"/>
    <w:rsid w:val="001A69C1"/>
    <w:rsid w:val="001A7077"/>
    <w:rsid w:val="001B0332"/>
    <w:rsid w:val="001B14C2"/>
    <w:rsid w:val="001B3E05"/>
    <w:rsid w:val="001B5761"/>
    <w:rsid w:val="001B5C8C"/>
    <w:rsid w:val="001B6802"/>
    <w:rsid w:val="001B76E1"/>
    <w:rsid w:val="001B7D84"/>
    <w:rsid w:val="001C0001"/>
    <w:rsid w:val="001C032A"/>
    <w:rsid w:val="001C114B"/>
    <w:rsid w:val="001C119B"/>
    <w:rsid w:val="001C4D25"/>
    <w:rsid w:val="001C4F8E"/>
    <w:rsid w:val="001C5887"/>
    <w:rsid w:val="001C61E7"/>
    <w:rsid w:val="001C6312"/>
    <w:rsid w:val="001C6701"/>
    <w:rsid w:val="001C6751"/>
    <w:rsid w:val="001C79F6"/>
    <w:rsid w:val="001D0DE3"/>
    <w:rsid w:val="001D16EF"/>
    <w:rsid w:val="001D20C4"/>
    <w:rsid w:val="001D2882"/>
    <w:rsid w:val="001D391A"/>
    <w:rsid w:val="001D4D44"/>
    <w:rsid w:val="001D4EDB"/>
    <w:rsid w:val="001D5641"/>
    <w:rsid w:val="001D5932"/>
    <w:rsid w:val="001D59B0"/>
    <w:rsid w:val="001D6489"/>
    <w:rsid w:val="001D79C8"/>
    <w:rsid w:val="001E096E"/>
    <w:rsid w:val="001E0FD5"/>
    <w:rsid w:val="001E359F"/>
    <w:rsid w:val="001E37AB"/>
    <w:rsid w:val="001E3C16"/>
    <w:rsid w:val="001E4335"/>
    <w:rsid w:val="001E5A8D"/>
    <w:rsid w:val="001E68D3"/>
    <w:rsid w:val="001E7A10"/>
    <w:rsid w:val="001E7A58"/>
    <w:rsid w:val="001E7EC8"/>
    <w:rsid w:val="001F0ACB"/>
    <w:rsid w:val="001F0F71"/>
    <w:rsid w:val="001F1D99"/>
    <w:rsid w:val="001F1E6C"/>
    <w:rsid w:val="001F4594"/>
    <w:rsid w:val="001F59DD"/>
    <w:rsid w:val="001F5B59"/>
    <w:rsid w:val="001F5D96"/>
    <w:rsid w:val="001F5FCA"/>
    <w:rsid w:val="001F6B82"/>
    <w:rsid w:val="002011F9"/>
    <w:rsid w:val="00203BA6"/>
    <w:rsid w:val="00203FFD"/>
    <w:rsid w:val="00204409"/>
    <w:rsid w:val="002076C5"/>
    <w:rsid w:val="00207C63"/>
    <w:rsid w:val="00210649"/>
    <w:rsid w:val="00210D43"/>
    <w:rsid w:val="0021148A"/>
    <w:rsid w:val="00211858"/>
    <w:rsid w:val="002129B6"/>
    <w:rsid w:val="0021375B"/>
    <w:rsid w:val="00214228"/>
    <w:rsid w:val="00214F18"/>
    <w:rsid w:val="0021592A"/>
    <w:rsid w:val="00217094"/>
    <w:rsid w:val="00221FE1"/>
    <w:rsid w:val="00224672"/>
    <w:rsid w:val="00224ED6"/>
    <w:rsid w:val="00225210"/>
    <w:rsid w:val="0022648D"/>
    <w:rsid w:val="00226FB6"/>
    <w:rsid w:val="0022756D"/>
    <w:rsid w:val="0022765A"/>
    <w:rsid w:val="00231951"/>
    <w:rsid w:val="00231A5B"/>
    <w:rsid w:val="00231FCC"/>
    <w:rsid w:val="00233436"/>
    <w:rsid w:val="00233D01"/>
    <w:rsid w:val="00233F12"/>
    <w:rsid w:val="00234932"/>
    <w:rsid w:val="00236286"/>
    <w:rsid w:val="0023638A"/>
    <w:rsid w:val="00236924"/>
    <w:rsid w:val="0023752C"/>
    <w:rsid w:val="002376A4"/>
    <w:rsid w:val="00237E55"/>
    <w:rsid w:val="00240C70"/>
    <w:rsid w:val="00240C97"/>
    <w:rsid w:val="002417CE"/>
    <w:rsid w:val="00242026"/>
    <w:rsid w:val="00242154"/>
    <w:rsid w:val="00242400"/>
    <w:rsid w:val="00245952"/>
    <w:rsid w:val="002459EC"/>
    <w:rsid w:val="00245A73"/>
    <w:rsid w:val="002462DD"/>
    <w:rsid w:val="00246A4F"/>
    <w:rsid w:val="002475CB"/>
    <w:rsid w:val="0025024E"/>
    <w:rsid w:val="00250443"/>
    <w:rsid w:val="0025094F"/>
    <w:rsid w:val="002515F1"/>
    <w:rsid w:val="00252589"/>
    <w:rsid w:val="00252C21"/>
    <w:rsid w:val="00253D75"/>
    <w:rsid w:val="002561A8"/>
    <w:rsid w:val="00260855"/>
    <w:rsid w:val="00260FE7"/>
    <w:rsid w:val="00261471"/>
    <w:rsid w:val="00262141"/>
    <w:rsid w:val="00264881"/>
    <w:rsid w:val="00265B3F"/>
    <w:rsid w:val="002667C3"/>
    <w:rsid w:val="00271B37"/>
    <w:rsid w:val="00273CB3"/>
    <w:rsid w:val="00274879"/>
    <w:rsid w:val="002756B9"/>
    <w:rsid w:val="00276F1C"/>
    <w:rsid w:val="0028007C"/>
    <w:rsid w:val="00283170"/>
    <w:rsid w:val="00283371"/>
    <w:rsid w:val="002854AE"/>
    <w:rsid w:val="00286468"/>
    <w:rsid w:val="00286FE9"/>
    <w:rsid w:val="002905EA"/>
    <w:rsid w:val="00291A7C"/>
    <w:rsid w:val="002929FA"/>
    <w:rsid w:val="002935C3"/>
    <w:rsid w:val="002938B1"/>
    <w:rsid w:val="00293E3C"/>
    <w:rsid w:val="00294C42"/>
    <w:rsid w:val="00297413"/>
    <w:rsid w:val="002979FA"/>
    <w:rsid w:val="002A00F5"/>
    <w:rsid w:val="002A0300"/>
    <w:rsid w:val="002A0677"/>
    <w:rsid w:val="002A0A9C"/>
    <w:rsid w:val="002A21C1"/>
    <w:rsid w:val="002A3E79"/>
    <w:rsid w:val="002A4946"/>
    <w:rsid w:val="002A650F"/>
    <w:rsid w:val="002A66D5"/>
    <w:rsid w:val="002B05CD"/>
    <w:rsid w:val="002B135A"/>
    <w:rsid w:val="002B342B"/>
    <w:rsid w:val="002B5B16"/>
    <w:rsid w:val="002B67B9"/>
    <w:rsid w:val="002C0D38"/>
    <w:rsid w:val="002C1B13"/>
    <w:rsid w:val="002C1F5A"/>
    <w:rsid w:val="002C2572"/>
    <w:rsid w:val="002C3186"/>
    <w:rsid w:val="002C66EE"/>
    <w:rsid w:val="002C6905"/>
    <w:rsid w:val="002C697E"/>
    <w:rsid w:val="002C7F7B"/>
    <w:rsid w:val="002D09E0"/>
    <w:rsid w:val="002D102B"/>
    <w:rsid w:val="002D1991"/>
    <w:rsid w:val="002D2153"/>
    <w:rsid w:val="002D225F"/>
    <w:rsid w:val="002D28FE"/>
    <w:rsid w:val="002D31DA"/>
    <w:rsid w:val="002D3B3C"/>
    <w:rsid w:val="002D4140"/>
    <w:rsid w:val="002D421E"/>
    <w:rsid w:val="002D449B"/>
    <w:rsid w:val="002D7799"/>
    <w:rsid w:val="002E0037"/>
    <w:rsid w:val="002E0774"/>
    <w:rsid w:val="002E0B54"/>
    <w:rsid w:val="002E0D9A"/>
    <w:rsid w:val="002E229A"/>
    <w:rsid w:val="002E2602"/>
    <w:rsid w:val="002E2ADC"/>
    <w:rsid w:val="002E37AE"/>
    <w:rsid w:val="002E3FD2"/>
    <w:rsid w:val="002E6179"/>
    <w:rsid w:val="002E6D44"/>
    <w:rsid w:val="002E7D6C"/>
    <w:rsid w:val="002F179A"/>
    <w:rsid w:val="002F385D"/>
    <w:rsid w:val="002F4D2B"/>
    <w:rsid w:val="002F608E"/>
    <w:rsid w:val="002F737F"/>
    <w:rsid w:val="00301A0E"/>
    <w:rsid w:val="00301A23"/>
    <w:rsid w:val="00302484"/>
    <w:rsid w:val="003026C9"/>
    <w:rsid w:val="00302DA2"/>
    <w:rsid w:val="00303613"/>
    <w:rsid w:val="003049E8"/>
    <w:rsid w:val="00304F82"/>
    <w:rsid w:val="0031031A"/>
    <w:rsid w:val="00310C69"/>
    <w:rsid w:val="00310D7C"/>
    <w:rsid w:val="0031238B"/>
    <w:rsid w:val="0031347A"/>
    <w:rsid w:val="00313B54"/>
    <w:rsid w:val="00314977"/>
    <w:rsid w:val="00314C5A"/>
    <w:rsid w:val="00314D37"/>
    <w:rsid w:val="00315596"/>
    <w:rsid w:val="003162DB"/>
    <w:rsid w:val="00317BD1"/>
    <w:rsid w:val="00317DED"/>
    <w:rsid w:val="00317E48"/>
    <w:rsid w:val="00323042"/>
    <w:rsid w:val="0032316C"/>
    <w:rsid w:val="00324BB0"/>
    <w:rsid w:val="00324EE4"/>
    <w:rsid w:val="0032542D"/>
    <w:rsid w:val="00325A84"/>
    <w:rsid w:val="00325F8B"/>
    <w:rsid w:val="0032742E"/>
    <w:rsid w:val="00330EE6"/>
    <w:rsid w:val="00331E86"/>
    <w:rsid w:val="00332562"/>
    <w:rsid w:val="00332DFB"/>
    <w:rsid w:val="00334A23"/>
    <w:rsid w:val="00334D69"/>
    <w:rsid w:val="00337EE7"/>
    <w:rsid w:val="003420D5"/>
    <w:rsid w:val="00342398"/>
    <w:rsid w:val="00342AB1"/>
    <w:rsid w:val="00343431"/>
    <w:rsid w:val="00345171"/>
    <w:rsid w:val="00346F69"/>
    <w:rsid w:val="0035036D"/>
    <w:rsid w:val="00350920"/>
    <w:rsid w:val="00350E14"/>
    <w:rsid w:val="0035249C"/>
    <w:rsid w:val="003525B1"/>
    <w:rsid w:val="003531F9"/>
    <w:rsid w:val="00354195"/>
    <w:rsid w:val="00354A1F"/>
    <w:rsid w:val="0035506B"/>
    <w:rsid w:val="00355DC4"/>
    <w:rsid w:val="003568B2"/>
    <w:rsid w:val="00360129"/>
    <w:rsid w:val="00360EB7"/>
    <w:rsid w:val="00362254"/>
    <w:rsid w:val="003635B9"/>
    <w:rsid w:val="003648E3"/>
    <w:rsid w:val="0036591A"/>
    <w:rsid w:val="00366956"/>
    <w:rsid w:val="00366F55"/>
    <w:rsid w:val="00367076"/>
    <w:rsid w:val="00367FF3"/>
    <w:rsid w:val="00370174"/>
    <w:rsid w:val="00372943"/>
    <w:rsid w:val="0037786D"/>
    <w:rsid w:val="003814B7"/>
    <w:rsid w:val="00382036"/>
    <w:rsid w:val="0038304A"/>
    <w:rsid w:val="00383754"/>
    <w:rsid w:val="00383FC9"/>
    <w:rsid w:val="0038413E"/>
    <w:rsid w:val="00384A81"/>
    <w:rsid w:val="00385550"/>
    <w:rsid w:val="00386E5E"/>
    <w:rsid w:val="00390DC7"/>
    <w:rsid w:val="003912BF"/>
    <w:rsid w:val="00391CBC"/>
    <w:rsid w:val="00393731"/>
    <w:rsid w:val="00394DCD"/>
    <w:rsid w:val="003952A3"/>
    <w:rsid w:val="00395924"/>
    <w:rsid w:val="00397497"/>
    <w:rsid w:val="00397F4B"/>
    <w:rsid w:val="003A0238"/>
    <w:rsid w:val="003A0868"/>
    <w:rsid w:val="003A15BA"/>
    <w:rsid w:val="003A1872"/>
    <w:rsid w:val="003A1A77"/>
    <w:rsid w:val="003A3060"/>
    <w:rsid w:val="003A30F0"/>
    <w:rsid w:val="003A65A9"/>
    <w:rsid w:val="003A66AA"/>
    <w:rsid w:val="003A7111"/>
    <w:rsid w:val="003B05B4"/>
    <w:rsid w:val="003B1134"/>
    <w:rsid w:val="003B148E"/>
    <w:rsid w:val="003B1EB7"/>
    <w:rsid w:val="003B2E8B"/>
    <w:rsid w:val="003B6821"/>
    <w:rsid w:val="003B6B34"/>
    <w:rsid w:val="003B76F4"/>
    <w:rsid w:val="003B7882"/>
    <w:rsid w:val="003C08C7"/>
    <w:rsid w:val="003C0EE4"/>
    <w:rsid w:val="003C1A1B"/>
    <w:rsid w:val="003C1E9B"/>
    <w:rsid w:val="003C2393"/>
    <w:rsid w:val="003C3D4C"/>
    <w:rsid w:val="003C3EAA"/>
    <w:rsid w:val="003C449D"/>
    <w:rsid w:val="003C611F"/>
    <w:rsid w:val="003C69C7"/>
    <w:rsid w:val="003D0A35"/>
    <w:rsid w:val="003D1922"/>
    <w:rsid w:val="003D1E3B"/>
    <w:rsid w:val="003D2729"/>
    <w:rsid w:val="003D2D96"/>
    <w:rsid w:val="003D6767"/>
    <w:rsid w:val="003D68E1"/>
    <w:rsid w:val="003D74A2"/>
    <w:rsid w:val="003E0E0F"/>
    <w:rsid w:val="003E14ED"/>
    <w:rsid w:val="003E17F1"/>
    <w:rsid w:val="003E2447"/>
    <w:rsid w:val="003E76C9"/>
    <w:rsid w:val="003E7FCA"/>
    <w:rsid w:val="003F0053"/>
    <w:rsid w:val="003F0C9C"/>
    <w:rsid w:val="003F26F5"/>
    <w:rsid w:val="003F31F6"/>
    <w:rsid w:val="003F3EE8"/>
    <w:rsid w:val="00401324"/>
    <w:rsid w:val="00401725"/>
    <w:rsid w:val="00402081"/>
    <w:rsid w:val="004025A4"/>
    <w:rsid w:val="00404614"/>
    <w:rsid w:val="00405829"/>
    <w:rsid w:val="004074EE"/>
    <w:rsid w:val="0041032E"/>
    <w:rsid w:val="0041262D"/>
    <w:rsid w:val="00420DBF"/>
    <w:rsid w:val="004219C9"/>
    <w:rsid w:val="00422CF6"/>
    <w:rsid w:val="00423032"/>
    <w:rsid w:val="00423622"/>
    <w:rsid w:val="004244EB"/>
    <w:rsid w:val="004249E5"/>
    <w:rsid w:val="00425521"/>
    <w:rsid w:val="004270C5"/>
    <w:rsid w:val="004279AD"/>
    <w:rsid w:val="00430325"/>
    <w:rsid w:val="004307CB"/>
    <w:rsid w:val="00430DA6"/>
    <w:rsid w:val="004316DA"/>
    <w:rsid w:val="0043352C"/>
    <w:rsid w:val="00433C07"/>
    <w:rsid w:val="00436A23"/>
    <w:rsid w:val="00437AE1"/>
    <w:rsid w:val="00440543"/>
    <w:rsid w:val="00440E78"/>
    <w:rsid w:val="00442421"/>
    <w:rsid w:val="0044310E"/>
    <w:rsid w:val="0044474D"/>
    <w:rsid w:val="004455DE"/>
    <w:rsid w:val="0044704B"/>
    <w:rsid w:val="00447D6B"/>
    <w:rsid w:val="004507FA"/>
    <w:rsid w:val="004510F4"/>
    <w:rsid w:val="00451C0C"/>
    <w:rsid w:val="00452536"/>
    <w:rsid w:val="00453F42"/>
    <w:rsid w:val="00454881"/>
    <w:rsid w:val="0046112B"/>
    <w:rsid w:val="004615E9"/>
    <w:rsid w:val="00463644"/>
    <w:rsid w:val="00464184"/>
    <w:rsid w:val="0046584B"/>
    <w:rsid w:val="00465CF0"/>
    <w:rsid w:val="004662DD"/>
    <w:rsid w:val="00466336"/>
    <w:rsid w:val="00467528"/>
    <w:rsid w:val="00467D53"/>
    <w:rsid w:val="004700A0"/>
    <w:rsid w:val="00471E14"/>
    <w:rsid w:val="0047376B"/>
    <w:rsid w:val="00473913"/>
    <w:rsid w:val="0047461D"/>
    <w:rsid w:val="00474E2E"/>
    <w:rsid w:val="0047713F"/>
    <w:rsid w:val="0047723C"/>
    <w:rsid w:val="00477635"/>
    <w:rsid w:val="00480D4E"/>
    <w:rsid w:val="00480EE7"/>
    <w:rsid w:val="004814C6"/>
    <w:rsid w:val="00481633"/>
    <w:rsid w:val="00482067"/>
    <w:rsid w:val="00482DE1"/>
    <w:rsid w:val="00484266"/>
    <w:rsid w:val="00484A1A"/>
    <w:rsid w:val="0048528C"/>
    <w:rsid w:val="00485AB8"/>
    <w:rsid w:val="004873B4"/>
    <w:rsid w:val="00487890"/>
    <w:rsid w:val="004910BC"/>
    <w:rsid w:val="004914D3"/>
    <w:rsid w:val="00491645"/>
    <w:rsid w:val="0049187B"/>
    <w:rsid w:val="00492ABE"/>
    <w:rsid w:val="00493182"/>
    <w:rsid w:val="00493FF5"/>
    <w:rsid w:val="0049417C"/>
    <w:rsid w:val="0049426A"/>
    <w:rsid w:val="004942F1"/>
    <w:rsid w:val="004942FB"/>
    <w:rsid w:val="004977AD"/>
    <w:rsid w:val="004A0765"/>
    <w:rsid w:val="004A122C"/>
    <w:rsid w:val="004A3319"/>
    <w:rsid w:val="004A41FF"/>
    <w:rsid w:val="004A4256"/>
    <w:rsid w:val="004A4B88"/>
    <w:rsid w:val="004A4E1B"/>
    <w:rsid w:val="004A573D"/>
    <w:rsid w:val="004A6258"/>
    <w:rsid w:val="004A6345"/>
    <w:rsid w:val="004A6787"/>
    <w:rsid w:val="004A6D78"/>
    <w:rsid w:val="004B025E"/>
    <w:rsid w:val="004B432F"/>
    <w:rsid w:val="004B4D11"/>
    <w:rsid w:val="004B4F46"/>
    <w:rsid w:val="004B65D3"/>
    <w:rsid w:val="004B6DE7"/>
    <w:rsid w:val="004B6EA7"/>
    <w:rsid w:val="004C0092"/>
    <w:rsid w:val="004C0667"/>
    <w:rsid w:val="004C25AE"/>
    <w:rsid w:val="004C5D24"/>
    <w:rsid w:val="004C620F"/>
    <w:rsid w:val="004C6718"/>
    <w:rsid w:val="004C7132"/>
    <w:rsid w:val="004C7797"/>
    <w:rsid w:val="004D039D"/>
    <w:rsid w:val="004D1ABD"/>
    <w:rsid w:val="004D27F3"/>
    <w:rsid w:val="004D2C78"/>
    <w:rsid w:val="004D3E36"/>
    <w:rsid w:val="004D4586"/>
    <w:rsid w:val="004D466D"/>
    <w:rsid w:val="004D48DD"/>
    <w:rsid w:val="004D5AAE"/>
    <w:rsid w:val="004D5E0A"/>
    <w:rsid w:val="004D6BB1"/>
    <w:rsid w:val="004E01C8"/>
    <w:rsid w:val="004E0A78"/>
    <w:rsid w:val="004E0E75"/>
    <w:rsid w:val="004E0EE6"/>
    <w:rsid w:val="004E1B88"/>
    <w:rsid w:val="004E20FF"/>
    <w:rsid w:val="004E3897"/>
    <w:rsid w:val="004E3FD8"/>
    <w:rsid w:val="004E4F2E"/>
    <w:rsid w:val="004F0C20"/>
    <w:rsid w:val="004F123C"/>
    <w:rsid w:val="004F4650"/>
    <w:rsid w:val="004F4764"/>
    <w:rsid w:val="004F4BEA"/>
    <w:rsid w:val="004F5AD7"/>
    <w:rsid w:val="004F74B6"/>
    <w:rsid w:val="004F7E94"/>
    <w:rsid w:val="00501A91"/>
    <w:rsid w:val="0050200D"/>
    <w:rsid w:val="00502194"/>
    <w:rsid w:val="005026F7"/>
    <w:rsid w:val="005028E4"/>
    <w:rsid w:val="0050379D"/>
    <w:rsid w:val="005039A5"/>
    <w:rsid w:val="00503E8F"/>
    <w:rsid w:val="0050446B"/>
    <w:rsid w:val="00504FEC"/>
    <w:rsid w:val="00505952"/>
    <w:rsid w:val="0050732C"/>
    <w:rsid w:val="0050765A"/>
    <w:rsid w:val="005108DD"/>
    <w:rsid w:val="00512882"/>
    <w:rsid w:val="00512CEB"/>
    <w:rsid w:val="00512F50"/>
    <w:rsid w:val="00514144"/>
    <w:rsid w:val="00515EDF"/>
    <w:rsid w:val="0051749C"/>
    <w:rsid w:val="00517D02"/>
    <w:rsid w:val="005209A9"/>
    <w:rsid w:val="00520F28"/>
    <w:rsid w:val="0052141E"/>
    <w:rsid w:val="00522373"/>
    <w:rsid w:val="005228AE"/>
    <w:rsid w:val="00522B4A"/>
    <w:rsid w:val="00523579"/>
    <w:rsid w:val="005236FB"/>
    <w:rsid w:val="00524242"/>
    <w:rsid w:val="00524CF0"/>
    <w:rsid w:val="00527D43"/>
    <w:rsid w:val="00527D6F"/>
    <w:rsid w:val="005307E4"/>
    <w:rsid w:val="00533EEA"/>
    <w:rsid w:val="005340B7"/>
    <w:rsid w:val="00534280"/>
    <w:rsid w:val="00535291"/>
    <w:rsid w:val="005356DD"/>
    <w:rsid w:val="00535EE1"/>
    <w:rsid w:val="00536FF2"/>
    <w:rsid w:val="005374E7"/>
    <w:rsid w:val="005411C2"/>
    <w:rsid w:val="005414C8"/>
    <w:rsid w:val="0054156A"/>
    <w:rsid w:val="00543873"/>
    <w:rsid w:val="00546396"/>
    <w:rsid w:val="00550F3D"/>
    <w:rsid w:val="00551CD2"/>
    <w:rsid w:val="00552907"/>
    <w:rsid w:val="00552E3F"/>
    <w:rsid w:val="00554125"/>
    <w:rsid w:val="00554AAB"/>
    <w:rsid w:val="00554DAF"/>
    <w:rsid w:val="00554ECE"/>
    <w:rsid w:val="005569BB"/>
    <w:rsid w:val="00560C21"/>
    <w:rsid w:val="00561FCF"/>
    <w:rsid w:val="005632AE"/>
    <w:rsid w:val="005638EA"/>
    <w:rsid w:val="00563E1A"/>
    <w:rsid w:val="005658C6"/>
    <w:rsid w:val="0056618C"/>
    <w:rsid w:val="005668B5"/>
    <w:rsid w:val="00567561"/>
    <w:rsid w:val="00570335"/>
    <w:rsid w:val="0057092A"/>
    <w:rsid w:val="00570D24"/>
    <w:rsid w:val="005720A8"/>
    <w:rsid w:val="00574E44"/>
    <w:rsid w:val="00574FE4"/>
    <w:rsid w:val="005750CF"/>
    <w:rsid w:val="005758E5"/>
    <w:rsid w:val="00575FA0"/>
    <w:rsid w:val="005762FD"/>
    <w:rsid w:val="0057651C"/>
    <w:rsid w:val="00576701"/>
    <w:rsid w:val="00576EF9"/>
    <w:rsid w:val="0057729A"/>
    <w:rsid w:val="005809C6"/>
    <w:rsid w:val="00581071"/>
    <w:rsid w:val="00582006"/>
    <w:rsid w:val="0058279C"/>
    <w:rsid w:val="005830BF"/>
    <w:rsid w:val="005833E3"/>
    <w:rsid w:val="00583549"/>
    <w:rsid w:val="00584393"/>
    <w:rsid w:val="00584BD6"/>
    <w:rsid w:val="00585977"/>
    <w:rsid w:val="00585C64"/>
    <w:rsid w:val="00586A4E"/>
    <w:rsid w:val="005901A4"/>
    <w:rsid w:val="00590F2E"/>
    <w:rsid w:val="0059147C"/>
    <w:rsid w:val="00593DC7"/>
    <w:rsid w:val="0059452F"/>
    <w:rsid w:val="00594F0F"/>
    <w:rsid w:val="0059505A"/>
    <w:rsid w:val="005A20FC"/>
    <w:rsid w:val="005A4012"/>
    <w:rsid w:val="005A4638"/>
    <w:rsid w:val="005A5176"/>
    <w:rsid w:val="005A79CF"/>
    <w:rsid w:val="005B18DF"/>
    <w:rsid w:val="005B2307"/>
    <w:rsid w:val="005B2956"/>
    <w:rsid w:val="005B4227"/>
    <w:rsid w:val="005B6EDD"/>
    <w:rsid w:val="005C002E"/>
    <w:rsid w:val="005C13F6"/>
    <w:rsid w:val="005C1742"/>
    <w:rsid w:val="005C2162"/>
    <w:rsid w:val="005C220C"/>
    <w:rsid w:val="005C6D62"/>
    <w:rsid w:val="005C7787"/>
    <w:rsid w:val="005C78B2"/>
    <w:rsid w:val="005D02CA"/>
    <w:rsid w:val="005D2D2B"/>
    <w:rsid w:val="005D3CF9"/>
    <w:rsid w:val="005D41B6"/>
    <w:rsid w:val="005D47FB"/>
    <w:rsid w:val="005D4F86"/>
    <w:rsid w:val="005D5601"/>
    <w:rsid w:val="005D5CEA"/>
    <w:rsid w:val="005D7722"/>
    <w:rsid w:val="005D7C02"/>
    <w:rsid w:val="005D7C9B"/>
    <w:rsid w:val="005D7F95"/>
    <w:rsid w:val="005E119D"/>
    <w:rsid w:val="005E18ED"/>
    <w:rsid w:val="005E1D62"/>
    <w:rsid w:val="005E20B9"/>
    <w:rsid w:val="005E2134"/>
    <w:rsid w:val="005E2A0E"/>
    <w:rsid w:val="005E4133"/>
    <w:rsid w:val="005E47B9"/>
    <w:rsid w:val="005E54A4"/>
    <w:rsid w:val="005E5C65"/>
    <w:rsid w:val="005E6A24"/>
    <w:rsid w:val="005F052F"/>
    <w:rsid w:val="005F2B4E"/>
    <w:rsid w:val="005F2D49"/>
    <w:rsid w:val="005F3031"/>
    <w:rsid w:val="005F7D7E"/>
    <w:rsid w:val="006000EF"/>
    <w:rsid w:val="00601594"/>
    <w:rsid w:val="00601AAB"/>
    <w:rsid w:val="00602F74"/>
    <w:rsid w:val="00603650"/>
    <w:rsid w:val="0060423C"/>
    <w:rsid w:val="00604C53"/>
    <w:rsid w:val="00605C25"/>
    <w:rsid w:val="00607240"/>
    <w:rsid w:val="00607DCE"/>
    <w:rsid w:val="0061020B"/>
    <w:rsid w:val="0061099D"/>
    <w:rsid w:val="00610F55"/>
    <w:rsid w:val="0061177E"/>
    <w:rsid w:val="00614885"/>
    <w:rsid w:val="006174AF"/>
    <w:rsid w:val="00620350"/>
    <w:rsid w:val="006206F3"/>
    <w:rsid w:val="00620A06"/>
    <w:rsid w:val="00621D8E"/>
    <w:rsid w:val="006223EE"/>
    <w:rsid w:val="00623126"/>
    <w:rsid w:val="00623167"/>
    <w:rsid w:val="00624C83"/>
    <w:rsid w:val="0062568D"/>
    <w:rsid w:val="00627A66"/>
    <w:rsid w:val="00630347"/>
    <w:rsid w:val="00632855"/>
    <w:rsid w:val="00632FEA"/>
    <w:rsid w:val="00633B31"/>
    <w:rsid w:val="00634DA1"/>
    <w:rsid w:val="006354F5"/>
    <w:rsid w:val="0063637E"/>
    <w:rsid w:val="006369DF"/>
    <w:rsid w:val="00636FCE"/>
    <w:rsid w:val="00637E83"/>
    <w:rsid w:val="00641069"/>
    <w:rsid w:val="0064150C"/>
    <w:rsid w:val="00641D72"/>
    <w:rsid w:val="00642455"/>
    <w:rsid w:val="00643457"/>
    <w:rsid w:val="00643518"/>
    <w:rsid w:val="0064478B"/>
    <w:rsid w:val="006453A7"/>
    <w:rsid w:val="00646156"/>
    <w:rsid w:val="006473E6"/>
    <w:rsid w:val="006476E2"/>
    <w:rsid w:val="00647C87"/>
    <w:rsid w:val="00647F99"/>
    <w:rsid w:val="00651897"/>
    <w:rsid w:val="00651C9B"/>
    <w:rsid w:val="0065219C"/>
    <w:rsid w:val="00652721"/>
    <w:rsid w:val="00653975"/>
    <w:rsid w:val="00654F2D"/>
    <w:rsid w:val="006566EC"/>
    <w:rsid w:val="00657F86"/>
    <w:rsid w:val="0066029F"/>
    <w:rsid w:val="00661158"/>
    <w:rsid w:val="006615CA"/>
    <w:rsid w:val="00662D4B"/>
    <w:rsid w:val="00663381"/>
    <w:rsid w:val="0066512C"/>
    <w:rsid w:val="006662BC"/>
    <w:rsid w:val="0066759A"/>
    <w:rsid w:val="00667D46"/>
    <w:rsid w:val="006704BF"/>
    <w:rsid w:val="00671157"/>
    <w:rsid w:val="00671694"/>
    <w:rsid w:val="00672645"/>
    <w:rsid w:val="00672746"/>
    <w:rsid w:val="006732EA"/>
    <w:rsid w:val="006743AF"/>
    <w:rsid w:val="006743B6"/>
    <w:rsid w:val="006758BA"/>
    <w:rsid w:val="006777DF"/>
    <w:rsid w:val="006861F9"/>
    <w:rsid w:val="00687BE3"/>
    <w:rsid w:val="00687D9D"/>
    <w:rsid w:val="00690AD6"/>
    <w:rsid w:val="00691659"/>
    <w:rsid w:val="00692739"/>
    <w:rsid w:val="00692E50"/>
    <w:rsid w:val="00693ADE"/>
    <w:rsid w:val="00693DFF"/>
    <w:rsid w:val="0069413C"/>
    <w:rsid w:val="00694C0E"/>
    <w:rsid w:val="00695196"/>
    <w:rsid w:val="00695B8D"/>
    <w:rsid w:val="00696166"/>
    <w:rsid w:val="006967ED"/>
    <w:rsid w:val="0069713C"/>
    <w:rsid w:val="006A11A6"/>
    <w:rsid w:val="006A1BAD"/>
    <w:rsid w:val="006A2496"/>
    <w:rsid w:val="006A2A71"/>
    <w:rsid w:val="006A2EDB"/>
    <w:rsid w:val="006A6B2C"/>
    <w:rsid w:val="006A73C8"/>
    <w:rsid w:val="006B0350"/>
    <w:rsid w:val="006B0EA6"/>
    <w:rsid w:val="006B1083"/>
    <w:rsid w:val="006B2CB1"/>
    <w:rsid w:val="006B405C"/>
    <w:rsid w:val="006B5C93"/>
    <w:rsid w:val="006B5E13"/>
    <w:rsid w:val="006B69CB"/>
    <w:rsid w:val="006B71F7"/>
    <w:rsid w:val="006B7303"/>
    <w:rsid w:val="006C09D0"/>
    <w:rsid w:val="006C182F"/>
    <w:rsid w:val="006C19F6"/>
    <w:rsid w:val="006C35FA"/>
    <w:rsid w:val="006C4247"/>
    <w:rsid w:val="006C75B1"/>
    <w:rsid w:val="006C78F7"/>
    <w:rsid w:val="006D1262"/>
    <w:rsid w:val="006D19B3"/>
    <w:rsid w:val="006D1FA2"/>
    <w:rsid w:val="006D21F5"/>
    <w:rsid w:val="006D23A4"/>
    <w:rsid w:val="006D2D6C"/>
    <w:rsid w:val="006D2E1D"/>
    <w:rsid w:val="006D360E"/>
    <w:rsid w:val="006D452F"/>
    <w:rsid w:val="006D5500"/>
    <w:rsid w:val="006D58F7"/>
    <w:rsid w:val="006E1611"/>
    <w:rsid w:val="006E1C07"/>
    <w:rsid w:val="006E1D68"/>
    <w:rsid w:val="006E32DC"/>
    <w:rsid w:val="006E32F3"/>
    <w:rsid w:val="006E33F8"/>
    <w:rsid w:val="006E3A99"/>
    <w:rsid w:val="006E49C0"/>
    <w:rsid w:val="006E5BB3"/>
    <w:rsid w:val="006E7CAC"/>
    <w:rsid w:val="006F07BF"/>
    <w:rsid w:val="006F0C92"/>
    <w:rsid w:val="006F0D60"/>
    <w:rsid w:val="006F13AB"/>
    <w:rsid w:val="006F17D1"/>
    <w:rsid w:val="006F2819"/>
    <w:rsid w:val="006F2DC2"/>
    <w:rsid w:val="006F4285"/>
    <w:rsid w:val="006F5003"/>
    <w:rsid w:val="006F532F"/>
    <w:rsid w:val="006F5831"/>
    <w:rsid w:val="006F5ABA"/>
    <w:rsid w:val="006F7920"/>
    <w:rsid w:val="00700865"/>
    <w:rsid w:val="00701EA0"/>
    <w:rsid w:val="00702CFF"/>
    <w:rsid w:val="00706EE3"/>
    <w:rsid w:val="0070726B"/>
    <w:rsid w:val="00711CF2"/>
    <w:rsid w:val="00713167"/>
    <w:rsid w:val="007147A2"/>
    <w:rsid w:val="00714AC2"/>
    <w:rsid w:val="00714C57"/>
    <w:rsid w:val="00715683"/>
    <w:rsid w:val="0071676E"/>
    <w:rsid w:val="00716E01"/>
    <w:rsid w:val="00720716"/>
    <w:rsid w:val="00721247"/>
    <w:rsid w:val="007212F7"/>
    <w:rsid w:val="007217A0"/>
    <w:rsid w:val="00722CAB"/>
    <w:rsid w:val="00723074"/>
    <w:rsid w:val="00723520"/>
    <w:rsid w:val="00723CA4"/>
    <w:rsid w:val="007243A0"/>
    <w:rsid w:val="007245E7"/>
    <w:rsid w:val="0072571A"/>
    <w:rsid w:val="00726C82"/>
    <w:rsid w:val="00730438"/>
    <w:rsid w:val="00731AAF"/>
    <w:rsid w:val="00731C4E"/>
    <w:rsid w:val="00732F0B"/>
    <w:rsid w:val="00733DEB"/>
    <w:rsid w:val="00733F10"/>
    <w:rsid w:val="007352B2"/>
    <w:rsid w:val="00737623"/>
    <w:rsid w:val="00740474"/>
    <w:rsid w:val="00740D68"/>
    <w:rsid w:val="00742D68"/>
    <w:rsid w:val="00742E0F"/>
    <w:rsid w:val="00745294"/>
    <w:rsid w:val="0074781A"/>
    <w:rsid w:val="00747842"/>
    <w:rsid w:val="0075077B"/>
    <w:rsid w:val="007520E9"/>
    <w:rsid w:val="0075250D"/>
    <w:rsid w:val="00752D09"/>
    <w:rsid w:val="00752EC9"/>
    <w:rsid w:val="007551AA"/>
    <w:rsid w:val="00755905"/>
    <w:rsid w:val="007562EF"/>
    <w:rsid w:val="0075764C"/>
    <w:rsid w:val="00760F1E"/>
    <w:rsid w:val="00761AB2"/>
    <w:rsid w:val="00762E1E"/>
    <w:rsid w:val="00766E92"/>
    <w:rsid w:val="007705BE"/>
    <w:rsid w:val="007709E1"/>
    <w:rsid w:val="00770EF3"/>
    <w:rsid w:val="00771244"/>
    <w:rsid w:val="007716FF"/>
    <w:rsid w:val="00772F5E"/>
    <w:rsid w:val="00775376"/>
    <w:rsid w:val="00776CB4"/>
    <w:rsid w:val="007811ED"/>
    <w:rsid w:val="00782088"/>
    <w:rsid w:val="007822CE"/>
    <w:rsid w:val="007836D7"/>
    <w:rsid w:val="00785B45"/>
    <w:rsid w:val="00785DE9"/>
    <w:rsid w:val="00786AA7"/>
    <w:rsid w:val="00786E6D"/>
    <w:rsid w:val="00787525"/>
    <w:rsid w:val="00790183"/>
    <w:rsid w:val="007901C9"/>
    <w:rsid w:val="007935CE"/>
    <w:rsid w:val="00794ACB"/>
    <w:rsid w:val="00796F11"/>
    <w:rsid w:val="0079715C"/>
    <w:rsid w:val="007974AF"/>
    <w:rsid w:val="00797A97"/>
    <w:rsid w:val="007A1BC4"/>
    <w:rsid w:val="007A1D60"/>
    <w:rsid w:val="007A2544"/>
    <w:rsid w:val="007A2D64"/>
    <w:rsid w:val="007A5271"/>
    <w:rsid w:val="007A7031"/>
    <w:rsid w:val="007A7375"/>
    <w:rsid w:val="007A7574"/>
    <w:rsid w:val="007B20E6"/>
    <w:rsid w:val="007B24A0"/>
    <w:rsid w:val="007B2B87"/>
    <w:rsid w:val="007B5E97"/>
    <w:rsid w:val="007B7333"/>
    <w:rsid w:val="007B7E16"/>
    <w:rsid w:val="007C02BC"/>
    <w:rsid w:val="007C0B40"/>
    <w:rsid w:val="007C1028"/>
    <w:rsid w:val="007C388D"/>
    <w:rsid w:val="007C46C1"/>
    <w:rsid w:val="007C4A7B"/>
    <w:rsid w:val="007C4DD5"/>
    <w:rsid w:val="007C54B9"/>
    <w:rsid w:val="007C58DD"/>
    <w:rsid w:val="007C5949"/>
    <w:rsid w:val="007C62A0"/>
    <w:rsid w:val="007C6691"/>
    <w:rsid w:val="007C6D1A"/>
    <w:rsid w:val="007C7B04"/>
    <w:rsid w:val="007D0E3B"/>
    <w:rsid w:val="007D0E81"/>
    <w:rsid w:val="007D44AA"/>
    <w:rsid w:val="007D5059"/>
    <w:rsid w:val="007D517B"/>
    <w:rsid w:val="007E151D"/>
    <w:rsid w:val="007E222A"/>
    <w:rsid w:val="007E2252"/>
    <w:rsid w:val="007E322F"/>
    <w:rsid w:val="007E37E6"/>
    <w:rsid w:val="007E3BF3"/>
    <w:rsid w:val="007E45DE"/>
    <w:rsid w:val="007E4B5C"/>
    <w:rsid w:val="007E655B"/>
    <w:rsid w:val="007E7957"/>
    <w:rsid w:val="007E7ABD"/>
    <w:rsid w:val="007F031A"/>
    <w:rsid w:val="007F134E"/>
    <w:rsid w:val="007F156D"/>
    <w:rsid w:val="007F1CFC"/>
    <w:rsid w:val="007F2033"/>
    <w:rsid w:val="007F252C"/>
    <w:rsid w:val="007F25B6"/>
    <w:rsid w:val="007F3849"/>
    <w:rsid w:val="007F3E29"/>
    <w:rsid w:val="007F466C"/>
    <w:rsid w:val="007F479B"/>
    <w:rsid w:val="007F4C18"/>
    <w:rsid w:val="007F5125"/>
    <w:rsid w:val="007F55A0"/>
    <w:rsid w:val="007F5776"/>
    <w:rsid w:val="007F5A64"/>
    <w:rsid w:val="007F6E61"/>
    <w:rsid w:val="007F737A"/>
    <w:rsid w:val="0080093D"/>
    <w:rsid w:val="008019E9"/>
    <w:rsid w:val="00801F63"/>
    <w:rsid w:val="00802EF5"/>
    <w:rsid w:val="00803070"/>
    <w:rsid w:val="008049B8"/>
    <w:rsid w:val="008049D7"/>
    <w:rsid w:val="008052A8"/>
    <w:rsid w:val="00805637"/>
    <w:rsid w:val="008059AB"/>
    <w:rsid w:val="00807FCA"/>
    <w:rsid w:val="008115E6"/>
    <w:rsid w:val="0081177E"/>
    <w:rsid w:val="00813020"/>
    <w:rsid w:val="008146A2"/>
    <w:rsid w:val="008147FE"/>
    <w:rsid w:val="00815446"/>
    <w:rsid w:val="00817306"/>
    <w:rsid w:val="00820397"/>
    <w:rsid w:val="008220EB"/>
    <w:rsid w:val="0082227D"/>
    <w:rsid w:val="00822529"/>
    <w:rsid w:val="00822A11"/>
    <w:rsid w:val="00823540"/>
    <w:rsid w:val="008236BE"/>
    <w:rsid w:val="00823AC6"/>
    <w:rsid w:val="0082411E"/>
    <w:rsid w:val="00824EB4"/>
    <w:rsid w:val="00830313"/>
    <w:rsid w:val="00830CFA"/>
    <w:rsid w:val="00832560"/>
    <w:rsid w:val="00833B71"/>
    <w:rsid w:val="00835B8D"/>
    <w:rsid w:val="008362E8"/>
    <w:rsid w:val="008379E4"/>
    <w:rsid w:val="00842522"/>
    <w:rsid w:val="008460A8"/>
    <w:rsid w:val="0084706A"/>
    <w:rsid w:val="008503A9"/>
    <w:rsid w:val="00851B01"/>
    <w:rsid w:val="00853516"/>
    <w:rsid w:val="00855B2D"/>
    <w:rsid w:val="00857FB7"/>
    <w:rsid w:val="008600E2"/>
    <w:rsid w:val="00860214"/>
    <w:rsid w:val="0086255B"/>
    <w:rsid w:val="0086296F"/>
    <w:rsid w:val="008668BD"/>
    <w:rsid w:val="008705BE"/>
    <w:rsid w:val="0087098A"/>
    <w:rsid w:val="00872945"/>
    <w:rsid w:val="008729B7"/>
    <w:rsid w:val="00873EF2"/>
    <w:rsid w:val="008756FE"/>
    <w:rsid w:val="0087789E"/>
    <w:rsid w:val="00881A2F"/>
    <w:rsid w:val="008834AA"/>
    <w:rsid w:val="00884A35"/>
    <w:rsid w:val="00884B27"/>
    <w:rsid w:val="0088618E"/>
    <w:rsid w:val="0088652B"/>
    <w:rsid w:val="0088722D"/>
    <w:rsid w:val="00890548"/>
    <w:rsid w:val="0089139A"/>
    <w:rsid w:val="008915CE"/>
    <w:rsid w:val="00891822"/>
    <w:rsid w:val="00892466"/>
    <w:rsid w:val="00892493"/>
    <w:rsid w:val="00892E49"/>
    <w:rsid w:val="00894D46"/>
    <w:rsid w:val="008952D3"/>
    <w:rsid w:val="00896189"/>
    <w:rsid w:val="0089629B"/>
    <w:rsid w:val="00896718"/>
    <w:rsid w:val="00897B43"/>
    <w:rsid w:val="00897BE4"/>
    <w:rsid w:val="008A0F20"/>
    <w:rsid w:val="008A1BF7"/>
    <w:rsid w:val="008A225B"/>
    <w:rsid w:val="008A28C2"/>
    <w:rsid w:val="008A45C8"/>
    <w:rsid w:val="008A59BD"/>
    <w:rsid w:val="008A5B96"/>
    <w:rsid w:val="008A5C7E"/>
    <w:rsid w:val="008A6B56"/>
    <w:rsid w:val="008A6BFF"/>
    <w:rsid w:val="008B305D"/>
    <w:rsid w:val="008B5A75"/>
    <w:rsid w:val="008B65E2"/>
    <w:rsid w:val="008B6B24"/>
    <w:rsid w:val="008B6D73"/>
    <w:rsid w:val="008B709F"/>
    <w:rsid w:val="008B72C3"/>
    <w:rsid w:val="008C0B50"/>
    <w:rsid w:val="008C159D"/>
    <w:rsid w:val="008C28F9"/>
    <w:rsid w:val="008C3635"/>
    <w:rsid w:val="008C4857"/>
    <w:rsid w:val="008C7862"/>
    <w:rsid w:val="008D091C"/>
    <w:rsid w:val="008D0F31"/>
    <w:rsid w:val="008D1BC2"/>
    <w:rsid w:val="008D2B04"/>
    <w:rsid w:val="008D36F5"/>
    <w:rsid w:val="008D4724"/>
    <w:rsid w:val="008D4FD4"/>
    <w:rsid w:val="008D586C"/>
    <w:rsid w:val="008D5955"/>
    <w:rsid w:val="008D7E30"/>
    <w:rsid w:val="008E0451"/>
    <w:rsid w:val="008E1052"/>
    <w:rsid w:val="008E2721"/>
    <w:rsid w:val="008E4EA5"/>
    <w:rsid w:val="008E5878"/>
    <w:rsid w:val="008E6B94"/>
    <w:rsid w:val="008F061B"/>
    <w:rsid w:val="008F1F21"/>
    <w:rsid w:val="008F2854"/>
    <w:rsid w:val="008F2BD9"/>
    <w:rsid w:val="008F316F"/>
    <w:rsid w:val="008F3BA3"/>
    <w:rsid w:val="008F4615"/>
    <w:rsid w:val="008F50C5"/>
    <w:rsid w:val="008F588F"/>
    <w:rsid w:val="008F59C4"/>
    <w:rsid w:val="008F5CB4"/>
    <w:rsid w:val="008F607D"/>
    <w:rsid w:val="008F774F"/>
    <w:rsid w:val="009025E9"/>
    <w:rsid w:val="00902E7E"/>
    <w:rsid w:val="00903465"/>
    <w:rsid w:val="00903A22"/>
    <w:rsid w:val="00903D03"/>
    <w:rsid w:val="00903F49"/>
    <w:rsid w:val="00905FE6"/>
    <w:rsid w:val="00906CBE"/>
    <w:rsid w:val="009070D5"/>
    <w:rsid w:val="00907240"/>
    <w:rsid w:val="0090783C"/>
    <w:rsid w:val="00907CF7"/>
    <w:rsid w:val="00911DE5"/>
    <w:rsid w:val="0091267B"/>
    <w:rsid w:val="00913D11"/>
    <w:rsid w:val="00914140"/>
    <w:rsid w:val="009158C3"/>
    <w:rsid w:val="00915C92"/>
    <w:rsid w:val="0091678E"/>
    <w:rsid w:val="00916D6F"/>
    <w:rsid w:val="0091792C"/>
    <w:rsid w:val="00921C74"/>
    <w:rsid w:val="00923EC5"/>
    <w:rsid w:val="0092529E"/>
    <w:rsid w:val="00925F3B"/>
    <w:rsid w:val="009263EB"/>
    <w:rsid w:val="00926DED"/>
    <w:rsid w:val="009274FA"/>
    <w:rsid w:val="00930280"/>
    <w:rsid w:val="009308EC"/>
    <w:rsid w:val="0093103C"/>
    <w:rsid w:val="00931270"/>
    <w:rsid w:val="00931585"/>
    <w:rsid w:val="0093419B"/>
    <w:rsid w:val="00935613"/>
    <w:rsid w:val="009357A6"/>
    <w:rsid w:val="00937276"/>
    <w:rsid w:val="00937673"/>
    <w:rsid w:val="0094252E"/>
    <w:rsid w:val="00942E9C"/>
    <w:rsid w:val="00942F3D"/>
    <w:rsid w:val="00943719"/>
    <w:rsid w:val="009437DC"/>
    <w:rsid w:val="00944655"/>
    <w:rsid w:val="009452BB"/>
    <w:rsid w:val="00946A88"/>
    <w:rsid w:val="00947C8E"/>
    <w:rsid w:val="0095167E"/>
    <w:rsid w:val="00951F28"/>
    <w:rsid w:val="009531F6"/>
    <w:rsid w:val="00953816"/>
    <w:rsid w:val="00953A9F"/>
    <w:rsid w:val="00953E02"/>
    <w:rsid w:val="009568E1"/>
    <w:rsid w:val="0095747F"/>
    <w:rsid w:val="009579A9"/>
    <w:rsid w:val="009608EF"/>
    <w:rsid w:val="00960BD7"/>
    <w:rsid w:val="0096142E"/>
    <w:rsid w:val="009614B3"/>
    <w:rsid w:val="009620A0"/>
    <w:rsid w:val="00962866"/>
    <w:rsid w:val="0096286B"/>
    <w:rsid w:val="00964B70"/>
    <w:rsid w:val="009650EC"/>
    <w:rsid w:val="00965AAE"/>
    <w:rsid w:val="00965E53"/>
    <w:rsid w:val="0096661F"/>
    <w:rsid w:val="009673E9"/>
    <w:rsid w:val="00967AA4"/>
    <w:rsid w:val="009705BD"/>
    <w:rsid w:val="00973900"/>
    <w:rsid w:val="00974888"/>
    <w:rsid w:val="00975B31"/>
    <w:rsid w:val="00977A14"/>
    <w:rsid w:val="009800EC"/>
    <w:rsid w:val="00980ACE"/>
    <w:rsid w:val="0098231A"/>
    <w:rsid w:val="00984E2A"/>
    <w:rsid w:val="00986F20"/>
    <w:rsid w:val="00992E34"/>
    <w:rsid w:val="009955CE"/>
    <w:rsid w:val="009961FE"/>
    <w:rsid w:val="009A0755"/>
    <w:rsid w:val="009A0B18"/>
    <w:rsid w:val="009A0BBC"/>
    <w:rsid w:val="009A0DF7"/>
    <w:rsid w:val="009A1210"/>
    <w:rsid w:val="009A20C3"/>
    <w:rsid w:val="009A3C05"/>
    <w:rsid w:val="009A449C"/>
    <w:rsid w:val="009A6127"/>
    <w:rsid w:val="009A62DF"/>
    <w:rsid w:val="009A6451"/>
    <w:rsid w:val="009B0413"/>
    <w:rsid w:val="009B064D"/>
    <w:rsid w:val="009B0826"/>
    <w:rsid w:val="009B1E44"/>
    <w:rsid w:val="009B1F8E"/>
    <w:rsid w:val="009B229A"/>
    <w:rsid w:val="009B2D21"/>
    <w:rsid w:val="009B3150"/>
    <w:rsid w:val="009B430E"/>
    <w:rsid w:val="009B4332"/>
    <w:rsid w:val="009B4CFA"/>
    <w:rsid w:val="009B6D5A"/>
    <w:rsid w:val="009B7104"/>
    <w:rsid w:val="009B7281"/>
    <w:rsid w:val="009B754A"/>
    <w:rsid w:val="009B7DBA"/>
    <w:rsid w:val="009C4719"/>
    <w:rsid w:val="009C6334"/>
    <w:rsid w:val="009C6E57"/>
    <w:rsid w:val="009C728B"/>
    <w:rsid w:val="009C7B11"/>
    <w:rsid w:val="009D0D11"/>
    <w:rsid w:val="009D42CF"/>
    <w:rsid w:val="009D5745"/>
    <w:rsid w:val="009D72D8"/>
    <w:rsid w:val="009D7CCC"/>
    <w:rsid w:val="009E144F"/>
    <w:rsid w:val="009E32CA"/>
    <w:rsid w:val="009E50B2"/>
    <w:rsid w:val="009E5CE1"/>
    <w:rsid w:val="009E64DA"/>
    <w:rsid w:val="009E6906"/>
    <w:rsid w:val="009E6E71"/>
    <w:rsid w:val="009F050B"/>
    <w:rsid w:val="009F0BC4"/>
    <w:rsid w:val="009F0C96"/>
    <w:rsid w:val="009F122D"/>
    <w:rsid w:val="009F20E0"/>
    <w:rsid w:val="009F35E6"/>
    <w:rsid w:val="009F3799"/>
    <w:rsid w:val="009F3DD9"/>
    <w:rsid w:val="009F50B3"/>
    <w:rsid w:val="009F6229"/>
    <w:rsid w:val="00A00C88"/>
    <w:rsid w:val="00A00EA4"/>
    <w:rsid w:val="00A0190C"/>
    <w:rsid w:val="00A01A2C"/>
    <w:rsid w:val="00A03583"/>
    <w:rsid w:val="00A04918"/>
    <w:rsid w:val="00A04AB5"/>
    <w:rsid w:val="00A06044"/>
    <w:rsid w:val="00A07CAC"/>
    <w:rsid w:val="00A107BB"/>
    <w:rsid w:val="00A11765"/>
    <w:rsid w:val="00A13311"/>
    <w:rsid w:val="00A13566"/>
    <w:rsid w:val="00A139B9"/>
    <w:rsid w:val="00A13A64"/>
    <w:rsid w:val="00A13AAB"/>
    <w:rsid w:val="00A13CE7"/>
    <w:rsid w:val="00A13E53"/>
    <w:rsid w:val="00A1453F"/>
    <w:rsid w:val="00A15285"/>
    <w:rsid w:val="00A158EA"/>
    <w:rsid w:val="00A15A80"/>
    <w:rsid w:val="00A15CA1"/>
    <w:rsid w:val="00A20212"/>
    <w:rsid w:val="00A20D64"/>
    <w:rsid w:val="00A2373D"/>
    <w:rsid w:val="00A24209"/>
    <w:rsid w:val="00A254B3"/>
    <w:rsid w:val="00A25FB2"/>
    <w:rsid w:val="00A26EE3"/>
    <w:rsid w:val="00A302A6"/>
    <w:rsid w:val="00A3086E"/>
    <w:rsid w:val="00A30FA9"/>
    <w:rsid w:val="00A31236"/>
    <w:rsid w:val="00A3229D"/>
    <w:rsid w:val="00A33207"/>
    <w:rsid w:val="00A337F9"/>
    <w:rsid w:val="00A34403"/>
    <w:rsid w:val="00A34C53"/>
    <w:rsid w:val="00A351A5"/>
    <w:rsid w:val="00A3606B"/>
    <w:rsid w:val="00A37371"/>
    <w:rsid w:val="00A37390"/>
    <w:rsid w:val="00A37606"/>
    <w:rsid w:val="00A3787E"/>
    <w:rsid w:val="00A37FD2"/>
    <w:rsid w:val="00A40FBD"/>
    <w:rsid w:val="00A437DA"/>
    <w:rsid w:val="00A4525A"/>
    <w:rsid w:val="00A500E7"/>
    <w:rsid w:val="00A50333"/>
    <w:rsid w:val="00A51961"/>
    <w:rsid w:val="00A52C37"/>
    <w:rsid w:val="00A53854"/>
    <w:rsid w:val="00A540BB"/>
    <w:rsid w:val="00A54C07"/>
    <w:rsid w:val="00A55A0A"/>
    <w:rsid w:val="00A55BB5"/>
    <w:rsid w:val="00A56960"/>
    <w:rsid w:val="00A57847"/>
    <w:rsid w:val="00A607FF"/>
    <w:rsid w:val="00A610CE"/>
    <w:rsid w:val="00A62AEE"/>
    <w:rsid w:val="00A64340"/>
    <w:rsid w:val="00A64D03"/>
    <w:rsid w:val="00A666F7"/>
    <w:rsid w:val="00A6735D"/>
    <w:rsid w:val="00A67BDA"/>
    <w:rsid w:val="00A67BDB"/>
    <w:rsid w:val="00A707AA"/>
    <w:rsid w:val="00A71776"/>
    <w:rsid w:val="00A72321"/>
    <w:rsid w:val="00A73012"/>
    <w:rsid w:val="00A741F7"/>
    <w:rsid w:val="00A76A01"/>
    <w:rsid w:val="00A76D26"/>
    <w:rsid w:val="00A76F15"/>
    <w:rsid w:val="00A77AC7"/>
    <w:rsid w:val="00A80449"/>
    <w:rsid w:val="00A80F03"/>
    <w:rsid w:val="00A816F8"/>
    <w:rsid w:val="00A81E71"/>
    <w:rsid w:val="00A82DDF"/>
    <w:rsid w:val="00A84085"/>
    <w:rsid w:val="00A84172"/>
    <w:rsid w:val="00A851A5"/>
    <w:rsid w:val="00A87084"/>
    <w:rsid w:val="00A90B64"/>
    <w:rsid w:val="00A92AAD"/>
    <w:rsid w:val="00A92BFA"/>
    <w:rsid w:val="00A934FB"/>
    <w:rsid w:val="00A93C2A"/>
    <w:rsid w:val="00A93C59"/>
    <w:rsid w:val="00A94292"/>
    <w:rsid w:val="00A94B98"/>
    <w:rsid w:val="00A94D0C"/>
    <w:rsid w:val="00A95944"/>
    <w:rsid w:val="00A95A23"/>
    <w:rsid w:val="00A968D5"/>
    <w:rsid w:val="00A978A4"/>
    <w:rsid w:val="00AA02E4"/>
    <w:rsid w:val="00AA3131"/>
    <w:rsid w:val="00AA37A6"/>
    <w:rsid w:val="00AA433E"/>
    <w:rsid w:val="00AA5D6D"/>
    <w:rsid w:val="00AA5F2F"/>
    <w:rsid w:val="00AA5F63"/>
    <w:rsid w:val="00AA61E2"/>
    <w:rsid w:val="00AA72CC"/>
    <w:rsid w:val="00AB11DA"/>
    <w:rsid w:val="00AB206E"/>
    <w:rsid w:val="00AB38B5"/>
    <w:rsid w:val="00AB6353"/>
    <w:rsid w:val="00AB66C1"/>
    <w:rsid w:val="00AB66E0"/>
    <w:rsid w:val="00AB66FB"/>
    <w:rsid w:val="00AB7AF6"/>
    <w:rsid w:val="00AC0B49"/>
    <w:rsid w:val="00AC10ED"/>
    <w:rsid w:val="00AC11F0"/>
    <w:rsid w:val="00AC29C2"/>
    <w:rsid w:val="00AC3AA1"/>
    <w:rsid w:val="00AC4631"/>
    <w:rsid w:val="00AC4802"/>
    <w:rsid w:val="00AC493F"/>
    <w:rsid w:val="00AC4B62"/>
    <w:rsid w:val="00AC4BD8"/>
    <w:rsid w:val="00AC4C6A"/>
    <w:rsid w:val="00AC6B9F"/>
    <w:rsid w:val="00AC717A"/>
    <w:rsid w:val="00AC7D5A"/>
    <w:rsid w:val="00AC7E1D"/>
    <w:rsid w:val="00AD3534"/>
    <w:rsid w:val="00AD40ED"/>
    <w:rsid w:val="00AD50A6"/>
    <w:rsid w:val="00AD7261"/>
    <w:rsid w:val="00AE0D9B"/>
    <w:rsid w:val="00AE2F85"/>
    <w:rsid w:val="00AE3BB6"/>
    <w:rsid w:val="00AE52E0"/>
    <w:rsid w:val="00AE6946"/>
    <w:rsid w:val="00AE79B1"/>
    <w:rsid w:val="00AE7D36"/>
    <w:rsid w:val="00AF0122"/>
    <w:rsid w:val="00AF2558"/>
    <w:rsid w:val="00AF332D"/>
    <w:rsid w:val="00AF4092"/>
    <w:rsid w:val="00AF606F"/>
    <w:rsid w:val="00AF78A4"/>
    <w:rsid w:val="00AF7944"/>
    <w:rsid w:val="00AF7F84"/>
    <w:rsid w:val="00B00513"/>
    <w:rsid w:val="00B00E12"/>
    <w:rsid w:val="00B01587"/>
    <w:rsid w:val="00B01841"/>
    <w:rsid w:val="00B021F9"/>
    <w:rsid w:val="00B03BD3"/>
    <w:rsid w:val="00B041AA"/>
    <w:rsid w:val="00B04284"/>
    <w:rsid w:val="00B042AA"/>
    <w:rsid w:val="00B05FCD"/>
    <w:rsid w:val="00B063C8"/>
    <w:rsid w:val="00B06468"/>
    <w:rsid w:val="00B0692B"/>
    <w:rsid w:val="00B074F5"/>
    <w:rsid w:val="00B07ADC"/>
    <w:rsid w:val="00B07FA7"/>
    <w:rsid w:val="00B1017A"/>
    <w:rsid w:val="00B1171A"/>
    <w:rsid w:val="00B11754"/>
    <w:rsid w:val="00B12EDD"/>
    <w:rsid w:val="00B13AC6"/>
    <w:rsid w:val="00B14C91"/>
    <w:rsid w:val="00B16781"/>
    <w:rsid w:val="00B16BCF"/>
    <w:rsid w:val="00B179F0"/>
    <w:rsid w:val="00B17EAE"/>
    <w:rsid w:val="00B20656"/>
    <w:rsid w:val="00B224E7"/>
    <w:rsid w:val="00B22D6A"/>
    <w:rsid w:val="00B2338A"/>
    <w:rsid w:val="00B23539"/>
    <w:rsid w:val="00B23FCD"/>
    <w:rsid w:val="00B240F4"/>
    <w:rsid w:val="00B2410A"/>
    <w:rsid w:val="00B259EE"/>
    <w:rsid w:val="00B270F1"/>
    <w:rsid w:val="00B272A2"/>
    <w:rsid w:val="00B30591"/>
    <w:rsid w:val="00B30BC0"/>
    <w:rsid w:val="00B31CCD"/>
    <w:rsid w:val="00B31E86"/>
    <w:rsid w:val="00B32E66"/>
    <w:rsid w:val="00B339A4"/>
    <w:rsid w:val="00B33A78"/>
    <w:rsid w:val="00B34B72"/>
    <w:rsid w:val="00B35955"/>
    <w:rsid w:val="00B36FE8"/>
    <w:rsid w:val="00B40CB0"/>
    <w:rsid w:val="00B41C4A"/>
    <w:rsid w:val="00B41D88"/>
    <w:rsid w:val="00B44487"/>
    <w:rsid w:val="00B44FE3"/>
    <w:rsid w:val="00B45584"/>
    <w:rsid w:val="00B46F03"/>
    <w:rsid w:val="00B4773C"/>
    <w:rsid w:val="00B47C93"/>
    <w:rsid w:val="00B535D5"/>
    <w:rsid w:val="00B538C8"/>
    <w:rsid w:val="00B53A74"/>
    <w:rsid w:val="00B53D95"/>
    <w:rsid w:val="00B54BFF"/>
    <w:rsid w:val="00B54C27"/>
    <w:rsid w:val="00B55CE0"/>
    <w:rsid w:val="00B60CDE"/>
    <w:rsid w:val="00B624FB"/>
    <w:rsid w:val="00B6393A"/>
    <w:rsid w:val="00B64CBE"/>
    <w:rsid w:val="00B65116"/>
    <w:rsid w:val="00B656AB"/>
    <w:rsid w:val="00B65F4C"/>
    <w:rsid w:val="00B66750"/>
    <w:rsid w:val="00B70625"/>
    <w:rsid w:val="00B709C6"/>
    <w:rsid w:val="00B715D7"/>
    <w:rsid w:val="00B7237D"/>
    <w:rsid w:val="00B73911"/>
    <w:rsid w:val="00B74790"/>
    <w:rsid w:val="00B747D1"/>
    <w:rsid w:val="00B748C2"/>
    <w:rsid w:val="00B7617D"/>
    <w:rsid w:val="00B81C1D"/>
    <w:rsid w:val="00B82610"/>
    <w:rsid w:val="00B82760"/>
    <w:rsid w:val="00B8287F"/>
    <w:rsid w:val="00B82D4D"/>
    <w:rsid w:val="00B8331E"/>
    <w:rsid w:val="00B84290"/>
    <w:rsid w:val="00B87749"/>
    <w:rsid w:val="00B92879"/>
    <w:rsid w:val="00B93117"/>
    <w:rsid w:val="00B93B15"/>
    <w:rsid w:val="00B93C6A"/>
    <w:rsid w:val="00B94CAE"/>
    <w:rsid w:val="00B94DDC"/>
    <w:rsid w:val="00B95391"/>
    <w:rsid w:val="00B95E9F"/>
    <w:rsid w:val="00B96A9F"/>
    <w:rsid w:val="00B97040"/>
    <w:rsid w:val="00BA0ED7"/>
    <w:rsid w:val="00BA1473"/>
    <w:rsid w:val="00BA2C3C"/>
    <w:rsid w:val="00BA2E60"/>
    <w:rsid w:val="00BA4208"/>
    <w:rsid w:val="00BA4DE3"/>
    <w:rsid w:val="00BA604D"/>
    <w:rsid w:val="00BA6129"/>
    <w:rsid w:val="00BA6C53"/>
    <w:rsid w:val="00BB065B"/>
    <w:rsid w:val="00BB1088"/>
    <w:rsid w:val="00BB1C85"/>
    <w:rsid w:val="00BB2759"/>
    <w:rsid w:val="00BB5D00"/>
    <w:rsid w:val="00BB5F39"/>
    <w:rsid w:val="00BB5FAC"/>
    <w:rsid w:val="00BB6B22"/>
    <w:rsid w:val="00BB7E59"/>
    <w:rsid w:val="00BC0E67"/>
    <w:rsid w:val="00BC101C"/>
    <w:rsid w:val="00BC19D5"/>
    <w:rsid w:val="00BC24E7"/>
    <w:rsid w:val="00BC27D6"/>
    <w:rsid w:val="00BC33B7"/>
    <w:rsid w:val="00BC36A6"/>
    <w:rsid w:val="00BC3E39"/>
    <w:rsid w:val="00BC4B23"/>
    <w:rsid w:val="00BC55EB"/>
    <w:rsid w:val="00BC566E"/>
    <w:rsid w:val="00BC6160"/>
    <w:rsid w:val="00BD018A"/>
    <w:rsid w:val="00BD0208"/>
    <w:rsid w:val="00BD0CF6"/>
    <w:rsid w:val="00BD1F5F"/>
    <w:rsid w:val="00BD2C91"/>
    <w:rsid w:val="00BD3128"/>
    <w:rsid w:val="00BD35B0"/>
    <w:rsid w:val="00BD43A6"/>
    <w:rsid w:val="00BD488A"/>
    <w:rsid w:val="00BD5CD1"/>
    <w:rsid w:val="00BD6BB6"/>
    <w:rsid w:val="00BE0207"/>
    <w:rsid w:val="00BE0229"/>
    <w:rsid w:val="00BE0CBA"/>
    <w:rsid w:val="00BE1ABE"/>
    <w:rsid w:val="00BE1E78"/>
    <w:rsid w:val="00BE397C"/>
    <w:rsid w:val="00BE4F71"/>
    <w:rsid w:val="00BE5F62"/>
    <w:rsid w:val="00BE699E"/>
    <w:rsid w:val="00BE756B"/>
    <w:rsid w:val="00BE7687"/>
    <w:rsid w:val="00BE798B"/>
    <w:rsid w:val="00BF1815"/>
    <w:rsid w:val="00BF2445"/>
    <w:rsid w:val="00BF3603"/>
    <w:rsid w:val="00BF6087"/>
    <w:rsid w:val="00BF78CB"/>
    <w:rsid w:val="00C000E7"/>
    <w:rsid w:val="00C02A20"/>
    <w:rsid w:val="00C02DF8"/>
    <w:rsid w:val="00C03844"/>
    <w:rsid w:val="00C03949"/>
    <w:rsid w:val="00C03D48"/>
    <w:rsid w:val="00C06016"/>
    <w:rsid w:val="00C063E9"/>
    <w:rsid w:val="00C1082E"/>
    <w:rsid w:val="00C10CBD"/>
    <w:rsid w:val="00C10EBF"/>
    <w:rsid w:val="00C12B60"/>
    <w:rsid w:val="00C1387A"/>
    <w:rsid w:val="00C13BF6"/>
    <w:rsid w:val="00C13E1F"/>
    <w:rsid w:val="00C13EE1"/>
    <w:rsid w:val="00C14FF1"/>
    <w:rsid w:val="00C15876"/>
    <w:rsid w:val="00C16A4C"/>
    <w:rsid w:val="00C23AF5"/>
    <w:rsid w:val="00C246FE"/>
    <w:rsid w:val="00C24AB9"/>
    <w:rsid w:val="00C26535"/>
    <w:rsid w:val="00C266E1"/>
    <w:rsid w:val="00C26736"/>
    <w:rsid w:val="00C26BF4"/>
    <w:rsid w:val="00C26CDC"/>
    <w:rsid w:val="00C31AE2"/>
    <w:rsid w:val="00C32874"/>
    <w:rsid w:val="00C32A97"/>
    <w:rsid w:val="00C32C93"/>
    <w:rsid w:val="00C3417A"/>
    <w:rsid w:val="00C364BC"/>
    <w:rsid w:val="00C367DF"/>
    <w:rsid w:val="00C37C51"/>
    <w:rsid w:val="00C40702"/>
    <w:rsid w:val="00C40734"/>
    <w:rsid w:val="00C40DA1"/>
    <w:rsid w:val="00C424FE"/>
    <w:rsid w:val="00C44938"/>
    <w:rsid w:val="00C452C7"/>
    <w:rsid w:val="00C45DC9"/>
    <w:rsid w:val="00C46B94"/>
    <w:rsid w:val="00C4705E"/>
    <w:rsid w:val="00C5314C"/>
    <w:rsid w:val="00C53BBA"/>
    <w:rsid w:val="00C5488A"/>
    <w:rsid w:val="00C54E3B"/>
    <w:rsid w:val="00C55A44"/>
    <w:rsid w:val="00C5695D"/>
    <w:rsid w:val="00C5739B"/>
    <w:rsid w:val="00C574D3"/>
    <w:rsid w:val="00C5750C"/>
    <w:rsid w:val="00C57F14"/>
    <w:rsid w:val="00C60155"/>
    <w:rsid w:val="00C6055C"/>
    <w:rsid w:val="00C60B98"/>
    <w:rsid w:val="00C6218C"/>
    <w:rsid w:val="00C63BC0"/>
    <w:rsid w:val="00C646BD"/>
    <w:rsid w:val="00C646C8"/>
    <w:rsid w:val="00C65B0E"/>
    <w:rsid w:val="00C66B4D"/>
    <w:rsid w:val="00C66F0C"/>
    <w:rsid w:val="00C6701A"/>
    <w:rsid w:val="00C70A90"/>
    <w:rsid w:val="00C7317A"/>
    <w:rsid w:val="00C75659"/>
    <w:rsid w:val="00C756B7"/>
    <w:rsid w:val="00C75C69"/>
    <w:rsid w:val="00C75E86"/>
    <w:rsid w:val="00C76AFC"/>
    <w:rsid w:val="00C80EBA"/>
    <w:rsid w:val="00C8252D"/>
    <w:rsid w:val="00C856F5"/>
    <w:rsid w:val="00C860F8"/>
    <w:rsid w:val="00C86276"/>
    <w:rsid w:val="00C86FF9"/>
    <w:rsid w:val="00C87359"/>
    <w:rsid w:val="00C90E13"/>
    <w:rsid w:val="00C93D17"/>
    <w:rsid w:val="00C95370"/>
    <w:rsid w:val="00C973D8"/>
    <w:rsid w:val="00CA2D1B"/>
    <w:rsid w:val="00CA5269"/>
    <w:rsid w:val="00CA5355"/>
    <w:rsid w:val="00CA6CB2"/>
    <w:rsid w:val="00CA7989"/>
    <w:rsid w:val="00CB0C84"/>
    <w:rsid w:val="00CB1EAD"/>
    <w:rsid w:val="00CB3207"/>
    <w:rsid w:val="00CB40A8"/>
    <w:rsid w:val="00CB5125"/>
    <w:rsid w:val="00CB6B45"/>
    <w:rsid w:val="00CB797D"/>
    <w:rsid w:val="00CC02E4"/>
    <w:rsid w:val="00CC04B2"/>
    <w:rsid w:val="00CC0C64"/>
    <w:rsid w:val="00CC25C3"/>
    <w:rsid w:val="00CC36E7"/>
    <w:rsid w:val="00CC5C5E"/>
    <w:rsid w:val="00CC68A0"/>
    <w:rsid w:val="00CD0AEA"/>
    <w:rsid w:val="00CD1862"/>
    <w:rsid w:val="00CD19D3"/>
    <w:rsid w:val="00CD27DD"/>
    <w:rsid w:val="00CD31B7"/>
    <w:rsid w:val="00CD43E8"/>
    <w:rsid w:val="00CD5719"/>
    <w:rsid w:val="00CD5B40"/>
    <w:rsid w:val="00CD6184"/>
    <w:rsid w:val="00CD656B"/>
    <w:rsid w:val="00CD6A5A"/>
    <w:rsid w:val="00CD716A"/>
    <w:rsid w:val="00CE0EE1"/>
    <w:rsid w:val="00CE13CB"/>
    <w:rsid w:val="00CE3E4F"/>
    <w:rsid w:val="00CE431D"/>
    <w:rsid w:val="00CE4B17"/>
    <w:rsid w:val="00CE52FB"/>
    <w:rsid w:val="00CE60F2"/>
    <w:rsid w:val="00CE6988"/>
    <w:rsid w:val="00CE6AAA"/>
    <w:rsid w:val="00CE7E77"/>
    <w:rsid w:val="00CF1E2F"/>
    <w:rsid w:val="00CF23D8"/>
    <w:rsid w:val="00CF37AC"/>
    <w:rsid w:val="00CF3DFD"/>
    <w:rsid w:val="00CF45A0"/>
    <w:rsid w:val="00CF661F"/>
    <w:rsid w:val="00D003BF"/>
    <w:rsid w:val="00D021C5"/>
    <w:rsid w:val="00D02611"/>
    <w:rsid w:val="00D028D1"/>
    <w:rsid w:val="00D02A96"/>
    <w:rsid w:val="00D03541"/>
    <w:rsid w:val="00D03D96"/>
    <w:rsid w:val="00D054E1"/>
    <w:rsid w:val="00D062F5"/>
    <w:rsid w:val="00D06448"/>
    <w:rsid w:val="00D06B06"/>
    <w:rsid w:val="00D06B82"/>
    <w:rsid w:val="00D07676"/>
    <w:rsid w:val="00D07E9F"/>
    <w:rsid w:val="00D1123A"/>
    <w:rsid w:val="00D117EF"/>
    <w:rsid w:val="00D1283A"/>
    <w:rsid w:val="00D13037"/>
    <w:rsid w:val="00D1312D"/>
    <w:rsid w:val="00D14AB9"/>
    <w:rsid w:val="00D14EF9"/>
    <w:rsid w:val="00D15BEA"/>
    <w:rsid w:val="00D15DCA"/>
    <w:rsid w:val="00D16EA3"/>
    <w:rsid w:val="00D17ADA"/>
    <w:rsid w:val="00D17F5B"/>
    <w:rsid w:val="00D2005D"/>
    <w:rsid w:val="00D211F0"/>
    <w:rsid w:val="00D221A1"/>
    <w:rsid w:val="00D22F52"/>
    <w:rsid w:val="00D24359"/>
    <w:rsid w:val="00D24CFE"/>
    <w:rsid w:val="00D254B0"/>
    <w:rsid w:val="00D2625E"/>
    <w:rsid w:val="00D263C6"/>
    <w:rsid w:val="00D264AA"/>
    <w:rsid w:val="00D26E21"/>
    <w:rsid w:val="00D3078E"/>
    <w:rsid w:val="00D30942"/>
    <w:rsid w:val="00D30C8C"/>
    <w:rsid w:val="00D30DB0"/>
    <w:rsid w:val="00D3177A"/>
    <w:rsid w:val="00D33A38"/>
    <w:rsid w:val="00D33B5A"/>
    <w:rsid w:val="00D351D7"/>
    <w:rsid w:val="00D35E99"/>
    <w:rsid w:val="00D364C0"/>
    <w:rsid w:val="00D378A6"/>
    <w:rsid w:val="00D378A9"/>
    <w:rsid w:val="00D42630"/>
    <w:rsid w:val="00D42F03"/>
    <w:rsid w:val="00D440D7"/>
    <w:rsid w:val="00D44981"/>
    <w:rsid w:val="00D45844"/>
    <w:rsid w:val="00D45E66"/>
    <w:rsid w:val="00D4642D"/>
    <w:rsid w:val="00D46943"/>
    <w:rsid w:val="00D516D9"/>
    <w:rsid w:val="00D51A63"/>
    <w:rsid w:val="00D53479"/>
    <w:rsid w:val="00D543C4"/>
    <w:rsid w:val="00D5696B"/>
    <w:rsid w:val="00D56C34"/>
    <w:rsid w:val="00D570B2"/>
    <w:rsid w:val="00D5795A"/>
    <w:rsid w:val="00D57E81"/>
    <w:rsid w:val="00D60044"/>
    <w:rsid w:val="00D61240"/>
    <w:rsid w:val="00D62459"/>
    <w:rsid w:val="00D640ED"/>
    <w:rsid w:val="00D65614"/>
    <w:rsid w:val="00D663E4"/>
    <w:rsid w:val="00D7044E"/>
    <w:rsid w:val="00D7055F"/>
    <w:rsid w:val="00D7087D"/>
    <w:rsid w:val="00D70A0A"/>
    <w:rsid w:val="00D7243E"/>
    <w:rsid w:val="00D725F6"/>
    <w:rsid w:val="00D7311C"/>
    <w:rsid w:val="00D762C5"/>
    <w:rsid w:val="00D777E5"/>
    <w:rsid w:val="00D77A66"/>
    <w:rsid w:val="00D84313"/>
    <w:rsid w:val="00D855D2"/>
    <w:rsid w:val="00D86F6F"/>
    <w:rsid w:val="00D8700F"/>
    <w:rsid w:val="00D87325"/>
    <w:rsid w:val="00D87706"/>
    <w:rsid w:val="00D91E4D"/>
    <w:rsid w:val="00D91EA0"/>
    <w:rsid w:val="00D9515E"/>
    <w:rsid w:val="00DA0185"/>
    <w:rsid w:val="00DA1065"/>
    <w:rsid w:val="00DA2404"/>
    <w:rsid w:val="00DA35EF"/>
    <w:rsid w:val="00DA3DAB"/>
    <w:rsid w:val="00DA70FC"/>
    <w:rsid w:val="00DB0153"/>
    <w:rsid w:val="00DB07B8"/>
    <w:rsid w:val="00DB16C6"/>
    <w:rsid w:val="00DB1AEC"/>
    <w:rsid w:val="00DB1BFF"/>
    <w:rsid w:val="00DB2C77"/>
    <w:rsid w:val="00DB3030"/>
    <w:rsid w:val="00DB39CF"/>
    <w:rsid w:val="00DB4158"/>
    <w:rsid w:val="00DB6C09"/>
    <w:rsid w:val="00DB76D9"/>
    <w:rsid w:val="00DC078F"/>
    <w:rsid w:val="00DC0EAC"/>
    <w:rsid w:val="00DC16DA"/>
    <w:rsid w:val="00DC39D9"/>
    <w:rsid w:val="00DC3B7E"/>
    <w:rsid w:val="00DC3E25"/>
    <w:rsid w:val="00DD11D6"/>
    <w:rsid w:val="00DD3B37"/>
    <w:rsid w:val="00DD3FF8"/>
    <w:rsid w:val="00DD4EE6"/>
    <w:rsid w:val="00DD4F74"/>
    <w:rsid w:val="00DD5646"/>
    <w:rsid w:val="00DD6CE6"/>
    <w:rsid w:val="00DD6E34"/>
    <w:rsid w:val="00DD77AC"/>
    <w:rsid w:val="00DE09AF"/>
    <w:rsid w:val="00DE1381"/>
    <w:rsid w:val="00DE16A6"/>
    <w:rsid w:val="00DE2C83"/>
    <w:rsid w:val="00DE2F52"/>
    <w:rsid w:val="00DE3427"/>
    <w:rsid w:val="00DE4188"/>
    <w:rsid w:val="00DE5407"/>
    <w:rsid w:val="00DE5577"/>
    <w:rsid w:val="00DE625D"/>
    <w:rsid w:val="00DE6686"/>
    <w:rsid w:val="00DE71F4"/>
    <w:rsid w:val="00DE7BFC"/>
    <w:rsid w:val="00DE7ECD"/>
    <w:rsid w:val="00DF06C2"/>
    <w:rsid w:val="00DF0AFB"/>
    <w:rsid w:val="00DF24CA"/>
    <w:rsid w:val="00DF2F70"/>
    <w:rsid w:val="00DF4202"/>
    <w:rsid w:val="00DF528D"/>
    <w:rsid w:val="00DF5550"/>
    <w:rsid w:val="00DF5A7C"/>
    <w:rsid w:val="00DF5D75"/>
    <w:rsid w:val="00DF5E8D"/>
    <w:rsid w:val="00DF6D6B"/>
    <w:rsid w:val="00DF702F"/>
    <w:rsid w:val="00DF7466"/>
    <w:rsid w:val="00E00E74"/>
    <w:rsid w:val="00E01358"/>
    <w:rsid w:val="00E01403"/>
    <w:rsid w:val="00E0207E"/>
    <w:rsid w:val="00E025CC"/>
    <w:rsid w:val="00E02D5F"/>
    <w:rsid w:val="00E02F61"/>
    <w:rsid w:val="00E032C1"/>
    <w:rsid w:val="00E034F2"/>
    <w:rsid w:val="00E03891"/>
    <w:rsid w:val="00E04E72"/>
    <w:rsid w:val="00E0505F"/>
    <w:rsid w:val="00E07656"/>
    <w:rsid w:val="00E07EC0"/>
    <w:rsid w:val="00E07FFE"/>
    <w:rsid w:val="00E10C46"/>
    <w:rsid w:val="00E10E36"/>
    <w:rsid w:val="00E1122D"/>
    <w:rsid w:val="00E13623"/>
    <w:rsid w:val="00E13998"/>
    <w:rsid w:val="00E13EA5"/>
    <w:rsid w:val="00E1413D"/>
    <w:rsid w:val="00E14541"/>
    <w:rsid w:val="00E1487D"/>
    <w:rsid w:val="00E153C9"/>
    <w:rsid w:val="00E15799"/>
    <w:rsid w:val="00E163D3"/>
    <w:rsid w:val="00E17854"/>
    <w:rsid w:val="00E17E79"/>
    <w:rsid w:val="00E20938"/>
    <w:rsid w:val="00E20A23"/>
    <w:rsid w:val="00E25D01"/>
    <w:rsid w:val="00E27C35"/>
    <w:rsid w:val="00E303F0"/>
    <w:rsid w:val="00E30D56"/>
    <w:rsid w:val="00E31F50"/>
    <w:rsid w:val="00E338EF"/>
    <w:rsid w:val="00E33AF2"/>
    <w:rsid w:val="00E35055"/>
    <w:rsid w:val="00E36F8A"/>
    <w:rsid w:val="00E4028F"/>
    <w:rsid w:val="00E40B9C"/>
    <w:rsid w:val="00E41301"/>
    <w:rsid w:val="00E4134A"/>
    <w:rsid w:val="00E41A2A"/>
    <w:rsid w:val="00E42ADA"/>
    <w:rsid w:val="00E433C7"/>
    <w:rsid w:val="00E433E6"/>
    <w:rsid w:val="00E43F99"/>
    <w:rsid w:val="00E4446E"/>
    <w:rsid w:val="00E448DA"/>
    <w:rsid w:val="00E471AC"/>
    <w:rsid w:val="00E47BAC"/>
    <w:rsid w:val="00E47D88"/>
    <w:rsid w:val="00E47D9B"/>
    <w:rsid w:val="00E50C47"/>
    <w:rsid w:val="00E51B84"/>
    <w:rsid w:val="00E54026"/>
    <w:rsid w:val="00E5573B"/>
    <w:rsid w:val="00E55DD7"/>
    <w:rsid w:val="00E56CB2"/>
    <w:rsid w:val="00E60AFF"/>
    <w:rsid w:val="00E62ADA"/>
    <w:rsid w:val="00E62F47"/>
    <w:rsid w:val="00E6453C"/>
    <w:rsid w:val="00E64A80"/>
    <w:rsid w:val="00E6527B"/>
    <w:rsid w:val="00E660B6"/>
    <w:rsid w:val="00E66BC0"/>
    <w:rsid w:val="00E7189C"/>
    <w:rsid w:val="00E723B1"/>
    <w:rsid w:val="00E7251E"/>
    <w:rsid w:val="00E72977"/>
    <w:rsid w:val="00E72E8B"/>
    <w:rsid w:val="00E73B8E"/>
    <w:rsid w:val="00E74537"/>
    <w:rsid w:val="00E74BD5"/>
    <w:rsid w:val="00E76030"/>
    <w:rsid w:val="00E7606D"/>
    <w:rsid w:val="00E764D3"/>
    <w:rsid w:val="00E767E2"/>
    <w:rsid w:val="00E772F4"/>
    <w:rsid w:val="00E77492"/>
    <w:rsid w:val="00E7775B"/>
    <w:rsid w:val="00E805BC"/>
    <w:rsid w:val="00E80D10"/>
    <w:rsid w:val="00E82C38"/>
    <w:rsid w:val="00E846FD"/>
    <w:rsid w:val="00E85083"/>
    <w:rsid w:val="00E86127"/>
    <w:rsid w:val="00E87CCD"/>
    <w:rsid w:val="00E904A3"/>
    <w:rsid w:val="00E9122C"/>
    <w:rsid w:val="00E92107"/>
    <w:rsid w:val="00E94CB0"/>
    <w:rsid w:val="00E952C2"/>
    <w:rsid w:val="00E9654E"/>
    <w:rsid w:val="00E96E41"/>
    <w:rsid w:val="00E973DF"/>
    <w:rsid w:val="00E9769A"/>
    <w:rsid w:val="00E978DB"/>
    <w:rsid w:val="00EA037A"/>
    <w:rsid w:val="00EA0FE4"/>
    <w:rsid w:val="00EA1508"/>
    <w:rsid w:val="00EA1696"/>
    <w:rsid w:val="00EA2B76"/>
    <w:rsid w:val="00EA33D1"/>
    <w:rsid w:val="00EA451F"/>
    <w:rsid w:val="00EA5F60"/>
    <w:rsid w:val="00EA60A3"/>
    <w:rsid w:val="00EA6623"/>
    <w:rsid w:val="00EB0DD0"/>
    <w:rsid w:val="00EB1667"/>
    <w:rsid w:val="00EB2837"/>
    <w:rsid w:val="00EB2C7A"/>
    <w:rsid w:val="00EB3488"/>
    <w:rsid w:val="00EB3C1A"/>
    <w:rsid w:val="00EB3EAB"/>
    <w:rsid w:val="00EB4D4F"/>
    <w:rsid w:val="00EB53B7"/>
    <w:rsid w:val="00EB5C0B"/>
    <w:rsid w:val="00EB60BC"/>
    <w:rsid w:val="00EB6306"/>
    <w:rsid w:val="00EB6F0E"/>
    <w:rsid w:val="00EB70CC"/>
    <w:rsid w:val="00EB74B3"/>
    <w:rsid w:val="00EB7693"/>
    <w:rsid w:val="00EB7B1B"/>
    <w:rsid w:val="00EC0E50"/>
    <w:rsid w:val="00EC13F1"/>
    <w:rsid w:val="00EC3223"/>
    <w:rsid w:val="00EC3D89"/>
    <w:rsid w:val="00EC4800"/>
    <w:rsid w:val="00EC4F07"/>
    <w:rsid w:val="00EC6C2B"/>
    <w:rsid w:val="00EC762B"/>
    <w:rsid w:val="00EC7C01"/>
    <w:rsid w:val="00ED0A69"/>
    <w:rsid w:val="00ED0EA2"/>
    <w:rsid w:val="00ED12DD"/>
    <w:rsid w:val="00ED1BAA"/>
    <w:rsid w:val="00ED5C24"/>
    <w:rsid w:val="00ED5D07"/>
    <w:rsid w:val="00EE0526"/>
    <w:rsid w:val="00EE240F"/>
    <w:rsid w:val="00EE27C1"/>
    <w:rsid w:val="00EE4615"/>
    <w:rsid w:val="00EF0B46"/>
    <w:rsid w:val="00EF0DCF"/>
    <w:rsid w:val="00EF11E7"/>
    <w:rsid w:val="00EF3C13"/>
    <w:rsid w:val="00EF4A33"/>
    <w:rsid w:val="00EF56FA"/>
    <w:rsid w:val="00EF61FA"/>
    <w:rsid w:val="00EF63FB"/>
    <w:rsid w:val="00EF646E"/>
    <w:rsid w:val="00EF669D"/>
    <w:rsid w:val="00EF6BBF"/>
    <w:rsid w:val="00F017E9"/>
    <w:rsid w:val="00F02180"/>
    <w:rsid w:val="00F03041"/>
    <w:rsid w:val="00F0470A"/>
    <w:rsid w:val="00F072DC"/>
    <w:rsid w:val="00F11F21"/>
    <w:rsid w:val="00F13257"/>
    <w:rsid w:val="00F14915"/>
    <w:rsid w:val="00F15002"/>
    <w:rsid w:val="00F15BCC"/>
    <w:rsid w:val="00F15CD5"/>
    <w:rsid w:val="00F1679D"/>
    <w:rsid w:val="00F167A1"/>
    <w:rsid w:val="00F175A8"/>
    <w:rsid w:val="00F17744"/>
    <w:rsid w:val="00F206D9"/>
    <w:rsid w:val="00F20A98"/>
    <w:rsid w:val="00F20B9C"/>
    <w:rsid w:val="00F22912"/>
    <w:rsid w:val="00F22BAC"/>
    <w:rsid w:val="00F24C2E"/>
    <w:rsid w:val="00F250AC"/>
    <w:rsid w:val="00F26ACE"/>
    <w:rsid w:val="00F270B1"/>
    <w:rsid w:val="00F31579"/>
    <w:rsid w:val="00F325A0"/>
    <w:rsid w:val="00F32B51"/>
    <w:rsid w:val="00F3388D"/>
    <w:rsid w:val="00F33AF4"/>
    <w:rsid w:val="00F34D7D"/>
    <w:rsid w:val="00F363B6"/>
    <w:rsid w:val="00F40141"/>
    <w:rsid w:val="00F40407"/>
    <w:rsid w:val="00F40D9E"/>
    <w:rsid w:val="00F41F2D"/>
    <w:rsid w:val="00F4347C"/>
    <w:rsid w:val="00F44DDD"/>
    <w:rsid w:val="00F45485"/>
    <w:rsid w:val="00F45813"/>
    <w:rsid w:val="00F459C7"/>
    <w:rsid w:val="00F5061E"/>
    <w:rsid w:val="00F50EDE"/>
    <w:rsid w:val="00F51221"/>
    <w:rsid w:val="00F52625"/>
    <w:rsid w:val="00F5312D"/>
    <w:rsid w:val="00F5319E"/>
    <w:rsid w:val="00F539FC"/>
    <w:rsid w:val="00F53AF0"/>
    <w:rsid w:val="00F54A26"/>
    <w:rsid w:val="00F55918"/>
    <w:rsid w:val="00F60F40"/>
    <w:rsid w:val="00F60FE2"/>
    <w:rsid w:val="00F62526"/>
    <w:rsid w:val="00F64514"/>
    <w:rsid w:val="00F6496F"/>
    <w:rsid w:val="00F655D7"/>
    <w:rsid w:val="00F65C60"/>
    <w:rsid w:val="00F679AE"/>
    <w:rsid w:val="00F67E8C"/>
    <w:rsid w:val="00F719C6"/>
    <w:rsid w:val="00F72B5A"/>
    <w:rsid w:val="00F7424F"/>
    <w:rsid w:val="00F76D60"/>
    <w:rsid w:val="00F8017E"/>
    <w:rsid w:val="00F80AF6"/>
    <w:rsid w:val="00F80BE7"/>
    <w:rsid w:val="00F80FF3"/>
    <w:rsid w:val="00F81227"/>
    <w:rsid w:val="00F81B34"/>
    <w:rsid w:val="00F82C09"/>
    <w:rsid w:val="00F8375C"/>
    <w:rsid w:val="00F8566D"/>
    <w:rsid w:val="00F857E0"/>
    <w:rsid w:val="00F878DB"/>
    <w:rsid w:val="00F90B92"/>
    <w:rsid w:val="00F91245"/>
    <w:rsid w:val="00F912DB"/>
    <w:rsid w:val="00F92D5C"/>
    <w:rsid w:val="00F93019"/>
    <w:rsid w:val="00F9309D"/>
    <w:rsid w:val="00F95824"/>
    <w:rsid w:val="00FA048B"/>
    <w:rsid w:val="00FA3524"/>
    <w:rsid w:val="00FA3741"/>
    <w:rsid w:val="00FA5B82"/>
    <w:rsid w:val="00FA5DDA"/>
    <w:rsid w:val="00FB0D70"/>
    <w:rsid w:val="00FB25B7"/>
    <w:rsid w:val="00FB2B9A"/>
    <w:rsid w:val="00FB3DA3"/>
    <w:rsid w:val="00FB5697"/>
    <w:rsid w:val="00FC028E"/>
    <w:rsid w:val="00FC03CE"/>
    <w:rsid w:val="00FC198E"/>
    <w:rsid w:val="00FC1B75"/>
    <w:rsid w:val="00FC1F84"/>
    <w:rsid w:val="00FC2B4B"/>
    <w:rsid w:val="00FC3219"/>
    <w:rsid w:val="00FC4379"/>
    <w:rsid w:val="00FC4E05"/>
    <w:rsid w:val="00FC574F"/>
    <w:rsid w:val="00FC5A09"/>
    <w:rsid w:val="00FC7BDF"/>
    <w:rsid w:val="00FC7ECA"/>
    <w:rsid w:val="00FD13C8"/>
    <w:rsid w:val="00FD1AEE"/>
    <w:rsid w:val="00FD246E"/>
    <w:rsid w:val="00FD2734"/>
    <w:rsid w:val="00FD3153"/>
    <w:rsid w:val="00FD31D8"/>
    <w:rsid w:val="00FD41B7"/>
    <w:rsid w:val="00FD4E3D"/>
    <w:rsid w:val="00FE2440"/>
    <w:rsid w:val="00FE275C"/>
    <w:rsid w:val="00FE374C"/>
    <w:rsid w:val="00FE3F16"/>
    <w:rsid w:val="00FE4280"/>
    <w:rsid w:val="00FE594D"/>
    <w:rsid w:val="00FE5D4F"/>
    <w:rsid w:val="00FE5DFF"/>
    <w:rsid w:val="00FE6394"/>
    <w:rsid w:val="00FE69F5"/>
    <w:rsid w:val="00FE6CAC"/>
    <w:rsid w:val="00FE7406"/>
    <w:rsid w:val="00FF057A"/>
    <w:rsid w:val="00FF07B8"/>
    <w:rsid w:val="00FF0A92"/>
    <w:rsid w:val="00FF2127"/>
    <w:rsid w:val="00FF4255"/>
    <w:rsid w:val="00FF513C"/>
    <w:rsid w:val="00FF56FC"/>
    <w:rsid w:val="00FF6898"/>
    <w:rsid w:val="00FF6F51"/>
    <w:rsid w:val="00FF766F"/>
    <w:rsid w:val="00FF7876"/>
    <w:rsid w:val="01B9DB56"/>
    <w:rsid w:val="01D7E199"/>
    <w:rsid w:val="030257E5"/>
    <w:rsid w:val="046A76C6"/>
    <w:rsid w:val="049F30FF"/>
    <w:rsid w:val="06152FB1"/>
    <w:rsid w:val="06C13511"/>
    <w:rsid w:val="06E4FA72"/>
    <w:rsid w:val="073DFB8B"/>
    <w:rsid w:val="076088F9"/>
    <w:rsid w:val="07685610"/>
    <w:rsid w:val="07EC60B4"/>
    <w:rsid w:val="094E3436"/>
    <w:rsid w:val="0A72D5A9"/>
    <w:rsid w:val="0AFF08AC"/>
    <w:rsid w:val="0B709674"/>
    <w:rsid w:val="0BD18B5C"/>
    <w:rsid w:val="0C5330DC"/>
    <w:rsid w:val="0CBFFD32"/>
    <w:rsid w:val="0D68B628"/>
    <w:rsid w:val="0DB11A44"/>
    <w:rsid w:val="105C1350"/>
    <w:rsid w:val="1177A78D"/>
    <w:rsid w:val="12F9B567"/>
    <w:rsid w:val="1337789D"/>
    <w:rsid w:val="145FF3C7"/>
    <w:rsid w:val="14628D7E"/>
    <w:rsid w:val="157288D6"/>
    <w:rsid w:val="1577CA97"/>
    <w:rsid w:val="1590C53B"/>
    <w:rsid w:val="159DE340"/>
    <w:rsid w:val="15B4AAC0"/>
    <w:rsid w:val="16723810"/>
    <w:rsid w:val="1680E5FF"/>
    <w:rsid w:val="17985FF2"/>
    <w:rsid w:val="19323E90"/>
    <w:rsid w:val="1AC04097"/>
    <w:rsid w:val="1C5902A7"/>
    <w:rsid w:val="1C9AF110"/>
    <w:rsid w:val="1E831F81"/>
    <w:rsid w:val="1EF2CA3B"/>
    <w:rsid w:val="208822E7"/>
    <w:rsid w:val="20D38346"/>
    <w:rsid w:val="21ACC4E0"/>
    <w:rsid w:val="21C1438B"/>
    <w:rsid w:val="2281363D"/>
    <w:rsid w:val="2291B25E"/>
    <w:rsid w:val="22A36902"/>
    <w:rsid w:val="232F7EF2"/>
    <w:rsid w:val="239241DD"/>
    <w:rsid w:val="2449C4B5"/>
    <w:rsid w:val="24654CF4"/>
    <w:rsid w:val="249BF625"/>
    <w:rsid w:val="24AEEC9A"/>
    <w:rsid w:val="2534D2D6"/>
    <w:rsid w:val="2535B8FC"/>
    <w:rsid w:val="25D6854E"/>
    <w:rsid w:val="26A4918D"/>
    <w:rsid w:val="27F40A59"/>
    <w:rsid w:val="2AB43846"/>
    <w:rsid w:val="2CFAB15E"/>
    <w:rsid w:val="2D85753D"/>
    <w:rsid w:val="2E5FA848"/>
    <w:rsid w:val="3019F40C"/>
    <w:rsid w:val="324A2167"/>
    <w:rsid w:val="335F0A84"/>
    <w:rsid w:val="33D7EF61"/>
    <w:rsid w:val="34A124E5"/>
    <w:rsid w:val="34A5D714"/>
    <w:rsid w:val="352C3203"/>
    <w:rsid w:val="36A7EB06"/>
    <w:rsid w:val="377A032B"/>
    <w:rsid w:val="37A114F6"/>
    <w:rsid w:val="3814F70D"/>
    <w:rsid w:val="38171CDA"/>
    <w:rsid w:val="38CFE49B"/>
    <w:rsid w:val="3A7CBDFD"/>
    <w:rsid w:val="3B48EF54"/>
    <w:rsid w:val="3BA723D0"/>
    <w:rsid w:val="3C07A001"/>
    <w:rsid w:val="3CF10FF3"/>
    <w:rsid w:val="3D89EA49"/>
    <w:rsid w:val="3DB21B83"/>
    <w:rsid w:val="3E7647AD"/>
    <w:rsid w:val="3F0629D8"/>
    <w:rsid w:val="3F77640C"/>
    <w:rsid w:val="40E89509"/>
    <w:rsid w:val="41CC8F30"/>
    <w:rsid w:val="42D5ECE4"/>
    <w:rsid w:val="43BB29F2"/>
    <w:rsid w:val="446F4618"/>
    <w:rsid w:val="44A2C8E4"/>
    <w:rsid w:val="47932F7B"/>
    <w:rsid w:val="47B6F615"/>
    <w:rsid w:val="48BFF183"/>
    <w:rsid w:val="49B3569E"/>
    <w:rsid w:val="4BBF436F"/>
    <w:rsid w:val="4BEC126F"/>
    <w:rsid w:val="4C2BF715"/>
    <w:rsid w:val="4D0E0D35"/>
    <w:rsid w:val="4D4DDC09"/>
    <w:rsid w:val="4E27779C"/>
    <w:rsid w:val="4EE82DAF"/>
    <w:rsid w:val="503428EB"/>
    <w:rsid w:val="51FAA77E"/>
    <w:rsid w:val="5231108C"/>
    <w:rsid w:val="53126B77"/>
    <w:rsid w:val="54316E8F"/>
    <w:rsid w:val="55530439"/>
    <w:rsid w:val="570E7291"/>
    <w:rsid w:val="582B2E61"/>
    <w:rsid w:val="58BBA31E"/>
    <w:rsid w:val="5ABE2CC7"/>
    <w:rsid w:val="5AC6BC5D"/>
    <w:rsid w:val="5B09F6B3"/>
    <w:rsid w:val="5CC3435B"/>
    <w:rsid w:val="5CF13681"/>
    <w:rsid w:val="5D079A3C"/>
    <w:rsid w:val="5D5C2D0A"/>
    <w:rsid w:val="5E19F58F"/>
    <w:rsid w:val="5E259628"/>
    <w:rsid w:val="5E9347C2"/>
    <w:rsid w:val="5E998442"/>
    <w:rsid w:val="6080B2CB"/>
    <w:rsid w:val="61CF1D16"/>
    <w:rsid w:val="622AED37"/>
    <w:rsid w:val="629B1657"/>
    <w:rsid w:val="62F9E9C1"/>
    <w:rsid w:val="63C0B99B"/>
    <w:rsid w:val="63C0F436"/>
    <w:rsid w:val="6424122B"/>
    <w:rsid w:val="6440E43C"/>
    <w:rsid w:val="6509E506"/>
    <w:rsid w:val="65A87A1C"/>
    <w:rsid w:val="667F6A1C"/>
    <w:rsid w:val="68F1A72E"/>
    <w:rsid w:val="68FAB716"/>
    <w:rsid w:val="6A91F1EE"/>
    <w:rsid w:val="6B716623"/>
    <w:rsid w:val="6CA8DDCE"/>
    <w:rsid w:val="6CFF59C9"/>
    <w:rsid w:val="6D0CB303"/>
    <w:rsid w:val="6D2018E9"/>
    <w:rsid w:val="6D3E136F"/>
    <w:rsid w:val="6DD4E8EA"/>
    <w:rsid w:val="6E43FA11"/>
    <w:rsid w:val="6F326231"/>
    <w:rsid w:val="6F858E58"/>
    <w:rsid w:val="6FF81DEE"/>
    <w:rsid w:val="7084040A"/>
    <w:rsid w:val="7190F8F7"/>
    <w:rsid w:val="7196DC31"/>
    <w:rsid w:val="730541D3"/>
    <w:rsid w:val="7341F1F9"/>
    <w:rsid w:val="740BAF74"/>
    <w:rsid w:val="7476F2E4"/>
    <w:rsid w:val="75B9807C"/>
    <w:rsid w:val="75BB7E6C"/>
    <w:rsid w:val="75F00309"/>
    <w:rsid w:val="76835075"/>
    <w:rsid w:val="77258BEE"/>
    <w:rsid w:val="7773ADD6"/>
    <w:rsid w:val="77E7DE9B"/>
    <w:rsid w:val="78317F0A"/>
    <w:rsid w:val="78653825"/>
    <w:rsid w:val="786E4F83"/>
    <w:rsid w:val="799E8562"/>
    <w:rsid w:val="79D825BB"/>
    <w:rsid w:val="7D11EF8A"/>
    <w:rsid w:val="7D9A7EA4"/>
    <w:rsid w:val="7EA00651"/>
    <w:rsid w:val="7EA6F98B"/>
    <w:rsid w:val="7F63B12E"/>
    <w:rsid w:val="7F70F88C"/>
    <w:rsid w:val="7FA18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AADEA"/>
  <w15:docId w15:val="{DB58C487-3E3F-483A-B4FE-706CDED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D37"/>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uiPriority w:val="99"/>
    <w:semiHidden/>
    <w:rsid w:val="00F206D9"/>
    <w:rPr>
      <w:vertAlign w:val="superscript"/>
    </w:rPr>
  </w:style>
  <w:style w:type="paragraph" w:styleId="Header">
    <w:name w:val="header"/>
    <w:basedOn w:val="Normal"/>
    <w:link w:val="HeaderChar"/>
    <w:uiPriority w:val="99"/>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basedOn w:val="Normal"/>
    <w:link w:val="FootnoteTextChar"/>
    <w:semiHidden/>
    <w:rsid w:val="00CF45A0"/>
    <w:rPr>
      <w:sz w:val="20"/>
      <w:szCs w:val="20"/>
    </w:rPr>
  </w:style>
  <w:style w:type="paragraph" w:styleId="PlainText">
    <w:name w:val="Plain Text"/>
    <w:basedOn w:val="Normal"/>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rsid w:val="00C13BF6"/>
    <w:rPr>
      <w:rFonts w:ascii="Tahoma" w:hAnsi="Tahoma" w:cs="Tahoma"/>
      <w:sz w:val="16"/>
      <w:szCs w:val="16"/>
    </w:rPr>
  </w:style>
  <w:style w:type="character" w:customStyle="1" w:styleId="BalloonTextChar">
    <w:name w:val="Balloon Text Char"/>
    <w:link w:val="BalloonText"/>
    <w:rsid w:val="00C13BF6"/>
    <w:rPr>
      <w:rFonts w:ascii="Tahoma" w:hAnsi="Tahoma" w:cs="Tahoma"/>
      <w:sz w:val="16"/>
      <w:szCs w:val="16"/>
    </w:rPr>
  </w:style>
  <w:style w:type="character" w:styleId="CommentReference">
    <w:name w:val="annotation reference"/>
    <w:rsid w:val="00692739"/>
    <w:rPr>
      <w:sz w:val="16"/>
      <w:szCs w:val="16"/>
    </w:rPr>
  </w:style>
  <w:style w:type="paragraph" w:styleId="CommentText">
    <w:name w:val="annotation text"/>
    <w:basedOn w:val="Normal"/>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
    <w:basedOn w:val="Normal"/>
    <w:uiPriority w:val="34"/>
    <w:qFormat/>
    <w:rsid w:val="00A302A6"/>
    <w:pPr>
      <w:ind w:left="720"/>
      <w:contextualSpacing/>
    </w:pPr>
  </w:style>
  <w:style w:type="paragraph" w:styleId="NormalWeb">
    <w:name w:val="Normal (Web)"/>
    <w:basedOn w:val="Normal"/>
    <w:uiPriority w:val="99"/>
    <w:unhideWhenUsed/>
    <w:rsid w:val="00B22D6A"/>
    <w:pPr>
      <w:spacing w:before="100" w:beforeAutospacing="1" w:after="100" w:afterAutospacing="1"/>
    </w:pPr>
  </w:style>
  <w:style w:type="paragraph" w:customStyle="1" w:styleId="paragraph">
    <w:name w:val="paragraph"/>
    <w:basedOn w:val="Normal"/>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basedOn w:val="DefaultParagraphFont"/>
    <w:link w:val="FootnoteText"/>
    <w:semiHidden/>
    <w:rsid w:val="00CA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D3A6-BA6C-4810-B8D6-29E86C8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cp:lastModifiedBy>Kristina Leuchowius</cp:lastModifiedBy>
  <cp:revision>2</cp:revision>
  <cp:lastPrinted>2018-08-01T15:11:00Z</cp:lastPrinted>
  <dcterms:created xsi:type="dcterms:W3CDTF">2018-08-24T14:08:00Z</dcterms:created>
  <dcterms:modified xsi:type="dcterms:W3CDTF">2018-08-24T14:08:00Z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1706227E</vt:lpwstr>
  </property>
  <property fmtid="{D5CDD505-2E9C-101B-9397-08002B2CF9AE}" pid="4" name="ODSRefJobNo">
    <vt:lpwstr>1710650E</vt:lpwstr>
  </property>
  <property fmtid="{D5CDD505-2E9C-101B-9397-08002B2CF9AE}" pid="5" name="Symbol1">
    <vt:lpwstr>DP/2017/22</vt:lpwstr>
  </property>
  <property fmtid="{D5CDD505-2E9C-101B-9397-08002B2CF9AE}" pid="6" name="Symbol2">
    <vt:lpwstr/>
  </property>
</Properties>
</file>