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03DF" w14:textId="77777777" w:rsidR="00E61BD7" w:rsidRPr="00D60D1F" w:rsidRDefault="00E61BD7" w:rsidP="00E61BD7">
      <w:pPr>
        <w:pStyle w:val="G-heading2"/>
        <w:numPr>
          <w:ilvl w:val="0"/>
          <w:numId w:val="0"/>
        </w:numPr>
      </w:pPr>
      <w:bookmarkStart w:id="0" w:name="_Toc533099722"/>
      <w:bookmarkStart w:id="1" w:name="_GoBack"/>
      <w:bookmarkEnd w:id="1"/>
      <w:r w:rsidRPr="00D60D1F">
        <w:t>Management response template</w:t>
      </w:r>
      <w:bookmarkEnd w:id="0"/>
    </w:p>
    <w:p w14:paraId="474E5ABA" w14:textId="77777777" w:rsidR="00E61BD7" w:rsidRPr="00BF5D14" w:rsidRDefault="00E61BD7" w:rsidP="00E61BD7">
      <w:pPr>
        <w:spacing w:after="0" w:line="240" w:lineRule="auto"/>
        <w:jc w:val="both"/>
        <w:rPr>
          <w:rFonts w:cstheme="minorHAnsi"/>
          <w:b/>
        </w:rPr>
      </w:pPr>
    </w:p>
    <w:p w14:paraId="23FB6DCF"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7FB068AD" w14:textId="23401381" w:rsidR="00E61BD7" w:rsidRDefault="00FF423A" w:rsidP="00E61BD7">
      <w:pPr>
        <w:spacing w:after="0" w:line="240" w:lineRule="auto"/>
        <w:jc w:val="both"/>
        <w:rPr>
          <w:rFonts w:cstheme="minorHAnsi"/>
        </w:rPr>
      </w:pPr>
      <w:r>
        <w:rPr>
          <w:rFonts w:cstheme="minorHAnsi"/>
          <w:b/>
        </w:rPr>
        <w:t xml:space="preserve">Final </w:t>
      </w:r>
      <w:r w:rsidR="00E61BD7" w:rsidRPr="00BF5D14">
        <w:rPr>
          <w:rFonts w:cstheme="minorHAnsi"/>
          <w:b/>
        </w:rPr>
        <w:t>Evaluation</w:t>
      </w:r>
      <w:r>
        <w:rPr>
          <w:rFonts w:cstheme="minorHAnsi"/>
          <w:b/>
        </w:rPr>
        <w:t xml:space="preserve"> of the Open Data – Open Opportunities Project</w:t>
      </w:r>
      <w:r w:rsidR="00E61BD7" w:rsidRPr="00BF5D14">
        <w:rPr>
          <w:rFonts w:cstheme="minorHAnsi"/>
        </w:rPr>
        <w:t xml:space="preserve"> </w:t>
      </w:r>
    </w:p>
    <w:p w14:paraId="6C38FABA" w14:textId="06B973D6" w:rsidR="00FF423A" w:rsidRPr="00BF5D14" w:rsidRDefault="00FF423A" w:rsidP="00E61BD7">
      <w:pPr>
        <w:spacing w:after="0" w:line="240" w:lineRule="auto"/>
        <w:jc w:val="both"/>
        <w:rPr>
          <w:rFonts w:cstheme="minorHAnsi"/>
        </w:rPr>
      </w:pPr>
      <w:r>
        <w:rPr>
          <w:rFonts w:cstheme="minorHAnsi"/>
        </w:rPr>
        <w:t xml:space="preserve">Date: </w:t>
      </w:r>
      <w:r w:rsidR="00A30F0B">
        <w:rPr>
          <w:rFonts w:cstheme="minorHAnsi"/>
        </w:rPr>
        <w:t>28 April 2020</w:t>
      </w:r>
    </w:p>
    <w:p w14:paraId="2DACA3D1" w14:textId="77777777" w:rsidR="00E61BD7" w:rsidRPr="00BF5D14" w:rsidRDefault="00E61BD7" w:rsidP="00E61BD7">
      <w:pPr>
        <w:spacing w:after="0" w:line="240" w:lineRule="auto"/>
        <w:ind w:left="5040" w:firstLine="720"/>
        <w:jc w:val="both"/>
        <w:rPr>
          <w:rFonts w:cstheme="minorHAnsi"/>
        </w:rPr>
      </w:pPr>
    </w:p>
    <w:p w14:paraId="53156337" w14:textId="37BF6CE5"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A30F0B">
        <w:rPr>
          <w:rFonts w:cstheme="minorHAnsi"/>
        </w:rPr>
        <w:t xml:space="preserve">Sanja </w:t>
      </w:r>
      <w:proofErr w:type="spellStart"/>
      <w:r w:rsidR="00A30F0B">
        <w:rPr>
          <w:rFonts w:cstheme="minorHAnsi"/>
        </w:rPr>
        <w:t>Arizanovic</w:t>
      </w:r>
      <w:proofErr w:type="spellEnd"/>
      <w:r w:rsidR="00A30F0B">
        <w:rPr>
          <w:rFonts w:cstheme="minorHAnsi"/>
        </w:rPr>
        <w:t xml:space="preserve"> </w:t>
      </w:r>
      <w:r w:rsidRPr="00BF5D14">
        <w:rPr>
          <w:rFonts w:cstheme="minorHAnsi"/>
        </w:rPr>
        <w:tab/>
        <w:t>Position:</w:t>
      </w:r>
      <w:r w:rsidR="00A30F0B">
        <w:rPr>
          <w:rFonts w:cstheme="minorHAnsi"/>
        </w:rPr>
        <w:t xml:space="preserve"> Project Coordinator </w:t>
      </w:r>
      <w:r w:rsidRPr="00BF5D14">
        <w:rPr>
          <w:rFonts w:cstheme="minorHAnsi"/>
        </w:rPr>
        <w:tab/>
      </w:r>
      <w:r w:rsidRPr="00BF5D14">
        <w:rPr>
          <w:rFonts w:cstheme="minorHAnsi"/>
        </w:rPr>
        <w:tab/>
        <w:t>Unit/Bureau:</w:t>
      </w:r>
      <w:r w:rsidR="00ED101F">
        <w:rPr>
          <w:rFonts w:cstheme="minorHAnsi"/>
        </w:rPr>
        <w:t xml:space="preserve"> UNDP Serbia</w:t>
      </w:r>
    </w:p>
    <w:p w14:paraId="768C0A19" w14:textId="625EAF25"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912009">
        <w:rPr>
          <w:rFonts w:cstheme="minorHAnsi"/>
        </w:rPr>
        <w:t xml:space="preserve"> Zeljka Topalovic</w:t>
      </w:r>
      <w:r w:rsidRPr="00BF5D14">
        <w:rPr>
          <w:rFonts w:cstheme="minorHAnsi"/>
        </w:rPr>
        <w:tab/>
        <w:t>Position:</w:t>
      </w:r>
      <w:r w:rsidR="00DA7038">
        <w:rPr>
          <w:rFonts w:cstheme="minorHAnsi"/>
        </w:rPr>
        <w:t xml:space="preserve"> Good Governance Programme Analyst</w:t>
      </w:r>
      <w:r w:rsidRPr="00BF5D14">
        <w:rPr>
          <w:rFonts w:cstheme="minorHAnsi"/>
        </w:rPr>
        <w:tab/>
      </w:r>
      <w:r w:rsidRPr="00BF5D14">
        <w:rPr>
          <w:rFonts w:cstheme="minorHAnsi"/>
        </w:rPr>
        <w:tab/>
        <w:t>Unit/Bureau:</w:t>
      </w:r>
      <w:r w:rsidR="00DA7038">
        <w:rPr>
          <w:rFonts w:cstheme="minorHAnsi"/>
        </w:rPr>
        <w:t xml:space="preserve"> UNDP Serbia</w:t>
      </w:r>
    </w:p>
    <w:p w14:paraId="48C7788E" w14:textId="77777777" w:rsidR="00912009" w:rsidRDefault="00E61BD7" w:rsidP="00912009">
      <w:pPr>
        <w:tabs>
          <w:tab w:val="left" w:pos="4320"/>
          <w:tab w:val="left" w:pos="7200"/>
        </w:tabs>
        <w:spacing w:after="0" w:line="240" w:lineRule="auto"/>
        <w:ind w:left="4320" w:hanging="4320"/>
        <w:jc w:val="both"/>
        <w:rPr>
          <w:rFonts w:cstheme="minorHAnsi"/>
        </w:rPr>
      </w:pPr>
      <w:r w:rsidRPr="00BF5D14">
        <w:rPr>
          <w:rFonts w:cstheme="minorHAnsi"/>
        </w:rPr>
        <w:t>Input into and update in ERC:</w:t>
      </w:r>
      <w:r w:rsidR="00912009">
        <w:rPr>
          <w:rFonts w:cstheme="minorHAnsi"/>
        </w:rPr>
        <w:t xml:space="preserve"> Daniel Varga</w:t>
      </w:r>
      <w:r w:rsidRPr="00BF5D14">
        <w:rPr>
          <w:rFonts w:cstheme="minorHAnsi"/>
        </w:rPr>
        <w:tab/>
        <w:t>Position:</w:t>
      </w:r>
      <w:r w:rsidR="00912009">
        <w:rPr>
          <w:rFonts w:cstheme="minorHAnsi"/>
        </w:rPr>
        <w:t xml:space="preserve"> </w:t>
      </w:r>
      <w:r w:rsidR="00912009" w:rsidRPr="00912009">
        <w:rPr>
          <w:rFonts w:cstheme="minorHAnsi"/>
        </w:rPr>
        <w:t>Programme Analyst</w:t>
      </w:r>
      <w:r w:rsidR="00912009">
        <w:rPr>
          <w:rFonts w:cstheme="minorHAnsi"/>
        </w:rPr>
        <w:t xml:space="preserve">, </w:t>
      </w:r>
      <w:r w:rsidR="00912009" w:rsidRPr="00912009">
        <w:rPr>
          <w:rFonts w:cstheme="minorHAnsi"/>
        </w:rPr>
        <w:t>Assurance, M&amp;E and Reporting</w:t>
      </w:r>
      <w:r w:rsidRPr="00BF5D14">
        <w:rPr>
          <w:rFonts w:cstheme="minorHAnsi"/>
        </w:rPr>
        <w:tab/>
      </w:r>
      <w:r w:rsidRPr="00BF5D14">
        <w:rPr>
          <w:rFonts w:cstheme="minorHAnsi"/>
        </w:rPr>
        <w:tab/>
      </w:r>
    </w:p>
    <w:p w14:paraId="756C481B" w14:textId="343F458E" w:rsidR="00E61BD7" w:rsidRPr="00BF5D14" w:rsidRDefault="00912009" w:rsidP="00912009">
      <w:pPr>
        <w:tabs>
          <w:tab w:val="left" w:pos="4320"/>
          <w:tab w:val="left" w:pos="7200"/>
        </w:tabs>
        <w:spacing w:after="0" w:line="240" w:lineRule="auto"/>
        <w:jc w:val="both"/>
        <w:rPr>
          <w:rFonts w:cstheme="minorHAnsi"/>
        </w:rPr>
      </w:pPr>
      <w:r>
        <w:rPr>
          <w:rFonts w:cstheme="minorHAnsi"/>
        </w:rPr>
        <w:tab/>
      </w:r>
      <w:r w:rsidR="00E61BD7" w:rsidRPr="00BF5D14">
        <w:rPr>
          <w:rFonts w:cstheme="minorHAnsi"/>
        </w:rPr>
        <w:t>Unit/Bureau:</w:t>
      </w:r>
      <w:r>
        <w:rPr>
          <w:rFonts w:cstheme="minorHAnsi"/>
        </w:rPr>
        <w:t xml:space="preserve"> UNDP Serbia</w:t>
      </w:r>
    </w:p>
    <w:p w14:paraId="56172AB8"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18"/>
        <w:gridCol w:w="1859"/>
        <w:gridCol w:w="2025"/>
        <w:gridCol w:w="1220"/>
        <w:gridCol w:w="1194"/>
      </w:tblGrid>
      <w:tr w:rsidR="00E61BD7" w:rsidRPr="008711DF" w14:paraId="05B71477" w14:textId="77777777" w:rsidTr="00A911C5">
        <w:tc>
          <w:tcPr>
            <w:tcW w:w="9016" w:type="dxa"/>
            <w:gridSpan w:val="5"/>
            <w:shd w:val="clear" w:color="auto" w:fill="EAF6F3"/>
          </w:tcPr>
          <w:p w14:paraId="51CEB8DF"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1. </w:t>
            </w:r>
          </w:p>
          <w:p w14:paraId="02972FA9" w14:textId="65A01F46" w:rsidR="00D04934" w:rsidRPr="00021CA5" w:rsidRDefault="00D04934" w:rsidP="00D04934">
            <w:pPr>
              <w:rPr>
                <w:b/>
                <w:bCs/>
              </w:rPr>
            </w:pPr>
            <w:r w:rsidRPr="00021CA5">
              <w:rPr>
                <w:b/>
                <w:bCs/>
              </w:rPr>
              <w:t xml:space="preserve">R1: </w:t>
            </w:r>
            <w:r w:rsidR="00B4036B">
              <w:t xml:space="preserve"> </w:t>
            </w:r>
            <w:r w:rsidR="00B4036B" w:rsidRPr="00B4036B">
              <w:rPr>
                <w:b/>
                <w:bCs/>
              </w:rPr>
              <w:t>Incubating and seeding</w:t>
            </w:r>
          </w:p>
          <w:p w14:paraId="5676F898" w14:textId="119160D0" w:rsidR="007606BD" w:rsidRPr="00CB33A7" w:rsidRDefault="00C81B54" w:rsidP="00260FE5">
            <w:pPr>
              <w:tabs>
                <w:tab w:val="left" w:pos="1080"/>
              </w:tabs>
              <w:spacing w:after="0" w:line="240" w:lineRule="auto"/>
              <w:jc w:val="both"/>
              <w:rPr>
                <w:rFonts w:cstheme="minorHAnsi"/>
                <w:bCs/>
              </w:rPr>
            </w:pPr>
            <w:r w:rsidRPr="00CB33A7">
              <w:rPr>
                <w:rFonts w:cstheme="minorHAnsi"/>
                <w:bCs/>
              </w:rPr>
              <w:t>In the first phase of the project the approach taken was to try to work with what already existed while increasing capacities, knowledge and demand on both the supply and demand sides. During the second phase of the project, the evaluator recommends that the project should be looking more at incubating and seeding. This means that the project is investing resources in multiple, concurrent small level pilots that may be based on successful approaches from within Serbia, or from external sources with similar contexts, and then to see which are able to be adapted to work in Serbia and within its political system. For this, the project could work closely with the UNDP Accelerator Lab.</w:t>
            </w:r>
          </w:p>
          <w:p w14:paraId="2D2BD5D5" w14:textId="77777777" w:rsidR="007606BD" w:rsidRPr="008711DF" w:rsidRDefault="007606BD" w:rsidP="00260FE5">
            <w:pPr>
              <w:tabs>
                <w:tab w:val="left" w:pos="1080"/>
              </w:tabs>
              <w:spacing w:after="0" w:line="240" w:lineRule="auto"/>
              <w:jc w:val="both"/>
              <w:rPr>
                <w:rFonts w:cstheme="minorHAnsi"/>
                <w:color w:val="185262"/>
              </w:rPr>
            </w:pPr>
          </w:p>
        </w:tc>
      </w:tr>
      <w:tr w:rsidR="00E61BD7" w:rsidRPr="008711DF" w14:paraId="535F8605" w14:textId="77777777" w:rsidTr="00A911C5">
        <w:tc>
          <w:tcPr>
            <w:tcW w:w="9016" w:type="dxa"/>
            <w:gridSpan w:val="5"/>
            <w:shd w:val="clear" w:color="auto" w:fill="EAF6F3"/>
          </w:tcPr>
          <w:p w14:paraId="5B98C2AA"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Management response: </w:t>
            </w:r>
          </w:p>
          <w:p w14:paraId="0E70DEC2" w14:textId="77777777" w:rsidR="00D04934" w:rsidRDefault="00D04934" w:rsidP="00260FE5">
            <w:pPr>
              <w:tabs>
                <w:tab w:val="left" w:pos="1080"/>
              </w:tabs>
              <w:spacing w:after="0" w:line="240" w:lineRule="auto"/>
              <w:jc w:val="both"/>
              <w:rPr>
                <w:rFonts w:cstheme="minorHAnsi"/>
                <w:color w:val="185262"/>
              </w:rPr>
            </w:pPr>
          </w:p>
          <w:p w14:paraId="42F25079" w14:textId="77777777" w:rsidR="008C1825" w:rsidRDefault="00904FB2" w:rsidP="002A0703">
            <w:pPr>
              <w:tabs>
                <w:tab w:val="left" w:pos="1080"/>
              </w:tabs>
              <w:spacing w:after="0" w:line="240" w:lineRule="auto"/>
              <w:jc w:val="both"/>
              <w:rPr>
                <w:rFonts w:cstheme="minorHAnsi"/>
                <w:color w:val="185262"/>
              </w:rPr>
            </w:pPr>
            <w:r>
              <w:rPr>
                <w:rFonts w:cstheme="minorHAnsi"/>
                <w:color w:val="185262"/>
              </w:rPr>
              <w:t xml:space="preserve">The project “Open Data – Open Opportunities” is </w:t>
            </w:r>
            <w:r w:rsidR="001121B9">
              <w:rPr>
                <w:rFonts w:cstheme="minorHAnsi"/>
                <w:color w:val="185262"/>
              </w:rPr>
              <w:t xml:space="preserve">operationally closed on 31 </w:t>
            </w:r>
            <w:r>
              <w:rPr>
                <w:rFonts w:cstheme="minorHAnsi"/>
                <w:color w:val="185262"/>
              </w:rPr>
              <w:t>March</w:t>
            </w:r>
            <w:r w:rsidR="001121B9">
              <w:rPr>
                <w:rFonts w:cstheme="minorHAnsi"/>
                <w:color w:val="185262"/>
              </w:rPr>
              <w:t xml:space="preserve"> 20</w:t>
            </w:r>
            <w:r>
              <w:rPr>
                <w:rFonts w:cstheme="minorHAnsi"/>
                <w:color w:val="185262"/>
              </w:rPr>
              <w:t>20</w:t>
            </w:r>
            <w:r w:rsidR="001121B9">
              <w:rPr>
                <w:rFonts w:cstheme="minorHAnsi"/>
                <w:color w:val="185262"/>
              </w:rPr>
              <w:t xml:space="preserve">. </w:t>
            </w:r>
            <w:r w:rsidR="0094729F">
              <w:rPr>
                <w:rFonts w:cstheme="minorHAnsi"/>
                <w:color w:val="185262"/>
              </w:rPr>
              <w:t xml:space="preserve"> </w:t>
            </w:r>
            <w:r w:rsidR="001121B9">
              <w:rPr>
                <w:rFonts w:cstheme="minorHAnsi"/>
                <w:color w:val="185262"/>
              </w:rPr>
              <w:t xml:space="preserve">However, </w:t>
            </w:r>
            <w:r w:rsidR="002A0703">
              <w:rPr>
                <w:rFonts w:cstheme="minorHAnsi"/>
                <w:color w:val="185262"/>
              </w:rPr>
              <w:t xml:space="preserve">the open data initiative will </w:t>
            </w:r>
            <w:r w:rsidR="00F44ECB">
              <w:rPr>
                <w:rFonts w:cstheme="minorHAnsi"/>
                <w:color w:val="185262"/>
              </w:rPr>
              <w:t>continue</w:t>
            </w:r>
            <w:r w:rsidR="00B65523">
              <w:rPr>
                <w:rFonts w:cstheme="minorHAnsi"/>
                <w:color w:val="185262"/>
              </w:rPr>
              <w:t xml:space="preserve"> </w:t>
            </w:r>
            <w:r w:rsidR="000B781C">
              <w:rPr>
                <w:rFonts w:cstheme="minorHAnsi"/>
                <w:color w:val="185262"/>
              </w:rPr>
              <w:t>to be funded for 3 more years, by the UK Good Governance Fund. The new project is currently in the process of development</w:t>
            </w:r>
            <w:r w:rsidR="00F44ECB">
              <w:rPr>
                <w:rFonts w:cstheme="minorHAnsi"/>
                <w:color w:val="185262"/>
              </w:rPr>
              <w:t xml:space="preserve">, with possible </w:t>
            </w:r>
            <w:r w:rsidR="00F03B2A">
              <w:rPr>
                <w:rFonts w:cstheme="minorHAnsi"/>
                <w:color w:val="185262"/>
              </w:rPr>
              <w:t>launch</w:t>
            </w:r>
            <w:r w:rsidR="00F44ECB">
              <w:rPr>
                <w:rFonts w:cstheme="minorHAnsi"/>
                <w:color w:val="185262"/>
              </w:rPr>
              <w:t xml:space="preserve"> in Q2 2020</w:t>
            </w:r>
            <w:r w:rsidR="00AA7F93">
              <w:rPr>
                <w:rFonts w:cstheme="minorHAnsi"/>
                <w:color w:val="185262"/>
              </w:rPr>
              <w:t xml:space="preserve">, or the beginning of Q3 2020. </w:t>
            </w:r>
            <w:r w:rsidR="00F03B2A">
              <w:rPr>
                <w:rFonts w:cstheme="minorHAnsi"/>
                <w:color w:val="185262"/>
              </w:rPr>
              <w:t xml:space="preserve">The </w:t>
            </w:r>
            <w:r w:rsidR="00E91811">
              <w:rPr>
                <w:rFonts w:cstheme="minorHAnsi"/>
                <w:color w:val="185262"/>
              </w:rPr>
              <w:t xml:space="preserve">new </w:t>
            </w:r>
            <w:r w:rsidR="00F03B2A">
              <w:rPr>
                <w:rFonts w:cstheme="minorHAnsi"/>
                <w:color w:val="185262"/>
              </w:rPr>
              <w:t xml:space="preserve">project will incorporate </w:t>
            </w:r>
            <w:r w:rsidR="00E91811">
              <w:rPr>
                <w:rFonts w:cstheme="minorHAnsi"/>
                <w:color w:val="185262"/>
              </w:rPr>
              <w:t xml:space="preserve">actions which follow this recommendation, </w:t>
            </w:r>
            <w:r w:rsidR="008403A0">
              <w:rPr>
                <w:rFonts w:cstheme="minorHAnsi"/>
                <w:color w:val="185262"/>
              </w:rPr>
              <w:t xml:space="preserve">with more support intended to be </w:t>
            </w:r>
            <w:r w:rsidR="005B2C42">
              <w:rPr>
                <w:rFonts w:cstheme="minorHAnsi"/>
                <w:color w:val="185262"/>
              </w:rPr>
              <w:t xml:space="preserve">implemented on the local level, leading to small-scale impactful activities. </w:t>
            </w:r>
            <w:r w:rsidR="00A8198C">
              <w:rPr>
                <w:rFonts w:cstheme="minorHAnsi"/>
                <w:color w:val="185262"/>
              </w:rPr>
              <w:t xml:space="preserve">The project will also establish closer collaboration with the UNDP Accelerator Lab. </w:t>
            </w:r>
          </w:p>
          <w:p w14:paraId="6759E282" w14:textId="46E4613A" w:rsidR="00924B5D" w:rsidRPr="00493719" w:rsidRDefault="00924B5D" w:rsidP="002A0703">
            <w:pPr>
              <w:tabs>
                <w:tab w:val="left" w:pos="1080"/>
              </w:tabs>
              <w:spacing w:after="0" w:line="240" w:lineRule="auto"/>
              <w:jc w:val="both"/>
              <w:rPr>
                <w:rFonts w:cstheme="minorHAnsi"/>
                <w:color w:val="185262"/>
              </w:rPr>
            </w:pPr>
            <w:r w:rsidRPr="00493719">
              <w:rPr>
                <w:rFonts w:cstheme="minorHAnsi"/>
                <w:color w:val="185262"/>
              </w:rPr>
              <w:t xml:space="preserve">When it comes to crisis </w:t>
            </w:r>
            <w:r w:rsidR="0063377F" w:rsidRPr="00493719">
              <w:rPr>
                <w:rFonts w:cstheme="minorHAnsi"/>
                <w:color w:val="185262"/>
              </w:rPr>
              <w:t>invoked by the Corona virus, the</w:t>
            </w:r>
            <w:r w:rsidR="000B30B5" w:rsidRPr="00493719">
              <w:rPr>
                <w:rFonts w:cstheme="minorHAnsi"/>
                <w:color w:val="185262"/>
              </w:rPr>
              <w:t xml:space="preserve"> threats and opportunities for the next</w:t>
            </w:r>
            <w:r w:rsidR="00140980" w:rsidRPr="00493719">
              <w:rPr>
                <w:rFonts w:cstheme="minorHAnsi"/>
                <w:color w:val="185262"/>
              </w:rPr>
              <w:t xml:space="preserve"> project</w:t>
            </w:r>
            <w:r w:rsidR="000B30B5" w:rsidRPr="00493719">
              <w:rPr>
                <w:rFonts w:cstheme="minorHAnsi"/>
                <w:color w:val="185262"/>
              </w:rPr>
              <w:t xml:space="preserve"> phase are: </w:t>
            </w:r>
          </w:p>
          <w:p w14:paraId="3A2FBAD3" w14:textId="7ADFF972" w:rsidR="000B30B5" w:rsidRPr="00493719" w:rsidRDefault="000B30B5" w:rsidP="000B30B5">
            <w:pPr>
              <w:pStyle w:val="ListParagraph"/>
              <w:numPr>
                <w:ilvl w:val="0"/>
                <w:numId w:val="5"/>
              </w:numPr>
              <w:tabs>
                <w:tab w:val="left" w:pos="1080"/>
              </w:tabs>
              <w:spacing w:after="0" w:line="240" w:lineRule="auto"/>
              <w:jc w:val="both"/>
              <w:rPr>
                <w:rFonts w:cstheme="minorHAnsi"/>
                <w:color w:val="185262"/>
              </w:rPr>
            </w:pPr>
            <w:r w:rsidRPr="00493719">
              <w:rPr>
                <w:rFonts w:cstheme="minorHAnsi"/>
                <w:color w:val="185262"/>
              </w:rPr>
              <w:t xml:space="preserve">Threats: </w:t>
            </w:r>
            <w:r w:rsidR="00194408" w:rsidRPr="00493719">
              <w:rPr>
                <w:rFonts w:cstheme="minorHAnsi"/>
                <w:color w:val="185262"/>
              </w:rPr>
              <w:t>slower response</w:t>
            </w:r>
            <w:r w:rsidR="00E304D4" w:rsidRPr="00493719">
              <w:rPr>
                <w:rFonts w:cstheme="minorHAnsi"/>
                <w:color w:val="185262"/>
              </w:rPr>
              <w:t xml:space="preserve"> </w:t>
            </w:r>
            <w:r w:rsidR="008452A1" w:rsidRPr="00493719">
              <w:rPr>
                <w:rFonts w:cstheme="minorHAnsi"/>
                <w:color w:val="185262"/>
              </w:rPr>
              <w:t>and input</w:t>
            </w:r>
            <w:r w:rsidR="00194408" w:rsidRPr="00493719">
              <w:rPr>
                <w:rFonts w:cstheme="minorHAnsi"/>
                <w:color w:val="185262"/>
              </w:rPr>
              <w:t xml:space="preserve"> from the implementing partner (from the governmental sector), due to </w:t>
            </w:r>
            <w:r w:rsidR="00E304D4" w:rsidRPr="00493719">
              <w:rPr>
                <w:rFonts w:cstheme="minorHAnsi"/>
                <w:color w:val="185262"/>
              </w:rPr>
              <w:t xml:space="preserve">the </w:t>
            </w:r>
            <w:r w:rsidR="00194408" w:rsidRPr="00493719">
              <w:rPr>
                <w:rFonts w:cstheme="minorHAnsi"/>
                <w:color w:val="185262"/>
              </w:rPr>
              <w:t>other COVID-19 related issues</w:t>
            </w:r>
            <w:r w:rsidR="00E304D4" w:rsidRPr="00493719">
              <w:rPr>
                <w:rFonts w:cstheme="minorHAnsi"/>
                <w:color w:val="185262"/>
              </w:rPr>
              <w:t xml:space="preserve">, </w:t>
            </w:r>
            <w:r w:rsidR="00BD714D" w:rsidRPr="00493719">
              <w:rPr>
                <w:rFonts w:cstheme="minorHAnsi"/>
                <w:color w:val="185262"/>
              </w:rPr>
              <w:t>redesign</w:t>
            </w:r>
            <w:r w:rsidR="001840FB" w:rsidRPr="00493719">
              <w:rPr>
                <w:rFonts w:cstheme="minorHAnsi"/>
                <w:color w:val="185262"/>
              </w:rPr>
              <w:t xml:space="preserve"> of activities to </w:t>
            </w:r>
            <w:r w:rsidR="00BD714D" w:rsidRPr="00493719">
              <w:rPr>
                <w:rFonts w:cstheme="minorHAnsi"/>
                <w:color w:val="185262"/>
              </w:rPr>
              <w:t xml:space="preserve">adjust them to the </w:t>
            </w:r>
            <w:r w:rsidR="00FA6E77" w:rsidRPr="00493719">
              <w:rPr>
                <w:rFonts w:cstheme="minorHAnsi"/>
                <w:color w:val="185262"/>
              </w:rPr>
              <w:t>measures</w:t>
            </w:r>
            <w:r w:rsidR="00BD714D" w:rsidRPr="00493719">
              <w:rPr>
                <w:rFonts w:cstheme="minorHAnsi"/>
                <w:color w:val="185262"/>
              </w:rPr>
              <w:t xml:space="preserve"> prescribed by the Government of Serbia (when and if needed)</w:t>
            </w:r>
            <w:r w:rsidR="00BD321D" w:rsidRPr="00493719">
              <w:rPr>
                <w:rFonts w:cstheme="minorHAnsi"/>
                <w:color w:val="185262"/>
              </w:rPr>
              <w:t xml:space="preserve">. </w:t>
            </w:r>
          </w:p>
          <w:p w14:paraId="096F2F3F" w14:textId="77777777" w:rsidR="00FA6E77" w:rsidRPr="00493719" w:rsidRDefault="00FA6E77" w:rsidP="000B30B5">
            <w:pPr>
              <w:pStyle w:val="ListParagraph"/>
              <w:numPr>
                <w:ilvl w:val="0"/>
                <w:numId w:val="5"/>
              </w:numPr>
              <w:tabs>
                <w:tab w:val="left" w:pos="1080"/>
              </w:tabs>
              <w:spacing w:after="0" w:line="240" w:lineRule="auto"/>
              <w:jc w:val="both"/>
              <w:rPr>
                <w:rFonts w:cstheme="minorHAnsi"/>
                <w:color w:val="185262"/>
              </w:rPr>
            </w:pPr>
            <w:r w:rsidRPr="00493719">
              <w:rPr>
                <w:rFonts w:cstheme="minorHAnsi"/>
                <w:color w:val="185262"/>
              </w:rPr>
              <w:t xml:space="preserve">Opportunities: </w:t>
            </w:r>
            <w:r w:rsidR="00AB1C49" w:rsidRPr="00493719">
              <w:rPr>
                <w:rFonts w:cstheme="minorHAnsi"/>
                <w:color w:val="185262"/>
              </w:rPr>
              <w:t>bigger intervention in the health sector (with the pandemic situation, public pressure for transparency and data accessibility has increased)</w:t>
            </w:r>
            <w:r w:rsidR="0068199D" w:rsidRPr="00493719">
              <w:rPr>
                <w:rFonts w:cstheme="minorHAnsi"/>
                <w:color w:val="185262"/>
              </w:rPr>
              <w:t xml:space="preserve">, more digital solutions to help COVID-19 </w:t>
            </w:r>
            <w:r w:rsidR="002D3D8A" w:rsidRPr="00493719">
              <w:rPr>
                <w:rFonts w:cstheme="minorHAnsi"/>
                <w:color w:val="185262"/>
              </w:rPr>
              <w:t>suppression</w:t>
            </w:r>
            <w:r w:rsidR="0068199D" w:rsidRPr="00493719">
              <w:rPr>
                <w:rFonts w:cstheme="minorHAnsi"/>
                <w:color w:val="185262"/>
              </w:rPr>
              <w:t xml:space="preserve"> and </w:t>
            </w:r>
            <w:r w:rsidR="00BD321D" w:rsidRPr="00493719">
              <w:rPr>
                <w:rFonts w:cstheme="minorHAnsi"/>
                <w:color w:val="185262"/>
              </w:rPr>
              <w:t>as</w:t>
            </w:r>
            <w:r w:rsidR="002D3D8A" w:rsidRPr="00493719">
              <w:rPr>
                <w:rFonts w:cstheme="minorHAnsi"/>
                <w:color w:val="185262"/>
              </w:rPr>
              <w:t xml:space="preserve"> part of the recovery (resulting in more demand for data, and more support to data reuse).</w:t>
            </w:r>
            <w:r w:rsidR="00AB1C49" w:rsidRPr="00493719">
              <w:rPr>
                <w:rFonts w:cstheme="minorHAnsi"/>
                <w:color w:val="185262"/>
              </w:rPr>
              <w:t xml:space="preserve"> </w:t>
            </w:r>
          </w:p>
          <w:p w14:paraId="794782AC" w14:textId="77777777" w:rsidR="00892240" w:rsidRPr="00493719" w:rsidRDefault="00892240" w:rsidP="00892240">
            <w:pPr>
              <w:tabs>
                <w:tab w:val="left" w:pos="1080"/>
              </w:tabs>
              <w:spacing w:after="0" w:line="240" w:lineRule="auto"/>
              <w:jc w:val="both"/>
              <w:rPr>
                <w:rFonts w:cstheme="minorHAnsi"/>
                <w:color w:val="185262"/>
              </w:rPr>
            </w:pPr>
            <w:r w:rsidRPr="00493719">
              <w:rPr>
                <w:rFonts w:cstheme="minorHAnsi"/>
                <w:color w:val="185262"/>
              </w:rPr>
              <w:t xml:space="preserve">Threats will be addressed in accordance with the </w:t>
            </w:r>
            <w:r w:rsidR="00196DF8" w:rsidRPr="00493719">
              <w:rPr>
                <w:rFonts w:cstheme="minorHAnsi"/>
                <w:color w:val="185262"/>
              </w:rPr>
              <w:t xml:space="preserve">country office response (as all other projects will have the similar threats), </w:t>
            </w:r>
            <w:r w:rsidR="00FD1F6A" w:rsidRPr="00493719">
              <w:rPr>
                <w:rFonts w:cstheme="minorHAnsi"/>
                <w:color w:val="185262"/>
              </w:rPr>
              <w:t xml:space="preserve">with more flexibility as the project has </w:t>
            </w:r>
            <w:r w:rsidR="00004CBE" w:rsidRPr="00493719">
              <w:rPr>
                <w:rFonts w:cstheme="minorHAnsi"/>
                <w:color w:val="185262"/>
              </w:rPr>
              <w:t>no need for field work.</w:t>
            </w:r>
          </w:p>
          <w:p w14:paraId="7B53A7F6" w14:textId="6B0B4A6D" w:rsidR="00004CBE" w:rsidRPr="00892240" w:rsidRDefault="00004CBE" w:rsidP="00892240">
            <w:pPr>
              <w:tabs>
                <w:tab w:val="left" w:pos="1080"/>
              </w:tabs>
              <w:spacing w:after="0" w:line="240" w:lineRule="auto"/>
              <w:jc w:val="both"/>
              <w:rPr>
                <w:rFonts w:cstheme="minorHAnsi"/>
                <w:color w:val="185262"/>
              </w:rPr>
            </w:pPr>
            <w:r w:rsidRPr="00493719">
              <w:rPr>
                <w:rFonts w:cstheme="minorHAnsi"/>
                <w:color w:val="185262"/>
              </w:rPr>
              <w:t xml:space="preserve">Opportunities will be captured </w:t>
            </w:r>
            <w:r w:rsidR="003D4965" w:rsidRPr="00493719">
              <w:rPr>
                <w:rFonts w:cstheme="minorHAnsi"/>
                <w:color w:val="185262"/>
              </w:rPr>
              <w:t xml:space="preserve">with ready-to-implement adjustments to the activities, in order to </w:t>
            </w:r>
            <w:r w:rsidR="00263FE4" w:rsidRPr="00493719">
              <w:rPr>
                <w:rFonts w:cstheme="minorHAnsi"/>
                <w:color w:val="185262"/>
              </w:rPr>
              <w:t>take them.</w:t>
            </w:r>
          </w:p>
        </w:tc>
      </w:tr>
      <w:tr w:rsidR="00E61BD7" w:rsidRPr="008711DF" w14:paraId="03637098" w14:textId="77777777" w:rsidTr="00A911C5">
        <w:trPr>
          <w:trHeight w:val="135"/>
        </w:trPr>
        <w:tc>
          <w:tcPr>
            <w:tcW w:w="2718" w:type="dxa"/>
            <w:vMerge w:val="restart"/>
            <w:shd w:val="clear" w:color="auto" w:fill="EAF6F3"/>
          </w:tcPr>
          <w:p w14:paraId="12A55F3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59" w:type="dxa"/>
            <w:vMerge w:val="restart"/>
            <w:shd w:val="clear" w:color="auto" w:fill="EAF6F3"/>
          </w:tcPr>
          <w:p w14:paraId="6D416118"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025" w:type="dxa"/>
            <w:vMerge w:val="restart"/>
            <w:shd w:val="clear" w:color="auto" w:fill="EAF6F3"/>
          </w:tcPr>
          <w:p w14:paraId="0036B97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4" w:type="dxa"/>
            <w:gridSpan w:val="2"/>
            <w:shd w:val="clear" w:color="auto" w:fill="EAF6F3"/>
          </w:tcPr>
          <w:p w14:paraId="4E7541A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104346FE" w14:textId="77777777" w:rsidTr="00A911C5">
        <w:trPr>
          <w:trHeight w:val="135"/>
        </w:trPr>
        <w:tc>
          <w:tcPr>
            <w:tcW w:w="2718" w:type="dxa"/>
            <w:vMerge/>
            <w:shd w:val="clear" w:color="auto" w:fill="F3F3F3"/>
          </w:tcPr>
          <w:p w14:paraId="18E33470" w14:textId="77777777" w:rsidR="00E61BD7" w:rsidRPr="008711DF" w:rsidRDefault="00E61BD7" w:rsidP="00260FE5">
            <w:pPr>
              <w:tabs>
                <w:tab w:val="left" w:pos="1080"/>
              </w:tabs>
              <w:spacing w:after="0" w:line="240" w:lineRule="auto"/>
              <w:jc w:val="both"/>
              <w:rPr>
                <w:rFonts w:cstheme="minorHAnsi"/>
                <w:color w:val="185262"/>
              </w:rPr>
            </w:pPr>
          </w:p>
        </w:tc>
        <w:tc>
          <w:tcPr>
            <w:tcW w:w="1859" w:type="dxa"/>
            <w:vMerge/>
            <w:shd w:val="clear" w:color="auto" w:fill="F3F3F3"/>
          </w:tcPr>
          <w:p w14:paraId="5F5F6F86" w14:textId="77777777" w:rsidR="00E61BD7" w:rsidRPr="008711DF" w:rsidRDefault="00E61BD7" w:rsidP="00260FE5">
            <w:pPr>
              <w:tabs>
                <w:tab w:val="left" w:pos="1080"/>
              </w:tabs>
              <w:spacing w:after="0" w:line="240" w:lineRule="auto"/>
              <w:jc w:val="both"/>
              <w:rPr>
                <w:rFonts w:cstheme="minorHAnsi"/>
                <w:b/>
                <w:color w:val="185262"/>
              </w:rPr>
            </w:pPr>
          </w:p>
        </w:tc>
        <w:tc>
          <w:tcPr>
            <w:tcW w:w="2025" w:type="dxa"/>
            <w:vMerge/>
            <w:shd w:val="clear" w:color="auto" w:fill="F3F3F3"/>
          </w:tcPr>
          <w:p w14:paraId="6B46426A" w14:textId="77777777" w:rsidR="00E61BD7" w:rsidRPr="008711DF" w:rsidRDefault="00E61BD7" w:rsidP="00260FE5">
            <w:pPr>
              <w:tabs>
                <w:tab w:val="left" w:pos="1080"/>
              </w:tabs>
              <w:spacing w:after="0" w:line="240" w:lineRule="auto"/>
              <w:jc w:val="both"/>
              <w:rPr>
                <w:rFonts w:cstheme="minorHAnsi"/>
                <w:b/>
                <w:color w:val="185262"/>
              </w:rPr>
            </w:pPr>
          </w:p>
        </w:tc>
        <w:tc>
          <w:tcPr>
            <w:tcW w:w="1220" w:type="dxa"/>
          </w:tcPr>
          <w:p w14:paraId="016EDB7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4E52624"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5F4ED6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(initiated, completed </w:t>
            </w:r>
            <w:r w:rsidRPr="008711DF">
              <w:rPr>
                <w:rFonts w:cstheme="minorHAnsi"/>
                <w:b/>
                <w:color w:val="185262"/>
              </w:rPr>
              <w:lastRenderedPageBreak/>
              <w:t>or no due date)</w:t>
            </w:r>
          </w:p>
        </w:tc>
      </w:tr>
      <w:tr w:rsidR="00E61BD7" w:rsidRPr="008711DF" w14:paraId="64F5E230" w14:textId="77777777" w:rsidTr="00A911C5">
        <w:tc>
          <w:tcPr>
            <w:tcW w:w="2718" w:type="dxa"/>
          </w:tcPr>
          <w:p w14:paraId="0007489B" w14:textId="2F9E1D94" w:rsidR="00E61BD7" w:rsidRPr="00C33162" w:rsidRDefault="00C33162" w:rsidP="00C33162">
            <w:pPr>
              <w:pStyle w:val="ListParagraph"/>
              <w:numPr>
                <w:ilvl w:val="1"/>
                <w:numId w:val="4"/>
              </w:numPr>
              <w:tabs>
                <w:tab w:val="left" w:pos="1080"/>
              </w:tabs>
              <w:spacing w:after="0" w:line="240" w:lineRule="auto"/>
              <w:jc w:val="both"/>
              <w:rPr>
                <w:rFonts w:cstheme="minorHAnsi"/>
                <w:color w:val="185262"/>
              </w:rPr>
            </w:pPr>
            <w:r>
              <w:rPr>
                <w:rFonts w:cstheme="minorHAnsi"/>
                <w:color w:val="185262"/>
              </w:rPr>
              <w:lastRenderedPageBreak/>
              <w:t xml:space="preserve">Development of the new three-year project </w:t>
            </w:r>
          </w:p>
        </w:tc>
        <w:tc>
          <w:tcPr>
            <w:tcW w:w="1859" w:type="dxa"/>
          </w:tcPr>
          <w:p w14:paraId="32791CFB" w14:textId="5B3790AA" w:rsidR="00E61BD7" w:rsidRPr="008711DF" w:rsidRDefault="00C33162" w:rsidP="00260FE5">
            <w:pPr>
              <w:tabs>
                <w:tab w:val="left" w:pos="1080"/>
              </w:tabs>
              <w:spacing w:after="0" w:line="240" w:lineRule="auto"/>
              <w:jc w:val="both"/>
              <w:rPr>
                <w:rFonts w:cstheme="minorHAnsi"/>
                <w:color w:val="185262"/>
              </w:rPr>
            </w:pPr>
            <w:r>
              <w:rPr>
                <w:rFonts w:cstheme="minorHAnsi"/>
                <w:color w:val="185262"/>
              </w:rPr>
              <w:t>Q2 2020</w:t>
            </w:r>
          </w:p>
        </w:tc>
        <w:tc>
          <w:tcPr>
            <w:tcW w:w="2025" w:type="dxa"/>
          </w:tcPr>
          <w:p w14:paraId="6B598546" w14:textId="3065ABFF" w:rsidR="00E61BD7" w:rsidRPr="008711DF" w:rsidRDefault="001A1012" w:rsidP="00676B22">
            <w:pPr>
              <w:tabs>
                <w:tab w:val="left" w:pos="1080"/>
              </w:tabs>
              <w:spacing w:after="0" w:line="240" w:lineRule="auto"/>
              <w:rPr>
                <w:rFonts w:cstheme="minorHAnsi"/>
                <w:color w:val="185262"/>
              </w:rPr>
            </w:pPr>
            <w:r>
              <w:rPr>
                <w:rFonts w:cstheme="minorHAnsi"/>
                <w:color w:val="185262"/>
              </w:rPr>
              <w:t>GG Cluster –</w:t>
            </w:r>
            <w:r w:rsidR="00676B22">
              <w:t xml:space="preserve"> </w:t>
            </w:r>
            <w:r w:rsidR="00676B22" w:rsidRPr="00676B22">
              <w:rPr>
                <w:rFonts w:cstheme="minorHAnsi"/>
                <w:color w:val="185262"/>
              </w:rPr>
              <w:t xml:space="preserve">Competitiveness and Digital Governance </w:t>
            </w:r>
            <w:r>
              <w:rPr>
                <w:rFonts w:cstheme="minorHAnsi"/>
                <w:color w:val="185262"/>
              </w:rPr>
              <w:t>Portfolio</w:t>
            </w:r>
          </w:p>
        </w:tc>
        <w:tc>
          <w:tcPr>
            <w:tcW w:w="1220" w:type="dxa"/>
          </w:tcPr>
          <w:p w14:paraId="645ACFD4"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0AE3EC88" w14:textId="77777777" w:rsidR="00E61BD7" w:rsidRPr="008711DF" w:rsidRDefault="00E61BD7" w:rsidP="00260FE5">
            <w:pPr>
              <w:tabs>
                <w:tab w:val="left" w:pos="1080"/>
              </w:tabs>
              <w:spacing w:after="0" w:line="240" w:lineRule="auto"/>
              <w:jc w:val="both"/>
              <w:rPr>
                <w:rFonts w:cstheme="minorHAnsi"/>
                <w:color w:val="185262"/>
              </w:rPr>
            </w:pPr>
          </w:p>
        </w:tc>
      </w:tr>
      <w:tr w:rsidR="00E61BD7" w:rsidRPr="008711DF" w14:paraId="6EAF71FE" w14:textId="77777777" w:rsidTr="00A911C5">
        <w:tc>
          <w:tcPr>
            <w:tcW w:w="2718" w:type="dxa"/>
          </w:tcPr>
          <w:p w14:paraId="47F341E6" w14:textId="4714C36D"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1.2 </w:t>
            </w:r>
            <w:r w:rsidR="000E1BCD">
              <w:rPr>
                <w:rFonts w:cstheme="minorHAnsi"/>
                <w:color w:val="185262"/>
              </w:rPr>
              <w:t xml:space="preserve">Implementation of the new project </w:t>
            </w:r>
            <w:r w:rsidR="00B03778">
              <w:rPr>
                <w:rFonts w:cstheme="minorHAnsi"/>
                <w:color w:val="185262"/>
              </w:rPr>
              <w:t xml:space="preserve">and </w:t>
            </w:r>
            <w:r w:rsidR="005A09EC">
              <w:rPr>
                <w:rFonts w:cstheme="minorHAnsi"/>
                <w:color w:val="185262"/>
              </w:rPr>
              <w:t>continuous</w:t>
            </w:r>
            <w:r w:rsidR="00B03778">
              <w:rPr>
                <w:rFonts w:cstheme="minorHAnsi"/>
                <w:color w:val="185262"/>
              </w:rPr>
              <w:t xml:space="preserve"> fundraising </w:t>
            </w:r>
            <w:r w:rsidR="005A09EC">
              <w:rPr>
                <w:rFonts w:cstheme="minorHAnsi"/>
                <w:color w:val="185262"/>
              </w:rPr>
              <w:t>for the future</w:t>
            </w:r>
          </w:p>
        </w:tc>
        <w:tc>
          <w:tcPr>
            <w:tcW w:w="1859" w:type="dxa"/>
          </w:tcPr>
          <w:p w14:paraId="5A33F510" w14:textId="7C3698E8" w:rsidR="00E61BD7" w:rsidRPr="008711DF" w:rsidRDefault="00A911C5" w:rsidP="00260FE5">
            <w:pPr>
              <w:tabs>
                <w:tab w:val="left" w:pos="1080"/>
              </w:tabs>
              <w:spacing w:after="0" w:line="240" w:lineRule="auto"/>
              <w:jc w:val="both"/>
              <w:rPr>
                <w:rFonts w:cstheme="minorHAnsi"/>
                <w:color w:val="185262"/>
              </w:rPr>
            </w:pPr>
            <w:r>
              <w:rPr>
                <w:rFonts w:cstheme="minorHAnsi"/>
                <w:color w:val="185262"/>
              </w:rPr>
              <w:t>2020-2023</w:t>
            </w:r>
          </w:p>
        </w:tc>
        <w:tc>
          <w:tcPr>
            <w:tcW w:w="2025" w:type="dxa"/>
          </w:tcPr>
          <w:p w14:paraId="164D3EDB" w14:textId="76A9EC04" w:rsidR="00E61BD7" w:rsidRPr="008711DF" w:rsidRDefault="00A911C5" w:rsidP="00A911C5">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0" w:type="dxa"/>
          </w:tcPr>
          <w:p w14:paraId="2C711B72"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0A36AD9F" w14:textId="77777777" w:rsidR="00E61BD7" w:rsidRPr="008711DF" w:rsidRDefault="00E61BD7" w:rsidP="00260FE5">
            <w:pPr>
              <w:tabs>
                <w:tab w:val="left" w:pos="1080"/>
              </w:tabs>
              <w:spacing w:after="0" w:line="240" w:lineRule="auto"/>
              <w:jc w:val="both"/>
              <w:rPr>
                <w:rFonts w:cstheme="minorHAnsi"/>
                <w:color w:val="185262"/>
              </w:rPr>
            </w:pPr>
          </w:p>
        </w:tc>
      </w:tr>
    </w:tbl>
    <w:p w14:paraId="366F3F18"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6"/>
        <w:gridCol w:w="1873"/>
        <w:gridCol w:w="2040"/>
        <w:gridCol w:w="1223"/>
        <w:gridCol w:w="1194"/>
      </w:tblGrid>
      <w:tr w:rsidR="00E61BD7" w:rsidRPr="008711DF" w14:paraId="7C0E46C0" w14:textId="77777777" w:rsidTr="00FC63A3">
        <w:tc>
          <w:tcPr>
            <w:tcW w:w="9016" w:type="dxa"/>
            <w:gridSpan w:val="5"/>
            <w:shd w:val="clear" w:color="auto" w:fill="EAF6F3"/>
          </w:tcPr>
          <w:p w14:paraId="64D44107"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2. </w:t>
            </w:r>
          </w:p>
          <w:p w14:paraId="52B00542" w14:textId="77777777" w:rsidR="00ED1906" w:rsidRDefault="00D04934" w:rsidP="00ED1906">
            <w:pPr>
              <w:jc w:val="both"/>
              <w:rPr>
                <w:rFonts w:ascii="Arial" w:hAnsi="Arial" w:cs="Arial"/>
                <w:b/>
              </w:rPr>
            </w:pPr>
            <w:r w:rsidRPr="00021CA5">
              <w:rPr>
                <w:b/>
                <w:bCs/>
              </w:rPr>
              <w:t xml:space="preserve">R2: </w:t>
            </w:r>
            <w:r w:rsidR="00ED1906" w:rsidRPr="00ED1906">
              <w:rPr>
                <w:rFonts w:cstheme="minorHAnsi"/>
                <w:b/>
              </w:rPr>
              <w:t>Continue to identify innovative and catalytic interventions</w:t>
            </w:r>
            <w:r w:rsidR="00ED1906" w:rsidRPr="00690134">
              <w:rPr>
                <w:rFonts w:ascii="Arial" w:hAnsi="Arial" w:cs="Arial"/>
                <w:b/>
              </w:rPr>
              <w:t xml:space="preserve"> </w:t>
            </w:r>
          </w:p>
          <w:p w14:paraId="7D7B3E34" w14:textId="3392092F" w:rsidR="00D04934" w:rsidRPr="00C57B3B" w:rsidRDefault="00817969" w:rsidP="00817969">
            <w:pPr>
              <w:pStyle w:val="Pasus1nabrajanje"/>
              <w:numPr>
                <w:ilvl w:val="0"/>
                <w:numId w:val="0"/>
              </w:numPr>
              <w:jc w:val="both"/>
              <w:rPr>
                <w:rFonts w:asciiTheme="minorHAnsi" w:hAnsiTheme="minorHAnsi" w:cstheme="minorHAnsi"/>
              </w:rPr>
            </w:pPr>
            <w:r w:rsidRPr="00EF3ED4">
              <w:rPr>
                <w:rFonts w:asciiTheme="minorHAnsi" w:hAnsiTheme="minorHAnsi" w:cstheme="minorHAnsi"/>
                <w:sz w:val="22"/>
                <w:szCs w:val="28"/>
              </w:rPr>
              <w:t>The project should continue its approach of identifying innovative and catalytic interventions. Indirectly, the project contributed to other priorities related to the innovation infrastructure and human capital by supporting transparent and digital governance and by assisting relevant national bodies in the data opening process. The evaluator recommends that this should be continued. UNDP should play a more strategic approach (as discussed below) to further guide the process. Institutions are quite slow in opening their data and this could be improved, for example, by signing an MOU between UNDP and the Government of Serbia that could be used by civil society when approaching institutions. The entire partnership building process should be more closely monitored and mentored by UNDP during the second phase of the project.</w:t>
            </w:r>
          </w:p>
        </w:tc>
      </w:tr>
      <w:tr w:rsidR="00E61BD7" w:rsidRPr="008711DF" w14:paraId="55E6BBC0" w14:textId="77777777" w:rsidTr="00FC63A3">
        <w:tc>
          <w:tcPr>
            <w:tcW w:w="9016" w:type="dxa"/>
            <w:gridSpan w:val="5"/>
            <w:shd w:val="clear" w:color="auto" w:fill="EAF6F3"/>
          </w:tcPr>
          <w:p w14:paraId="07C795E3" w14:textId="77777777" w:rsidR="00E61BD7"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p>
          <w:p w14:paraId="09A6ABA0" w14:textId="4AFE06DD" w:rsidR="0040276E" w:rsidRDefault="0040276E" w:rsidP="00260FE5">
            <w:pPr>
              <w:tabs>
                <w:tab w:val="left" w:pos="1080"/>
              </w:tabs>
              <w:spacing w:after="0" w:line="240" w:lineRule="auto"/>
              <w:jc w:val="both"/>
              <w:rPr>
                <w:rFonts w:cstheme="minorHAnsi"/>
                <w:color w:val="185262"/>
              </w:rPr>
            </w:pPr>
          </w:p>
          <w:p w14:paraId="7A2273B7" w14:textId="2A4A6852" w:rsidR="00790A00" w:rsidRDefault="0040276E" w:rsidP="00260FE5">
            <w:pPr>
              <w:tabs>
                <w:tab w:val="left" w:pos="1080"/>
              </w:tabs>
              <w:spacing w:after="0" w:line="240" w:lineRule="auto"/>
              <w:jc w:val="both"/>
              <w:rPr>
                <w:rFonts w:cstheme="minorHAnsi"/>
                <w:color w:val="185262"/>
              </w:rPr>
            </w:pPr>
            <w:r>
              <w:rPr>
                <w:rFonts w:cstheme="minorHAnsi"/>
                <w:color w:val="185262"/>
              </w:rPr>
              <w:t>As already mentioned above</w:t>
            </w:r>
            <w:r w:rsidR="00790A00">
              <w:rPr>
                <w:rFonts w:cstheme="minorHAnsi"/>
                <w:color w:val="185262"/>
              </w:rPr>
              <w:t xml:space="preserve"> (R1)</w:t>
            </w:r>
            <w:r>
              <w:rPr>
                <w:rFonts w:cstheme="minorHAnsi"/>
                <w:color w:val="185262"/>
              </w:rPr>
              <w:t xml:space="preserve">, UNDP </w:t>
            </w:r>
            <w:r w:rsidR="00E36954">
              <w:rPr>
                <w:rFonts w:cstheme="minorHAnsi"/>
                <w:color w:val="185262"/>
              </w:rPr>
              <w:t>is currently in the process of development of the new project</w:t>
            </w:r>
            <w:r w:rsidR="00FD2721">
              <w:rPr>
                <w:rFonts w:cstheme="minorHAnsi"/>
                <w:color w:val="185262"/>
              </w:rPr>
              <w:t xml:space="preserve"> to support further implementation of the open data initiative in Serbia. </w:t>
            </w:r>
          </w:p>
          <w:p w14:paraId="174DAF4B" w14:textId="77777777" w:rsidR="00790A00" w:rsidRDefault="00790A00" w:rsidP="00260FE5">
            <w:pPr>
              <w:tabs>
                <w:tab w:val="left" w:pos="1080"/>
              </w:tabs>
              <w:spacing w:after="0" w:line="240" w:lineRule="auto"/>
              <w:jc w:val="both"/>
              <w:rPr>
                <w:rFonts w:cstheme="minorHAnsi"/>
                <w:color w:val="185262"/>
              </w:rPr>
            </w:pPr>
          </w:p>
          <w:p w14:paraId="0E5A3231" w14:textId="6B9512F4" w:rsidR="0040276E" w:rsidRDefault="00790A00" w:rsidP="00260FE5">
            <w:pPr>
              <w:tabs>
                <w:tab w:val="left" w:pos="1080"/>
              </w:tabs>
              <w:spacing w:after="0" w:line="240" w:lineRule="auto"/>
              <w:jc w:val="both"/>
              <w:rPr>
                <w:rFonts w:cstheme="minorHAnsi"/>
                <w:color w:val="185262"/>
              </w:rPr>
            </w:pPr>
            <w:r w:rsidRPr="00790A00">
              <w:rPr>
                <w:rFonts w:cstheme="minorHAnsi"/>
                <w:color w:val="185262"/>
              </w:rPr>
              <w:t xml:space="preserve">Certainly, the above-mentioned recommendations of the independent evaluator will be taken into consideration </w:t>
            </w:r>
            <w:r w:rsidR="00C57B3B">
              <w:rPr>
                <w:rFonts w:cstheme="minorHAnsi"/>
                <w:color w:val="185262"/>
              </w:rPr>
              <w:t>in that process,</w:t>
            </w:r>
            <w:r w:rsidR="00A37F2C">
              <w:rPr>
                <w:rFonts w:cstheme="minorHAnsi"/>
                <w:color w:val="185262"/>
              </w:rPr>
              <w:t xml:space="preserve"> including the activities of </w:t>
            </w:r>
            <w:r w:rsidR="00690701">
              <w:rPr>
                <w:rFonts w:cstheme="minorHAnsi"/>
                <w:color w:val="185262"/>
              </w:rPr>
              <w:t xml:space="preserve">increased promotion of the legal framework for open data release and reuse and </w:t>
            </w:r>
            <w:r w:rsidR="00690701" w:rsidRPr="006B671D">
              <w:rPr>
                <w:color w:val="185262"/>
              </w:rPr>
              <w:t>monitoring over the Law</w:t>
            </w:r>
            <w:r w:rsidR="00DA413E" w:rsidRPr="006B671D">
              <w:rPr>
                <w:color w:val="185262"/>
              </w:rPr>
              <w:t xml:space="preserve"> on e-Government</w:t>
            </w:r>
            <w:r w:rsidR="00690701" w:rsidRPr="006B671D">
              <w:rPr>
                <w:color w:val="185262"/>
              </w:rPr>
              <w:t xml:space="preserve"> implementation, backed by inputs of the investigative media and civil society</w:t>
            </w:r>
            <w:r w:rsidR="00B03778" w:rsidRPr="006B671D">
              <w:rPr>
                <w:color w:val="185262"/>
              </w:rPr>
              <w:t>.</w:t>
            </w:r>
            <w:r w:rsidR="00B03778">
              <w:t xml:space="preserve"> </w:t>
            </w:r>
          </w:p>
          <w:p w14:paraId="4ABD2950" w14:textId="0ECDD665" w:rsidR="0040276E" w:rsidRPr="008711DF" w:rsidRDefault="0040276E" w:rsidP="00260FE5">
            <w:pPr>
              <w:tabs>
                <w:tab w:val="left" w:pos="1080"/>
              </w:tabs>
              <w:spacing w:after="0" w:line="240" w:lineRule="auto"/>
              <w:jc w:val="both"/>
              <w:rPr>
                <w:rFonts w:cstheme="minorHAnsi"/>
                <w:color w:val="185262"/>
              </w:rPr>
            </w:pPr>
          </w:p>
        </w:tc>
      </w:tr>
      <w:tr w:rsidR="00E61BD7" w:rsidRPr="008711DF" w14:paraId="2330C7DE" w14:textId="77777777" w:rsidTr="00FC63A3">
        <w:trPr>
          <w:trHeight w:val="135"/>
        </w:trPr>
        <w:tc>
          <w:tcPr>
            <w:tcW w:w="2686" w:type="dxa"/>
            <w:vMerge w:val="restart"/>
            <w:shd w:val="clear" w:color="auto" w:fill="EAF6F3"/>
          </w:tcPr>
          <w:p w14:paraId="0FBD9ED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3" w:type="dxa"/>
            <w:vMerge w:val="restart"/>
            <w:shd w:val="clear" w:color="auto" w:fill="EAF6F3"/>
          </w:tcPr>
          <w:p w14:paraId="7883CC7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040" w:type="dxa"/>
            <w:vMerge w:val="restart"/>
            <w:shd w:val="clear" w:color="auto" w:fill="EAF6F3"/>
          </w:tcPr>
          <w:p w14:paraId="7347BE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226BF8B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261EA81B" w14:textId="77777777" w:rsidTr="00FC63A3">
        <w:trPr>
          <w:trHeight w:val="135"/>
        </w:trPr>
        <w:tc>
          <w:tcPr>
            <w:tcW w:w="2686" w:type="dxa"/>
            <w:vMerge/>
            <w:shd w:val="clear" w:color="auto" w:fill="F3F3F3"/>
          </w:tcPr>
          <w:p w14:paraId="21704526" w14:textId="77777777" w:rsidR="00E61BD7" w:rsidRPr="008711DF" w:rsidRDefault="00E61BD7" w:rsidP="00260FE5">
            <w:pPr>
              <w:tabs>
                <w:tab w:val="left" w:pos="1080"/>
              </w:tabs>
              <w:spacing w:after="0" w:line="240" w:lineRule="auto"/>
              <w:jc w:val="both"/>
              <w:rPr>
                <w:rFonts w:cstheme="minorHAnsi"/>
                <w:color w:val="185262"/>
              </w:rPr>
            </w:pPr>
          </w:p>
        </w:tc>
        <w:tc>
          <w:tcPr>
            <w:tcW w:w="1873" w:type="dxa"/>
            <w:vMerge/>
            <w:shd w:val="clear" w:color="auto" w:fill="F3F3F3"/>
          </w:tcPr>
          <w:p w14:paraId="6B1990CE" w14:textId="77777777" w:rsidR="00E61BD7" w:rsidRPr="008711DF" w:rsidRDefault="00E61BD7" w:rsidP="00260FE5">
            <w:pPr>
              <w:tabs>
                <w:tab w:val="left" w:pos="1080"/>
              </w:tabs>
              <w:spacing w:after="0" w:line="240" w:lineRule="auto"/>
              <w:jc w:val="both"/>
              <w:rPr>
                <w:rFonts w:cstheme="minorHAnsi"/>
                <w:b/>
                <w:color w:val="185262"/>
              </w:rPr>
            </w:pPr>
          </w:p>
        </w:tc>
        <w:tc>
          <w:tcPr>
            <w:tcW w:w="2040" w:type="dxa"/>
            <w:vMerge/>
            <w:shd w:val="clear" w:color="auto" w:fill="F3F3F3"/>
          </w:tcPr>
          <w:p w14:paraId="4ED50C0C" w14:textId="77777777" w:rsidR="00E61BD7" w:rsidRPr="008711DF" w:rsidRDefault="00E61BD7" w:rsidP="00260FE5">
            <w:pPr>
              <w:tabs>
                <w:tab w:val="left" w:pos="1080"/>
              </w:tabs>
              <w:spacing w:after="0" w:line="240" w:lineRule="auto"/>
              <w:jc w:val="both"/>
              <w:rPr>
                <w:rFonts w:cstheme="minorHAnsi"/>
                <w:b/>
                <w:color w:val="185262"/>
              </w:rPr>
            </w:pPr>
          </w:p>
        </w:tc>
        <w:tc>
          <w:tcPr>
            <w:tcW w:w="1223" w:type="dxa"/>
          </w:tcPr>
          <w:p w14:paraId="5E3C00B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EF3B2C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4537438E" w14:textId="77777777" w:rsidTr="00FC63A3">
        <w:tc>
          <w:tcPr>
            <w:tcW w:w="2686" w:type="dxa"/>
          </w:tcPr>
          <w:p w14:paraId="0123DA8C" w14:textId="54322FD0"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2.1 </w:t>
            </w:r>
            <w:r w:rsidR="00B03778">
              <w:rPr>
                <w:rFonts w:cstheme="minorHAnsi"/>
                <w:color w:val="185262"/>
              </w:rPr>
              <w:t>Development of the new three-year project</w:t>
            </w:r>
          </w:p>
        </w:tc>
        <w:tc>
          <w:tcPr>
            <w:tcW w:w="1873" w:type="dxa"/>
          </w:tcPr>
          <w:p w14:paraId="5783CBF4" w14:textId="3F2BB8C0" w:rsidR="00E61BD7" w:rsidRPr="008711DF" w:rsidRDefault="00B03E8A" w:rsidP="00260FE5">
            <w:pPr>
              <w:tabs>
                <w:tab w:val="left" w:pos="1080"/>
              </w:tabs>
              <w:spacing w:after="0" w:line="240" w:lineRule="auto"/>
              <w:jc w:val="both"/>
              <w:rPr>
                <w:rFonts w:cstheme="minorHAnsi"/>
                <w:color w:val="185262"/>
              </w:rPr>
            </w:pPr>
            <w:r>
              <w:rPr>
                <w:rFonts w:cstheme="minorHAnsi"/>
                <w:color w:val="185262"/>
              </w:rPr>
              <w:t>Q2 2020</w:t>
            </w:r>
          </w:p>
        </w:tc>
        <w:tc>
          <w:tcPr>
            <w:tcW w:w="2040" w:type="dxa"/>
          </w:tcPr>
          <w:p w14:paraId="76343817" w14:textId="46E568FC" w:rsidR="00E61BD7" w:rsidRPr="008711DF" w:rsidRDefault="00B03E8A" w:rsidP="00B03E8A">
            <w:pPr>
              <w:tabs>
                <w:tab w:val="left" w:pos="1080"/>
              </w:tabs>
              <w:spacing w:after="0" w:line="240" w:lineRule="auto"/>
              <w:rPr>
                <w:rFonts w:cstheme="minorHAnsi"/>
                <w:color w:val="185262"/>
              </w:rPr>
            </w:pPr>
            <w:r w:rsidRPr="00B03E8A">
              <w:rPr>
                <w:rFonts w:cstheme="minorHAnsi"/>
                <w:color w:val="185262"/>
              </w:rPr>
              <w:t>GG Cluster – Competitiveness and Digital Governance Portfolio</w:t>
            </w:r>
          </w:p>
        </w:tc>
        <w:tc>
          <w:tcPr>
            <w:tcW w:w="1223" w:type="dxa"/>
          </w:tcPr>
          <w:p w14:paraId="4C58B79A"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0288627F" w14:textId="77777777" w:rsidR="00E61BD7" w:rsidRPr="008711DF" w:rsidRDefault="00E61BD7" w:rsidP="00260FE5">
            <w:pPr>
              <w:tabs>
                <w:tab w:val="left" w:pos="1080"/>
              </w:tabs>
              <w:spacing w:after="0" w:line="240" w:lineRule="auto"/>
              <w:jc w:val="both"/>
              <w:rPr>
                <w:rFonts w:cstheme="minorHAnsi"/>
                <w:color w:val="185262"/>
              </w:rPr>
            </w:pPr>
          </w:p>
        </w:tc>
      </w:tr>
      <w:tr w:rsidR="00E61BD7" w:rsidRPr="008711DF" w14:paraId="1200A5D7" w14:textId="77777777" w:rsidTr="00FC63A3">
        <w:tc>
          <w:tcPr>
            <w:tcW w:w="2686" w:type="dxa"/>
          </w:tcPr>
          <w:p w14:paraId="742778E0" w14:textId="412839E5"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2.2</w:t>
            </w:r>
            <w:r w:rsidR="00B03778">
              <w:rPr>
                <w:rFonts w:cstheme="minorHAnsi"/>
                <w:color w:val="185262"/>
              </w:rPr>
              <w:t xml:space="preserve"> Implementation of the new project</w:t>
            </w:r>
            <w:r w:rsidR="005A09EC">
              <w:rPr>
                <w:rFonts w:cstheme="minorHAnsi"/>
                <w:color w:val="185262"/>
              </w:rPr>
              <w:t xml:space="preserve"> </w:t>
            </w:r>
            <w:r w:rsidR="00DA413E">
              <w:rPr>
                <w:rFonts w:cstheme="minorHAnsi"/>
                <w:color w:val="185262"/>
              </w:rPr>
              <w:t>including activities focused on increased promotion of the legal framework and monitoring over the Law implementation</w:t>
            </w:r>
          </w:p>
        </w:tc>
        <w:tc>
          <w:tcPr>
            <w:tcW w:w="1873" w:type="dxa"/>
          </w:tcPr>
          <w:p w14:paraId="29551580" w14:textId="22B96E6A" w:rsidR="00E61BD7" w:rsidRPr="008711DF" w:rsidRDefault="003B0115" w:rsidP="00260FE5">
            <w:pPr>
              <w:tabs>
                <w:tab w:val="left" w:pos="1080"/>
              </w:tabs>
              <w:spacing w:after="0" w:line="240" w:lineRule="auto"/>
              <w:jc w:val="both"/>
              <w:rPr>
                <w:rFonts w:cstheme="minorHAnsi"/>
                <w:color w:val="185262"/>
              </w:rPr>
            </w:pPr>
            <w:r>
              <w:rPr>
                <w:rFonts w:cstheme="minorHAnsi"/>
                <w:color w:val="185262"/>
              </w:rPr>
              <w:t>2020-</w:t>
            </w:r>
            <w:r w:rsidR="00B03E8A">
              <w:rPr>
                <w:rFonts w:cstheme="minorHAnsi"/>
                <w:color w:val="185262"/>
              </w:rPr>
              <w:t>2023</w:t>
            </w:r>
          </w:p>
        </w:tc>
        <w:tc>
          <w:tcPr>
            <w:tcW w:w="2040" w:type="dxa"/>
          </w:tcPr>
          <w:p w14:paraId="4026872C" w14:textId="4616EBF7" w:rsidR="003B0115" w:rsidRPr="003B0115" w:rsidRDefault="00B03E8A" w:rsidP="00B03E8A">
            <w:pPr>
              <w:tabs>
                <w:tab w:val="left" w:pos="1080"/>
              </w:tabs>
              <w:spacing w:after="0" w:line="240" w:lineRule="auto"/>
              <w:rPr>
                <w:rFonts w:cstheme="minorHAnsi"/>
              </w:rPr>
            </w:pPr>
            <w:r w:rsidRPr="00A911C5">
              <w:rPr>
                <w:rFonts w:cstheme="minorHAnsi"/>
                <w:color w:val="185262"/>
              </w:rPr>
              <w:t>GG Cluster – Competitiveness and Digital Governance Portfolio</w:t>
            </w:r>
          </w:p>
        </w:tc>
        <w:tc>
          <w:tcPr>
            <w:tcW w:w="1223" w:type="dxa"/>
          </w:tcPr>
          <w:p w14:paraId="211C7B41"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5CB11F0A" w14:textId="77777777" w:rsidR="00E61BD7" w:rsidRPr="008711DF" w:rsidRDefault="00E61BD7" w:rsidP="00260FE5">
            <w:pPr>
              <w:tabs>
                <w:tab w:val="left" w:pos="1080"/>
              </w:tabs>
              <w:spacing w:after="0" w:line="240" w:lineRule="auto"/>
              <w:jc w:val="both"/>
              <w:rPr>
                <w:rFonts w:cstheme="minorHAnsi"/>
                <w:color w:val="185262"/>
              </w:rPr>
            </w:pPr>
          </w:p>
        </w:tc>
      </w:tr>
    </w:tbl>
    <w:p w14:paraId="4870A997"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88"/>
        <w:gridCol w:w="1949"/>
        <w:gridCol w:w="1859"/>
        <w:gridCol w:w="1226"/>
        <w:gridCol w:w="1194"/>
      </w:tblGrid>
      <w:tr w:rsidR="00E61BD7" w:rsidRPr="008711DF" w14:paraId="0DFBCA7E" w14:textId="77777777" w:rsidTr="009A67B3">
        <w:tc>
          <w:tcPr>
            <w:tcW w:w="9016" w:type="dxa"/>
            <w:gridSpan w:val="5"/>
            <w:shd w:val="clear" w:color="auto" w:fill="EAF6F3"/>
          </w:tcPr>
          <w:p w14:paraId="2526E325" w14:textId="77777777" w:rsidR="00E61BD7" w:rsidRDefault="00E61BD7" w:rsidP="00260FE5">
            <w:pPr>
              <w:tabs>
                <w:tab w:val="left" w:pos="1080"/>
              </w:tabs>
              <w:spacing w:after="0" w:line="240" w:lineRule="auto"/>
              <w:jc w:val="both"/>
              <w:rPr>
                <w:rFonts w:cstheme="minorHAnsi"/>
                <w:b/>
                <w:color w:val="185262"/>
              </w:rPr>
            </w:pPr>
            <w:r w:rsidRPr="008711DF">
              <w:rPr>
                <w:rFonts w:cstheme="minorHAnsi"/>
                <w:color w:val="185262"/>
              </w:rPr>
              <w:lastRenderedPageBreak/>
              <w:br w:type="page"/>
            </w:r>
            <w:r w:rsidRPr="008711DF">
              <w:rPr>
                <w:rFonts w:cstheme="minorHAnsi"/>
                <w:b/>
                <w:color w:val="185262"/>
              </w:rPr>
              <w:t xml:space="preserve">Evaluation recommendation 3. </w:t>
            </w:r>
          </w:p>
          <w:p w14:paraId="7A131C45" w14:textId="77777777" w:rsidR="00D04934" w:rsidRDefault="00D04934" w:rsidP="00BC546E">
            <w:pPr>
              <w:rPr>
                <w:b/>
                <w:bCs/>
              </w:rPr>
            </w:pPr>
            <w:r w:rsidRPr="00021CA5">
              <w:rPr>
                <w:b/>
                <w:bCs/>
              </w:rPr>
              <w:t xml:space="preserve">R3: </w:t>
            </w:r>
            <w:r w:rsidR="000F1AF2">
              <w:t xml:space="preserve"> </w:t>
            </w:r>
            <w:r w:rsidR="000F1AF2" w:rsidRPr="000F1AF2">
              <w:rPr>
                <w:b/>
                <w:bCs/>
              </w:rPr>
              <w:t>Further expansion of partnership base</w:t>
            </w:r>
          </w:p>
          <w:p w14:paraId="49383FFE" w14:textId="4A3079FA" w:rsidR="00BC546E" w:rsidRPr="00BC546E" w:rsidRDefault="00BC546E" w:rsidP="00BC546E">
            <w:pPr>
              <w:rPr>
                <w:b/>
                <w:bCs/>
              </w:rPr>
            </w:pPr>
            <w:r w:rsidRPr="006B671D">
              <w:rPr>
                <w:rFonts w:cstheme="minorHAnsi"/>
                <w:bCs/>
                <w:szCs w:val="28"/>
              </w:rPr>
              <w:t xml:space="preserve">The evaluator recommends that the partnership base should be continually expanded, but that in the second phase of the project implementation, the project should find a balance between the local and central level. While the local level tends to be more responsive to opening data and is often able to respond in a more timely and efficient manner, the project should not overlook the importance of the central level institutions, and this should be better balanced by the project. An additional focus during the second phase should also be to engage more with academia and </w:t>
            </w:r>
            <w:proofErr w:type="gramStart"/>
            <w:r w:rsidRPr="006B671D">
              <w:rPr>
                <w:rFonts w:cstheme="minorHAnsi"/>
                <w:bCs/>
                <w:szCs w:val="28"/>
              </w:rPr>
              <w:t>in particular research</w:t>
            </w:r>
            <w:proofErr w:type="gramEnd"/>
            <w:r w:rsidRPr="006B671D">
              <w:rPr>
                <w:rFonts w:cstheme="minorHAnsi"/>
                <w:bCs/>
                <w:szCs w:val="28"/>
              </w:rPr>
              <w:t xml:space="preserve"> and development units, which although intended during the first phase, did not particularly materialise.</w:t>
            </w:r>
          </w:p>
        </w:tc>
      </w:tr>
      <w:tr w:rsidR="00E61BD7" w:rsidRPr="008711DF" w14:paraId="3CF98778" w14:textId="77777777" w:rsidTr="009A67B3">
        <w:tc>
          <w:tcPr>
            <w:tcW w:w="9016" w:type="dxa"/>
            <w:gridSpan w:val="5"/>
            <w:shd w:val="clear" w:color="auto" w:fill="EAF6F3"/>
          </w:tcPr>
          <w:p w14:paraId="49A41B5E" w14:textId="77777777" w:rsidR="00E61BD7"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p>
          <w:p w14:paraId="272C87D5" w14:textId="103661A8" w:rsidR="00F817FB" w:rsidRDefault="00DB0744" w:rsidP="00260FE5">
            <w:pPr>
              <w:tabs>
                <w:tab w:val="left" w:pos="1080"/>
              </w:tabs>
              <w:spacing w:after="0" w:line="240" w:lineRule="auto"/>
              <w:jc w:val="both"/>
              <w:rPr>
                <w:rFonts w:cstheme="minorHAnsi"/>
                <w:color w:val="185262"/>
              </w:rPr>
            </w:pPr>
            <w:r>
              <w:rPr>
                <w:rFonts w:cstheme="minorHAnsi"/>
                <w:color w:val="185262"/>
              </w:rPr>
              <w:t xml:space="preserve">Apart from the increased level of activities at the local level, the project will </w:t>
            </w:r>
            <w:r w:rsidR="0048088E">
              <w:rPr>
                <w:rFonts w:cstheme="minorHAnsi"/>
                <w:color w:val="185262"/>
              </w:rPr>
              <w:t>continue</w:t>
            </w:r>
            <w:r w:rsidR="00A72F5F">
              <w:rPr>
                <w:rFonts w:cstheme="minorHAnsi"/>
                <w:color w:val="185262"/>
              </w:rPr>
              <w:t xml:space="preserve"> to work on the national level, with deeper intervention in </w:t>
            </w:r>
            <w:r w:rsidR="0048088E">
              <w:rPr>
                <w:rFonts w:cstheme="minorHAnsi"/>
                <w:color w:val="185262"/>
              </w:rPr>
              <w:t xml:space="preserve">the </w:t>
            </w:r>
            <w:r w:rsidR="00A72F5F">
              <w:rPr>
                <w:rFonts w:cstheme="minorHAnsi"/>
                <w:color w:val="185262"/>
              </w:rPr>
              <w:t>selected sector (</w:t>
            </w:r>
            <w:r w:rsidR="0048088E">
              <w:rPr>
                <w:rFonts w:cstheme="minorHAnsi"/>
                <w:color w:val="185262"/>
              </w:rPr>
              <w:t xml:space="preserve">to be decided), and ongoing support for open data release and support </w:t>
            </w:r>
            <w:r w:rsidR="00C85EEB">
              <w:rPr>
                <w:rFonts w:cstheme="minorHAnsi"/>
                <w:color w:val="185262"/>
              </w:rPr>
              <w:t>with</w:t>
            </w:r>
            <w:r w:rsidR="00293CE5">
              <w:rPr>
                <w:rFonts w:cstheme="minorHAnsi"/>
                <w:color w:val="185262"/>
              </w:rPr>
              <w:t xml:space="preserve"> to other national stakeholders showing interest in the </w:t>
            </w:r>
            <w:r w:rsidR="009622DB">
              <w:rPr>
                <w:rFonts w:cstheme="minorHAnsi"/>
                <w:color w:val="185262"/>
              </w:rPr>
              <w:t>project/</w:t>
            </w:r>
            <w:r w:rsidR="00293CE5">
              <w:rPr>
                <w:rFonts w:cstheme="minorHAnsi"/>
                <w:color w:val="185262"/>
              </w:rPr>
              <w:t xml:space="preserve">recognized as </w:t>
            </w:r>
            <w:r w:rsidR="009622DB">
              <w:rPr>
                <w:rFonts w:cstheme="minorHAnsi"/>
                <w:color w:val="185262"/>
              </w:rPr>
              <w:t xml:space="preserve">the </w:t>
            </w:r>
            <w:r w:rsidR="00293CE5">
              <w:rPr>
                <w:rFonts w:cstheme="minorHAnsi"/>
                <w:color w:val="185262"/>
              </w:rPr>
              <w:t xml:space="preserve">valuable partners. </w:t>
            </w:r>
            <w:r w:rsidR="0021502B">
              <w:rPr>
                <w:rFonts w:cstheme="minorHAnsi"/>
                <w:color w:val="185262"/>
              </w:rPr>
              <w:t xml:space="preserve">Also, the project will scale up the cooperation with academia, as the independent evaluator recommended, through </w:t>
            </w:r>
            <w:r w:rsidR="003E6CD7">
              <w:rPr>
                <w:rFonts w:cstheme="minorHAnsi"/>
                <w:color w:val="185262"/>
              </w:rPr>
              <w:t xml:space="preserve">activities of the Open Data Hub (School of Data – students and young researchers to be included as </w:t>
            </w:r>
            <w:r w:rsidR="00B704F0">
              <w:rPr>
                <w:rFonts w:cstheme="minorHAnsi"/>
                <w:color w:val="185262"/>
              </w:rPr>
              <w:t xml:space="preserve">beneficiaries, grants, and other </w:t>
            </w:r>
            <w:r w:rsidR="00354AF8">
              <w:rPr>
                <w:rFonts w:cstheme="minorHAnsi"/>
                <w:color w:val="185262"/>
              </w:rPr>
              <w:t>tailor-made</w:t>
            </w:r>
            <w:r w:rsidR="008C570A">
              <w:rPr>
                <w:rFonts w:cstheme="minorHAnsi"/>
                <w:color w:val="185262"/>
              </w:rPr>
              <w:t xml:space="preserve"> activities). </w:t>
            </w:r>
            <w:r w:rsidR="00B704F0">
              <w:rPr>
                <w:rFonts w:cstheme="minorHAnsi"/>
                <w:color w:val="185262"/>
              </w:rPr>
              <w:t xml:space="preserve"> </w:t>
            </w:r>
          </w:p>
          <w:p w14:paraId="0F9407BD" w14:textId="37BAB699" w:rsidR="00F817FB" w:rsidRPr="008711DF" w:rsidRDefault="00F817FB" w:rsidP="00260FE5">
            <w:pPr>
              <w:tabs>
                <w:tab w:val="left" w:pos="1080"/>
              </w:tabs>
              <w:spacing w:after="0" w:line="240" w:lineRule="auto"/>
              <w:jc w:val="both"/>
              <w:rPr>
                <w:rFonts w:cstheme="minorHAnsi"/>
                <w:color w:val="185262"/>
              </w:rPr>
            </w:pPr>
          </w:p>
        </w:tc>
      </w:tr>
      <w:tr w:rsidR="00E61BD7" w:rsidRPr="008711DF" w14:paraId="243F4F7A" w14:textId="77777777" w:rsidTr="009A67B3">
        <w:trPr>
          <w:trHeight w:val="135"/>
        </w:trPr>
        <w:tc>
          <w:tcPr>
            <w:tcW w:w="2788" w:type="dxa"/>
            <w:vMerge w:val="restart"/>
            <w:shd w:val="clear" w:color="auto" w:fill="EAF6F3"/>
          </w:tcPr>
          <w:p w14:paraId="4BCEEE1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9" w:type="dxa"/>
            <w:vMerge w:val="restart"/>
            <w:shd w:val="clear" w:color="auto" w:fill="EAF6F3"/>
          </w:tcPr>
          <w:p w14:paraId="5C8FFC7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9" w:type="dxa"/>
            <w:vMerge w:val="restart"/>
            <w:shd w:val="clear" w:color="auto" w:fill="EAF6F3"/>
          </w:tcPr>
          <w:p w14:paraId="1AD4FF2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2"/>
            <w:shd w:val="clear" w:color="auto" w:fill="EAF6F3"/>
          </w:tcPr>
          <w:p w14:paraId="784C5AA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15563F77" w14:textId="77777777" w:rsidTr="009A67B3">
        <w:trPr>
          <w:trHeight w:val="135"/>
        </w:trPr>
        <w:tc>
          <w:tcPr>
            <w:tcW w:w="2788" w:type="dxa"/>
            <w:vMerge/>
            <w:shd w:val="clear" w:color="auto" w:fill="F3F3F3"/>
          </w:tcPr>
          <w:p w14:paraId="2BD8D0D1" w14:textId="77777777" w:rsidR="00E61BD7" w:rsidRPr="008711DF" w:rsidRDefault="00E61BD7" w:rsidP="00260FE5">
            <w:pPr>
              <w:tabs>
                <w:tab w:val="left" w:pos="1080"/>
              </w:tabs>
              <w:spacing w:after="0" w:line="240" w:lineRule="auto"/>
              <w:jc w:val="both"/>
              <w:rPr>
                <w:rFonts w:cstheme="minorHAnsi"/>
                <w:color w:val="185262"/>
              </w:rPr>
            </w:pPr>
          </w:p>
        </w:tc>
        <w:tc>
          <w:tcPr>
            <w:tcW w:w="1949" w:type="dxa"/>
            <w:vMerge/>
            <w:shd w:val="clear" w:color="auto" w:fill="F3F3F3"/>
          </w:tcPr>
          <w:p w14:paraId="37CF9F11" w14:textId="77777777" w:rsidR="00E61BD7" w:rsidRPr="008711DF" w:rsidRDefault="00E61BD7" w:rsidP="00260FE5">
            <w:pPr>
              <w:tabs>
                <w:tab w:val="left" w:pos="1080"/>
              </w:tabs>
              <w:spacing w:after="0" w:line="240" w:lineRule="auto"/>
              <w:jc w:val="both"/>
              <w:rPr>
                <w:rFonts w:cstheme="minorHAnsi"/>
                <w:b/>
                <w:color w:val="185262"/>
              </w:rPr>
            </w:pPr>
          </w:p>
        </w:tc>
        <w:tc>
          <w:tcPr>
            <w:tcW w:w="1859" w:type="dxa"/>
            <w:vMerge/>
            <w:shd w:val="clear" w:color="auto" w:fill="F3F3F3"/>
          </w:tcPr>
          <w:p w14:paraId="33163168" w14:textId="77777777" w:rsidR="00E61BD7" w:rsidRPr="008711DF" w:rsidRDefault="00E61BD7" w:rsidP="00260FE5">
            <w:pPr>
              <w:tabs>
                <w:tab w:val="left" w:pos="1080"/>
              </w:tabs>
              <w:spacing w:after="0" w:line="240" w:lineRule="auto"/>
              <w:jc w:val="both"/>
              <w:rPr>
                <w:rFonts w:cstheme="minorHAnsi"/>
                <w:b/>
                <w:color w:val="185262"/>
              </w:rPr>
            </w:pPr>
          </w:p>
        </w:tc>
        <w:tc>
          <w:tcPr>
            <w:tcW w:w="1226" w:type="dxa"/>
          </w:tcPr>
          <w:p w14:paraId="757241A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B4D08C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3A41C4D0" w14:textId="77777777" w:rsidTr="009A67B3">
        <w:tc>
          <w:tcPr>
            <w:tcW w:w="2788" w:type="dxa"/>
          </w:tcPr>
          <w:p w14:paraId="28CD802A" w14:textId="3B850C9C"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3.1</w:t>
            </w:r>
            <w:r w:rsidR="00D15F82">
              <w:rPr>
                <w:rFonts w:cstheme="minorHAnsi"/>
                <w:color w:val="185262"/>
              </w:rPr>
              <w:t>. Development of the new three-year project</w:t>
            </w:r>
          </w:p>
        </w:tc>
        <w:tc>
          <w:tcPr>
            <w:tcW w:w="1949" w:type="dxa"/>
          </w:tcPr>
          <w:p w14:paraId="6EBA8D1E" w14:textId="0E2D4091" w:rsidR="00E61BD7" w:rsidRPr="008711DF" w:rsidRDefault="00D15F82" w:rsidP="00260FE5">
            <w:pPr>
              <w:tabs>
                <w:tab w:val="left" w:pos="1080"/>
              </w:tabs>
              <w:spacing w:after="0" w:line="240" w:lineRule="auto"/>
              <w:jc w:val="both"/>
              <w:rPr>
                <w:rFonts w:cstheme="minorHAnsi"/>
                <w:color w:val="185262"/>
              </w:rPr>
            </w:pPr>
            <w:r>
              <w:rPr>
                <w:rFonts w:cstheme="minorHAnsi"/>
                <w:color w:val="185262"/>
              </w:rPr>
              <w:t>Q2 2020</w:t>
            </w:r>
          </w:p>
        </w:tc>
        <w:tc>
          <w:tcPr>
            <w:tcW w:w="1859" w:type="dxa"/>
          </w:tcPr>
          <w:p w14:paraId="05C4AB24" w14:textId="16CF2C60" w:rsidR="00E61BD7" w:rsidRPr="008711DF" w:rsidRDefault="00D15F82" w:rsidP="00D15F82">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6" w:type="dxa"/>
          </w:tcPr>
          <w:p w14:paraId="64E645A3"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710A7BF1" w14:textId="77777777" w:rsidR="00E61BD7" w:rsidRPr="008711DF" w:rsidRDefault="00E61BD7" w:rsidP="00260FE5">
            <w:pPr>
              <w:tabs>
                <w:tab w:val="left" w:pos="1080"/>
              </w:tabs>
              <w:spacing w:after="0" w:line="240" w:lineRule="auto"/>
              <w:jc w:val="both"/>
              <w:rPr>
                <w:rFonts w:cstheme="minorHAnsi"/>
                <w:color w:val="185262"/>
              </w:rPr>
            </w:pPr>
          </w:p>
        </w:tc>
      </w:tr>
      <w:tr w:rsidR="009A67B3" w:rsidRPr="008711DF" w14:paraId="50B089B4" w14:textId="77777777" w:rsidTr="009A67B3">
        <w:tc>
          <w:tcPr>
            <w:tcW w:w="2788" w:type="dxa"/>
          </w:tcPr>
          <w:p w14:paraId="08282793" w14:textId="6256B4B1" w:rsidR="009A67B3" w:rsidRPr="008711DF" w:rsidRDefault="009A67B3" w:rsidP="009A67B3">
            <w:pPr>
              <w:tabs>
                <w:tab w:val="left" w:pos="1080"/>
              </w:tabs>
              <w:spacing w:after="0" w:line="240" w:lineRule="auto"/>
              <w:jc w:val="both"/>
              <w:rPr>
                <w:rFonts w:cstheme="minorHAnsi"/>
                <w:color w:val="185262"/>
              </w:rPr>
            </w:pPr>
            <w:r w:rsidRPr="008711DF">
              <w:rPr>
                <w:rFonts w:cstheme="minorHAnsi"/>
                <w:color w:val="185262"/>
              </w:rPr>
              <w:t>3.2</w:t>
            </w:r>
            <w:r w:rsidR="00D15F82">
              <w:rPr>
                <w:rFonts w:cstheme="minorHAnsi"/>
                <w:color w:val="185262"/>
              </w:rPr>
              <w:t xml:space="preserve"> Implementation of the new project </w:t>
            </w:r>
            <w:r w:rsidR="00DA413E">
              <w:rPr>
                <w:rFonts w:cstheme="minorHAnsi"/>
                <w:color w:val="185262"/>
              </w:rPr>
              <w:t>with activities focused both on the national and the local level, and active cooperation with the academia.</w:t>
            </w:r>
          </w:p>
        </w:tc>
        <w:tc>
          <w:tcPr>
            <w:tcW w:w="1949" w:type="dxa"/>
          </w:tcPr>
          <w:p w14:paraId="0782D4E0" w14:textId="395B2A83" w:rsidR="009A67B3" w:rsidRPr="008711DF" w:rsidRDefault="009A67B3" w:rsidP="009A67B3">
            <w:pPr>
              <w:tabs>
                <w:tab w:val="left" w:pos="1080"/>
              </w:tabs>
              <w:spacing w:after="0" w:line="240" w:lineRule="auto"/>
              <w:jc w:val="both"/>
              <w:rPr>
                <w:rFonts w:cstheme="minorHAnsi"/>
                <w:color w:val="185262"/>
              </w:rPr>
            </w:pPr>
            <w:r>
              <w:rPr>
                <w:rFonts w:cstheme="minorHAnsi"/>
                <w:color w:val="185262"/>
              </w:rPr>
              <w:t xml:space="preserve">2020 </w:t>
            </w:r>
            <w:r w:rsidR="00D15F82">
              <w:rPr>
                <w:rFonts w:cstheme="minorHAnsi"/>
                <w:color w:val="185262"/>
              </w:rPr>
              <w:t>- 2023</w:t>
            </w:r>
          </w:p>
        </w:tc>
        <w:tc>
          <w:tcPr>
            <w:tcW w:w="1859" w:type="dxa"/>
          </w:tcPr>
          <w:p w14:paraId="412D37C4" w14:textId="1AC80F0D" w:rsidR="009A67B3" w:rsidRPr="008711DF" w:rsidRDefault="00D15F82" w:rsidP="00D15F82">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6" w:type="dxa"/>
          </w:tcPr>
          <w:p w14:paraId="7EC1425A" w14:textId="77777777" w:rsidR="009A67B3" w:rsidRPr="008711DF" w:rsidRDefault="009A67B3" w:rsidP="009A67B3">
            <w:pPr>
              <w:tabs>
                <w:tab w:val="left" w:pos="1080"/>
              </w:tabs>
              <w:spacing w:after="0" w:line="240" w:lineRule="auto"/>
              <w:jc w:val="both"/>
              <w:rPr>
                <w:rFonts w:cstheme="minorHAnsi"/>
                <w:color w:val="185262"/>
              </w:rPr>
            </w:pPr>
          </w:p>
        </w:tc>
        <w:tc>
          <w:tcPr>
            <w:tcW w:w="1194" w:type="dxa"/>
          </w:tcPr>
          <w:p w14:paraId="571B62F7" w14:textId="77777777" w:rsidR="009A67B3" w:rsidRPr="008711DF" w:rsidRDefault="009A67B3" w:rsidP="009A67B3">
            <w:pPr>
              <w:tabs>
                <w:tab w:val="left" w:pos="1080"/>
              </w:tabs>
              <w:spacing w:after="0" w:line="240" w:lineRule="auto"/>
              <w:jc w:val="both"/>
              <w:rPr>
                <w:rFonts w:cstheme="minorHAnsi"/>
                <w:color w:val="185262"/>
              </w:rPr>
            </w:pPr>
          </w:p>
        </w:tc>
      </w:tr>
    </w:tbl>
    <w:p w14:paraId="0D2181DA" w14:textId="77777777" w:rsidR="00E61BD7" w:rsidRDefault="00E61BD7" w:rsidP="00E61BD7">
      <w:pPr>
        <w:tabs>
          <w:tab w:val="left" w:pos="1080"/>
        </w:tabs>
        <w:spacing w:after="0" w:line="240" w:lineRule="auto"/>
        <w:jc w:val="both"/>
        <w:rPr>
          <w:rFonts w:cstheme="minorHAnsi"/>
          <w:color w:val="185262"/>
          <w:lang w:eastAsia="ja-JP"/>
        </w:rPr>
      </w:pPr>
    </w:p>
    <w:p w14:paraId="597F4230" w14:textId="77777777" w:rsidR="00D04934" w:rsidRDefault="00D04934" w:rsidP="00E61BD7">
      <w:pPr>
        <w:tabs>
          <w:tab w:val="left" w:pos="1080"/>
        </w:tabs>
        <w:spacing w:after="0" w:line="240" w:lineRule="auto"/>
        <w:jc w:val="both"/>
        <w:rPr>
          <w:rFonts w:cstheme="minorHAnsi"/>
          <w:color w:val="185262"/>
          <w:lang w:eastAsia="ja-JP"/>
        </w:rPr>
      </w:pPr>
    </w:p>
    <w:p w14:paraId="021B1BE9" w14:textId="77777777" w:rsidR="00D04934" w:rsidRDefault="00D04934"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D04934" w:rsidRPr="008711DF" w14:paraId="6C95E5E9" w14:textId="77777777" w:rsidTr="00D04934">
        <w:tc>
          <w:tcPr>
            <w:tcW w:w="9016" w:type="dxa"/>
            <w:gridSpan w:val="5"/>
            <w:shd w:val="clear" w:color="auto" w:fill="EAF6F3"/>
          </w:tcPr>
          <w:p w14:paraId="650A5F68" w14:textId="77777777" w:rsidR="00D04934" w:rsidRDefault="00D04934" w:rsidP="008646A6">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p>
          <w:p w14:paraId="64C1B832" w14:textId="77777777" w:rsidR="00D04934" w:rsidRDefault="00D04934" w:rsidP="008646A6">
            <w:pPr>
              <w:jc w:val="both"/>
              <w:rPr>
                <w:b/>
                <w:bCs/>
              </w:rPr>
            </w:pPr>
            <w:r w:rsidRPr="00021CA5">
              <w:rPr>
                <w:b/>
                <w:bCs/>
              </w:rPr>
              <w:t xml:space="preserve">R4: </w:t>
            </w:r>
            <w:r w:rsidR="00BF4198">
              <w:t xml:space="preserve"> </w:t>
            </w:r>
            <w:r w:rsidR="00BF4198" w:rsidRPr="00BF4198">
              <w:rPr>
                <w:b/>
                <w:bCs/>
              </w:rPr>
              <w:t>Increase demand on both supply and demand side</w:t>
            </w:r>
          </w:p>
          <w:p w14:paraId="62BD9E2D" w14:textId="6B662CB9" w:rsidR="008646A6" w:rsidRPr="008646A6" w:rsidRDefault="008646A6" w:rsidP="008646A6">
            <w:pPr>
              <w:jc w:val="both"/>
            </w:pPr>
            <w:r w:rsidRPr="008646A6">
              <w:t xml:space="preserve">The project should continue to increase demand for open data through raising awareness and visibility and to generate a bottom-up demand for more data. There should be a more strategic focus on high value data and the project should work on both sides of the human development paradigm to aim for a greater release of high value data. In order to do this, the project should develop criteria for the identification and selection of data that needs to be open and that which would have the greatest impact in different sectors. The second phase of the project could also identify new ways of involving even more citizens in the activities so they can directly participate either in collecting or operating with open data. During the first phase, the data that was opened </w:t>
            </w:r>
            <w:r w:rsidRPr="008646A6">
              <w:lastRenderedPageBreak/>
              <w:t xml:space="preserve">had a bigger impact on society and the environment than on the economy. In the future, data that is open could have more influence on the economy. The possibility of developing user applications on an increasing number of open data sets will enable citizens to be better informed for different needs. </w:t>
            </w:r>
            <w:proofErr w:type="gramStart"/>
            <w:r w:rsidRPr="008646A6">
              <w:t>Thus</w:t>
            </w:r>
            <w:proofErr w:type="gramEnd"/>
            <w:r w:rsidRPr="008646A6">
              <w:t xml:space="preserve"> it is recommended that UNDP consider the following for the second phase: </w:t>
            </w:r>
          </w:p>
          <w:p w14:paraId="1F69FCC4" w14:textId="2B0145F2" w:rsidR="008646A6" w:rsidRPr="008646A6" w:rsidRDefault="008646A6" w:rsidP="008646A6">
            <w:pPr>
              <w:jc w:val="both"/>
            </w:pPr>
            <w:r w:rsidRPr="008646A6">
              <w:t>•</w:t>
            </w:r>
            <w:r w:rsidR="005B4D3B">
              <w:t xml:space="preserve"> </w:t>
            </w:r>
            <w:r w:rsidRPr="008646A6">
              <w:t>Better communication with all stakeholders (public sector, academia, civil society, companies, citizens, IT) in order to define the necessary data sets to be opened based on objective criteria as mentioned above - organizing focus groups, conducting research, etc.;</w:t>
            </w:r>
          </w:p>
          <w:p w14:paraId="4012AB91" w14:textId="715FC066" w:rsidR="008646A6" w:rsidRPr="008646A6" w:rsidRDefault="008646A6" w:rsidP="008646A6">
            <w:pPr>
              <w:jc w:val="both"/>
            </w:pPr>
            <w:r w:rsidRPr="008646A6">
              <w:t>•</w:t>
            </w:r>
            <w:r w:rsidR="005B4D3B">
              <w:t xml:space="preserve"> </w:t>
            </w:r>
            <w:r w:rsidRPr="008646A6">
              <w:t>Define an Advisory Board of the project, which should consist of a maximum of 10 persons with expertise in one of the open data fields (representatives of state bodies, academia, civil society, IT community) to steer and guide the process in a more strategic manner;</w:t>
            </w:r>
          </w:p>
          <w:p w14:paraId="0113B867" w14:textId="1525D7A4" w:rsidR="008646A6" w:rsidRPr="008646A6" w:rsidRDefault="008646A6" w:rsidP="008646A6">
            <w:pPr>
              <w:jc w:val="both"/>
              <w:rPr>
                <w:b/>
                <w:bCs/>
              </w:rPr>
            </w:pPr>
            <w:r w:rsidRPr="008646A6">
              <w:t>•</w:t>
            </w:r>
            <w:r w:rsidR="005B4D3B">
              <w:t xml:space="preserve"> </w:t>
            </w:r>
            <w:r w:rsidRPr="008646A6">
              <w:t>Monitoring and reporting regularly on the use of open data sets available on the National Portal.</w:t>
            </w:r>
          </w:p>
        </w:tc>
      </w:tr>
      <w:tr w:rsidR="00D04934" w:rsidRPr="008711DF" w14:paraId="0E1FFD63" w14:textId="77777777" w:rsidTr="00D04934">
        <w:tc>
          <w:tcPr>
            <w:tcW w:w="9016" w:type="dxa"/>
            <w:gridSpan w:val="5"/>
            <w:shd w:val="clear" w:color="auto" w:fill="EAF6F3"/>
          </w:tcPr>
          <w:p w14:paraId="4DA21913" w14:textId="77777777" w:rsidR="00D04934" w:rsidRDefault="00D04934" w:rsidP="008646A6">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p>
          <w:p w14:paraId="0F036960" w14:textId="77777777" w:rsidR="00D04934" w:rsidRDefault="00D04934" w:rsidP="008646A6">
            <w:pPr>
              <w:tabs>
                <w:tab w:val="left" w:pos="1080"/>
              </w:tabs>
              <w:spacing w:after="0" w:line="240" w:lineRule="auto"/>
              <w:jc w:val="both"/>
              <w:rPr>
                <w:rFonts w:cstheme="minorHAnsi"/>
                <w:color w:val="185262"/>
              </w:rPr>
            </w:pPr>
          </w:p>
          <w:p w14:paraId="5EA8D5D4" w14:textId="49CEAF94" w:rsidR="00C42CD1" w:rsidRPr="008711DF" w:rsidRDefault="001A5B0C" w:rsidP="008646A6">
            <w:pPr>
              <w:tabs>
                <w:tab w:val="left" w:pos="1080"/>
              </w:tabs>
              <w:spacing w:after="0" w:line="240" w:lineRule="auto"/>
              <w:jc w:val="both"/>
              <w:rPr>
                <w:rFonts w:cstheme="minorHAnsi"/>
                <w:color w:val="185262"/>
              </w:rPr>
            </w:pPr>
            <w:r>
              <w:rPr>
                <w:rFonts w:cstheme="minorHAnsi"/>
                <w:color w:val="185262"/>
              </w:rPr>
              <w:t xml:space="preserve">UNDP envisages </w:t>
            </w:r>
            <w:r w:rsidR="00A971C5">
              <w:rPr>
                <w:rFonts w:cstheme="minorHAnsi"/>
                <w:color w:val="185262"/>
              </w:rPr>
              <w:t xml:space="preserve">more inclusive </w:t>
            </w:r>
            <w:r w:rsidR="004868AA">
              <w:rPr>
                <w:rFonts w:cstheme="minorHAnsi"/>
                <w:color w:val="185262"/>
              </w:rPr>
              <w:t>process in the future project</w:t>
            </w:r>
            <w:r w:rsidR="001326FA">
              <w:rPr>
                <w:rFonts w:cstheme="minorHAnsi"/>
                <w:color w:val="185262"/>
              </w:rPr>
              <w:t>.</w:t>
            </w:r>
            <w:r w:rsidR="00937709">
              <w:rPr>
                <w:rFonts w:cstheme="minorHAnsi"/>
                <w:color w:val="185262"/>
              </w:rPr>
              <w:t xml:space="preserve"> The community of users will be engaged through Open Data Hub (to be established in the next project)</w:t>
            </w:r>
            <w:r w:rsidR="00960D44">
              <w:rPr>
                <w:rFonts w:cstheme="minorHAnsi"/>
                <w:color w:val="185262"/>
              </w:rPr>
              <w:t xml:space="preserve">, which will host meetups, focus groups and various other activities. Open Data Working Group will be redesigned in order to act more as a strategic drive in the process of the open data release. </w:t>
            </w:r>
            <w:r w:rsidR="00426C6E">
              <w:rPr>
                <w:rFonts w:cstheme="minorHAnsi"/>
                <w:color w:val="185262"/>
              </w:rPr>
              <w:t xml:space="preserve">Use of open data sets will be followed through a campaign </w:t>
            </w:r>
            <w:r w:rsidR="00B35F36">
              <w:rPr>
                <w:rFonts w:cstheme="minorHAnsi"/>
                <w:color w:val="185262"/>
              </w:rPr>
              <w:t>inviting users to promote their data-driven solutions</w:t>
            </w:r>
            <w:r w:rsidR="002A0023">
              <w:rPr>
                <w:rFonts w:cstheme="minorHAnsi"/>
                <w:color w:val="185262"/>
              </w:rPr>
              <w:t xml:space="preserve"> and include them in “examples of usage” section on the National Open Data Portal</w:t>
            </w:r>
            <w:r w:rsidR="00B35F36">
              <w:rPr>
                <w:rFonts w:cstheme="minorHAnsi"/>
                <w:color w:val="185262"/>
              </w:rPr>
              <w:t xml:space="preserve">, however systematic monitoring is not applicable since </w:t>
            </w:r>
            <w:r w:rsidR="00B52199">
              <w:rPr>
                <w:rFonts w:cstheme="minorHAnsi"/>
                <w:color w:val="185262"/>
              </w:rPr>
              <w:t xml:space="preserve">the core definition of open data includes free use and download without the condition to </w:t>
            </w:r>
            <w:r w:rsidR="000D0015">
              <w:rPr>
                <w:rFonts w:cstheme="minorHAnsi"/>
                <w:color w:val="185262"/>
              </w:rPr>
              <w:t xml:space="preserve">report usage (only attribution to the source is needed). </w:t>
            </w:r>
          </w:p>
        </w:tc>
      </w:tr>
      <w:tr w:rsidR="00D04934" w:rsidRPr="008711DF" w14:paraId="1D8C124E" w14:textId="77777777" w:rsidTr="00D04934">
        <w:trPr>
          <w:trHeight w:val="135"/>
        </w:trPr>
        <w:tc>
          <w:tcPr>
            <w:tcW w:w="2627" w:type="dxa"/>
            <w:vMerge w:val="restart"/>
            <w:shd w:val="clear" w:color="auto" w:fill="EAF6F3"/>
          </w:tcPr>
          <w:p w14:paraId="7C486A7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012A786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555AFC2F"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1E898A51"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Tracking</w:t>
            </w:r>
          </w:p>
        </w:tc>
      </w:tr>
      <w:tr w:rsidR="00D04934" w:rsidRPr="008711DF" w14:paraId="29377B2B" w14:textId="77777777" w:rsidTr="00D04934">
        <w:trPr>
          <w:trHeight w:val="135"/>
        </w:trPr>
        <w:tc>
          <w:tcPr>
            <w:tcW w:w="2627" w:type="dxa"/>
            <w:vMerge/>
            <w:shd w:val="clear" w:color="auto" w:fill="F3F3F3"/>
          </w:tcPr>
          <w:p w14:paraId="21A6FBC0" w14:textId="77777777" w:rsidR="00D04934" w:rsidRPr="008711DF" w:rsidRDefault="00D04934" w:rsidP="00D00904">
            <w:pPr>
              <w:tabs>
                <w:tab w:val="left" w:pos="1080"/>
              </w:tabs>
              <w:spacing w:after="0" w:line="240" w:lineRule="auto"/>
              <w:jc w:val="both"/>
              <w:rPr>
                <w:rFonts w:cstheme="minorHAnsi"/>
                <w:color w:val="185262"/>
              </w:rPr>
            </w:pPr>
          </w:p>
        </w:tc>
        <w:tc>
          <w:tcPr>
            <w:tcW w:w="2037" w:type="dxa"/>
            <w:vMerge/>
            <w:shd w:val="clear" w:color="auto" w:fill="F3F3F3"/>
          </w:tcPr>
          <w:p w14:paraId="1E14BE2F" w14:textId="77777777" w:rsidR="00D04934" w:rsidRPr="008711DF" w:rsidRDefault="00D04934" w:rsidP="00D00904">
            <w:pPr>
              <w:tabs>
                <w:tab w:val="left" w:pos="1080"/>
              </w:tabs>
              <w:spacing w:after="0" w:line="240" w:lineRule="auto"/>
              <w:jc w:val="both"/>
              <w:rPr>
                <w:rFonts w:cstheme="minorHAnsi"/>
                <w:b/>
                <w:color w:val="185262"/>
              </w:rPr>
            </w:pPr>
          </w:p>
        </w:tc>
        <w:tc>
          <w:tcPr>
            <w:tcW w:w="1929" w:type="dxa"/>
            <w:vMerge/>
            <w:shd w:val="clear" w:color="auto" w:fill="F3F3F3"/>
          </w:tcPr>
          <w:p w14:paraId="1CD0C4DA" w14:textId="77777777" w:rsidR="00D04934" w:rsidRPr="008711DF" w:rsidRDefault="00D04934" w:rsidP="00D00904">
            <w:pPr>
              <w:tabs>
                <w:tab w:val="left" w:pos="1080"/>
              </w:tabs>
              <w:spacing w:after="0" w:line="240" w:lineRule="auto"/>
              <w:jc w:val="both"/>
              <w:rPr>
                <w:rFonts w:cstheme="minorHAnsi"/>
                <w:b/>
                <w:color w:val="185262"/>
              </w:rPr>
            </w:pPr>
          </w:p>
        </w:tc>
        <w:tc>
          <w:tcPr>
            <w:tcW w:w="1229" w:type="dxa"/>
          </w:tcPr>
          <w:p w14:paraId="101CA661"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627A02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D04934" w:rsidRPr="008711DF" w14:paraId="050042EE" w14:textId="77777777" w:rsidTr="00D04934">
        <w:tc>
          <w:tcPr>
            <w:tcW w:w="2627" w:type="dxa"/>
          </w:tcPr>
          <w:p w14:paraId="507CDE49" w14:textId="71CD1AA5" w:rsidR="00D04934" w:rsidRPr="008711DF" w:rsidRDefault="00900BA1" w:rsidP="00D00904">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 xml:space="preserve">.1 </w:t>
            </w:r>
            <w:r>
              <w:rPr>
                <w:rFonts w:cstheme="minorHAnsi"/>
                <w:color w:val="185262"/>
              </w:rPr>
              <w:t>Development of the new three-year project</w:t>
            </w:r>
          </w:p>
        </w:tc>
        <w:tc>
          <w:tcPr>
            <w:tcW w:w="2037" w:type="dxa"/>
          </w:tcPr>
          <w:p w14:paraId="6168832A" w14:textId="46600509" w:rsidR="00D04934" w:rsidRPr="008711DF" w:rsidRDefault="00900BA1" w:rsidP="00D00904">
            <w:pPr>
              <w:tabs>
                <w:tab w:val="left" w:pos="1080"/>
              </w:tabs>
              <w:spacing w:after="0" w:line="240" w:lineRule="auto"/>
              <w:jc w:val="both"/>
              <w:rPr>
                <w:rFonts w:cstheme="minorHAnsi"/>
                <w:color w:val="185262"/>
              </w:rPr>
            </w:pPr>
            <w:r>
              <w:rPr>
                <w:rFonts w:cstheme="minorHAnsi"/>
                <w:color w:val="185262"/>
              </w:rPr>
              <w:t>Q2 2020</w:t>
            </w:r>
          </w:p>
        </w:tc>
        <w:tc>
          <w:tcPr>
            <w:tcW w:w="1929" w:type="dxa"/>
          </w:tcPr>
          <w:p w14:paraId="017CCAA3" w14:textId="4E3F0011" w:rsidR="00D04934" w:rsidRPr="008711DF" w:rsidRDefault="00333551" w:rsidP="00333551">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9" w:type="dxa"/>
          </w:tcPr>
          <w:p w14:paraId="2B7683AB"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7CA5F04A"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4E3D5246" w14:textId="77777777" w:rsidTr="00D04934">
        <w:tc>
          <w:tcPr>
            <w:tcW w:w="2627" w:type="dxa"/>
          </w:tcPr>
          <w:p w14:paraId="76145FE0" w14:textId="13D0982A" w:rsidR="00D04934" w:rsidRPr="008711DF" w:rsidRDefault="00D04934" w:rsidP="00900BA1">
            <w:pPr>
              <w:tabs>
                <w:tab w:val="left" w:pos="1080"/>
              </w:tabs>
              <w:spacing w:after="0" w:line="240" w:lineRule="auto"/>
              <w:rPr>
                <w:rFonts w:cstheme="minorHAnsi"/>
                <w:color w:val="185262"/>
              </w:rPr>
            </w:pPr>
            <w:r>
              <w:rPr>
                <w:rFonts w:cstheme="minorHAnsi"/>
                <w:color w:val="185262"/>
              </w:rPr>
              <w:t>4</w:t>
            </w:r>
            <w:r w:rsidRPr="008711DF">
              <w:rPr>
                <w:rFonts w:cstheme="minorHAnsi"/>
                <w:color w:val="185262"/>
              </w:rPr>
              <w:t>.2</w:t>
            </w:r>
            <w:r w:rsidR="00900BA1">
              <w:rPr>
                <w:rFonts w:cstheme="minorHAnsi"/>
                <w:color w:val="185262"/>
              </w:rPr>
              <w:t xml:space="preserve">. </w:t>
            </w:r>
            <w:r w:rsidR="00900BA1">
              <w:t xml:space="preserve"> </w:t>
            </w:r>
            <w:r w:rsidR="00900BA1" w:rsidRPr="00900BA1">
              <w:rPr>
                <w:rFonts w:cstheme="minorHAnsi"/>
                <w:color w:val="185262"/>
              </w:rPr>
              <w:t xml:space="preserve">Implementation of the new project </w:t>
            </w:r>
            <w:r w:rsidR="00AB6780">
              <w:rPr>
                <w:rFonts w:cstheme="minorHAnsi"/>
                <w:color w:val="185262"/>
              </w:rPr>
              <w:t>including activities focused on more inclusion and</w:t>
            </w:r>
            <w:r w:rsidR="00DA413E">
              <w:rPr>
                <w:rFonts w:cstheme="minorHAnsi"/>
                <w:color w:val="185262"/>
              </w:rPr>
              <w:t xml:space="preserve"> demand-driven approach</w:t>
            </w:r>
          </w:p>
        </w:tc>
        <w:tc>
          <w:tcPr>
            <w:tcW w:w="2037" w:type="dxa"/>
          </w:tcPr>
          <w:p w14:paraId="06AF1628" w14:textId="11D2413F" w:rsidR="00D04934" w:rsidRPr="008711DF" w:rsidRDefault="00333551" w:rsidP="00D00904">
            <w:pPr>
              <w:tabs>
                <w:tab w:val="left" w:pos="1080"/>
              </w:tabs>
              <w:spacing w:after="0" w:line="240" w:lineRule="auto"/>
              <w:jc w:val="both"/>
              <w:rPr>
                <w:rFonts w:cstheme="minorHAnsi"/>
                <w:color w:val="185262"/>
              </w:rPr>
            </w:pPr>
            <w:r>
              <w:rPr>
                <w:rFonts w:cstheme="minorHAnsi"/>
                <w:color w:val="185262"/>
              </w:rPr>
              <w:t>2020 - 2023</w:t>
            </w:r>
          </w:p>
        </w:tc>
        <w:tc>
          <w:tcPr>
            <w:tcW w:w="1929" w:type="dxa"/>
          </w:tcPr>
          <w:p w14:paraId="05F1A0BA" w14:textId="61F26A0F" w:rsidR="00D04934" w:rsidRPr="008711DF" w:rsidRDefault="00333551" w:rsidP="00333551">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9" w:type="dxa"/>
          </w:tcPr>
          <w:p w14:paraId="21AFA8C8"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6AEAD6BF" w14:textId="77777777" w:rsidR="00D04934" w:rsidRPr="008711DF" w:rsidRDefault="00D04934" w:rsidP="00D00904">
            <w:pPr>
              <w:tabs>
                <w:tab w:val="left" w:pos="1080"/>
              </w:tabs>
              <w:spacing w:after="0" w:line="240" w:lineRule="auto"/>
              <w:jc w:val="both"/>
              <w:rPr>
                <w:rFonts w:cstheme="minorHAnsi"/>
                <w:color w:val="185262"/>
              </w:rPr>
            </w:pPr>
          </w:p>
        </w:tc>
      </w:tr>
    </w:tbl>
    <w:p w14:paraId="691E5446" w14:textId="77777777" w:rsidR="00D04934" w:rsidRDefault="00D04934" w:rsidP="00D04934">
      <w:pPr>
        <w:tabs>
          <w:tab w:val="left" w:pos="1080"/>
        </w:tabs>
        <w:spacing w:after="0" w:line="240" w:lineRule="auto"/>
        <w:jc w:val="both"/>
        <w:rPr>
          <w:rFonts w:cstheme="minorHAnsi"/>
          <w:color w:val="185262"/>
          <w:lang w:eastAsia="ja-JP"/>
        </w:rPr>
      </w:pPr>
    </w:p>
    <w:p w14:paraId="4B93E6CF" w14:textId="77777777" w:rsidR="00D04934" w:rsidRDefault="00D04934" w:rsidP="00D04934">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6"/>
        <w:gridCol w:w="1873"/>
        <w:gridCol w:w="2040"/>
        <w:gridCol w:w="1223"/>
        <w:gridCol w:w="1194"/>
      </w:tblGrid>
      <w:tr w:rsidR="00D04934" w:rsidRPr="008711DF" w14:paraId="04A97B3A" w14:textId="77777777" w:rsidTr="00FC63A3">
        <w:tc>
          <w:tcPr>
            <w:tcW w:w="9016" w:type="dxa"/>
            <w:gridSpan w:val="5"/>
            <w:shd w:val="clear" w:color="auto" w:fill="EAF6F3"/>
          </w:tcPr>
          <w:p w14:paraId="040A63D3" w14:textId="77777777" w:rsidR="00D04934" w:rsidRDefault="00D04934" w:rsidP="00D00904">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p>
          <w:p w14:paraId="1DA45A37" w14:textId="1244354F" w:rsidR="00D04934" w:rsidRPr="00021CA5" w:rsidRDefault="00D04934" w:rsidP="00D04934">
            <w:pPr>
              <w:rPr>
                <w:b/>
                <w:bCs/>
              </w:rPr>
            </w:pPr>
            <w:r w:rsidRPr="00021CA5">
              <w:rPr>
                <w:b/>
                <w:bCs/>
              </w:rPr>
              <w:t xml:space="preserve">R5: </w:t>
            </w:r>
            <w:r w:rsidR="000126B2">
              <w:t xml:space="preserve"> </w:t>
            </w:r>
            <w:r w:rsidR="000126B2" w:rsidRPr="000126B2">
              <w:rPr>
                <w:b/>
                <w:bCs/>
              </w:rPr>
              <w:t>Indicators to capture behavioural change</w:t>
            </w:r>
          </w:p>
          <w:p w14:paraId="05AEDF7B" w14:textId="7B6CC523" w:rsidR="00D04934" w:rsidRPr="00016580" w:rsidRDefault="000B2AEE" w:rsidP="00016580">
            <w:pPr>
              <w:pStyle w:val="Pasus1nabrajanje"/>
              <w:numPr>
                <w:ilvl w:val="0"/>
                <w:numId w:val="0"/>
              </w:numPr>
              <w:jc w:val="both"/>
              <w:rPr>
                <w:rFonts w:asciiTheme="minorHAnsi" w:hAnsiTheme="minorHAnsi" w:cstheme="minorHAnsi"/>
                <w:sz w:val="22"/>
                <w:szCs w:val="28"/>
              </w:rPr>
            </w:pPr>
            <w:r w:rsidRPr="00016580">
              <w:rPr>
                <w:rFonts w:asciiTheme="minorHAnsi" w:hAnsiTheme="minorHAnsi" w:cstheme="minorHAnsi"/>
                <w:sz w:val="22"/>
                <w:szCs w:val="28"/>
              </w:rPr>
              <w:t xml:space="preserve">As noted by the evaluator above, the first phase of the project relied on measuring success against quantitative indicators at the output/activity level, which did not sufficiently capture behavioural change. A greater use of qualitative indicators that measure perceptions and behaviours at the outcome level, as opposed to quantitative indicators that measure activities at the output level, will likely better capture project progress and results, as well as contributions towards the outcomes and impact. These will also allow for capturing the voices of people, which cannot be captured </w:t>
            </w:r>
            <w:r w:rsidRPr="00016580">
              <w:rPr>
                <w:rFonts w:asciiTheme="minorHAnsi" w:hAnsiTheme="minorHAnsi" w:cstheme="minorHAnsi"/>
                <w:sz w:val="22"/>
                <w:szCs w:val="28"/>
              </w:rPr>
              <w:lastRenderedPageBreak/>
              <w:t>through quantitative indicators, and behavioural changes among institutions and the public related to the release and usage of open data.</w:t>
            </w:r>
            <w:r w:rsidR="00D04934" w:rsidRPr="00016580">
              <w:rPr>
                <w:rFonts w:asciiTheme="minorHAnsi" w:hAnsiTheme="minorHAnsi" w:cstheme="minorHAnsi"/>
                <w:sz w:val="22"/>
                <w:szCs w:val="28"/>
              </w:rPr>
              <w:t>  </w:t>
            </w:r>
          </w:p>
          <w:p w14:paraId="20C019C6" w14:textId="77777777" w:rsidR="00D04934" w:rsidRPr="008711DF" w:rsidRDefault="00D04934" w:rsidP="00D00904">
            <w:pPr>
              <w:tabs>
                <w:tab w:val="left" w:pos="1080"/>
              </w:tabs>
              <w:spacing w:after="0" w:line="240" w:lineRule="auto"/>
              <w:jc w:val="both"/>
              <w:rPr>
                <w:rFonts w:cstheme="minorHAnsi"/>
                <w:b/>
                <w:color w:val="185262"/>
              </w:rPr>
            </w:pPr>
          </w:p>
        </w:tc>
      </w:tr>
      <w:tr w:rsidR="00D04934" w:rsidRPr="008711DF" w14:paraId="4E464415" w14:textId="77777777" w:rsidTr="00FC63A3">
        <w:tc>
          <w:tcPr>
            <w:tcW w:w="9016" w:type="dxa"/>
            <w:gridSpan w:val="5"/>
            <w:shd w:val="clear" w:color="auto" w:fill="EAF6F3"/>
          </w:tcPr>
          <w:p w14:paraId="74E91FAE" w14:textId="77777777" w:rsidR="00D04934" w:rsidRDefault="00D04934" w:rsidP="00D00904">
            <w:pPr>
              <w:tabs>
                <w:tab w:val="left" w:pos="1080"/>
              </w:tabs>
              <w:spacing w:after="0" w:line="240" w:lineRule="auto"/>
              <w:jc w:val="both"/>
              <w:rPr>
                <w:rFonts w:cstheme="minorHAnsi"/>
                <w:color w:val="185262"/>
              </w:rPr>
            </w:pPr>
            <w:r w:rsidRPr="008711DF">
              <w:rPr>
                <w:rFonts w:cstheme="minorHAnsi"/>
                <w:b/>
                <w:color w:val="185262"/>
              </w:rPr>
              <w:lastRenderedPageBreak/>
              <w:t>Management response</w:t>
            </w:r>
            <w:r w:rsidRPr="008711DF">
              <w:rPr>
                <w:rFonts w:cstheme="minorHAnsi"/>
                <w:color w:val="185262"/>
              </w:rPr>
              <w:t xml:space="preserve">: </w:t>
            </w:r>
          </w:p>
          <w:p w14:paraId="4A390EC0" w14:textId="77777777" w:rsidR="00D04934" w:rsidRDefault="00D04934" w:rsidP="00D00904">
            <w:pPr>
              <w:tabs>
                <w:tab w:val="left" w:pos="1080"/>
              </w:tabs>
              <w:spacing w:after="0" w:line="240" w:lineRule="auto"/>
              <w:jc w:val="both"/>
              <w:rPr>
                <w:rFonts w:cstheme="minorHAnsi"/>
                <w:color w:val="185262"/>
              </w:rPr>
            </w:pPr>
          </w:p>
          <w:p w14:paraId="2E715E95" w14:textId="476E75A2" w:rsidR="00524117" w:rsidRPr="008711DF" w:rsidRDefault="00897F0E" w:rsidP="00897F0E">
            <w:pPr>
              <w:tabs>
                <w:tab w:val="left" w:pos="1080"/>
              </w:tabs>
              <w:spacing w:after="0" w:line="240" w:lineRule="auto"/>
              <w:jc w:val="both"/>
              <w:rPr>
                <w:rFonts w:cstheme="minorHAnsi"/>
                <w:color w:val="185262"/>
              </w:rPr>
            </w:pPr>
            <w:r>
              <w:rPr>
                <w:rFonts w:cstheme="minorHAnsi"/>
                <w:color w:val="185262"/>
              </w:rPr>
              <w:t xml:space="preserve">In the process of development of the next project, UNDP will consider </w:t>
            </w:r>
            <w:r w:rsidR="00DA413E">
              <w:rPr>
                <w:rFonts w:cstheme="minorHAnsi"/>
                <w:color w:val="185262"/>
              </w:rPr>
              <w:t>including</w:t>
            </w:r>
            <w:r>
              <w:rPr>
                <w:rFonts w:cstheme="minorHAnsi"/>
                <w:color w:val="185262"/>
              </w:rPr>
              <w:t xml:space="preserve"> indicators which can capture </w:t>
            </w:r>
            <w:r w:rsidR="00CE7471">
              <w:rPr>
                <w:rFonts w:cstheme="minorHAnsi"/>
                <w:color w:val="185262"/>
              </w:rPr>
              <w:t xml:space="preserve">behavioural change, taking into consideration the possibility to measure and track such indicators (which is often limited). </w:t>
            </w:r>
            <w:r w:rsidR="000C2C40">
              <w:rPr>
                <w:rFonts w:cstheme="minorHAnsi"/>
                <w:color w:val="185262"/>
              </w:rPr>
              <w:t xml:space="preserve">UNDP will consult indicators developed in the scope of the Open Data Impact </w:t>
            </w:r>
            <w:r w:rsidR="00016580">
              <w:rPr>
                <w:rFonts w:cstheme="minorHAnsi"/>
                <w:color w:val="185262"/>
              </w:rPr>
              <w:t>Assessment</w:t>
            </w:r>
            <w:r w:rsidR="000C2C40">
              <w:rPr>
                <w:rFonts w:cstheme="minorHAnsi"/>
                <w:color w:val="185262"/>
              </w:rPr>
              <w:t xml:space="preserve"> study (published in 2019)</w:t>
            </w:r>
            <w:r w:rsidR="00016580">
              <w:rPr>
                <w:rFonts w:cstheme="minorHAnsi"/>
                <w:color w:val="185262"/>
              </w:rPr>
              <w:t>.</w:t>
            </w:r>
          </w:p>
        </w:tc>
      </w:tr>
      <w:tr w:rsidR="00D04934" w:rsidRPr="008711DF" w14:paraId="7E48D352" w14:textId="77777777" w:rsidTr="00FC63A3">
        <w:trPr>
          <w:trHeight w:val="135"/>
        </w:trPr>
        <w:tc>
          <w:tcPr>
            <w:tcW w:w="2686" w:type="dxa"/>
            <w:vMerge w:val="restart"/>
            <w:shd w:val="clear" w:color="auto" w:fill="EAF6F3"/>
          </w:tcPr>
          <w:p w14:paraId="78AEBE2E"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3" w:type="dxa"/>
            <w:vMerge w:val="restart"/>
            <w:shd w:val="clear" w:color="auto" w:fill="EAF6F3"/>
          </w:tcPr>
          <w:p w14:paraId="62C2E1C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040" w:type="dxa"/>
            <w:vMerge w:val="restart"/>
            <w:shd w:val="clear" w:color="auto" w:fill="EAF6F3"/>
          </w:tcPr>
          <w:p w14:paraId="695C3488"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115829D0"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Tracking</w:t>
            </w:r>
          </w:p>
        </w:tc>
      </w:tr>
      <w:tr w:rsidR="00D04934" w:rsidRPr="008711DF" w14:paraId="13331B79" w14:textId="77777777" w:rsidTr="00FC63A3">
        <w:trPr>
          <w:trHeight w:val="135"/>
        </w:trPr>
        <w:tc>
          <w:tcPr>
            <w:tcW w:w="2686" w:type="dxa"/>
            <w:vMerge/>
            <w:shd w:val="clear" w:color="auto" w:fill="F3F3F3"/>
          </w:tcPr>
          <w:p w14:paraId="4ADFEAEC" w14:textId="77777777" w:rsidR="00D04934" w:rsidRPr="008711DF" w:rsidRDefault="00D04934" w:rsidP="00D00904">
            <w:pPr>
              <w:tabs>
                <w:tab w:val="left" w:pos="1080"/>
              </w:tabs>
              <w:spacing w:after="0" w:line="240" w:lineRule="auto"/>
              <w:jc w:val="both"/>
              <w:rPr>
                <w:rFonts w:cstheme="minorHAnsi"/>
                <w:color w:val="185262"/>
              </w:rPr>
            </w:pPr>
          </w:p>
        </w:tc>
        <w:tc>
          <w:tcPr>
            <w:tcW w:w="1873" w:type="dxa"/>
            <w:vMerge/>
            <w:shd w:val="clear" w:color="auto" w:fill="F3F3F3"/>
          </w:tcPr>
          <w:p w14:paraId="0B443C93" w14:textId="77777777" w:rsidR="00D04934" w:rsidRPr="008711DF" w:rsidRDefault="00D04934" w:rsidP="00D00904">
            <w:pPr>
              <w:tabs>
                <w:tab w:val="left" w:pos="1080"/>
              </w:tabs>
              <w:spacing w:after="0" w:line="240" w:lineRule="auto"/>
              <w:jc w:val="both"/>
              <w:rPr>
                <w:rFonts w:cstheme="minorHAnsi"/>
                <w:b/>
                <w:color w:val="185262"/>
              </w:rPr>
            </w:pPr>
          </w:p>
        </w:tc>
        <w:tc>
          <w:tcPr>
            <w:tcW w:w="2040" w:type="dxa"/>
            <w:vMerge/>
            <w:shd w:val="clear" w:color="auto" w:fill="F3F3F3"/>
          </w:tcPr>
          <w:p w14:paraId="53D488E6" w14:textId="77777777" w:rsidR="00D04934" w:rsidRPr="008711DF" w:rsidRDefault="00D04934" w:rsidP="00D00904">
            <w:pPr>
              <w:tabs>
                <w:tab w:val="left" w:pos="1080"/>
              </w:tabs>
              <w:spacing w:after="0" w:line="240" w:lineRule="auto"/>
              <w:jc w:val="both"/>
              <w:rPr>
                <w:rFonts w:cstheme="minorHAnsi"/>
                <w:b/>
                <w:color w:val="185262"/>
              </w:rPr>
            </w:pPr>
          </w:p>
        </w:tc>
        <w:tc>
          <w:tcPr>
            <w:tcW w:w="1223" w:type="dxa"/>
          </w:tcPr>
          <w:p w14:paraId="1B94D3EC"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792BB95" w14:textId="77777777" w:rsidR="00D04934" w:rsidRPr="008711DF" w:rsidRDefault="00D04934" w:rsidP="00D00904">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D04934" w:rsidRPr="008711DF" w14:paraId="22935961" w14:textId="77777777" w:rsidTr="00FC63A3">
        <w:tc>
          <w:tcPr>
            <w:tcW w:w="2686" w:type="dxa"/>
          </w:tcPr>
          <w:p w14:paraId="2AB1AA5B" w14:textId="20F25FFE"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.1</w:t>
            </w:r>
            <w:r w:rsidR="00016580">
              <w:rPr>
                <w:rFonts w:cstheme="minorHAnsi"/>
                <w:color w:val="185262"/>
              </w:rPr>
              <w:t>. Development of the new three-year project (including new indicators)</w:t>
            </w:r>
          </w:p>
        </w:tc>
        <w:tc>
          <w:tcPr>
            <w:tcW w:w="1873" w:type="dxa"/>
          </w:tcPr>
          <w:p w14:paraId="7CE11DC7" w14:textId="4B02B862" w:rsidR="00D04934" w:rsidRPr="008711DF" w:rsidRDefault="00AB6780" w:rsidP="00D00904">
            <w:pPr>
              <w:tabs>
                <w:tab w:val="left" w:pos="1080"/>
              </w:tabs>
              <w:spacing w:after="0" w:line="240" w:lineRule="auto"/>
              <w:jc w:val="both"/>
              <w:rPr>
                <w:rFonts w:cstheme="minorHAnsi"/>
                <w:color w:val="185262"/>
              </w:rPr>
            </w:pPr>
            <w:r>
              <w:rPr>
                <w:rFonts w:cstheme="minorHAnsi"/>
                <w:color w:val="185262"/>
              </w:rPr>
              <w:t>Q2 2020</w:t>
            </w:r>
          </w:p>
        </w:tc>
        <w:tc>
          <w:tcPr>
            <w:tcW w:w="2040" w:type="dxa"/>
          </w:tcPr>
          <w:p w14:paraId="63404863" w14:textId="4FCE1B38" w:rsidR="00D04934" w:rsidRPr="008711DF" w:rsidRDefault="00FC63A3" w:rsidP="00FC63A3">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3" w:type="dxa"/>
          </w:tcPr>
          <w:p w14:paraId="3425E9CA"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2D86AC79" w14:textId="77777777" w:rsidR="00D04934" w:rsidRPr="008711DF" w:rsidRDefault="00D04934" w:rsidP="00D00904">
            <w:pPr>
              <w:tabs>
                <w:tab w:val="left" w:pos="1080"/>
              </w:tabs>
              <w:spacing w:after="0" w:line="240" w:lineRule="auto"/>
              <w:jc w:val="both"/>
              <w:rPr>
                <w:rFonts w:cstheme="minorHAnsi"/>
                <w:color w:val="185262"/>
              </w:rPr>
            </w:pPr>
          </w:p>
        </w:tc>
      </w:tr>
      <w:tr w:rsidR="00D04934" w:rsidRPr="008711DF" w14:paraId="77A2BC74" w14:textId="77777777" w:rsidTr="00FC63A3">
        <w:tc>
          <w:tcPr>
            <w:tcW w:w="2686" w:type="dxa"/>
          </w:tcPr>
          <w:p w14:paraId="09D8934B" w14:textId="5B07C77F" w:rsidR="00D04934" w:rsidRPr="008711DF" w:rsidRDefault="00D04934" w:rsidP="00D00904">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.2</w:t>
            </w:r>
            <w:r w:rsidR="00016580">
              <w:rPr>
                <w:rFonts w:cstheme="minorHAnsi"/>
                <w:color w:val="185262"/>
              </w:rPr>
              <w:t xml:space="preserve">. </w:t>
            </w:r>
            <w:r w:rsidR="00016580" w:rsidRPr="00900BA1">
              <w:rPr>
                <w:rFonts w:cstheme="minorHAnsi"/>
                <w:color w:val="185262"/>
              </w:rPr>
              <w:t xml:space="preserve">Implementation of the new project and </w:t>
            </w:r>
            <w:r w:rsidR="00DA413E">
              <w:rPr>
                <w:rFonts w:cstheme="minorHAnsi"/>
                <w:color w:val="185262"/>
              </w:rPr>
              <w:t>regular tracking of the progress towards targets set in the Project Document</w:t>
            </w:r>
          </w:p>
        </w:tc>
        <w:tc>
          <w:tcPr>
            <w:tcW w:w="1873" w:type="dxa"/>
          </w:tcPr>
          <w:p w14:paraId="5497486F" w14:textId="433241AE" w:rsidR="00D04934" w:rsidRPr="008711DF" w:rsidRDefault="00AB6780" w:rsidP="00D00904">
            <w:pPr>
              <w:tabs>
                <w:tab w:val="left" w:pos="1080"/>
              </w:tabs>
              <w:spacing w:after="0" w:line="240" w:lineRule="auto"/>
              <w:jc w:val="both"/>
              <w:rPr>
                <w:rFonts w:cstheme="minorHAnsi"/>
                <w:color w:val="185262"/>
              </w:rPr>
            </w:pPr>
            <w:r>
              <w:rPr>
                <w:rFonts w:cstheme="minorHAnsi"/>
                <w:color w:val="185262"/>
              </w:rPr>
              <w:t>2020 - 2023</w:t>
            </w:r>
          </w:p>
        </w:tc>
        <w:tc>
          <w:tcPr>
            <w:tcW w:w="2040" w:type="dxa"/>
          </w:tcPr>
          <w:p w14:paraId="4AC2C043" w14:textId="30F711E8" w:rsidR="00D04934" w:rsidRPr="008711DF" w:rsidRDefault="00FC63A3" w:rsidP="00FC63A3">
            <w:pPr>
              <w:tabs>
                <w:tab w:val="left" w:pos="1080"/>
              </w:tabs>
              <w:spacing w:after="0" w:line="240" w:lineRule="auto"/>
              <w:rPr>
                <w:rFonts w:cstheme="minorHAnsi"/>
                <w:color w:val="185262"/>
              </w:rPr>
            </w:pPr>
            <w:r w:rsidRPr="00A911C5">
              <w:rPr>
                <w:rFonts w:cstheme="minorHAnsi"/>
                <w:color w:val="185262"/>
              </w:rPr>
              <w:t>GG Cluster – Competitiveness and Digital Governance Portfolio</w:t>
            </w:r>
          </w:p>
        </w:tc>
        <w:tc>
          <w:tcPr>
            <w:tcW w:w="1223" w:type="dxa"/>
          </w:tcPr>
          <w:p w14:paraId="2C56A06F" w14:textId="77777777" w:rsidR="00D04934" w:rsidRPr="008711DF" w:rsidRDefault="00D04934" w:rsidP="00D00904">
            <w:pPr>
              <w:tabs>
                <w:tab w:val="left" w:pos="1080"/>
              </w:tabs>
              <w:spacing w:after="0" w:line="240" w:lineRule="auto"/>
              <w:jc w:val="both"/>
              <w:rPr>
                <w:rFonts w:cstheme="minorHAnsi"/>
                <w:color w:val="185262"/>
              </w:rPr>
            </w:pPr>
          </w:p>
        </w:tc>
        <w:tc>
          <w:tcPr>
            <w:tcW w:w="1194" w:type="dxa"/>
          </w:tcPr>
          <w:p w14:paraId="125590DA" w14:textId="77777777" w:rsidR="00D04934" w:rsidRPr="008711DF" w:rsidRDefault="00D04934" w:rsidP="00D00904">
            <w:pPr>
              <w:tabs>
                <w:tab w:val="left" w:pos="1080"/>
              </w:tabs>
              <w:spacing w:after="0" w:line="240" w:lineRule="auto"/>
              <w:jc w:val="both"/>
              <w:rPr>
                <w:rFonts w:cstheme="minorHAnsi"/>
                <w:color w:val="185262"/>
              </w:rPr>
            </w:pPr>
          </w:p>
        </w:tc>
      </w:tr>
    </w:tbl>
    <w:p w14:paraId="4440652E" w14:textId="77777777" w:rsidR="00D04934" w:rsidRDefault="00D04934" w:rsidP="00D04934">
      <w:pPr>
        <w:tabs>
          <w:tab w:val="left" w:pos="1080"/>
        </w:tabs>
        <w:spacing w:after="0" w:line="240" w:lineRule="auto"/>
        <w:jc w:val="both"/>
        <w:rPr>
          <w:rFonts w:cstheme="minorHAnsi"/>
          <w:color w:val="185262"/>
          <w:lang w:eastAsia="ja-JP"/>
        </w:rPr>
      </w:pPr>
    </w:p>
    <w:p w14:paraId="61EBF81B" w14:textId="77777777" w:rsidR="00D04934" w:rsidRDefault="00D04934" w:rsidP="00E61BD7">
      <w:pPr>
        <w:tabs>
          <w:tab w:val="left" w:pos="1080"/>
        </w:tabs>
        <w:spacing w:after="0" w:line="240" w:lineRule="auto"/>
        <w:jc w:val="both"/>
        <w:rPr>
          <w:rFonts w:cstheme="minorHAnsi"/>
          <w:color w:val="185262"/>
          <w:lang w:eastAsia="ja-JP"/>
        </w:rPr>
      </w:pPr>
    </w:p>
    <w:sectPr w:rsidR="00D04934" w:rsidSect="00CB589A">
      <w:pgSz w:w="11906" w:h="16838"/>
      <w:pgMar w:top="1170" w:right="144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6BA6" w14:textId="77777777" w:rsidR="00042888" w:rsidRDefault="00042888" w:rsidP="00C81B54">
      <w:pPr>
        <w:spacing w:after="0" w:line="240" w:lineRule="auto"/>
      </w:pPr>
      <w:r>
        <w:separator/>
      </w:r>
    </w:p>
  </w:endnote>
  <w:endnote w:type="continuationSeparator" w:id="0">
    <w:p w14:paraId="26BE50B2" w14:textId="77777777" w:rsidR="00042888" w:rsidRDefault="00042888" w:rsidP="00C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E940" w14:textId="77777777" w:rsidR="00042888" w:rsidRDefault="00042888" w:rsidP="00C81B54">
      <w:pPr>
        <w:spacing w:after="0" w:line="240" w:lineRule="auto"/>
      </w:pPr>
      <w:r>
        <w:separator/>
      </w:r>
    </w:p>
  </w:footnote>
  <w:footnote w:type="continuationSeparator" w:id="0">
    <w:p w14:paraId="0E4DA357" w14:textId="77777777" w:rsidR="00042888" w:rsidRDefault="00042888" w:rsidP="00C8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58A5C77"/>
    <w:multiLevelType w:val="hybridMultilevel"/>
    <w:tmpl w:val="9C20150A"/>
    <w:lvl w:ilvl="0" w:tplc="D5AE041E">
      <w:start w:val="1"/>
      <w:numFmt w:val="bullet"/>
      <w:pStyle w:val="Pasus1nabrajanj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6EF3"/>
    <w:multiLevelType w:val="hybridMultilevel"/>
    <w:tmpl w:val="22601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724A3"/>
    <w:multiLevelType w:val="hybridMultilevel"/>
    <w:tmpl w:val="825096F0"/>
    <w:lvl w:ilvl="0" w:tplc="3618A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5707A"/>
    <w:multiLevelType w:val="multilevel"/>
    <w:tmpl w:val="6F72C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4CBE"/>
    <w:rsid w:val="000126B2"/>
    <w:rsid w:val="00016580"/>
    <w:rsid w:val="00042888"/>
    <w:rsid w:val="000936E6"/>
    <w:rsid w:val="000B2AEE"/>
    <w:rsid w:val="000B30B5"/>
    <w:rsid w:val="000B781C"/>
    <w:rsid w:val="000C2C40"/>
    <w:rsid w:val="000D0015"/>
    <w:rsid w:val="000E1BCD"/>
    <w:rsid w:val="000F1AF2"/>
    <w:rsid w:val="001121B9"/>
    <w:rsid w:val="001326FA"/>
    <w:rsid w:val="00140980"/>
    <w:rsid w:val="00165FF0"/>
    <w:rsid w:val="001840FB"/>
    <w:rsid w:val="00194408"/>
    <w:rsid w:val="00196DF8"/>
    <w:rsid w:val="001A1012"/>
    <w:rsid w:val="001A5B0C"/>
    <w:rsid w:val="001C7277"/>
    <w:rsid w:val="0021502B"/>
    <w:rsid w:val="00263FE4"/>
    <w:rsid w:val="00293CE5"/>
    <w:rsid w:val="002A0023"/>
    <w:rsid w:val="002A0703"/>
    <w:rsid w:val="002C4BD9"/>
    <w:rsid w:val="002C5253"/>
    <w:rsid w:val="002D3D8A"/>
    <w:rsid w:val="00333551"/>
    <w:rsid w:val="00354AF8"/>
    <w:rsid w:val="003850E9"/>
    <w:rsid w:val="003B0115"/>
    <w:rsid w:val="003D4965"/>
    <w:rsid w:val="003E6CD7"/>
    <w:rsid w:val="0040276E"/>
    <w:rsid w:val="00426C6E"/>
    <w:rsid w:val="00464DDA"/>
    <w:rsid w:val="0048088E"/>
    <w:rsid w:val="004868AA"/>
    <w:rsid w:val="00487B1B"/>
    <w:rsid w:val="00493719"/>
    <w:rsid w:val="004D74E2"/>
    <w:rsid w:val="00524117"/>
    <w:rsid w:val="005A09EC"/>
    <w:rsid w:val="005B2C42"/>
    <w:rsid w:val="005B4D3B"/>
    <w:rsid w:val="005D759B"/>
    <w:rsid w:val="0063377F"/>
    <w:rsid w:val="0066044B"/>
    <w:rsid w:val="00674975"/>
    <w:rsid w:val="00676B22"/>
    <w:rsid w:val="0068199D"/>
    <w:rsid w:val="00690701"/>
    <w:rsid w:val="006B671D"/>
    <w:rsid w:val="007606BD"/>
    <w:rsid w:val="00790A00"/>
    <w:rsid w:val="007D0EA0"/>
    <w:rsid w:val="00817969"/>
    <w:rsid w:val="008403A0"/>
    <w:rsid w:val="008452A1"/>
    <w:rsid w:val="008646A6"/>
    <w:rsid w:val="00892240"/>
    <w:rsid w:val="00897F0E"/>
    <w:rsid w:val="008C1825"/>
    <w:rsid w:val="008C570A"/>
    <w:rsid w:val="00900BA1"/>
    <w:rsid w:val="00904FB2"/>
    <w:rsid w:val="00912009"/>
    <w:rsid w:val="00913922"/>
    <w:rsid w:val="00924B5D"/>
    <w:rsid w:val="00937709"/>
    <w:rsid w:val="00944EB3"/>
    <w:rsid w:val="0094729F"/>
    <w:rsid w:val="00960D44"/>
    <w:rsid w:val="009622DB"/>
    <w:rsid w:val="009A67B3"/>
    <w:rsid w:val="009C34FB"/>
    <w:rsid w:val="00A30F0B"/>
    <w:rsid w:val="00A37F2C"/>
    <w:rsid w:val="00A72F5F"/>
    <w:rsid w:val="00A8198C"/>
    <w:rsid w:val="00A911C5"/>
    <w:rsid w:val="00A942E1"/>
    <w:rsid w:val="00A971C5"/>
    <w:rsid w:val="00AA7F93"/>
    <w:rsid w:val="00AB1C49"/>
    <w:rsid w:val="00AB6780"/>
    <w:rsid w:val="00B03778"/>
    <w:rsid w:val="00B03E8A"/>
    <w:rsid w:val="00B35F36"/>
    <w:rsid w:val="00B4036B"/>
    <w:rsid w:val="00B52199"/>
    <w:rsid w:val="00B63415"/>
    <w:rsid w:val="00B65523"/>
    <w:rsid w:val="00B704F0"/>
    <w:rsid w:val="00BC546E"/>
    <w:rsid w:val="00BD321D"/>
    <w:rsid w:val="00BD6485"/>
    <w:rsid w:val="00BD714D"/>
    <w:rsid w:val="00BF4198"/>
    <w:rsid w:val="00C33162"/>
    <w:rsid w:val="00C42CD1"/>
    <w:rsid w:val="00C57B3B"/>
    <w:rsid w:val="00C81B54"/>
    <w:rsid w:val="00C85EEB"/>
    <w:rsid w:val="00CB33A7"/>
    <w:rsid w:val="00CD340F"/>
    <w:rsid w:val="00CE7471"/>
    <w:rsid w:val="00D04934"/>
    <w:rsid w:val="00D15F82"/>
    <w:rsid w:val="00DA413E"/>
    <w:rsid w:val="00DA7038"/>
    <w:rsid w:val="00DB0744"/>
    <w:rsid w:val="00DD1F49"/>
    <w:rsid w:val="00E21DB1"/>
    <w:rsid w:val="00E304D4"/>
    <w:rsid w:val="00E36954"/>
    <w:rsid w:val="00E373D7"/>
    <w:rsid w:val="00E61BD7"/>
    <w:rsid w:val="00E91811"/>
    <w:rsid w:val="00ED101F"/>
    <w:rsid w:val="00ED1906"/>
    <w:rsid w:val="00EF3ED4"/>
    <w:rsid w:val="00F03B2A"/>
    <w:rsid w:val="00F44ECB"/>
    <w:rsid w:val="00F817FB"/>
    <w:rsid w:val="00F94D6B"/>
    <w:rsid w:val="00FA6E77"/>
    <w:rsid w:val="00FA7B83"/>
    <w:rsid w:val="00FC63A3"/>
    <w:rsid w:val="00FD1F6A"/>
    <w:rsid w:val="00FD2721"/>
    <w:rsid w:val="00F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99BF"/>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customStyle="1" w:styleId="Pasus1nabrajanje">
    <w:name w:val="Pasus 1 nabrajanje"/>
    <w:basedOn w:val="Normal"/>
    <w:qFormat/>
    <w:rsid w:val="00D04934"/>
    <w:pPr>
      <w:numPr>
        <w:numId w:val="2"/>
      </w:numPr>
      <w:spacing w:before="120" w:after="120" w:line="240" w:lineRule="auto"/>
    </w:pPr>
    <w:rPr>
      <w:rFonts w:ascii="Candara" w:eastAsia="Times New Roman" w:hAnsi="Candara" w:cs="Times New Roman"/>
      <w:noProof/>
      <w:sz w:val="20"/>
      <w:szCs w:val="24"/>
    </w:rPr>
  </w:style>
  <w:style w:type="paragraph" w:styleId="BalloonText">
    <w:name w:val="Balloon Text"/>
    <w:basedOn w:val="Normal"/>
    <w:link w:val="BalloonTextChar"/>
    <w:uiPriority w:val="99"/>
    <w:semiHidden/>
    <w:unhideWhenUsed/>
    <w:rsid w:val="0011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B9"/>
    <w:rPr>
      <w:rFonts w:ascii="Segoe UI" w:hAnsi="Segoe UI" w:cs="Segoe UI"/>
      <w:sz w:val="18"/>
      <w:szCs w:val="18"/>
      <w:lang w:val="en-GB"/>
    </w:rPr>
  </w:style>
  <w:style w:type="paragraph" w:styleId="ListParagraph">
    <w:name w:val="List Paragraph"/>
    <w:basedOn w:val="Normal"/>
    <w:uiPriority w:val="34"/>
    <w:qFormat/>
    <w:rsid w:val="0011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95755">
      <w:bodyDiv w:val="1"/>
      <w:marLeft w:val="0"/>
      <w:marRight w:val="0"/>
      <w:marTop w:val="0"/>
      <w:marBottom w:val="0"/>
      <w:divBdr>
        <w:top w:val="none" w:sz="0" w:space="0" w:color="auto"/>
        <w:left w:val="none" w:sz="0" w:space="0" w:color="auto"/>
        <w:bottom w:val="none" w:sz="0" w:space="0" w:color="auto"/>
        <w:right w:val="none" w:sz="0" w:space="0" w:color="auto"/>
      </w:divBdr>
    </w:div>
    <w:div w:id="1451053709">
      <w:bodyDiv w:val="1"/>
      <w:marLeft w:val="0"/>
      <w:marRight w:val="0"/>
      <w:marTop w:val="0"/>
      <w:marBottom w:val="0"/>
      <w:divBdr>
        <w:top w:val="none" w:sz="0" w:space="0" w:color="auto"/>
        <w:left w:val="none" w:sz="0" w:space="0" w:color="auto"/>
        <w:bottom w:val="none" w:sz="0" w:space="0" w:color="auto"/>
        <w:right w:val="none" w:sz="0" w:space="0" w:color="auto"/>
      </w:divBdr>
    </w:div>
    <w:div w:id="15309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916DAB55B1441A989854135676366" ma:contentTypeVersion="12" ma:contentTypeDescription="Create a new document." ma:contentTypeScope="" ma:versionID="4e67f8f50bc43b0e44e88b121095a4fe">
  <xsd:schema xmlns:xsd="http://www.w3.org/2001/XMLSchema" xmlns:xs="http://www.w3.org/2001/XMLSchema" xmlns:p="http://schemas.microsoft.com/office/2006/metadata/properties" xmlns:ns2="342e7003-c947-469a-949c-043924c47766" xmlns:ns3="37e5bf4f-d0b7-49f7-9cea-1b9172801c8c" targetNamespace="http://schemas.microsoft.com/office/2006/metadata/properties" ma:root="true" ma:fieldsID="7e8aa776e6e7c83419bb459b0d305d4b" ns2:_="" ns3:_="">
    <xsd:import namespace="342e7003-c947-469a-949c-043924c47766"/>
    <xsd:import namespace="37e5bf4f-d0b7-49f7-9cea-1b9172801c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e7003-c947-469a-949c-043924c4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5bf4f-d0b7-49f7-9cea-1b9172801c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149F4-3640-4A95-8C00-5A0C247E0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54C2B-616F-4572-ADA9-4DDEC9F7E2D5}">
  <ds:schemaRefs>
    <ds:schemaRef ds:uri="http://schemas.microsoft.com/sharepoint/v3/contenttype/forms"/>
  </ds:schemaRefs>
</ds:datastoreItem>
</file>

<file path=customXml/itemProps3.xml><?xml version="1.0" encoding="utf-8"?>
<ds:datastoreItem xmlns:ds="http://schemas.openxmlformats.org/officeDocument/2006/customXml" ds:itemID="{3F98ED22-9F1A-4501-B1D3-DC72C3366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e7003-c947-469a-949c-043924c47766"/>
    <ds:schemaRef ds:uri="37e5bf4f-d0b7-49f7-9cea-1b917280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Daniel Varga</cp:lastModifiedBy>
  <cp:revision>2</cp:revision>
  <dcterms:created xsi:type="dcterms:W3CDTF">2020-04-29T07:56:00Z</dcterms:created>
  <dcterms:modified xsi:type="dcterms:W3CDTF">2020-04-29T07:56:00Z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0x010100292916DAB55B1441A989854135676366</vt:lpwstr>
  </property>
</Properties>
</file>