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CE6" w:rsidRPr="00065CE6" w:rsidRDefault="00065CE6" w:rsidP="004B66B9">
      <w:pPr>
        <w:pStyle w:val="HCh"/>
        <w:rPr>
          <w:rFonts w:asciiTheme="minorHAnsi" w:hAnsiTheme="minorHAnsi" w:cstheme="minorHAnsi"/>
        </w:rPr>
      </w:pPr>
      <w:r w:rsidRPr="00065CE6">
        <w:rPr>
          <w:rFonts w:asciiTheme="minorHAnsi" w:hAnsiTheme="minorHAnsi" w:cstheme="minorHAnsi"/>
        </w:rPr>
        <w:t>Independent Country Programme Evaluation - Yemen</w:t>
      </w:r>
    </w:p>
    <w:p w:rsidR="004B66B9" w:rsidRPr="00065CE6" w:rsidRDefault="004B66B9" w:rsidP="004B66B9">
      <w:pPr>
        <w:pStyle w:val="HCh"/>
        <w:rPr>
          <w:rFonts w:asciiTheme="minorHAnsi" w:hAnsiTheme="minorHAnsi" w:cstheme="minorHAnsi"/>
        </w:rPr>
      </w:pPr>
      <w:r w:rsidRPr="00065CE6">
        <w:rPr>
          <w:rFonts w:asciiTheme="minorHAnsi" w:hAnsiTheme="minorHAnsi" w:cstheme="minorHAnsi"/>
        </w:rPr>
        <w:t>Key recommendations and management response</w:t>
      </w:r>
    </w:p>
    <w:p w:rsidR="004B66B9" w:rsidRPr="00065CE6" w:rsidRDefault="004B66B9" w:rsidP="004B66B9">
      <w:pPr>
        <w:tabs>
          <w:tab w:val="left" w:pos="1080"/>
        </w:tabs>
        <w:rPr>
          <w:rFonts w:asciiTheme="minorHAnsi" w:hAnsiTheme="minorHAnsi" w:cstheme="minorHAnsi"/>
          <w:sz w:val="20"/>
          <w:szCs w:val="20"/>
        </w:rPr>
      </w:pPr>
    </w:p>
    <w:p w:rsidR="004B66B9" w:rsidRPr="00065CE6" w:rsidRDefault="004B66B9" w:rsidP="004B66B9">
      <w:pPr>
        <w:tabs>
          <w:tab w:val="left" w:pos="1080"/>
        </w:tabs>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41"/>
        <w:gridCol w:w="2856"/>
        <w:gridCol w:w="2572"/>
        <w:gridCol w:w="1663"/>
        <w:gridCol w:w="1158"/>
      </w:tblGrid>
      <w:tr w:rsidR="004B66B9" w:rsidRPr="00065CE6" w:rsidTr="0045053C">
        <w:tc>
          <w:tcPr>
            <w:tcW w:w="12327" w:type="dxa"/>
            <w:gridSpan w:val="5"/>
            <w:shd w:val="clear" w:color="auto" w:fill="F3F3F3"/>
          </w:tcPr>
          <w:p w:rsidR="00065CE6" w:rsidRPr="00065CE6" w:rsidRDefault="004B66B9" w:rsidP="00065CE6">
            <w:pPr>
              <w:pStyle w:val="paragraph"/>
              <w:tabs>
                <w:tab w:val="left" w:pos="567"/>
              </w:tabs>
              <w:spacing w:before="0" w:beforeAutospacing="0" w:after="0" w:afterAutospacing="0" w:line="276" w:lineRule="auto"/>
              <w:jc w:val="both"/>
              <w:textAlignment w:val="baseline"/>
              <w:rPr>
                <w:rStyle w:val="normaltextrun"/>
                <w:rFonts w:asciiTheme="minorHAnsi" w:hAnsiTheme="minorHAnsi" w:cstheme="minorHAnsi"/>
                <w:sz w:val="20"/>
                <w:szCs w:val="20"/>
                <w:lang w:val="en-US"/>
              </w:rPr>
            </w:pPr>
            <w:r w:rsidRPr="00065CE6">
              <w:rPr>
                <w:rFonts w:asciiTheme="minorHAnsi" w:hAnsiTheme="minorHAnsi" w:cstheme="minorHAnsi"/>
                <w:b/>
                <w:sz w:val="20"/>
                <w:szCs w:val="20"/>
              </w:rPr>
              <w:t xml:space="preserve">Evaluation recommendation 1. </w:t>
            </w:r>
            <w:r w:rsidR="00065CE6" w:rsidRPr="00065CE6">
              <w:rPr>
                <w:rStyle w:val="normaltextrun"/>
                <w:rFonts w:asciiTheme="minorHAnsi" w:hAnsiTheme="minorHAnsi" w:cstheme="minorHAnsi"/>
                <w:b/>
                <w:sz w:val="20"/>
                <w:szCs w:val="20"/>
                <w:lang w:val="en-US"/>
              </w:rPr>
              <w:t>UNDP should adopt a more flexible instrument and template in extreme or protracted crises where the standard CPD has been temporarily suspended or is no longer relevant or appropriate.</w:t>
            </w:r>
            <w:r w:rsidR="00065CE6" w:rsidRPr="00065CE6">
              <w:rPr>
                <w:rStyle w:val="normaltextrun"/>
                <w:rFonts w:asciiTheme="minorHAnsi" w:hAnsiTheme="minorHAnsi" w:cstheme="minorHAnsi"/>
                <w:sz w:val="20"/>
                <w:szCs w:val="20"/>
                <w:lang w:val="en-US"/>
              </w:rPr>
              <w:t xml:space="preserve"> The CPD for Yemen (2012 – 2015) remained valid through the first adjustment of the CO programme, since it had anticipated UNDP engagement in a process of political and democratic transition. However, the CPD was not the correct strategic planning, resource mobilization, communications and results monitoring instrument when Yemen slid tragically into civil war and humanitarian crisis in 2015. Further consideration should be given to the following:</w:t>
            </w:r>
          </w:p>
          <w:p w:rsidR="00065CE6" w:rsidRPr="00065CE6" w:rsidRDefault="00065CE6" w:rsidP="00065CE6">
            <w:pPr>
              <w:pStyle w:val="paragraph"/>
              <w:numPr>
                <w:ilvl w:val="0"/>
                <w:numId w:val="1"/>
              </w:numPr>
              <w:tabs>
                <w:tab w:val="left" w:pos="851"/>
              </w:tabs>
              <w:spacing w:before="0" w:beforeAutospacing="0" w:after="0" w:afterAutospacing="0" w:line="276" w:lineRule="auto"/>
              <w:ind w:left="851" w:hanging="284"/>
              <w:jc w:val="both"/>
              <w:textAlignment w:val="baseline"/>
              <w:rPr>
                <w:rStyle w:val="normaltextrun"/>
                <w:rFonts w:asciiTheme="minorHAnsi" w:hAnsiTheme="minorHAnsi" w:cstheme="minorHAnsi"/>
                <w:sz w:val="20"/>
                <w:szCs w:val="20"/>
                <w:lang w:val="en-US"/>
              </w:rPr>
            </w:pPr>
            <w:r w:rsidRPr="00065CE6">
              <w:rPr>
                <w:rStyle w:val="normaltextrun"/>
                <w:rFonts w:asciiTheme="minorHAnsi" w:hAnsiTheme="minorHAnsi" w:cstheme="minorHAnsi"/>
                <w:sz w:val="20"/>
                <w:szCs w:val="20"/>
                <w:lang w:val="en-US"/>
              </w:rPr>
              <w:t xml:space="preserve">What should replace CPDs when they are made irrelevant or redundant by circumstances within the country, and/or in instances where the CPD is recurrently ‘extended’ due to conflict or crisis, as in the case of Yemen. </w:t>
            </w:r>
          </w:p>
          <w:p w:rsidR="00065CE6" w:rsidRPr="00065CE6" w:rsidRDefault="00065CE6" w:rsidP="00065CE6">
            <w:pPr>
              <w:pStyle w:val="paragraph"/>
              <w:numPr>
                <w:ilvl w:val="0"/>
                <w:numId w:val="1"/>
              </w:numPr>
              <w:tabs>
                <w:tab w:val="left" w:pos="851"/>
              </w:tabs>
              <w:spacing w:before="0" w:beforeAutospacing="0" w:after="0" w:afterAutospacing="0" w:line="276" w:lineRule="auto"/>
              <w:ind w:left="851" w:hanging="284"/>
              <w:jc w:val="both"/>
              <w:textAlignment w:val="baseline"/>
              <w:rPr>
                <w:rStyle w:val="normaltextrun"/>
                <w:rFonts w:asciiTheme="minorHAnsi" w:hAnsiTheme="minorHAnsi" w:cstheme="minorHAnsi"/>
                <w:sz w:val="20"/>
                <w:szCs w:val="20"/>
                <w:lang w:val="en-US"/>
              </w:rPr>
            </w:pPr>
            <w:r w:rsidRPr="00065CE6">
              <w:rPr>
                <w:rStyle w:val="normaltextrun"/>
                <w:rFonts w:asciiTheme="minorHAnsi" w:hAnsiTheme="minorHAnsi" w:cstheme="minorHAnsi"/>
                <w:sz w:val="20"/>
                <w:szCs w:val="20"/>
                <w:lang w:val="en-US"/>
              </w:rPr>
              <w:t>That interim (or revised) CO strategies or plans, such as the Yemen Resilience Programme, should be reported to the Executive Board ‘for information or consultation’ so that the Board may continue to fulfil its oversight responsibilities for those countries programmes and resources.</w:t>
            </w:r>
          </w:p>
          <w:p w:rsidR="00065CE6" w:rsidRPr="00065CE6" w:rsidRDefault="00065CE6" w:rsidP="00065CE6">
            <w:pPr>
              <w:pStyle w:val="paragraph"/>
              <w:numPr>
                <w:ilvl w:val="0"/>
                <w:numId w:val="1"/>
              </w:numPr>
              <w:tabs>
                <w:tab w:val="left" w:pos="851"/>
              </w:tabs>
              <w:spacing w:before="0" w:beforeAutospacing="0" w:after="0" w:afterAutospacing="0" w:line="276" w:lineRule="auto"/>
              <w:ind w:left="851" w:hanging="284"/>
              <w:jc w:val="both"/>
              <w:textAlignment w:val="baseline"/>
              <w:rPr>
                <w:rStyle w:val="normaltextrun"/>
                <w:rFonts w:asciiTheme="minorHAnsi" w:hAnsiTheme="minorHAnsi" w:cstheme="minorHAnsi"/>
                <w:sz w:val="20"/>
                <w:szCs w:val="20"/>
                <w:lang w:val="en-US"/>
              </w:rPr>
            </w:pPr>
            <w:r w:rsidRPr="00065CE6">
              <w:rPr>
                <w:rStyle w:val="normaltextrun"/>
                <w:rFonts w:asciiTheme="minorHAnsi" w:hAnsiTheme="minorHAnsi" w:cstheme="minorHAnsi"/>
                <w:sz w:val="20"/>
                <w:szCs w:val="20"/>
                <w:lang w:val="en-US"/>
              </w:rPr>
              <w:t>Country Offices affected by conflict or crisis should be permitted some flexibility in reporting to the ROAR. For example, where a CPD has effectively been superseded by an alternative temporary programme, (such as the Yemen Resilience Programme) whereby the CO is able to report against the interim strategy, rather than a CPD which is obsolete.</w:t>
            </w:r>
          </w:p>
          <w:p w:rsidR="00065CE6" w:rsidRPr="009B2F72" w:rsidRDefault="00065CE6" w:rsidP="00065CE6">
            <w:pPr>
              <w:pStyle w:val="paragraph"/>
              <w:numPr>
                <w:ilvl w:val="0"/>
                <w:numId w:val="1"/>
              </w:numPr>
              <w:tabs>
                <w:tab w:val="left" w:pos="851"/>
              </w:tabs>
              <w:spacing w:before="0" w:beforeAutospacing="0" w:after="0" w:afterAutospacing="0" w:line="276" w:lineRule="auto"/>
              <w:ind w:left="851" w:hanging="284"/>
              <w:jc w:val="both"/>
              <w:textAlignment w:val="baseline"/>
              <w:rPr>
                <w:rStyle w:val="normaltextrun"/>
                <w:rFonts w:asciiTheme="minorHAnsi" w:hAnsiTheme="minorHAnsi" w:cstheme="minorHAnsi"/>
                <w:sz w:val="20"/>
                <w:szCs w:val="20"/>
                <w:lang w:val="en-US"/>
              </w:rPr>
            </w:pPr>
            <w:r w:rsidRPr="009B2F72">
              <w:rPr>
                <w:rStyle w:val="normaltextrun"/>
                <w:rFonts w:asciiTheme="minorHAnsi" w:hAnsiTheme="minorHAnsi" w:cstheme="minorHAnsi"/>
                <w:sz w:val="20"/>
                <w:szCs w:val="20"/>
                <w:lang w:val="en-US"/>
              </w:rPr>
              <w:t xml:space="preserve">UNDP should consider a designation for slow onset and protracted crises within the broader corporate crisis response system, to facilitate an elevated status for those countries requiring sustained supplementary resources and fast track administrative measures over an extended time period.  </w:t>
            </w:r>
          </w:p>
          <w:p w:rsidR="004B66B9" w:rsidRPr="00065CE6" w:rsidRDefault="004B66B9" w:rsidP="0045053C">
            <w:pPr>
              <w:tabs>
                <w:tab w:val="left" w:pos="1080"/>
              </w:tabs>
              <w:rPr>
                <w:rFonts w:asciiTheme="minorHAnsi" w:hAnsiTheme="minorHAnsi" w:cstheme="minorHAnsi"/>
                <w:sz w:val="20"/>
                <w:szCs w:val="20"/>
              </w:rPr>
            </w:pPr>
          </w:p>
        </w:tc>
      </w:tr>
      <w:tr w:rsidR="004B66B9" w:rsidRPr="00065CE6" w:rsidTr="0045053C">
        <w:tc>
          <w:tcPr>
            <w:tcW w:w="12327" w:type="dxa"/>
            <w:gridSpan w:val="5"/>
            <w:shd w:val="clear" w:color="auto" w:fill="F3F3F3"/>
          </w:tcPr>
          <w:p w:rsidR="004B66B9" w:rsidRPr="00065CE6" w:rsidRDefault="004B66B9" w:rsidP="0045053C">
            <w:pPr>
              <w:tabs>
                <w:tab w:val="left" w:pos="1080"/>
              </w:tabs>
              <w:jc w:val="both"/>
              <w:rPr>
                <w:rFonts w:asciiTheme="minorHAnsi" w:hAnsiTheme="minorHAnsi" w:cstheme="minorHAnsi"/>
                <w:sz w:val="20"/>
                <w:szCs w:val="20"/>
              </w:rPr>
            </w:pPr>
            <w:r w:rsidRPr="00065CE6">
              <w:rPr>
                <w:rFonts w:asciiTheme="minorHAnsi" w:hAnsiTheme="minorHAnsi" w:cstheme="minorHAnsi"/>
                <w:b/>
                <w:sz w:val="20"/>
                <w:szCs w:val="20"/>
              </w:rPr>
              <w:t xml:space="preserve">Management response: </w:t>
            </w:r>
          </w:p>
        </w:tc>
      </w:tr>
      <w:tr w:rsidR="004B66B9" w:rsidRPr="00065CE6" w:rsidTr="0045053C">
        <w:trPr>
          <w:trHeight w:val="135"/>
        </w:trPr>
        <w:tc>
          <w:tcPr>
            <w:tcW w:w="4403" w:type="dxa"/>
            <w:vMerge w:val="restart"/>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Key action(s)</w:t>
            </w:r>
          </w:p>
        </w:tc>
        <w:tc>
          <w:tcPr>
            <w:tcW w:w="2908" w:type="dxa"/>
            <w:vMerge w:val="restart"/>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Time frame</w:t>
            </w:r>
          </w:p>
        </w:tc>
        <w:tc>
          <w:tcPr>
            <w:tcW w:w="2605" w:type="dxa"/>
            <w:vMerge w:val="restart"/>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Responsible unit(s)</w:t>
            </w:r>
          </w:p>
        </w:tc>
        <w:tc>
          <w:tcPr>
            <w:tcW w:w="2411" w:type="dxa"/>
            <w:gridSpan w:val="2"/>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Tracking*</w:t>
            </w:r>
          </w:p>
        </w:tc>
      </w:tr>
      <w:tr w:rsidR="004B66B9" w:rsidRPr="00065CE6" w:rsidTr="0045053C">
        <w:trPr>
          <w:trHeight w:val="135"/>
        </w:trPr>
        <w:tc>
          <w:tcPr>
            <w:tcW w:w="4403" w:type="dxa"/>
            <w:vMerge/>
            <w:shd w:val="clear" w:color="auto" w:fill="F3F3F3"/>
          </w:tcPr>
          <w:p w:rsidR="004B66B9" w:rsidRPr="00065CE6" w:rsidRDefault="004B66B9" w:rsidP="0045053C">
            <w:pPr>
              <w:tabs>
                <w:tab w:val="left" w:pos="1080"/>
              </w:tabs>
              <w:rPr>
                <w:rFonts w:asciiTheme="minorHAnsi" w:hAnsiTheme="minorHAnsi" w:cstheme="minorHAnsi"/>
                <w:sz w:val="20"/>
                <w:szCs w:val="20"/>
              </w:rPr>
            </w:pPr>
          </w:p>
        </w:tc>
        <w:tc>
          <w:tcPr>
            <w:tcW w:w="2908" w:type="dxa"/>
            <w:vMerge/>
            <w:shd w:val="clear" w:color="auto" w:fill="F3F3F3"/>
          </w:tcPr>
          <w:p w:rsidR="004B66B9" w:rsidRPr="00065CE6" w:rsidRDefault="004B66B9" w:rsidP="0045053C">
            <w:pPr>
              <w:tabs>
                <w:tab w:val="left" w:pos="1080"/>
              </w:tabs>
              <w:rPr>
                <w:rFonts w:asciiTheme="minorHAnsi" w:hAnsiTheme="minorHAnsi" w:cstheme="minorHAnsi"/>
                <w:b/>
                <w:sz w:val="20"/>
                <w:szCs w:val="20"/>
              </w:rPr>
            </w:pPr>
          </w:p>
        </w:tc>
        <w:tc>
          <w:tcPr>
            <w:tcW w:w="2605" w:type="dxa"/>
            <w:vMerge/>
            <w:shd w:val="clear" w:color="auto" w:fill="F3F3F3"/>
          </w:tcPr>
          <w:p w:rsidR="004B66B9" w:rsidRPr="00065CE6" w:rsidRDefault="004B66B9" w:rsidP="0045053C">
            <w:pPr>
              <w:tabs>
                <w:tab w:val="left" w:pos="1080"/>
              </w:tabs>
              <w:rPr>
                <w:rFonts w:asciiTheme="minorHAnsi" w:hAnsiTheme="minorHAnsi" w:cstheme="minorHAnsi"/>
                <w:b/>
                <w:sz w:val="20"/>
                <w:szCs w:val="20"/>
              </w:rPr>
            </w:pPr>
          </w:p>
        </w:tc>
        <w:tc>
          <w:tcPr>
            <w:tcW w:w="1252" w:type="dxa"/>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Comments</w:t>
            </w:r>
          </w:p>
        </w:tc>
        <w:tc>
          <w:tcPr>
            <w:tcW w:w="1159" w:type="dxa"/>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Status</w:t>
            </w:r>
          </w:p>
        </w:tc>
      </w:tr>
      <w:tr w:rsidR="004B66B9" w:rsidRPr="00065CE6" w:rsidTr="0045053C">
        <w:tc>
          <w:tcPr>
            <w:tcW w:w="4403" w:type="dxa"/>
          </w:tcPr>
          <w:p w:rsidR="004B66B9" w:rsidRPr="00065CE6" w:rsidRDefault="004B66B9" w:rsidP="0045053C">
            <w:pPr>
              <w:tabs>
                <w:tab w:val="left" w:pos="1080"/>
              </w:tabs>
              <w:rPr>
                <w:rFonts w:asciiTheme="minorHAnsi" w:hAnsiTheme="minorHAnsi" w:cstheme="minorHAnsi"/>
                <w:sz w:val="20"/>
                <w:szCs w:val="20"/>
              </w:rPr>
            </w:pPr>
            <w:r w:rsidRPr="00065CE6">
              <w:rPr>
                <w:rFonts w:asciiTheme="minorHAnsi" w:hAnsiTheme="minorHAnsi" w:cstheme="minorHAnsi"/>
                <w:sz w:val="20"/>
                <w:szCs w:val="20"/>
              </w:rPr>
              <w:t xml:space="preserve">1.1 </w:t>
            </w:r>
            <w:r w:rsidR="00033031" w:rsidRPr="00033031">
              <w:rPr>
                <w:rFonts w:asciiTheme="minorHAnsi" w:hAnsiTheme="minorHAnsi" w:cstheme="minorHAnsi"/>
                <w:sz w:val="20"/>
                <w:szCs w:val="20"/>
              </w:rPr>
              <w:t>Updated guidance</w:t>
            </w:r>
            <w:r w:rsidR="00033031">
              <w:rPr>
                <w:rFonts w:asciiTheme="minorHAnsi" w:hAnsiTheme="minorHAnsi" w:cstheme="minorHAnsi"/>
                <w:sz w:val="20"/>
                <w:szCs w:val="20"/>
              </w:rPr>
              <w:t xml:space="preserve"> in the POPP </w:t>
            </w:r>
            <w:r w:rsidR="00033031" w:rsidRPr="00033031">
              <w:rPr>
                <w:rFonts w:asciiTheme="minorHAnsi" w:hAnsiTheme="minorHAnsi" w:cstheme="minorHAnsi"/>
                <w:sz w:val="20"/>
                <w:szCs w:val="20"/>
              </w:rPr>
              <w:t xml:space="preserve">on managing </w:t>
            </w:r>
            <w:r w:rsidR="009B2F72">
              <w:rPr>
                <w:rFonts w:asciiTheme="minorHAnsi" w:hAnsiTheme="minorHAnsi" w:cstheme="minorHAnsi"/>
                <w:sz w:val="20"/>
                <w:szCs w:val="20"/>
              </w:rPr>
              <w:t xml:space="preserve">change </w:t>
            </w:r>
            <w:r w:rsidR="00033031" w:rsidRPr="00033031">
              <w:rPr>
                <w:rFonts w:asciiTheme="minorHAnsi" w:hAnsiTheme="minorHAnsi" w:cstheme="minorHAnsi"/>
                <w:sz w:val="20"/>
                <w:szCs w:val="20"/>
              </w:rPr>
              <w:t xml:space="preserve">outlines the process for making </w:t>
            </w:r>
            <w:r w:rsidR="00B0315B">
              <w:rPr>
                <w:rFonts w:asciiTheme="minorHAnsi" w:hAnsiTheme="minorHAnsi" w:cstheme="minorHAnsi"/>
                <w:sz w:val="20"/>
                <w:szCs w:val="20"/>
              </w:rPr>
              <w:t xml:space="preserve">changes to country programmes, </w:t>
            </w:r>
            <w:r w:rsidR="00033031" w:rsidRPr="00033031">
              <w:rPr>
                <w:rFonts w:asciiTheme="minorHAnsi" w:hAnsiTheme="minorHAnsi" w:cstheme="minorHAnsi"/>
                <w:sz w:val="20"/>
                <w:szCs w:val="20"/>
              </w:rPr>
              <w:t xml:space="preserve">including updating the RRF, </w:t>
            </w:r>
            <w:r w:rsidR="008B7C1A">
              <w:rPr>
                <w:rFonts w:asciiTheme="minorHAnsi" w:hAnsiTheme="minorHAnsi" w:cstheme="minorHAnsi"/>
                <w:sz w:val="20"/>
                <w:szCs w:val="20"/>
              </w:rPr>
              <w:t>revision/</w:t>
            </w:r>
            <w:r w:rsidR="00033031" w:rsidRPr="00033031">
              <w:rPr>
                <w:rFonts w:asciiTheme="minorHAnsi" w:hAnsiTheme="minorHAnsi" w:cstheme="minorHAnsi"/>
                <w:sz w:val="20"/>
                <w:szCs w:val="20"/>
              </w:rPr>
              <w:t xml:space="preserve">suspension of programme in crisis situations and subsequent </w:t>
            </w:r>
            <w:r w:rsidR="008B7C1A">
              <w:rPr>
                <w:rFonts w:asciiTheme="minorHAnsi" w:hAnsiTheme="minorHAnsi" w:cstheme="minorHAnsi"/>
                <w:sz w:val="20"/>
                <w:szCs w:val="20"/>
              </w:rPr>
              <w:t>E</w:t>
            </w:r>
            <w:r w:rsidR="00CC31C9">
              <w:rPr>
                <w:rFonts w:asciiTheme="minorHAnsi" w:hAnsiTheme="minorHAnsi" w:cstheme="minorHAnsi"/>
                <w:sz w:val="20"/>
                <w:szCs w:val="20"/>
              </w:rPr>
              <w:t>xecutive Board n</w:t>
            </w:r>
            <w:r w:rsidR="008B7C1A">
              <w:rPr>
                <w:rFonts w:asciiTheme="minorHAnsi" w:hAnsiTheme="minorHAnsi" w:cstheme="minorHAnsi"/>
                <w:sz w:val="20"/>
                <w:szCs w:val="20"/>
              </w:rPr>
              <w:t xml:space="preserve">otification </w:t>
            </w:r>
            <w:r w:rsidR="00CC31C9">
              <w:rPr>
                <w:rFonts w:asciiTheme="minorHAnsi" w:hAnsiTheme="minorHAnsi" w:cstheme="minorHAnsi"/>
                <w:sz w:val="20"/>
                <w:szCs w:val="20"/>
              </w:rPr>
              <w:t xml:space="preserve">requirements </w:t>
            </w:r>
          </w:p>
        </w:tc>
        <w:tc>
          <w:tcPr>
            <w:tcW w:w="2908" w:type="dxa"/>
          </w:tcPr>
          <w:p w:rsidR="004B66B9" w:rsidRPr="00065CE6" w:rsidRDefault="00033031"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In effect as of June 2018 </w:t>
            </w:r>
          </w:p>
        </w:tc>
        <w:tc>
          <w:tcPr>
            <w:tcW w:w="2605" w:type="dxa"/>
          </w:tcPr>
          <w:p w:rsidR="004B66B9" w:rsidRPr="00065CE6" w:rsidRDefault="00033031"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BPPS </w:t>
            </w:r>
          </w:p>
        </w:tc>
        <w:tc>
          <w:tcPr>
            <w:tcW w:w="1252" w:type="dxa"/>
          </w:tcPr>
          <w:p w:rsidR="004B66B9" w:rsidRPr="00065CE6" w:rsidRDefault="00BE0B0D"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Recommendation accepted </w:t>
            </w:r>
          </w:p>
        </w:tc>
        <w:tc>
          <w:tcPr>
            <w:tcW w:w="1159" w:type="dxa"/>
          </w:tcPr>
          <w:p w:rsidR="004B66B9" w:rsidRPr="00065CE6" w:rsidRDefault="00033031"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Completed </w:t>
            </w:r>
          </w:p>
        </w:tc>
      </w:tr>
      <w:tr w:rsidR="004B66B9" w:rsidRPr="00065CE6" w:rsidTr="0045053C">
        <w:tc>
          <w:tcPr>
            <w:tcW w:w="4403" w:type="dxa"/>
          </w:tcPr>
          <w:p w:rsidR="004B66B9" w:rsidRPr="00065CE6" w:rsidRDefault="004B66B9" w:rsidP="0045053C">
            <w:pPr>
              <w:tabs>
                <w:tab w:val="left" w:pos="1080"/>
              </w:tabs>
              <w:rPr>
                <w:rFonts w:asciiTheme="minorHAnsi" w:hAnsiTheme="minorHAnsi" w:cstheme="minorHAnsi"/>
                <w:sz w:val="20"/>
                <w:szCs w:val="20"/>
              </w:rPr>
            </w:pPr>
            <w:r w:rsidRPr="00065CE6">
              <w:rPr>
                <w:rFonts w:asciiTheme="minorHAnsi" w:hAnsiTheme="minorHAnsi" w:cstheme="minorHAnsi"/>
                <w:sz w:val="20"/>
                <w:szCs w:val="20"/>
              </w:rPr>
              <w:t xml:space="preserve">1.2 </w:t>
            </w:r>
            <w:r w:rsidR="00033031">
              <w:rPr>
                <w:rFonts w:asciiTheme="minorHAnsi" w:hAnsiTheme="minorHAnsi" w:cstheme="minorHAnsi"/>
                <w:sz w:val="20"/>
                <w:szCs w:val="20"/>
              </w:rPr>
              <w:t xml:space="preserve"> </w:t>
            </w:r>
            <w:r w:rsidR="00033031" w:rsidRPr="00033031">
              <w:rPr>
                <w:rFonts w:asciiTheme="minorHAnsi" w:hAnsiTheme="minorHAnsi" w:cstheme="minorHAnsi"/>
                <w:sz w:val="20"/>
                <w:szCs w:val="20"/>
              </w:rPr>
              <w:t xml:space="preserve">Updated guidance </w:t>
            </w:r>
            <w:r w:rsidR="00033031">
              <w:rPr>
                <w:rFonts w:asciiTheme="minorHAnsi" w:hAnsiTheme="minorHAnsi" w:cstheme="minorHAnsi"/>
                <w:sz w:val="20"/>
                <w:szCs w:val="20"/>
              </w:rPr>
              <w:t xml:space="preserve">in the POPP </w:t>
            </w:r>
            <w:r w:rsidR="00033031" w:rsidRPr="00033031">
              <w:rPr>
                <w:rFonts w:asciiTheme="minorHAnsi" w:hAnsiTheme="minorHAnsi" w:cstheme="minorHAnsi"/>
                <w:sz w:val="20"/>
                <w:szCs w:val="20"/>
              </w:rPr>
              <w:t xml:space="preserve">on managing change  </w:t>
            </w:r>
            <w:r w:rsidR="00033031">
              <w:rPr>
                <w:rFonts w:asciiTheme="minorHAnsi" w:hAnsiTheme="minorHAnsi" w:cstheme="minorHAnsi"/>
                <w:sz w:val="20"/>
                <w:szCs w:val="20"/>
              </w:rPr>
              <w:t xml:space="preserve">outlines the process for revising existing programme/ developing bridging programme  and </w:t>
            </w:r>
            <w:r w:rsidR="00033031">
              <w:rPr>
                <w:rFonts w:asciiTheme="minorHAnsi" w:hAnsiTheme="minorHAnsi" w:cstheme="minorHAnsi"/>
                <w:sz w:val="20"/>
                <w:szCs w:val="20"/>
              </w:rPr>
              <w:lastRenderedPageBreak/>
              <w:t>subsequent E</w:t>
            </w:r>
            <w:r w:rsidR="008B7C1A">
              <w:rPr>
                <w:rFonts w:asciiTheme="minorHAnsi" w:hAnsiTheme="minorHAnsi" w:cstheme="minorHAnsi"/>
                <w:sz w:val="20"/>
                <w:szCs w:val="20"/>
              </w:rPr>
              <w:t xml:space="preserve">xecutive Board </w:t>
            </w:r>
            <w:r w:rsidR="00033031">
              <w:rPr>
                <w:rFonts w:asciiTheme="minorHAnsi" w:hAnsiTheme="minorHAnsi" w:cstheme="minorHAnsi"/>
                <w:sz w:val="20"/>
                <w:szCs w:val="20"/>
              </w:rPr>
              <w:t xml:space="preserve"> notification </w:t>
            </w:r>
            <w:r w:rsidR="00CC31C9">
              <w:rPr>
                <w:rFonts w:asciiTheme="minorHAnsi" w:hAnsiTheme="minorHAnsi" w:cstheme="minorHAnsi"/>
                <w:sz w:val="20"/>
                <w:szCs w:val="20"/>
              </w:rPr>
              <w:t xml:space="preserve">requirements </w:t>
            </w:r>
          </w:p>
        </w:tc>
        <w:tc>
          <w:tcPr>
            <w:tcW w:w="2908" w:type="dxa"/>
          </w:tcPr>
          <w:p w:rsidR="004B66B9" w:rsidRPr="00065CE6" w:rsidRDefault="00033031" w:rsidP="0045053C">
            <w:pPr>
              <w:tabs>
                <w:tab w:val="left" w:pos="1080"/>
              </w:tabs>
              <w:rPr>
                <w:rFonts w:asciiTheme="minorHAnsi" w:hAnsiTheme="minorHAnsi" w:cstheme="minorHAnsi"/>
                <w:sz w:val="20"/>
                <w:szCs w:val="20"/>
              </w:rPr>
            </w:pPr>
            <w:r>
              <w:rPr>
                <w:rFonts w:asciiTheme="minorHAnsi" w:hAnsiTheme="minorHAnsi" w:cstheme="minorHAnsi"/>
                <w:sz w:val="20"/>
                <w:szCs w:val="20"/>
              </w:rPr>
              <w:lastRenderedPageBreak/>
              <w:t xml:space="preserve">In effect as of June 2018 </w:t>
            </w:r>
          </w:p>
        </w:tc>
        <w:tc>
          <w:tcPr>
            <w:tcW w:w="2605" w:type="dxa"/>
          </w:tcPr>
          <w:p w:rsidR="004B66B9" w:rsidRPr="00065CE6" w:rsidRDefault="00033031"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BPPS </w:t>
            </w:r>
          </w:p>
        </w:tc>
        <w:tc>
          <w:tcPr>
            <w:tcW w:w="1252" w:type="dxa"/>
          </w:tcPr>
          <w:p w:rsidR="004B66B9" w:rsidRPr="00065CE6" w:rsidRDefault="00BE0B0D" w:rsidP="0045053C">
            <w:pPr>
              <w:tabs>
                <w:tab w:val="left" w:pos="1080"/>
              </w:tabs>
              <w:rPr>
                <w:rFonts w:asciiTheme="minorHAnsi" w:hAnsiTheme="minorHAnsi" w:cstheme="minorHAnsi"/>
                <w:sz w:val="20"/>
                <w:szCs w:val="20"/>
              </w:rPr>
            </w:pPr>
            <w:r>
              <w:rPr>
                <w:rFonts w:asciiTheme="minorHAnsi" w:hAnsiTheme="minorHAnsi" w:cstheme="minorHAnsi"/>
                <w:sz w:val="20"/>
                <w:szCs w:val="20"/>
              </w:rPr>
              <w:t>Recommendation accepted</w:t>
            </w:r>
          </w:p>
        </w:tc>
        <w:tc>
          <w:tcPr>
            <w:tcW w:w="1159" w:type="dxa"/>
          </w:tcPr>
          <w:p w:rsidR="004B66B9" w:rsidRPr="00065CE6" w:rsidRDefault="00033031"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Completed </w:t>
            </w:r>
          </w:p>
        </w:tc>
      </w:tr>
      <w:tr w:rsidR="004B66B9" w:rsidRPr="00065CE6" w:rsidTr="0045053C">
        <w:tc>
          <w:tcPr>
            <w:tcW w:w="4403" w:type="dxa"/>
          </w:tcPr>
          <w:p w:rsidR="004B66B9" w:rsidRDefault="004B66B9" w:rsidP="0045053C">
            <w:pPr>
              <w:tabs>
                <w:tab w:val="left" w:pos="1080"/>
              </w:tabs>
              <w:rPr>
                <w:rFonts w:asciiTheme="minorHAnsi" w:hAnsiTheme="minorHAnsi" w:cstheme="minorHAnsi"/>
                <w:sz w:val="20"/>
                <w:szCs w:val="20"/>
              </w:rPr>
            </w:pPr>
            <w:r w:rsidRPr="00065CE6">
              <w:rPr>
                <w:rFonts w:asciiTheme="minorHAnsi" w:hAnsiTheme="minorHAnsi" w:cstheme="minorHAnsi"/>
                <w:sz w:val="20"/>
                <w:szCs w:val="20"/>
              </w:rPr>
              <w:t xml:space="preserve">1.3 </w:t>
            </w:r>
            <w:r w:rsidR="00033031">
              <w:rPr>
                <w:rFonts w:asciiTheme="minorHAnsi" w:hAnsiTheme="minorHAnsi" w:cstheme="minorHAnsi"/>
                <w:sz w:val="20"/>
                <w:szCs w:val="20"/>
              </w:rPr>
              <w:t xml:space="preserve"> </w:t>
            </w:r>
            <w:r w:rsidR="008B7C1A" w:rsidRPr="008B7C1A">
              <w:rPr>
                <w:rFonts w:asciiTheme="minorHAnsi" w:hAnsiTheme="minorHAnsi" w:cstheme="minorHAnsi"/>
                <w:sz w:val="20"/>
                <w:szCs w:val="20"/>
              </w:rPr>
              <w:t>Updated guidance in the POPP on managing change  outlines the process for revising existing programme</w:t>
            </w:r>
            <w:r w:rsidR="008B7C1A">
              <w:rPr>
                <w:rFonts w:asciiTheme="minorHAnsi" w:hAnsiTheme="minorHAnsi" w:cstheme="minorHAnsi"/>
                <w:sz w:val="20"/>
                <w:szCs w:val="20"/>
              </w:rPr>
              <w:t xml:space="preserve">/ developing bridging programme, including </w:t>
            </w:r>
            <w:r w:rsidR="008B7C1A" w:rsidRPr="008B7C1A">
              <w:rPr>
                <w:rFonts w:asciiTheme="minorHAnsi" w:hAnsiTheme="minorHAnsi" w:cstheme="minorHAnsi"/>
                <w:sz w:val="20"/>
                <w:szCs w:val="20"/>
              </w:rPr>
              <w:t xml:space="preserve"> </w:t>
            </w:r>
            <w:r w:rsidR="008B7C1A">
              <w:rPr>
                <w:rFonts w:asciiTheme="minorHAnsi" w:hAnsiTheme="minorHAnsi" w:cstheme="minorHAnsi"/>
                <w:sz w:val="20"/>
                <w:szCs w:val="20"/>
              </w:rPr>
              <w:t>RRFs to allow for</w:t>
            </w:r>
            <w:r w:rsidR="00195804">
              <w:rPr>
                <w:rFonts w:asciiTheme="minorHAnsi" w:hAnsiTheme="minorHAnsi" w:cstheme="minorHAnsi"/>
                <w:sz w:val="20"/>
                <w:szCs w:val="20"/>
              </w:rPr>
              <w:t xml:space="preserve"> flexible </w:t>
            </w:r>
            <w:r w:rsidR="008B7C1A">
              <w:rPr>
                <w:rFonts w:asciiTheme="minorHAnsi" w:hAnsiTheme="minorHAnsi" w:cstheme="minorHAnsi"/>
                <w:sz w:val="20"/>
                <w:szCs w:val="20"/>
              </w:rPr>
              <w:t xml:space="preserve"> ROAR reporting. </w:t>
            </w:r>
          </w:p>
          <w:p w:rsidR="008B7C1A" w:rsidRDefault="008B7C1A" w:rsidP="0045053C">
            <w:pPr>
              <w:tabs>
                <w:tab w:val="left" w:pos="1080"/>
              </w:tabs>
              <w:rPr>
                <w:rFonts w:asciiTheme="minorHAnsi" w:hAnsiTheme="minorHAnsi" w:cstheme="minorHAnsi"/>
                <w:sz w:val="20"/>
                <w:szCs w:val="20"/>
              </w:rPr>
            </w:pPr>
          </w:p>
          <w:p w:rsidR="008B7C1A" w:rsidRPr="00065CE6" w:rsidRDefault="008B7C1A" w:rsidP="0045053C">
            <w:pPr>
              <w:tabs>
                <w:tab w:val="left" w:pos="1080"/>
              </w:tabs>
              <w:rPr>
                <w:rFonts w:asciiTheme="minorHAnsi" w:hAnsiTheme="minorHAnsi" w:cstheme="minorHAnsi"/>
                <w:sz w:val="20"/>
                <w:szCs w:val="20"/>
              </w:rPr>
            </w:pPr>
          </w:p>
        </w:tc>
        <w:tc>
          <w:tcPr>
            <w:tcW w:w="2908" w:type="dxa"/>
          </w:tcPr>
          <w:p w:rsidR="004B66B9" w:rsidRPr="00065CE6" w:rsidRDefault="008B7C1A" w:rsidP="0045053C">
            <w:pPr>
              <w:tabs>
                <w:tab w:val="left" w:pos="1080"/>
              </w:tabs>
              <w:rPr>
                <w:rFonts w:asciiTheme="minorHAnsi" w:hAnsiTheme="minorHAnsi" w:cstheme="minorHAnsi"/>
                <w:sz w:val="20"/>
                <w:szCs w:val="20"/>
              </w:rPr>
            </w:pPr>
            <w:r w:rsidRPr="008B7C1A">
              <w:rPr>
                <w:rFonts w:asciiTheme="minorHAnsi" w:hAnsiTheme="minorHAnsi" w:cstheme="minorHAnsi"/>
                <w:sz w:val="20"/>
                <w:szCs w:val="20"/>
              </w:rPr>
              <w:t>In effect as of June 2018</w:t>
            </w:r>
          </w:p>
        </w:tc>
        <w:tc>
          <w:tcPr>
            <w:tcW w:w="2605" w:type="dxa"/>
          </w:tcPr>
          <w:p w:rsidR="004B66B9" w:rsidRPr="00065CE6" w:rsidRDefault="008B7C1A"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BPPS </w:t>
            </w:r>
          </w:p>
        </w:tc>
        <w:tc>
          <w:tcPr>
            <w:tcW w:w="1252" w:type="dxa"/>
          </w:tcPr>
          <w:p w:rsidR="004B66B9" w:rsidRPr="00065CE6" w:rsidRDefault="00B0315B" w:rsidP="0045053C">
            <w:pPr>
              <w:tabs>
                <w:tab w:val="left" w:pos="1080"/>
              </w:tabs>
              <w:rPr>
                <w:rFonts w:asciiTheme="minorHAnsi" w:hAnsiTheme="minorHAnsi" w:cstheme="minorHAnsi"/>
                <w:sz w:val="20"/>
                <w:szCs w:val="20"/>
              </w:rPr>
            </w:pPr>
            <w:r>
              <w:rPr>
                <w:rFonts w:asciiTheme="minorHAnsi" w:hAnsiTheme="minorHAnsi" w:cstheme="minorHAnsi"/>
                <w:sz w:val="20"/>
                <w:szCs w:val="20"/>
              </w:rPr>
              <w:t>Recommendation accepted</w:t>
            </w:r>
          </w:p>
        </w:tc>
        <w:tc>
          <w:tcPr>
            <w:tcW w:w="1159" w:type="dxa"/>
          </w:tcPr>
          <w:p w:rsidR="004B66B9" w:rsidRPr="00065CE6" w:rsidRDefault="008B7C1A"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Completed </w:t>
            </w:r>
          </w:p>
        </w:tc>
      </w:tr>
      <w:tr w:rsidR="008B7C1A" w:rsidRPr="00065CE6" w:rsidTr="0045053C">
        <w:tc>
          <w:tcPr>
            <w:tcW w:w="4403" w:type="dxa"/>
          </w:tcPr>
          <w:p w:rsidR="008B7C1A" w:rsidRPr="00065CE6" w:rsidRDefault="008B7C1A"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1.4. </w:t>
            </w:r>
            <w:r w:rsidR="00ED4C55" w:rsidRPr="00ED4C55">
              <w:rPr>
                <w:rFonts w:asciiTheme="minorHAnsi" w:hAnsiTheme="minorHAnsi" w:cstheme="minorHAnsi"/>
                <w:sz w:val="20"/>
                <w:szCs w:val="20"/>
              </w:rPr>
              <w:t>UNDP will further address slow onset and protracted crises in its corporate crisis response systems, taking into consideration the IASC discussions on that designation of a sustained response.</w:t>
            </w:r>
          </w:p>
        </w:tc>
        <w:tc>
          <w:tcPr>
            <w:tcW w:w="2908" w:type="dxa"/>
          </w:tcPr>
          <w:p w:rsidR="008B7C1A" w:rsidRPr="00065CE6" w:rsidRDefault="001C1A93"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2019 </w:t>
            </w:r>
          </w:p>
        </w:tc>
        <w:tc>
          <w:tcPr>
            <w:tcW w:w="2605" w:type="dxa"/>
          </w:tcPr>
          <w:p w:rsidR="008B7C1A" w:rsidRPr="00065CE6" w:rsidRDefault="009B2F72"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Crisis Bureau </w:t>
            </w:r>
          </w:p>
        </w:tc>
        <w:tc>
          <w:tcPr>
            <w:tcW w:w="1252" w:type="dxa"/>
          </w:tcPr>
          <w:p w:rsidR="008B7C1A" w:rsidRPr="00065CE6" w:rsidRDefault="00B0315B" w:rsidP="0045053C">
            <w:pPr>
              <w:tabs>
                <w:tab w:val="left" w:pos="1080"/>
              </w:tabs>
              <w:rPr>
                <w:rFonts w:asciiTheme="minorHAnsi" w:hAnsiTheme="minorHAnsi" w:cstheme="minorHAnsi"/>
                <w:sz w:val="20"/>
                <w:szCs w:val="20"/>
              </w:rPr>
            </w:pPr>
            <w:r>
              <w:rPr>
                <w:rFonts w:asciiTheme="minorHAnsi" w:hAnsiTheme="minorHAnsi" w:cstheme="minorHAnsi"/>
                <w:sz w:val="20"/>
                <w:szCs w:val="20"/>
              </w:rPr>
              <w:t>Recommendation accepted</w:t>
            </w:r>
          </w:p>
        </w:tc>
        <w:tc>
          <w:tcPr>
            <w:tcW w:w="1159" w:type="dxa"/>
          </w:tcPr>
          <w:p w:rsidR="008B7C1A" w:rsidRPr="00065CE6" w:rsidRDefault="009B2F72"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Ongoing </w:t>
            </w:r>
          </w:p>
        </w:tc>
      </w:tr>
    </w:tbl>
    <w:p w:rsidR="004B66B9" w:rsidRPr="00065CE6" w:rsidRDefault="004B66B9" w:rsidP="004B66B9">
      <w:pPr>
        <w:tabs>
          <w:tab w:val="left" w:pos="1080"/>
        </w:tabs>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876"/>
        <w:gridCol w:w="2579"/>
        <w:gridCol w:w="1663"/>
        <w:gridCol w:w="1155"/>
      </w:tblGrid>
      <w:tr w:rsidR="004B66B9" w:rsidRPr="00065CE6" w:rsidTr="00B0315B">
        <w:tc>
          <w:tcPr>
            <w:tcW w:w="12590" w:type="dxa"/>
            <w:gridSpan w:val="5"/>
            <w:shd w:val="clear" w:color="auto" w:fill="F3F3F3"/>
          </w:tcPr>
          <w:p w:rsidR="004B66B9" w:rsidRPr="00065CE6" w:rsidRDefault="004B66B9" w:rsidP="0045053C">
            <w:pPr>
              <w:tabs>
                <w:tab w:val="left" w:pos="1080"/>
              </w:tabs>
              <w:rPr>
                <w:rFonts w:asciiTheme="minorHAnsi" w:hAnsiTheme="minorHAnsi" w:cstheme="minorHAnsi"/>
                <w:sz w:val="20"/>
                <w:szCs w:val="20"/>
              </w:rPr>
            </w:pPr>
            <w:r w:rsidRPr="00065CE6">
              <w:rPr>
                <w:rFonts w:asciiTheme="minorHAnsi" w:hAnsiTheme="minorHAnsi" w:cstheme="minorHAnsi"/>
                <w:b/>
                <w:sz w:val="20"/>
                <w:szCs w:val="20"/>
              </w:rPr>
              <w:t xml:space="preserve">Evaluation recommendation 2. </w:t>
            </w:r>
            <w:r w:rsidR="00065CE6" w:rsidRPr="00065CE6">
              <w:rPr>
                <w:rStyle w:val="normaltextrun"/>
                <w:rFonts w:asciiTheme="minorHAnsi" w:hAnsiTheme="minorHAnsi" w:cstheme="minorHAnsi"/>
                <w:b/>
                <w:sz w:val="20"/>
                <w:szCs w:val="20"/>
              </w:rPr>
              <w:t>Building on the success of the Yemen Resilience Programme the CO should develop a more comprehensive and integrated programme framework for the next two to three years through which to leverage UNDP’s comparative advantages.</w:t>
            </w:r>
            <w:r w:rsidR="00065CE6" w:rsidRPr="00065CE6">
              <w:rPr>
                <w:rStyle w:val="normaltextrun"/>
                <w:rFonts w:asciiTheme="minorHAnsi" w:hAnsiTheme="minorHAnsi" w:cstheme="minorHAnsi"/>
                <w:sz w:val="20"/>
                <w:szCs w:val="20"/>
              </w:rPr>
              <w:t xml:space="preserve"> This should entail a broad partnership extending into security and peacebuilding, which will also enable the better sharing of risks. Consultation with the UNRC/HC, the UN Office of the Special Envoy, the HCT and donors will be important. Core programming principles such as sustainability and gender need to feature more prominently alongside conflict prevention and strengthened UN joint programming.</w:t>
            </w:r>
          </w:p>
        </w:tc>
      </w:tr>
      <w:tr w:rsidR="004B66B9" w:rsidRPr="00065CE6" w:rsidTr="00B0315B">
        <w:tc>
          <w:tcPr>
            <w:tcW w:w="12590" w:type="dxa"/>
            <w:gridSpan w:val="5"/>
            <w:shd w:val="clear" w:color="auto" w:fill="F3F3F3"/>
          </w:tcPr>
          <w:p w:rsidR="004B66B9" w:rsidRPr="00065CE6" w:rsidRDefault="004B66B9" w:rsidP="0045053C">
            <w:pPr>
              <w:tabs>
                <w:tab w:val="left" w:pos="1080"/>
              </w:tabs>
              <w:rPr>
                <w:rFonts w:asciiTheme="minorHAnsi" w:hAnsiTheme="minorHAnsi" w:cstheme="minorHAnsi"/>
                <w:b/>
                <w:sz w:val="20"/>
                <w:szCs w:val="20"/>
              </w:rPr>
            </w:pPr>
            <w:r w:rsidRPr="00065CE6">
              <w:rPr>
                <w:rFonts w:asciiTheme="minorHAnsi" w:hAnsiTheme="minorHAnsi" w:cstheme="minorHAnsi"/>
                <w:b/>
                <w:sz w:val="20"/>
                <w:szCs w:val="20"/>
              </w:rPr>
              <w:t>Management response:</w:t>
            </w:r>
          </w:p>
        </w:tc>
      </w:tr>
      <w:tr w:rsidR="004B66B9" w:rsidRPr="00065CE6" w:rsidTr="00B0315B">
        <w:trPr>
          <w:trHeight w:val="135"/>
        </w:trPr>
        <w:tc>
          <w:tcPr>
            <w:tcW w:w="4317" w:type="dxa"/>
            <w:vMerge w:val="restart"/>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Key action(s)</w:t>
            </w:r>
          </w:p>
        </w:tc>
        <w:tc>
          <w:tcPr>
            <w:tcW w:w="2876" w:type="dxa"/>
            <w:vMerge w:val="restart"/>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Time frame</w:t>
            </w:r>
          </w:p>
        </w:tc>
        <w:tc>
          <w:tcPr>
            <w:tcW w:w="2579" w:type="dxa"/>
            <w:vMerge w:val="restart"/>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Responsible unit(s)</w:t>
            </w:r>
          </w:p>
        </w:tc>
        <w:tc>
          <w:tcPr>
            <w:tcW w:w="2818" w:type="dxa"/>
            <w:gridSpan w:val="2"/>
            <w:shd w:val="clear" w:color="auto" w:fill="F3F3F3"/>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Tracking</w:t>
            </w:r>
          </w:p>
        </w:tc>
      </w:tr>
      <w:tr w:rsidR="004B66B9" w:rsidRPr="00065CE6" w:rsidTr="00B0315B">
        <w:trPr>
          <w:trHeight w:val="135"/>
        </w:trPr>
        <w:tc>
          <w:tcPr>
            <w:tcW w:w="4317" w:type="dxa"/>
            <w:vMerge/>
            <w:shd w:val="clear" w:color="auto" w:fill="F3F3F3"/>
          </w:tcPr>
          <w:p w:rsidR="004B66B9" w:rsidRPr="00065CE6" w:rsidRDefault="004B66B9" w:rsidP="0045053C">
            <w:pPr>
              <w:tabs>
                <w:tab w:val="left" w:pos="1080"/>
              </w:tabs>
              <w:rPr>
                <w:rFonts w:asciiTheme="minorHAnsi" w:hAnsiTheme="minorHAnsi" w:cstheme="minorHAnsi"/>
                <w:sz w:val="20"/>
                <w:szCs w:val="20"/>
              </w:rPr>
            </w:pPr>
          </w:p>
        </w:tc>
        <w:tc>
          <w:tcPr>
            <w:tcW w:w="2876" w:type="dxa"/>
            <w:vMerge/>
            <w:shd w:val="clear" w:color="auto" w:fill="F3F3F3"/>
          </w:tcPr>
          <w:p w:rsidR="004B66B9" w:rsidRPr="00065CE6" w:rsidRDefault="004B66B9" w:rsidP="0045053C">
            <w:pPr>
              <w:tabs>
                <w:tab w:val="left" w:pos="1080"/>
              </w:tabs>
              <w:rPr>
                <w:rFonts w:asciiTheme="minorHAnsi" w:hAnsiTheme="minorHAnsi" w:cstheme="minorHAnsi"/>
                <w:b/>
                <w:sz w:val="20"/>
                <w:szCs w:val="20"/>
              </w:rPr>
            </w:pPr>
          </w:p>
        </w:tc>
        <w:tc>
          <w:tcPr>
            <w:tcW w:w="2579" w:type="dxa"/>
            <w:vMerge/>
            <w:shd w:val="clear" w:color="auto" w:fill="F3F3F3"/>
          </w:tcPr>
          <w:p w:rsidR="004B66B9" w:rsidRPr="00065CE6" w:rsidRDefault="004B66B9" w:rsidP="0045053C">
            <w:pPr>
              <w:tabs>
                <w:tab w:val="left" w:pos="1080"/>
              </w:tabs>
              <w:rPr>
                <w:rFonts w:asciiTheme="minorHAnsi" w:hAnsiTheme="minorHAnsi" w:cstheme="minorHAnsi"/>
                <w:b/>
                <w:sz w:val="20"/>
                <w:szCs w:val="20"/>
              </w:rPr>
            </w:pPr>
          </w:p>
        </w:tc>
        <w:tc>
          <w:tcPr>
            <w:tcW w:w="1663" w:type="dxa"/>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Comments</w:t>
            </w:r>
          </w:p>
        </w:tc>
        <w:tc>
          <w:tcPr>
            <w:tcW w:w="1155" w:type="dxa"/>
          </w:tcPr>
          <w:p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Status</w:t>
            </w:r>
          </w:p>
        </w:tc>
      </w:tr>
      <w:tr w:rsidR="004B66B9" w:rsidRPr="00065CE6" w:rsidTr="00B0315B">
        <w:tc>
          <w:tcPr>
            <w:tcW w:w="4317" w:type="dxa"/>
          </w:tcPr>
          <w:p w:rsidR="009B2F72" w:rsidRPr="009B2F72" w:rsidRDefault="004B66B9" w:rsidP="009B2F72">
            <w:pPr>
              <w:rPr>
                <w:rFonts w:asciiTheme="minorHAnsi" w:hAnsiTheme="minorHAnsi" w:cstheme="minorHAnsi"/>
                <w:sz w:val="20"/>
                <w:szCs w:val="20"/>
              </w:rPr>
            </w:pPr>
            <w:r w:rsidRPr="00065CE6">
              <w:rPr>
                <w:rFonts w:asciiTheme="minorHAnsi" w:hAnsiTheme="minorHAnsi" w:cstheme="minorHAnsi"/>
                <w:sz w:val="20"/>
                <w:szCs w:val="20"/>
              </w:rPr>
              <w:t xml:space="preserve">2.1 </w:t>
            </w:r>
            <w:r w:rsidR="009B2F72" w:rsidRPr="009B2F72">
              <w:rPr>
                <w:rFonts w:asciiTheme="minorHAnsi" w:hAnsiTheme="minorHAnsi" w:cstheme="minorHAnsi"/>
                <w:sz w:val="20"/>
                <w:szCs w:val="20"/>
              </w:rPr>
              <w:t>1.</w:t>
            </w:r>
            <w:r w:rsidR="009B2F72" w:rsidRPr="009B2F72">
              <w:rPr>
                <w:rFonts w:asciiTheme="minorHAnsi" w:hAnsiTheme="minorHAnsi" w:cstheme="minorHAnsi"/>
                <w:sz w:val="20"/>
                <w:szCs w:val="20"/>
              </w:rPr>
              <w:tab/>
            </w:r>
            <w:bookmarkStart w:id="0" w:name="_GoBack"/>
            <w:r w:rsidR="001C1A93">
              <w:rPr>
                <w:rFonts w:asciiTheme="minorHAnsi" w:hAnsiTheme="minorHAnsi" w:cstheme="minorHAnsi"/>
                <w:sz w:val="20"/>
                <w:szCs w:val="20"/>
              </w:rPr>
              <w:t>The CO</w:t>
            </w:r>
            <w:r w:rsidR="009B2F72" w:rsidRPr="009B2F72">
              <w:rPr>
                <w:rFonts w:asciiTheme="minorHAnsi" w:hAnsiTheme="minorHAnsi" w:cstheme="minorHAnsi"/>
                <w:sz w:val="20"/>
                <w:szCs w:val="20"/>
              </w:rPr>
              <w:t xml:space="preserve"> has initiated a process for the articulation of short-term Country Progr</w:t>
            </w:r>
            <w:r w:rsidR="009B2F72">
              <w:rPr>
                <w:rFonts w:asciiTheme="minorHAnsi" w:hAnsiTheme="minorHAnsi" w:cstheme="minorHAnsi"/>
                <w:sz w:val="20"/>
                <w:szCs w:val="20"/>
              </w:rPr>
              <w:t>amme Framework (2019 -2020)</w:t>
            </w:r>
            <w:r w:rsidR="009B2F72" w:rsidRPr="009B2F72">
              <w:rPr>
                <w:rFonts w:asciiTheme="minorHAnsi" w:hAnsiTheme="minorHAnsi" w:cstheme="minorHAnsi"/>
                <w:sz w:val="20"/>
                <w:szCs w:val="20"/>
              </w:rPr>
              <w:t xml:space="preserve"> within the conflict sensitive lenses. The new framework will build on the progress of work under the Resilience Strategy Programme and expand the work towards capacitating the local administration to start building blocks for rehabilitation and restoration of essential basic services.</w:t>
            </w:r>
          </w:p>
          <w:bookmarkEnd w:id="0"/>
          <w:p w:rsidR="004B66B9" w:rsidRPr="00065CE6" w:rsidRDefault="004B66B9" w:rsidP="0045053C">
            <w:pPr>
              <w:tabs>
                <w:tab w:val="left" w:pos="1080"/>
              </w:tabs>
              <w:rPr>
                <w:rFonts w:asciiTheme="minorHAnsi" w:hAnsiTheme="minorHAnsi" w:cstheme="minorHAnsi"/>
                <w:sz w:val="20"/>
                <w:szCs w:val="20"/>
              </w:rPr>
            </w:pPr>
          </w:p>
        </w:tc>
        <w:tc>
          <w:tcPr>
            <w:tcW w:w="2876" w:type="dxa"/>
          </w:tcPr>
          <w:p w:rsidR="004B66B9" w:rsidRPr="00065CE6" w:rsidRDefault="00641120" w:rsidP="0045053C">
            <w:pPr>
              <w:tabs>
                <w:tab w:val="left" w:pos="1080"/>
              </w:tabs>
              <w:rPr>
                <w:rFonts w:asciiTheme="minorHAnsi" w:hAnsiTheme="minorHAnsi" w:cstheme="minorHAnsi"/>
                <w:sz w:val="20"/>
                <w:szCs w:val="20"/>
              </w:rPr>
            </w:pPr>
            <w:r>
              <w:rPr>
                <w:rFonts w:asciiTheme="minorHAnsi" w:hAnsiTheme="minorHAnsi" w:cstheme="minorHAnsi"/>
                <w:sz w:val="20"/>
                <w:szCs w:val="20"/>
              </w:rPr>
              <w:t>In process as of November 2018 and to be completed by end March 2019</w:t>
            </w:r>
          </w:p>
        </w:tc>
        <w:tc>
          <w:tcPr>
            <w:tcW w:w="2579" w:type="dxa"/>
          </w:tcPr>
          <w:p w:rsidR="004B66B9" w:rsidRPr="00065CE6" w:rsidRDefault="00641120" w:rsidP="0045053C">
            <w:pPr>
              <w:tabs>
                <w:tab w:val="left" w:pos="1080"/>
              </w:tabs>
              <w:rPr>
                <w:rFonts w:asciiTheme="minorHAnsi" w:hAnsiTheme="minorHAnsi" w:cstheme="minorHAnsi"/>
                <w:sz w:val="20"/>
                <w:szCs w:val="20"/>
              </w:rPr>
            </w:pPr>
            <w:r>
              <w:rPr>
                <w:rFonts w:asciiTheme="minorHAnsi" w:hAnsiTheme="minorHAnsi" w:cstheme="minorHAnsi"/>
                <w:sz w:val="20"/>
                <w:szCs w:val="20"/>
              </w:rPr>
              <w:t>UNDP Yemen</w:t>
            </w:r>
          </w:p>
        </w:tc>
        <w:tc>
          <w:tcPr>
            <w:tcW w:w="1663" w:type="dxa"/>
          </w:tcPr>
          <w:p w:rsidR="004B66B9" w:rsidRPr="00065CE6" w:rsidRDefault="00B0315B" w:rsidP="0045053C">
            <w:pPr>
              <w:tabs>
                <w:tab w:val="left" w:pos="1080"/>
              </w:tabs>
              <w:rPr>
                <w:rFonts w:asciiTheme="minorHAnsi" w:hAnsiTheme="minorHAnsi" w:cstheme="minorHAnsi"/>
                <w:sz w:val="20"/>
                <w:szCs w:val="20"/>
              </w:rPr>
            </w:pPr>
            <w:r>
              <w:rPr>
                <w:rFonts w:asciiTheme="minorHAnsi" w:hAnsiTheme="minorHAnsi" w:cstheme="minorHAnsi"/>
                <w:sz w:val="20"/>
                <w:szCs w:val="20"/>
              </w:rPr>
              <w:t>Recommendation accepted</w:t>
            </w:r>
          </w:p>
        </w:tc>
        <w:tc>
          <w:tcPr>
            <w:tcW w:w="1155" w:type="dxa"/>
          </w:tcPr>
          <w:p w:rsidR="004B66B9" w:rsidRPr="00065CE6" w:rsidRDefault="00641120" w:rsidP="0045053C">
            <w:pPr>
              <w:tabs>
                <w:tab w:val="left" w:pos="1080"/>
              </w:tabs>
              <w:rPr>
                <w:rFonts w:asciiTheme="minorHAnsi" w:hAnsiTheme="minorHAnsi" w:cstheme="minorHAnsi"/>
                <w:sz w:val="20"/>
                <w:szCs w:val="20"/>
              </w:rPr>
            </w:pPr>
            <w:r>
              <w:rPr>
                <w:rFonts w:asciiTheme="minorHAnsi" w:hAnsiTheme="minorHAnsi" w:cstheme="minorHAnsi"/>
                <w:sz w:val="20"/>
                <w:szCs w:val="20"/>
              </w:rPr>
              <w:t>Ongoing</w:t>
            </w:r>
          </w:p>
        </w:tc>
      </w:tr>
    </w:tbl>
    <w:p w:rsidR="004B66B9" w:rsidRPr="00065CE6" w:rsidRDefault="004B66B9" w:rsidP="004B66B9">
      <w:pPr>
        <w:tabs>
          <w:tab w:val="left" w:pos="1080"/>
        </w:tabs>
        <w:rPr>
          <w:rFonts w:asciiTheme="minorHAnsi" w:hAnsiTheme="minorHAnsi" w:cstheme="minorHAnsi"/>
          <w:sz w:val="20"/>
          <w:szCs w:val="20"/>
        </w:rPr>
      </w:pPr>
    </w:p>
    <w:p w:rsidR="004B66B9" w:rsidRPr="00065CE6" w:rsidRDefault="004B66B9" w:rsidP="004B66B9">
      <w:pPr>
        <w:tabs>
          <w:tab w:val="left" w:pos="1080"/>
        </w:tabs>
        <w:rPr>
          <w:rFonts w:asciiTheme="minorHAnsi" w:hAnsiTheme="minorHAnsi" w:cstheme="minorHAnsi"/>
          <w:sz w:val="20"/>
          <w:szCs w:val="20"/>
          <w:lang w:eastAsia="ja-JP"/>
        </w:rPr>
      </w:pPr>
    </w:p>
    <w:p w:rsidR="004B66B9" w:rsidRPr="00065CE6" w:rsidRDefault="004B66B9" w:rsidP="004B66B9">
      <w:pPr>
        <w:tabs>
          <w:tab w:val="left" w:pos="1080"/>
        </w:tabs>
        <w:rPr>
          <w:rFonts w:asciiTheme="minorHAnsi" w:hAnsiTheme="minorHAnsi" w:cstheme="minorHAnsi"/>
          <w:sz w:val="17"/>
          <w:szCs w:val="17"/>
        </w:rPr>
      </w:pPr>
      <w:r w:rsidRPr="00065CE6">
        <w:rPr>
          <w:rFonts w:asciiTheme="minorHAnsi" w:hAnsiTheme="minorHAnsi" w:cstheme="minorHAnsi"/>
          <w:sz w:val="17"/>
          <w:szCs w:val="17"/>
          <w:lang w:eastAsia="ja-JP"/>
        </w:rPr>
        <w:t xml:space="preserve">* </w:t>
      </w:r>
      <w:r w:rsidRPr="00065CE6">
        <w:rPr>
          <w:rFonts w:asciiTheme="minorHAnsi" w:hAnsiTheme="minorHAnsi" w:cstheme="minorHAnsi"/>
          <w:sz w:val="17"/>
          <w:szCs w:val="17"/>
        </w:rPr>
        <w:t>Status of implementation is tracked electronically in the Evaluation Resource Centre database (ERC).</w:t>
      </w:r>
    </w:p>
    <w:p w:rsidR="00472716" w:rsidRPr="00065CE6" w:rsidRDefault="00494218">
      <w:pPr>
        <w:rPr>
          <w:rFonts w:asciiTheme="minorHAnsi" w:hAnsiTheme="minorHAnsi" w:cstheme="minorHAnsi"/>
        </w:rPr>
      </w:pPr>
    </w:p>
    <w:sectPr w:rsidR="00472716" w:rsidRPr="00065CE6" w:rsidSect="004B66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18" w:rsidRDefault="00494218" w:rsidP="00641120">
      <w:r>
        <w:separator/>
      </w:r>
    </w:p>
  </w:endnote>
  <w:endnote w:type="continuationSeparator" w:id="0">
    <w:p w:rsidR="00494218" w:rsidRDefault="00494218" w:rsidP="0064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18" w:rsidRDefault="00494218" w:rsidP="00641120">
      <w:r>
        <w:separator/>
      </w:r>
    </w:p>
  </w:footnote>
  <w:footnote w:type="continuationSeparator" w:id="0">
    <w:p w:rsidR="00494218" w:rsidRDefault="00494218" w:rsidP="0064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7E52"/>
    <w:multiLevelType w:val="hybridMultilevel"/>
    <w:tmpl w:val="C3C2A6D6"/>
    <w:lvl w:ilvl="0" w:tplc="10C49FC8">
      <w:start w:val="1"/>
      <w:numFmt w:val="decimal"/>
      <w:lvlText w:val="%1."/>
      <w:lvlJc w:val="left"/>
      <w:pPr>
        <w:ind w:left="360" w:hanging="360"/>
      </w:pPr>
      <w:rPr>
        <w:rFonts w:asciiTheme="minorHAnsi" w:hAnsiTheme="minorHAnsi" w:cstheme="minorHAns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1DDA"/>
    <w:multiLevelType w:val="hybridMultilevel"/>
    <w:tmpl w:val="5AF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B9"/>
    <w:rsid w:val="00033031"/>
    <w:rsid w:val="00065CE6"/>
    <w:rsid w:val="00107E7E"/>
    <w:rsid w:val="00195804"/>
    <w:rsid w:val="001C1A93"/>
    <w:rsid w:val="00205D73"/>
    <w:rsid w:val="002142EC"/>
    <w:rsid w:val="002C37A7"/>
    <w:rsid w:val="003C6F8F"/>
    <w:rsid w:val="00494218"/>
    <w:rsid w:val="004B66B9"/>
    <w:rsid w:val="00510C13"/>
    <w:rsid w:val="00543D7D"/>
    <w:rsid w:val="0055252E"/>
    <w:rsid w:val="00641120"/>
    <w:rsid w:val="00857421"/>
    <w:rsid w:val="008B7C1A"/>
    <w:rsid w:val="008B7F08"/>
    <w:rsid w:val="009B2F72"/>
    <w:rsid w:val="00A21C07"/>
    <w:rsid w:val="00A80095"/>
    <w:rsid w:val="00AB687D"/>
    <w:rsid w:val="00B0315B"/>
    <w:rsid w:val="00B3167C"/>
    <w:rsid w:val="00BE0B0D"/>
    <w:rsid w:val="00CC31C9"/>
    <w:rsid w:val="00D56EC0"/>
    <w:rsid w:val="00E45490"/>
    <w:rsid w:val="00ED4C55"/>
    <w:rsid w:val="00FF3F81"/>
    <w:rsid w:val="00FF6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292F-C7E0-4312-9AA4-538F41B7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4B66B9"/>
    <w:pPr>
      <w:keepNext/>
      <w:keepLines/>
      <w:suppressAutoHyphens/>
      <w:spacing w:line="300" w:lineRule="exact"/>
      <w:outlineLvl w:val="0"/>
    </w:pPr>
    <w:rPr>
      <w:rFonts w:eastAsia="MS Mincho"/>
      <w:b/>
      <w:spacing w:val="-2"/>
      <w:w w:val="103"/>
      <w:kern w:val="14"/>
      <w:sz w:val="28"/>
      <w:szCs w:val="20"/>
      <w:lang w:val="en-GB"/>
    </w:rPr>
  </w:style>
  <w:style w:type="paragraph" w:customStyle="1" w:styleId="paragraph">
    <w:name w:val="paragraph"/>
    <w:basedOn w:val="Normal"/>
    <w:rsid w:val="00065CE6"/>
    <w:pPr>
      <w:spacing w:before="100" w:beforeAutospacing="1" w:after="100" w:afterAutospacing="1"/>
    </w:pPr>
    <w:rPr>
      <w:lang w:val="en-GB" w:eastAsia="en-GB"/>
    </w:rPr>
  </w:style>
  <w:style w:type="character" w:customStyle="1" w:styleId="normaltextrun">
    <w:name w:val="normaltextrun"/>
    <w:basedOn w:val="DefaultParagraphFont"/>
    <w:rsid w:val="00065CE6"/>
  </w:style>
  <w:style w:type="paragraph" w:styleId="BalloonText">
    <w:name w:val="Balloon Text"/>
    <w:basedOn w:val="Normal"/>
    <w:link w:val="BalloonTextChar"/>
    <w:uiPriority w:val="99"/>
    <w:semiHidden/>
    <w:unhideWhenUsed/>
    <w:rsid w:val="0064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20"/>
    <w:rPr>
      <w:rFonts w:ascii="Segoe UI" w:eastAsia="Times New Roman" w:hAnsi="Segoe UI" w:cs="Segoe UI"/>
      <w:sz w:val="18"/>
      <w:szCs w:val="18"/>
    </w:rPr>
  </w:style>
  <w:style w:type="paragraph" w:styleId="Header">
    <w:name w:val="header"/>
    <w:basedOn w:val="Normal"/>
    <w:link w:val="HeaderChar"/>
    <w:uiPriority w:val="99"/>
    <w:unhideWhenUsed/>
    <w:rsid w:val="00641120"/>
    <w:pPr>
      <w:tabs>
        <w:tab w:val="center" w:pos="4680"/>
        <w:tab w:val="right" w:pos="9360"/>
      </w:tabs>
    </w:pPr>
  </w:style>
  <w:style w:type="character" w:customStyle="1" w:styleId="HeaderChar">
    <w:name w:val="Header Char"/>
    <w:basedOn w:val="DefaultParagraphFont"/>
    <w:link w:val="Header"/>
    <w:uiPriority w:val="99"/>
    <w:rsid w:val="00641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120"/>
    <w:pPr>
      <w:tabs>
        <w:tab w:val="center" w:pos="4680"/>
        <w:tab w:val="right" w:pos="9360"/>
      </w:tabs>
    </w:pPr>
  </w:style>
  <w:style w:type="character" w:customStyle="1" w:styleId="FooterChar">
    <w:name w:val="Footer Char"/>
    <w:basedOn w:val="DefaultParagraphFont"/>
    <w:link w:val="Footer"/>
    <w:uiPriority w:val="99"/>
    <w:rsid w:val="006411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Kieu Oanh Nguyen</dc:creator>
  <cp:keywords/>
  <dc:description/>
  <cp:lastModifiedBy>Arwa Humaid</cp:lastModifiedBy>
  <cp:revision>2</cp:revision>
  <cp:lastPrinted>2018-12-16T06:52:00Z</cp:lastPrinted>
  <dcterms:created xsi:type="dcterms:W3CDTF">2019-03-27T17:14:00Z</dcterms:created>
  <dcterms:modified xsi:type="dcterms:W3CDTF">2019-03-27T17:14:00Z</dcterms:modified>
</cp:coreProperties>
</file>