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9F" w:rsidRPr="00CE12D5" w:rsidRDefault="00682B1A" w:rsidP="004A40EB">
      <w:pPr>
        <w:jc w:val="center"/>
      </w:pPr>
      <w:r>
        <w:rPr>
          <w:b/>
          <w:sz w:val="32"/>
          <w:szCs w:val="32"/>
        </w:rPr>
        <w:t xml:space="preserve">  M</w:t>
      </w:r>
      <w:r w:rsidRPr="00DF316C">
        <w:rPr>
          <w:b/>
          <w:sz w:val="32"/>
          <w:szCs w:val="32"/>
        </w:rPr>
        <w:t xml:space="preserve">anagement response to the </w:t>
      </w:r>
      <w:r w:rsidR="004A40EB">
        <w:rPr>
          <w:b/>
          <w:sz w:val="32"/>
          <w:szCs w:val="32"/>
        </w:rPr>
        <w:t xml:space="preserve">Mid-Term Evaluation of the </w:t>
      </w:r>
      <w:r w:rsidR="004A40EB" w:rsidRPr="004A40EB">
        <w:rPr>
          <w:b/>
          <w:sz w:val="32"/>
          <w:szCs w:val="32"/>
        </w:rPr>
        <w:t xml:space="preserve">Decentralisation and Local Development Support Programme </w:t>
      </w:r>
      <w:r w:rsidR="004A40EB">
        <w:rPr>
          <w:b/>
          <w:sz w:val="32"/>
          <w:szCs w:val="32"/>
        </w:rPr>
        <w:t>(</w:t>
      </w:r>
      <w:r w:rsidR="004A40EB" w:rsidRPr="004A40EB">
        <w:rPr>
          <w:b/>
          <w:sz w:val="32"/>
          <w:szCs w:val="32"/>
        </w:rPr>
        <w:t>DLDSP</w:t>
      </w:r>
      <w:r w:rsidR="004A40EB">
        <w:rPr>
          <w:b/>
          <w:sz w:val="32"/>
          <w:szCs w:val="32"/>
        </w:rPr>
        <w:t>)</w:t>
      </w:r>
    </w:p>
    <w:p w:rsidR="00142EC1" w:rsidRPr="00CE12D5" w:rsidRDefault="00142EC1"/>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53"/>
        <w:gridCol w:w="1689"/>
        <w:gridCol w:w="1819"/>
        <w:gridCol w:w="1581"/>
        <w:gridCol w:w="1700"/>
      </w:tblGrid>
      <w:tr w:rsidR="00142EC1" w:rsidRPr="008E53E4" w:rsidTr="0019379C">
        <w:trPr>
          <w:trHeight w:val="242"/>
        </w:trPr>
        <w:tc>
          <w:tcPr>
            <w:tcW w:w="9242" w:type="dxa"/>
            <w:gridSpan w:val="5"/>
            <w:tcBorders>
              <w:top w:val="single" w:sz="4" w:space="0" w:color="auto"/>
              <w:bottom w:val="single" w:sz="6" w:space="0" w:color="auto"/>
            </w:tcBorders>
            <w:shd w:val="clear" w:color="auto" w:fill="F3F3F3"/>
          </w:tcPr>
          <w:p w:rsidR="00142EC1" w:rsidRPr="004A40EB" w:rsidRDefault="00270FE1" w:rsidP="004A40EB">
            <w:pPr>
              <w:spacing w:after="60"/>
              <w:jc w:val="both"/>
              <w:rPr>
                <w:b/>
              </w:rPr>
            </w:pPr>
            <w:r w:rsidRPr="008E53E4">
              <w:rPr>
                <w:b/>
              </w:rPr>
              <w:t>Recommendation 1:</w:t>
            </w:r>
            <w:r w:rsidRPr="008E53E4">
              <w:t xml:space="preserve"> </w:t>
            </w:r>
            <w:r w:rsidR="004A40EB" w:rsidRPr="004A40EB">
              <w:t>Recognize that government demand for the program’s support could be subject to unexpected change in directions and that a demand driven approach could engender scope creep. In this vein, continue to seek the government’s endorsement of an overall decentralisation strategy in addition to a clear division of roles with other donors working in the same space.</w:t>
            </w:r>
          </w:p>
        </w:tc>
      </w:tr>
      <w:tr w:rsidR="00142EC1" w:rsidRPr="008E53E4" w:rsidTr="00D704D1">
        <w:trPr>
          <w:trHeight w:val="210"/>
        </w:trPr>
        <w:tc>
          <w:tcPr>
            <w:tcW w:w="9242" w:type="dxa"/>
            <w:gridSpan w:val="5"/>
            <w:tcBorders>
              <w:top w:val="single" w:sz="6" w:space="0" w:color="auto"/>
            </w:tcBorders>
            <w:shd w:val="clear" w:color="auto" w:fill="auto"/>
          </w:tcPr>
          <w:p w:rsidR="001A15AA" w:rsidRPr="00692675" w:rsidRDefault="00142EC1" w:rsidP="001A15AA">
            <w:pPr>
              <w:tabs>
                <w:tab w:val="left" w:pos="1080"/>
              </w:tabs>
              <w:jc w:val="both"/>
              <w:rPr>
                <w:b/>
              </w:rPr>
            </w:pPr>
            <w:r w:rsidRPr="008E53E4">
              <w:rPr>
                <w:b/>
              </w:rPr>
              <w:t xml:space="preserve">Management response: </w:t>
            </w:r>
            <w:r w:rsidR="0012514D" w:rsidRPr="008E53E4">
              <w:rPr>
                <w:b/>
              </w:rPr>
              <w:t xml:space="preserve"> </w:t>
            </w:r>
            <w:r w:rsidR="00D44CD0" w:rsidRPr="00692675">
              <w:rPr>
                <w:bCs/>
              </w:rPr>
              <w:t xml:space="preserve">UNDP </w:t>
            </w:r>
            <w:r w:rsidR="00692675">
              <w:rPr>
                <w:bCs/>
              </w:rPr>
              <w:t xml:space="preserve">Jordan accepts this recommendation, and </w:t>
            </w:r>
            <w:r w:rsidR="00D44CD0" w:rsidRPr="00692675">
              <w:rPr>
                <w:bCs/>
              </w:rPr>
              <w:t>has already identified the</w:t>
            </w:r>
            <w:r w:rsidR="00692675">
              <w:rPr>
                <w:bCs/>
              </w:rPr>
              <w:t xml:space="preserve"> relevance of potential</w:t>
            </w:r>
            <w:r w:rsidR="00D44CD0" w:rsidRPr="00692675">
              <w:rPr>
                <w:bCs/>
              </w:rPr>
              <w:t xml:space="preserve"> risks of “political situation changes” and “</w:t>
            </w:r>
            <w:r w:rsidR="002C33C7">
              <w:rPr>
                <w:bCs/>
              </w:rPr>
              <w:t>l</w:t>
            </w:r>
            <w:r w:rsidR="00D44CD0" w:rsidRPr="00692675">
              <w:rPr>
                <w:bCs/>
              </w:rPr>
              <w:t>imited commitment and political will by the members of the Inter-Ministerial Committee or disagreements regarding their respective roles in the process”</w:t>
            </w:r>
            <w:r w:rsidR="001A15AA" w:rsidRPr="00692675">
              <w:rPr>
                <w:bCs/>
              </w:rPr>
              <w:t xml:space="preserve"> </w:t>
            </w:r>
            <w:r w:rsidR="00692675">
              <w:rPr>
                <w:bCs/>
              </w:rPr>
              <w:t xml:space="preserve">as part of a </w:t>
            </w:r>
            <w:r w:rsidR="002C33C7" w:rsidRPr="00D96846">
              <w:rPr>
                <w:bCs/>
              </w:rPr>
              <w:t xml:space="preserve">Risk Management Matrix </w:t>
            </w:r>
            <w:r w:rsidR="00692675">
              <w:rPr>
                <w:bCs/>
              </w:rPr>
              <w:t xml:space="preserve">approach, as shown in the </w:t>
            </w:r>
            <w:r w:rsidR="002C33C7">
              <w:rPr>
                <w:bCs/>
              </w:rPr>
              <w:t xml:space="preserve">DLDSP </w:t>
            </w:r>
            <w:r w:rsidR="001A15AA">
              <w:rPr>
                <w:bCs/>
              </w:rPr>
              <w:t>Q</w:t>
            </w:r>
            <w:r w:rsidR="001A15AA" w:rsidRPr="00692675">
              <w:rPr>
                <w:bCs/>
              </w:rPr>
              <w:t xml:space="preserve">uarterly </w:t>
            </w:r>
            <w:r w:rsidR="001A15AA">
              <w:rPr>
                <w:bCs/>
              </w:rPr>
              <w:t>R</w:t>
            </w:r>
            <w:r w:rsidR="001A15AA" w:rsidRPr="00692675">
              <w:rPr>
                <w:bCs/>
              </w:rPr>
              <w:t>eport</w:t>
            </w:r>
            <w:r w:rsidR="002C33C7">
              <w:rPr>
                <w:bCs/>
              </w:rPr>
              <w:t xml:space="preserve"> </w:t>
            </w:r>
            <w:r w:rsidR="001A15AA">
              <w:rPr>
                <w:bCs/>
              </w:rPr>
              <w:t xml:space="preserve">for </w:t>
            </w:r>
            <w:r w:rsidR="00692675">
              <w:rPr>
                <w:bCs/>
              </w:rPr>
              <w:t>Q4/</w:t>
            </w:r>
            <w:r w:rsidR="001A15AA">
              <w:rPr>
                <w:bCs/>
              </w:rPr>
              <w:t>2018</w:t>
            </w:r>
            <w:r w:rsidR="00692675">
              <w:rPr>
                <w:bCs/>
              </w:rPr>
              <w:t xml:space="preserve">. A </w:t>
            </w:r>
            <w:r w:rsidR="001A15AA" w:rsidRPr="00692675">
              <w:rPr>
                <w:bCs/>
              </w:rPr>
              <w:t>number of mitigating measures</w:t>
            </w:r>
            <w:r w:rsidR="00692675">
              <w:rPr>
                <w:bCs/>
              </w:rPr>
              <w:t xml:space="preserve"> have consequently been taken, including that </w:t>
            </w:r>
            <w:r w:rsidR="001A15AA" w:rsidRPr="00692675">
              <w:rPr>
                <w:bCs/>
              </w:rPr>
              <w:t xml:space="preserve">UNDP </w:t>
            </w:r>
            <w:r w:rsidR="00692675">
              <w:rPr>
                <w:bCs/>
              </w:rPr>
              <w:t xml:space="preserve">has </w:t>
            </w:r>
            <w:r w:rsidR="001A15AA" w:rsidRPr="00692675">
              <w:rPr>
                <w:bCs/>
              </w:rPr>
              <w:t xml:space="preserve">maintained close and regular contacts with </w:t>
            </w:r>
            <w:r w:rsidR="00692675">
              <w:rPr>
                <w:bCs/>
              </w:rPr>
              <w:t xml:space="preserve">all relevant actors, especially the </w:t>
            </w:r>
            <w:r w:rsidR="001A15AA" w:rsidRPr="00692675">
              <w:rPr>
                <w:bCs/>
              </w:rPr>
              <w:t>MOI</w:t>
            </w:r>
            <w:r w:rsidR="00692675">
              <w:rPr>
                <w:bCs/>
              </w:rPr>
              <w:t xml:space="preserve">, MOMA and </w:t>
            </w:r>
            <w:r w:rsidR="001A15AA" w:rsidRPr="00692675">
              <w:rPr>
                <w:bCs/>
              </w:rPr>
              <w:t xml:space="preserve">MOPPA, </w:t>
            </w:r>
            <w:r w:rsidR="00692675">
              <w:rPr>
                <w:bCs/>
              </w:rPr>
              <w:t xml:space="preserve">as well as closer engagement with the </w:t>
            </w:r>
            <w:r w:rsidR="001A15AA" w:rsidRPr="00692675">
              <w:rPr>
                <w:bCs/>
              </w:rPr>
              <w:t xml:space="preserve">IMC, </w:t>
            </w:r>
            <w:r w:rsidR="00692675">
              <w:rPr>
                <w:bCs/>
              </w:rPr>
              <w:t xml:space="preserve">the </w:t>
            </w:r>
            <w:r w:rsidR="001A15AA" w:rsidRPr="00692675">
              <w:rPr>
                <w:bCs/>
              </w:rPr>
              <w:t>EUDEL and other national and international stakeholders in order to decide on any adjustments</w:t>
            </w:r>
            <w:r w:rsidR="005A039A">
              <w:rPr>
                <w:bCs/>
              </w:rPr>
              <w:t xml:space="preserve"> needed in case of political or institutional changes</w:t>
            </w:r>
            <w:r w:rsidR="001A15AA" w:rsidRPr="00692675">
              <w:rPr>
                <w:bCs/>
              </w:rPr>
              <w:t>.</w:t>
            </w:r>
          </w:p>
        </w:tc>
      </w:tr>
      <w:tr w:rsidR="005F38ED" w:rsidRPr="008E53E4" w:rsidTr="00692675">
        <w:trPr>
          <w:trHeight w:val="135"/>
        </w:trPr>
        <w:tc>
          <w:tcPr>
            <w:tcW w:w="2453" w:type="dxa"/>
            <w:vMerge w:val="restart"/>
            <w:shd w:val="clear" w:color="auto" w:fill="F3F3F3"/>
          </w:tcPr>
          <w:p w:rsidR="00142EC1" w:rsidRPr="008E53E4" w:rsidRDefault="00142EC1" w:rsidP="008B0261">
            <w:pPr>
              <w:tabs>
                <w:tab w:val="left" w:pos="1080"/>
              </w:tabs>
              <w:jc w:val="center"/>
              <w:rPr>
                <w:b/>
              </w:rPr>
            </w:pPr>
            <w:r w:rsidRPr="008E53E4">
              <w:rPr>
                <w:b/>
              </w:rPr>
              <w:t>Key action(s)</w:t>
            </w:r>
          </w:p>
        </w:tc>
        <w:tc>
          <w:tcPr>
            <w:tcW w:w="1689" w:type="dxa"/>
            <w:vMerge w:val="restart"/>
            <w:shd w:val="clear" w:color="auto" w:fill="F3F3F3"/>
          </w:tcPr>
          <w:p w:rsidR="00142EC1" w:rsidRPr="008E53E4" w:rsidRDefault="00142EC1" w:rsidP="008B0261">
            <w:pPr>
              <w:tabs>
                <w:tab w:val="left" w:pos="1080"/>
              </w:tabs>
              <w:jc w:val="center"/>
              <w:rPr>
                <w:b/>
              </w:rPr>
            </w:pPr>
            <w:r w:rsidRPr="008E53E4">
              <w:rPr>
                <w:b/>
              </w:rPr>
              <w:t>Time frame</w:t>
            </w:r>
          </w:p>
        </w:tc>
        <w:tc>
          <w:tcPr>
            <w:tcW w:w="1819" w:type="dxa"/>
            <w:vMerge w:val="restart"/>
            <w:shd w:val="clear" w:color="auto" w:fill="F3F3F3"/>
          </w:tcPr>
          <w:p w:rsidR="00142EC1" w:rsidRPr="008E53E4" w:rsidRDefault="00142EC1" w:rsidP="008B0261">
            <w:pPr>
              <w:tabs>
                <w:tab w:val="left" w:pos="1080"/>
              </w:tabs>
              <w:jc w:val="center"/>
              <w:rPr>
                <w:b/>
              </w:rPr>
            </w:pPr>
            <w:r w:rsidRPr="008E53E4">
              <w:rPr>
                <w:b/>
              </w:rPr>
              <w:t>Responsible unit(s)</w:t>
            </w:r>
          </w:p>
        </w:tc>
        <w:tc>
          <w:tcPr>
            <w:tcW w:w="3281" w:type="dxa"/>
            <w:gridSpan w:val="2"/>
            <w:shd w:val="clear" w:color="auto" w:fill="F3F3F3"/>
          </w:tcPr>
          <w:p w:rsidR="00142EC1" w:rsidRPr="008E53E4" w:rsidRDefault="00142EC1" w:rsidP="008B0261">
            <w:pPr>
              <w:tabs>
                <w:tab w:val="left" w:pos="1080"/>
              </w:tabs>
              <w:jc w:val="center"/>
              <w:rPr>
                <w:b/>
              </w:rPr>
            </w:pPr>
            <w:r w:rsidRPr="008E53E4">
              <w:rPr>
                <w:b/>
              </w:rPr>
              <w:t>Tracking</w:t>
            </w:r>
          </w:p>
        </w:tc>
      </w:tr>
      <w:tr w:rsidR="005F38ED" w:rsidRPr="008E53E4" w:rsidTr="005F38ED">
        <w:trPr>
          <w:trHeight w:val="135"/>
        </w:trPr>
        <w:tc>
          <w:tcPr>
            <w:tcW w:w="2453" w:type="dxa"/>
            <w:vMerge/>
            <w:shd w:val="clear" w:color="auto" w:fill="F3F3F3"/>
          </w:tcPr>
          <w:p w:rsidR="00142EC1" w:rsidRPr="008E53E4" w:rsidRDefault="00142EC1" w:rsidP="008B0261">
            <w:pPr>
              <w:tabs>
                <w:tab w:val="left" w:pos="1080"/>
              </w:tabs>
            </w:pPr>
          </w:p>
        </w:tc>
        <w:tc>
          <w:tcPr>
            <w:tcW w:w="1689" w:type="dxa"/>
            <w:vMerge/>
            <w:shd w:val="clear" w:color="auto" w:fill="F3F3F3"/>
          </w:tcPr>
          <w:p w:rsidR="00142EC1" w:rsidRPr="008E53E4" w:rsidRDefault="00142EC1" w:rsidP="008B0261">
            <w:pPr>
              <w:tabs>
                <w:tab w:val="left" w:pos="1080"/>
              </w:tabs>
              <w:rPr>
                <w:b/>
              </w:rPr>
            </w:pPr>
          </w:p>
        </w:tc>
        <w:tc>
          <w:tcPr>
            <w:tcW w:w="1819" w:type="dxa"/>
            <w:vMerge/>
            <w:shd w:val="clear" w:color="auto" w:fill="F3F3F3"/>
          </w:tcPr>
          <w:p w:rsidR="00142EC1" w:rsidRPr="008E53E4" w:rsidRDefault="00142EC1" w:rsidP="008B0261">
            <w:pPr>
              <w:tabs>
                <w:tab w:val="left" w:pos="1080"/>
              </w:tabs>
              <w:rPr>
                <w:b/>
              </w:rPr>
            </w:pPr>
          </w:p>
        </w:tc>
        <w:tc>
          <w:tcPr>
            <w:tcW w:w="1581" w:type="dxa"/>
          </w:tcPr>
          <w:p w:rsidR="00142EC1" w:rsidRPr="008E53E4" w:rsidRDefault="00142EC1" w:rsidP="008B0261">
            <w:pPr>
              <w:tabs>
                <w:tab w:val="left" w:pos="1080"/>
              </w:tabs>
              <w:jc w:val="center"/>
              <w:rPr>
                <w:b/>
              </w:rPr>
            </w:pPr>
            <w:r w:rsidRPr="008E53E4">
              <w:rPr>
                <w:b/>
              </w:rPr>
              <w:t>Comments</w:t>
            </w:r>
          </w:p>
        </w:tc>
        <w:tc>
          <w:tcPr>
            <w:tcW w:w="1700" w:type="dxa"/>
          </w:tcPr>
          <w:p w:rsidR="00142EC1" w:rsidRPr="008E53E4" w:rsidRDefault="00142EC1" w:rsidP="008B0261">
            <w:pPr>
              <w:tabs>
                <w:tab w:val="left" w:pos="1080"/>
              </w:tabs>
              <w:jc w:val="center"/>
              <w:rPr>
                <w:b/>
              </w:rPr>
            </w:pPr>
            <w:r w:rsidRPr="008E53E4">
              <w:rPr>
                <w:b/>
              </w:rPr>
              <w:t>Status</w:t>
            </w:r>
          </w:p>
        </w:tc>
      </w:tr>
      <w:tr w:rsidR="005F38ED" w:rsidRPr="008E53E4" w:rsidTr="005F38ED">
        <w:tc>
          <w:tcPr>
            <w:tcW w:w="2453" w:type="dxa"/>
          </w:tcPr>
          <w:p w:rsidR="00142EC1" w:rsidRPr="00652556" w:rsidRDefault="008963FA" w:rsidP="008B0261">
            <w:pPr>
              <w:tabs>
                <w:tab w:val="left" w:pos="1080"/>
              </w:tabs>
              <w:rPr>
                <w:sz w:val="18"/>
                <w:szCs w:val="18"/>
              </w:rPr>
            </w:pPr>
            <w:r w:rsidRPr="00652556">
              <w:rPr>
                <w:sz w:val="18"/>
                <w:szCs w:val="18"/>
              </w:rPr>
              <w:t>1.1. Continuously monitor the situation and maintain close contacts with the government and decide timely adjustments if required</w:t>
            </w:r>
          </w:p>
        </w:tc>
        <w:tc>
          <w:tcPr>
            <w:tcW w:w="1689" w:type="dxa"/>
          </w:tcPr>
          <w:p w:rsidR="00142EC1" w:rsidRPr="00652556" w:rsidRDefault="008963FA" w:rsidP="008B0261">
            <w:pPr>
              <w:tabs>
                <w:tab w:val="left" w:pos="1080"/>
              </w:tabs>
              <w:rPr>
                <w:sz w:val="18"/>
                <w:szCs w:val="18"/>
              </w:rPr>
            </w:pPr>
            <w:r w:rsidRPr="00652556">
              <w:rPr>
                <w:sz w:val="18"/>
                <w:szCs w:val="18"/>
              </w:rPr>
              <w:t xml:space="preserve">June 2019 </w:t>
            </w:r>
          </w:p>
        </w:tc>
        <w:tc>
          <w:tcPr>
            <w:tcW w:w="1819" w:type="dxa"/>
          </w:tcPr>
          <w:p w:rsidR="00B949F0" w:rsidRPr="00652556" w:rsidRDefault="00B949F0" w:rsidP="00652556">
            <w:pPr>
              <w:tabs>
                <w:tab w:val="left" w:pos="1080"/>
              </w:tabs>
              <w:spacing w:after="0" w:line="240" w:lineRule="auto"/>
              <w:rPr>
                <w:sz w:val="18"/>
                <w:szCs w:val="18"/>
              </w:rPr>
            </w:pPr>
            <w:r w:rsidRPr="00652556">
              <w:rPr>
                <w:sz w:val="18"/>
                <w:szCs w:val="18"/>
              </w:rPr>
              <w:t xml:space="preserve">Richard Chambers </w:t>
            </w:r>
          </w:p>
          <w:p w:rsidR="00B949F0" w:rsidRPr="00652556" w:rsidRDefault="00B949F0" w:rsidP="00652556">
            <w:pPr>
              <w:tabs>
                <w:tab w:val="left" w:pos="1080"/>
              </w:tabs>
              <w:spacing w:after="0" w:line="240" w:lineRule="auto"/>
              <w:rPr>
                <w:sz w:val="18"/>
                <w:szCs w:val="18"/>
              </w:rPr>
            </w:pPr>
            <w:r w:rsidRPr="00652556">
              <w:rPr>
                <w:sz w:val="18"/>
                <w:szCs w:val="18"/>
              </w:rPr>
              <w:t xml:space="preserve">Team Leader </w:t>
            </w:r>
          </w:p>
          <w:p w:rsidR="00B949F0" w:rsidRPr="00652556" w:rsidRDefault="00B949F0" w:rsidP="00652556">
            <w:pPr>
              <w:tabs>
                <w:tab w:val="left" w:pos="1080"/>
              </w:tabs>
              <w:spacing w:after="0" w:line="240" w:lineRule="auto"/>
              <w:rPr>
                <w:sz w:val="18"/>
                <w:szCs w:val="18"/>
              </w:rPr>
            </w:pPr>
            <w:r w:rsidRPr="00652556">
              <w:rPr>
                <w:sz w:val="18"/>
                <w:szCs w:val="18"/>
              </w:rPr>
              <w:t>UNDP</w:t>
            </w:r>
          </w:p>
          <w:p w:rsidR="00142EC1" w:rsidRPr="00652556" w:rsidRDefault="00142EC1" w:rsidP="008B0261">
            <w:pPr>
              <w:tabs>
                <w:tab w:val="left" w:pos="1080"/>
              </w:tabs>
              <w:rPr>
                <w:sz w:val="18"/>
                <w:szCs w:val="18"/>
              </w:rPr>
            </w:pPr>
          </w:p>
        </w:tc>
        <w:tc>
          <w:tcPr>
            <w:tcW w:w="1581" w:type="dxa"/>
          </w:tcPr>
          <w:p w:rsidR="00142EC1" w:rsidRPr="00652556" w:rsidRDefault="00692675" w:rsidP="008B0261">
            <w:pPr>
              <w:tabs>
                <w:tab w:val="left" w:pos="1080"/>
              </w:tabs>
              <w:rPr>
                <w:sz w:val="18"/>
                <w:szCs w:val="18"/>
              </w:rPr>
            </w:pPr>
            <w:r>
              <w:rPr>
                <w:sz w:val="18"/>
                <w:szCs w:val="18"/>
              </w:rPr>
              <w:t>Steps will be demonstrated in DLDSP project reports.</w:t>
            </w:r>
          </w:p>
        </w:tc>
        <w:tc>
          <w:tcPr>
            <w:tcW w:w="1700" w:type="dxa"/>
          </w:tcPr>
          <w:p w:rsidR="00142EC1" w:rsidRPr="00652556" w:rsidRDefault="00692675" w:rsidP="008B0261">
            <w:pPr>
              <w:tabs>
                <w:tab w:val="left" w:pos="1080"/>
              </w:tabs>
              <w:rPr>
                <w:sz w:val="18"/>
                <w:szCs w:val="18"/>
              </w:rPr>
            </w:pPr>
            <w:r>
              <w:rPr>
                <w:sz w:val="18"/>
                <w:szCs w:val="18"/>
              </w:rPr>
              <w:t>Initiated and o</w:t>
            </w:r>
            <w:r w:rsidR="008963FA" w:rsidRPr="00652556">
              <w:rPr>
                <w:sz w:val="18"/>
                <w:szCs w:val="18"/>
              </w:rPr>
              <w:t>ngoing</w:t>
            </w:r>
          </w:p>
        </w:tc>
      </w:tr>
      <w:tr w:rsidR="00BF2161" w:rsidRPr="008E53E4" w:rsidTr="0019379C">
        <w:tc>
          <w:tcPr>
            <w:tcW w:w="9242" w:type="dxa"/>
            <w:gridSpan w:val="5"/>
            <w:shd w:val="clear" w:color="auto" w:fill="F3F3F3"/>
          </w:tcPr>
          <w:p w:rsidR="003C38FE" w:rsidRPr="008E53E4" w:rsidRDefault="003C195E" w:rsidP="00DD48B2">
            <w:pPr>
              <w:tabs>
                <w:tab w:val="left" w:pos="1080"/>
              </w:tabs>
            </w:pPr>
            <w:r w:rsidRPr="008E53E4">
              <w:rPr>
                <w:b/>
              </w:rPr>
              <w:t>Recommendation 2:</w:t>
            </w:r>
            <w:r w:rsidRPr="008E53E4">
              <w:t xml:space="preserve"> </w:t>
            </w:r>
            <w:r w:rsidR="004A40EB" w:rsidRPr="004A40EB">
              <w:t>2.</w:t>
            </w:r>
            <w:r w:rsidR="004A40EB" w:rsidRPr="004A40EB">
              <w:tab/>
              <w:t xml:space="preserve">In terms of the program’s organization and structure, its overreliance on short-term consultants will need to be </w:t>
            </w:r>
            <w:proofErr w:type="spellStart"/>
            <w:r w:rsidR="004A40EB" w:rsidRPr="004A40EB">
              <w:t>offsetted</w:t>
            </w:r>
            <w:proofErr w:type="spellEnd"/>
            <w:r w:rsidR="004A40EB" w:rsidRPr="004A40EB">
              <w:t xml:space="preserve"> by the recruitment of long-term staff. Consider therefore expanding the program team to ensure interventions are adequately supported and their impact is sustained.</w:t>
            </w:r>
          </w:p>
        </w:tc>
      </w:tr>
      <w:tr w:rsidR="00692675" w:rsidRPr="008E53E4" w:rsidTr="00D704D1">
        <w:tc>
          <w:tcPr>
            <w:tcW w:w="9242" w:type="dxa"/>
            <w:gridSpan w:val="5"/>
            <w:tcBorders>
              <w:top w:val="single" w:sz="6" w:space="0" w:color="auto"/>
              <w:left w:val="single" w:sz="4" w:space="0" w:color="auto"/>
              <w:bottom w:val="single" w:sz="6" w:space="0" w:color="auto"/>
              <w:right w:val="single" w:sz="4" w:space="0" w:color="auto"/>
            </w:tcBorders>
            <w:shd w:val="clear" w:color="auto" w:fill="auto"/>
          </w:tcPr>
          <w:p w:rsidR="00692675" w:rsidRPr="00692675" w:rsidRDefault="00692675" w:rsidP="00692675">
            <w:pPr>
              <w:tabs>
                <w:tab w:val="left" w:pos="1080"/>
              </w:tabs>
              <w:rPr>
                <w:b/>
              </w:rPr>
            </w:pPr>
            <w:r w:rsidRPr="008E53E4">
              <w:rPr>
                <w:b/>
              </w:rPr>
              <w:t xml:space="preserve">Management response:   </w:t>
            </w:r>
            <w:r w:rsidRPr="00692675">
              <w:rPr>
                <w:bCs/>
              </w:rPr>
              <w:t xml:space="preserve">UNDP </w:t>
            </w:r>
            <w:r w:rsidR="00480172">
              <w:rPr>
                <w:bCs/>
              </w:rPr>
              <w:t>would generally</w:t>
            </w:r>
            <w:r>
              <w:rPr>
                <w:bCs/>
              </w:rPr>
              <w:t xml:space="preserve"> </w:t>
            </w:r>
            <w:r w:rsidRPr="00692675">
              <w:rPr>
                <w:bCs/>
              </w:rPr>
              <w:t>agree with</w:t>
            </w:r>
            <w:r>
              <w:rPr>
                <w:bCs/>
              </w:rPr>
              <w:t xml:space="preserve"> </w:t>
            </w:r>
            <w:r w:rsidRPr="00692675">
              <w:rPr>
                <w:bCs/>
              </w:rPr>
              <w:t xml:space="preserve">recommendation that recruiting more long-term staff would </w:t>
            </w:r>
            <w:r>
              <w:rPr>
                <w:bCs/>
              </w:rPr>
              <w:t xml:space="preserve">enable </w:t>
            </w:r>
            <w:r w:rsidRPr="00692675">
              <w:rPr>
                <w:bCs/>
              </w:rPr>
              <w:t>better support</w:t>
            </w:r>
            <w:r>
              <w:rPr>
                <w:bCs/>
              </w:rPr>
              <w:t xml:space="preserve"> for the</w:t>
            </w:r>
            <w:r w:rsidRPr="00692675">
              <w:rPr>
                <w:bCs/>
              </w:rPr>
              <w:t xml:space="preserve"> </w:t>
            </w:r>
            <w:proofErr w:type="spellStart"/>
            <w:r w:rsidRPr="00692675">
              <w:rPr>
                <w:bCs/>
              </w:rPr>
              <w:t>Programme’s</w:t>
            </w:r>
            <w:proofErr w:type="spellEnd"/>
            <w:r w:rsidRPr="00692675">
              <w:rPr>
                <w:bCs/>
              </w:rPr>
              <w:t xml:space="preserve"> interventions and contribute to sustainability of its impact</w:t>
            </w:r>
            <w:r>
              <w:rPr>
                <w:bCs/>
              </w:rPr>
              <w:t>; h</w:t>
            </w:r>
            <w:r w:rsidRPr="00692675">
              <w:rPr>
                <w:bCs/>
              </w:rPr>
              <w:t xml:space="preserve">owever, DLDSP and UNDP have budgetary restrictions that limit their ability to recruit </w:t>
            </w:r>
            <w:r>
              <w:rPr>
                <w:bCs/>
              </w:rPr>
              <w:t xml:space="preserve">longer-term </w:t>
            </w:r>
            <w:r w:rsidRPr="00692675">
              <w:rPr>
                <w:bCs/>
              </w:rPr>
              <w:t xml:space="preserve">staff. </w:t>
            </w:r>
            <w:r>
              <w:rPr>
                <w:bCs/>
              </w:rPr>
              <w:t xml:space="preserve">Mitigating solutions have been identified, such as the </w:t>
            </w:r>
            <w:r w:rsidRPr="00692675">
              <w:rPr>
                <w:bCs/>
              </w:rPr>
              <w:t>contract</w:t>
            </w:r>
            <w:r>
              <w:rPr>
                <w:bCs/>
              </w:rPr>
              <w:t xml:space="preserve">ing of a longer-term </w:t>
            </w:r>
            <w:r w:rsidRPr="00692675">
              <w:rPr>
                <w:bCs/>
              </w:rPr>
              <w:t>Research and Reporting Specialist</w:t>
            </w:r>
            <w:r>
              <w:rPr>
                <w:bCs/>
              </w:rPr>
              <w:t xml:space="preserve"> Consultant to support </w:t>
            </w:r>
            <w:proofErr w:type="spellStart"/>
            <w:r>
              <w:rPr>
                <w:bCs/>
              </w:rPr>
              <w:t>programme</w:t>
            </w:r>
            <w:proofErr w:type="spellEnd"/>
            <w:r>
              <w:rPr>
                <w:bCs/>
              </w:rPr>
              <w:t xml:space="preserve"> structure and organization through reporting, coordination and knowledge management</w:t>
            </w:r>
            <w:r w:rsidR="00480172">
              <w:rPr>
                <w:bCs/>
              </w:rPr>
              <w:t xml:space="preserve">. In addition, UNDP will </w:t>
            </w:r>
            <w:r w:rsidRPr="00692675">
              <w:rPr>
                <w:bCs/>
              </w:rPr>
              <w:t>contract</w:t>
            </w:r>
            <w:r>
              <w:rPr>
                <w:bCs/>
              </w:rPr>
              <w:t xml:space="preserve"> additional</w:t>
            </w:r>
            <w:r w:rsidRPr="00692675">
              <w:rPr>
                <w:bCs/>
              </w:rPr>
              <w:t xml:space="preserve"> technical experts in the fields of development of integrated territorial planning processes and capacity building and local engagement with long-term contracts in case the </w:t>
            </w:r>
            <w:proofErr w:type="spellStart"/>
            <w:r w:rsidRPr="00692675">
              <w:rPr>
                <w:bCs/>
              </w:rPr>
              <w:t>Programme</w:t>
            </w:r>
            <w:proofErr w:type="spellEnd"/>
            <w:r w:rsidRPr="00692675">
              <w:rPr>
                <w:bCs/>
              </w:rPr>
              <w:t xml:space="preserve"> is extended. </w:t>
            </w:r>
          </w:p>
        </w:tc>
      </w:tr>
      <w:tr w:rsidR="005F38ED" w:rsidRPr="008E53E4" w:rsidTr="005F38ED">
        <w:trPr>
          <w:trHeight w:val="1933"/>
        </w:trPr>
        <w:tc>
          <w:tcPr>
            <w:tcW w:w="2453" w:type="dxa"/>
          </w:tcPr>
          <w:p w:rsidR="00692675" w:rsidRPr="00652556" w:rsidRDefault="00692675" w:rsidP="00CA2574">
            <w:pPr>
              <w:tabs>
                <w:tab w:val="left" w:pos="1080"/>
              </w:tabs>
              <w:rPr>
                <w:sz w:val="18"/>
                <w:szCs w:val="18"/>
              </w:rPr>
            </w:pPr>
            <w:r w:rsidRPr="00652556">
              <w:rPr>
                <w:sz w:val="18"/>
                <w:szCs w:val="18"/>
              </w:rPr>
              <w:lastRenderedPageBreak/>
              <w:t xml:space="preserve">2.1 Contract Research and Reporting Officer </w:t>
            </w:r>
          </w:p>
          <w:p w:rsidR="00692675" w:rsidRPr="00652556" w:rsidRDefault="00692675" w:rsidP="00CA2574">
            <w:pPr>
              <w:tabs>
                <w:tab w:val="left" w:pos="1080"/>
              </w:tabs>
              <w:rPr>
                <w:sz w:val="18"/>
                <w:szCs w:val="18"/>
              </w:rPr>
            </w:pPr>
          </w:p>
        </w:tc>
        <w:tc>
          <w:tcPr>
            <w:tcW w:w="1689" w:type="dxa"/>
          </w:tcPr>
          <w:p w:rsidR="00692675" w:rsidRPr="00652556" w:rsidRDefault="00692675" w:rsidP="00CA2574">
            <w:pPr>
              <w:tabs>
                <w:tab w:val="left" w:pos="1080"/>
              </w:tabs>
              <w:rPr>
                <w:sz w:val="18"/>
                <w:szCs w:val="18"/>
              </w:rPr>
            </w:pPr>
            <w:r w:rsidRPr="00652556">
              <w:rPr>
                <w:sz w:val="18"/>
                <w:szCs w:val="18"/>
              </w:rPr>
              <w:t>February 2019</w:t>
            </w:r>
          </w:p>
        </w:tc>
        <w:tc>
          <w:tcPr>
            <w:tcW w:w="1819" w:type="dxa"/>
          </w:tcPr>
          <w:p w:rsidR="00692675" w:rsidRPr="00652556" w:rsidRDefault="00692675" w:rsidP="00CA2574">
            <w:pPr>
              <w:tabs>
                <w:tab w:val="left" w:pos="1080"/>
              </w:tabs>
              <w:rPr>
                <w:sz w:val="18"/>
                <w:szCs w:val="18"/>
              </w:rPr>
            </w:pPr>
            <w:proofErr w:type="spellStart"/>
            <w:r w:rsidRPr="00652556">
              <w:rPr>
                <w:sz w:val="18"/>
                <w:szCs w:val="18"/>
              </w:rPr>
              <w:t>Asma</w:t>
            </w:r>
            <w:proofErr w:type="spellEnd"/>
            <w:r w:rsidRPr="00652556">
              <w:rPr>
                <w:sz w:val="18"/>
                <w:szCs w:val="18"/>
              </w:rPr>
              <w:t xml:space="preserve"> </w:t>
            </w:r>
            <w:proofErr w:type="spellStart"/>
            <w:r w:rsidRPr="00652556">
              <w:rPr>
                <w:sz w:val="18"/>
                <w:szCs w:val="18"/>
              </w:rPr>
              <w:t>Fashho</w:t>
            </w:r>
            <w:proofErr w:type="spellEnd"/>
            <w:r w:rsidRPr="00652556">
              <w:rPr>
                <w:sz w:val="18"/>
                <w:szCs w:val="18"/>
              </w:rPr>
              <w:t xml:space="preserve">, </w:t>
            </w:r>
            <w:proofErr w:type="spellStart"/>
            <w:r w:rsidRPr="00652556">
              <w:rPr>
                <w:sz w:val="18"/>
                <w:szCs w:val="18"/>
              </w:rPr>
              <w:t>Programme</w:t>
            </w:r>
            <w:proofErr w:type="spellEnd"/>
            <w:r w:rsidRPr="00652556">
              <w:rPr>
                <w:sz w:val="18"/>
                <w:szCs w:val="18"/>
              </w:rPr>
              <w:t xml:space="preserve"> Officer, UNDP</w:t>
            </w:r>
          </w:p>
        </w:tc>
        <w:tc>
          <w:tcPr>
            <w:tcW w:w="1581" w:type="dxa"/>
          </w:tcPr>
          <w:p w:rsidR="00692675" w:rsidRPr="00652556" w:rsidRDefault="00692675" w:rsidP="00692675">
            <w:pPr>
              <w:tabs>
                <w:tab w:val="left" w:pos="710"/>
              </w:tabs>
            </w:pPr>
            <w:r>
              <w:rPr>
                <w:sz w:val="18"/>
                <w:szCs w:val="18"/>
              </w:rPr>
              <w:t xml:space="preserve">Initiated </w:t>
            </w:r>
            <w:r w:rsidR="00480172">
              <w:rPr>
                <w:sz w:val="18"/>
                <w:szCs w:val="18"/>
              </w:rPr>
              <w:t>in February 2019; will impact on better quality reporting &amp; coordination, etc.</w:t>
            </w:r>
          </w:p>
        </w:tc>
        <w:tc>
          <w:tcPr>
            <w:tcW w:w="1700" w:type="dxa"/>
          </w:tcPr>
          <w:p w:rsidR="00692675" w:rsidRPr="008E53E4" w:rsidRDefault="00692675" w:rsidP="00CA2574">
            <w:pPr>
              <w:tabs>
                <w:tab w:val="left" w:pos="1080"/>
              </w:tabs>
            </w:pPr>
            <w:r>
              <w:rPr>
                <w:sz w:val="18"/>
                <w:szCs w:val="18"/>
              </w:rPr>
              <w:t>Completed</w:t>
            </w:r>
          </w:p>
        </w:tc>
      </w:tr>
      <w:tr w:rsidR="005F38ED" w:rsidRPr="00962FC5" w:rsidDel="005A039A" w:rsidTr="005F38ED">
        <w:trPr>
          <w:trHeight w:val="1933"/>
        </w:trPr>
        <w:tc>
          <w:tcPr>
            <w:tcW w:w="2453" w:type="dxa"/>
          </w:tcPr>
          <w:p w:rsidR="00692675" w:rsidRPr="00652556" w:rsidRDefault="00692675" w:rsidP="00CA2574">
            <w:pPr>
              <w:tabs>
                <w:tab w:val="left" w:pos="1080"/>
              </w:tabs>
              <w:rPr>
                <w:sz w:val="18"/>
                <w:szCs w:val="18"/>
              </w:rPr>
            </w:pPr>
            <w:r w:rsidRPr="00652556">
              <w:rPr>
                <w:sz w:val="18"/>
                <w:szCs w:val="18"/>
              </w:rPr>
              <w:t>2.1 Contract long term technical experts in the fields of a) development of integrated territorial planning processes and b) capacity building and local engagement</w:t>
            </w:r>
          </w:p>
        </w:tc>
        <w:tc>
          <w:tcPr>
            <w:tcW w:w="1689" w:type="dxa"/>
          </w:tcPr>
          <w:p w:rsidR="00692675" w:rsidRPr="00652556" w:rsidRDefault="00692675" w:rsidP="00CA2574">
            <w:pPr>
              <w:tabs>
                <w:tab w:val="left" w:pos="1080"/>
              </w:tabs>
              <w:rPr>
                <w:sz w:val="18"/>
                <w:szCs w:val="18"/>
              </w:rPr>
            </w:pPr>
            <w:r>
              <w:rPr>
                <w:sz w:val="18"/>
                <w:szCs w:val="18"/>
              </w:rPr>
              <w:t xml:space="preserve">May </w:t>
            </w:r>
            <w:r w:rsidRPr="00652556">
              <w:rPr>
                <w:sz w:val="18"/>
                <w:szCs w:val="18"/>
              </w:rPr>
              <w:t>2019</w:t>
            </w:r>
          </w:p>
        </w:tc>
        <w:tc>
          <w:tcPr>
            <w:tcW w:w="1819" w:type="dxa"/>
          </w:tcPr>
          <w:p w:rsidR="00692675" w:rsidRPr="00652556" w:rsidRDefault="00692675" w:rsidP="00CA2574">
            <w:pPr>
              <w:tabs>
                <w:tab w:val="left" w:pos="1080"/>
              </w:tabs>
              <w:rPr>
                <w:sz w:val="18"/>
                <w:szCs w:val="18"/>
              </w:rPr>
            </w:pPr>
            <w:proofErr w:type="spellStart"/>
            <w:r w:rsidRPr="00652556">
              <w:rPr>
                <w:sz w:val="18"/>
                <w:szCs w:val="18"/>
              </w:rPr>
              <w:t>Asma</w:t>
            </w:r>
            <w:proofErr w:type="spellEnd"/>
            <w:r w:rsidRPr="00652556">
              <w:rPr>
                <w:sz w:val="18"/>
                <w:szCs w:val="18"/>
              </w:rPr>
              <w:t xml:space="preserve"> </w:t>
            </w:r>
            <w:proofErr w:type="spellStart"/>
            <w:r w:rsidRPr="00652556">
              <w:rPr>
                <w:sz w:val="18"/>
                <w:szCs w:val="18"/>
              </w:rPr>
              <w:t>Fashho</w:t>
            </w:r>
            <w:proofErr w:type="spellEnd"/>
            <w:r w:rsidRPr="00652556">
              <w:rPr>
                <w:sz w:val="18"/>
                <w:szCs w:val="18"/>
              </w:rPr>
              <w:t xml:space="preserve">, </w:t>
            </w:r>
            <w:proofErr w:type="spellStart"/>
            <w:r w:rsidRPr="00652556">
              <w:rPr>
                <w:sz w:val="18"/>
                <w:szCs w:val="18"/>
              </w:rPr>
              <w:t>Programme</w:t>
            </w:r>
            <w:proofErr w:type="spellEnd"/>
            <w:r w:rsidRPr="00652556">
              <w:rPr>
                <w:sz w:val="18"/>
                <w:szCs w:val="18"/>
              </w:rPr>
              <w:t xml:space="preserve"> Officer, UNDP</w:t>
            </w:r>
          </w:p>
        </w:tc>
        <w:tc>
          <w:tcPr>
            <w:tcW w:w="1581" w:type="dxa"/>
          </w:tcPr>
          <w:p w:rsidR="00692675" w:rsidRPr="00652556" w:rsidRDefault="00480172" w:rsidP="00CA2574">
            <w:pPr>
              <w:tabs>
                <w:tab w:val="left" w:pos="1080"/>
              </w:tabs>
            </w:pPr>
            <w:r>
              <w:rPr>
                <w:sz w:val="18"/>
                <w:szCs w:val="18"/>
              </w:rPr>
              <w:t>To be discussed following agreement on contract extension.</w:t>
            </w:r>
          </w:p>
        </w:tc>
        <w:tc>
          <w:tcPr>
            <w:tcW w:w="1700" w:type="dxa"/>
          </w:tcPr>
          <w:p w:rsidR="00692675" w:rsidRPr="00962FC5" w:rsidDel="005A039A" w:rsidRDefault="00692675" w:rsidP="00CA2574">
            <w:pPr>
              <w:tabs>
                <w:tab w:val="left" w:pos="1080"/>
              </w:tabs>
              <w:rPr>
                <w:sz w:val="18"/>
                <w:szCs w:val="18"/>
              </w:rPr>
            </w:pPr>
            <w:r>
              <w:rPr>
                <w:sz w:val="18"/>
                <w:szCs w:val="18"/>
              </w:rPr>
              <w:t>Ongoing</w:t>
            </w:r>
          </w:p>
        </w:tc>
      </w:tr>
      <w:tr w:rsidR="00692675" w:rsidRPr="004A40EB" w:rsidTr="00CA2574">
        <w:trPr>
          <w:trHeight w:val="462"/>
        </w:trPr>
        <w:tc>
          <w:tcPr>
            <w:tcW w:w="9242" w:type="dxa"/>
            <w:gridSpan w:val="5"/>
            <w:shd w:val="clear" w:color="auto" w:fill="F3F3F3"/>
          </w:tcPr>
          <w:p w:rsidR="00692675" w:rsidRPr="008E53E4" w:rsidRDefault="00692675" w:rsidP="00CA2574">
            <w:pPr>
              <w:jc w:val="both"/>
            </w:pPr>
            <w:r w:rsidRPr="008E53E4">
              <w:rPr>
                <w:b/>
              </w:rPr>
              <w:t>Recommendation 3:</w:t>
            </w:r>
            <w:r w:rsidRPr="008E53E4">
              <w:t xml:space="preserve"> </w:t>
            </w:r>
          </w:p>
          <w:p w:rsidR="00692675" w:rsidRPr="004A40EB" w:rsidRDefault="00692675" w:rsidP="00CA2574">
            <w:pPr>
              <w:pStyle w:val="ListParagraph"/>
              <w:ind w:left="0"/>
              <w:jc w:val="both"/>
              <w:rPr>
                <w:lang w:val="en-GB"/>
              </w:rPr>
            </w:pPr>
            <w:r w:rsidRPr="004A40EB">
              <w:rPr>
                <w:lang w:val="en-GB"/>
              </w:rPr>
              <w:t>If the program is to continue activities under Result 1 and support the national dialogue, carry out a political economy analysis (PEA) to cultivate a clearer understanding of the prevailing political and economic processes in Jordan; specifically, the relationships, incentives and contestation of power between the different stakeholders.  This would help situate the program’s interventions within a clearer understanding of contextual limitations and what is politically feasible within this context. It would also help the program set more realistic expectations of what outcomes can be secured, over what timescale and the risks involved. One direct outcome of this exercise would be to unpack the nature and limits of the existing political will for decentralisation reform.</w:t>
            </w:r>
          </w:p>
        </w:tc>
      </w:tr>
      <w:tr w:rsidR="00692675" w:rsidRPr="008E53E4" w:rsidTr="00D704D1">
        <w:trPr>
          <w:trHeight w:val="462"/>
        </w:trPr>
        <w:tc>
          <w:tcPr>
            <w:tcW w:w="9242" w:type="dxa"/>
            <w:gridSpan w:val="5"/>
            <w:shd w:val="clear" w:color="auto" w:fill="auto"/>
          </w:tcPr>
          <w:p w:rsidR="00692675" w:rsidRPr="00692675" w:rsidRDefault="00692675" w:rsidP="00CA2574">
            <w:pPr>
              <w:tabs>
                <w:tab w:val="left" w:pos="1080"/>
              </w:tabs>
              <w:jc w:val="both"/>
              <w:rPr>
                <w:bCs/>
              </w:rPr>
            </w:pPr>
            <w:r w:rsidRPr="008E53E4">
              <w:rPr>
                <w:b/>
              </w:rPr>
              <w:t xml:space="preserve">Management response: </w:t>
            </w:r>
            <w:r w:rsidR="005F38ED" w:rsidRPr="005F38ED">
              <w:rPr>
                <w:bCs/>
              </w:rPr>
              <w:t>UNDP accepts this recommendation.</w:t>
            </w:r>
            <w:r w:rsidRPr="008E53E4">
              <w:rPr>
                <w:b/>
              </w:rPr>
              <w:t xml:space="preserve">  </w:t>
            </w:r>
            <w:r w:rsidRPr="00692675">
              <w:rPr>
                <w:bCs/>
              </w:rPr>
              <w:t xml:space="preserve">In </w:t>
            </w:r>
            <w:r>
              <w:rPr>
                <w:bCs/>
              </w:rPr>
              <w:t xml:space="preserve">January </w:t>
            </w:r>
            <w:r w:rsidRPr="00E662FD">
              <w:rPr>
                <w:bCs/>
              </w:rPr>
              <w:t>2019</w:t>
            </w:r>
            <w:r w:rsidRPr="00692675">
              <w:rPr>
                <w:bCs/>
              </w:rPr>
              <w:t>, at the request of the two entities responsible for managing the 'National Dialogue on Decentralization' (MOPPA and ESC), DLDSP drafted a paper making recommendations on method and content of the dialogue</w:t>
            </w:r>
            <w:r w:rsidR="005F38ED">
              <w:rPr>
                <w:bCs/>
              </w:rPr>
              <w:t xml:space="preserve"> that includes a political economy approach</w:t>
            </w:r>
            <w:r w:rsidRPr="00692675">
              <w:rPr>
                <w:bCs/>
              </w:rPr>
              <w:t xml:space="preserve">. The paper was well received by ESC which considered it a 'comprehensive guide to the Dialogue' and prompted their request to UNDP for further support with the organization of a National Conference and the drafting and unveiling of a GOJ policy paper on decentralization reforms. This is a direct and major contribution towards the achievement of </w:t>
            </w:r>
            <w:r>
              <w:rPr>
                <w:bCs/>
              </w:rPr>
              <w:t xml:space="preserve">DLDPSP’s </w:t>
            </w:r>
            <w:r w:rsidRPr="00692675">
              <w:rPr>
                <w:bCs/>
              </w:rPr>
              <w:t>Result 1, which however largely depends on the ability of the new government to develop a national vision and policy on decentralization, a task which has proved elusive for over a decade.</w:t>
            </w:r>
          </w:p>
          <w:p w:rsidR="005F38ED" w:rsidRPr="005F38ED" w:rsidRDefault="00692675" w:rsidP="005F38ED">
            <w:pPr>
              <w:tabs>
                <w:tab w:val="left" w:pos="1080"/>
              </w:tabs>
              <w:jc w:val="both"/>
              <w:rPr>
                <w:bCs/>
              </w:rPr>
            </w:pPr>
            <w:r w:rsidRPr="00692675">
              <w:rPr>
                <w:bCs/>
              </w:rPr>
              <w:t>As a way forward, UNDP is planning a workshop in April that intends to bring together a small group of key persons to have a focused discussion on policy options paper</w:t>
            </w:r>
            <w:r>
              <w:rPr>
                <w:bCs/>
              </w:rPr>
              <w:t>.</w:t>
            </w:r>
            <w:r w:rsidR="005F38ED">
              <w:rPr>
                <w:bCs/>
              </w:rPr>
              <w:t xml:space="preserve"> More broadly, UNDP will engage on a broader Political Economy Analysis approach.</w:t>
            </w:r>
          </w:p>
        </w:tc>
      </w:tr>
      <w:tr w:rsidR="005F38ED" w:rsidRPr="00652556" w:rsidTr="005F38ED">
        <w:tc>
          <w:tcPr>
            <w:tcW w:w="2453" w:type="dxa"/>
          </w:tcPr>
          <w:p w:rsidR="00692675" w:rsidRPr="00652556" w:rsidRDefault="00692675" w:rsidP="00CA2574">
            <w:pPr>
              <w:tabs>
                <w:tab w:val="left" w:pos="1080"/>
              </w:tabs>
              <w:spacing w:after="0"/>
              <w:rPr>
                <w:sz w:val="18"/>
                <w:szCs w:val="18"/>
              </w:rPr>
            </w:pPr>
            <w:r>
              <w:rPr>
                <w:sz w:val="18"/>
                <w:szCs w:val="18"/>
              </w:rPr>
              <w:t xml:space="preserve">3.1 </w:t>
            </w:r>
            <w:r w:rsidRPr="00652556">
              <w:rPr>
                <w:sz w:val="18"/>
                <w:szCs w:val="18"/>
              </w:rPr>
              <w:t xml:space="preserve">Develop a note for supporting the National Dialogue on Decentralization including policy options for the decentralization way forward </w:t>
            </w:r>
          </w:p>
        </w:tc>
        <w:tc>
          <w:tcPr>
            <w:tcW w:w="1689" w:type="dxa"/>
          </w:tcPr>
          <w:p w:rsidR="00692675" w:rsidRPr="00652556" w:rsidRDefault="00692675" w:rsidP="00CA2574">
            <w:pPr>
              <w:tabs>
                <w:tab w:val="left" w:pos="1080"/>
              </w:tabs>
              <w:spacing w:after="0"/>
              <w:rPr>
                <w:sz w:val="18"/>
                <w:szCs w:val="18"/>
              </w:rPr>
            </w:pPr>
            <w:r w:rsidRPr="00652556">
              <w:rPr>
                <w:sz w:val="18"/>
                <w:szCs w:val="18"/>
              </w:rPr>
              <w:t>February 2019</w:t>
            </w:r>
          </w:p>
        </w:tc>
        <w:tc>
          <w:tcPr>
            <w:tcW w:w="1819" w:type="dxa"/>
          </w:tcPr>
          <w:p w:rsidR="00692675" w:rsidRPr="00652556" w:rsidRDefault="00692675" w:rsidP="00CA2574">
            <w:pPr>
              <w:tabs>
                <w:tab w:val="left" w:pos="1080"/>
              </w:tabs>
              <w:spacing w:after="0"/>
              <w:rPr>
                <w:sz w:val="18"/>
                <w:szCs w:val="18"/>
              </w:rPr>
            </w:pPr>
            <w:r w:rsidRPr="00652556">
              <w:rPr>
                <w:sz w:val="18"/>
                <w:szCs w:val="18"/>
              </w:rPr>
              <w:t>Leo</w:t>
            </w:r>
            <w:r w:rsidR="005F38ED">
              <w:rPr>
                <w:sz w:val="18"/>
                <w:szCs w:val="18"/>
              </w:rPr>
              <w:t>n</w:t>
            </w:r>
            <w:r w:rsidRPr="00652556">
              <w:rPr>
                <w:sz w:val="18"/>
                <w:szCs w:val="18"/>
              </w:rPr>
              <w:t>ardo G. Romeo</w:t>
            </w:r>
          </w:p>
          <w:p w:rsidR="00692675" w:rsidRPr="00652556" w:rsidRDefault="00692675" w:rsidP="00CA2574">
            <w:pPr>
              <w:tabs>
                <w:tab w:val="left" w:pos="1080"/>
              </w:tabs>
              <w:spacing w:after="0"/>
              <w:rPr>
                <w:sz w:val="18"/>
                <w:szCs w:val="18"/>
              </w:rPr>
            </w:pPr>
            <w:r w:rsidRPr="00652556">
              <w:rPr>
                <w:sz w:val="18"/>
                <w:szCs w:val="18"/>
              </w:rPr>
              <w:t xml:space="preserve">Mohamed El </w:t>
            </w:r>
            <w:proofErr w:type="spellStart"/>
            <w:r w:rsidRPr="00652556">
              <w:rPr>
                <w:sz w:val="18"/>
                <w:szCs w:val="18"/>
              </w:rPr>
              <w:t>Mensi</w:t>
            </w:r>
            <w:proofErr w:type="spellEnd"/>
          </w:p>
          <w:p w:rsidR="00692675" w:rsidRPr="00652556" w:rsidRDefault="00692675" w:rsidP="00CA2574">
            <w:pPr>
              <w:tabs>
                <w:tab w:val="left" w:pos="1080"/>
              </w:tabs>
            </w:pPr>
            <w:r w:rsidRPr="00652556">
              <w:rPr>
                <w:sz w:val="18"/>
                <w:szCs w:val="18"/>
              </w:rPr>
              <w:t xml:space="preserve">DLDSP Experts on </w:t>
            </w:r>
            <w:proofErr w:type="spellStart"/>
            <w:r w:rsidRPr="00652556">
              <w:rPr>
                <w:sz w:val="18"/>
                <w:szCs w:val="18"/>
              </w:rPr>
              <w:t>Decentralisation</w:t>
            </w:r>
            <w:proofErr w:type="spellEnd"/>
          </w:p>
        </w:tc>
        <w:tc>
          <w:tcPr>
            <w:tcW w:w="1581" w:type="dxa"/>
          </w:tcPr>
          <w:p w:rsidR="00692675" w:rsidRPr="00652556" w:rsidRDefault="005F38ED" w:rsidP="00CA2574">
            <w:pPr>
              <w:tabs>
                <w:tab w:val="left" w:pos="1080"/>
              </w:tabs>
            </w:pPr>
            <w:r>
              <w:rPr>
                <w:sz w:val="18"/>
                <w:szCs w:val="18"/>
              </w:rPr>
              <w:t xml:space="preserve">PEA on </w:t>
            </w:r>
            <w:proofErr w:type="spellStart"/>
            <w:r>
              <w:rPr>
                <w:sz w:val="18"/>
                <w:szCs w:val="18"/>
              </w:rPr>
              <w:t>decentralisation</w:t>
            </w:r>
            <w:proofErr w:type="spellEnd"/>
            <w:r>
              <w:rPr>
                <w:sz w:val="18"/>
                <w:szCs w:val="18"/>
              </w:rPr>
              <w:t xml:space="preserve"> reform conducted; longer </w:t>
            </w:r>
            <w:r>
              <w:rPr>
                <w:sz w:val="18"/>
                <w:szCs w:val="18"/>
              </w:rPr>
              <w:lastRenderedPageBreak/>
              <w:t>term PEA will be continued</w:t>
            </w:r>
            <w:r>
              <w:rPr>
                <w:sz w:val="18"/>
                <w:szCs w:val="18"/>
              </w:rPr>
              <w:t>.</w:t>
            </w:r>
          </w:p>
        </w:tc>
        <w:tc>
          <w:tcPr>
            <w:tcW w:w="1700" w:type="dxa"/>
          </w:tcPr>
          <w:p w:rsidR="00692675" w:rsidRPr="00652556" w:rsidRDefault="005F38ED" w:rsidP="00CA2574">
            <w:pPr>
              <w:tabs>
                <w:tab w:val="left" w:pos="1080"/>
              </w:tabs>
              <w:spacing w:after="0"/>
            </w:pPr>
            <w:r>
              <w:rPr>
                <w:sz w:val="18"/>
                <w:szCs w:val="18"/>
              </w:rPr>
              <w:lastRenderedPageBreak/>
              <w:t>Initiated and on-going.</w:t>
            </w:r>
          </w:p>
        </w:tc>
      </w:tr>
      <w:tr w:rsidR="00692675" w:rsidRPr="00652556" w:rsidTr="00CA2574">
        <w:trPr>
          <w:trHeight w:val="435"/>
        </w:trPr>
        <w:tc>
          <w:tcPr>
            <w:tcW w:w="9242" w:type="dxa"/>
            <w:gridSpan w:val="5"/>
            <w:shd w:val="clear" w:color="auto" w:fill="F3F3F3"/>
          </w:tcPr>
          <w:p w:rsidR="00692675" w:rsidRPr="00652556" w:rsidRDefault="00692675" w:rsidP="00CA2574">
            <w:pPr>
              <w:spacing w:after="60"/>
              <w:jc w:val="both"/>
            </w:pPr>
            <w:r w:rsidRPr="00652556">
              <w:rPr>
                <w:b/>
              </w:rPr>
              <w:t>Recommendation 4</w:t>
            </w:r>
            <w:r w:rsidRPr="00652556">
              <w:t>: Ensure program support for the national dialogue secures leverage to affect policy and cultivates political buy-in with MOPPA and other government stakeholders.</w:t>
            </w:r>
          </w:p>
        </w:tc>
      </w:tr>
      <w:tr w:rsidR="00692675" w:rsidRPr="008E53E4" w:rsidTr="00D704D1">
        <w:trPr>
          <w:trHeight w:val="435"/>
        </w:trPr>
        <w:tc>
          <w:tcPr>
            <w:tcW w:w="9242" w:type="dxa"/>
            <w:gridSpan w:val="5"/>
            <w:shd w:val="clear" w:color="auto" w:fill="auto"/>
          </w:tcPr>
          <w:p w:rsidR="00692675" w:rsidRPr="008E53E4" w:rsidRDefault="00692675" w:rsidP="00CA2574">
            <w:pPr>
              <w:tabs>
                <w:tab w:val="left" w:pos="1080"/>
              </w:tabs>
              <w:jc w:val="both"/>
            </w:pPr>
            <w:r w:rsidRPr="008E53E4">
              <w:rPr>
                <w:b/>
              </w:rPr>
              <w:t xml:space="preserve">Management response:   </w:t>
            </w:r>
            <w:r w:rsidRPr="00692675">
              <w:rPr>
                <w:bCs/>
              </w:rPr>
              <w:t xml:space="preserve">UNDP </w:t>
            </w:r>
            <w:r w:rsidR="005F38ED">
              <w:rPr>
                <w:bCs/>
              </w:rPr>
              <w:t xml:space="preserve">agrees to work on this recommendation. The </w:t>
            </w:r>
            <w:r w:rsidRPr="00692675">
              <w:rPr>
                <w:bCs/>
              </w:rPr>
              <w:t xml:space="preserve">DLDSP </w:t>
            </w:r>
            <w:r w:rsidR="005F38ED">
              <w:rPr>
                <w:bCs/>
              </w:rPr>
              <w:t>is</w:t>
            </w:r>
            <w:r w:rsidRPr="00692675">
              <w:rPr>
                <w:bCs/>
              </w:rPr>
              <w:t xml:space="preserve"> closely working with governmental stakeholders in identifying the lead actor of the National Dialogue on Decentralization. As noted in the Management Response to Recommendation 3 above, UNDP has an active role in supporting ESC in drafting policy paper on the National Dialogue and thus leveraging the future direction of the </w:t>
            </w:r>
            <w:proofErr w:type="spellStart"/>
            <w:r w:rsidRPr="00692675">
              <w:rPr>
                <w:bCs/>
              </w:rPr>
              <w:t>decentralisation</w:t>
            </w:r>
            <w:proofErr w:type="spellEnd"/>
            <w:r w:rsidRPr="00692675">
              <w:rPr>
                <w:bCs/>
              </w:rPr>
              <w:t xml:space="preserve"> process from both a political and technical perspective.</w:t>
            </w:r>
          </w:p>
        </w:tc>
      </w:tr>
      <w:tr w:rsidR="005F38ED" w:rsidRPr="00652556" w:rsidTr="005F38ED">
        <w:tc>
          <w:tcPr>
            <w:tcW w:w="2453" w:type="dxa"/>
          </w:tcPr>
          <w:p w:rsidR="00692675" w:rsidRPr="00652556" w:rsidRDefault="00692675" w:rsidP="00CA2574">
            <w:pPr>
              <w:tabs>
                <w:tab w:val="left" w:pos="1080"/>
              </w:tabs>
              <w:spacing w:after="0"/>
              <w:rPr>
                <w:sz w:val="18"/>
                <w:szCs w:val="18"/>
              </w:rPr>
            </w:pPr>
            <w:r>
              <w:rPr>
                <w:sz w:val="18"/>
                <w:szCs w:val="18"/>
              </w:rPr>
              <w:t xml:space="preserve">4.1 </w:t>
            </w:r>
            <w:r w:rsidR="00D704D1">
              <w:rPr>
                <w:sz w:val="18"/>
                <w:szCs w:val="18"/>
              </w:rPr>
              <w:t>Engagement in the national dialogue process demonstrated.</w:t>
            </w:r>
            <w:r w:rsidRPr="00652556">
              <w:rPr>
                <w:sz w:val="18"/>
                <w:szCs w:val="18"/>
              </w:rPr>
              <w:t xml:space="preserve"> </w:t>
            </w:r>
          </w:p>
        </w:tc>
        <w:tc>
          <w:tcPr>
            <w:tcW w:w="1689" w:type="dxa"/>
          </w:tcPr>
          <w:p w:rsidR="00692675" w:rsidRPr="00652556" w:rsidRDefault="00D704D1" w:rsidP="00CA2574">
            <w:pPr>
              <w:tabs>
                <w:tab w:val="left" w:pos="1080"/>
              </w:tabs>
            </w:pPr>
            <w:r>
              <w:rPr>
                <w:sz w:val="18"/>
                <w:szCs w:val="18"/>
              </w:rPr>
              <w:t>December 2018 onwards</w:t>
            </w:r>
            <w:r>
              <w:rPr>
                <w:sz w:val="18"/>
                <w:szCs w:val="18"/>
              </w:rPr>
              <w:t>.</w:t>
            </w:r>
          </w:p>
        </w:tc>
        <w:tc>
          <w:tcPr>
            <w:tcW w:w="1819" w:type="dxa"/>
          </w:tcPr>
          <w:p w:rsidR="00692675" w:rsidRPr="00652556" w:rsidRDefault="00692675" w:rsidP="00CA2574">
            <w:pPr>
              <w:tabs>
                <w:tab w:val="left" w:pos="1080"/>
              </w:tabs>
              <w:spacing w:after="0"/>
              <w:rPr>
                <w:sz w:val="18"/>
                <w:szCs w:val="18"/>
              </w:rPr>
            </w:pPr>
            <w:r w:rsidRPr="00652556">
              <w:rPr>
                <w:sz w:val="18"/>
                <w:szCs w:val="18"/>
              </w:rPr>
              <w:t>Majida AL Assaf</w:t>
            </w:r>
          </w:p>
          <w:p w:rsidR="00692675" w:rsidRPr="00652556" w:rsidRDefault="00692675" w:rsidP="00CA2574">
            <w:pPr>
              <w:tabs>
                <w:tab w:val="left" w:pos="1080"/>
              </w:tabs>
              <w:spacing w:after="0"/>
              <w:rPr>
                <w:sz w:val="18"/>
                <w:szCs w:val="18"/>
              </w:rPr>
            </w:pPr>
            <w:r w:rsidRPr="00652556">
              <w:rPr>
                <w:sz w:val="18"/>
                <w:szCs w:val="18"/>
              </w:rPr>
              <w:t xml:space="preserve">Richard Chambers </w:t>
            </w:r>
          </w:p>
          <w:p w:rsidR="00692675" w:rsidRPr="00652556" w:rsidRDefault="00692675" w:rsidP="00CA2574">
            <w:pPr>
              <w:tabs>
                <w:tab w:val="left" w:pos="1080"/>
              </w:tabs>
              <w:spacing w:after="0"/>
              <w:rPr>
                <w:sz w:val="18"/>
                <w:szCs w:val="18"/>
              </w:rPr>
            </w:pPr>
            <w:r w:rsidRPr="00652556">
              <w:rPr>
                <w:sz w:val="18"/>
                <w:szCs w:val="18"/>
              </w:rPr>
              <w:t>Leonardo G. Romeo</w:t>
            </w:r>
          </w:p>
          <w:p w:rsidR="00692675" w:rsidRPr="00652556" w:rsidRDefault="00692675" w:rsidP="00CA2574">
            <w:pPr>
              <w:tabs>
                <w:tab w:val="left" w:pos="1080"/>
              </w:tabs>
              <w:spacing w:after="0"/>
              <w:rPr>
                <w:sz w:val="18"/>
                <w:szCs w:val="18"/>
              </w:rPr>
            </w:pPr>
            <w:r w:rsidRPr="00652556">
              <w:rPr>
                <w:sz w:val="18"/>
                <w:szCs w:val="18"/>
              </w:rPr>
              <w:t xml:space="preserve">Mohamed El </w:t>
            </w:r>
            <w:proofErr w:type="spellStart"/>
            <w:r w:rsidRPr="00652556">
              <w:rPr>
                <w:sz w:val="18"/>
                <w:szCs w:val="18"/>
              </w:rPr>
              <w:t>Mensi</w:t>
            </w:r>
            <w:proofErr w:type="spellEnd"/>
          </w:p>
          <w:p w:rsidR="00692675" w:rsidRPr="00652556" w:rsidRDefault="00692675" w:rsidP="00CA2574">
            <w:pPr>
              <w:tabs>
                <w:tab w:val="left" w:pos="1080"/>
              </w:tabs>
            </w:pPr>
            <w:r w:rsidRPr="00652556">
              <w:rPr>
                <w:sz w:val="18"/>
                <w:szCs w:val="18"/>
              </w:rPr>
              <w:t xml:space="preserve">DLDSP Experts on </w:t>
            </w:r>
            <w:proofErr w:type="spellStart"/>
            <w:r w:rsidRPr="00652556">
              <w:rPr>
                <w:sz w:val="18"/>
                <w:szCs w:val="18"/>
              </w:rPr>
              <w:t>Decentralisation</w:t>
            </w:r>
            <w:proofErr w:type="spellEnd"/>
          </w:p>
        </w:tc>
        <w:tc>
          <w:tcPr>
            <w:tcW w:w="1581" w:type="dxa"/>
          </w:tcPr>
          <w:p w:rsidR="00692675" w:rsidRPr="00652556" w:rsidRDefault="00D704D1" w:rsidP="00CA2574">
            <w:pPr>
              <w:tabs>
                <w:tab w:val="left" w:pos="1080"/>
              </w:tabs>
            </w:pPr>
            <w:r>
              <w:rPr>
                <w:sz w:val="18"/>
                <w:szCs w:val="18"/>
              </w:rPr>
              <w:t xml:space="preserve">The dialogue process was launched in December 2018 and continues at time of writing. </w:t>
            </w:r>
          </w:p>
        </w:tc>
        <w:tc>
          <w:tcPr>
            <w:tcW w:w="1700" w:type="dxa"/>
          </w:tcPr>
          <w:p w:rsidR="00692675" w:rsidRPr="00652556" w:rsidRDefault="00D704D1" w:rsidP="00CA2574">
            <w:pPr>
              <w:tabs>
                <w:tab w:val="left" w:pos="1080"/>
              </w:tabs>
              <w:spacing w:after="0"/>
            </w:pPr>
            <w:r>
              <w:rPr>
                <w:sz w:val="18"/>
                <w:szCs w:val="18"/>
              </w:rPr>
              <w:t>Initiated and on-going.</w:t>
            </w:r>
          </w:p>
        </w:tc>
      </w:tr>
      <w:tr w:rsidR="00692675" w:rsidRPr="008E53E4" w:rsidTr="00CA2574">
        <w:trPr>
          <w:trHeight w:val="611"/>
        </w:trPr>
        <w:tc>
          <w:tcPr>
            <w:tcW w:w="9242" w:type="dxa"/>
            <w:gridSpan w:val="5"/>
            <w:shd w:val="clear" w:color="auto" w:fill="F3F3F3"/>
          </w:tcPr>
          <w:p w:rsidR="00692675" w:rsidRDefault="00692675" w:rsidP="00CA2574">
            <w:r w:rsidRPr="008E53E4">
              <w:rPr>
                <w:b/>
              </w:rPr>
              <w:t>Recommendation 5:</w:t>
            </w:r>
            <w:r w:rsidRPr="008E53E4">
              <w:t xml:space="preserve"> </w:t>
            </w:r>
          </w:p>
          <w:p w:rsidR="00692675" w:rsidRPr="008E53E4" w:rsidRDefault="00692675" w:rsidP="00CA2574">
            <w:r w:rsidRPr="004A40EB">
              <w:t>Ensure technical assistance provided by UNDP is clearly “visible” as a program differentiator.</w:t>
            </w:r>
          </w:p>
        </w:tc>
      </w:tr>
      <w:tr w:rsidR="00692675" w:rsidRPr="00692675" w:rsidTr="00D704D1">
        <w:trPr>
          <w:trHeight w:val="611"/>
        </w:trPr>
        <w:tc>
          <w:tcPr>
            <w:tcW w:w="9242" w:type="dxa"/>
            <w:gridSpan w:val="5"/>
            <w:shd w:val="clear" w:color="auto" w:fill="auto"/>
          </w:tcPr>
          <w:p w:rsidR="00692675" w:rsidRPr="00692675" w:rsidRDefault="00692675" w:rsidP="00CA2574">
            <w:pPr>
              <w:tabs>
                <w:tab w:val="left" w:pos="1080"/>
              </w:tabs>
              <w:rPr>
                <w:bCs/>
              </w:rPr>
            </w:pPr>
            <w:r w:rsidRPr="008E53E4">
              <w:rPr>
                <w:b/>
              </w:rPr>
              <w:t xml:space="preserve">Management response:  </w:t>
            </w:r>
            <w:r w:rsidRPr="00692675">
              <w:rPr>
                <w:bCs/>
              </w:rPr>
              <w:t xml:space="preserve">UNDP has taken several actions aimed at ensuring </w:t>
            </w:r>
            <w:r w:rsidR="005F38ED">
              <w:rPr>
                <w:bCs/>
              </w:rPr>
              <w:t xml:space="preserve">that the </w:t>
            </w:r>
            <w:proofErr w:type="gramStart"/>
            <w:r w:rsidR="005F38ED">
              <w:rPr>
                <w:bCs/>
              </w:rPr>
              <w:t xml:space="preserve">DLDSP </w:t>
            </w:r>
            <w:r w:rsidRPr="00692675">
              <w:rPr>
                <w:bCs/>
              </w:rPr>
              <w:t xml:space="preserve"> achievements</w:t>
            </w:r>
            <w:proofErr w:type="gramEnd"/>
            <w:r w:rsidRPr="00692675">
              <w:rPr>
                <w:bCs/>
              </w:rPr>
              <w:t xml:space="preserve"> </w:t>
            </w:r>
            <w:r w:rsidR="005F38ED">
              <w:rPr>
                <w:bCs/>
              </w:rPr>
              <w:t xml:space="preserve">and its donor’s contributions </w:t>
            </w:r>
            <w:r w:rsidRPr="00692675">
              <w:rPr>
                <w:bCs/>
              </w:rPr>
              <w:t xml:space="preserve">are </w:t>
            </w:r>
            <w:r>
              <w:rPr>
                <w:bCs/>
              </w:rPr>
              <w:t>adequately disseminated</w:t>
            </w:r>
            <w:r w:rsidRPr="00692675">
              <w:rPr>
                <w:bCs/>
              </w:rPr>
              <w:t xml:space="preserve">. DLDSP’s Communication &amp; Visibility Plan was drafted in June 2018 to reinforce the </w:t>
            </w:r>
            <w:proofErr w:type="spellStart"/>
            <w:r w:rsidRPr="00692675">
              <w:rPr>
                <w:bCs/>
              </w:rPr>
              <w:t>Programme’s</w:t>
            </w:r>
            <w:proofErr w:type="spellEnd"/>
            <w:r w:rsidRPr="00692675">
              <w:rPr>
                <w:bCs/>
              </w:rPr>
              <w:t xml:space="preserve"> mission and strategic vision throughout and beyond the project life. The Plan seeks to</w:t>
            </w:r>
            <w:r>
              <w:rPr>
                <w:bCs/>
              </w:rPr>
              <w:t xml:space="preserve"> </w:t>
            </w:r>
            <w:r w:rsidRPr="00692675">
              <w:rPr>
                <w:bCs/>
              </w:rPr>
              <w:t xml:space="preserve">a) showcase the DLDSP as a successful mechanism for the </w:t>
            </w:r>
            <w:proofErr w:type="spellStart"/>
            <w:r w:rsidRPr="00692675">
              <w:rPr>
                <w:bCs/>
              </w:rPr>
              <w:t>GoJ</w:t>
            </w:r>
            <w:proofErr w:type="spellEnd"/>
            <w:r w:rsidRPr="00692675">
              <w:rPr>
                <w:bCs/>
              </w:rPr>
              <w:t xml:space="preserve"> in the implementation of </w:t>
            </w:r>
            <w:r w:rsidR="00D704D1">
              <w:rPr>
                <w:bCs/>
              </w:rPr>
              <w:t>its</w:t>
            </w:r>
            <w:r w:rsidRPr="00692675">
              <w:rPr>
                <w:bCs/>
              </w:rPr>
              <w:t xml:space="preserve"> Decentralization</w:t>
            </w:r>
            <w:r w:rsidR="00D704D1">
              <w:rPr>
                <w:bCs/>
              </w:rPr>
              <w:t xml:space="preserve"> policy and related national priorities</w:t>
            </w:r>
            <w:r w:rsidRPr="00692675">
              <w:rPr>
                <w:bCs/>
              </w:rPr>
              <w:t>; b) achieve a better understanding among the different stakeholders of the decentralization process and its implementation framework; c) Support full understanding of the role of citizens and civil society in the decentralization process among the governorate-based structures and municipalities</w:t>
            </w:r>
            <w:r w:rsidR="00D704D1">
              <w:rPr>
                <w:bCs/>
              </w:rPr>
              <w:t xml:space="preserve">; d) provide acknowledgement and recognition of donor support and agency </w:t>
            </w:r>
            <w:proofErr w:type="spellStart"/>
            <w:r w:rsidR="00D704D1">
              <w:rPr>
                <w:bCs/>
              </w:rPr>
              <w:t>engagement</w:t>
            </w:r>
            <w:proofErr w:type="spellEnd"/>
            <w:r w:rsidRPr="00692675">
              <w:rPr>
                <w:bCs/>
              </w:rPr>
              <w:t xml:space="preserve">. The Communication and Visibility Plan takes into account EU’s Communication and Visibility Requirements for implementing partners. </w:t>
            </w:r>
          </w:p>
          <w:p w:rsidR="00692675" w:rsidRPr="00692675" w:rsidRDefault="00D704D1" w:rsidP="00CA2574">
            <w:pPr>
              <w:tabs>
                <w:tab w:val="left" w:pos="1080"/>
              </w:tabs>
              <w:rPr>
                <w:b/>
              </w:rPr>
            </w:pPr>
            <w:r>
              <w:rPr>
                <w:bCs/>
              </w:rPr>
              <w:t xml:space="preserve">A </w:t>
            </w:r>
            <w:r w:rsidR="00692675" w:rsidRPr="00692675">
              <w:rPr>
                <w:bCs/>
              </w:rPr>
              <w:t>Communication</w:t>
            </w:r>
            <w:r>
              <w:rPr>
                <w:bCs/>
              </w:rPr>
              <w:t xml:space="preserve"> consultant and a</w:t>
            </w:r>
            <w:r w:rsidR="00692675" w:rsidRPr="00692675">
              <w:rPr>
                <w:bCs/>
              </w:rPr>
              <w:t xml:space="preserve"> Research and Reporting </w:t>
            </w:r>
            <w:r>
              <w:rPr>
                <w:bCs/>
              </w:rPr>
              <w:t>Specialist</w:t>
            </w:r>
            <w:r w:rsidR="00692675" w:rsidRPr="00692675">
              <w:rPr>
                <w:bCs/>
              </w:rPr>
              <w:t xml:space="preserve"> have been contracted to strengthen </w:t>
            </w:r>
            <w:proofErr w:type="spellStart"/>
            <w:r w:rsidR="00692675" w:rsidRPr="00692675">
              <w:rPr>
                <w:bCs/>
              </w:rPr>
              <w:t>Pr</w:t>
            </w:r>
            <w:r w:rsidR="00692675">
              <w:rPr>
                <w:bCs/>
              </w:rPr>
              <w:t>o</w:t>
            </w:r>
            <w:r w:rsidR="00692675" w:rsidRPr="00692675">
              <w:rPr>
                <w:bCs/>
              </w:rPr>
              <w:t>gramme’s</w:t>
            </w:r>
            <w:proofErr w:type="spellEnd"/>
            <w:r w:rsidR="00692675" w:rsidRPr="00692675">
              <w:rPr>
                <w:bCs/>
              </w:rPr>
              <w:t xml:space="preserve"> outreach and visibility, in particular by drafting and circulat</w:t>
            </w:r>
            <w:r w:rsidR="00692675">
              <w:rPr>
                <w:bCs/>
              </w:rPr>
              <w:t>ing</w:t>
            </w:r>
            <w:r w:rsidR="00692675" w:rsidRPr="00692675">
              <w:rPr>
                <w:bCs/>
              </w:rPr>
              <w:t xml:space="preserve"> monthly reports to the stakeholders, organizing visibility events and increasing DLDSP’s presence in the social and traditional media.</w:t>
            </w:r>
            <w:r w:rsidR="00692675">
              <w:rPr>
                <w:b/>
              </w:rPr>
              <w:t xml:space="preserve"> </w:t>
            </w:r>
          </w:p>
        </w:tc>
      </w:tr>
      <w:tr w:rsidR="005F38ED" w:rsidRPr="00652556" w:rsidTr="005F38ED">
        <w:tc>
          <w:tcPr>
            <w:tcW w:w="2453" w:type="dxa"/>
          </w:tcPr>
          <w:p w:rsidR="00692675" w:rsidRPr="00962FC5" w:rsidRDefault="00692675" w:rsidP="00CA2574">
            <w:pPr>
              <w:tabs>
                <w:tab w:val="left" w:pos="1080"/>
              </w:tabs>
              <w:rPr>
                <w:sz w:val="18"/>
                <w:szCs w:val="18"/>
              </w:rPr>
            </w:pPr>
            <w:r>
              <w:rPr>
                <w:sz w:val="18"/>
                <w:szCs w:val="18"/>
              </w:rPr>
              <w:t>5.1</w:t>
            </w:r>
            <w:r w:rsidRPr="00821A55">
              <w:rPr>
                <w:sz w:val="18"/>
                <w:szCs w:val="18"/>
              </w:rPr>
              <w:t xml:space="preserve"> Circulate monthly reports to the stakeholder</w:t>
            </w:r>
            <w:r>
              <w:rPr>
                <w:sz w:val="18"/>
                <w:szCs w:val="18"/>
              </w:rPr>
              <w:t>s, o</w:t>
            </w:r>
            <w:r w:rsidRPr="00962FC5">
              <w:rPr>
                <w:sz w:val="18"/>
                <w:szCs w:val="18"/>
              </w:rPr>
              <w:t xml:space="preserve">rganize visibility events (TOT graduation ceremony, signing of MoU between University of Jordan, the Hague Academy </w:t>
            </w:r>
            <w:r w:rsidRPr="00962FC5">
              <w:rPr>
                <w:sz w:val="18"/>
                <w:szCs w:val="18"/>
              </w:rPr>
              <w:lastRenderedPageBreak/>
              <w:t xml:space="preserve">and </w:t>
            </w:r>
            <w:proofErr w:type="spellStart"/>
            <w:r w:rsidRPr="00962FC5">
              <w:rPr>
                <w:sz w:val="18"/>
                <w:szCs w:val="18"/>
              </w:rPr>
              <w:t>MoI</w:t>
            </w:r>
            <w:proofErr w:type="spellEnd"/>
            <w:r>
              <w:rPr>
                <w:sz w:val="18"/>
                <w:szCs w:val="18"/>
              </w:rPr>
              <w:t xml:space="preserve">, launch of the </w:t>
            </w:r>
            <w:proofErr w:type="spellStart"/>
            <w:r>
              <w:rPr>
                <w:sz w:val="18"/>
                <w:szCs w:val="18"/>
              </w:rPr>
              <w:t>Tanmiah</w:t>
            </w:r>
            <w:proofErr w:type="spellEnd"/>
            <w:r>
              <w:rPr>
                <w:sz w:val="18"/>
                <w:szCs w:val="18"/>
              </w:rPr>
              <w:t xml:space="preserve"> tool</w:t>
            </w:r>
            <w:r w:rsidRPr="00962FC5">
              <w:rPr>
                <w:sz w:val="18"/>
                <w:szCs w:val="18"/>
              </w:rPr>
              <w:t>)</w:t>
            </w:r>
          </w:p>
        </w:tc>
        <w:tc>
          <w:tcPr>
            <w:tcW w:w="1689" w:type="dxa"/>
          </w:tcPr>
          <w:p w:rsidR="00692675" w:rsidRPr="00962FC5" w:rsidRDefault="00D704D1" w:rsidP="00CA2574">
            <w:pPr>
              <w:tabs>
                <w:tab w:val="left" w:pos="1080"/>
              </w:tabs>
              <w:rPr>
                <w:sz w:val="18"/>
                <w:szCs w:val="18"/>
              </w:rPr>
            </w:pPr>
            <w:r>
              <w:rPr>
                <w:sz w:val="18"/>
                <w:szCs w:val="18"/>
              </w:rPr>
              <w:lastRenderedPageBreak/>
              <w:t xml:space="preserve">February </w:t>
            </w:r>
            <w:r w:rsidR="00692675">
              <w:rPr>
                <w:sz w:val="18"/>
                <w:szCs w:val="18"/>
              </w:rPr>
              <w:t>2019</w:t>
            </w:r>
          </w:p>
        </w:tc>
        <w:tc>
          <w:tcPr>
            <w:tcW w:w="1819" w:type="dxa"/>
          </w:tcPr>
          <w:p w:rsidR="00692675" w:rsidRDefault="00692675" w:rsidP="00CA2574">
            <w:pPr>
              <w:tabs>
                <w:tab w:val="left" w:pos="1080"/>
              </w:tabs>
              <w:rPr>
                <w:sz w:val="18"/>
                <w:szCs w:val="18"/>
              </w:rPr>
            </w:pPr>
            <w:r w:rsidRPr="0047133F">
              <w:rPr>
                <w:sz w:val="18"/>
                <w:szCs w:val="18"/>
              </w:rPr>
              <w:t xml:space="preserve">Research and Reporting </w:t>
            </w:r>
            <w:r w:rsidR="00D704D1">
              <w:rPr>
                <w:sz w:val="18"/>
                <w:szCs w:val="18"/>
              </w:rPr>
              <w:t>Specialist recruited.</w:t>
            </w:r>
          </w:p>
          <w:p w:rsidR="00692675" w:rsidRPr="00962FC5" w:rsidRDefault="00692675" w:rsidP="00CA2574">
            <w:pPr>
              <w:tabs>
                <w:tab w:val="left" w:pos="1080"/>
              </w:tabs>
              <w:rPr>
                <w:sz w:val="18"/>
                <w:szCs w:val="18"/>
              </w:rPr>
            </w:pPr>
            <w:r>
              <w:rPr>
                <w:sz w:val="18"/>
                <w:szCs w:val="18"/>
              </w:rPr>
              <w:t xml:space="preserve">Communication </w:t>
            </w:r>
            <w:r w:rsidR="00D704D1">
              <w:rPr>
                <w:sz w:val="18"/>
                <w:szCs w:val="18"/>
              </w:rPr>
              <w:t>consultant</w:t>
            </w:r>
            <w:r>
              <w:rPr>
                <w:sz w:val="18"/>
                <w:szCs w:val="18"/>
              </w:rPr>
              <w:t xml:space="preserve"> </w:t>
            </w:r>
            <w:r w:rsidR="00D704D1">
              <w:rPr>
                <w:sz w:val="18"/>
                <w:szCs w:val="18"/>
              </w:rPr>
              <w:t>recruited.</w:t>
            </w:r>
          </w:p>
        </w:tc>
        <w:tc>
          <w:tcPr>
            <w:tcW w:w="1581" w:type="dxa"/>
          </w:tcPr>
          <w:p w:rsidR="00692675" w:rsidRPr="008E53E4" w:rsidRDefault="00D704D1" w:rsidP="00CA2574">
            <w:pPr>
              <w:tabs>
                <w:tab w:val="left" w:pos="1080"/>
              </w:tabs>
            </w:pPr>
            <w:r>
              <w:rPr>
                <w:sz w:val="18"/>
                <w:szCs w:val="18"/>
              </w:rPr>
              <w:t>Key visibility activities initiated in March 2019 onwards.</w:t>
            </w:r>
          </w:p>
        </w:tc>
        <w:tc>
          <w:tcPr>
            <w:tcW w:w="1700" w:type="dxa"/>
          </w:tcPr>
          <w:p w:rsidR="00692675" w:rsidRPr="00652556" w:rsidRDefault="00D704D1" w:rsidP="00CA2574">
            <w:pPr>
              <w:tabs>
                <w:tab w:val="left" w:pos="1080"/>
              </w:tabs>
              <w:rPr>
                <w:sz w:val="18"/>
                <w:szCs w:val="18"/>
              </w:rPr>
            </w:pPr>
            <w:r>
              <w:rPr>
                <w:sz w:val="18"/>
                <w:szCs w:val="18"/>
              </w:rPr>
              <w:t>Initiated and on-going.</w:t>
            </w:r>
          </w:p>
        </w:tc>
      </w:tr>
      <w:tr w:rsidR="00692675" w:rsidRPr="008E53E4" w:rsidTr="00CA2574">
        <w:trPr>
          <w:trHeight w:val="480"/>
        </w:trPr>
        <w:tc>
          <w:tcPr>
            <w:tcW w:w="9242" w:type="dxa"/>
            <w:gridSpan w:val="5"/>
            <w:shd w:val="clear" w:color="auto" w:fill="F3F3F3"/>
          </w:tcPr>
          <w:p w:rsidR="00692675" w:rsidRPr="008E53E4" w:rsidRDefault="00692675" w:rsidP="00CA2574">
            <w:pPr>
              <w:jc w:val="both"/>
            </w:pPr>
            <w:r w:rsidRPr="008E53E4">
              <w:rPr>
                <w:b/>
              </w:rPr>
              <w:t>Recommendation 6:</w:t>
            </w:r>
            <w:r w:rsidRPr="008E53E4">
              <w:t xml:space="preserve"> </w:t>
            </w:r>
            <w:r w:rsidRPr="004A40EB">
              <w:t>Continue to seek direct association with the Prime Ministry and ensure that all support is demand driven either by responding to government direct request for assistance or generating demand through awareness raising. In both cases, DLDSP should ensure a clear commitment from government to utilize, adopt and if applicable mainstream the generated products. Relatedly, consider developing dissemination and utilization plans for technical deliverables that GOJ would be asked to sign off on from the start.</w:t>
            </w:r>
          </w:p>
        </w:tc>
      </w:tr>
      <w:tr w:rsidR="00692675" w:rsidRPr="008E53E4" w:rsidTr="00D704D1">
        <w:trPr>
          <w:trHeight w:val="480"/>
        </w:trPr>
        <w:tc>
          <w:tcPr>
            <w:tcW w:w="9242" w:type="dxa"/>
            <w:gridSpan w:val="5"/>
            <w:shd w:val="clear" w:color="auto" w:fill="auto"/>
          </w:tcPr>
          <w:p w:rsidR="00692675" w:rsidRPr="00D704D1" w:rsidRDefault="00692675" w:rsidP="00D704D1">
            <w:pPr>
              <w:tabs>
                <w:tab w:val="left" w:pos="1080"/>
              </w:tabs>
              <w:jc w:val="both"/>
              <w:rPr>
                <w:b/>
              </w:rPr>
            </w:pPr>
            <w:r w:rsidRPr="008E53E4">
              <w:rPr>
                <w:b/>
              </w:rPr>
              <w:t xml:space="preserve">Management response:   </w:t>
            </w:r>
            <w:r w:rsidR="00D704D1">
              <w:rPr>
                <w:bCs/>
              </w:rPr>
              <w:t>UNDP</w:t>
            </w:r>
            <w:r w:rsidRPr="00692675">
              <w:rPr>
                <w:bCs/>
              </w:rPr>
              <w:t xml:space="preserve"> </w:t>
            </w:r>
            <w:r w:rsidR="00D704D1">
              <w:rPr>
                <w:bCs/>
              </w:rPr>
              <w:t xml:space="preserve">accepts this recommendation. As also </w:t>
            </w:r>
            <w:r w:rsidRPr="00692675">
              <w:rPr>
                <w:bCs/>
              </w:rPr>
              <w:t>noted in the Management Responses to</w:t>
            </w:r>
            <w:r w:rsidR="00D704D1">
              <w:rPr>
                <w:bCs/>
              </w:rPr>
              <w:t xml:space="preserve"> </w:t>
            </w:r>
            <w:r w:rsidRPr="00692675">
              <w:rPr>
                <w:bCs/>
              </w:rPr>
              <w:t>Recommendations 3 and 5, UNDP is maintaining close contact with the government and is actively cooperating in identifying government’s needs within the decentralization process.</w:t>
            </w:r>
            <w:r>
              <w:rPr>
                <w:b/>
              </w:rPr>
              <w:t xml:space="preserve"> </w:t>
            </w:r>
            <w:r w:rsidR="00D704D1">
              <w:t xml:space="preserve">The </w:t>
            </w:r>
            <w:r w:rsidRPr="00B651D1">
              <w:t xml:space="preserve">DLDSP experts on </w:t>
            </w:r>
            <w:proofErr w:type="spellStart"/>
            <w:r w:rsidRPr="00B651D1">
              <w:t>Decentralisation</w:t>
            </w:r>
            <w:proofErr w:type="spellEnd"/>
            <w:r>
              <w:t xml:space="preserve"> will expand the policy note “</w:t>
            </w:r>
            <w:r w:rsidRPr="00B349CE">
              <w:t xml:space="preserve">Supporting the National Dialogue on </w:t>
            </w:r>
            <w:proofErr w:type="spellStart"/>
            <w:r w:rsidRPr="00B349CE">
              <w:t>Decentralisation</w:t>
            </w:r>
            <w:proofErr w:type="spellEnd"/>
            <w:r>
              <w:t>”</w:t>
            </w:r>
            <w:r w:rsidRPr="00B349CE">
              <w:t xml:space="preserve"> </w:t>
            </w:r>
            <w:r>
              <w:t xml:space="preserve">that was drafted in January 2019 and will come to Jordan in April to help ESC finalize the approach to the National Dialogue on </w:t>
            </w:r>
            <w:proofErr w:type="spellStart"/>
            <w:r>
              <w:t>Decentralisation</w:t>
            </w:r>
            <w:proofErr w:type="spellEnd"/>
            <w:r>
              <w:t xml:space="preserve">. </w:t>
            </w:r>
          </w:p>
        </w:tc>
      </w:tr>
      <w:tr w:rsidR="00D704D1" w:rsidRPr="008E53E4" w:rsidTr="005F38ED">
        <w:tc>
          <w:tcPr>
            <w:tcW w:w="2453" w:type="dxa"/>
          </w:tcPr>
          <w:p w:rsidR="00D704D1" w:rsidRPr="003D101E" w:rsidRDefault="00D704D1" w:rsidP="00D704D1">
            <w:pPr>
              <w:tabs>
                <w:tab w:val="left" w:pos="1080"/>
              </w:tabs>
              <w:spacing w:after="0"/>
              <w:rPr>
                <w:sz w:val="18"/>
                <w:szCs w:val="18"/>
              </w:rPr>
            </w:pPr>
            <w:r w:rsidRPr="00652556">
              <w:rPr>
                <w:sz w:val="18"/>
                <w:szCs w:val="18"/>
              </w:rPr>
              <w:t xml:space="preserve">6.1 Organize the visit of DLDSP experts on </w:t>
            </w:r>
            <w:proofErr w:type="spellStart"/>
            <w:r w:rsidRPr="00652556">
              <w:rPr>
                <w:sz w:val="18"/>
                <w:szCs w:val="18"/>
              </w:rPr>
              <w:t>Decentralisation</w:t>
            </w:r>
            <w:proofErr w:type="spellEnd"/>
            <w:r w:rsidRPr="00652556">
              <w:rPr>
                <w:sz w:val="18"/>
                <w:szCs w:val="18"/>
              </w:rPr>
              <w:t xml:space="preserve"> to Jordan and facilitate meetings with governmental stakeholders with a view of identifying the need for DLDSP to draft document on decentralization reform’s policy options and clear role in supporting the </w:t>
            </w:r>
            <w:proofErr w:type="spellStart"/>
            <w:r w:rsidRPr="00652556">
              <w:rPr>
                <w:sz w:val="18"/>
                <w:szCs w:val="18"/>
              </w:rPr>
              <w:t>GoJ</w:t>
            </w:r>
            <w:proofErr w:type="spellEnd"/>
          </w:p>
        </w:tc>
        <w:tc>
          <w:tcPr>
            <w:tcW w:w="1689" w:type="dxa"/>
          </w:tcPr>
          <w:p w:rsidR="00D704D1" w:rsidRPr="000E7194" w:rsidRDefault="00D704D1" w:rsidP="00D704D1">
            <w:pPr>
              <w:tabs>
                <w:tab w:val="left" w:pos="1080"/>
              </w:tabs>
              <w:spacing w:after="0"/>
              <w:rPr>
                <w:sz w:val="18"/>
                <w:szCs w:val="18"/>
              </w:rPr>
            </w:pPr>
            <w:r>
              <w:rPr>
                <w:sz w:val="18"/>
                <w:szCs w:val="18"/>
              </w:rPr>
              <w:t xml:space="preserve">January and </w:t>
            </w:r>
            <w:r>
              <w:rPr>
                <w:sz w:val="18"/>
                <w:szCs w:val="18"/>
              </w:rPr>
              <w:t>April</w:t>
            </w:r>
            <w:r w:rsidRPr="000E7194">
              <w:rPr>
                <w:sz w:val="18"/>
                <w:szCs w:val="18"/>
              </w:rPr>
              <w:t xml:space="preserve"> 2019</w:t>
            </w:r>
          </w:p>
        </w:tc>
        <w:tc>
          <w:tcPr>
            <w:tcW w:w="1819" w:type="dxa"/>
          </w:tcPr>
          <w:p w:rsidR="00D704D1" w:rsidRPr="003D101E" w:rsidRDefault="00D704D1" w:rsidP="00D704D1">
            <w:pPr>
              <w:tabs>
                <w:tab w:val="left" w:pos="1080"/>
              </w:tabs>
              <w:spacing w:after="0"/>
              <w:rPr>
                <w:sz w:val="18"/>
                <w:szCs w:val="18"/>
              </w:rPr>
            </w:pPr>
            <w:r w:rsidRPr="003D101E">
              <w:rPr>
                <w:sz w:val="18"/>
                <w:szCs w:val="18"/>
              </w:rPr>
              <w:t>Leonardo G. Romeo</w:t>
            </w:r>
          </w:p>
          <w:p w:rsidR="00D704D1" w:rsidRDefault="00D704D1" w:rsidP="00D704D1">
            <w:pPr>
              <w:tabs>
                <w:tab w:val="left" w:pos="1080"/>
              </w:tabs>
              <w:spacing w:after="0"/>
              <w:rPr>
                <w:sz w:val="18"/>
                <w:szCs w:val="18"/>
              </w:rPr>
            </w:pPr>
            <w:r w:rsidRPr="003D101E">
              <w:rPr>
                <w:sz w:val="18"/>
                <w:szCs w:val="18"/>
              </w:rPr>
              <w:t xml:space="preserve">Mohamed El </w:t>
            </w:r>
            <w:proofErr w:type="spellStart"/>
            <w:r w:rsidRPr="003D101E">
              <w:rPr>
                <w:sz w:val="18"/>
                <w:szCs w:val="18"/>
              </w:rPr>
              <w:t>Mensi</w:t>
            </w:r>
            <w:proofErr w:type="spellEnd"/>
          </w:p>
          <w:p w:rsidR="00D704D1" w:rsidRPr="003D101E" w:rsidRDefault="00D704D1" w:rsidP="00D704D1">
            <w:pPr>
              <w:tabs>
                <w:tab w:val="left" w:pos="1080"/>
              </w:tabs>
              <w:spacing w:after="0"/>
              <w:rPr>
                <w:sz w:val="18"/>
                <w:szCs w:val="18"/>
              </w:rPr>
            </w:pPr>
            <w:r w:rsidRPr="003D101E">
              <w:rPr>
                <w:sz w:val="18"/>
                <w:szCs w:val="18"/>
              </w:rPr>
              <w:t xml:space="preserve">DLDSP Experts on </w:t>
            </w:r>
            <w:proofErr w:type="spellStart"/>
            <w:r w:rsidRPr="003D101E">
              <w:rPr>
                <w:sz w:val="18"/>
                <w:szCs w:val="18"/>
              </w:rPr>
              <w:t>Decentralisation</w:t>
            </w:r>
            <w:proofErr w:type="spellEnd"/>
          </w:p>
        </w:tc>
        <w:tc>
          <w:tcPr>
            <w:tcW w:w="1581" w:type="dxa"/>
          </w:tcPr>
          <w:p w:rsidR="00D704D1" w:rsidRPr="008E53E4" w:rsidRDefault="00D704D1" w:rsidP="00D704D1">
            <w:pPr>
              <w:tabs>
                <w:tab w:val="left" w:pos="1080"/>
              </w:tabs>
            </w:pPr>
          </w:p>
        </w:tc>
        <w:tc>
          <w:tcPr>
            <w:tcW w:w="1700" w:type="dxa"/>
          </w:tcPr>
          <w:p w:rsidR="00D704D1" w:rsidRPr="00652556" w:rsidRDefault="00D704D1" w:rsidP="00D704D1">
            <w:pPr>
              <w:tabs>
                <w:tab w:val="left" w:pos="1080"/>
              </w:tabs>
              <w:rPr>
                <w:sz w:val="18"/>
                <w:szCs w:val="18"/>
              </w:rPr>
            </w:pPr>
            <w:r>
              <w:rPr>
                <w:sz w:val="18"/>
                <w:szCs w:val="18"/>
              </w:rPr>
              <w:t>Initiated and on-going.</w:t>
            </w:r>
          </w:p>
        </w:tc>
      </w:tr>
      <w:tr w:rsidR="00D704D1" w:rsidRPr="00652556" w:rsidTr="00CA2574">
        <w:trPr>
          <w:trHeight w:val="525"/>
        </w:trPr>
        <w:tc>
          <w:tcPr>
            <w:tcW w:w="9242" w:type="dxa"/>
            <w:gridSpan w:val="5"/>
            <w:shd w:val="clear" w:color="auto" w:fill="F3F3F3"/>
          </w:tcPr>
          <w:p w:rsidR="00D704D1" w:rsidRPr="00652556" w:rsidRDefault="00D704D1" w:rsidP="00D704D1">
            <w:pPr>
              <w:jc w:val="both"/>
            </w:pPr>
            <w:r w:rsidRPr="00652556">
              <w:rPr>
                <w:b/>
              </w:rPr>
              <w:t>Recommendation 7:</w:t>
            </w:r>
            <w:r w:rsidRPr="00652556">
              <w:t xml:space="preserve"> In working on legislative reform, widen the focus of the program beyond MOI and reach out to MOPPA, the ministry with the current mandate to support legislative reform.</w:t>
            </w:r>
          </w:p>
        </w:tc>
      </w:tr>
      <w:tr w:rsidR="00D704D1" w:rsidRPr="008E53E4" w:rsidTr="00D704D1">
        <w:trPr>
          <w:trHeight w:val="525"/>
        </w:trPr>
        <w:tc>
          <w:tcPr>
            <w:tcW w:w="9242" w:type="dxa"/>
            <w:gridSpan w:val="5"/>
            <w:shd w:val="clear" w:color="auto" w:fill="auto"/>
          </w:tcPr>
          <w:p w:rsidR="00D704D1" w:rsidRPr="00D704D1" w:rsidRDefault="00D704D1" w:rsidP="00D704D1">
            <w:pPr>
              <w:tabs>
                <w:tab w:val="left" w:pos="1080"/>
              </w:tabs>
              <w:jc w:val="both"/>
              <w:rPr>
                <w:b/>
              </w:rPr>
            </w:pPr>
            <w:r w:rsidRPr="008E53E4">
              <w:rPr>
                <w:b/>
              </w:rPr>
              <w:t xml:space="preserve">Management response:   </w:t>
            </w:r>
            <w:r w:rsidRPr="00692675">
              <w:rPr>
                <w:bCs/>
              </w:rPr>
              <w:t>UNDP takes note of this recommendation and confirms action has been taken in establishing closer relations with MOPPA through regular meetings and through the DLDSP liaison officer based in MOPPA.</w:t>
            </w:r>
            <w:r>
              <w:rPr>
                <w:b/>
              </w:rPr>
              <w:t xml:space="preserve"> </w:t>
            </w:r>
            <w:r>
              <w:rPr>
                <w:b/>
              </w:rPr>
              <w:t xml:space="preserve"> </w:t>
            </w:r>
            <w:r>
              <w:rPr>
                <w:bCs/>
              </w:rPr>
              <w:t>A key component of the DLDSP is focused on providing support to legislative reform and, a</w:t>
            </w:r>
            <w:r w:rsidRPr="00B349CE">
              <w:t xml:space="preserve">s noted above in relation to Recommendation </w:t>
            </w:r>
            <w:r>
              <w:t xml:space="preserve">3, </w:t>
            </w:r>
            <w:r>
              <w:t>DLDS</w:t>
            </w:r>
            <w:r>
              <w:t xml:space="preserve">P is </w:t>
            </w:r>
            <w:r w:rsidRPr="00012496">
              <w:t>supporting the National Dialogue on Decentralization</w:t>
            </w:r>
            <w:r>
              <w:t>, and based on the outcome, will be in position to better adjust to institutional rearrangements</w:t>
            </w:r>
            <w:r>
              <w:t xml:space="preserve"> on legislative reform and the roles of different entities.</w:t>
            </w:r>
          </w:p>
        </w:tc>
      </w:tr>
      <w:tr w:rsidR="00D704D1" w:rsidRPr="00652556" w:rsidTr="005F38ED">
        <w:tc>
          <w:tcPr>
            <w:tcW w:w="2453" w:type="dxa"/>
          </w:tcPr>
          <w:p w:rsidR="00D704D1" w:rsidRPr="00652556" w:rsidRDefault="00D704D1" w:rsidP="00D704D1">
            <w:pPr>
              <w:tabs>
                <w:tab w:val="left" w:pos="1080"/>
              </w:tabs>
              <w:spacing w:after="0"/>
              <w:rPr>
                <w:sz w:val="18"/>
                <w:szCs w:val="18"/>
              </w:rPr>
            </w:pPr>
            <w:r w:rsidRPr="00652556">
              <w:rPr>
                <w:sz w:val="18"/>
                <w:szCs w:val="18"/>
              </w:rPr>
              <w:t>Depending on the selection of the policy options and which track to take, the DLDS</w:t>
            </w:r>
            <w:r>
              <w:rPr>
                <w:sz w:val="18"/>
                <w:szCs w:val="18"/>
              </w:rPr>
              <w:t xml:space="preserve">P </w:t>
            </w:r>
            <w:r w:rsidRPr="00652556">
              <w:rPr>
                <w:sz w:val="18"/>
                <w:szCs w:val="18"/>
              </w:rPr>
              <w:t xml:space="preserve">will expand </w:t>
            </w:r>
            <w:r>
              <w:rPr>
                <w:sz w:val="18"/>
                <w:szCs w:val="18"/>
              </w:rPr>
              <w:t xml:space="preserve">engagement on </w:t>
            </w:r>
            <w:r w:rsidRPr="00652556">
              <w:rPr>
                <w:sz w:val="18"/>
                <w:szCs w:val="18"/>
              </w:rPr>
              <w:t xml:space="preserve">the legislative reforms </w:t>
            </w:r>
          </w:p>
        </w:tc>
        <w:tc>
          <w:tcPr>
            <w:tcW w:w="1689" w:type="dxa"/>
          </w:tcPr>
          <w:p w:rsidR="00D704D1" w:rsidRPr="00652556" w:rsidRDefault="00D704D1" w:rsidP="00D704D1">
            <w:pPr>
              <w:tabs>
                <w:tab w:val="left" w:pos="1080"/>
              </w:tabs>
            </w:pPr>
            <w:r>
              <w:rPr>
                <w:sz w:val="18"/>
                <w:szCs w:val="18"/>
              </w:rPr>
              <w:t>January and April</w:t>
            </w:r>
            <w:r w:rsidRPr="000E7194">
              <w:rPr>
                <w:sz w:val="18"/>
                <w:szCs w:val="18"/>
              </w:rPr>
              <w:t xml:space="preserve"> 2019</w:t>
            </w:r>
          </w:p>
        </w:tc>
        <w:tc>
          <w:tcPr>
            <w:tcW w:w="1819" w:type="dxa"/>
          </w:tcPr>
          <w:p w:rsidR="00D704D1" w:rsidRPr="00652556" w:rsidRDefault="00D704D1" w:rsidP="00D704D1">
            <w:pPr>
              <w:tabs>
                <w:tab w:val="left" w:pos="1080"/>
              </w:tabs>
              <w:spacing w:after="0"/>
              <w:rPr>
                <w:sz w:val="18"/>
                <w:szCs w:val="18"/>
              </w:rPr>
            </w:pPr>
            <w:r w:rsidRPr="00652556">
              <w:rPr>
                <w:sz w:val="18"/>
                <w:szCs w:val="18"/>
              </w:rPr>
              <w:t>Majida AL Assaf</w:t>
            </w:r>
          </w:p>
          <w:p w:rsidR="00D704D1" w:rsidRPr="00652556" w:rsidRDefault="00D704D1" w:rsidP="00D704D1">
            <w:pPr>
              <w:tabs>
                <w:tab w:val="left" w:pos="1080"/>
              </w:tabs>
              <w:spacing w:after="0"/>
              <w:rPr>
                <w:sz w:val="18"/>
                <w:szCs w:val="18"/>
              </w:rPr>
            </w:pPr>
            <w:r w:rsidRPr="00652556">
              <w:rPr>
                <w:sz w:val="18"/>
                <w:szCs w:val="18"/>
              </w:rPr>
              <w:t xml:space="preserve">Richard Chambers </w:t>
            </w:r>
          </w:p>
          <w:p w:rsidR="00D704D1" w:rsidRPr="00652556" w:rsidRDefault="00D704D1" w:rsidP="00D704D1">
            <w:pPr>
              <w:tabs>
                <w:tab w:val="left" w:pos="1080"/>
              </w:tabs>
              <w:spacing w:after="0"/>
              <w:rPr>
                <w:sz w:val="18"/>
                <w:szCs w:val="18"/>
              </w:rPr>
            </w:pPr>
            <w:r w:rsidRPr="00652556">
              <w:rPr>
                <w:sz w:val="18"/>
                <w:szCs w:val="18"/>
              </w:rPr>
              <w:t>Leonardo G. Romeo</w:t>
            </w:r>
          </w:p>
          <w:p w:rsidR="00D704D1" w:rsidRPr="00652556" w:rsidRDefault="00D704D1" w:rsidP="00D704D1">
            <w:pPr>
              <w:tabs>
                <w:tab w:val="left" w:pos="1080"/>
              </w:tabs>
              <w:spacing w:after="0"/>
              <w:rPr>
                <w:sz w:val="18"/>
                <w:szCs w:val="18"/>
              </w:rPr>
            </w:pPr>
            <w:r w:rsidRPr="00652556">
              <w:rPr>
                <w:sz w:val="18"/>
                <w:szCs w:val="18"/>
              </w:rPr>
              <w:t xml:space="preserve">Mohamed El </w:t>
            </w:r>
            <w:proofErr w:type="spellStart"/>
            <w:r w:rsidRPr="00652556">
              <w:rPr>
                <w:sz w:val="18"/>
                <w:szCs w:val="18"/>
              </w:rPr>
              <w:t>Mensi</w:t>
            </w:r>
            <w:proofErr w:type="spellEnd"/>
          </w:p>
          <w:p w:rsidR="00D704D1" w:rsidRPr="00652556" w:rsidRDefault="00D704D1" w:rsidP="00D704D1">
            <w:pPr>
              <w:tabs>
                <w:tab w:val="left" w:pos="1080"/>
              </w:tabs>
            </w:pPr>
            <w:r w:rsidRPr="00652556">
              <w:rPr>
                <w:sz w:val="18"/>
                <w:szCs w:val="18"/>
              </w:rPr>
              <w:t xml:space="preserve">DLDSP Experts on </w:t>
            </w:r>
            <w:proofErr w:type="spellStart"/>
            <w:r w:rsidRPr="00652556">
              <w:rPr>
                <w:sz w:val="18"/>
                <w:szCs w:val="18"/>
              </w:rPr>
              <w:t>Decentralisation</w:t>
            </w:r>
            <w:proofErr w:type="spellEnd"/>
          </w:p>
        </w:tc>
        <w:tc>
          <w:tcPr>
            <w:tcW w:w="1581" w:type="dxa"/>
          </w:tcPr>
          <w:p w:rsidR="00D704D1" w:rsidRPr="00652556" w:rsidRDefault="00D704D1" w:rsidP="00D704D1">
            <w:pPr>
              <w:tabs>
                <w:tab w:val="left" w:pos="1080"/>
              </w:tabs>
            </w:pPr>
          </w:p>
        </w:tc>
        <w:tc>
          <w:tcPr>
            <w:tcW w:w="1700" w:type="dxa"/>
          </w:tcPr>
          <w:p w:rsidR="00D704D1" w:rsidRPr="00652556" w:rsidRDefault="00D704D1" w:rsidP="00D704D1">
            <w:pPr>
              <w:tabs>
                <w:tab w:val="left" w:pos="1080"/>
              </w:tabs>
            </w:pPr>
            <w:r>
              <w:rPr>
                <w:sz w:val="18"/>
                <w:szCs w:val="18"/>
              </w:rPr>
              <w:t>Initiated and on-going.</w:t>
            </w:r>
          </w:p>
        </w:tc>
      </w:tr>
      <w:tr w:rsidR="00D704D1" w:rsidRPr="008E53E4" w:rsidTr="00CA2574">
        <w:tc>
          <w:tcPr>
            <w:tcW w:w="9242" w:type="dxa"/>
            <w:gridSpan w:val="5"/>
            <w:shd w:val="clear" w:color="auto" w:fill="F3F3F3"/>
          </w:tcPr>
          <w:p w:rsidR="00D704D1" w:rsidRDefault="00D704D1" w:rsidP="00D704D1">
            <w:r w:rsidRPr="008E53E4">
              <w:rPr>
                <w:b/>
              </w:rPr>
              <w:t xml:space="preserve">Recommendation 8: </w:t>
            </w:r>
            <w:r>
              <w:t xml:space="preserve">Because the evidence revealed that some interventions have not as yet generated impact, and the program in general has little leverage to reorient policy, a more realistic </w:t>
            </w:r>
            <w:r>
              <w:lastRenderedPageBreak/>
              <w:t xml:space="preserve">adaptation would see more focus on ensuring the depth, instead of breadth, of interventions. Accordingly, use the time remaining for the program to: </w:t>
            </w:r>
          </w:p>
          <w:p w:rsidR="00D704D1" w:rsidRDefault="00D704D1" w:rsidP="00D704D1">
            <w:r>
              <w:t>a.</w:t>
            </w:r>
            <w:r w:rsidR="000E151A">
              <w:t xml:space="preserve"> </w:t>
            </w:r>
            <w:r>
              <w:t>Deepen engagement of governorate staff and ensure ownership of strategic planning and PEM processes;</w:t>
            </w:r>
          </w:p>
          <w:p w:rsidR="00D704D1" w:rsidRDefault="00D704D1" w:rsidP="00D704D1">
            <w:r>
              <w:t>b.</w:t>
            </w:r>
            <w:r w:rsidR="000E151A">
              <w:t xml:space="preserve"> </w:t>
            </w:r>
            <w:r>
              <w:t>“Encourage contagion” of best practices and lessons learned from pilot governorate interventions to bring effective practices into other governorates;</w:t>
            </w:r>
          </w:p>
          <w:p w:rsidR="00D704D1" w:rsidRDefault="00D704D1" w:rsidP="00D704D1">
            <w:r>
              <w:t>c.</w:t>
            </w:r>
            <w:r w:rsidR="000E151A">
              <w:t xml:space="preserve"> </w:t>
            </w:r>
            <w:r w:rsidRPr="00652556">
              <w:t>Continue the process of institutional building of the MOI LDD to help it implement the new laws; and</w:t>
            </w:r>
          </w:p>
          <w:p w:rsidR="00D704D1" w:rsidRPr="008E53E4" w:rsidRDefault="00D704D1" w:rsidP="00D704D1">
            <w:pPr>
              <w:jc w:val="both"/>
            </w:pPr>
            <w:r>
              <w:t>d.</w:t>
            </w:r>
            <w:r w:rsidR="000E151A">
              <w:t xml:space="preserve"> </w:t>
            </w:r>
            <w:r>
              <w:t>Support the academic component through direct and close engagement with the University of Jordan.</w:t>
            </w:r>
          </w:p>
        </w:tc>
      </w:tr>
      <w:tr w:rsidR="00D704D1" w:rsidRPr="00692675" w:rsidTr="000E151A">
        <w:tc>
          <w:tcPr>
            <w:tcW w:w="9242" w:type="dxa"/>
            <w:gridSpan w:val="5"/>
            <w:shd w:val="clear" w:color="auto" w:fill="auto"/>
          </w:tcPr>
          <w:p w:rsidR="00D704D1" w:rsidRPr="000E151A" w:rsidRDefault="00D704D1" w:rsidP="000E151A">
            <w:pPr>
              <w:tabs>
                <w:tab w:val="left" w:pos="1080"/>
              </w:tabs>
              <w:rPr>
                <w:sz w:val="18"/>
                <w:szCs w:val="18"/>
              </w:rPr>
            </w:pPr>
            <w:r w:rsidRPr="008E53E4">
              <w:rPr>
                <w:b/>
              </w:rPr>
              <w:lastRenderedPageBreak/>
              <w:t xml:space="preserve">Management response:   </w:t>
            </w:r>
            <w:r w:rsidRPr="00692675">
              <w:rPr>
                <w:bCs/>
              </w:rPr>
              <w:t xml:space="preserve">UNDP is pleased to note that </w:t>
            </w:r>
            <w:r>
              <w:rPr>
                <w:bCs/>
              </w:rPr>
              <w:t xml:space="preserve">the </w:t>
            </w:r>
            <w:r w:rsidRPr="00692675">
              <w:rPr>
                <w:bCs/>
              </w:rPr>
              <w:t xml:space="preserve">Annual Working Plan for 2019 </w:t>
            </w:r>
            <w:r>
              <w:rPr>
                <w:bCs/>
              </w:rPr>
              <w:t xml:space="preserve">fully </w:t>
            </w:r>
            <w:r w:rsidRPr="000E151A">
              <w:rPr>
                <w:bCs/>
              </w:rPr>
              <w:t xml:space="preserve">captures and is in line with the recommendations listed above. In particular, the Annual Work Plan envisages </w:t>
            </w:r>
            <w:r w:rsidR="000E151A" w:rsidRPr="000E151A">
              <w:rPr>
                <w:bCs/>
              </w:rPr>
              <w:t xml:space="preserve">a range of </w:t>
            </w:r>
            <w:r w:rsidRPr="000E151A">
              <w:rPr>
                <w:bCs/>
              </w:rPr>
              <w:t xml:space="preserve">actions: </w:t>
            </w:r>
            <w:r w:rsidR="000E151A" w:rsidRPr="000E151A">
              <w:t>(a) Develop multi- partner action plans to support the development of the local government system (</w:t>
            </w:r>
            <w:r w:rsidR="000E151A">
              <w:t>b1</w:t>
            </w:r>
            <w:r w:rsidR="000E151A" w:rsidRPr="000E151A">
              <w:t>) Develop three Governorates Development Reports for the Aqaba, Irbid and Balqa (</w:t>
            </w:r>
            <w:r w:rsidR="000E151A">
              <w:t>b2</w:t>
            </w:r>
            <w:r w:rsidR="000E151A" w:rsidRPr="000E151A">
              <w:t>) Develop and deploy the socio- economic data at the governorate and municipal levels (</w:t>
            </w:r>
            <w:proofErr w:type="spellStart"/>
            <w:r w:rsidR="000E151A" w:rsidRPr="000E151A">
              <w:t>Tanmiah</w:t>
            </w:r>
            <w:proofErr w:type="spellEnd"/>
            <w:r w:rsidR="000E151A" w:rsidRPr="000E151A">
              <w:t xml:space="preserve"> tool)</w:t>
            </w:r>
            <w:r w:rsidR="000E151A">
              <w:t xml:space="preserve"> </w:t>
            </w:r>
            <w:r w:rsidR="000E151A" w:rsidRPr="000E151A">
              <w:t>(</w:t>
            </w:r>
            <w:r w:rsidR="000E151A">
              <w:t>c</w:t>
            </w:r>
            <w:r w:rsidR="000E151A" w:rsidRPr="000E151A">
              <w:t>) Capture and document best practices in monthly and final reports and showcase success stories with donors and governmental stakeholders (</w:t>
            </w:r>
            <w:r w:rsidR="000E151A">
              <w:t>d</w:t>
            </w:r>
            <w:r w:rsidR="000E151A" w:rsidRPr="000E151A">
              <w:t xml:space="preserve">) Establish and sign MoUs between University of Jordan and the Hague Academy to design and start a university </w:t>
            </w:r>
            <w:proofErr w:type="spellStart"/>
            <w:r w:rsidR="000E151A" w:rsidRPr="000E151A">
              <w:t>programme</w:t>
            </w:r>
            <w:proofErr w:type="spellEnd"/>
            <w:r w:rsidR="000E151A" w:rsidRPr="000E151A">
              <w:t xml:space="preserve"> on Local Development</w:t>
            </w:r>
          </w:p>
        </w:tc>
      </w:tr>
      <w:tr w:rsidR="00D704D1" w:rsidRPr="00652556" w:rsidTr="005F38ED">
        <w:tc>
          <w:tcPr>
            <w:tcW w:w="2453" w:type="dxa"/>
          </w:tcPr>
          <w:p w:rsidR="00D704D1" w:rsidRPr="000E7194" w:rsidRDefault="00D704D1" w:rsidP="00D704D1">
            <w:pPr>
              <w:tabs>
                <w:tab w:val="left" w:pos="1080"/>
              </w:tabs>
              <w:rPr>
                <w:sz w:val="18"/>
                <w:szCs w:val="18"/>
              </w:rPr>
            </w:pPr>
            <w:r w:rsidRPr="000E7194">
              <w:rPr>
                <w:sz w:val="18"/>
                <w:szCs w:val="18"/>
              </w:rPr>
              <w:t>8.</w:t>
            </w:r>
            <w:r w:rsidR="000E151A">
              <w:rPr>
                <w:sz w:val="18"/>
                <w:szCs w:val="18"/>
              </w:rPr>
              <w:t>a</w:t>
            </w:r>
            <w:r w:rsidRPr="000E7194">
              <w:rPr>
                <w:sz w:val="18"/>
                <w:szCs w:val="18"/>
              </w:rPr>
              <w:t xml:space="preserve"> Develop multi- partner action plans to support the development of the local government system</w:t>
            </w:r>
          </w:p>
        </w:tc>
        <w:tc>
          <w:tcPr>
            <w:tcW w:w="1689" w:type="dxa"/>
          </w:tcPr>
          <w:p w:rsidR="00D704D1" w:rsidRPr="000E7194" w:rsidRDefault="00D704D1" w:rsidP="00D704D1">
            <w:pPr>
              <w:tabs>
                <w:tab w:val="left" w:pos="1080"/>
              </w:tabs>
              <w:rPr>
                <w:sz w:val="18"/>
                <w:szCs w:val="18"/>
              </w:rPr>
            </w:pPr>
            <w:r w:rsidRPr="000E7194">
              <w:rPr>
                <w:sz w:val="18"/>
                <w:szCs w:val="18"/>
              </w:rPr>
              <w:t>March 2019</w:t>
            </w:r>
          </w:p>
        </w:tc>
        <w:tc>
          <w:tcPr>
            <w:tcW w:w="1819" w:type="dxa"/>
          </w:tcPr>
          <w:p w:rsidR="00D704D1" w:rsidRPr="000E7194" w:rsidRDefault="00D704D1" w:rsidP="00D704D1">
            <w:pPr>
              <w:tabs>
                <w:tab w:val="left" w:pos="1080"/>
              </w:tabs>
              <w:rPr>
                <w:sz w:val="18"/>
                <w:szCs w:val="18"/>
              </w:rPr>
            </w:pPr>
            <w:proofErr w:type="spellStart"/>
            <w:r w:rsidRPr="00821A55">
              <w:rPr>
                <w:sz w:val="18"/>
                <w:szCs w:val="18"/>
              </w:rPr>
              <w:t>Mazen</w:t>
            </w:r>
            <w:proofErr w:type="spellEnd"/>
            <w:r w:rsidRPr="00821A55">
              <w:rPr>
                <w:sz w:val="18"/>
                <w:szCs w:val="18"/>
              </w:rPr>
              <w:t xml:space="preserve"> </w:t>
            </w:r>
            <w:proofErr w:type="spellStart"/>
            <w:r w:rsidRPr="00821A55">
              <w:rPr>
                <w:sz w:val="18"/>
                <w:szCs w:val="18"/>
              </w:rPr>
              <w:t>AbdulMalik</w:t>
            </w:r>
            <w:proofErr w:type="spellEnd"/>
            <w:r w:rsidRPr="00821A55">
              <w:rPr>
                <w:sz w:val="18"/>
                <w:szCs w:val="18"/>
              </w:rPr>
              <w:t>, Decentralization &amp; Local Governance Specialist</w:t>
            </w:r>
          </w:p>
        </w:tc>
        <w:tc>
          <w:tcPr>
            <w:tcW w:w="1581" w:type="dxa"/>
          </w:tcPr>
          <w:p w:rsidR="00D704D1" w:rsidRPr="008E53E4" w:rsidRDefault="00D704D1" w:rsidP="00D704D1">
            <w:pPr>
              <w:tabs>
                <w:tab w:val="left" w:pos="1080"/>
              </w:tabs>
            </w:pPr>
          </w:p>
        </w:tc>
        <w:tc>
          <w:tcPr>
            <w:tcW w:w="1700" w:type="dxa"/>
          </w:tcPr>
          <w:p w:rsidR="00D704D1" w:rsidRPr="00652556" w:rsidRDefault="00D704D1" w:rsidP="00D704D1">
            <w:pPr>
              <w:tabs>
                <w:tab w:val="left" w:pos="1080"/>
              </w:tabs>
              <w:rPr>
                <w:sz w:val="18"/>
                <w:szCs w:val="18"/>
              </w:rPr>
            </w:pPr>
            <w:r w:rsidRPr="00652556">
              <w:rPr>
                <w:sz w:val="18"/>
                <w:szCs w:val="18"/>
              </w:rPr>
              <w:t>Ongoing</w:t>
            </w:r>
          </w:p>
        </w:tc>
      </w:tr>
      <w:tr w:rsidR="00D704D1" w:rsidRPr="00652556" w:rsidTr="005F38ED">
        <w:tc>
          <w:tcPr>
            <w:tcW w:w="2453" w:type="dxa"/>
          </w:tcPr>
          <w:p w:rsidR="00D704D1" w:rsidRDefault="00D704D1" w:rsidP="00D704D1">
            <w:pPr>
              <w:tabs>
                <w:tab w:val="left" w:pos="1080"/>
              </w:tabs>
              <w:rPr>
                <w:sz w:val="18"/>
                <w:szCs w:val="18"/>
              </w:rPr>
            </w:pPr>
            <w:r>
              <w:rPr>
                <w:sz w:val="18"/>
                <w:szCs w:val="18"/>
              </w:rPr>
              <w:t>8.</w:t>
            </w:r>
            <w:r w:rsidR="000E151A">
              <w:rPr>
                <w:sz w:val="18"/>
                <w:szCs w:val="18"/>
              </w:rPr>
              <w:t>b1</w:t>
            </w:r>
            <w:r>
              <w:rPr>
                <w:sz w:val="18"/>
                <w:szCs w:val="18"/>
              </w:rPr>
              <w:t xml:space="preserve"> Develop three Governorates Development Reports for the Aqaba, Irbid and Balqa  </w:t>
            </w:r>
          </w:p>
        </w:tc>
        <w:tc>
          <w:tcPr>
            <w:tcW w:w="1689" w:type="dxa"/>
          </w:tcPr>
          <w:p w:rsidR="00D704D1" w:rsidRPr="00D46150" w:rsidRDefault="00D704D1" w:rsidP="00D704D1">
            <w:pPr>
              <w:tabs>
                <w:tab w:val="left" w:pos="1080"/>
              </w:tabs>
              <w:rPr>
                <w:sz w:val="18"/>
                <w:szCs w:val="18"/>
              </w:rPr>
            </w:pPr>
            <w:r>
              <w:rPr>
                <w:sz w:val="18"/>
                <w:szCs w:val="18"/>
              </w:rPr>
              <w:t>April 2019</w:t>
            </w:r>
          </w:p>
        </w:tc>
        <w:tc>
          <w:tcPr>
            <w:tcW w:w="1819" w:type="dxa"/>
          </w:tcPr>
          <w:p w:rsidR="00D704D1" w:rsidRPr="00D46150" w:rsidRDefault="00D704D1" w:rsidP="00D704D1">
            <w:pPr>
              <w:tabs>
                <w:tab w:val="left" w:pos="1080"/>
              </w:tabs>
              <w:rPr>
                <w:sz w:val="18"/>
                <w:szCs w:val="18"/>
              </w:rPr>
            </w:pPr>
            <w:proofErr w:type="spellStart"/>
            <w:r w:rsidRPr="00821A55">
              <w:rPr>
                <w:sz w:val="18"/>
                <w:szCs w:val="18"/>
              </w:rPr>
              <w:t>Mazen</w:t>
            </w:r>
            <w:proofErr w:type="spellEnd"/>
            <w:r w:rsidRPr="00821A55">
              <w:rPr>
                <w:sz w:val="18"/>
                <w:szCs w:val="18"/>
              </w:rPr>
              <w:t xml:space="preserve"> </w:t>
            </w:r>
            <w:proofErr w:type="spellStart"/>
            <w:r w:rsidRPr="00821A55">
              <w:rPr>
                <w:sz w:val="18"/>
                <w:szCs w:val="18"/>
              </w:rPr>
              <w:t>AbdulMalik</w:t>
            </w:r>
            <w:proofErr w:type="spellEnd"/>
            <w:r w:rsidRPr="00821A55">
              <w:rPr>
                <w:sz w:val="18"/>
                <w:szCs w:val="18"/>
              </w:rPr>
              <w:t>, Decentralization &amp; Local Governance Specialist</w:t>
            </w:r>
          </w:p>
        </w:tc>
        <w:tc>
          <w:tcPr>
            <w:tcW w:w="1581" w:type="dxa"/>
          </w:tcPr>
          <w:p w:rsidR="00D704D1" w:rsidRPr="008E53E4" w:rsidRDefault="00D704D1" w:rsidP="00D704D1">
            <w:pPr>
              <w:tabs>
                <w:tab w:val="left" w:pos="1080"/>
              </w:tabs>
            </w:pPr>
          </w:p>
        </w:tc>
        <w:tc>
          <w:tcPr>
            <w:tcW w:w="1700" w:type="dxa"/>
          </w:tcPr>
          <w:p w:rsidR="00D704D1" w:rsidRPr="00652556" w:rsidRDefault="00D704D1" w:rsidP="00D704D1">
            <w:pPr>
              <w:tabs>
                <w:tab w:val="left" w:pos="1080"/>
              </w:tabs>
              <w:rPr>
                <w:sz w:val="18"/>
                <w:szCs w:val="18"/>
              </w:rPr>
            </w:pPr>
            <w:r w:rsidRPr="00652556">
              <w:rPr>
                <w:sz w:val="18"/>
                <w:szCs w:val="18"/>
              </w:rPr>
              <w:t>Ongoing</w:t>
            </w:r>
          </w:p>
        </w:tc>
      </w:tr>
      <w:tr w:rsidR="00D704D1" w:rsidRPr="00692675" w:rsidTr="005F38ED">
        <w:tc>
          <w:tcPr>
            <w:tcW w:w="2453" w:type="dxa"/>
          </w:tcPr>
          <w:p w:rsidR="00D704D1" w:rsidRDefault="000E151A" w:rsidP="00D704D1">
            <w:pPr>
              <w:tabs>
                <w:tab w:val="left" w:pos="1080"/>
              </w:tabs>
              <w:rPr>
                <w:sz w:val="18"/>
                <w:szCs w:val="18"/>
              </w:rPr>
            </w:pPr>
            <w:r>
              <w:rPr>
                <w:sz w:val="18"/>
                <w:szCs w:val="18"/>
              </w:rPr>
              <w:t xml:space="preserve">8.b2 </w:t>
            </w:r>
            <w:r w:rsidR="00D704D1">
              <w:rPr>
                <w:sz w:val="18"/>
                <w:szCs w:val="18"/>
              </w:rPr>
              <w:t>Develop and deploy the socio- economic data at the governorate and municipal levels (</w:t>
            </w:r>
            <w:proofErr w:type="spellStart"/>
            <w:r w:rsidR="00D704D1">
              <w:rPr>
                <w:sz w:val="18"/>
                <w:szCs w:val="18"/>
              </w:rPr>
              <w:t>Tanmiah</w:t>
            </w:r>
            <w:proofErr w:type="spellEnd"/>
            <w:r w:rsidR="00D704D1">
              <w:rPr>
                <w:sz w:val="18"/>
                <w:szCs w:val="18"/>
              </w:rPr>
              <w:t xml:space="preserve"> tool) </w:t>
            </w:r>
          </w:p>
        </w:tc>
        <w:tc>
          <w:tcPr>
            <w:tcW w:w="1689" w:type="dxa"/>
          </w:tcPr>
          <w:p w:rsidR="00D704D1" w:rsidRPr="00D46150" w:rsidRDefault="00D704D1" w:rsidP="00D704D1">
            <w:pPr>
              <w:tabs>
                <w:tab w:val="left" w:pos="1080"/>
              </w:tabs>
              <w:rPr>
                <w:sz w:val="18"/>
                <w:szCs w:val="18"/>
              </w:rPr>
            </w:pPr>
            <w:r>
              <w:rPr>
                <w:sz w:val="18"/>
                <w:szCs w:val="18"/>
              </w:rPr>
              <w:t>May 2019</w:t>
            </w:r>
          </w:p>
        </w:tc>
        <w:tc>
          <w:tcPr>
            <w:tcW w:w="1819" w:type="dxa"/>
          </w:tcPr>
          <w:p w:rsidR="00D704D1" w:rsidRDefault="00D704D1" w:rsidP="00D704D1">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D704D1" w:rsidRPr="00D46150" w:rsidRDefault="00D704D1" w:rsidP="00D704D1">
            <w:pPr>
              <w:tabs>
                <w:tab w:val="left" w:pos="1080"/>
              </w:tabs>
              <w:rPr>
                <w:sz w:val="18"/>
                <w:szCs w:val="18"/>
              </w:rPr>
            </w:pPr>
          </w:p>
        </w:tc>
        <w:tc>
          <w:tcPr>
            <w:tcW w:w="1581" w:type="dxa"/>
          </w:tcPr>
          <w:p w:rsidR="00D704D1" w:rsidRPr="008E53E4" w:rsidRDefault="00D704D1" w:rsidP="00D704D1">
            <w:pPr>
              <w:tabs>
                <w:tab w:val="left" w:pos="1080"/>
              </w:tabs>
            </w:pPr>
          </w:p>
        </w:tc>
        <w:tc>
          <w:tcPr>
            <w:tcW w:w="1700" w:type="dxa"/>
          </w:tcPr>
          <w:p w:rsidR="00D704D1" w:rsidRPr="00692675" w:rsidRDefault="00D704D1" w:rsidP="00D704D1">
            <w:pPr>
              <w:tabs>
                <w:tab w:val="left" w:pos="1080"/>
              </w:tabs>
              <w:rPr>
                <w:sz w:val="18"/>
                <w:szCs w:val="18"/>
              </w:rPr>
            </w:pPr>
            <w:r w:rsidRPr="00692675">
              <w:rPr>
                <w:sz w:val="18"/>
                <w:szCs w:val="18"/>
              </w:rPr>
              <w:t>Ongoing</w:t>
            </w:r>
          </w:p>
        </w:tc>
      </w:tr>
      <w:tr w:rsidR="000E151A" w:rsidRPr="00652556" w:rsidTr="00CA2574">
        <w:tc>
          <w:tcPr>
            <w:tcW w:w="2453" w:type="dxa"/>
          </w:tcPr>
          <w:p w:rsidR="000E151A" w:rsidRPr="000E7194" w:rsidRDefault="000E151A" w:rsidP="00CA2574">
            <w:pPr>
              <w:tabs>
                <w:tab w:val="left" w:pos="1080"/>
              </w:tabs>
              <w:rPr>
                <w:sz w:val="18"/>
                <w:szCs w:val="18"/>
              </w:rPr>
            </w:pPr>
            <w:r w:rsidRPr="000E7194">
              <w:rPr>
                <w:sz w:val="18"/>
                <w:szCs w:val="18"/>
              </w:rPr>
              <w:t>8.</w:t>
            </w:r>
            <w:r>
              <w:rPr>
                <w:sz w:val="18"/>
                <w:szCs w:val="18"/>
              </w:rPr>
              <w:t>c</w:t>
            </w:r>
            <w:r w:rsidRPr="000E7194">
              <w:rPr>
                <w:sz w:val="18"/>
                <w:szCs w:val="18"/>
              </w:rPr>
              <w:t xml:space="preserve"> Capture and document best practices in monthly and final reports and showcase success stories with donors and governmental stakeholders</w:t>
            </w:r>
          </w:p>
        </w:tc>
        <w:tc>
          <w:tcPr>
            <w:tcW w:w="1689" w:type="dxa"/>
          </w:tcPr>
          <w:p w:rsidR="000E151A" w:rsidRPr="000E7194" w:rsidRDefault="000E151A" w:rsidP="00CA2574">
            <w:pPr>
              <w:tabs>
                <w:tab w:val="left" w:pos="1080"/>
              </w:tabs>
              <w:rPr>
                <w:sz w:val="18"/>
                <w:szCs w:val="18"/>
              </w:rPr>
            </w:pPr>
            <w:r w:rsidRPr="000E7194">
              <w:rPr>
                <w:sz w:val="18"/>
                <w:szCs w:val="18"/>
              </w:rPr>
              <w:t>June 2019</w:t>
            </w:r>
          </w:p>
        </w:tc>
        <w:tc>
          <w:tcPr>
            <w:tcW w:w="1819" w:type="dxa"/>
          </w:tcPr>
          <w:p w:rsidR="000E151A" w:rsidRPr="000E7194" w:rsidRDefault="000E151A" w:rsidP="00CA2574">
            <w:pPr>
              <w:tabs>
                <w:tab w:val="left" w:pos="1080"/>
              </w:tabs>
              <w:rPr>
                <w:sz w:val="18"/>
                <w:szCs w:val="18"/>
              </w:rPr>
            </w:pPr>
            <w:r w:rsidRPr="0047133F">
              <w:rPr>
                <w:sz w:val="18"/>
                <w:szCs w:val="18"/>
              </w:rPr>
              <w:t xml:space="preserve">Tomas </w:t>
            </w:r>
            <w:proofErr w:type="spellStart"/>
            <w:r w:rsidRPr="0047133F">
              <w:rPr>
                <w:sz w:val="18"/>
                <w:szCs w:val="18"/>
              </w:rPr>
              <w:t>Kvedaras</w:t>
            </w:r>
            <w:proofErr w:type="spellEnd"/>
            <w:r w:rsidRPr="0047133F">
              <w:rPr>
                <w:sz w:val="18"/>
                <w:szCs w:val="18"/>
              </w:rPr>
              <w:t>, Research and Reporting Officer</w:t>
            </w:r>
          </w:p>
        </w:tc>
        <w:tc>
          <w:tcPr>
            <w:tcW w:w="1581" w:type="dxa"/>
          </w:tcPr>
          <w:p w:rsidR="000E151A" w:rsidRPr="008E53E4" w:rsidRDefault="000E151A" w:rsidP="00CA2574">
            <w:pPr>
              <w:tabs>
                <w:tab w:val="left" w:pos="1080"/>
              </w:tabs>
            </w:pPr>
          </w:p>
        </w:tc>
        <w:tc>
          <w:tcPr>
            <w:tcW w:w="1700" w:type="dxa"/>
          </w:tcPr>
          <w:p w:rsidR="000E151A" w:rsidRPr="00652556" w:rsidRDefault="000E151A" w:rsidP="00CA2574">
            <w:pPr>
              <w:tabs>
                <w:tab w:val="left" w:pos="1080"/>
              </w:tabs>
              <w:rPr>
                <w:sz w:val="18"/>
                <w:szCs w:val="18"/>
              </w:rPr>
            </w:pPr>
            <w:r w:rsidRPr="00652556">
              <w:rPr>
                <w:sz w:val="18"/>
                <w:szCs w:val="18"/>
              </w:rPr>
              <w:t>Ongoing</w:t>
            </w:r>
          </w:p>
        </w:tc>
      </w:tr>
      <w:tr w:rsidR="000E151A" w:rsidRPr="00692675" w:rsidTr="005F38ED">
        <w:tc>
          <w:tcPr>
            <w:tcW w:w="2453" w:type="dxa"/>
          </w:tcPr>
          <w:p w:rsidR="000E151A" w:rsidRPr="00D46150" w:rsidRDefault="000E151A" w:rsidP="000E151A">
            <w:pPr>
              <w:tabs>
                <w:tab w:val="left" w:pos="1080"/>
              </w:tabs>
              <w:rPr>
                <w:sz w:val="18"/>
                <w:szCs w:val="18"/>
              </w:rPr>
            </w:pPr>
            <w:r>
              <w:rPr>
                <w:sz w:val="18"/>
                <w:szCs w:val="18"/>
              </w:rPr>
              <w:lastRenderedPageBreak/>
              <w:t>8.</w:t>
            </w:r>
            <w:r>
              <w:rPr>
                <w:sz w:val="18"/>
                <w:szCs w:val="18"/>
              </w:rPr>
              <w:t>d</w:t>
            </w:r>
            <w:r>
              <w:rPr>
                <w:sz w:val="18"/>
                <w:szCs w:val="18"/>
              </w:rPr>
              <w:t xml:space="preserve"> </w:t>
            </w:r>
            <w:r w:rsidRPr="00D46150">
              <w:rPr>
                <w:sz w:val="18"/>
                <w:szCs w:val="18"/>
              </w:rPr>
              <w:t xml:space="preserve">Establish and sign MoUs between University of Jordan and the Hague Academy to design and start a university </w:t>
            </w:r>
            <w:proofErr w:type="spellStart"/>
            <w:r w:rsidRPr="00D46150">
              <w:rPr>
                <w:sz w:val="18"/>
                <w:szCs w:val="18"/>
              </w:rPr>
              <w:t>programme</w:t>
            </w:r>
            <w:proofErr w:type="spellEnd"/>
            <w:r w:rsidRPr="00D46150">
              <w:rPr>
                <w:sz w:val="18"/>
                <w:szCs w:val="18"/>
              </w:rPr>
              <w:t xml:space="preserve"> on Local Development.</w:t>
            </w:r>
          </w:p>
        </w:tc>
        <w:tc>
          <w:tcPr>
            <w:tcW w:w="1689" w:type="dxa"/>
          </w:tcPr>
          <w:p w:rsidR="000E151A" w:rsidRPr="00D46150" w:rsidRDefault="000E151A" w:rsidP="000E151A">
            <w:pPr>
              <w:tabs>
                <w:tab w:val="left" w:pos="1080"/>
              </w:tabs>
              <w:rPr>
                <w:sz w:val="18"/>
                <w:szCs w:val="18"/>
              </w:rPr>
            </w:pPr>
            <w:r w:rsidRPr="00D46150">
              <w:rPr>
                <w:sz w:val="18"/>
                <w:szCs w:val="18"/>
              </w:rPr>
              <w:t>March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Pr="00D46150" w:rsidRDefault="000E151A" w:rsidP="000E151A">
            <w:pPr>
              <w:tabs>
                <w:tab w:val="left" w:pos="1080"/>
              </w:tabs>
              <w:rPr>
                <w:sz w:val="18"/>
                <w:szCs w:val="18"/>
              </w:rPr>
            </w:pPr>
          </w:p>
        </w:tc>
        <w:tc>
          <w:tcPr>
            <w:tcW w:w="1581" w:type="dxa"/>
          </w:tcPr>
          <w:p w:rsidR="000E151A" w:rsidRPr="008E53E4" w:rsidRDefault="000E151A" w:rsidP="000E151A">
            <w:pPr>
              <w:tabs>
                <w:tab w:val="left" w:pos="1080"/>
              </w:tabs>
            </w:pPr>
          </w:p>
        </w:tc>
        <w:tc>
          <w:tcPr>
            <w:tcW w:w="1700" w:type="dxa"/>
          </w:tcPr>
          <w:p w:rsidR="000E151A" w:rsidRPr="00652556" w:rsidRDefault="000E151A" w:rsidP="000E151A">
            <w:pPr>
              <w:tabs>
                <w:tab w:val="left" w:pos="1080"/>
              </w:tabs>
              <w:rPr>
                <w:sz w:val="18"/>
                <w:szCs w:val="18"/>
              </w:rPr>
            </w:pPr>
            <w:r w:rsidRPr="00652556">
              <w:rPr>
                <w:sz w:val="18"/>
                <w:szCs w:val="18"/>
              </w:rPr>
              <w:t>Ongoing</w:t>
            </w:r>
          </w:p>
        </w:tc>
      </w:tr>
      <w:tr w:rsidR="000E151A" w:rsidRPr="00DD48B2" w:rsidTr="00CA2574">
        <w:tc>
          <w:tcPr>
            <w:tcW w:w="9242" w:type="dxa"/>
            <w:gridSpan w:val="5"/>
            <w:shd w:val="clear" w:color="auto" w:fill="F3F3F3"/>
          </w:tcPr>
          <w:p w:rsidR="000E151A" w:rsidRPr="00DD48B2" w:rsidRDefault="000E151A" w:rsidP="000E151A">
            <w:pPr>
              <w:rPr>
                <w:bCs/>
              </w:rPr>
            </w:pPr>
            <w:r w:rsidRPr="008E53E4">
              <w:rPr>
                <w:b/>
              </w:rPr>
              <w:t xml:space="preserve">Recommendation </w:t>
            </w:r>
            <w:r>
              <w:rPr>
                <w:b/>
              </w:rPr>
              <w:t>9</w:t>
            </w:r>
            <w:r w:rsidRPr="008E53E4">
              <w:rPr>
                <w:b/>
              </w:rPr>
              <w:t>:</w:t>
            </w:r>
            <w:r>
              <w:rPr>
                <w:b/>
              </w:rPr>
              <w:t xml:space="preserve"> </w:t>
            </w:r>
            <w:r w:rsidRPr="00F056D5">
              <w:rPr>
                <w:bCs/>
              </w:rPr>
              <w:t xml:space="preserve">Considering </w:t>
            </w:r>
            <w:proofErr w:type="spellStart"/>
            <w:r>
              <w:rPr>
                <w:bCs/>
              </w:rPr>
              <w:t>decentralisation</w:t>
            </w:r>
            <w:proofErr w:type="spellEnd"/>
            <w:r w:rsidRPr="00F056D5">
              <w:rPr>
                <w:bCs/>
              </w:rPr>
              <w:t xml:space="preserve"> in Jordan is largely a political process and awareness of what it entails and how to operationalize is weak even among key stakeholders, cultivate demand for studies/reports akin to the scoping mission report the program produced earlier to clarify the </w:t>
            </w:r>
            <w:proofErr w:type="spellStart"/>
            <w:r w:rsidRPr="00F056D5">
              <w:rPr>
                <w:bCs/>
              </w:rPr>
              <w:t>decentralisation</w:t>
            </w:r>
            <w:proofErr w:type="spellEnd"/>
            <w:r w:rsidRPr="00F056D5">
              <w:rPr>
                <w:bCs/>
              </w:rPr>
              <w:t xml:space="preserve">-development nexus in support of local development. Such analysis would elucidate the effects of </w:t>
            </w:r>
            <w:proofErr w:type="spellStart"/>
            <w:r w:rsidRPr="00F056D5">
              <w:rPr>
                <w:bCs/>
              </w:rPr>
              <w:t>decentralisation</w:t>
            </w:r>
            <w:proofErr w:type="spellEnd"/>
            <w:r w:rsidRPr="00F056D5">
              <w:rPr>
                <w:bCs/>
              </w:rPr>
              <w:t xml:space="preserve"> on government responsiveness and poverty-orientation, exploring how investments and resources may shift in </w:t>
            </w:r>
            <w:proofErr w:type="spellStart"/>
            <w:r w:rsidRPr="00F056D5">
              <w:rPr>
                <w:bCs/>
              </w:rPr>
              <w:t>favour</w:t>
            </w:r>
            <w:proofErr w:type="spellEnd"/>
            <w:r w:rsidRPr="00F056D5">
              <w:rPr>
                <w:bCs/>
              </w:rPr>
              <w:t xml:space="preserve"> of marginalized communities, and what political gains and losses may result from this process. </w:t>
            </w:r>
          </w:p>
        </w:tc>
      </w:tr>
      <w:tr w:rsidR="000E151A" w:rsidRPr="008E53E4" w:rsidTr="000E151A">
        <w:tc>
          <w:tcPr>
            <w:tcW w:w="9242" w:type="dxa"/>
            <w:gridSpan w:val="5"/>
            <w:shd w:val="clear" w:color="auto" w:fill="auto"/>
          </w:tcPr>
          <w:p w:rsidR="000E151A" w:rsidRDefault="000E151A" w:rsidP="000E151A">
            <w:pPr>
              <w:tabs>
                <w:tab w:val="left" w:pos="1080"/>
              </w:tabs>
              <w:jc w:val="both"/>
              <w:rPr>
                <w:b/>
              </w:rPr>
            </w:pPr>
            <w:r w:rsidRPr="008E53E4">
              <w:rPr>
                <w:b/>
              </w:rPr>
              <w:t xml:space="preserve">Management response:   </w:t>
            </w:r>
            <w:r w:rsidRPr="00692675">
              <w:rPr>
                <w:bCs/>
              </w:rPr>
              <w:t>UNDP agrees with the above recommendation.</w:t>
            </w:r>
            <w:r>
              <w:rPr>
                <w:b/>
              </w:rPr>
              <w:t xml:space="preserve"> </w:t>
            </w:r>
            <w:r w:rsidRPr="00692675">
              <w:rPr>
                <w:bCs/>
              </w:rPr>
              <w:t>One of the central goals of DLDSP’s Communication &amp; Visibility Plan is to achieve a better understanding among the different stakeholders of the decentralization process and its implementation framework and raise awareness across national institutions regarding the importance of opening the decision-making spaces to the participation of citizens.</w:t>
            </w:r>
          </w:p>
          <w:p w:rsidR="000E151A" w:rsidRPr="008E53E4" w:rsidRDefault="000E151A" w:rsidP="000E151A">
            <w:pPr>
              <w:tabs>
                <w:tab w:val="left" w:pos="1080"/>
              </w:tabs>
              <w:jc w:val="both"/>
            </w:pPr>
            <w:r>
              <w:t xml:space="preserve">DLDSP is working with King Hussain Foundation on </w:t>
            </w:r>
            <w:r w:rsidRPr="00694278">
              <w:t>the CBOs Capacity Building project</w:t>
            </w:r>
            <w:r>
              <w:t xml:space="preserve"> through which </w:t>
            </w:r>
            <w:r w:rsidRPr="00694278">
              <w:t>14 selected CBOs will receive training based on the capacity development needs assessment</w:t>
            </w:r>
            <w:r>
              <w:t xml:space="preserve"> and</w:t>
            </w:r>
            <w:r w:rsidRPr="00694278">
              <w:t xml:space="preserve"> </w:t>
            </w:r>
            <w:r>
              <w:t>g</w:t>
            </w:r>
            <w:r w:rsidRPr="00694278">
              <w:t xml:space="preserve">raduated CBOs will be eligible to participate in the grants </w:t>
            </w:r>
            <w:proofErr w:type="spellStart"/>
            <w:r w:rsidRPr="00694278">
              <w:t>programme</w:t>
            </w:r>
            <w:proofErr w:type="spellEnd"/>
            <w:r w:rsidRPr="00694278">
              <w:t xml:space="preserve"> aimed to support their initiatives.</w:t>
            </w:r>
            <w:r>
              <w:t xml:space="preserve"> This is expected to enhance the role of CBOs in local development through their engagement and the participation in decision-making process on the local administration and improvement of service delivery leading to the enhancement of local economy. </w:t>
            </w:r>
          </w:p>
        </w:tc>
      </w:tr>
      <w:tr w:rsidR="000E151A" w:rsidRPr="008E53E4" w:rsidTr="005F38ED">
        <w:tc>
          <w:tcPr>
            <w:tcW w:w="2453" w:type="dxa"/>
          </w:tcPr>
          <w:p w:rsidR="000E151A" w:rsidRPr="003D101E" w:rsidRDefault="000E151A" w:rsidP="000E151A">
            <w:pPr>
              <w:tabs>
                <w:tab w:val="left" w:pos="1080"/>
              </w:tabs>
              <w:spacing w:after="0"/>
              <w:rPr>
                <w:sz w:val="18"/>
                <w:szCs w:val="18"/>
              </w:rPr>
            </w:pPr>
            <w:r w:rsidRPr="003D101E">
              <w:rPr>
                <w:sz w:val="18"/>
                <w:szCs w:val="18"/>
              </w:rPr>
              <w:t xml:space="preserve">9.1 Organize the visit of DLDSP experts on </w:t>
            </w:r>
            <w:proofErr w:type="spellStart"/>
            <w:r w:rsidRPr="003D101E">
              <w:rPr>
                <w:sz w:val="18"/>
                <w:szCs w:val="18"/>
              </w:rPr>
              <w:t>Decentralisation</w:t>
            </w:r>
            <w:proofErr w:type="spellEnd"/>
            <w:r w:rsidRPr="003D101E">
              <w:rPr>
                <w:sz w:val="18"/>
                <w:szCs w:val="18"/>
              </w:rPr>
              <w:t xml:space="preserve"> to Jordan and facilitate meetings with governmental stakeholders with a view of identifying the need for DLDSP to draft document on decentralization reform’s policy options </w:t>
            </w:r>
          </w:p>
        </w:tc>
        <w:tc>
          <w:tcPr>
            <w:tcW w:w="1689" w:type="dxa"/>
          </w:tcPr>
          <w:p w:rsidR="000E151A" w:rsidRPr="000E7194" w:rsidRDefault="000E151A" w:rsidP="000E151A">
            <w:pPr>
              <w:tabs>
                <w:tab w:val="left" w:pos="1080"/>
              </w:tabs>
              <w:spacing w:after="0"/>
              <w:rPr>
                <w:sz w:val="18"/>
                <w:szCs w:val="18"/>
              </w:rPr>
            </w:pPr>
            <w:r w:rsidRPr="000E7194">
              <w:rPr>
                <w:sz w:val="18"/>
                <w:szCs w:val="18"/>
              </w:rPr>
              <w:t>March 2019</w:t>
            </w:r>
          </w:p>
        </w:tc>
        <w:tc>
          <w:tcPr>
            <w:tcW w:w="1819" w:type="dxa"/>
          </w:tcPr>
          <w:p w:rsidR="000E151A" w:rsidRPr="003D101E" w:rsidRDefault="000E151A" w:rsidP="000E151A">
            <w:pPr>
              <w:tabs>
                <w:tab w:val="left" w:pos="1080"/>
              </w:tabs>
              <w:spacing w:after="0"/>
              <w:rPr>
                <w:sz w:val="18"/>
                <w:szCs w:val="18"/>
              </w:rPr>
            </w:pPr>
            <w:r w:rsidRPr="003D101E">
              <w:rPr>
                <w:sz w:val="18"/>
                <w:szCs w:val="18"/>
              </w:rPr>
              <w:t>Leonardo G. Romeo</w:t>
            </w:r>
          </w:p>
          <w:p w:rsidR="000E151A" w:rsidRDefault="000E151A" w:rsidP="000E151A">
            <w:pPr>
              <w:tabs>
                <w:tab w:val="left" w:pos="1080"/>
              </w:tabs>
              <w:spacing w:after="0"/>
              <w:rPr>
                <w:sz w:val="18"/>
                <w:szCs w:val="18"/>
              </w:rPr>
            </w:pPr>
            <w:r w:rsidRPr="003D101E">
              <w:rPr>
                <w:sz w:val="18"/>
                <w:szCs w:val="18"/>
              </w:rPr>
              <w:t xml:space="preserve">Mohamed El </w:t>
            </w:r>
            <w:proofErr w:type="spellStart"/>
            <w:r w:rsidRPr="003D101E">
              <w:rPr>
                <w:sz w:val="18"/>
                <w:szCs w:val="18"/>
              </w:rPr>
              <w:t>Mensi</w:t>
            </w:r>
            <w:proofErr w:type="spellEnd"/>
          </w:p>
          <w:p w:rsidR="000E151A" w:rsidRPr="003D101E" w:rsidRDefault="000E151A" w:rsidP="000E151A">
            <w:pPr>
              <w:tabs>
                <w:tab w:val="left" w:pos="1080"/>
              </w:tabs>
              <w:spacing w:after="0"/>
              <w:rPr>
                <w:sz w:val="18"/>
                <w:szCs w:val="18"/>
              </w:rPr>
            </w:pPr>
            <w:r w:rsidRPr="003D101E">
              <w:rPr>
                <w:sz w:val="18"/>
                <w:szCs w:val="18"/>
              </w:rPr>
              <w:t xml:space="preserve">DLDSP Experts on </w:t>
            </w:r>
            <w:proofErr w:type="spellStart"/>
            <w:r w:rsidRPr="003D101E">
              <w:rPr>
                <w:sz w:val="18"/>
                <w:szCs w:val="18"/>
              </w:rPr>
              <w:t>Decentralisation</w:t>
            </w:r>
            <w:proofErr w:type="spellEnd"/>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p>
        </w:tc>
      </w:tr>
      <w:tr w:rsidR="000E151A" w:rsidRPr="008E53E4" w:rsidTr="005F38ED">
        <w:tc>
          <w:tcPr>
            <w:tcW w:w="2453" w:type="dxa"/>
          </w:tcPr>
          <w:p w:rsidR="000E151A" w:rsidRPr="003D101E" w:rsidRDefault="000E151A" w:rsidP="000E151A">
            <w:pPr>
              <w:tabs>
                <w:tab w:val="left" w:pos="1080"/>
              </w:tabs>
              <w:spacing w:after="0"/>
              <w:rPr>
                <w:sz w:val="18"/>
                <w:szCs w:val="18"/>
              </w:rPr>
            </w:pPr>
            <w:r>
              <w:rPr>
                <w:sz w:val="18"/>
                <w:szCs w:val="18"/>
              </w:rPr>
              <w:t xml:space="preserve">9.2 Develop the CBOs/ NGOs comprehensive component including the tools and mechanism to monitor and follow up the impact of the decentralization on the local development, especially the LED and improving service delivery </w:t>
            </w:r>
            <w:proofErr w:type="spellStart"/>
            <w:r>
              <w:rPr>
                <w:sz w:val="18"/>
                <w:szCs w:val="18"/>
              </w:rPr>
              <w:t>programmes</w:t>
            </w:r>
            <w:proofErr w:type="spellEnd"/>
            <w:r>
              <w:rPr>
                <w:sz w:val="18"/>
                <w:szCs w:val="18"/>
              </w:rPr>
              <w:t xml:space="preserve"> (accessibility and quality)</w:t>
            </w:r>
          </w:p>
        </w:tc>
        <w:tc>
          <w:tcPr>
            <w:tcW w:w="1689" w:type="dxa"/>
          </w:tcPr>
          <w:p w:rsidR="000E151A" w:rsidRPr="000E7194" w:rsidRDefault="000E151A" w:rsidP="000E151A">
            <w:pPr>
              <w:tabs>
                <w:tab w:val="left" w:pos="1080"/>
              </w:tabs>
              <w:spacing w:after="0"/>
              <w:rPr>
                <w:sz w:val="18"/>
                <w:szCs w:val="18"/>
              </w:rPr>
            </w:pPr>
            <w:r>
              <w:rPr>
                <w:sz w:val="18"/>
                <w:szCs w:val="18"/>
              </w:rPr>
              <w:t>December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Default="000E151A" w:rsidP="000E151A">
            <w:pPr>
              <w:tabs>
                <w:tab w:val="left" w:pos="1080"/>
              </w:tabs>
              <w:spacing w:after="0"/>
              <w:rPr>
                <w:sz w:val="18"/>
                <w:szCs w:val="18"/>
              </w:rPr>
            </w:pPr>
          </w:p>
          <w:p w:rsidR="000E151A" w:rsidRDefault="000E151A" w:rsidP="000E151A">
            <w:pPr>
              <w:tabs>
                <w:tab w:val="left" w:pos="1080"/>
              </w:tabs>
              <w:spacing w:after="0"/>
              <w:rPr>
                <w:sz w:val="18"/>
                <w:szCs w:val="18"/>
              </w:rPr>
            </w:pPr>
          </w:p>
          <w:p w:rsidR="000E151A" w:rsidRPr="003D101E" w:rsidRDefault="000E151A" w:rsidP="000E151A">
            <w:pPr>
              <w:tabs>
                <w:tab w:val="left" w:pos="1080"/>
              </w:tabs>
              <w:spacing w:after="0"/>
              <w:rPr>
                <w:sz w:val="18"/>
                <w:szCs w:val="18"/>
              </w:rPr>
            </w:pPr>
            <w:r>
              <w:rPr>
                <w:sz w:val="18"/>
                <w:szCs w:val="18"/>
              </w:rPr>
              <w:t>KHF</w:t>
            </w: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Pr>
                <w:sz w:val="18"/>
                <w:szCs w:val="18"/>
              </w:rPr>
              <w:t>Ongoing</w:t>
            </w:r>
            <w:r>
              <w:t xml:space="preserve"> </w:t>
            </w:r>
          </w:p>
        </w:tc>
      </w:tr>
      <w:tr w:rsidR="000E151A" w:rsidRPr="008E53E4" w:rsidTr="00CA2574">
        <w:tc>
          <w:tcPr>
            <w:tcW w:w="9242" w:type="dxa"/>
            <w:gridSpan w:val="5"/>
            <w:shd w:val="clear" w:color="auto" w:fill="F3F3F3"/>
          </w:tcPr>
          <w:p w:rsidR="000E151A" w:rsidRPr="008E53E4" w:rsidRDefault="000E151A" w:rsidP="000E151A">
            <w:r w:rsidRPr="008E53E4">
              <w:rPr>
                <w:b/>
              </w:rPr>
              <w:lastRenderedPageBreak/>
              <w:t xml:space="preserve">Recommendation </w:t>
            </w:r>
            <w:r>
              <w:rPr>
                <w:b/>
              </w:rPr>
              <w:t>10</w:t>
            </w:r>
            <w:r w:rsidRPr="008E53E4">
              <w:rPr>
                <w:b/>
              </w:rPr>
              <w:t>:</w:t>
            </w:r>
            <w:r>
              <w:rPr>
                <w:b/>
              </w:rPr>
              <w:t xml:space="preserve"> </w:t>
            </w:r>
            <w:r w:rsidRPr="00F056D5">
              <w:rPr>
                <w:bCs/>
              </w:rPr>
              <w:t xml:space="preserve">To promote sustainability and deepen programmatic impact, </w:t>
            </w:r>
            <w:proofErr w:type="spellStart"/>
            <w:r w:rsidRPr="00F056D5">
              <w:rPr>
                <w:bCs/>
              </w:rPr>
              <w:t>catalyse</w:t>
            </w:r>
            <w:proofErr w:type="spellEnd"/>
            <w:r w:rsidRPr="00F056D5">
              <w:rPr>
                <w:bCs/>
              </w:rPr>
              <w:t xml:space="preserve"> opportunities to promote the work DLDSP is undertaking including the dissemination of narratives of successful activities to spread best practices and lessons learned beyond the program’s immediate circle of implementation. This can increase the program’s visibility and contribute to its donors’ coordination efforts.</w:t>
            </w:r>
            <w:r w:rsidRPr="00F056D5">
              <w:rPr>
                <w:b/>
              </w:rPr>
              <w:t xml:space="preserve"> </w:t>
            </w:r>
            <w:r w:rsidRPr="008E53E4">
              <w:rPr>
                <w:b/>
              </w:rPr>
              <w:t xml:space="preserve"> </w:t>
            </w:r>
          </w:p>
        </w:tc>
      </w:tr>
      <w:tr w:rsidR="000E151A" w:rsidRPr="008E53E4" w:rsidTr="000E151A">
        <w:tc>
          <w:tcPr>
            <w:tcW w:w="9242" w:type="dxa"/>
            <w:gridSpan w:val="5"/>
            <w:shd w:val="clear" w:color="auto" w:fill="auto"/>
          </w:tcPr>
          <w:p w:rsidR="000E151A" w:rsidRPr="008E53E4" w:rsidRDefault="000E151A" w:rsidP="000E151A">
            <w:pPr>
              <w:tabs>
                <w:tab w:val="left" w:pos="1080"/>
              </w:tabs>
              <w:jc w:val="both"/>
            </w:pPr>
            <w:r w:rsidRPr="008E53E4">
              <w:rPr>
                <w:b/>
              </w:rPr>
              <w:t xml:space="preserve">Management response:   </w:t>
            </w:r>
            <w:r w:rsidRPr="00692675">
              <w:rPr>
                <w:bCs/>
              </w:rPr>
              <w:t xml:space="preserve">As noted above in relation to Recommendation 3 and 5, DLDSP has contracted Research and Reporting Specialist to strengthen </w:t>
            </w:r>
            <w:proofErr w:type="spellStart"/>
            <w:r w:rsidRPr="00692675">
              <w:rPr>
                <w:bCs/>
              </w:rPr>
              <w:t>Pr</w:t>
            </w:r>
            <w:r>
              <w:rPr>
                <w:bCs/>
              </w:rPr>
              <w:t>o</w:t>
            </w:r>
            <w:r w:rsidRPr="00692675">
              <w:rPr>
                <w:bCs/>
              </w:rPr>
              <w:t>gramme’s</w:t>
            </w:r>
            <w:proofErr w:type="spellEnd"/>
            <w:r w:rsidRPr="00692675">
              <w:rPr>
                <w:bCs/>
              </w:rPr>
              <w:t xml:space="preserve"> outreach and visibility, which includes documenting and circulating DLDSP’s success stories. A stakeholder meeting is planned in April 2019 to provide update on DLDSP’s work.</w:t>
            </w:r>
          </w:p>
        </w:tc>
      </w:tr>
      <w:tr w:rsidR="000E151A" w:rsidRPr="008E53E4" w:rsidTr="005F38ED">
        <w:tc>
          <w:tcPr>
            <w:tcW w:w="2453" w:type="dxa"/>
          </w:tcPr>
          <w:p w:rsidR="000E151A" w:rsidRPr="0033717C" w:rsidRDefault="000E151A" w:rsidP="000E151A">
            <w:pPr>
              <w:tabs>
                <w:tab w:val="left" w:pos="1080"/>
              </w:tabs>
              <w:rPr>
                <w:sz w:val="18"/>
                <w:szCs w:val="18"/>
              </w:rPr>
            </w:pPr>
            <w:r>
              <w:rPr>
                <w:sz w:val="18"/>
                <w:szCs w:val="18"/>
              </w:rPr>
              <w:t>10.1 D</w:t>
            </w:r>
            <w:r w:rsidRPr="0033717C">
              <w:rPr>
                <w:sz w:val="18"/>
                <w:szCs w:val="18"/>
              </w:rPr>
              <w:t xml:space="preserve">raft a paper making recommendations on method and content of the </w:t>
            </w:r>
            <w:r>
              <w:rPr>
                <w:sz w:val="18"/>
                <w:szCs w:val="18"/>
              </w:rPr>
              <w:t>National D</w:t>
            </w:r>
            <w:r w:rsidRPr="0033717C">
              <w:rPr>
                <w:sz w:val="18"/>
                <w:szCs w:val="18"/>
              </w:rPr>
              <w:t>ialogue</w:t>
            </w:r>
            <w:r>
              <w:rPr>
                <w:sz w:val="18"/>
                <w:szCs w:val="18"/>
              </w:rPr>
              <w:t xml:space="preserve"> on Decentralization </w:t>
            </w:r>
          </w:p>
        </w:tc>
        <w:tc>
          <w:tcPr>
            <w:tcW w:w="1689" w:type="dxa"/>
          </w:tcPr>
          <w:p w:rsidR="000E151A" w:rsidRPr="003D101E" w:rsidRDefault="000E151A" w:rsidP="000E151A">
            <w:pPr>
              <w:tabs>
                <w:tab w:val="left" w:pos="1080"/>
              </w:tabs>
              <w:rPr>
                <w:sz w:val="18"/>
                <w:szCs w:val="18"/>
              </w:rPr>
            </w:pPr>
            <w:r w:rsidRPr="003D101E">
              <w:rPr>
                <w:sz w:val="18"/>
                <w:szCs w:val="18"/>
              </w:rPr>
              <w:t>February 2019</w:t>
            </w:r>
          </w:p>
        </w:tc>
        <w:tc>
          <w:tcPr>
            <w:tcW w:w="1819" w:type="dxa"/>
          </w:tcPr>
          <w:p w:rsidR="000E151A" w:rsidRPr="003D101E" w:rsidRDefault="000E151A" w:rsidP="000E151A">
            <w:pPr>
              <w:tabs>
                <w:tab w:val="left" w:pos="1080"/>
              </w:tabs>
              <w:spacing w:after="0"/>
              <w:rPr>
                <w:sz w:val="18"/>
                <w:szCs w:val="18"/>
              </w:rPr>
            </w:pPr>
            <w:r w:rsidRPr="003D101E">
              <w:rPr>
                <w:sz w:val="18"/>
                <w:szCs w:val="18"/>
              </w:rPr>
              <w:t>Leonardo G. Romeo</w:t>
            </w:r>
          </w:p>
          <w:p w:rsidR="000E151A" w:rsidRPr="003D101E" w:rsidRDefault="000E151A" w:rsidP="000E151A">
            <w:pPr>
              <w:tabs>
                <w:tab w:val="left" w:pos="1080"/>
              </w:tabs>
              <w:spacing w:after="0"/>
              <w:rPr>
                <w:sz w:val="18"/>
                <w:szCs w:val="18"/>
              </w:rPr>
            </w:pPr>
            <w:r w:rsidRPr="003D101E">
              <w:rPr>
                <w:sz w:val="18"/>
                <w:szCs w:val="18"/>
              </w:rPr>
              <w:t xml:space="preserve">Mohamed El </w:t>
            </w:r>
            <w:proofErr w:type="spellStart"/>
            <w:r w:rsidRPr="003D101E">
              <w:rPr>
                <w:sz w:val="18"/>
                <w:szCs w:val="18"/>
              </w:rPr>
              <w:t>Mensi</w:t>
            </w:r>
            <w:proofErr w:type="spellEnd"/>
          </w:p>
          <w:p w:rsidR="000E151A" w:rsidRPr="003D101E" w:rsidRDefault="000E151A" w:rsidP="000E151A">
            <w:pPr>
              <w:tabs>
                <w:tab w:val="left" w:pos="1080"/>
              </w:tabs>
              <w:spacing w:after="0"/>
              <w:rPr>
                <w:sz w:val="18"/>
                <w:szCs w:val="18"/>
              </w:rPr>
            </w:pPr>
            <w:r w:rsidRPr="003D101E">
              <w:rPr>
                <w:sz w:val="18"/>
                <w:szCs w:val="18"/>
              </w:rPr>
              <w:t xml:space="preserve">DLDSP Experts on </w:t>
            </w:r>
            <w:proofErr w:type="spellStart"/>
            <w:r w:rsidRPr="003D101E">
              <w:rPr>
                <w:sz w:val="18"/>
                <w:szCs w:val="18"/>
              </w:rPr>
              <w:t>Decentralisation</w:t>
            </w:r>
            <w:proofErr w:type="spellEnd"/>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Pr>
                <w:sz w:val="18"/>
                <w:szCs w:val="18"/>
              </w:rPr>
              <w:t>Completed</w:t>
            </w:r>
          </w:p>
        </w:tc>
      </w:tr>
      <w:tr w:rsidR="000E151A" w:rsidRPr="008E53E4" w:rsidTr="005F38ED">
        <w:tc>
          <w:tcPr>
            <w:tcW w:w="2453" w:type="dxa"/>
          </w:tcPr>
          <w:p w:rsidR="000E151A" w:rsidRPr="003D101E" w:rsidRDefault="000E151A" w:rsidP="000E151A">
            <w:pPr>
              <w:tabs>
                <w:tab w:val="left" w:pos="1080"/>
              </w:tabs>
              <w:rPr>
                <w:sz w:val="18"/>
                <w:szCs w:val="18"/>
              </w:rPr>
            </w:pPr>
            <w:r w:rsidRPr="00821A55">
              <w:rPr>
                <w:sz w:val="18"/>
                <w:szCs w:val="18"/>
              </w:rPr>
              <w:t>1</w:t>
            </w:r>
            <w:r>
              <w:rPr>
                <w:sz w:val="18"/>
                <w:szCs w:val="18"/>
              </w:rPr>
              <w:t>0</w:t>
            </w:r>
            <w:r w:rsidRPr="00821A55">
              <w:rPr>
                <w:sz w:val="18"/>
                <w:szCs w:val="18"/>
              </w:rPr>
              <w:t>.</w:t>
            </w:r>
            <w:r>
              <w:rPr>
                <w:sz w:val="18"/>
                <w:szCs w:val="18"/>
              </w:rPr>
              <w:t>2</w:t>
            </w:r>
            <w:r w:rsidRPr="00821A55">
              <w:rPr>
                <w:sz w:val="18"/>
                <w:szCs w:val="18"/>
              </w:rPr>
              <w:t xml:space="preserve"> Circulate monthly reports to the stakeholders</w:t>
            </w:r>
            <w:r>
              <w:rPr>
                <w:sz w:val="18"/>
                <w:szCs w:val="18"/>
              </w:rPr>
              <w:t>.</w:t>
            </w:r>
          </w:p>
        </w:tc>
        <w:tc>
          <w:tcPr>
            <w:tcW w:w="1689" w:type="dxa"/>
          </w:tcPr>
          <w:p w:rsidR="000E151A" w:rsidRPr="003D101E" w:rsidRDefault="000E151A" w:rsidP="000E151A">
            <w:pPr>
              <w:tabs>
                <w:tab w:val="left" w:pos="1080"/>
              </w:tabs>
              <w:rPr>
                <w:sz w:val="18"/>
                <w:szCs w:val="18"/>
              </w:rPr>
            </w:pPr>
            <w:r w:rsidRPr="003D101E">
              <w:rPr>
                <w:sz w:val="18"/>
                <w:szCs w:val="18"/>
              </w:rPr>
              <w:t>On a monthly basis</w:t>
            </w:r>
          </w:p>
        </w:tc>
        <w:tc>
          <w:tcPr>
            <w:tcW w:w="1819" w:type="dxa"/>
          </w:tcPr>
          <w:p w:rsidR="000E151A" w:rsidRPr="008E53E4" w:rsidRDefault="000E151A" w:rsidP="000E151A">
            <w:pPr>
              <w:tabs>
                <w:tab w:val="left" w:pos="1080"/>
              </w:tabs>
            </w:pPr>
            <w:r w:rsidRPr="0047133F">
              <w:rPr>
                <w:sz w:val="18"/>
                <w:szCs w:val="18"/>
              </w:rPr>
              <w:t xml:space="preserve">Tomas </w:t>
            </w:r>
            <w:proofErr w:type="spellStart"/>
            <w:r w:rsidRPr="0047133F">
              <w:rPr>
                <w:sz w:val="18"/>
                <w:szCs w:val="18"/>
              </w:rPr>
              <w:t>Kvedaras</w:t>
            </w:r>
            <w:proofErr w:type="spellEnd"/>
            <w:r w:rsidRPr="0047133F">
              <w:rPr>
                <w:sz w:val="18"/>
                <w:szCs w:val="18"/>
              </w:rPr>
              <w:t>, Research and Reporting Officer</w:t>
            </w: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Pr>
                <w:sz w:val="18"/>
                <w:szCs w:val="18"/>
              </w:rPr>
              <w:t>Ongoing</w:t>
            </w:r>
          </w:p>
        </w:tc>
      </w:tr>
      <w:tr w:rsidR="000E151A" w:rsidTr="005F38ED">
        <w:tc>
          <w:tcPr>
            <w:tcW w:w="2453" w:type="dxa"/>
          </w:tcPr>
          <w:p w:rsidR="000E151A" w:rsidRPr="00821A55" w:rsidRDefault="000E151A" w:rsidP="000E151A">
            <w:pPr>
              <w:tabs>
                <w:tab w:val="left" w:pos="1080"/>
              </w:tabs>
              <w:rPr>
                <w:sz w:val="18"/>
                <w:szCs w:val="18"/>
              </w:rPr>
            </w:pPr>
            <w:r>
              <w:rPr>
                <w:sz w:val="18"/>
                <w:szCs w:val="18"/>
              </w:rPr>
              <w:t xml:space="preserve">10.3 UNDP will organize a </w:t>
            </w:r>
            <w:proofErr w:type="gramStart"/>
            <w:r>
              <w:rPr>
                <w:sz w:val="18"/>
                <w:szCs w:val="18"/>
              </w:rPr>
              <w:t>donor/ stakeholders</w:t>
            </w:r>
            <w:proofErr w:type="gramEnd"/>
            <w:r>
              <w:rPr>
                <w:sz w:val="18"/>
                <w:szCs w:val="18"/>
              </w:rPr>
              <w:t xml:space="preserve"> meeting to provide an update on DLDSP’s work</w:t>
            </w:r>
          </w:p>
        </w:tc>
        <w:tc>
          <w:tcPr>
            <w:tcW w:w="1689" w:type="dxa"/>
          </w:tcPr>
          <w:p w:rsidR="000E151A" w:rsidRPr="003D101E" w:rsidRDefault="000E151A" w:rsidP="000E151A">
            <w:pPr>
              <w:tabs>
                <w:tab w:val="left" w:pos="1080"/>
              </w:tabs>
              <w:rPr>
                <w:sz w:val="18"/>
                <w:szCs w:val="18"/>
              </w:rPr>
            </w:pPr>
          </w:p>
        </w:tc>
        <w:tc>
          <w:tcPr>
            <w:tcW w:w="1819" w:type="dxa"/>
          </w:tcPr>
          <w:p w:rsidR="000E151A" w:rsidRPr="0047133F" w:rsidRDefault="000E151A" w:rsidP="000E151A">
            <w:pPr>
              <w:tabs>
                <w:tab w:val="left" w:pos="1080"/>
              </w:tabs>
              <w:rPr>
                <w:sz w:val="18"/>
                <w:szCs w:val="18"/>
              </w:rPr>
            </w:pPr>
            <w:r>
              <w:rPr>
                <w:sz w:val="18"/>
                <w:szCs w:val="18"/>
              </w:rPr>
              <w:t>DLDSP</w:t>
            </w:r>
          </w:p>
        </w:tc>
        <w:tc>
          <w:tcPr>
            <w:tcW w:w="1581" w:type="dxa"/>
          </w:tcPr>
          <w:p w:rsidR="000E151A" w:rsidRPr="008E53E4" w:rsidRDefault="000E151A" w:rsidP="000E151A">
            <w:pPr>
              <w:tabs>
                <w:tab w:val="left" w:pos="1080"/>
              </w:tabs>
            </w:pPr>
          </w:p>
        </w:tc>
        <w:tc>
          <w:tcPr>
            <w:tcW w:w="1700" w:type="dxa"/>
          </w:tcPr>
          <w:p w:rsidR="000E151A" w:rsidRDefault="000E151A" w:rsidP="000E151A">
            <w:pPr>
              <w:tabs>
                <w:tab w:val="left" w:pos="1080"/>
              </w:tabs>
              <w:rPr>
                <w:sz w:val="18"/>
                <w:szCs w:val="18"/>
              </w:rPr>
            </w:pPr>
            <w:r>
              <w:rPr>
                <w:sz w:val="18"/>
                <w:szCs w:val="18"/>
              </w:rPr>
              <w:t>Ongoing</w:t>
            </w:r>
          </w:p>
        </w:tc>
      </w:tr>
      <w:tr w:rsidR="000E151A" w:rsidRPr="008E53E4" w:rsidTr="00CA2574">
        <w:tc>
          <w:tcPr>
            <w:tcW w:w="9242" w:type="dxa"/>
            <w:gridSpan w:val="5"/>
            <w:shd w:val="clear" w:color="auto" w:fill="F3F3F3"/>
          </w:tcPr>
          <w:p w:rsidR="000E151A" w:rsidRPr="008E53E4" w:rsidRDefault="000E151A" w:rsidP="000E151A">
            <w:r w:rsidRPr="008E53E4">
              <w:rPr>
                <w:b/>
              </w:rPr>
              <w:t xml:space="preserve">Recommendation </w:t>
            </w:r>
            <w:r>
              <w:rPr>
                <w:b/>
              </w:rPr>
              <w:t>11</w:t>
            </w:r>
            <w:r w:rsidRPr="008E53E4">
              <w:rPr>
                <w:b/>
              </w:rPr>
              <w:t>:</w:t>
            </w:r>
            <w:r>
              <w:rPr>
                <w:b/>
              </w:rPr>
              <w:t xml:space="preserve"> </w:t>
            </w:r>
            <w:r w:rsidRPr="00F056D5">
              <w:rPr>
                <w:bCs/>
              </w:rPr>
              <w:t xml:space="preserve">Ensure that selected indicators the governorates develop are manageable and that updating them will not prove too cumbersome for resource stripped local level structures. Further, ensure participants have a clear and holistic understanding of the process and develop sufficient ownership of it. Also, ensure they understand the program’s results chain and its intended impact. </w:t>
            </w:r>
            <w:r w:rsidRPr="008E53E4">
              <w:rPr>
                <w:b/>
              </w:rPr>
              <w:t xml:space="preserve"> </w:t>
            </w:r>
          </w:p>
        </w:tc>
      </w:tr>
      <w:tr w:rsidR="000E151A" w:rsidRPr="00692675" w:rsidTr="000E151A">
        <w:tc>
          <w:tcPr>
            <w:tcW w:w="9242" w:type="dxa"/>
            <w:gridSpan w:val="5"/>
            <w:shd w:val="clear" w:color="auto" w:fill="auto"/>
          </w:tcPr>
          <w:p w:rsidR="000E151A" w:rsidRPr="00692675" w:rsidRDefault="000E151A" w:rsidP="000E151A">
            <w:pPr>
              <w:jc w:val="both"/>
              <w:rPr>
                <w:bCs/>
              </w:rPr>
            </w:pPr>
            <w:r w:rsidRPr="00372B75">
              <w:rPr>
                <w:b/>
              </w:rPr>
              <w:t>Management response:</w:t>
            </w:r>
            <w:r w:rsidRPr="00692675">
              <w:rPr>
                <w:bCs/>
              </w:rPr>
              <w:t xml:space="preserve">   UNDP takes note of this recommendation and is pleased to confirm specific measures are in place to ensure </w:t>
            </w:r>
            <w:r>
              <w:rPr>
                <w:bCs/>
              </w:rPr>
              <w:t xml:space="preserve">local officials receive necessary training on the process of gathering and verifying data for </w:t>
            </w:r>
            <w:r w:rsidRPr="00692675">
              <w:rPr>
                <w:bCs/>
              </w:rPr>
              <w:t>socio-economic indicators</w:t>
            </w:r>
            <w:r>
              <w:rPr>
                <w:bCs/>
              </w:rPr>
              <w:t>.</w:t>
            </w:r>
            <w:r w:rsidRPr="00692675">
              <w:rPr>
                <w:bCs/>
              </w:rPr>
              <w:t xml:space="preserve"> </w:t>
            </w:r>
          </w:p>
          <w:p w:rsidR="000E151A" w:rsidRDefault="000E151A" w:rsidP="000E151A">
            <w:pPr>
              <w:jc w:val="both"/>
              <w:rPr>
                <w:b/>
              </w:rPr>
            </w:pPr>
            <w:r>
              <w:rPr>
                <w:bCs/>
                <w:sz w:val="21"/>
                <w:szCs w:val="21"/>
                <w:lang w:val="en-GB"/>
              </w:rPr>
              <w:t>In February 2019, t</w:t>
            </w:r>
            <w:r w:rsidRPr="00692675">
              <w:rPr>
                <w:bCs/>
                <w:sz w:val="21"/>
                <w:szCs w:val="21"/>
                <w:lang w:val="en-GB"/>
              </w:rPr>
              <w:t xml:space="preserve">he first version of socio-economic database for the three governorates </w:t>
            </w:r>
            <w:r w:rsidRPr="00692675">
              <w:rPr>
                <w:rFonts w:eastAsia="Times New Roman"/>
                <w:bCs/>
                <w:sz w:val="21"/>
                <w:szCs w:val="21"/>
                <w:lang w:val="en-GB"/>
              </w:rPr>
              <w:t xml:space="preserve">(Aqaba, </w:t>
            </w:r>
            <w:proofErr w:type="spellStart"/>
            <w:r w:rsidRPr="00692675">
              <w:rPr>
                <w:rFonts w:eastAsia="Times New Roman"/>
                <w:bCs/>
                <w:sz w:val="21"/>
                <w:szCs w:val="21"/>
                <w:lang w:val="en-GB"/>
              </w:rPr>
              <w:t>Balqaa</w:t>
            </w:r>
            <w:proofErr w:type="spellEnd"/>
            <w:r w:rsidRPr="00692675">
              <w:rPr>
                <w:rFonts w:eastAsia="Times New Roman"/>
                <w:bCs/>
                <w:sz w:val="21"/>
                <w:szCs w:val="21"/>
                <w:lang w:val="en-GB"/>
              </w:rPr>
              <w:t xml:space="preserve"> and Irbid) </w:t>
            </w:r>
            <w:r w:rsidRPr="00692675">
              <w:rPr>
                <w:bCs/>
                <w:sz w:val="21"/>
                <w:szCs w:val="21"/>
                <w:lang w:val="en-GB"/>
              </w:rPr>
              <w:t>has</w:t>
            </w:r>
            <w:r w:rsidRPr="002A5BD8">
              <w:rPr>
                <w:sz w:val="21"/>
                <w:szCs w:val="21"/>
                <w:lang w:val="en-GB"/>
              </w:rPr>
              <w:t xml:space="preserve"> been established. New team of specialists in statistics have joined the DLDSP and initiated their work to improve and refine the newly established socio-economic databases within the three selected governorates.  </w:t>
            </w:r>
          </w:p>
          <w:p w:rsidR="000E151A" w:rsidRPr="00692675" w:rsidRDefault="000E151A" w:rsidP="000E151A">
            <w:pPr>
              <w:spacing w:line="259" w:lineRule="auto"/>
              <w:jc w:val="both"/>
              <w:rPr>
                <w:sz w:val="21"/>
                <w:szCs w:val="21"/>
                <w:lang w:val="en-GB"/>
              </w:rPr>
            </w:pPr>
            <w:r w:rsidRPr="002A5BD8">
              <w:rPr>
                <w:sz w:val="21"/>
                <w:szCs w:val="21"/>
                <w:lang w:val="en-GB"/>
              </w:rPr>
              <w:t>DLDSP’s specialists will work on validating and refining the socio-economic database in close coordination with all sectors in the three-targeted governorates</w:t>
            </w:r>
            <w:r>
              <w:rPr>
                <w:sz w:val="21"/>
                <w:szCs w:val="21"/>
                <w:lang w:val="en-GB"/>
              </w:rPr>
              <w:t xml:space="preserve"> and integrating them to TANMIAH planning tool.</w:t>
            </w:r>
          </w:p>
        </w:tc>
      </w:tr>
      <w:tr w:rsidR="000E151A" w:rsidRPr="00962FC5" w:rsidTr="005F38ED">
        <w:tc>
          <w:tcPr>
            <w:tcW w:w="2453" w:type="dxa"/>
          </w:tcPr>
          <w:p w:rsidR="000E151A" w:rsidRPr="00821A55" w:rsidRDefault="000E151A" w:rsidP="000E151A">
            <w:pPr>
              <w:tabs>
                <w:tab w:val="left" w:pos="1080"/>
              </w:tabs>
              <w:rPr>
                <w:sz w:val="18"/>
                <w:szCs w:val="18"/>
              </w:rPr>
            </w:pPr>
            <w:r w:rsidRPr="00821A55">
              <w:rPr>
                <w:sz w:val="18"/>
                <w:szCs w:val="18"/>
              </w:rPr>
              <w:t xml:space="preserve">11.1 </w:t>
            </w:r>
            <w:r>
              <w:rPr>
                <w:sz w:val="18"/>
                <w:szCs w:val="18"/>
              </w:rPr>
              <w:t>Provide t</w:t>
            </w:r>
            <w:r w:rsidRPr="00821A55">
              <w:rPr>
                <w:sz w:val="18"/>
                <w:szCs w:val="18"/>
              </w:rPr>
              <w:t xml:space="preserve">echnical Assistance and on-job training to develop institutional </w:t>
            </w:r>
            <w:r w:rsidRPr="00821A55">
              <w:rPr>
                <w:sz w:val="18"/>
                <w:szCs w:val="18"/>
              </w:rPr>
              <w:lastRenderedPageBreak/>
              <w:t>capacities on territorial planning</w:t>
            </w:r>
          </w:p>
        </w:tc>
        <w:tc>
          <w:tcPr>
            <w:tcW w:w="1689" w:type="dxa"/>
          </w:tcPr>
          <w:p w:rsidR="000E151A" w:rsidRPr="00821A55" w:rsidRDefault="000E151A" w:rsidP="000E151A">
            <w:pPr>
              <w:tabs>
                <w:tab w:val="left" w:pos="1080"/>
              </w:tabs>
              <w:rPr>
                <w:sz w:val="18"/>
                <w:szCs w:val="18"/>
              </w:rPr>
            </w:pPr>
            <w:r w:rsidRPr="00821A55">
              <w:rPr>
                <w:sz w:val="18"/>
                <w:szCs w:val="18"/>
              </w:rPr>
              <w:lastRenderedPageBreak/>
              <w:t>December 2019</w:t>
            </w:r>
          </w:p>
        </w:tc>
        <w:tc>
          <w:tcPr>
            <w:tcW w:w="1819" w:type="dxa"/>
          </w:tcPr>
          <w:p w:rsidR="000E151A" w:rsidRPr="00821A55" w:rsidRDefault="000E151A" w:rsidP="000E151A">
            <w:pPr>
              <w:tabs>
                <w:tab w:val="left" w:pos="1080"/>
              </w:tabs>
              <w:rPr>
                <w:sz w:val="18"/>
                <w:szCs w:val="18"/>
              </w:rPr>
            </w:pPr>
            <w:proofErr w:type="spellStart"/>
            <w:r w:rsidRPr="00821A55">
              <w:rPr>
                <w:sz w:val="18"/>
                <w:szCs w:val="18"/>
              </w:rPr>
              <w:t>Mazen</w:t>
            </w:r>
            <w:proofErr w:type="spellEnd"/>
            <w:r w:rsidRPr="00821A55">
              <w:rPr>
                <w:sz w:val="18"/>
                <w:szCs w:val="18"/>
              </w:rPr>
              <w:t xml:space="preserve"> </w:t>
            </w:r>
            <w:proofErr w:type="spellStart"/>
            <w:r w:rsidRPr="00821A55">
              <w:rPr>
                <w:sz w:val="18"/>
                <w:szCs w:val="18"/>
              </w:rPr>
              <w:t>AbdulMalik</w:t>
            </w:r>
            <w:proofErr w:type="spellEnd"/>
            <w:r w:rsidRPr="00821A55">
              <w:rPr>
                <w:sz w:val="18"/>
                <w:szCs w:val="18"/>
              </w:rPr>
              <w:t>, Decentralization &amp; Local Governance Specialist</w:t>
            </w:r>
          </w:p>
        </w:tc>
        <w:tc>
          <w:tcPr>
            <w:tcW w:w="1581" w:type="dxa"/>
          </w:tcPr>
          <w:p w:rsidR="000E151A" w:rsidRPr="00962FC5" w:rsidRDefault="000E151A" w:rsidP="000E151A">
            <w:pPr>
              <w:tabs>
                <w:tab w:val="left" w:pos="1080"/>
              </w:tabs>
              <w:rPr>
                <w:sz w:val="18"/>
                <w:szCs w:val="18"/>
              </w:rPr>
            </w:pPr>
          </w:p>
        </w:tc>
        <w:tc>
          <w:tcPr>
            <w:tcW w:w="1700" w:type="dxa"/>
          </w:tcPr>
          <w:p w:rsidR="000E151A" w:rsidRPr="00962FC5" w:rsidRDefault="000E151A" w:rsidP="000E151A">
            <w:pPr>
              <w:tabs>
                <w:tab w:val="left" w:pos="1080"/>
              </w:tabs>
              <w:rPr>
                <w:sz w:val="18"/>
                <w:szCs w:val="18"/>
              </w:rPr>
            </w:pPr>
            <w:r w:rsidRPr="00962FC5">
              <w:rPr>
                <w:sz w:val="18"/>
                <w:szCs w:val="18"/>
              </w:rPr>
              <w:t>Ongoing</w:t>
            </w:r>
          </w:p>
        </w:tc>
      </w:tr>
      <w:tr w:rsidR="000E151A" w:rsidRPr="008E53E4" w:rsidTr="005F38ED">
        <w:tc>
          <w:tcPr>
            <w:tcW w:w="2453" w:type="dxa"/>
          </w:tcPr>
          <w:p w:rsidR="000E151A" w:rsidRPr="00821A55" w:rsidRDefault="000E151A" w:rsidP="000E151A">
            <w:pPr>
              <w:tabs>
                <w:tab w:val="left" w:pos="1080"/>
              </w:tabs>
              <w:rPr>
                <w:sz w:val="18"/>
                <w:szCs w:val="18"/>
              </w:rPr>
            </w:pPr>
            <w:r w:rsidRPr="00821A55">
              <w:rPr>
                <w:sz w:val="18"/>
                <w:szCs w:val="18"/>
              </w:rPr>
              <w:t>11.2 Launch the TANM</w:t>
            </w:r>
            <w:r>
              <w:rPr>
                <w:sz w:val="18"/>
                <w:szCs w:val="18"/>
              </w:rPr>
              <w:t>I</w:t>
            </w:r>
            <w:r w:rsidRPr="00821A55">
              <w:rPr>
                <w:sz w:val="18"/>
                <w:szCs w:val="18"/>
              </w:rPr>
              <w:t>A</w:t>
            </w:r>
            <w:r>
              <w:rPr>
                <w:sz w:val="18"/>
                <w:szCs w:val="18"/>
              </w:rPr>
              <w:t>H</w:t>
            </w:r>
            <w:r w:rsidRPr="00821A55">
              <w:rPr>
                <w:sz w:val="18"/>
                <w:szCs w:val="18"/>
              </w:rPr>
              <w:t xml:space="preserve"> planning tool at the local level (3 governorates and 8 municipalities)</w:t>
            </w:r>
          </w:p>
        </w:tc>
        <w:tc>
          <w:tcPr>
            <w:tcW w:w="1689" w:type="dxa"/>
          </w:tcPr>
          <w:p w:rsidR="000E151A" w:rsidRPr="00821A55" w:rsidRDefault="000E151A" w:rsidP="000E151A">
            <w:pPr>
              <w:tabs>
                <w:tab w:val="left" w:pos="1080"/>
              </w:tabs>
              <w:rPr>
                <w:sz w:val="18"/>
                <w:szCs w:val="18"/>
              </w:rPr>
            </w:pPr>
            <w:r>
              <w:rPr>
                <w:sz w:val="18"/>
                <w:szCs w:val="18"/>
              </w:rPr>
              <w:t>May</w:t>
            </w:r>
            <w:r w:rsidRPr="00821A55">
              <w:rPr>
                <w:sz w:val="18"/>
                <w:szCs w:val="18"/>
              </w:rPr>
              <w:t xml:space="preserve">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Pr="00821A55" w:rsidRDefault="000E151A" w:rsidP="000E151A">
            <w:pPr>
              <w:tabs>
                <w:tab w:val="left" w:pos="1080"/>
              </w:tabs>
              <w:rPr>
                <w:sz w:val="18"/>
                <w:szCs w:val="18"/>
              </w:rPr>
            </w:pP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sidRPr="00692675">
              <w:rPr>
                <w:sz w:val="18"/>
                <w:szCs w:val="18"/>
              </w:rPr>
              <w:t>Ongoing</w:t>
            </w:r>
          </w:p>
        </w:tc>
      </w:tr>
      <w:tr w:rsidR="000E151A" w:rsidRPr="00DD48B2" w:rsidTr="00CA2574">
        <w:tc>
          <w:tcPr>
            <w:tcW w:w="9242" w:type="dxa"/>
            <w:gridSpan w:val="5"/>
            <w:shd w:val="clear" w:color="auto" w:fill="F3F3F3"/>
          </w:tcPr>
          <w:p w:rsidR="000E151A" w:rsidRPr="00DD48B2" w:rsidRDefault="000E151A" w:rsidP="000E151A">
            <w:pPr>
              <w:rPr>
                <w:bCs/>
              </w:rPr>
            </w:pPr>
            <w:bookmarkStart w:id="0" w:name="_Hlk2244850"/>
            <w:r w:rsidRPr="008E53E4">
              <w:rPr>
                <w:b/>
              </w:rPr>
              <w:t xml:space="preserve">Recommendation </w:t>
            </w:r>
            <w:r>
              <w:rPr>
                <w:b/>
              </w:rPr>
              <w:t>12</w:t>
            </w:r>
            <w:r w:rsidRPr="008E53E4">
              <w:rPr>
                <w:b/>
              </w:rPr>
              <w:t xml:space="preserve">: </w:t>
            </w:r>
            <w:r>
              <w:rPr>
                <w:b/>
              </w:rPr>
              <w:t xml:space="preserve"> </w:t>
            </w:r>
            <w:r w:rsidRPr="00F056D5">
              <w:rPr>
                <w:bCs/>
              </w:rPr>
              <w:t>Ensure that communication and feedback channels in governorates (and partner ministries) is a key component of implementation. Perceptions of beneficiaries and stakeholders can be detrimental to programming and results.</w:t>
            </w:r>
            <w:bookmarkEnd w:id="0"/>
          </w:p>
        </w:tc>
      </w:tr>
      <w:tr w:rsidR="000E151A" w:rsidRPr="008E53E4" w:rsidTr="000E151A">
        <w:tc>
          <w:tcPr>
            <w:tcW w:w="9242" w:type="dxa"/>
            <w:gridSpan w:val="5"/>
            <w:shd w:val="clear" w:color="auto" w:fill="auto"/>
          </w:tcPr>
          <w:p w:rsidR="000E151A" w:rsidRPr="000E151A" w:rsidRDefault="000E151A" w:rsidP="000E151A">
            <w:pPr>
              <w:jc w:val="both"/>
              <w:rPr>
                <w:bCs/>
              </w:rPr>
            </w:pPr>
            <w:r w:rsidRPr="008E53E4">
              <w:rPr>
                <w:b/>
              </w:rPr>
              <w:t xml:space="preserve">Management response:   </w:t>
            </w:r>
            <w:r w:rsidRPr="00692675">
              <w:rPr>
                <w:bCs/>
              </w:rPr>
              <w:t xml:space="preserve">UNDP fully agrees that adequate communication is critical in measuring the quality and impact of DLDSP’s interventions. Implementing partners and experts have regularly gathered beneficiaries’ feedback in 2018-2019 through questionnaires and surveys. </w:t>
            </w:r>
            <w:r>
              <w:rPr>
                <w:bCs/>
              </w:rPr>
              <w:t xml:space="preserve"> </w:t>
            </w:r>
            <w:r w:rsidRPr="00692675">
              <w:rPr>
                <w:bCs/>
              </w:rPr>
              <w:t xml:space="preserve">DLDSP will continue to capture feedback where possible within </w:t>
            </w:r>
            <w:proofErr w:type="spellStart"/>
            <w:r w:rsidRPr="00692675">
              <w:rPr>
                <w:bCs/>
              </w:rPr>
              <w:t>programmes</w:t>
            </w:r>
            <w:proofErr w:type="spellEnd"/>
            <w:r w:rsidRPr="00692675">
              <w:rPr>
                <w:bCs/>
              </w:rPr>
              <w:t xml:space="preserve"> interventions.</w:t>
            </w:r>
            <w:r>
              <w:rPr>
                <w:b/>
              </w:rPr>
              <w:t xml:space="preserve"> </w:t>
            </w:r>
          </w:p>
        </w:tc>
      </w:tr>
      <w:tr w:rsidR="000E151A" w:rsidRPr="008E53E4" w:rsidTr="005F38ED">
        <w:tc>
          <w:tcPr>
            <w:tcW w:w="2453" w:type="dxa"/>
          </w:tcPr>
          <w:p w:rsidR="000E151A" w:rsidRPr="008E53E4" w:rsidRDefault="000E151A" w:rsidP="000E151A">
            <w:pPr>
              <w:tabs>
                <w:tab w:val="left" w:pos="1080"/>
              </w:tabs>
            </w:pPr>
            <w:r w:rsidRPr="00821A55">
              <w:rPr>
                <w:sz w:val="18"/>
                <w:szCs w:val="18"/>
              </w:rPr>
              <w:t xml:space="preserve">12.1 </w:t>
            </w:r>
            <w:r>
              <w:rPr>
                <w:sz w:val="18"/>
                <w:szCs w:val="18"/>
              </w:rPr>
              <w:t xml:space="preserve">Liaise with experts to ensure that questionnaires are distributed to stakeholders and beneficiaries; include the results in monthly reports </w:t>
            </w:r>
          </w:p>
        </w:tc>
        <w:tc>
          <w:tcPr>
            <w:tcW w:w="1689" w:type="dxa"/>
          </w:tcPr>
          <w:p w:rsidR="000E151A" w:rsidRPr="008E53E4" w:rsidRDefault="000E151A" w:rsidP="000E151A">
            <w:pPr>
              <w:tabs>
                <w:tab w:val="left" w:pos="1080"/>
              </w:tabs>
            </w:pPr>
          </w:p>
        </w:tc>
        <w:tc>
          <w:tcPr>
            <w:tcW w:w="1819" w:type="dxa"/>
          </w:tcPr>
          <w:p w:rsidR="000E151A" w:rsidRPr="008E53E4" w:rsidRDefault="000E151A" w:rsidP="000E151A">
            <w:pPr>
              <w:tabs>
                <w:tab w:val="left" w:pos="1080"/>
              </w:tabs>
            </w:pPr>
            <w:r w:rsidRPr="0047133F">
              <w:rPr>
                <w:sz w:val="18"/>
                <w:szCs w:val="18"/>
              </w:rPr>
              <w:t xml:space="preserve">Tomas </w:t>
            </w:r>
            <w:proofErr w:type="spellStart"/>
            <w:r w:rsidRPr="0047133F">
              <w:rPr>
                <w:sz w:val="18"/>
                <w:szCs w:val="18"/>
              </w:rPr>
              <w:t>Kvedaras</w:t>
            </w:r>
            <w:proofErr w:type="spellEnd"/>
            <w:r w:rsidRPr="0047133F">
              <w:rPr>
                <w:sz w:val="18"/>
                <w:szCs w:val="18"/>
              </w:rPr>
              <w:t>, Research and Reporting Officer</w:t>
            </w: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sidRPr="001A6BE6">
              <w:rPr>
                <w:sz w:val="18"/>
                <w:szCs w:val="18"/>
              </w:rPr>
              <w:t>Ongoing</w:t>
            </w:r>
          </w:p>
        </w:tc>
      </w:tr>
      <w:tr w:rsidR="000E151A" w:rsidRPr="008E53E4" w:rsidTr="00CA2574">
        <w:tc>
          <w:tcPr>
            <w:tcW w:w="9242" w:type="dxa"/>
            <w:gridSpan w:val="5"/>
            <w:shd w:val="clear" w:color="auto" w:fill="F3F3F3"/>
          </w:tcPr>
          <w:p w:rsidR="000E151A" w:rsidRPr="008E53E4" w:rsidRDefault="000E151A" w:rsidP="000E151A">
            <w:r w:rsidRPr="008E53E4">
              <w:rPr>
                <w:b/>
              </w:rPr>
              <w:t xml:space="preserve">Recommendation </w:t>
            </w:r>
            <w:r>
              <w:rPr>
                <w:b/>
              </w:rPr>
              <w:t>13</w:t>
            </w:r>
            <w:r w:rsidRPr="008E53E4">
              <w:rPr>
                <w:b/>
              </w:rPr>
              <w:t>:</w:t>
            </w:r>
            <w:r>
              <w:rPr>
                <w:b/>
              </w:rPr>
              <w:t xml:space="preserve"> </w:t>
            </w:r>
            <w:r w:rsidRPr="00F056D5">
              <w:rPr>
                <w:bCs/>
              </w:rPr>
              <w:t>Ensure M&amp;E framework design clearly articulates hierarchy of objectives and includes carefully selected SMART indicators.  In this vein, strengthen indicators to better capture program’s efforts and measure progress, and plan appropriate MEL activities to monitor and evaluate results, and capture learning.  In addition, consider adding to a main team member a more pronounced monitoring, evaluation and learning function.</w:t>
            </w:r>
            <w:r w:rsidRPr="008E53E4">
              <w:rPr>
                <w:b/>
              </w:rPr>
              <w:t xml:space="preserve"> </w:t>
            </w:r>
          </w:p>
        </w:tc>
      </w:tr>
      <w:tr w:rsidR="000E151A" w:rsidRPr="008E53E4" w:rsidTr="000E151A">
        <w:tc>
          <w:tcPr>
            <w:tcW w:w="9242" w:type="dxa"/>
            <w:gridSpan w:val="5"/>
            <w:shd w:val="clear" w:color="auto" w:fill="auto"/>
          </w:tcPr>
          <w:p w:rsidR="000E151A" w:rsidRPr="008E53E4" w:rsidRDefault="000E151A" w:rsidP="000E151A">
            <w:pPr>
              <w:jc w:val="both"/>
              <w:rPr>
                <w:b/>
              </w:rPr>
            </w:pPr>
            <w:r w:rsidRPr="008E53E4">
              <w:rPr>
                <w:b/>
              </w:rPr>
              <w:t xml:space="preserve">Management response:   </w:t>
            </w:r>
            <w:r w:rsidRPr="00692675">
              <w:rPr>
                <w:bCs/>
              </w:rPr>
              <w:t xml:space="preserve">As set out in the </w:t>
            </w:r>
            <w:proofErr w:type="spellStart"/>
            <w:r w:rsidRPr="00692675">
              <w:rPr>
                <w:bCs/>
              </w:rPr>
              <w:t>Programme</w:t>
            </w:r>
            <w:proofErr w:type="spellEnd"/>
            <w:r w:rsidRPr="00692675">
              <w:rPr>
                <w:bCs/>
              </w:rPr>
              <w:t xml:space="preserve"> Monitoring Framework of DLDSP Project Document, the M&amp;E framework is designed and utilized to track the, process, assess the efficiency and effectiveness of the implementation on a quarterly basis. The system of quarterly narrative progress reports </w:t>
            </w:r>
            <w:r w:rsidRPr="00DE6CB0">
              <w:rPr>
                <w:bCs/>
              </w:rPr>
              <w:t>has</w:t>
            </w:r>
            <w:r w:rsidRPr="00692675">
              <w:rPr>
                <w:bCs/>
              </w:rPr>
              <w:t xml:space="preserve"> been complemented by Annual Report 2018, which reflects on broader progress towards objectives using a self-evaluation approach. </w:t>
            </w:r>
            <w:r>
              <w:rPr>
                <w:bCs/>
              </w:rPr>
              <w:t xml:space="preserve">As noted above, </w:t>
            </w:r>
            <w:r w:rsidRPr="00692675">
              <w:rPr>
                <w:bCs/>
              </w:rPr>
              <w:t>DLDSP contracted Research and Reporting Specialist to support the establishment of monthly reporting and monitoring and evaluation mechanisms at all the implementation levels.</w:t>
            </w:r>
          </w:p>
        </w:tc>
      </w:tr>
      <w:tr w:rsidR="000E151A" w:rsidRPr="008E53E4" w:rsidTr="005F38ED">
        <w:tc>
          <w:tcPr>
            <w:tcW w:w="2453" w:type="dxa"/>
          </w:tcPr>
          <w:p w:rsidR="000E151A" w:rsidRPr="0047133F" w:rsidRDefault="000E151A" w:rsidP="000E151A">
            <w:pPr>
              <w:tabs>
                <w:tab w:val="left" w:pos="1080"/>
              </w:tabs>
              <w:rPr>
                <w:sz w:val="18"/>
                <w:szCs w:val="18"/>
              </w:rPr>
            </w:pPr>
            <w:r>
              <w:rPr>
                <w:sz w:val="18"/>
                <w:szCs w:val="18"/>
              </w:rPr>
              <w:t>13.1 Develop</w:t>
            </w:r>
            <w:r w:rsidRPr="0047133F">
              <w:rPr>
                <w:sz w:val="18"/>
                <w:szCs w:val="18"/>
              </w:rPr>
              <w:t xml:space="preserve"> monthly reports</w:t>
            </w:r>
            <w:r>
              <w:rPr>
                <w:sz w:val="18"/>
                <w:szCs w:val="18"/>
              </w:rPr>
              <w:t xml:space="preserve"> </w:t>
            </w:r>
          </w:p>
        </w:tc>
        <w:tc>
          <w:tcPr>
            <w:tcW w:w="1689" w:type="dxa"/>
          </w:tcPr>
          <w:p w:rsidR="000E151A" w:rsidRPr="0047133F" w:rsidRDefault="000E151A" w:rsidP="000E151A">
            <w:pPr>
              <w:tabs>
                <w:tab w:val="left" w:pos="1080"/>
              </w:tabs>
              <w:rPr>
                <w:sz w:val="18"/>
                <w:szCs w:val="18"/>
              </w:rPr>
            </w:pPr>
          </w:p>
        </w:tc>
        <w:tc>
          <w:tcPr>
            <w:tcW w:w="1819" w:type="dxa"/>
          </w:tcPr>
          <w:p w:rsidR="000E151A" w:rsidRPr="0047133F" w:rsidRDefault="000E151A" w:rsidP="000E151A">
            <w:pPr>
              <w:tabs>
                <w:tab w:val="left" w:pos="1080"/>
              </w:tabs>
              <w:rPr>
                <w:sz w:val="18"/>
                <w:szCs w:val="18"/>
              </w:rPr>
            </w:pPr>
            <w:r w:rsidRPr="0047133F">
              <w:rPr>
                <w:sz w:val="18"/>
                <w:szCs w:val="18"/>
              </w:rPr>
              <w:t xml:space="preserve">Tomas </w:t>
            </w:r>
            <w:proofErr w:type="spellStart"/>
            <w:r w:rsidRPr="0047133F">
              <w:rPr>
                <w:sz w:val="18"/>
                <w:szCs w:val="18"/>
              </w:rPr>
              <w:t>Kvedaras</w:t>
            </w:r>
            <w:proofErr w:type="spellEnd"/>
            <w:r w:rsidRPr="0047133F">
              <w:rPr>
                <w:sz w:val="18"/>
                <w:szCs w:val="18"/>
              </w:rPr>
              <w:t>, Research and Reporting Officer</w:t>
            </w: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sidRPr="001A6BE6">
              <w:rPr>
                <w:sz w:val="18"/>
                <w:szCs w:val="18"/>
              </w:rPr>
              <w:t>Ongoing</w:t>
            </w:r>
          </w:p>
        </w:tc>
      </w:tr>
      <w:tr w:rsidR="000E151A" w:rsidRPr="008E53E4" w:rsidTr="005F38ED">
        <w:tc>
          <w:tcPr>
            <w:tcW w:w="2453" w:type="dxa"/>
          </w:tcPr>
          <w:p w:rsidR="000E151A" w:rsidRPr="0047133F" w:rsidRDefault="000E151A" w:rsidP="000E151A">
            <w:pPr>
              <w:tabs>
                <w:tab w:val="left" w:pos="1080"/>
              </w:tabs>
              <w:rPr>
                <w:sz w:val="18"/>
                <w:szCs w:val="18"/>
              </w:rPr>
            </w:pPr>
            <w:r>
              <w:rPr>
                <w:sz w:val="18"/>
                <w:szCs w:val="18"/>
              </w:rPr>
              <w:t xml:space="preserve">13.2 Contract </w:t>
            </w:r>
            <w:r w:rsidRPr="0047133F">
              <w:rPr>
                <w:sz w:val="18"/>
                <w:szCs w:val="18"/>
              </w:rPr>
              <w:t xml:space="preserve">Research and Reporting Officer </w:t>
            </w:r>
          </w:p>
        </w:tc>
        <w:tc>
          <w:tcPr>
            <w:tcW w:w="1689" w:type="dxa"/>
          </w:tcPr>
          <w:p w:rsidR="000E151A" w:rsidRPr="0047133F" w:rsidRDefault="000E151A" w:rsidP="000E151A">
            <w:pPr>
              <w:tabs>
                <w:tab w:val="left" w:pos="1080"/>
              </w:tabs>
              <w:rPr>
                <w:sz w:val="18"/>
                <w:szCs w:val="18"/>
              </w:rPr>
            </w:pPr>
            <w:r>
              <w:rPr>
                <w:sz w:val="18"/>
                <w:szCs w:val="18"/>
              </w:rPr>
              <w:t>5 February 2019</w:t>
            </w:r>
          </w:p>
        </w:tc>
        <w:tc>
          <w:tcPr>
            <w:tcW w:w="1819" w:type="dxa"/>
          </w:tcPr>
          <w:p w:rsidR="000E151A" w:rsidRPr="0047133F"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Pr>
                <w:sz w:val="18"/>
                <w:szCs w:val="18"/>
              </w:rPr>
              <w:t>Completed</w:t>
            </w:r>
          </w:p>
        </w:tc>
      </w:tr>
      <w:tr w:rsidR="000E151A" w:rsidRPr="008E53E4" w:rsidTr="00CA2574">
        <w:tc>
          <w:tcPr>
            <w:tcW w:w="9242" w:type="dxa"/>
            <w:gridSpan w:val="5"/>
            <w:shd w:val="clear" w:color="auto" w:fill="F3F3F3"/>
          </w:tcPr>
          <w:p w:rsidR="000E151A" w:rsidRPr="008E53E4" w:rsidRDefault="000E151A" w:rsidP="000E151A">
            <w:r w:rsidRPr="008E53E4">
              <w:rPr>
                <w:b/>
              </w:rPr>
              <w:lastRenderedPageBreak/>
              <w:t xml:space="preserve">Recommendation </w:t>
            </w:r>
            <w:r>
              <w:rPr>
                <w:b/>
              </w:rPr>
              <w:t>14</w:t>
            </w:r>
            <w:r w:rsidRPr="008E53E4">
              <w:rPr>
                <w:b/>
              </w:rPr>
              <w:t>:</w:t>
            </w:r>
            <w:r>
              <w:rPr>
                <w:b/>
              </w:rPr>
              <w:t xml:space="preserve"> </w:t>
            </w:r>
            <w:r w:rsidRPr="00F056D5">
              <w:rPr>
                <w:bCs/>
              </w:rPr>
              <w:t>Consider working more closely with the University of Jordan and ensure university interlocutors understand the program results chain and intended impact.</w:t>
            </w:r>
            <w:r w:rsidRPr="008E53E4">
              <w:rPr>
                <w:b/>
              </w:rPr>
              <w:t xml:space="preserve"> </w:t>
            </w:r>
          </w:p>
        </w:tc>
      </w:tr>
      <w:tr w:rsidR="000E151A" w:rsidRPr="00692675" w:rsidTr="000E151A">
        <w:tc>
          <w:tcPr>
            <w:tcW w:w="9242" w:type="dxa"/>
            <w:gridSpan w:val="5"/>
            <w:shd w:val="clear" w:color="auto" w:fill="auto"/>
          </w:tcPr>
          <w:p w:rsidR="000E151A" w:rsidRDefault="000E151A" w:rsidP="000E151A">
            <w:pPr>
              <w:rPr>
                <w:b/>
              </w:rPr>
            </w:pPr>
            <w:bookmarkStart w:id="1" w:name="_GoBack"/>
            <w:r w:rsidRPr="008E53E4">
              <w:rPr>
                <w:b/>
              </w:rPr>
              <w:t xml:space="preserve">Management response:   </w:t>
            </w:r>
          </w:p>
          <w:p w:rsidR="000E151A" w:rsidRPr="00142F47" w:rsidRDefault="000E151A" w:rsidP="000E151A">
            <w:pPr>
              <w:spacing w:after="160" w:line="259" w:lineRule="auto"/>
              <w:jc w:val="both"/>
              <w:rPr>
                <w:sz w:val="21"/>
                <w:szCs w:val="21"/>
                <w:lang w:val="en-GB"/>
              </w:rPr>
            </w:pPr>
            <w:r>
              <w:rPr>
                <w:sz w:val="21"/>
                <w:szCs w:val="21"/>
                <w:lang w:val="en-GB"/>
              </w:rPr>
              <w:t xml:space="preserve">UNDP is pleased to note that </w:t>
            </w:r>
            <w:r w:rsidRPr="0016565A">
              <w:rPr>
                <w:sz w:val="21"/>
                <w:szCs w:val="21"/>
                <w:lang w:val="en-GB"/>
              </w:rPr>
              <w:t>University of Jordan and DLDSP’s proposed master and higher certificate degree programmes were accredited by the Jordanian Accreditation Bureau.</w:t>
            </w:r>
            <w:r>
              <w:rPr>
                <w:sz w:val="21"/>
                <w:szCs w:val="21"/>
                <w:lang w:val="en-GB"/>
              </w:rPr>
              <w:t xml:space="preserve"> </w:t>
            </w:r>
            <w:r w:rsidRPr="0016565A">
              <w:rPr>
                <w:sz w:val="21"/>
                <w:szCs w:val="21"/>
                <w:lang w:val="en-GB"/>
              </w:rPr>
              <w:t xml:space="preserve">DLDSP liaised with the </w:t>
            </w:r>
            <w:r>
              <w:rPr>
                <w:sz w:val="21"/>
                <w:szCs w:val="21"/>
                <w:lang w:val="en-GB"/>
              </w:rPr>
              <w:t>Head</w:t>
            </w:r>
            <w:r w:rsidRPr="0016565A">
              <w:rPr>
                <w:sz w:val="21"/>
                <w:szCs w:val="21"/>
                <w:lang w:val="en-GB"/>
              </w:rPr>
              <w:t xml:space="preserve"> of the Public Administration </w:t>
            </w:r>
            <w:r>
              <w:rPr>
                <w:sz w:val="21"/>
                <w:szCs w:val="21"/>
                <w:lang w:val="en-GB"/>
              </w:rPr>
              <w:t>Section</w:t>
            </w:r>
            <w:r w:rsidRPr="0016565A">
              <w:rPr>
                <w:sz w:val="21"/>
                <w:szCs w:val="21"/>
                <w:lang w:val="en-GB"/>
              </w:rPr>
              <w:t xml:space="preserve"> at the Faculty of Business of the University of Jordan to agree on the pool of professors who will cooperate with the European professors from the University of Florence, the University of Groningen, and The Hague Academy for Local Governance in developing the curriculum of both the master and higher diploma degree programmes on Local Administration and Local Development. </w:t>
            </w:r>
          </w:p>
          <w:p w:rsidR="000E151A" w:rsidRPr="00692675" w:rsidRDefault="000E151A" w:rsidP="000E151A">
            <w:pPr>
              <w:rPr>
                <w:bCs/>
                <w:lang w:val="en-GB"/>
              </w:rPr>
            </w:pPr>
            <w:r w:rsidRPr="00692675">
              <w:rPr>
                <w:bCs/>
                <w:lang w:val="en-GB"/>
              </w:rPr>
              <w:t xml:space="preserve">Signing of Memorandum of Understanding between </w:t>
            </w:r>
            <w:proofErr w:type="spellStart"/>
            <w:r w:rsidRPr="00692675">
              <w:rPr>
                <w:bCs/>
                <w:lang w:val="en-GB"/>
              </w:rPr>
              <w:t>MoI</w:t>
            </w:r>
            <w:proofErr w:type="spellEnd"/>
            <w:r w:rsidRPr="00692675">
              <w:rPr>
                <w:bCs/>
                <w:lang w:val="en-GB"/>
              </w:rPr>
              <w:t xml:space="preserve">, </w:t>
            </w:r>
            <w:proofErr w:type="spellStart"/>
            <w:r w:rsidRPr="00692675">
              <w:rPr>
                <w:bCs/>
                <w:lang w:val="en-GB"/>
              </w:rPr>
              <w:t>UoJ</w:t>
            </w:r>
            <w:proofErr w:type="spellEnd"/>
            <w:r w:rsidRPr="00692675">
              <w:rPr>
                <w:bCs/>
                <w:lang w:val="en-GB"/>
              </w:rPr>
              <w:t xml:space="preserve"> and The Hague Academy is planned </w:t>
            </w:r>
            <w:r>
              <w:rPr>
                <w:bCs/>
                <w:lang w:val="en-GB"/>
              </w:rPr>
              <w:t xml:space="preserve">for the first part of </w:t>
            </w:r>
            <w:r w:rsidRPr="00692675">
              <w:rPr>
                <w:bCs/>
                <w:lang w:val="en-GB"/>
              </w:rPr>
              <w:t xml:space="preserve">April, followed by </w:t>
            </w:r>
            <w:r>
              <w:rPr>
                <w:bCs/>
                <w:lang w:val="en-GB"/>
              </w:rPr>
              <w:t xml:space="preserve">further stages of </w:t>
            </w:r>
            <w:r w:rsidRPr="00692675">
              <w:rPr>
                <w:bCs/>
                <w:lang w:val="en-GB"/>
              </w:rPr>
              <w:t xml:space="preserve">training of academic staff, selection of scholarship recipients and start of programmes in September 2019. </w:t>
            </w:r>
          </w:p>
        </w:tc>
      </w:tr>
      <w:bookmarkEnd w:id="1"/>
      <w:tr w:rsidR="000E151A" w:rsidRPr="008E53E4" w:rsidTr="005F38ED">
        <w:tc>
          <w:tcPr>
            <w:tcW w:w="2453" w:type="dxa"/>
          </w:tcPr>
          <w:p w:rsidR="000E151A" w:rsidRPr="00D46150" w:rsidRDefault="000E151A" w:rsidP="000E151A">
            <w:pPr>
              <w:tabs>
                <w:tab w:val="left" w:pos="1080"/>
              </w:tabs>
              <w:rPr>
                <w:sz w:val="18"/>
                <w:szCs w:val="18"/>
              </w:rPr>
            </w:pPr>
            <w:r>
              <w:rPr>
                <w:sz w:val="18"/>
                <w:szCs w:val="18"/>
              </w:rPr>
              <w:t xml:space="preserve">14.1 </w:t>
            </w:r>
            <w:r w:rsidRPr="00D46150">
              <w:rPr>
                <w:sz w:val="18"/>
                <w:szCs w:val="18"/>
              </w:rPr>
              <w:t xml:space="preserve">Establish and sign MoUs between University of Jordan and the Hague Academy to design and start a university </w:t>
            </w:r>
            <w:proofErr w:type="spellStart"/>
            <w:r w:rsidRPr="00D46150">
              <w:rPr>
                <w:sz w:val="18"/>
                <w:szCs w:val="18"/>
              </w:rPr>
              <w:t>programme</w:t>
            </w:r>
            <w:proofErr w:type="spellEnd"/>
            <w:r w:rsidRPr="00D46150">
              <w:rPr>
                <w:sz w:val="18"/>
                <w:szCs w:val="18"/>
              </w:rPr>
              <w:t xml:space="preserve"> on Local Development.</w:t>
            </w:r>
          </w:p>
        </w:tc>
        <w:tc>
          <w:tcPr>
            <w:tcW w:w="1689" w:type="dxa"/>
          </w:tcPr>
          <w:p w:rsidR="000E151A" w:rsidRPr="00D46150" w:rsidRDefault="000E151A" w:rsidP="000E151A">
            <w:pPr>
              <w:tabs>
                <w:tab w:val="left" w:pos="1080"/>
              </w:tabs>
              <w:rPr>
                <w:sz w:val="18"/>
                <w:szCs w:val="18"/>
              </w:rPr>
            </w:pPr>
            <w:r w:rsidRPr="00D46150">
              <w:rPr>
                <w:sz w:val="18"/>
                <w:szCs w:val="18"/>
              </w:rPr>
              <w:t>March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Pr="00D46150" w:rsidRDefault="000E151A" w:rsidP="000E151A">
            <w:pPr>
              <w:tabs>
                <w:tab w:val="left" w:pos="1080"/>
              </w:tabs>
              <w:rPr>
                <w:sz w:val="18"/>
                <w:szCs w:val="18"/>
              </w:rPr>
            </w:pPr>
          </w:p>
        </w:tc>
        <w:tc>
          <w:tcPr>
            <w:tcW w:w="1581" w:type="dxa"/>
          </w:tcPr>
          <w:p w:rsidR="000E151A" w:rsidRPr="008E53E4" w:rsidRDefault="000E151A" w:rsidP="000E151A">
            <w:pPr>
              <w:tabs>
                <w:tab w:val="left" w:pos="1080"/>
              </w:tabs>
            </w:pPr>
          </w:p>
        </w:tc>
        <w:tc>
          <w:tcPr>
            <w:tcW w:w="1700" w:type="dxa"/>
          </w:tcPr>
          <w:p w:rsidR="000E151A" w:rsidRPr="008E53E4" w:rsidRDefault="000E151A" w:rsidP="000E151A">
            <w:pPr>
              <w:tabs>
                <w:tab w:val="left" w:pos="1080"/>
              </w:tabs>
            </w:pPr>
            <w:r w:rsidRPr="001A6BE6">
              <w:rPr>
                <w:sz w:val="18"/>
                <w:szCs w:val="18"/>
              </w:rPr>
              <w:t>Ongoing</w:t>
            </w:r>
          </w:p>
        </w:tc>
      </w:tr>
      <w:tr w:rsidR="000E151A" w:rsidRPr="00DD48B2" w:rsidTr="005F38ED">
        <w:tc>
          <w:tcPr>
            <w:tcW w:w="2453" w:type="dxa"/>
          </w:tcPr>
          <w:p w:rsidR="000E151A" w:rsidRPr="00DD48B2" w:rsidRDefault="000E151A" w:rsidP="000E151A">
            <w:pPr>
              <w:tabs>
                <w:tab w:val="left" w:pos="1080"/>
              </w:tabs>
              <w:rPr>
                <w:sz w:val="18"/>
                <w:szCs w:val="18"/>
              </w:rPr>
            </w:pPr>
            <w:r>
              <w:rPr>
                <w:sz w:val="18"/>
                <w:szCs w:val="18"/>
              </w:rPr>
              <w:t xml:space="preserve">14.2 </w:t>
            </w:r>
            <w:r w:rsidRPr="00D46150">
              <w:rPr>
                <w:sz w:val="18"/>
                <w:szCs w:val="18"/>
              </w:rPr>
              <w:t xml:space="preserve">Organize </w:t>
            </w:r>
            <w:proofErr w:type="spellStart"/>
            <w:r w:rsidRPr="00D46150">
              <w:rPr>
                <w:sz w:val="18"/>
                <w:szCs w:val="18"/>
              </w:rPr>
              <w:t>ToT</w:t>
            </w:r>
            <w:proofErr w:type="spellEnd"/>
            <w:r w:rsidRPr="00D46150">
              <w:rPr>
                <w:sz w:val="18"/>
                <w:szCs w:val="18"/>
              </w:rPr>
              <w:t xml:space="preserve"> sessions and curriculum development by Jordanian and international professors through Skype meetings and email communication and agree on the dates of TOT session at Jordan University.</w:t>
            </w:r>
            <w:r w:rsidRPr="00DD48B2">
              <w:rPr>
                <w:rFonts w:ascii="Helvetica" w:hAnsi="Helvetica"/>
                <w:color w:val="333E48"/>
                <w:sz w:val="18"/>
                <w:szCs w:val="18"/>
                <w:shd w:val="clear" w:color="auto" w:fill="FFFFFF"/>
              </w:rPr>
              <w:t xml:space="preserve"> </w:t>
            </w:r>
          </w:p>
        </w:tc>
        <w:tc>
          <w:tcPr>
            <w:tcW w:w="1689" w:type="dxa"/>
          </w:tcPr>
          <w:p w:rsidR="000E151A" w:rsidRDefault="000E151A" w:rsidP="000E151A">
            <w:pPr>
              <w:tabs>
                <w:tab w:val="left" w:pos="1080"/>
              </w:tabs>
              <w:rPr>
                <w:sz w:val="18"/>
                <w:szCs w:val="18"/>
              </w:rPr>
            </w:pPr>
            <w:r>
              <w:rPr>
                <w:sz w:val="18"/>
                <w:szCs w:val="18"/>
              </w:rPr>
              <w:t>Curriculum development: March 2019</w:t>
            </w:r>
          </w:p>
          <w:p w:rsidR="000E151A" w:rsidRPr="00DD48B2" w:rsidRDefault="000E151A" w:rsidP="000E151A">
            <w:pPr>
              <w:tabs>
                <w:tab w:val="left" w:pos="1080"/>
              </w:tabs>
              <w:rPr>
                <w:sz w:val="18"/>
                <w:szCs w:val="18"/>
              </w:rPr>
            </w:pPr>
            <w:proofErr w:type="spellStart"/>
            <w:r>
              <w:rPr>
                <w:sz w:val="18"/>
                <w:szCs w:val="18"/>
              </w:rPr>
              <w:t>ToT</w:t>
            </w:r>
            <w:proofErr w:type="spellEnd"/>
            <w:r>
              <w:rPr>
                <w:sz w:val="18"/>
                <w:szCs w:val="18"/>
              </w:rPr>
              <w:t xml:space="preserve"> sessions: April/ </w:t>
            </w:r>
            <w:r w:rsidRPr="00DD48B2">
              <w:rPr>
                <w:sz w:val="18"/>
                <w:szCs w:val="18"/>
              </w:rPr>
              <w:t>June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Pr="00DD48B2" w:rsidRDefault="000E151A" w:rsidP="000E151A">
            <w:pPr>
              <w:tabs>
                <w:tab w:val="left" w:pos="1080"/>
              </w:tabs>
              <w:rPr>
                <w:sz w:val="18"/>
                <w:szCs w:val="18"/>
              </w:rPr>
            </w:pPr>
          </w:p>
        </w:tc>
        <w:tc>
          <w:tcPr>
            <w:tcW w:w="1581" w:type="dxa"/>
          </w:tcPr>
          <w:p w:rsidR="000E151A" w:rsidRPr="00DD48B2" w:rsidRDefault="000E151A" w:rsidP="000E151A">
            <w:pPr>
              <w:tabs>
                <w:tab w:val="left" w:pos="1080"/>
              </w:tabs>
              <w:rPr>
                <w:sz w:val="18"/>
                <w:szCs w:val="18"/>
              </w:rPr>
            </w:pPr>
          </w:p>
        </w:tc>
        <w:tc>
          <w:tcPr>
            <w:tcW w:w="1700" w:type="dxa"/>
          </w:tcPr>
          <w:p w:rsidR="000E151A" w:rsidRPr="00DD48B2" w:rsidRDefault="000E151A" w:rsidP="000E151A">
            <w:pPr>
              <w:tabs>
                <w:tab w:val="left" w:pos="1080"/>
              </w:tabs>
              <w:rPr>
                <w:sz w:val="18"/>
                <w:szCs w:val="18"/>
              </w:rPr>
            </w:pPr>
            <w:r>
              <w:rPr>
                <w:sz w:val="18"/>
                <w:szCs w:val="18"/>
              </w:rPr>
              <w:t>Ongoing</w:t>
            </w:r>
          </w:p>
        </w:tc>
      </w:tr>
      <w:tr w:rsidR="000E151A" w:rsidRPr="00962FC5" w:rsidTr="005F38ED">
        <w:tc>
          <w:tcPr>
            <w:tcW w:w="2453" w:type="dxa"/>
          </w:tcPr>
          <w:p w:rsidR="000E151A" w:rsidRPr="0047133F" w:rsidRDefault="000E151A" w:rsidP="000E151A">
            <w:pPr>
              <w:tabs>
                <w:tab w:val="left" w:pos="1080"/>
              </w:tabs>
              <w:rPr>
                <w:sz w:val="18"/>
                <w:szCs w:val="18"/>
              </w:rPr>
            </w:pPr>
            <w:r>
              <w:rPr>
                <w:sz w:val="18"/>
                <w:szCs w:val="18"/>
              </w:rPr>
              <w:t xml:space="preserve">14.3 </w:t>
            </w:r>
            <w:r w:rsidRPr="0047133F">
              <w:rPr>
                <w:sz w:val="18"/>
                <w:szCs w:val="18"/>
              </w:rPr>
              <w:t xml:space="preserve">Liaise with </w:t>
            </w:r>
            <w:r>
              <w:rPr>
                <w:sz w:val="18"/>
                <w:szCs w:val="18"/>
              </w:rPr>
              <w:t xml:space="preserve">the </w:t>
            </w:r>
            <w:r w:rsidRPr="0047133F">
              <w:rPr>
                <w:sz w:val="18"/>
                <w:szCs w:val="18"/>
              </w:rPr>
              <w:t xml:space="preserve">management </w:t>
            </w:r>
            <w:r>
              <w:rPr>
                <w:sz w:val="18"/>
                <w:szCs w:val="18"/>
              </w:rPr>
              <w:t xml:space="preserve">of the </w:t>
            </w:r>
            <w:r w:rsidRPr="0047133F">
              <w:rPr>
                <w:sz w:val="18"/>
                <w:szCs w:val="18"/>
              </w:rPr>
              <w:t>University of Jordan on the accreditation process of both Master and Diploma courses.</w:t>
            </w:r>
          </w:p>
        </w:tc>
        <w:tc>
          <w:tcPr>
            <w:tcW w:w="1689" w:type="dxa"/>
          </w:tcPr>
          <w:p w:rsidR="000E151A" w:rsidRPr="0047133F" w:rsidRDefault="000E151A" w:rsidP="000E151A">
            <w:pPr>
              <w:tabs>
                <w:tab w:val="left" w:pos="1080"/>
              </w:tabs>
              <w:rPr>
                <w:sz w:val="18"/>
                <w:szCs w:val="18"/>
              </w:rPr>
            </w:pPr>
            <w:r w:rsidRPr="0047133F">
              <w:rPr>
                <w:sz w:val="18"/>
                <w:szCs w:val="18"/>
              </w:rPr>
              <w:t>March 2019</w:t>
            </w:r>
          </w:p>
        </w:tc>
        <w:tc>
          <w:tcPr>
            <w:tcW w:w="1819" w:type="dxa"/>
          </w:tcPr>
          <w:p w:rsidR="000E151A" w:rsidRDefault="000E151A" w:rsidP="000E151A">
            <w:pPr>
              <w:tabs>
                <w:tab w:val="left" w:pos="1080"/>
              </w:tabs>
              <w:rPr>
                <w:sz w:val="18"/>
                <w:szCs w:val="18"/>
              </w:rPr>
            </w:pPr>
            <w:proofErr w:type="spellStart"/>
            <w:r w:rsidRPr="00D46150">
              <w:rPr>
                <w:sz w:val="18"/>
                <w:szCs w:val="18"/>
              </w:rPr>
              <w:t>Asma</w:t>
            </w:r>
            <w:proofErr w:type="spellEnd"/>
            <w:r w:rsidRPr="00D46150">
              <w:rPr>
                <w:sz w:val="18"/>
                <w:szCs w:val="18"/>
              </w:rPr>
              <w:t xml:space="preserve"> </w:t>
            </w:r>
            <w:proofErr w:type="spellStart"/>
            <w:r w:rsidRPr="00D46150">
              <w:rPr>
                <w:sz w:val="18"/>
                <w:szCs w:val="18"/>
              </w:rPr>
              <w:t>Fashho</w:t>
            </w:r>
            <w:proofErr w:type="spellEnd"/>
            <w:r w:rsidRPr="00D46150">
              <w:rPr>
                <w:sz w:val="18"/>
                <w:szCs w:val="18"/>
              </w:rPr>
              <w:t xml:space="preserve">, </w:t>
            </w:r>
            <w:proofErr w:type="spellStart"/>
            <w:r w:rsidRPr="00D46150">
              <w:rPr>
                <w:sz w:val="18"/>
                <w:szCs w:val="18"/>
              </w:rPr>
              <w:t>Programme</w:t>
            </w:r>
            <w:proofErr w:type="spellEnd"/>
            <w:r w:rsidRPr="00D46150">
              <w:rPr>
                <w:sz w:val="18"/>
                <w:szCs w:val="18"/>
              </w:rPr>
              <w:t xml:space="preserve"> Officer, UNDP</w:t>
            </w:r>
          </w:p>
          <w:p w:rsidR="000E151A" w:rsidRPr="008E53E4" w:rsidRDefault="000E151A" w:rsidP="000E151A">
            <w:pPr>
              <w:tabs>
                <w:tab w:val="left" w:pos="1080"/>
              </w:tabs>
            </w:pPr>
          </w:p>
        </w:tc>
        <w:tc>
          <w:tcPr>
            <w:tcW w:w="1581" w:type="dxa"/>
          </w:tcPr>
          <w:p w:rsidR="000E151A" w:rsidRPr="00962FC5" w:rsidRDefault="000E151A" w:rsidP="000E151A">
            <w:pPr>
              <w:tabs>
                <w:tab w:val="left" w:pos="1080"/>
              </w:tabs>
              <w:rPr>
                <w:sz w:val="18"/>
                <w:szCs w:val="18"/>
              </w:rPr>
            </w:pPr>
          </w:p>
        </w:tc>
        <w:tc>
          <w:tcPr>
            <w:tcW w:w="1700" w:type="dxa"/>
          </w:tcPr>
          <w:p w:rsidR="000E151A" w:rsidRPr="00962FC5" w:rsidRDefault="000E151A" w:rsidP="000E151A">
            <w:pPr>
              <w:tabs>
                <w:tab w:val="left" w:pos="1080"/>
              </w:tabs>
              <w:rPr>
                <w:sz w:val="18"/>
                <w:szCs w:val="18"/>
              </w:rPr>
            </w:pPr>
            <w:r>
              <w:rPr>
                <w:sz w:val="18"/>
                <w:szCs w:val="18"/>
              </w:rPr>
              <w:t xml:space="preserve">Completed </w:t>
            </w:r>
          </w:p>
        </w:tc>
      </w:tr>
    </w:tbl>
    <w:p w:rsidR="00A17E70" w:rsidRDefault="00A17E70"/>
    <w:p w:rsidR="0012514D" w:rsidRPr="00CE12D5" w:rsidRDefault="0012514D"/>
    <w:sectPr w:rsidR="0012514D" w:rsidRPr="00CE1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D6" w:rsidRDefault="004246D6" w:rsidP="00142EC1">
      <w:pPr>
        <w:spacing w:after="0" w:line="240" w:lineRule="auto"/>
      </w:pPr>
      <w:r>
        <w:separator/>
      </w:r>
    </w:p>
  </w:endnote>
  <w:endnote w:type="continuationSeparator" w:id="0">
    <w:p w:rsidR="004246D6" w:rsidRDefault="004246D6" w:rsidP="0014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D6" w:rsidRDefault="004246D6" w:rsidP="00142EC1">
      <w:pPr>
        <w:spacing w:after="0" w:line="240" w:lineRule="auto"/>
      </w:pPr>
      <w:r>
        <w:separator/>
      </w:r>
    </w:p>
  </w:footnote>
  <w:footnote w:type="continuationSeparator" w:id="0">
    <w:p w:rsidR="004246D6" w:rsidRDefault="004246D6" w:rsidP="00142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AC4"/>
    <w:multiLevelType w:val="hybridMultilevel"/>
    <w:tmpl w:val="CBC4D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34427A"/>
    <w:multiLevelType w:val="hybridMultilevel"/>
    <w:tmpl w:val="F412187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63DF2C77"/>
    <w:multiLevelType w:val="hybridMultilevel"/>
    <w:tmpl w:val="22C42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D2102"/>
    <w:multiLevelType w:val="hybridMultilevel"/>
    <w:tmpl w:val="DF0C4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C1"/>
    <w:rsid w:val="00012496"/>
    <w:rsid w:val="0008302F"/>
    <w:rsid w:val="0009587B"/>
    <w:rsid w:val="000E151A"/>
    <w:rsid w:val="000E7194"/>
    <w:rsid w:val="0012514D"/>
    <w:rsid w:val="00142EC1"/>
    <w:rsid w:val="00146646"/>
    <w:rsid w:val="00147352"/>
    <w:rsid w:val="0016289E"/>
    <w:rsid w:val="001642E4"/>
    <w:rsid w:val="0019379C"/>
    <w:rsid w:val="001A069E"/>
    <w:rsid w:val="001A15AA"/>
    <w:rsid w:val="001A28A9"/>
    <w:rsid w:val="001A6BE6"/>
    <w:rsid w:val="001B1630"/>
    <w:rsid w:val="001C215D"/>
    <w:rsid w:val="00207C9C"/>
    <w:rsid w:val="002677F6"/>
    <w:rsid w:val="00270FE1"/>
    <w:rsid w:val="0027370D"/>
    <w:rsid w:val="0027476B"/>
    <w:rsid w:val="0028390C"/>
    <w:rsid w:val="002A63B7"/>
    <w:rsid w:val="002C33C7"/>
    <w:rsid w:val="002E2741"/>
    <w:rsid w:val="00314EA2"/>
    <w:rsid w:val="00321206"/>
    <w:rsid w:val="00326FFE"/>
    <w:rsid w:val="0033717C"/>
    <w:rsid w:val="0035361E"/>
    <w:rsid w:val="00372B75"/>
    <w:rsid w:val="003C195E"/>
    <w:rsid w:val="003C1BB1"/>
    <w:rsid w:val="003C38FE"/>
    <w:rsid w:val="003C4459"/>
    <w:rsid w:val="003D101E"/>
    <w:rsid w:val="003E6D23"/>
    <w:rsid w:val="004013AE"/>
    <w:rsid w:val="004116A3"/>
    <w:rsid w:val="004246D6"/>
    <w:rsid w:val="004537A6"/>
    <w:rsid w:val="00470E73"/>
    <w:rsid w:val="0047133F"/>
    <w:rsid w:val="00480172"/>
    <w:rsid w:val="004A40EB"/>
    <w:rsid w:val="004A504B"/>
    <w:rsid w:val="004B1795"/>
    <w:rsid w:val="004B2EEA"/>
    <w:rsid w:val="004F7497"/>
    <w:rsid w:val="00547CDF"/>
    <w:rsid w:val="00561453"/>
    <w:rsid w:val="005678B0"/>
    <w:rsid w:val="0058252C"/>
    <w:rsid w:val="005969E6"/>
    <w:rsid w:val="00597DB3"/>
    <w:rsid w:val="005A039A"/>
    <w:rsid w:val="005A5A2C"/>
    <w:rsid w:val="005F38ED"/>
    <w:rsid w:val="00604FD1"/>
    <w:rsid w:val="00622240"/>
    <w:rsid w:val="0062289C"/>
    <w:rsid w:val="0064373E"/>
    <w:rsid w:val="00651399"/>
    <w:rsid w:val="00652556"/>
    <w:rsid w:val="00656D77"/>
    <w:rsid w:val="00682B1A"/>
    <w:rsid w:val="00690996"/>
    <w:rsid w:val="00691EF0"/>
    <w:rsid w:val="00692675"/>
    <w:rsid w:val="00694278"/>
    <w:rsid w:val="00695E70"/>
    <w:rsid w:val="006D0387"/>
    <w:rsid w:val="006F5F93"/>
    <w:rsid w:val="007530BB"/>
    <w:rsid w:val="007878ED"/>
    <w:rsid w:val="007953DA"/>
    <w:rsid w:val="007D6F0A"/>
    <w:rsid w:val="008001F7"/>
    <w:rsid w:val="00821A55"/>
    <w:rsid w:val="00822BBC"/>
    <w:rsid w:val="00827897"/>
    <w:rsid w:val="00830352"/>
    <w:rsid w:val="0087127A"/>
    <w:rsid w:val="008963FA"/>
    <w:rsid w:val="008B0261"/>
    <w:rsid w:val="008E53E4"/>
    <w:rsid w:val="008F3C8E"/>
    <w:rsid w:val="008F5E93"/>
    <w:rsid w:val="00914D37"/>
    <w:rsid w:val="00962FC5"/>
    <w:rsid w:val="009C0034"/>
    <w:rsid w:val="009D7516"/>
    <w:rsid w:val="009E33F9"/>
    <w:rsid w:val="00A17E70"/>
    <w:rsid w:val="00A82018"/>
    <w:rsid w:val="00A9177C"/>
    <w:rsid w:val="00A924ED"/>
    <w:rsid w:val="00A9389F"/>
    <w:rsid w:val="00AA3700"/>
    <w:rsid w:val="00AD3F37"/>
    <w:rsid w:val="00B349CE"/>
    <w:rsid w:val="00B447B8"/>
    <w:rsid w:val="00B651D1"/>
    <w:rsid w:val="00B949F0"/>
    <w:rsid w:val="00BB7C39"/>
    <w:rsid w:val="00BF2161"/>
    <w:rsid w:val="00BF2D28"/>
    <w:rsid w:val="00C022DF"/>
    <w:rsid w:val="00C33A33"/>
    <w:rsid w:val="00CD180F"/>
    <w:rsid w:val="00CE12D5"/>
    <w:rsid w:val="00CF4E3D"/>
    <w:rsid w:val="00D44CD0"/>
    <w:rsid w:val="00D46150"/>
    <w:rsid w:val="00D63322"/>
    <w:rsid w:val="00D704D1"/>
    <w:rsid w:val="00DD48B2"/>
    <w:rsid w:val="00DE6CB0"/>
    <w:rsid w:val="00E01269"/>
    <w:rsid w:val="00E0312B"/>
    <w:rsid w:val="00E05364"/>
    <w:rsid w:val="00E662FD"/>
    <w:rsid w:val="00E82BAE"/>
    <w:rsid w:val="00EB4323"/>
    <w:rsid w:val="00EE04C6"/>
    <w:rsid w:val="00F056D5"/>
    <w:rsid w:val="00F27544"/>
    <w:rsid w:val="00F374F3"/>
    <w:rsid w:val="00F52B90"/>
    <w:rsid w:val="00F80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2EE0"/>
  <w15:chartTrackingRefBased/>
  <w15:docId w15:val="{1FF3DC9F-ADED-46F2-BA54-1828B30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EC1"/>
    <w:pPr>
      <w:spacing w:after="200" w:line="276" w:lineRule="auto"/>
    </w:pPr>
    <w:rPr>
      <w:sz w:val="22"/>
      <w:szCs w:val="22"/>
    </w:rPr>
  </w:style>
  <w:style w:type="paragraph" w:styleId="Heading2">
    <w:name w:val="heading 2"/>
    <w:basedOn w:val="Normal"/>
    <w:next w:val="Normal"/>
    <w:link w:val="Heading2Char"/>
    <w:uiPriority w:val="9"/>
    <w:unhideWhenUsed/>
    <w:qFormat/>
    <w:rsid w:val="0012514D"/>
    <w:pPr>
      <w:keepNext/>
      <w:keepLines/>
      <w:spacing w:before="200" w:after="0"/>
      <w:outlineLvl w:val="1"/>
    </w:pPr>
    <w:rPr>
      <w:rFonts w:ascii="Calibri Light" w:eastAsia="Times New Roman" w:hAnsi="Calibri Light" w:cs="Times New Roman"/>
      <w:b/>
      <w:bCs/>
      <w:color w:val="4472C4"/>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fr,Footnote Ref in FtNote,Style 24,o,SUPERS"/>
    <w:uiPriority w:val="99"/>
    <w:rsid w:val="00142EC1"/>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142EC1"/>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142EC1"/>
    <w:rPr>
      <w:rFonts w:ascii="Times New Roman" w:eastAsia="Times New Roman" w:hAnsi="Times New Roman" w:cs="Times New Roman"/>
      <w:sz w:val="20"/>
      <w:szCs w:val="20"/>
    </w:rPr>
  </w:style>
  <w:style w:type="character" w:customStyle="1" w:styleId="Heading2Char">
    <w:name w:val="Heading 2 Char"/>
    <w:link w:val="Heading2"/>
    <w:uiPriority w:val="9"/>
    <w:rsid w:val="0012514D"/>
    <w:rPr>
      <w:rFonts w:ascii="Calibri Light" w:eastAsia="Times New Roman" w:hAnsi="Calibri Light" w:cs="Times New Roman"/>
      <w:b/>
      <w:bCs/>
      <w:color w:val="4472C4"/>
      <w:sz w:val="26"/>
      <w:szCs w:val="26"/>
      <w:lang w:val="fr-FR"/>
    </w:rPr>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
    <w:basedOn w:val="Normal"/>
    <w:link w:val="ListParagraphChar"/>
    <w:uiPriority w:val="99"/>
    <w:qFormat/>
    <w:rsid w:val="0012514D"/>
    <w:pPr>
      <w:ind w:left="720"/>
      <w:contextualSpacing/>
    </w:pPr>
    <w:rPr>
      <w:rFonts w:eastAsia="MS Mincho"/>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
    <w:link w:val="ListParagraph"/>
    <w:uiPriority w:val="99"/>
    <w:rsid w:val="0012514D"/>
    <w:rPr>
      <w:rFonts w:ascii="Calibri" w:eastAsia="MS Mincho" w:hAnsi="Calibri" w:cs="Arial"/>
    </w:rPr>
  </w:style>
  <w:style w:type="paragraph" w:customStyle="1" w:styleId="MMTitle">
    <w:name w:val="MM Title"/>
    <w:basedOn w:val="Title"/>
    <w:link w:val="MMTitleChar"/>
    <w:rsid w:val="001A069E"/>
    <w:pPr>
      <w:spacing w:before="0" w:after="0" w:line="240" w:lineRule="auto"/>
      <w:contextualSpacing/>
      <w:jc w:val="left"/>
      <w:outlineLvl w:val="9"/>
    </w:pPr>
    <w:rPr>
      <w:b w:val="0"/>
      <w:bCs w:val="0"/>
      <w:color w:val="323E4F"/>
      <w:spacing w:val="-10"/>
      <w:sz w:val="56"/>
      <w:szCs w:val="56"/>
      <w:lang w:eastAsia="ja-JP"/>
    </w:rPr>
  </w:style>
  <w:style w:type="character" w:customStyle="1" w:styleId="MMTitleChar">
    <w:name w:val="MM Title Char"/>
    <w:link w:val="MMTitle"/>
    <w:rsid w:val="001A069E"/>
    <w:rPr>
      <w:rFonts w:ascii="Calibri Light" w:eastAsia="Times New Roman" w:hAnsi="Calibri Light" w:cs="Times New Roman"/>
      <w:color w:val="323E4F"/>
      <w:spacing w:val="-10"/>
      <w:kern w:val="28"/>
      <w:sz w:val="56"/>
      <w:szCs w:val="56"/>
      <w:lang w:val="en-US" w:eastAsia="ja-JP"/>
    </w:rPr>
  </w:style>
  <w:style w:type="paragraph" w:styleId="Title">
    <w:name w:val="Title"/>
    <w:basedOn w:val="Normal"/>
    <w:next w:val="Normal"/>
    <w:link w:val="TitleChar"/>
    <w:uiPriority w:val="10"/>
    <w:qFormat/>
    <w:rsid w:val="001A069E"/>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1A069E"/>
    <w:rPr>
      <w:rFonts w:ascii="Calibri Light" w:eastAsia="Times New Roman" w:hAnsi="Calibri Light" w:cs="Times New Roman"/>
      <w:b/>
      <w:bCs/>
      <w:kern w:val="28"/>
      <w:sz w:val="32"/>
      <w:szCs w:val="32"/>
      <w:lang w:val="en-US" w:eastAsia="en-US"/>
    </w:rPr>
  </w:style>
  <w:style w:type="paragraph" w:styleId="BalloonText">
    <w:name w:val="Balloon Text"/>
    <w:basedOn w:val="Normal"/>
    <w:link w:val="BalloonTextChar"/>
    <w:uiPriority w:val="99"/>
    <w:semiHidden/>
    <w:unhideWhenUsed/>
    <w:rsid w:val="007D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5100">
      <w:bodyDiv w:val="1"/>
      <w:marLeft w:val="0"/>
      <w:marRight w:val="0"/>
      <w:marTop w:val="0"/>
      <w:marBottom w:val="0"/>
      <w:divBdr>
        <w:top w:val="none" w:sz="0" w:space="0" w:color="auto"/>
        <w:left w:val="none" w:sz="0" w:space="0" w:color="auto"/>
        <w:bottom w:val="none" w:sz="0" w:space="0" w:color="auto"/>
        <w:right w:val="none" w:sz="0" w:space="0" w:color="auto"/>
      </w:divBdr>
    </w:div>
    <w:div w:id="6992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3015</Words>
  <Characters>19085</Characters>
  <Application>Microsoft Office Word</Application>
  <DocSecurity>0</DocSecurity>
  <Lines>293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Nedal Alouran</dc:creator>
  <cp:keywords/>
  <dc:description/>
  <cp:lastModifiedBy>Richard Chambers</cp:lastModifiedBy>
  <cp:revision>3</cp:revision>
  <cp:lastPrinted>2019-03-20T08:32:00Z</cp:lastPrinted>
  <dcterms:created xsi:type="dcterms:W3CDTF">2019-03-21T13:17:00Z</dcterms:created>
  <dcterms:modified xsi:type="dcterms:W3CDTF">2019-03-21T14:14:00Z</dcterms:modified>
</cp:coreProperties>
</file>