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C6BF"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6EC3370B" w14:textId="77777777" w:rsidR="00E61BD7" w:rsidRPr="00BF5D14" w:rsidRDefault="00E61BD7" w:rsidP="00E61BD7">
      <w:pPr>
        <w:spacing w:after="0" w:line="240" w:lineRule="auto"/>
        <w:jc w:val="both"/>
        <w:rPr>
          <w:rFonts w:cstheme="minorHAnsi"/>
          <w:b/>
        </w:rPr>
      </w:pPr>
    </w:p>
    <w:p w14:paraId="5223A0E6"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3BE073CB" w14:textId="77777777" w:rsidR="00E61BD7" w:rsidRPr="00BF5D14" w:rsidRDefault="00E61BD7" w:rsidP="00E61BD7">
      <w:pPr>
        <w:spacing w:after="0" w:line="240" w:lineRule="auto"/>
        <w:jc w:val="both"/>
        <w:rPr>
          <w:rFonts w:cstheme="minorHAnsi"/>
        </w:rPr>
      </w:pPr>
      <w:r w:rsidRPr="00BF5D14">
        <w:rPr>
          <w:rFonts w:cstheme="minorHAnsi"/>
          <w:b/>
        </w:rPr>
        <w:t>[Name of the Evaluation]</w:t>
      </w:r>
      <w:r w:rsidRPr="00BF5D14">
        <w:rPr>
          <w:rFonts w:cstheme="minorHAnsi"/>
        </w:rPr>
        <w:t xml:space="preserve"> Date:</w:t>
      </w:r>
    </w:p>
    <w:p w14:paraId="2CC6FD3A" w14:textId="77777777" w:rsidR="00E61BD7" w:rsidRPr="00BF5D14" w:rsidRDefault="00E61BD7" w:rsidP="00E61BD7">
      <w:pPr>
        <w:spacing w:after="0" w:line="240" w:lineRule="auto"/>
        <w:ind w:left="5040" w:firstLine="720"/>
        <w:jc w:val="both"/>
        <w:rPr>
          <w:rFonts w:cstheme="minorHAnsi"/>
        </w:rPr>
      </w:pPr>
    </w:p>
    <w:p w14:paraId="68ED62AC" w14:textId="3A244632"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w:t>
      </w:r>
      <w:r w:rsidR="000E5250" w:rsidRPr="00BF5D14">
        <w:rPr>
          <w:rFonts w:cstheme="minorHAnsi"/>
        </w:rPr>
        <w:t>by</w:t>
      </w:r>
      <w:r w:rsidRPr="00BF5D14">
        <w:rPr>
          <w:rFonts w:cstheme="minorHAnsi"/>
        </w:rPr>
        <w:t xml:space="preserve">   </w:t>
      </w:r>
      <w:r w:rsidR="000E5250">
        <w:rPr>
          <w:rFonts w:cstheme="minorHAnsi"/>
        </w:rPr>
        <w:t>Cristina Veloso</w:t>
      </w:r>
      <w:r w:rsidRPr="00BF5D14">
        <w:rPr>
          <w:rFonts w:cstheme="minorHAnsi"/>
        </w:rPr>
        <w:tab/>
        <w:t>Position:</w:t>
      </w:r>
      <w:r w:rsidR="000E5250">
        <w:rPr>
          <w:rFonts w:cstheme="minorHAnsi"/>
        </w:rPr>
        <w:t xml:space="preserve"> Program Analyst</w:t>
      </w:r>
      <w:r w:rsidRPr="00BF5D14">
        <w:rPr>
          <w:rFonts w:cstheme="minorHAnsi"/>
        </w:rPr>
        <w:tab/>
      </w:r>
      <w:r w:rsidRPr="00BF5D14">
        <w:rPr>
          <w:rFonts w:cstheme="minorHAnsi"/>
        </w:rPr>
        <w:tab/>
        <w:t>Unit/Bureau:</w:t>
      </w:r>
      <w:r w:rsidR="000E5250">
        <w:rPr>
          <w:rFonts w:cstheme="minorHAnsi"/>
        </w:rPr>
        <w:t xml:space="preserve"> STP</w:t>
      </w:r>
    </w:p>
    <w:p w14:paraId="75EF610F" w14:textId="0945F55A"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 xml:space="preserve">Cleared </w:t>
      </w:r>
      <w:r w:rsidR="000E5250" w:rsidRPr="00BF5D14">
        <w:rPr>
          <w:rFonts w:cstheme="minorHAnsi"/>
        </w:rPr>
        <w:t>by</w:t>
      </w:r>
      <w:r w:rsidR="000E5250">
        <w:rPr>
          <w:rFonts w:cstheme="minorHAnsi"/>
        </w:rPr>
        <w:t xml:space="preserve"> Maria Mendizabal</w:t>
      </w:r>
      <w:r w:rsidRPr="00BF5D14">
        <w:rPr>
          <w:rFonts w:cstheme="minorHAnsi"/>
        </w:rPr>
        <w:tab/>
        <w:t>Position:</w:t>
      </w:r>
      <w:r w:rsidR="000E5250">
        <w:rPr>
          <w:rFonts w:cstheme="minorHAnsi"/>
        </w:rPr>
        <w:t xml:space="preserve"> Portfolio Manager</w:t>
      </w:r>
      <w:r w:rsidRPr="00BF5D14">
        <w:rPr>
          <w:rFonts w:cstheme="minorHAnsi"/>
        </w:rPr>
        <w:tab/>
      </w:r>
      <w:r w:rsidRPr="00BF5D14">
        <w:rPr>
          <w:rFonts w:cstheme="minorHAnsi"/>
        </w:rPr>
        <w:tab/>
        <w:t>Unit/Bureau:</w:t>
      </w:r>
      <w:r w:rsidR="000E5250">
        <w:rPr>
          <w:rFonts w:cstheme="minorHAnsi"/>
        </w:rPr>
        <w:t xml:space="preserve"> STP</w:t>
      </w:r>
    </w:p>
    <w:p w14:paraId="7B6B70F6" w14:textId="6D79A6F9"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0E5250">
        <w:rPr>
          <w:rFonts w:cstheme="minorHAnsi"/>
        </w:rPr>
        <w:t xml:space="preserve"> Claudio Vicente</w:t>
      </w:r>
      <w:r w:rsidRPr="00BF5D14">
        <w:rPr>
          <w:rFonts w:cstheme="minorHAnsi"/>
        </w:rPr>
        <w:tab/>
        <w:t>Position:</w:t>
      </w:r>
      <w:r w:rsidR="000E5250">
        <w:rPr>
          <w:rFonts w:cstheme="minorHAnsi"/>
        </w:rPr>
        <w:t xml:space="preserve"> Administrative Associate</w:t>
      </w:r>
      <w:r w:rsidRPr="00BF5D14">
        <w:rPr>
          <w:rFonts w:cstheme="minorHAnsi"/>
        </w:rPr>
        <w:tab/>
      </w:r>
      <w:r w:rsidRPr="00BF5D14">
        <w:rPr>
          <w:rFonts w:cstheme="minorHAnsi"/>
        </w:rPr>
        <w:tab/>
        <w:t>Unit/Bureau:</w:t>
      </w:r>
      <w:r w:rsidR="000E5250">
        <w:rPr>
          <w:rFonts w:cstheme="minorHAnsi"/>
        </w:rPr>
        <w:t xml:space="preserve"> STP</w:t>
      </w:r>
    </w:p>
    <w:p w14:paraId="63D97896"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60"/>
        <w:gridCol w:w="1952"/>
        <w:gridCol w:w="1850"/>
        <w:gridCol w:w="1560"/>
        <w:gridCol w:w="1194"/>
      </w:tblGrid>
      <w:tr w:rsidR="000E5250" w:rsidRPr="008711DF" w14:paraId="36168CFE" w14:textId="77777777" w:rsidTr="000E5250">
        <w:tc>
          <w:tcPr>
            <w:tcW w:w="9016" w:type="dxa"/>
            <w:gridSpan w:val="5"/>
            <w:shd w:val="clear" w:color="auto" w:fill="EAF6F3"/>
          </w:tcPr>
          <w:p w14:paraId="28F41000" w14:textId="7C679764" w:rsidR="000E5250" w:rsidRPr="000E5250" w:rsidRDefault="000E5250" w:rsidP="000E5250">
            <w:pPr>
              <w:tabs>
                <w:tab w:val="left" w:pos="1080"/>
              </w:tabs>
              <w:spacing w:after="0" w:line="240" w:lineRule="auto"/>
              <w:jc w:val="both"/>
              <w:rPr>
                <w:rFonts w:cstheme="minorHAnsi"/>
                <w:b/>
                <w:bCs/>
                <w:color w:val="185262"/>
                <w:sz w:val="20"/>
                <w:szCs w:val="20"/>
              </w:rPr>
            </w:pPr>
            <w:r w:rsidRPr="000E5250">
              <w:rPr>
                <w:rStyle w:val="Strong"/>
                <w:b w:val="0"/>
                <w:bCs w:val="0"/>
                <w:sz w:val="20"/>
                <w:szCs w:val="20"/>
              </w:rPr>
              <w:t>Recommendation 1:</w:t>
            </w:r>
            <w:r w:rsidRPr="000E5250">
              <w:rPr>
                <w:b/>
                <w:bCs/>
                <w:sz w:val="20"/>
                <w:szCs w:val="20"/>
              </w:rPr>
              <w:t xml:space="preserve"> </w:t>
            </w:r>
            <w:r w:rsidRPr="00A8476E">
              <w:rPr>
                <w:rStyle w:val="Strong"/>
                <w:sz w:val="20"/>
                <w:szCs w:val="20"/>
              </w:rPr>
              <w:t>Institutionalize capacity building on climate resilient agricultural practices</w:t>
            </w:r>
          </w:p>
        </w:tc>
      </w:tr>
      <w:tr w:rsidR="000E5250" w:rsidRPr="008711DF" w14:paraId="1B8761C8" w14:textId="77777777" w:rsidTr="000E5250">
        <w:tc>
          <w:tcPr>
            <w:tcW w:w="9016" w:type="dxa"/>
            <w:gridSpan w:val="5"/>
            <w:shd w:val="clear" w:color="auto" w:fill="EAF6F3"/>
          </w:tcPr>
          <w:p w14:paraId="1A2BC092" w14:textId="26C51836" w:rsidR="000E5250" w:rsidRPr="008711DF" w:rsidRDefault="000E5250" w:rsidP="000E5250">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A8476E">
              <w:rPr>
                <w:lang w:val="en-US"/>
              </w:rPr>
              <w:t xml:space="preserve"> </w:t>
            </w:r>
            <w:r w:rsidR="00A8476E" w:rsidRPr="00A8476E">
              <w:rPr>
                <w:rStyle w:val="Strong"/>
                <w:b w:val="0"/>
                <w:bCs w:val="0"/>
                <w:sz w:val="20"/>
                <w:szCs w:val="20"/>
              </w:rPr>
              <w:t xml:space="preserve">Establish a Climate Change focal point within the Ministry of Agriculture, Fisheries </w:t>
            </w:r>
            <w:proofErr w:type="spellStart"/>
            <w:r w:rsidR="00A8476E" w:rsidRPr="00A8476E">
              <w:rPr>
                <w:rStyle w:val="Strong"/>
                <w:b w:val="0"/>
                <w:bCs w:val="0"/>
                <w:sz w:val="20"/>
                <w:szCs w:val="20"/>
              </w:rPr>
              <w:t>ad</w:t>
            </w:r>
            <w:proofErr w:type="spellEnd"/>
            <w:r w:rsidR="00A8476E" w:rsidRPr="00A8476E">
              <w:rPr>
                <w:rStyle w:val="Strong"/>
                <w:b w:val="0"/>
                <w:bCs w:val="0"/>
                <w:sz w:val="20"/>
                <w:szCs w:val="20"/>
              </w:rPr>
              <w:t xml:space="preserve"> Rural Development</w:t>
            </w:r>
          </w:p>
        </w:tc>
      </w:tr>
      <w:tr w:rsidR="000E5250" w:rsidRPr="008711DF" w14:paraId="402265A6" w14:textId="77777777" w:rsidTr="001D5737">
        <w:trPr>
          <w:trHeight w:val="135"/>
        </w:trPr>
        <w:tc>
          <w:tcPr>
            <w:tcW w:w="2460" w:type="dxa"/>
            <w:vMerge w:val="restart"/>
            <w:shd w:val="clear" w:color="auto" w:fill="EAF6F3"/>
          </w:tcPr>
          <w:p w14:paraId="33BEE6BC"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52" w:type="dxa"/>
            <w:vMerge w:val="restart"/>
            <w:shd w:val="clear" w:color="auto" w:fill="EAF6F3"/>
          </w:tcPr>
          <w:p w14:paraId="3DA6932A"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0" w:type="dxa"/>
            <w:vMerge w:val="restart"/>
            <w:shd w:val="clear" w:color="auto" w:fill="EAF6F3"/>
          </w:tcPr>
          <w:p w14:paraId="3A687612"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54" w:type="dxa"/>
            <w:gridSpan w:val="2"/>
            <w:shd w:val="clear" w:color="auto" w:fill="EAF6F3"/>
          </w:tcPr>
          <w:p w14:paraId="548652C6"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Tracking*</w:t>
            </w:r>
          </w:p>
        </w:tc>
      </w:tr>
      <w:tr w:rsidR="000E5250" w:rsidRPr="008711DF" w14:paraId="3543EF5D" w14:textId="77777777" w:rsidTr="001D5737">
        <w:trPr>
          <w:trHeight w:val="135"/>
        </w:trPr>
        <w:tc>
          <w:tcPr>
            <w:tcW w:w="2460" w:type="dxa"/>
            <w:vMerge/>
            <w:shd w:val="clear" w:color="auto" w:fill="F3F3F3"/>
          </w:tcPr>
          <w:p w14:paraId="02A2647B" w14:textId="77777777" w:rsidR="000E5250" w:rsidRPr="008711DF" w:rsidRDefault="000E5250" w:rsidP="000E5250">
            <w:pPr>
              <w:tabs>
                <w:tab w:val="left" w:pos="1080"/>
              </w:tabs>
              <w:spacing w:after="0" w:line="240" w:lineRule="auto"/>
              <w:jc w:val="both"/>
              <w:rPr>
                <w:rFonts w:cstheme="minorHAnsi"/>
                <w:color w:val="185262"/>
              </w:rPr>
            </w:pPr>
          </w:p>
        </w:tc>
        <w:tc>
          <w:tcPr>
            <w:tcW w:w="1952" w:type="dxa"/>
            <w:vMerge/>
            <w:shd w:val="clear" w:color="auto" w:fill="F3F3F3"/>
          </w:tcPr>
          <w:p w14:paraId="2AF567A0" w14:textId="77777777" w:rsidR="000E5250" w:rsidRPr="008711DF" w:rsidRDefault="000E5250" w:rsidP="000E5250">
            <w:pPr>
              <w:tabs>
                <w:tab w:val="left" w:pos="1080"/>
              </w:tabs>
              <w:spacing w:after="0" w:line="240" w:lineRule="auto"/>
              <w:jc w:val="both"/>
              <w:rPr>
                <w:rFonts w:cstheme="minorHAnsi"/>
                <w:b/>
                <w:color w:val="185262"/>
              </w:rPr>
            </w:pPr>
          </w:p>
        </w:tc>
        <w:tc>
          <w:tcPr>
            <w:tcW w:w="1850" w:type="dxa"/>
            <w:vMerge/>
            <w:shd w:val="clear" w:color="auto" w:fill="F3F3F3"/>
          </w:tcPr>
          <w:p w14:paraId="23952DA9" w14:textId="77777777" w:rsidR="000E5250" w:rsidRPr="008711DF" w:rsidRDefault="000E5250" w:rsidP="000E5250">
            <w:pPr>
              <w:tabs>
                <w:tab w:val="left" w:pos="1080"/>
              </w:tabs>
              <w:spacing w:after="0" w:line="240" w:lineRule="auto"/>
              <w:jc w:val="both"/>
              <w:rPr>
                <w:rFonts w:cstheme="minorHAnsi"/>
                <w:b/>
                <w:color w:val="185262"/>
              </w:rPr>
            </w:pPr>
          </w:p>
        </w:tc>
        <w:tc>
          <w:tcPr>
            <w:tcW w:w="1560" w:type="dxa"/>
          </w:tcPr>
          <w:p w14:paraId="2D057048"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4B1435C" w14:textId="77777777" w:rsidR="000E5250" w:rsidRPr="008711DF" w:rsidRDefault="000E5250" w:rsidP="000E5250">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F720C04"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0E5250" w:rsidRPr="008711DF" w14:paraId="348778AE" w14:textId="77777777" w:rsidTr="001D5737">
        <w:tc>
          <w:tcPr>
            <w:tcW w:w="2460" w:type="dxa"/>
          </w:tcPr>
          <w:p w14:paraId="0A428A92" w14:textId="535CCA41" w:rsidR="000E5250" w:rsidRPr="008711DF" w:rsidRDefault="000E5250" w:rsidP="000E5250">
            <w:pPr>
              <w:tabs>
                <w:tab w:val="left" w:pos="1080"/>
              </w:tabs>
              <w:spacing w:after="0" w:line="240" w:lineRule="auto"/>
              <w:jc w:val="both"/>
              <w:rPr>
                <w:rFonts w:cstheme="minorHAnsi"/>
                <w:color w:val="185262"/>
              </w:rPr>
            </w:pPr>
            <w:r w:rsidRPr="008711DF">
              <w:rPr>
                <w:rFonts w:cstheme="minorHAnsi"/>
                <w:color w:val="185262"/>
              </w:rPr>
              <w:t xml:space="preserve">1.1 </w:t>
            </w:r>
            <w:r>
              <w:rPr>
                <w:rFonts w:ascii="Calibri" w:hAnsi="Calibri"/>
                <w:color w:val="000000" w:themeColor="text1"/>
              </w:rPr>
              <w:t>Engage the government, in particular the Minister of Agriculture, t</w:t>
            </w:r>
            <w:r w:rsidRPr="00EA2B00">
              <w:rPr>
                <w:rFonts w:ascii="Calibri" w:hAnsi="Calibri"/>
                <w:color w:val="000000" w:themeColor="text1"/>
              </w:rPr>
              <w:t xml:space="preserve">o </w:t>
            </w:r>
            <w:r>
              <w:rPr>
                <w:rFonts w:ascii="Calibri" w:hAnsi="Calibri"/>
                <w:color w:val="000000" w:themeColor="text1"/>
              </w:rPr>
              <w:t>nominate</w:t>
            </w:r>
            <w:r w:rsidRPr="00EA2B00">
              <w:rPr>
                <w:rFonts w:ascii="Calibri" w:hAnsi="Calibri"/>
                <w:color w:val="000000" w:themeColor="text1"/>
              </w:rPr>
              <w:t xml:space="preserve"> a focal point on climate change and agriculture</w:t>
            </w:r>
            <w:r>
              <w:rPr>
                <w:rFonts w:ascii="Calibri" w:hAnsi="Calibri"/>
                <w:color w:val="000000" w:themeColor="text1"/>
              </w:rPr>
              <w:t xml:space="preserve"> within the ministry most appropriate department, probably the Planning Department, </w:t>
            </w:r>
            <w:r w:rsidRPr="00EA2B00">
              <w:rPr>
                <w:rFonts w:ascii="Calibri" w:hAnsi="Calibri"/>
                <w:color w:val="000000" w:themeColor="text1"/>
              </w:rPr>
              <w:t>to coordinate relevant climate adaptation activities and planning strategies and ensure the sustainability of the project results.</w:t>
            </w:r>
          </w:p>
        </w:tc>
        <w:tc>
          <w:tcPr>
            <w:tcW w:w="1952" w:type="dxa"/>
          </w:tcPr>
          <w:p w14:paraId="35CAB6F7" w14:textId="24CF4555" w:rsidR="000E5250" w:rsidRPr="008711DF" w:rsidRDefault="00A8476E" w:rsidP="000E5250">
            <w:pPr>
              <w:tabs>
                <w:tab w:val="left" w:pos="1080"/>
              </w:tabs>
              <w:spacing w:after="0" w:line="240" w:lineRule="auto"/>
              <w:jc w:val="both"/>
              <w:rPr>
                <w:rFonts w:cstheme="minorHAnsi"/>
                <w:color w:val="185262"/>
              </w:rPr>
            </w:pPr>
            <w:r w:rsidRPr="00A8476E">
              <w:rPr>
                <w:lang w:val="en-US"/>
              </w:rPr>
              <w:t>30/12/2020</w:t>
            </w:r>
          </w:p>
        </w:tc>
        <w:tc>
          <w:tcPr>
            <w:tcW w:w="1850" w:type="dxa"/>
          </w:tcPr>
          <w:p w14:paraId="3CD9F6D9" w14:textId="7A06B6DE" w:rsidR="000E5250" w:rsidRPr="008711DF" w:rsidRDefault="000E5250" w:rsidP="000E5250">
            <w:pPr>
              <w:tabs>
                <w:tab w:val="left" w:pos="1080"/>
              </w:tabs>
              <w:spacing w:after="0" w:line="240" w:lineRule="auto"/>
              <w:jc w:val="both"/>
              <w:rPr>
                <w:rFonts w:cstheme="minorHAnsi"/>
                <w:color w:val="185262"/>
              </w:rPr>
            </w:pPr>
            <w:r>
              <w:rPr>
                <w:lang w:val="en-US"/>
              </w:rPr>
              <w:t>UNDP</w:t>
            </w:r>
          </w:p>
        </w:tc>
        <w:tc>
          <w:tcPr>
            <w:tcW w:w="1560" w:type="dxa"/>
            <w:vAlign w:val="center"/>
          </w:tcPr>
          <w:p w14:paraId="0288DAF2" w14:textId="77777777" w:rsidR="000E5250" w:rsidRDefault="000E5250" w:rsidP="000E5250">
            <w:pPr>
              <w:rPr>
                <w:lang w:val="en-US"/>
              </w:rPr>
            </w:pPr>
            <w:r>
              <w:rPr>
                <w:lang w:val="en-US"/>
              </w:rPr>
              <w:t xml:space="preserve">Wide capacity building on climate change issues related to agriculture has been carried out by the project, thus the Ministry of Agriculture has technician at high and medium levels, able to become focal points for this issue and in charge of mainstreaming climate change in all interventions in the future. </w:t>
            </w:r>
            <w:r w:rsidRPr="004B5896">
              <w:rPr>
                <w:lang w:val="en-US"/>
              </w:rPr>
              <w:t xml:space="preserve"> </w:t>
            </w:r>
          </w:p>
          <w:p w14:paraId="10DFC9DD" w14:textId="574434C7" w:rsidR="000E5250" w:rsidRPr="008711DF" w:rsidRDefault="000E5250" w:rsidP="000E5250">
            <w:pPr>
              <w:tabs>
                <w:tab w:val="left" w:pos="1080"/>
              </w:tabs>
              <w:spacing w:after="0" w:line="240" w:lineRule="auto"/>
              <w:jc w:val="both"/>
              <w:rPr>
                <w:rFonts w:cstheme="minorHAnsi"/>
                <w:color w:val="185262"/>
              </w:rPr>
            </w:pPr>
            <w:r>
              <w:rPr>
                <w:lang w:val="en-US"/>
              </w:rPr>
              <w:t xml:space="preserve">UNDP has already prompted the Ministry’s </w:t>
            </w:r>
            <w:r>
              <w:rPr>
                <w:lang w:val="en-US"/>
              </w:rPr>
              <w:lastRenderedPageBreak/>
              <w:t xml:space="preserve">officials to use this capacity and develop and follow-up program to continue working on CC adaptation in the agricultural and cattle breeding sectors. </w:t>
            </w:r>
          </w:p>
        </w:tc>
        <w:tc>
          <w:tcPr>
            <w:tcW w:w="1194" w:type="dxa"/>
          </w:tcPr>
          <w:p w14:paraId="744FCD64" w14:textId="053D2199" w:rsidR="000E5250" w:rsidRPr="008711DF" w:rsidRDefault="00A8476E" w:rsidP="000E5250">
            <w:pPr>
              <w:tabs>
                <w:tab w:val="left" w:pos="1080"/>
              </w:tabs>
              <w:spacing w:after="0" w:line="240" w:lineRule="auto"/>
              <w:jc w:val="both"/>
              <w:rPr>
                <w:rFonts w:cstheme="minorHAnsi"/>
                <w:color w:val="185262"/>
              </w:rPr>
            </w:pPr>
            <w:r w:rsidRPr="00A8476E">
              <w:rPr>
                <w:lang w:val="en-US"/>
              </w:rPr>
              <w:lastRenderedPageBreak/>
              <w:t>Initiated</w:t>
            </w:r>
          </w:p>
        </w:tc>
      </w:tr>
    </w:tbl>
    <w:p w14:paraId="6C9C6FB6"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0E5250" w:rsidRPr="008711DF" w14:paraId="0618F0D1" w14:textId="77777777" w:rsidTr="000E5250">
        <w:tc>
          <w:tcPr>
            <w:tcW w:w="9016" w:type="dxa"/>
            <w:gridSpan w:val="5"/>
            <w:shd w:val="clear" w:color="auto" w:fill="EAF6F3"/>
          </w:tcPr>
          <w:p w14:paraId="487686AA" w14:textId="55FAA1C4" w:rsidR="000E5250" w:rsidRPr="000E5250" w:rsidRDefault="000E5250" w:rsidP="000E5250">
            <w:pPr>
              <w:tabs>
                <w:tab w:val="left" w:pos="1080"/>
              </w:tabs>
              <w:spacing w:after="0" w:line="240" w:lineRule="auto"/>
              <w:jc w:val="both"/>
              <w:rPr>
                <w:rFonts w:cstheme="minorHAnsi"/>
                <w:color w:val="185262"/>
                <w:sz w:val="20"/>
                <w:szCs w:val="20"/>
              </w:rPr>
            </w:pPr>
            <w:r w:rsidRPr="000E5250">
              <w:rPr>
                <w:rStyle w:val="Strong"/>
                <w:sz w:val="20"/>
                <w:szCs w:val="20"/>
              </w:rPr>
              <w:t>Recommendation 2: Strengthen the climate adaptation rationale in the project</w:t>
            </w:r>
          </w:p>
        </w:tc>
      </w:tr>
      <w:tr w:rsidR="000E5250" w:rsidRPr="008711DF" w14:paraId="462F1B7E" w14:textId="77777777" w:rsidTr="000E5250">
        <w:tc>
          <w:tcPr>
            <w:tcW w:w="9016" w:type="dxa"/>
            <w:gridSpan w:val="5"/>
            <w:shd w:val="clear" w:color="auto" w:fill="EAF6F3"/>
          </w:tcPr>
          <w:p w14:paraId="05DB393A" w14:textId="6C10FF45" w:rsidR="000E5250" w:rsidRPr="008711DF" w:rsidRDefault="000E5250" w:rsidP="000E5250">
            <w:pPr>
              <w:tabs>
                <w:tab w:val="left" w:pos="1080"/>
              </w:tabs>
              <w:spacing w:after="0" w:line="240" w:lineRule="auto"/>
              <w:jc w:val="both"/>
              <w:rPr>
                <w:rFonts w:cstheme="minorHAnsi"/>
                <w:color w:val="185262"/>
              </w:rPr>
            </w:pPr>
            <w:r w:rsidRPr="008711DF">
              <w:rPr>
                <w:rFonts w:cstheme="minorHAnsi"/>
                <w:color w:val="185262"/>
              </w:rPr>
              <w:t>Management response:</w:t>
            </w:r>
            <w:r w:rsidR="00A8476E">
              <w:rPr>
                <w:rFonts w:cstheme="minorHAnsi"/>
                <w:color w:val="185262"/>
              </w:rPr>
              <w:t xml:space="preserve"> </w:t>
            </w:r>
            <w:r w:rsidR="00A8476E" w:rsidRPr="00A8476E">
              <w:t>Supervise upcoming projects to better design focusing Climate Change risks and solutions</w:t>
            </w:r>
          </w:p>
        </w:tc>
      </w:tr>
      <w:tr w:rsidR="000E5250" w:rsidRPr="008711DF" w14:paraId="31443742" w14:textId="77777777" w:rsidTr="000E5250">
        <w:trPr>
          <w:trHeight w:val="135"/>
        </w:trPr>
        <w:tc>
          <w:tcPr>
            <w:tcW w:w="2627" w:type="dxa"/>
            <w:vMerge w:val="restart"/>
            <w:shd w:val="clear" w:color="auto" w:fill="EAF6F3"/>
          </w:tcPr>
          <w:p w14:paraId="183E9E2C"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7" w:type="dxa"/>
            <w:vMerge w:val="restart"/>
            <w:shd w:val="clear" w:color="auto" w:fill="EAF6F3"/>
          </w:tcPr>
          <w:p w14:paraId="3546B8F4"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9" w:type="dxa"/>
            <w:vMerge w:val="restart"/>
            <w:shd w:val="clear" w:color="auto" w:fill="EAF6F3"/>
          </w:tcPr>
          <w:p w14:paraId="7532409B"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23E55D97"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Tracking</w:t>
            </w:r>
          </w:p>
        </w:tc>
      </w:tr>
      <w:tr w:rsidR="000E5250" w:rsidRPr="008711DF" w14:paraId="2683AAFE" w14:textId="77777777" w:rsidTr="000E5250">
        <w:trPr>
          <w:trHeight w:val="135"/>
        </w:trPr>
        <w:tc>
          <w:tcPr>
            <w:tcW w:w="2627" w:type="dxa"/>
            <w:vMerge/>
            <w:shd w:val="clear" w:color="auto" w:fill="F3F3F3"/>
          </w:tcPr>
          <w:p w14:paraId="2108AACE" w14:textId="77777777" w:rsidR="000E5250" w:rsidRPr="008711DF" w:rsidRDefault="000E5250" w:rsidP="000E5250">
            <w:pPr>
              <w:tabs>
                <w:tab w:val="left" w:pos="1080"/>
              </w:tabs>
              <w:spacing w:after="0" w:line="240" w:lineRule="auto"/>
              <w:jc w:val="both"/>
              <w:rPr>
                <w:rFonts w:cstheme="minorHAnsi"/>
                <w:color w:val="185262"/>
              </w:rPr>
            </w:pPr>
          </w:p>
        </w:tc>
        <w:tc>
          <w:tcPr>
            <w:tcW w:w="2037" w:type="dxa"/>
            <w:vMerge/>
            <w:shd w:val="clear" w:color="auto" w:fill="F3F3F3"/>
          </w:tcPr>
          <w:p w14:paraId="648D73C8" w14:textId="77777777" w:rsidR="000E5250" w:rsidRPr="008711DF" w:rsidRDefault="000E5250" w:rsidP="000E5250">
            <w:pPr>
              <w:tabs>
                <w:tab w:val="left" w:pos="1080"/>
              </w:tabs>
              <w:spacing w:after="0" w:line="240" w:lineRule="auto"/>
              <w:jc w:val="both"/>
              <w:rPr>
                <w:rFonts w:cstheme="minorHAnsi"/>
                <w:b/>
                <w:color w:val="185262"/>
              </w:rPr>
            </w:pPr>
          </w:p>
        </w:tc>
        <w:tc>
          <w:tcPr>
            <w:tcW w:w="1929" w:type="dxa"/>
            <w:vMerge/>
            <w:shd w:val="clear" w:color="auto" w:fill="F3F3F3"/>
          </w:tcPr>
          <w:p w14:paraId="219F9C6B" w14:textId="77777777" w:rsidR="000E5250" w:rsidRPr="008711DF" w:rsidRDefault="000E5250" w:rsidP="000E5250">
            <w:pPr>
              <w:tabs>
                <w:tab w:val="left" w:pos="1080"/>
              </w:tabs>
              <w:spacing w:after="0" w:line="240" w:lineRule="auto"/>
              <w:jc w:val="both"/>
              <w:rPr>
                <w:rFonts w:cstheme="minorHAnsi"/>
                <w:b/>
                <w:color w:val="185262"/>
              </w:rPr>
            </w:pPr>
          </w:p>
        </w:tc>
        <w:tc>
          <w:tcPr>
            <w:tcW w:w="1229" w:type="dxa"/>
          </w:tcPr>
          <w:p w14:paraId="034089C5"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DF1F653"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E5250" w:rsidRPr="008711DF" w14:paraId="24031282" w14:textId="77777777" w:rsidTr="000E5250">
        <w:tc>
          <w:tcPr>
            <w:tcW w:w="2627" w:type="dxa"/>
          </w:tcPr>
          <w:p w14:paraId="24439EC7" w14:textId="41802D9B" w:rsidR="000E5250" w:rsidRPr="000E5250" w:rsidRDefault="000E5250" w:rsidP="00572FE6">
            <w:pPr>
              <w:rPr>
                <w:rFonts w:cstheme="minorHAnsi"/>
                <w:color w:val="185262"/>
                <w:lang w:val="en-US"/>
              </w:rPr>
            </w:pPr>
            <w:r w:rsidRPr="008711DF">
              <w:rPr>
                <w:rFonts w:cstheme="minorHAnsi"/>
                <w:color w:val="185262"/>
              </w:rPr>
              <w:t xml:space="preserve">2.1 </w:t>
            </w:r>
            <w:r>
              <w:rPr>
                <w:lang w:val="en-US"/>
              </w:rPr>
              <w:t xml:space="preserve">Regular meetings from Minister and his team in order to highlight the relevance of mainstreaming Climate risks into agriculture development projects from other partners such as FAO and the European Union </w:t>
            </w:r>
          </w:p>
        </w:tc>
        <w:tc>
          <w:tcPr>
            <w:tcW w:w="2037" w:type="dxa"/>
          </w:tcPr>
          <w:p w14:paraId="512EFD3A" w14:textId="019BDCB4" w:rsidR="000E5250" w:rsidRPr="008711DF" w:rsidRDefault="00A8476E" w:rsidP="000E5250">
            <w:pPr>
              <w:tabs>
                <w:tab w:val="left" w:pos="1080"/>
              </w:tabs>
              <w:spacing w:after="0" w:line="240" w:lineRule="auto"/>
              <w:jc w:val="both"/>
              <w:rPr>
                <w:rFonts w:cstheme="minorHAnsi"/>
                <w:color w:val="185262"/>
              </w:rPr>
            </w:pPr>
            <w:r w:rsidRPr="00572FE6">
              <w:rPr>
                <w:rFonts w:cstheme="minorHAnsi"/>
              </w:rPr>
              <w:t>30/12/2020</w:t>
            </w:r>
          </w:p>
        </w:tc>
        <w:tc>
          <w:tcPr>
            <w:tcW w:w="1929" w:type="dxa"/>
          </w:tcPr>
          <w:p w14:paraId="12B5781C" w14:textId="348B6745" w:rsidR="000E5250" w:rsidRPr="008711DF" w:rsidRDefault="000E5250" w:rsidP="000E5250">
            <w:pPr>
              <w:tabs>
                <w:tab w:val="left" w:pos="1080"/>
              </w:tabs>
              <w:spacing w:after="0" w:line="240" w:lineRule="auto"/>
              <w:jc w:val="both"/>
              <w:rPr>
                <w:rFonts w:cstheme="minorHAnsi"/>
                <w:color w:val="185262"/>
              </w:rPr>
            </w:pPr>
            <w:r>
              <w:rPr>
                <w:lang w:val="en-US"/>
              </w:rPr>
              <w:t>UNDP/Ministry</w:t>
            </w:r>
          </w:p>
        </w:tc>
        <w:tc>
          <w:tcPr>
            <w:tcW w:w="1229" w:type="dxa"/>
          </w:tcPr>
          <w:p w14:paraId="79DADD73" w14:textId="77777777" w:rsidR="000E5250" w:rsidRPr="004B5896" w:rsidRDefault="000E5250" w:rsidP="000E5250">
            <w:pPr>
              <w:rPr>
                <w:lang w:val="en-US"/>
              </w:rPr>
            </w:pPr>
            <w:r>
              <w:rPr>
                <w:lang w:val="en-US"/>
              </w:rPr>
              <w:t xml:space="preserve">Advocacy for this issue is a constant in meetings with minister and </w:t>
            </w:r>
            <w:r w:rsidRPr="004B5896">
              <w:rPr>
                <w:lang w:val="en-US"/>
              </w:rPr>
              <w:t>technicians</w:t>
            </w:r>
          </w:p>
          <w:p w14:paraId="56CD7C13" w14:textId="77777777" w:rsidR="000E5250" w:rsidRPr="000E5250" w:rsidRDefault="000E5250" w:rsidP="000E5250">
            <w:pPr>
              <w:tabs>
                <w:tab w:val="left" w:pos="1080"/>
              </w:tabs>
              <w:spacing w:after="0" w:line="240" w:lineRule="auto"/>
              <w:jc w:val="both"/>
              <w:rPr>
                <w:rFonts w:cstheme="minorHAnsi"/>
                <w:color w:val="185262"/>
                <w:lang w:val="en-US"/>
              </w:rPr>
            </w:pPr>
          </w:p>
        </w:tc>
        <w:tc>
          <w:tcPr>
            <w:tcW w:w="1194" w:type="dxa"/>
          </w:tcPr>
          <w:p w14:paraId="241DBDB2" w14:textId="4CB130D0" w:rsidR="000E5250" w:rsidRPr="008711DF" w:rsidRDefault="00572FE6" w:rsidP="000E5250">
            <w:pPr>
              <w:tabs>
                <w:tab w:val="left" w:pos="1080"/>
              </w:tabs>
              <w:spacing w:after="0" w:line="240" w:lineRule="auto"/>
              <w:jc w:val="both"/>
              <w:rPr>
                <w:rFonts w:cstheme="minorHAnsi"/>
                <w:color w:val="185262"/>
              </w:rPr>
            </w:pPr>
            <w:r w:rsidRPr="00572FE6">
              <w:rPr>
                <w:rFonts w:cstheme="minorHAnsi"/>
              </w:rPr>
              <w:t>Initiated</w:t>
            </w:r>
          </w:p>
        </w:tc>
      </w:tr>
    </w:tbl>
    <w:p w14:paraId="6B98E540"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74"/>
        <w:gridCol w:w="1875"/>
        <w:gridCol w:w="1853"/>
        <w:gridCol w:w="1620"/>
        <w:gridCol w:w="1194"/>
      </w:tblGrid>
      <w:tr w:rsidR="00E61BD7" w:rsidRPr="008711DF" w14:paraId="7EC3B68B" w14:textId="77777777" w:rsidTr="00654E42">
        <w:tc>
          <w:tcPr>
            <w:tcW w:w="9016" w:type="dxa"/>
            <w:gridSpan w:val="5"/>
            <w:shd w:val="clear" w:color="auto" w:fill="EAF6F3"/>
          </w:tcPr>
          <w:p w14:paraId="639FA682" w14:textId="5A8D24DF" w:rsidR="00E61BD7" w:rsidRPr="000E5250" w:rsidRDefault="00E61BD7" w:rsidP="00260FE5">
            <w:pPr>
              <w:tabs>
                <w:tab w:val="left" w:pos="1080"/>
              </w:tabs>
              <w:spacing w:after="0" w:line="240" w:lineRule="auto"/>
              <w:jc w:val="both"/>
              <w:rPr>
                <w:rFonts w:cstheme="minorHAnsi"/>
                <w:b/>
                <w:color w:val="185262"/>
                <w:sz w:val="20"/>
                <w:szCs w:val="20"/>
              </w:rPr>
            </w:pPr>
            <w:r w:rsidRPr="008711DF">
              <w:rPr>
                <w:rFonts w:cstheme="minorHAnsi"/>
                <w:color w:val="185262"/>
              </w:rPr>
              <w:br w:type="page"/>
            </w:r>
            <w:r w:rsidRPr="008711DF">
              <w:rPr>
                <w:rFonts w:cstheme="minorHAnsi"/>
                <w:b/>
                <w:color w:val="185262"/>
              </w:rPr>
              <w:t xml:space="preserve">Evaluation recommendation 3. </w:t>
            </w:r>
            <w:r w:rsidR="000E5250" w:rsidRPr="00B96C5A">
              <w:rPr>
                <w:rStyle w:val="Heading8Char"/>
                <w:sz w:val="28"/>
                <w:szCs w:val="28"/>
              </w:rPr>
              <w:t xml:space="preserve"> </w:t>
            </w:r>
            <w:r w:rsidR="000E5250" w:rsidRPr="00572FE6">
              <w:rPr>
                <w:rStyle w:val="Strong"/>
                <w:sz w:val="20"/>
                <w:szCs w:val="20"/>
              </w:rPr>
              <w:t>Introduction and scaling-up of innovative adaptation technologies must be fully planned from the project design stages and properly resourced</w:t>
            </w:r>
          </w:p>
        </w:tc>
      </w:tr>
      <w:tr w:rsidR="00E61BD7" w:rsidRPr="008711DF" w14:paraId="4B05ADF2" w14:textId="77777777" w:rsidTr="00654E42">
        <w:tc>
          <w:tcPr>
            <w:tcW w:w="9016" w:type="dxa"/>
            <w:gridSpan w:val="5"/>
            <w:shd w:val="clear" w:color="auto" w:fill="EAF6F3"/>
          </w:tcPr>
          <w:p w14:paraId="353EF339" w14:textId="6DD4A641"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A8476E" w:rsidRPr="00CB4943">
              <w:rPr>
                <w:lang w:val="en-US"/>
              </w:rPr>
              <w:t xml:space="preserve"> Ensure </w:t>
            </w:r>
            <w:r w:rsidR="00A8476E">
              <w:rPr>
                <w:lang w:val="en-US"/>
              </w:rPr>
              <w:t>piloting actions</w:t>
            </w:r>
          </w:p>
        </w:tc>
      </w:tr>
      <w:tr w:rsidR="00E61BD7" w:rsidRPr="008711DF" w14:paraId="2D86F29F" w14:textId="77777777" w:rsidTr="001D5737">
        <w:trPr>
          <w:trHeight w:val="135"/>
        </w:trPr>
        <w:tc>
          <w:tcPr>
            <w:tcW w:w="2474" w:type="dxa"/>
            <w:vMerge w:val="restart"/>
            <w:shd w:val="clear" w:color="auto" w:fill="EAF6F3"/>
          </w:tcPr>
          <w:p w14:paraId="33EEE76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5" w:type="dxa"/>
            <w:vMerge w:val="restart"/>
            <w:shd w:val="clear" w:color="auto" w:fill="EAF6F3"/>
          </w:tcPr>
          <w:p w14:paraId="6F2FD64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3" w:type="dxa"/>
            <w:vMerge w:val="restart"/>
            <w:shd w:val="clear" w:color="auto" w:fill="EAF6F3"/>
          </w:tcPr>
          <w:p w14:paraId="193CFBD3"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4" w:type="dxa"/>
            <w:gridSpan w:val="2"/>
            <w:shd w:val="clear" w:color="auto" w:fill="EAF6F3"/>
          </w:tcPr>
          <w:p w14:paraId="53959BCD"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13596CBE" w14:textId="77777777" w:rsidTr="001D5737">
        <w:trPr>
          <w:trHeight w:val="135"/>
        </w:trPr>
        <w:tc>
          <w:tcPr>
            <w:tcW w:w="2474" w:type="dxa"/>
            <w:vMerge/>
            <w:shd w:val="clear" w:color="auto" w:fill="F3F3F3"/>
          </w:tcPr>
          <w:p w14:paraId="2D168DDD" w14:textId="77777777" w:rsidR="00E61BD7" w:rsidRPr="008711DF" w:rsidRDefault="00E61BD7" w:rsidP="00260FE5">
            <w:pPr>
              <w:tabs>
                <w:tab w:val="left" w:pos="1080"/>
              </w:tabs>
              <w:spacing w:after="0" w:line="240" w:lineRule="auto"/>
              <w:jc w:val="both"/>
              <w:rPr>
                <w:rFonts w:cstheme="minorHAnsi"/>
                <w:color w:val="185262"/>
              </w:rPr>
            </w:pPr>
          </w:p>
        </w:tc>
        <w:tc>
          <w:tcPr>
            <w:tcW w:w="1875" w:type="dxa"/>
            <w:vMerge/>
            <w:shd w:val="clear" w:color="auto" w:fill="F3F3F3"/>
          </w:tcPr>
          <w:p w14:paraId="554D116E" w14:textId="77777777" w:rsidR="00E61BD7" w:rsidRPr="008711DF" w:rsidRDefault="00E61BD7" w:rsidP="00260FE5">
            <w:pPr>
              <w:tabs>
                <w:tab w:val="left" w:pos="1080"/>
              </w:tabs>
              <w:spacing w:after="0" w:line="240" w:lineRule="auto"/>
              <w:jc w:val="both"/>
              <w:rPr>
                <w:rFonts w:cstheme="minorHAnsi"/>
                <w:b/>
                <w:color w:val="185262"/>
              </w:rPr>
            </w:pPr>
          </w:p>
        </w:tc>
        <w:tc>
          <w:tcPr>
            <w:tcW w:w="1853" w:type="dxa"/>
            <w:vMerge/>
            <w:shd w:val="clear" w:color="auto" w:fill="F3F3F3"/>
          </w:tcPr>
          <w:p w14:paraId="08A28101" w14:textId="77777777" w:rsidR="00E61BD7" w:rsidRPr="008711DF" w:rsidRDefault="00E61BD7" w:rsidP="00260FE5">
            <w:pPr>
              <w:tabs>
                <w:tab w:val="left" w:pos="1080"/>
              </w:tabs>
              <w:spacing w:after="0" w:line="240" w:lineRule="auto"/>
              <w:jc w:val="both"/>
              <w:rPr>
                <w:rFonts w:cstheme="minorHAnsi"/>
                <w:b/>
                <w:color w:val="185262"/>
              </w:rPr>
            </w:pPr>
          </w:p>
        </w:tc>
        <w:tc>
          <w:tcPr>
            <w:tcW w:w="1620" w:type="dxa"/>
          </w:tcPr>
          <w:p w14:paraId="5D3BC73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957AB7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6415BF5D" w14:textId="77777777" w:rsidTr="001D5737">
        <w:tc>
          <w:tcPr>
            <w:tcW w:w="2474" w:type="dxa"/>
          </w:tcPr>
          <w:p w14:paraId="68AD6234" w14:textId="25FD1416" w:rsidR="00E61BD7" w:rsidRPr="008711DF" w:rsidRDefault="000E5250" w:rsidP="00260FE5">
            <w:pPr>
              <w:tabs>
                <w:tab w:val="left" w:pos="1080"/>
              </w:tabs>
              <w:spacing w:after="0" w:line="240" w:lineRule="auto"/>
              <w:jc w:val="both"/>
              <w:rPr>
                <w:rFonts w:cstheme="minorHAnsi"/>
                <w:color w:val="185262"/>
              </w:rPr>
            </w:pPr>
            <w:r w:rsidRPr="008711DF">
              <w:rPr>
                <w:rFonts w:cstheme="minorHAnsi"/>
                <w:color w:val="185262"/>
              </w:rPr>
              <w:t xml:space="preserve">3.1 </w:t>
            </w:r>
            <w:r>
              <w:rPr>
                <w:lang w:val="en-US"/>
              </w:rPr>
              <w:t>For any new proposal/project that promotes new technologies, pilot projects will be included</w:t>
            </w:r>
            <w:r w:rsidRPr="00A31B39">
              <w:rPr>
                <w:lang w:val="en-US"/>
              </w:rPr>
              <w:t>, so that lessons can be learned and apply to better results</w:t>
            </w:r>
          </w:p>
        </w:tc>
        <w:tc>
          <w:tcPr>
            <w:tcW w:w="1875" w:type="dxa"/>
          </w:tcPr>
          <w:p w14:paraId="5E9D5309" w14:textId="69518115" w:rsidR="00E61BD7" w:rsidRPr="008711DF" w:rsidRDefault="000E5250" w:rsidP="00260FE5">
            <w:pPr>
              <w:tabs>
                <w:tab w:val="left" w:pos="1080"/>
              </w:tabs>
              <w:spacing w:after="0" w:line="240" w:lineRule="auto"/>
              <w:jc w:val="both"/>
              <w:rPr>
                <w:rFonts w:cstheme="minorHAnsi"/>
                <w:color w:val="185262"/>
              </w:rPr>
            </w:pPr>
            <w:r>
              <w:rPr>
                <w:lang w:val="en-US"/>
              </w:rPr>
              <w:t>2020-2021</w:t>
            </w:r>
          </w:p>
        </w:tc>
        <w:tc>
          <w:tcPr>
            <w:tcW w:w="1853" w:type="dxa"/>
          </w:tcPr>
          <w:p w14:paraId="54875A8F" w14:textId="69AAB8F8" w:rsidR="00E61BD7" w:rsidRPr="008711DF" w:rsidRDefault="000E5250" w:rsidP="00260FE5">
            <w:pPr>
              <w:tabs>
                <w:tab w:val="left" w:pos="1080"/>
              </w:tabs>
              <w:spacing w:after="0" w:line="240" w:lineRule="auto"/>
              <w:jc w:val="both"/>
              <w:rPr>
                <w:rFonts w:cstheme="minorHAnsi"/>
                <w:color w:val="185262"/>
              </w:rPr>
            </w:pPr>
            <w:r>
              <w:rPr>
                <w:lang w:val="en-US"/>
              </w:rPr>
              <w:t>UNDP/Ministry</w:t>
            </w:r>
          </w:p>
        </w:tc>
        <w:tc>
          <w:tcPr>
            <w:tcW w:w="1620" w:type="dxa"/>
          </w:tcPr>
          <w:p w14:paraId="67A9F511" w14:textId="77777777" w:rsidR="00E61BD7" w:rsidRPr="008711DF" w:rsidRDefault="00E61BD7" w:rsidP="00260FE5">
            <w:pPr>
              <w:tabs>
                <w:tab w:val="left" w:pos="1080"/>
              </w:tabs>
              <w:spacing w:after="0" w:line="240" w:lineRule="auto"/>
              <w:jc w:val="both"/>
              <w:rPr>
                <w:rFonts w:cstheme="minorHAnsi"/>
                <w:color w:val="185262"/>
              </w:rPr>
            </w:pPr>
          </w:p>
        </w:tc>
        <w:tc>
          <w:tcPr>
            <w:tcW w:w="1194" w:type="dxa"/>
          </w:tcPr>
          <w:p w14:paraId="7E2B7433" w14:textId="0049DBCB" w:rsidR="00E61BD7" w:rsidRPr="008711DF" w:rsidRDefault="000E5250" w:rsidP="00260FE5">
            <w:pPr>
              <w:tabs>
                <w:tab w:val="left" w:pos="1080"/>
              </w:tabs>
              <w:spacing w:after="0" w:line="240" w:lineRule="auto"/>
              <w:jc w:val="both"/>
              <w:rPr>
                <w:rFonts w:cstheme="minorHAnsi"/>
                <w:color w:val="185262"/>
              </w:rPr>
            </w:pPr>
            <w:r>
              <w:rPr>
                <w:rFonts w:cstheme="minorHAnsi"/>
                <w:color w:val="185262"/>
              </w:rPr>
              <w:t>Not started</w:t>
            </w:r>
          </w:p>
        </w:tc>
      </w:tr>
      <w:tr w:rsidR="000E5250" w:rsidRPr="008711DF" w14:paraId="08627A3A" w14:textId="77777777" w:rsidTr="00654E42">
        <w:tc>
          <w:tcPr>
            <w:tcW w:w="9016" w:type="dxa"/>
            <w:gridSpan w:val="5"/>
            <w:shd w:val="clear" w:color="auto" w:fill="EAF6F3"/>
          </w:tcPr>
          <w:p w14:paraId="5B13243F" w14:textId="23E687D2" w:rsidR="000E5250" w:rsidRPr="000E5250" w:rsidRDefault="000E5250" w:rsidP="000E5250">
            <w:pPr>
              <w:tabs>
                <w:tab w:val="left" w:pos="1080"/>
              </w:tabs>
              <w:spacing w:after="0" w:line="240" w:lineRule="auto"/>
              <w:jc w:val="both"/>
              <w:rPr>
                <w:rFonts w:cstheme="minorHAnsi"/>
                <w:b/>
                <w:color w:val="185262"/>
                <w:sz w:val="20"/>
                <w:szCs w:val="20"/>
              </w:rPr>
            </w:pPr>
            <w:r w:rsidRPr="000E5250">
              <w:rPr>
                <w:rStyle w:val="Strong"/>
                <w:sz w:val="20"/>
                <w:szCs w:val="20"/>
              </w:rPr>
              <w:t xml:space="preserve">Recommendation 4: Enhance sustainability by deepening relationships with local authorities </w:t>
            </w:r>
          </w:p>
        </w:tc>
      </w:tr>
      <w:tr w:rsidR="000E5250" w:rsidRPr="008711DF" w14:paraId="70B80CC9" w14:textId="77777777" w:rsidTr="00654E42">
        <w:tc>
          <w:tcPr>
            <w:tcW w:w="9016" w:type="dxa"/>
            <w:gridSpan w:val="5"/>
            <w:shd w:val="clear" w:color="auto" w:fill="EAF6F3"/>
          </w:tcPr>
          <w:p w14:paraId="44F7C7C8" w14:textId="6ACCF24C" w:rsidR="000E5250" w:rsidRPr="008711DF" w:rsidRDefault="000E5250" w:rsidP="000E5250">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lang w:val="en-US"/>
              </w:rPr>
              <w:t xml:space="preserve"> Engage programmatically and operationally the local authorities’ staff</w:t>
            </w:r>
          </w:p>
        </w:tc>
      </w:tr>
      <w:tr w:rsidR="000E5250" w:rsidRPr="008711DF" w14:paraId="2B028FA6" w14:textId="77777777" w:rsidTr="001D5737">
        <w:trPr>
          <w:trHeight w:val="135"/>
        </w:trPr>
        <w:tc>
          <w:tcPr>
            <w:tcW w:w="2474" w:type="dxa"/>
            <w:vMerge w:val="restart"/>
            <w:shd w:val="clear" w:color="auto" w:fill="EAF6F3"/>
          </w:tcPr>
          <w:p w14:paraId="5FCF5FA6"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lastRenderedPageBreak/>
              <w:t>Key action(s)</w:t>
            </w:r>
          </w:p>
        </w:tc>
        <w:tc>
          <w:tcPr>
            <w:tcW w:w="1875" w:type="dxa"/>
            <w:vMerge w:val="restart"/>
            <w:shd w:val="clear" w:color="auto" w:fill="EAF6F3"/>
          </w:tcPr>
          <w:p w14:paraId="31953B0C"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3" w:type="dxa"/>
            <w:vMerge w:val="restart"/>
            <w:shd w:val="clear" w:color="auto" w:fill="EAF6F3"/>
          </w:tcPr>
          <w:p w14:paraId="450709BC"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4" w:type="dxa"/>
            <w:gridSpan w:val="2"/>
            <w:shd w:val="clear" w:color="auto" w:fill="EAF6F3"/>
          </w:tcPr>
          <w:p w14:paraId="3A0D4AFD"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Tracking</w:t>
            </w:r>
          </w:p>
        </w:tc>
      </w:tr>
      <w:tr w:rsidR="000E5250" w:rsidRPr="008711DF" w14:paraId="4D97CA6E" w14:textId="77777777" w:rsidTr="001D5737">
        <w:trPr>
          <w:trHeight w:val="135"/>
        </w:trPr>
        <w:tc>
          <w:tcPr>
            <w:tcW w:w="2474" w:type="dxa"/>
            <w:vMerge/>
            <w:shd w:val="clear" w:color="auto" w:fill="F3F3F3"/>
          </w:tcPr>
          <w:p w14:paraId="1C4D8E93" w14:textId="77777777" w:rsidR="000E5250" w:rsidRPr="008711DF" w:rsidRDefault="000E5250" w:rsidP="000E5250">
            <w:pPr>
              <w:tabs>
                <w:tab w:val="left" w:pos="1080"/>
              </w:tabs>
              <w:spacing w:after="0" w:line="240" w:lineRule="auto"/>
              <w:jc w:val="both"/>
              <w:rPr>
                <w:rFonts w:cstheme="minorHAnsi"/>
                <w:color w:val="185262"/>
              </w:rPr>
            </w:pPr>
          </w:p>
        </w:tc>
        <w:tc>
          <w:tcPr>
            <w:tcW w:w="1875" w:type="dxa"/>
            <w:vMerge/>
            <w:shd w:val="clear" w:color="auto" w:fill="F3F3F3"/>
          </w:tcPr>
          <w:p w14:paraId="66636AE0" w14:textId="77777777" w:rsidR="000E5250" w:rsidRPr="008711DF" w:rsidRDefault="000E5250" w:rsidP="000E5250">
            <w:pPr>
              <w:tabs>
                <w:tab w:val="left" w:pos="1080"/>
              </w:tabs>
              <w:spacing w:after="0" w:line="240" w:lineRule="auto"/>
              <w:jc w:val="both"/>
              <w:rPr>
                <w:rFonts w:cstheme="minorHAnsi"/>
                <w:b/>
                <w:color w:val="185262"/>
              </w:rPr>
            </w:pPr>
          </w:p>
        </w:tc>
        <w:tc>
          <w:tcPr>
            <w:tcW w:w="1853" w:type="dxa"/>
            <w:vMerge/>
            <w:shd w:val="clear" w:color="auto" w:fill="F3F3F3"/>
          </w:tcPr>
          <w:p w14:paraId="0F080C8A" w14:textId="77777777" w:rsidR="000E5250" w:rsidRPr="008711DF" w:rsidRDefault="000E5250" w:rsidP="000E5250">
            <w:pPr>
              <w:tabs>
                <w:tab w:val="left" w:pos="1080"/>
              </w:tabs>
              <w:spacing w:after="0" w:line="240" w:lineRule="auto"/>
              <w:jc w:val="both"/>
              <w:rPr>
                <w:rFonts w:cstheme="minorHAnsi"/>
                <w:b/>
                <w:color w:val="185262"/>
              </w:rPr>
            </w:pPr>
          </w:p>
        </w:tc>
        <w:tc>
          <w:tcPr>
            <w:tcW w:w="1620" w:type="dxa"/>
          </w:tcPr>
          <w:p w14:paraId="42D5B298"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B314E5B"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E5250" w:rsidRPr="008711DF" w14:paraId="23C9278E" w14:textId="77777777" w:rsidTr="001D5737">
        <w:tc>
          <w:tcPr>
            <w:tcW w:w="2474" w:type="dxa"/>
          </w:tcPr>
          <w:p w14:paraId="533DC1D7" w14:textId="06B16682" w:rsidR="000E5250" w:rsidRPr="008711DF" w:rsidRDefault="00572FE6" w:rsidP="000E5250">
            <w:pPr>
              <w:tabs>
                <w:tab w:val="left" w:pos="1080"/>
              </w:tabs>
              <w:spacing w:after="0" w:line="240" w:lineRule="auto"/>
              <w:jc w:val="both"/>
              <w:rPr>
                <w:rFonts w:cstheme="minorHAnsi"/>
                <w:color w:val="185262"/>
              </w:rPr>
            </w:pPr>
            <w:r>
              <w:rPr>
                <w:rFonts w:cstheme="minorHAnsi"/>
                <w:color w:val="185262"/>
              </w:rPr>
              <w:t>4</w:t>
            </w:r>
            <w:r w:rsidRPr="008711DF">
              <w:rPr>
                <w:rFonts w:cstheme="minorHAnsi"/>
                <w:color w:val="185262"/>
              </w:rPr>
              <w:t>.</w:t>
            </w:r>
            <w:r>
              <w:rPr>
                <w:rFonts w:cstheme="minorHAnsi"/>
                <w:color w:val="185262"/>
              </w:rPr>
              <w:t>1</w:t>
            </w:r>
            <w:r w:rsidRPr="008711DF">
              <w:rPr>
                <w:rFonts w:cstheme="minorHAnsi"/>
                <w:color w:val="185262"/>
              </w:rPr>
              <w:t xml:space="preserve"> </w:t>
            </w:r>
            <w:r w:rsidR="000E5250">
              <w:rPr>
                <w:rFonts w:ascii="Calibri" w:hAnsi="Calibri"/>
                <w:color w:val="000000" w:themeColor="text1"/>
              </w:rPr>
              <w:t xml:space="preserve">District level </w:t>
            </w:r>
            <w:r w:rsidR="000E5250" w:rsidRPr="00EA2B00">
              <w:rPr>
                <w:rFonts w:ascii="Calibri" w:hAnsi="Calibri"/>
                <w:color w:val="000000" w:themeColor="text1"/>
              </w:rPr>
              <w:t xml:space="preserve">departments </w:t>
            </w:r>
            <w:r w:rsidR="000E5250">
              <w:rPr>
                <w:rFonts w:ascii="Calibri" w:hAnsi="Calibri"/>
                <w:color w:val="000000" w:themeColor="text1"/>
              </w:rPr>
              <w:t xml:space="preserve">will need to be trained and more engaged. Linkages between central and local authorities will be promoted. Even though this project trained and engaged district personnel, change in government impacted the continuity. New government, mainly inexperienced, took too long to engage and project was finished by the time they become operational.  </w:t>
            </w:r>
          </w:p>
        </w:tc>
        <w:tc>
          <w:tcPr>
            <w:tcW w:w="1875" w:type="dxa"/>
          </w:tcPr>
          <w:p w14:paraId="034233D2" w14:textId="758F01FE" w:rsidR="000E5250" w:rsidRPr="008711DF" w:rsidRDefault="000E5250" w:rsidP="000E5250">
            <w:pPr>
              <w:tabs>
                <w:tab w:val="left" w:pos="1080"/>
              </w:tabs>
              <w:spacing w:after="0" w:line="240" w:lineRule="auto"/>
              <w:jc w:val="both"/>
              <w:rPr>
                <w:rFonts w:cstheme="minorHAnsi"/>
                <w:color w:val="185262"/>
              </w:rPr>
            </w:pPr>
            <w:r>
              <w:rPr>
                <w:lang w:val="en-US"/>
              </w:rPr>
              <w:t>2020-2021</w:t>
            </w:r>
          </w:p>
        </w:tc>
        <w:tc>
          <w:tcPr>
            <w:tcW w:w="1853" w:type="dxa"/>
          </w:tcPr>
          <w:p w14:paraId="1DCAA32F" w14:textId="046ADB6A" w:rsidR="000E5250" w:rsidRPr="008711DF" w:rsidRDefault="000E5250" w:rsidP="000E5250">
            <w:pPr>
              <w:tabs>
                <w:tab w:val="left" w:pos="1080"/>
              </w:tabs>
              <w:spacing w:after="0" w:line="240" w:lineRule="auto"/>
              <w:jc w:val="both"/>
              <w:rPr>
                <w:rFonts w:cstheme="minorHAnsi"/>
                <w:color w:val="185262"/>
              </w:rPr>
            </w:pPr>
            <w:r>
              <w:rPr>
                <w:lang w:val="en-US"/>
              </w:rPr>
              <w:t>UNDP/Ministry</w:t>
            </w:r>
          </w:p>
        </w:tc>
        <w:tc>
          <w:tcPr>
            <w:tcW w:w="1620" w:type="dxa"/>
          </w:tcPr>
          <w:p w14:paraId="01E2F5C8" w14:textId="2E5C93F1" w:rsidR="000E5250" w:rsidRPr="008711DF" w:rsidRDefault="000E5250" w:rsidP="000E5250">
            <w:pPr>
              <w:tabs>
                <w:tab w:val="left" w:pos="1080"/>
              </w:tabs>
              <w:spacing w:after="0" w:line="240" w:lineRule="auto"/>
              <w:jc w:val="both"/>
              <w:rPr>
                <w:rFonts w:cstheme="minorHAnsi"/>
                <w:color w:val="185262"/>
              </w:rPr>
            </w:pPr>
            <w:r>
              <w:rPr>
                <w:lang w:val="en-US"/>
              </w:rPr>
              <w:t>No started</w:t>
            </w:r>
          </w:p>
        </w:tc>
        <w:tc>
          <w:tcPr>
            <w:tcW w:w="1194" w:type="dxa"/>
          </w:tcPr>
          <w:p w14:paraId="7AFBAA82" w14:textId="1DF98B63" w:rsidR="000E5250" w:rsidRPr="008711DF" w:rsidRDefault="000E5250" w:rsidP="000E5250">
            <w:pPr>
              <w:tabs>
                <w:tab w:val="left" w:pos="1080"/>
              </w:tabs>
              <w:spacing w:after="0" w:line="240" w:lineRule="auto"/>
              <w:jc w:val="both"/>
              <w:rPr>
                <w:rFonts w:cstheme="minorHAnsi"/>
                <w:color w:val="185262"/>
              </w:rPr>
            </w:pPr>
            <w:r>
              <w:rPr>
                <w:rFonts w:cstheme="minorHAnsi"/>
                <w:color w:val="185262"/>
              </w:rPr>
              <w:t>N/A</w:t>
            </w:r>
          </w:p>
        </w:tc>
      </w:tr>
      <w:tr w:rsidR="000E5250" w:rsidRPr="008711DF" w14:paraId="10BEA2D8" w14:textId="77777777" w:rsidTr="001A13A7">
        <w:tc>
          <w:tcPr>
            <w:tcW w:w="9016" w:type="dxa"/>
            <w:gridSpan w:val="5"/>
            <w:shd w:val="clear" w:color="auto" w:fill="EAF6F3"/>
          </w:tcPr>
          <w:p w14:paraId="5BD18A97" w14:textId="28256C3E" w:rsidR="000E5250" w:rsidRPr="008711DF" w:rsidRDefault="000E5250" w:rsidP="000E5250">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5</w:t>
            </w:r>
            <w:r w:rsidRPr="00A31B39">
              <w:rPr>
                <w:rStyle w:val="Heading8Char"/>
                <w:sz w:val="28"/>
                <w:szCs w:val="28"/>
              </w:rPr>
              <w:t xml:space="preserve"> </w:t>
            </w:r>
            <w:r w:rsidRPr="000E5250">
              <w:rPr>
                <w:rStyle w:val="Strong"/>
                <w:sz w:val="20"/>
                <w:szCs w:val="20"/>
              </w:rPr>
              <w:t>Enhance local data collection and knowledge management on best practices</w:t>
            </w:r>
          </w:p>
        </w:tc>
      </w:tr>
      <w:tr w:rsidR="000E5250" w:rsidRPr="008711DF" w14:paraId="6A88E9AA" w14:textId="77777777" w:rsidTr="001A13A7">
        <w:tc>
          <w:tcPr>
            <w:tcW w:w="9016" w:type="dxa"/>
            <w:gridSpan w:val="5"/>
            <w:shd w:val="clear" w:color="auto" w:fill="EAF6F3"/>
          </w:tcPr>
          <w:p w14:paraId="7C79DFBA" w14:textId="743913FA" w:rsidR="000E5250" w:rsidRPr="008711DF" w:rsidRDefault="000E5250" w:rsidP="000E5250">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lang w:val="en-US"/>
              </w:rPr>
              <w:t xml:space="preserve"> Establish and embed monitoring methodologies in project implementation with adequate data collection tools for reporting</w:t>
            </w:r>
          </w:p>
        </w:tc>
      </w:tr>
      <w:tr w:rsidR="000E5250" w:rsidRPr="008711DF" w14:paraId="78943111" w14:textId="77777777" w:rsidTr="001D5737">
        <w:trPr>
          <w:trHeight w:val="135"/>
        </w:trPr>
        <w:tc>
          <w:tcPr>
            <w:tcW w:w="2474" w:type="dxa"/>
            <w:vMerge w:val="restart"/>
            <w:shd w:val="clear" w:color="auto" w:fill="EAF6F3"/>
          </w:tcPr>
          <w:p w14:paraId="21790BC8"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75" w:type="dxa"/>
            <w:vMerge w:val="restart"/>
            <w:shd w:val="clear" w:color="auto" w:fill="EAF6F3"/>
          </w:tcPr>
          <w:p w14:paraId="3BC5B626"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53" w:type="dxa"/>
            <w:vMerge w:val="restart"/>
            <w:shd w:val="clear" w:color="auto" w:fill="EAF6F3"/>
          </w:tcPr>
          <w:p w14:paraId="2AE99604"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4" w:type="dxa"/>
            <w:gridSpan w:val="2"/>
            <w:shd w:val="clear" w:color="auto" w:fill="EAF6F3"/>
          </w:tcPr>
          <w:p w14:paraId="5E2CD27F"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Tracking</w:t>
            </w:r>
          </w:p>
        </w:tc>
      </w:tr>
      <w:tr w:rsidR="000E5250" w:rsidRPr="008711DF" w14:paraId="25AD2CE7" w14:textId="77777777" w:rsidTr="001D5737">
        <w:trPr>
          <w:trHeight w:val="135"/>
        </w:trPr>
        <w:tc>
          <w:tcPr>
            <w:tcW w:w="2474" w:type="dxa"/>
            <w:vMerge/>
            <w:shd w:val="clear" w:color="auto" w:fill="F3F3F3"/>
          </w:tcPr>
          <w:p w14:paraId="682B5EB2" w14:textId="77777777" w:rsidR="000E5250" w:rsidRPr="008711DF" w:rsidRDefault="000E5250" w:rsidP="000E5250">
            <w:pPr>
              <w:tabs>
                <w:tab w:val="left" w:pos="1080"/>
              </w:tabs>
              <w:spacing w:after="0" w:line="240" w:lineRule="auto"/>
              <w:jc w:val="both"/>
              <w:rPr>
                <w:rFonts w:cstheme="minorHAnsi"/>
                <w:color w:val="185262"/>
              </w:rPr>
            </w:pPr>
          </w:p>
        </w:tc>
        <w:tc>
          <w:tcPr>
            <w:tcW w:w="1875" w:type="dxa"/>
            <w:vMerge/>
            <w:shd w:val="clear" w:color="auto" w:fill="F3F3F3"/>
          </w:tcPr>
          <w:p w14:paraId="62DCC6E0" w14:textId="77777777" w:rsidR="000E5250" w:rsidRPr="008711DF" w:rsidRDefault="000E5250" w:rsidP="000E5250">
            <w:pPr>
              <w:tabs>
                <w:tab w:val="left" w:pos="1080"/>
              </w:tabs>
              <w:spacing w:after="0" w:line="240" w:lineRule="auto"/>
              <w:jc w:val="both"/>
              <w:rPr>
                <w:rFonts w:cstheme="minorHAnsi"/>
                <w:b/>
                <w:color w:val="185262"/>
              </w:rPr>
            </w:pPr>
          </w:p>
        </w:tc>
        <w:tc>
          <w:tcPr>
            <w:tcW w:w="1853" w:type="dxa"/>
            <w:vMerge/>
            <w:shd w:val="clear" w:color="auto" w:fill="F3F3F3"/>
          </w:tcPr>
          <w:p w14:paraId="4AC67503" w14:textId="77777777" w:rsidR="000E5250" w:rsidRPr="008711DF" w:rsidRDefault="000E5250" w:rsidP="000E5250">
            <w:pPr>
              <w:tabs>
                <w:tab w:val="left" w:pos="1080"/>
              </w:tabs>
              <w:spacing w:after="0" w:line="240" w:lineRule="auto"/>
              <w:jc w:val="both"/>
              <w:rPr>
                <w:rFonts w:cstheme="minorHAnsi"/>
                <w:b/>
                <w:color w:val="185262"/>
              </w:rPr>
            </w:pPr>
          </w:p>
        </w:tc>
        <w:tc>
          <w:tcPr>
            <w:tcW w:w="1620" w:type="dxa"/>
          </w:tcPr>
          <w:p w14:paraId="3A83D4AC"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E82A97E" w14:textId="77777777" w:rsidR="000E5250" w:rsidRPr="008711DF" w:rsidRDefault="000E5250" w:rsidP="000E525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E5250" w:rsidRPr="008711DF" w14:paraId="3A15C439" w14:textId="77777777" w:rsidTr="001D5737">
        <w:tc>
          <w:tcPr>
            <w:tcW w:w="2474" w:type="dxa"/>
          </w:tcPr>
          <w:p w14:paraId="7FA06392" w14:textId="44AA6C69" w:rsidR="000E5250" w:rsidRPr="008711DF" w:rsidRDefault="000E5250" w:rsidP="00572FE6">
            <w:pPr>
              <w:ind w:left="360"/>
              <w:rPr>
                <w:rFonts w:cstheme="minorHAnsi"/>
                <w:color w:val="185262"/>
              </w:rPr>
            </w:pPr>
            <w:r>
              <w:rPr>
                <w:rFonts w:cstheme="minorHAnsi"/>
                <w:color w:val="185262"/>
              </w:rPr>
              <w:t>5</w:t>
            </w:r>
            <w:r w:rsidRPr="008711DF">
              <w:rPr>
                <w:rFonts w:cstheme="minorHAnsi"/>
                <w:color w:val="185262"/>
              </w:rPr>
              <w:t xml:space="preserve">.1 </w:t>
            </w:r>
            <w:r>
              <w:rPr>
                <w:rFonts w:ascii="Calibri" w:hAnsi="Calibri"/>
                <w:color w:val="000000" w:themeColor="text1"/>
              </w:rPr>
              <w:t>During all stages of project cycle and involving target groups, i</w:t>
            </w:r>
            <w:r w:rsidRPr="00EA2B00">
              <w:rPr>
                <w:rFonts w:ascii="Calibri" w:hAnsi="Calibri"/>
                <w:color w:val="000000" w:themeColor="text1"/>
              </w:rPr>
              <w:t>mprov</w:t>
            </w:r>
            <w:r>
              <w:rPr>
                <w:rFonts w:ascii="Calibri" w:hAnsi="Calibri"/>
                <w:color w:val="000000" w:themeColor="text1"/>
              </w:rPr>
              <w:t>e</w:t>
            </w:r>
            <w:r w:rsidRPr="00EA2B00">
              <w:rPr>
                <w:rFonts w:ascii="Calibri" w:hAnsi="Calibri"/>
                <w:color w:val="000000" w:themeColor="text1"/>
              </w:rPr>
              <w:t xml:space="preserve"> data monitoring and processing systems for project</w:t>
            </w:r>
            <w:r>
              <w:rPr>
                <w:rFonts w:ascii="Calibri" w:hAnsi="Calibri"/>
                <w:color w:val="000000" w:themeColor="text1"/>
              </w:rPr>
              <w:t>s</w:t>
            </w:r>
            <w:r w:rsidRPr="00EA2B00">
              <w:rPr>
                <w:rFonts w:ascii="Calibri" w:hAnsi="Calibri"/>
                <w:color w:val="000000" w:themeColor="text1"/>
              </w:rPr>
              <w:t xml:space="preserve">, adopting suitable practical methodologies and document lessons learned. </w:t>
            </w:r>
          </w:p>
        </w:tc>
        <w:tc>
          <w:tcPr>
            <w:tcW w:w="1875" w:type="dxa"/>
          </w:tcPr>
          <w:p w14:paraId="4718C715" w14:textId="55ABC083" w:rsidR="000E5250" w:rsidRPr="008711DF" w:rsidRDefault="000E5250" w:rsidP="000E5250">
            <w:pPr>
              <w:tabs>
                <w:tab w:val="left" w:pos="1080"/>
              </w:tabs>
              <w:spacing w:after="0" w:line="240" w:lineRule="auto"/>
              <w:jc w:val="both"/>
              <w:rPr>
                <w:rFonts w:cstheme="minorHAnsi"/>
                <w:color w:val="185262"/>
              </w:rPr>
            </w:pPr>
            <w:r>
              <w:rPr>
                <w:lang w:val="en-US"/>
              </w:rPr>
              <w:t>2020-2021</w:t>
            </w:r>
          </w:p>
        </w:tc>
        <w:tc>
          <w:tcPr>
            <w:tcW w:w="1853" w:type="dxa"/>
          </w:tcPr>
          <w:p w14:paraId="1C9A51F7" w14:textId="09F8F4C7" w:rsidR="000E5250" w:rsidRPr="008711DF" w:rsidRDefault="00A8476E" w:rsidP="000E5250">
            <w:pPr>
              <w:tabs>
                <w:tab w:val="left" w:pos="1080"/>
              </w:tabs>
              <w:spacing w:after="0" w:line="240" w:lineRule="auto"/>
              <w:jc w:val="both"/>
              <w:rPr>
                <w:rFonts w:cstheme="minorHAnsi"/>
                <w:color w:val="185262"/>
              </w:rPr>
            </w:pPr>
            <w:r>
              <w:rPr>
                <w:lang w:val="en-US"/>
              </w:rPr>
              <w:t>UNDP</w:t>
            </w:r>
          </w:p>
        </w:tc>
        <w:tc>
          <w:tcPr>
            <w:tcW w:w="1620" w:type="dxa"/>
          </w:tcPr>
          <w:p w14:paraId="67472255" w14:textId="43A28F26" w:rsidR="000E5250" w:rsidRPr="008711DF" w:rsidRDefault="000E5250" w:rsidP="000E5250">
            <w:pPr>
              <w:tabs>
                <w:tab w:val="left" w:pos="1080"/>
              </w:tabs>
              <w:spacing w:after="0" w:line="240" w:lineRule="auto"/>
              <w:jc w:val="both"/>
              <w:rPr>
                <w:rFonts w:cstheme="minorHAnsi"/>
                <w:color w:val="185262"/>
              </w:rPr>
            </w:pPr>
            <w:bookmarkStart w:id="1" w:name="_GoBack"/>
            <w:r>
              <w:rPr>
                <w:lang w:val="en-US"/>
              </w:rPr>
              <w:t>Monitoring plan established with mandatory monthly reports from PMU (project 94537- hydroelectricity</w:t>
            </w:r>
            <w:bookmarkEnd w:id="1"/>
          </w:p>
        </w:tc>
        <w:tc>
          <w:tcPr>
            <w:tcW w:w="1194" w:type="dxa"/>
          </w:tcPr>
          <w:p w14:paraId="2EFCFA29" w14:textId="750E46DF" w:rsidR="000E5250" w:rsidRPr="008711DF" w:rsidRDefault="001D5737" w:rsidP="000E5250">
            <w:pPr>
              <w:tabs>
                <w:tab w:val="left" w:pos="1080"/>
              </w:tabs>
              <w:spacing w:after="0" w:line="240" w:lineRule="auto"/>
              <w:jc w:val="both"/>
              <w:rPr>
                <w:rFonts w:cstheme="minorHAnsi"/>
                <w:color w:val="185262"/>
              </w:rPr>
            </w:pPr>
            <w:r>
              <w:rPr>
                <w:rFonts w:cstheme="minorHAnsi"/>
                <w:color w:val="185262"/>
              </w:rPr>
              <w:t>Initiated</w:t>
            </w:r>
          </w:p>
        </w:tc>
      </w:tr>
    </w:tbl>
    <w:p w14:paraId="4E0D0287" w14:textId="77777777" w:rsidR="00E61BD7" w:rsidRPr="008711DF" w:rsidRDefault="00E61BD7" w:rsidP="00E61BD7">
      <w:pPr>
        <w:tabs>
          <w:tab w:val="left" w:pos="1080"/>
        </w:tabs>
        <w:spacing w:after="0" w:line="240" w:lineRule="auto"/>
        <w:jc w:val="both"/>
        <w:rPr>
          <w:rFonts w:cstheme="minorHAnsi"/>
          <w:color w:val="185262"/>
          <w:lang w:eastAsia="ja-JP"/>
        </w:rPr>
      </w:pPr>
    </w:p>
    <w:p w14:paraId="6426C956" w14:textId="77777777" w:rsidR="00E61BD7" w:rsidRPr="00BF5D14" w:rsidRDefault="00E61BD7" w:rsidP="00E61BD7">
      <w:pPr>
        <w:tabs>
          <w:tab w:val="left" w:pos="1080"/>
        </w:tabs>
        <w:spacing w:after="0" w:line="240" w:lineRule="auto"/>
        <w:jc w:val="both"/>
        <w:rPr>
          <w:rFonts w:cstheme="minorHAnsi"/>
          <w:lang w:eastAsia="ja-JP"/>
        </w:rPr>
      </w:pPr>
    </w:p>
    <w:p w14:paraId="3F06CF58"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034D3A6A" w14:textId="77777777" w:rsidR="00DE19DA" w:rsidRDefault="0041308C"/>
    <w:sectPr w:rsidR="00DE19DA" w:rsidSect="00CB589A">
      <w:pgSz w:w="11906" w:h="16838"/>
      <w:pgMar w:top="1170" w:right="144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E5250"/>
    <w:rsid w:val="001D5737"/>
    <w:rsid w:val="001F63A4"/>
    <w:rsid w:val="0041308C"/>
    <w:rsid w:val="00464DDA"/>
    <w:rsid w:val="004D74E2"/>
    <w:rsid w:val="00572FE6"/>
    <w:rsid w:val="00654E42"/>
    <w:rsid w:val="00913922"/>
    <w:rsid w:val="00A8476E"/>
    <w:rsid w:val="00B665EB"/>
    <w:rsid w:val="00CE35EE"/>
    <w:rsid w:val="00E61BD7"/>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E1E8"/>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character" w:styleId="Strong">
    <w:name w:val="Strong"/>
    <w:uiPriority w:val="22"/>
    <w:qFormat/>
    <w:rsid w:val="000E5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Claudio Pinto Vicente</cp:lastModifiedBy>
  <cp:revision>2</cp:revision>
  <dcterms:created xsi:type="dcterms:W3CDTF">2020-08-04T12:38:00Z</dcterms:created>
  <dcterms:modified xsi:type="dcterms:W3CDTF">2020-08-04T12:38:00Z</dcterms:modified>
</cp:coreProperties>
</file>