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EB26" w14:textId="77777777" w:rsidR="00054A25" w:rsidRPr="00C96A6E" w:rsidRDefault="00054A25" w:rsidP="00056EF4">
      <w:pPr>
        <w:autoSpaceDE w:val="0"/>
        <w:autoSpaceDN w:val="0"/>
        <w:adjustRightInd w:val="0"/>
        <w:spacing w:after="0" w:line="240" w:lineRule="auto"/>
        <w:jc w:val="both"/>
        <w:rPr>
          <w:rFonts w:cstheme="minorHAnsi"/>
          <w:b/>
          <w:bCs/>
          <w:sz w:val="16"/>
          <w:szCs w:val="16"/>
        </w:rPr>
      </w:pPr>
    </w:p>
    <w:p w14:paraId="488B0910" w14:textId="77777777" w:rsidR="00054A25" w:rsidRPr="00C96A6E" w:rsidRDefault="00054A25" w:rsidP="00056EF4">
      <w:pPr>
        <w:autoSpaceDE w:val="0"/>
        <w:autoSpaceDN w:val="0"/>
        <w:adjustRightInd w:val="0"/>
        <w:spacing w:after="0" w:line="240" w:lineRule="auto"/>
        <w:jc w:val="both"/>
        <w:rPr>
          <w:rFonts w:cstheme="minorHAnsi"/>
          <w:b/>
          <w:bCs/>
          <w:sz w:val="16"/>
          <w:szCs w:val="16"/>
        </w:rPr>
      </w:pPr>
    </w:p>
    <w:p w14:paraId="18E7992F" w14:textId="77777777" w:rsidR="00424B6B" w:rsidRPr="00C96A6E" w:rsidRDefault="00424B6B" w:rsidP="00056EF4">
      <w:pPr>
        <w:autoSpaceDE w:val="0"/>
        <w:autoSpaceDN w:val="0"/>
        <w:adjustRightInd w:val="0"/>
        <w:spacing w:after="0" w:line="240" w:lineRule="auto"/>
        <w:jc w:val="both"/>
        <w:rPr>
          <w:rFonts w:cstheme="minorHAnsi"/>
          <w:b/>
          <w:bCs/>
          <w:sz w:val="16"/>
          <w:szCs w:val="16"/>
        </w:rPr>
      </w:pPr>
    </w:p>
    <w:p w14:paraId="07EC68E9" w14:textId="086CA461" w:rsidR="00907F19" w:rsidRDefault="00C96A6E" w:rsidP="00056EF4">
      <w:pPr>
        <w:jc w:val="both"/>
        <w:rPr>
          <w:rFonts w:cstheme="minorHAnsi"/>
          <w:sz w:val="16"/>
          <w:szCs w:val="16"/>
        </w:rPr>
      </w:pPr>
      <w:r>
        <w:rPr>
          <w:rFonts w:cstheme="minorHAnsi"/>
          <w:b/>
          <w:bCs/>
          <w:sz w:val="24"/>
          <w:szCs w:val="24"/>
        </w:rPr>
        <w:t xml:space="preserve">                                         </w:t>
      </w:r>
    </w:p>
    <w:p w14:paraId="1381550A" w14:textId="77777777" w:rsidR="00EB187D" w:rsidRDefault="00EB187D" w:rsidP="00056EF4">
      <w:pPr>
        <w:jc w:val="both"/>
        <w:rPr>
          <w:rFonts w:ascii="Calibri" w:eastAsia="Times New Roman" w:hAnsi="Calibri" w:cs="Times New Roman"/>
          <w:sz w:val="16"/>
          <w:szCs w:val="16"/>
        </w:rPr>
      </w:pPr>
    </w:p>
    <w:p w14:paraId="63A8226B" w14:textId="77777777" w:rsidR="00907F19" w:rsidRPr="00907F19" w:rsidRDefault="00907F19" w:rsidP="00056EF4">
      <w:pPr>
        <w:jc w:val="both"/>
        <w:rPr>
          <w:b/>
          <w:sz w:val="24"/>
          <w:szCs w:val="24"/>
        </w:rPr>
      </w:pPr>
      <w:r w:rsidRPr="00907F19">
        <w:rPr>
          <w:b/>
          <w:sz w:val="24"/>
          <w:szCs w:val="24"/>
        </w:rPr>
        <w:t>MANAGEMENT RESPONSE</w:t>
      </w:r>
    </w:p>
    <w:p w14:paraId="058F8306" w14:textId="77777777" w:rsidR="00453E98" w:rsidRPr="00453E98" w:rsidRDefault="00453E98" w:rsidP="00056EF4">
      <w:pPr>
        <w:autoSpaceDE w:val="0"/>
        <w:autoSpaceDN w:val="0"/>
        <w:adjustRightInd w:val="0"/>
        <w:spacing w:after="0" w:line="240" w:lineRule="auto"/>
        <w:jc w:val="both"/>
        <w:rPr>
          <w:rFonts w:cstheme="minorHAnsi"/>
          <w:b/>
          <w:bCs/>
          <w:sz w:val="24"/>
          <w:szCs w:val="24"/>
        </w:rPr>
      </w:pPr>
      <w:r w:rsidRPr="00453E98">
        <w:rPr>
          <w:rFonts w:cstheme="minorHAnsi"/>
          <w:b/>
          <w:bCs/>
          <w:sz w:val="24"/>
          <w:szCs w:val="24"/>
        </w:rPr>
        <w:t>Mid-Term Review</w:t>
      </w:r>
    </w:p>
    <w:p w14:paraId="7F1203F9" w14:textId="03622100" w:rsidR="00907F19" w:rsidRDefault="00453E98" w:rsidP="00056EF4">
      <w:pPr>
        <w:autoSpaceDE w:val="0"/>
        <w:autoSpaceDN w:val="0"/>
        <w:adjustRightInd w:val="0"/>
        <w:spacing w:after="0" w:line="240" w:lineRule="auto"/>
        <w:jc w:val="both"/>
        <w:rPr>
          <w:rFonts w:cstheme="minorHAnsi"/>
          <w:b/>
          <w:bCs/>
          <w:sz w:val="24"/>
          <w:szCs w:val="24"/>
        </w:rPr>
      </w:pPr>
      <w:r w:rsidRPr="00453E98">
        <w:rPr>
          <w:rFonts w:cstheme="minorHAnsi"/>
          <w:b/>
          <w:bCs/>
          <w:sz w:val="24"/>
          <w:szCs w:val="24"/>
        </w:rPr>
        <w:t>Green Technology Application for the Development of Low Carbon Cities (GTALCC) Malaysia</w:t>
      </w:r>
    </w:p>
    <w:p w14:paraId="6698A130" w14:textId="77777777" w:rsidR="00453E98" w:rsidRDefault="00453E98" w:rsidP="00056EF4">
      <w:pPr>
        <w:autoSpaceDE w:val="0"/>
        <w:autoSpaceDN w:val="0"/>
        <w:adjustRightInd w:val="0"/>
        <w:spacing w:after="0" w:line="240" w:lineRule="auto"/>
        <w:jc w:val="both"/>
        <w:rPr>
          <w:rFonts w:cstheme="minorHAnsi"/>
          <w:b/>
          <w:bCs/>
          <w:sz w:val="24"/>
          <w:szCs w:val="24"/>
        </w:rPr>
      </w:pPr>
    </w:p>
    <w:p w14:paraId="712F56DF" w14:textId="77777777" w:rsidR="00907F19" w:rsidRPr="00C96A6E" w:rsidRDefault="00907F19" w:rsidP="00056EF4">
      <w:pPr>
        <w:autoSpaceDE w:val="0"/>
        <w:autoSpaceDN w:val="0"/>
        <w:adjustRightInd w:val="0"/>
        <w:spacing w:after="0" w:line="240" w:lineRule="auto"/>
        <w:jc w:val="both"/>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171"/>
        <w:gridCol w:w="919"/>
        <w:gridCol w:w="2445"/>
        <w:gridCol w:w="920"/>
        <w:gridCol w:w="1564"/>
      </w:tblGrid>
      <w:tr w:rsidR="00E5348B" w:rsidRPr="00C96A6E" w14:paraId="2D5AF372" w14:textId="77777777" w:rsidTr="008318DB">
        <w:trPr>
          <w:trHeight w:val="506"/>
        </w:trPr>
        <w:tc>
          <w:tcPr>
            <w:tcW w:w="1341" w:type="dxa"/>
            <w:vAlign w:val="center"/>
          </w:tcPr>
          <w:p w14:paraId="4024AD1C" w14:textId="77777777" w:rsidR="00424B6B" w:rsidRPr="00C96A6E" w:rsidRDefault="00424B6B" w:rsidP="00056EF4">
            <w:pPr>
              <w:autoSpaceDE w:val="0"/>
              <w:autoSpaceDN w:val="0"/>
              <w:adjustRightInd w:val="0"/>
              <w:jc w:val="both"/>
              <w:rPr>
                <w:rFonts w:cstheme="minorHAnsi"/>
                <w:sz w:val="16"/>
                <w:szCs w:val="16"/>
              </w:rPr>
            </w:pPr>
            <w:r w:rsidRPr="00C96A6E">
              <w:rPr>
                <w:rFonts w:cstheme="minorHAnsi"/>
                <w:sz w:val="16"/>
                <w:szCs w:val="16"/>
              </w:rPr>
              <w:t>Prepared by:</w:t>
            </w:r>
          </w:p>
        </w:tc>
        <w:tc>
          <w:tcPr>
            <w:tcW w:w="2171" w:type="dxa"/>
            <w:tcBorders>
              <w:bottom w:val="single" w:sz="4" w:space="0" w:color="auto"/>
            </w:tcBorders>
            <w:vAlign w:val="center"/>
          </w:tcPr>
          <w:p w14:paraId="5A11EE00" w14:textId="57CD8EBB" w:rsidR="00424B6B" w:rsidRPr="00C96A6E" w:rsidRDefault="00453E98" w:rsidP="00056EF4">
            <w:pPr>
              <w:autoSpaceDE w:val="0"/>
              <w:autoSpaceDN w:val="0"/>
              <w:adjustRightInd w:val="0"/>
              <w:jc w:val="both"/>
              <w:rPr>
                <w:rFonts w:cstheme="minorHAnsi"/>
                <w:sz w:val="16"/>
                <w:szCs w:val="16"/>
              </w:rPr>
            </w:pPr>
            <w:r>
              <w:rPr>
                <w:rFonts w:cstheme="minorHAnsi"/>
                <w:sz w:val="16"/>
                <w:szCs w:val="16"/>
              </w:rPr>
              <w:t>Nasha Lee</w:t>
            </w:r>
          </w:p>
        </w:tc>
        <w:tc>
          <w:tcPr>
            <w:tcW w:w="919" w:type="dxa"/>
            <w:vAlign w:val="center"/>
          </w:tcPr>
          <w:p w14:paraId="7CE4663D" w14:textId="77777777" w:rsidR="00424B6B" w:rsidRPr="00C96A6E" w:rsidRDefault="00424B6B" w:rsidP="00056EF4">
            <w:pPr>
              <w:autoSpaceDE w:val="0"/>
              <w:autoSpaceDN w:val="0"/>
              <w:adjustRightInd w:val="0"/>
              <w:jc w:val="both"/>
              <w:rPr>
                <w:rFonts w:cstheme="minorHAnsi"/>
                <w:sz w:val="16"/>
                <w:szCs w:val="16"/>
              </w:rPr>
            </w:pPr>
            <w:r w:rsidRPr="00C96A6E">
              <w:rPr>
                <w:rFonts w:cstheme="minorHAnsi"/>
                <w:sz w:val="16"/>
                <w:szCs w:val="16"/>
              </w:rPr>
              <w:t>Position:</w:t>
            </w:r>
          </w:p>
        </w:tc>
        <w:tc>
          <w:tcPr>
            <w:tcW w:w="2445" w:type="dxa"/>
            <w:tcBorders>
              <w:bottom w:val="single" w:sz="4" w:space="0" w:color="auto"/>
            </w:tcBorders>
            <w:vAlign w:val="center"/>
          </w:tcPr>
          <w:p w14:paraId="6133361B" w14:textId="67760539" w:rsidR="00424B6B" w:rsidRPr="00C96A6E" w:rsidRDefault="00453E98" w:rsidP="00056EF4">
            <w:pPr>
              <w:autoSpaceDE w:val="0"/>
              <w:autoSpaceDN w:val="0"/>
              <w:adjustRightInd w:val="0"/>
              <w:jc w:val="both"/>
              <w:rPr>
                <w:rFonts w:cstheme="minorHAnsi"/>
                <w:sz w:val="16"/>
                <w:szCs w:val="16"/>
              </w:rPr>
            </w:pPr>
            <w:r>
              <w:rPr>
                <w:rFonts w:cstheme="minorHAnsi"/>
                <w:sz w:val="16"/>
                <w:szCs w:val="16"/>
              </w:rPr>
              <w:t>Environment Analyst</w:t>
            </w:r>
          </w:p>
        </w:tc>
        <w:tc>
          <w:tcPr>
            <w:tcW w:w="920" w:type="dxa"/>
            <w:vAlign w:val="center"/>
          </w:tcPr>
          <w:p w14:paraId="04AFA512" w14:textId="77777777" w:rsidR="00424B6B" w:rsidRPr="00C96A6E" w:rsidRDefault="00424B6B" w:rsidP="00056EF4">
            <w:pPr>
              <w:autoSpaceDE w:val="0"/>
              <w:autoSpaceDN w:val="0"/>
              <w:adjustRightInd w:val="0"/>
              <w:jc w:val="both"/>
              <w:rPr>
                <w:rFonts w:cstheme="minorHAnsi"/>
                <w:sz w:val="16"/>
                <w:szCs w:val="16"/>
              </w:rPr>
            </w:pPr>
            <w:r w:rsidRPr="00C96A6E">
              <w:rPr>
                <w:rFonts w:cstheme="minorHAnsi"/>
                <w:sz w:val="16"/>
                <w:szCs w:val="16"/>
              </w:rPr>
              <w:t>Unit:</w:t>
            </w:r>
          </w:p>
        </w:tc>
        <w:tc>
          <w:tcPr>
            <w:tcW w:w="1564" w:type="dxa"/>
            <w:tcBorders>
              <w:bottom w:val="single" w:sz="4" w:space="0" w:color="auto"/>
            </w:tcBorders>
            <w:vAlign w:val="center"/>
          </w:tcPr>
          <w:p w14:paraId="615C4F4C" w14:textId="593C30DC" w:rsidR="00424B6B" w:rsidRPr="00C96A6E" w:rsidRDefault="00D15445" w:rsidP="00056EF4">
            <w:pPr>
              <w:autoSpaceDE w:val="0"/>
              <w:autoSpaceDN w:val="0"/>
              <w:adjustRightInd w:val="0"/>
              <w:jc w:val="both"/>
              <w:rPr>
                <w:rFonts w:cstheme="minorHAnsi"/>
                <w:sz w:val="16"/>
                <w:szCs w:val="16"/>
              </w:rPr>
            </w:pPr>
            <w:proofErr w:type="spellStart"/>
            <w:r>
              <w:rPr>
                <w:rFonts w:cstheme="minorHAnsi"/>
                <w:sz w:val="16"/>
                <w:szCs w:val="16"/>
              </w:rPr>
              <w:t>Programme</w:t>
            </w:r>
            <w:proofErr w:type="spellEnd"/>
          </w:p>
        </w:tc>
      </w:tr>
      <w:tr w:rsidR="008318DB" w:rsidRPr="00C96A6E" w14:paraId="018C68C5" w14:textId="77777777" w:rsidTr="008318DB">
        <w:trPr>
          <w:trHeight w:val="506"/>
        </w:trPr>
        <w:tc>
          <w:tcPr>
            <w:tcW w:w="1341" w:type="dxa"/>
            <w:vAlign w:val="center"/>
          </w:tcPr>
          <w:p w14:paraId="153A3847"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Cleared by:</w:t>
            </w:r>
          </w:p>
        </w:tc>
        <w:tc>
          <w:tcPr>
            <w:tcW w:w="2171" w:type="dxa"/>
            <w:tcBorders>
              <w:top w:val="single" w:sz="4" w:space="0" w:color="auto"/>
              <w:bottom w:val="single" w:sz="4" w:space="0" w:color="auto"/>
            </w:tcBorders>
            <w:vAlign w:val="center"/>
          </w:tcPr>
          <w:p w14:paraId="758DC9CA" w14:textId="6C63692A" w:rsidR="008318DB" w:rsidRPr="00C96A6E" w:rsidRDefault="00453E98" w:rsidP="00056EF4">
            <w:pPr>
              <w:autoSpaceDE w:val="0"/>
              <w:autoSpaceDN w:val="0"/>
              <w:adjustRightInd w:val="0"/>
              <w:jc w:val="both"/>
              <w:rPr>
                <w:rFonts w:cstheme="minorHAnsi"/>
                <w:sz w:val="16"/>
                <w:szCs w:val="16"/>
              </w:rPr>
            </w:pPr>
            <w:r>
              <w:rPr>
                <w:rFonts w:cstheme="minorHAnsi"/>
                <w:sz w:val="16"/>
                <w:szCs w:val="16"/>
              </w:rPr>
              <w:t>Asfaazam Kasbani</w:t>
            </w:r>
          </w:p>
        </w:tc>
        <w:tc>
          <w:tcPr>
            <w:tcW w:w="919" w:type="dxa"/>
            <w:vAlign w:val="center"/>
          </w:tcPr>
          <w:p w14:paraId="5B834DF5"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Position:</w:t>
            </w:r>
          </w:p>
        </w:tc>
        <w:tc>
          <w:tcPr>
            <w:tcW w:w="2445" w:type="dxa"/>
            <w:tcBorders>
              <w:top w:val="single" w:sz="4" w:space="0" w:color="auto"/>
              <w:bottom w:val="single" w:sz="4" w:space="0" w:color="auto"/>
            </w:tcBorders>
            <w:vAlign w:val="center"/>
          </w:tcPr>
          <w:p w14:paraId="57528858" w14:textId="5A977F68" w:rsidR="008318DB" w:rsidRPr="00C96A6E" w:rsidRDefault="008318DB" w:rsidP="00056EF4">
            <w:pPr>
              <w:autoSpaceDE w:val="0"/>
              <w:autoSpaceDN w:val="0"/>
              <w:adjustRightInd w:val="0"/>
              <w:jc w:val="both"/>
              <w:rPr>
                <w:rFonts w:cstheme="minorHAnsi"/>
                <w:sz w:val="16"/>
                <w:szCs w:val="16"/>
              </w:rPr>
            </w:pPr>
            <w:r>
              <w:rPr>
                <w:rFonts w:cstheme="minorHAnsi"/>
                <w:sz w:val="16"/>
                <w:szCs w:val="16"/>
              </w:rPr>
              <w:t xml:space="preserve"> </w:t>
            </w:r>
            <w:r w:rsidR="00453E98">
              <w:rPr>
                <w:rFonts w:cstheme="minorHAnsi"/>
                <w:sz w:val="16"/>
                <w:szCs w:val="16"/>
              </w:rPr>
              <w:t>Assistant Resident Representative</w:t>
            </w:r>
            <w:r>
              <w:rPr>
                <w:rFonts w:cstheme="minorHAnsi"/>
                <w:sz w:val="16"/>
                <w:szCs w:val="16"/>
              </w:rPr>
              <w:t xml:space="preserve"> </w:t>
            </w:r>
          </w:p>
        </w:tc>
        <w:tc>
          <w:tcPr>
            <w:tcW w:w="920" w:type="dxa"/>
            <w:vAlign w:val="center"/>
          </w:tcPr>
          <w:p w14:paraId="144577BB"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Unit:</w:t>
            </w:r>
          </w:p>
        </w:tc>
        <w:tc>
          <w:tcPr>
            <w:tcW w:w="1564" w:type="dxa"/>
            <w:tcBorders>
              <w:top w:val="single" w:sz="4" w:space="0" w:color="auto"/>
              <w:bottom w:val="single" w:sz="4" w:space="0" w:color="auto"/>
            </w:tcBorders>
            <w:vAlign w:val="center"/>
          </w:tcPr>
          <w:p w14:paraId="480EF9A7" w14:textId="5F3E4D9E" w:rsidR="008318DB" w:rsidRPr="00C96A6E" w:rsidRDefault="008318DB" w:rsidP="00056EF4">
            <w:pPr>
              <w:autoSpaceDE w:val="0"/>
              <w:autoSpaceDN w:val="0"/>
              <w:adjustRightInd w:val="0"/>
              <w:jc w:val="both"/>
              <w:rPr>
                <w:rFonts w:cstheme="minorHAnsi"/>
                <w:sz w:val="16"/>
                <w:szCs w:val="16"/>
              </w:rPr>
            </w:pPr>
            <w:proofErr w:type="spellStart"/>
            <w:r>
              <w:rPr>
                <w:rFonts w:cstheme="minorHAnsi"/>
                <w:sz w:val="16"/>
                <w:szCs w:val="16"/>
              </w:rPr>
              <w:t>Programme</w:t>
            </w:r>
            <w:proofErr w:type="spellEnd"/>
          </w:p>
        </w:tc>
      </w:tr>
      <w:tr w:rsidR="008318DB" w:rsidRPr="00C96A6E" w14:paraId="72A31224" w14:textId="77777777" w:rsidTr="008318DB">
        <w:trPr>
          <w:trHeight w:val="506"/>
        </w:trPr>
        <w:tc>
          <w:tcPr>
            <w:tcW w:w="1341" w:type="dxa"/>
            <w:vAlign w:val="center"/>
          </w:tcPr>
          <w:p w14:paraId="029BECAA"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Input into and update in ERC:</w:t>
            </w:r>
          </w:p>
        </w:tc>
        <w:tc>
          <w:tcPr>
            <w:tcW w:w="2171" w:type="dxa"/>
            <w:tcBorders>
              <w:top w:val="single" w:sz="4" w:space="0" w:color="auto"/>
              <w:bottom w:val="single" w:sz="4" w:space="0" w:color="auto"/>
            </w:tcBorders>
            <w:vAlign w:val="center"/>
          </w:tcPr>
          <w:p w14:paraId="32D2F7D9" w14:textId="2AAD081E" w:rsidR="008318DB" w:rsidRPr="00C96A6E" w:rsidRDefault="008318DB" w:rsidP="00056EF4">
            <w:pPr>
              <w:autoSpaceDE w:val="0"/>
              <w:autoSpaceDN w:val="0"/>
              <w:adjustRightInd w:val="0"/>
              <w:jc w:val="both"/>
              <w:rPr>
                <w:rFonts w:cstheme="minorHAnsi"/>
                <w:sz w:val="16"/>
                <w:szCs w:val="16"/>
              </w:rPr>
            </w:pPr>
            <w:r>
              <w:rPr>
                <w:rFonts w:cstheme="minorHAnsi"/>
                <w:sz w:val="16"/>
                <w:szCs w:val="16"/>
              </w:rPr>
              <w:t>Lee Siow Ling</w:t>
            </w:r>
          </w:p>
        </w:tc>
        <w:tc>
          <w:tcPr>
            <w:tcW w:w="919" w:type="dxa"/>
            <w:vAlign w:val="center"/>
          </w:tcPr>
          <w:p w14:paraId="627B06BF"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Position:</w:t>
            </w:r>
          </w:p>
        </w:tc>
        <w:tc>
          <w:tcPr>
            <w:tcW w:w="2445" w:type="dxa"/>
            <w:tcBorders>
              <w:top w:val="single" w:sz="4" w:space="0" w:color="auto"/>
              <w:bottom w:val="single" w:sz="4" w:space="0" w:color="auto"/>
            </w:tcBorders>
            <w:vAlign w:val="center"/>
          </w:tcPr>
          <w:p w14:paraId="24BEC6CF" w14:textId="102DEDA1" w:rsidR="008318DB" w:rsidRPr="000D4C13" w:rsidRDefault="008318DB" w:rsidP="00056EF4">
            <w:pPr>
              <w:autoSpaceDE w:val="0"/>
              <w:autoSpaceDN w:val="0"/>
              <w:adjustRightInd w:val="0"/>
              <w:jc w:val="both"/>
              <w:rPr>
                <w:rFonts w:cstheme="minorHAnsi"/>
                <w:sz w:val="16"/>
                <w:szCs w:val="16"/>
              </w:rPr>
            </w:pPr>
            <w:r>
              <w:rPr>
                <w:rFonts w:cstheme="minorHAnsi"/>
                <w:sz w:val="16"/>
                <w:szCs w:val="16"/>
              </w:rPr>
              <w:t>M&amp;E Analyst</w:t>
            </w:r>
          </w:p>
        </w:tc>
        <w:tc>
          <w:tcPr>
            <w:tcW w:w="920" w:type="dxa"/>
            <w:vAlign w:val="center"/>
          </w:tcPr>
          <w:p w14:paraId="45DDC745" w14:textId="77777777" w:rsidR="008318DB" w:rsidRPr="00C96A6E" w:rsidRDefault="008318DB" w:rsidP="00056EF4">
            <w:pPr>
              <w:autoSpaceDE w:val="0"/>
              <w:autoSpaceDN w:val="0"/>
              <w:adjustRightInd w:val="0"/>
              <w:jc w:val="both"/>
              <w:rPr>
                <w:rFonts w:cstheme="minorHAnsi"/>
                <w:sz w:val="16"/>
                <w:szCs w:val="16"/>
              </w:rPr>
            </w:pPr>
            <w:r w:rsidRPr="00C96A6E">
              <w:rPr>
                <w:rFonts w:cstheme="minorHAnsi"/>
                <w:sz w:val="16"/>
                <w:szCs w:val="16"/>
              </w:rPr>
              <w:t>Unit:</w:t>
            </w:r>
          </w:p>
        </w:tc>
        <w:tc>
          <w:tcPr>
            <w:tcW w:w="1564" w:type="dxa"/>
            <w:tcBorders>
              <w:top w:val="single" w:sz="4" w:space="0" w:color="auto"/>
              <w:bottom w:val="single" w:sz="4" w:space="0" w:color="auto"/>
            </w:tcBorders>
            <w:vAlign w:val="center"/>
          </w:tcPr>
          <w:p w14:paraId="68327443" w14:textId="58AADAA6" w:rsidR="008318DB" w:rsidRPr="000D4C13" w:rsidRDefault="008318DB" w:rsidP="00056EF4">
            <w:pPr>
              <w:autoSpaceDE w:val="0"/>
              <w:autoSpaceDN w:val="0"/>
              <w:adjustRightInd w:val="0"/>
              <w:jc w:val="both"/>
              <w:rPr>
                <w:rFonts w:cstheme="minorHAnsi"/>
                <w:sz w:val="16"/>
                <w:szCs w:val="16"/>
              </w:rPr>
            </w:pPr>
            <w:proofErr w:type="spellStart"/>
            <w:r>
              <w:rPr>
                <w:rFonts w:cstheme="minorHAnsi"/>
                <w:sz w:val="16"/>
                <w:szCs w:val="16"/>
              </w:rPr>
              <w:t>Programme</w:t>
            </w:r>
            <w:proofErr w:type="spellEnd"/>
          </w:p>
        </w:tc>
      </w:tr>
    </w:tbl>
    <w:p w14:paraId="74FBED2E" w14:textId="77777777" w:rsidR="00424B6B" w:rsidRPr="00C96A6E" w:rsidRDefault="00424B6B" w:rsidP="00056EF4">
      <w:pPr>
        <w:autoSpaceDE w:val="0"/>
        <w:autoSpaceDN w:val="0"/>
        <w:adjustRightInd w:val="0"/>
        <w:spacing w:after="0" w:line="240" w:lineRule="auto"/>
        <w:jc w:val="both"/>
        <w:rPr>
          <w:rFonts w:cstheme="minorHAnsi"/>
          <w:sz w:val="16"/>
          <w:szCs w:val="16"/>
        </w:rPr>
      </w:pPr>
    </w:p>
    <w:tbl>
      <w:tblPr>
        <w:tblStyle w:val="TableGrid"/>
        <w:tblW w:w="10348" w:type="dxa"/>
        <w:tblInd w:w="-57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753"/>
        <w:gridCol w:w="1350"/>
        <w:gridCol w:w="1411"/>
        <w:gridCol w:w="2133"/>
        <w:gridCol w:w="1701"/>
      </w:tblGrid>
      <w:tr w:rsidR="00666998" w:rsidRPr="002C1B2F" w14:paraId="1C51AC2B" w14:textId="77777777" w:rsidTr="00E571F8">
        <w:trPr>
          <w:trHeight w:val="1232"/>
        </w:trPr>
        <w:tc>
          <w:tcPr>
            <w:tcW w:w="10348" w:type="dxa"/>
            <w:gridSpan w:val="5"/>
            <w:shd w:val="clear" w:color="auto" w:fill="C6D9F1" w:themeFill="text2" w:themeFillTint="33"/>
          </w:tcPr>
          <w:p w14:paraId="7FC6F285" w14:textId="438E4389" w:rsidR="00666998" w:rsidRDefault="00666998" w:rsidP="00056EF4">
            <w:pPr>
              <w:tabs>
                <w:tab w:val="left" w:pos="1080"/>
              </w:tabs>
              <w:jc w:val="both"/>
              <w:rPr>
                <w:rFonts w:cstheme="minorHAnsi"/>
                <w:b/>
                <w:sz w:val="20"/>
                <w:szCs w:val="20"/>
              </w:rPr>
            </w:pPr>
            <w:r w:rsidRPr="002C1B2F">
              <w:rPr>
                <w:rFonts w:cstheme="minorHAnsi"/>
                <w:b/>
                <w:sz w:val="20"/>
                <w:szCs w:val="20"/>
              </w:rPr>
              <w:t>Recommendation</w:t>
            </w:r>
            <w:r w:rsidR="00453E98">
              <w:rPr>
                <w:rFonts w:cstheme="minorHAnsi"/>
                <w:b/>
                <w:sz w:val="20"/>
                <w:szCs w:val="20"/>
              </w:rPr>
              <w:t xml:space="preserve"> 1:</w:t>
            </w:r>
          </w:p>
          <w:p w14:paraId="43C1B8AF" w14:textId="79D6EA36" w:rsidR="00453E98" w:rsidRDefault="00453E98" w:rsidP="00056EF4">
            <w:pPr>
              <w:tabs>
                <w:tab w:val="left" w:pos="1080"/>
              </w:tabs>
              <w:jc w:val="both"/>
              <w:rPr>
                <w:rFonts w:cstheme="minorHAnsi"/>
                <w:b/>
                <w:sz w:val="20"/>
                <w:szCs w:val="20"/>
              </w:rPr>
            </w:pPr>
          </w:p>
          <w:p w14:paraId="44E41540" w14:textId="4582AEEF" w:rsidR="00453E98" w:rsidRPr="002C1B2F" w:rsidRDefault="00453E98" w:rsidP="00056EF4">
            <w:pPr>
              <w:tabs>
                <w:tab w:val="left" w:pos="1080"/>
              </w:tabs>
              <w:jc w:val="both"/>
              <w:rPr>
                <w:rFonts w:cstheme="minorHAnsi"/>
                <w:b/>
                <w:sz w:val="20"/>
                <w:szCs w:val="20"/>
              </w:rPr>
            </w:pPr>
            <w:r w:rsidRPr="00FD57BA">
              <w:rPr>
                <w:rFonts w:cstheme="minorHAnsi"/>
                <w:bCs/>
                <w:sz w:val="20"/>
                <w:szCs w:val="20"/>
              </w:rPr>
              <w:t xml:space="preserve">For Outcome 1, </w:t>
            </w:r>
            <w:r w:rsidRPr="00FD57BA">
              <w:rPr>
                <w:bCs/>
                <w:color w:val="000000"/>
                <w:sz w:val="20"/>
                <w:szCs w:val="20"/>
              </w:rPr>
              <w:t>The</w:t>
            </w:r>
            <w:r w:rsidRPr="00A11E82">
              <w:rPr>
                <w:color w:val="000000"/>
                <w:sz w:val="20"/>
                <w:szCs w:val="20"/>
              </w:rPr>
              <w:t xml:space="preserve"> </w:t>
            </w:r>
            <w:r>
              <w:rPr>
                <w:color w:val="000000"/>
                <w:sz w:val="20"/>
                <w:szCs w:val="20"/>
              </w:rPr>
              <w:t>National Low Carbon Cities Masterplan (</w:t>
            </w:r>
            <w:r w:rsidRPr="00A11E82">
              <w:rPr>
                <w:color w:val="000000"/>
                <w:sz w:val="20"/>
                <w:szCs w:val="20"/>
              </w:rPr>
              <w:t>NLCCMP</w:t>
            </w:r>
            <w:r>
              <w:rPr>
                <w:color w:val="000000"/>
                <w:sz w:val="20"/>
                <w:szCs w:val="20"/>
              </w:rPr>
              <w:t xml:space="preserve">) </w:t>
            </w:r>
            <w:r w:rsidRPr="00A11E82">
              <w:rPr>
                <w:color w:val="000000"/>
                <w:sz w:val="20"/>
                <w:szCs w:val="20"/>
              </w:rPr>
              <w:t>&amp;</w:t>
            </w:r>
            <w:r>
              <w:rPr>
                <w:color w:val="000000"/>
                <w:sz w:val="20"/>
                <w:szCs w:val="20"/>
              </w:rPr>
              <w:t xml:space="preserve"> Policy Roadmap (</w:t>
            </w:r>
            <w:r w:rsidRPr="00A11E82">
              <w:rPr>
                <w:color w:val="000000"/>
                <w:sz w:val="20"/>
                <w:szCs w:val="20"/>
              </w:rPr>
              <w:t>PRM</w:t>
            </w:r>
            <w:r>
              <w:rPr>
                <w:color w:val="000000"/>
                <w:sz w:val="20"/>
                <w:szCs w:val="20"/>
              </w:rPr>
              <w:t xml:space="preserve">) </w:t>
            </w:r>
            <w:r w:rsidRPr="00A11E82">
              <w:rPr>
                <w:color w:val="000000"/>
                <w:sz w:val="20"/>
                <w:szCs w:val="20"/>
              </w:rPr>
              <w:t xml:space="preserve">must be based in the climate change division of </w:t>
            </w:r>
            <w:r w:rsidR="002655B8">
              <w:rPr>
                <w:color w:val="000000"/>
                <w:sz w:val="20"/>
                <w:szCs w:val="20"/>
              </w:rPr>
              <w:t>the Ministry of Energy, Science, Technology, Environment and Climate Change (</w:t>
            </w:r>
            <w:r w:rsidRPr="00A11E82">
              <w:rPr>
                <w:color w:val="000000"/>
                <w:sz w:val="20"/>
                <w:szCs w:val="20"/>
              </w:rPr>
              <w:t>MESTECC</w:t>
            </w:r>
            <w:r w:rsidR="002655B8">
              <w:rPr>
                <w:color w:val="000000"/>
                <w:sz w:val="20"/>
                <w:szCs w:val="20"/>
              </w:rPr>
              <w:t>)</w:t>
            </w:r>
            <w:r w:rsidRPr="00A11E82">
              <w:rPr>
                <w:color w:val="000000"/>
                <w:sz w:val="20"/>
                <w:szCs w:val="20"/>
              </w:rPr>
              <w:t xml:space="preserve">. As discussed during stakeholders’ engagement, ownership of this document should be shared with </w:t>
            </w:r>
            <w:proofErr w:type="spellStart"/>
            <w:r w:rsidRPr="00A11E82">
              <w:rPr>
                <w:color w:val="000000"/>
                <w:sz w:val="20"/>
                <w:szCs w:val="20"/>
              </w:rPr>
              <w:t>PLANMalaysia</w:t>
            </w:r>
            <w:proofErr w:type="spellEnd"/>
            <w:r w:rsidRPr="00A11E82">
              <w:rPr>
                <w:color w:val="000000"/>
                <w:sz w:val="20"/>
                <w:szCs w:val="20"/>
              </w:rPr>
              <w:t xml:space="preserve"> and Ministry of Housing and Local Government</w:t>
            </w:r>
            <w:r w:rsidR="002655B8">
              <w:rPr>
                <w:color w:val="000000"/>
                <w:sz w:val="20"/>
                <w:szCs w:val="20"/>
              </w:rPr>
              <w:t xml:space="preserve"> (KPKT)</w:t>
            </w:r>
            <w:r w:rsidRPr="00A11E82">
              <w:rPr>
                <w:color w:val="000000"/>
                <w:sz w:val="20"/>
                <w:szCs w:val="20"/>
              </w:rPr>
              <w:t>. The state government should also set up a climate change division to oversee the implementation of low carbon development plans/programs.</w:t>
            </w:r>
            <w:r>
              <w:rPr>
                <w:color w:val="000000"/>
                <w:sz w:val="20"/>
                <w:szCs w:val="20"/>
              </w:rPr>
              <w:t xml:space="preserve"> </w:t>
            </w:r>
            <w:r w:rsidRPr="0060713E">
              <w:rPr>
                <w:color w:val="000000"/>
                <w:sz w:val="20"/>
                <w:szCs w:val="20"/>
              </w:rPr>
              <w:t>The GTALCC project can play an important role in ensuring that the low-carbon agenda is properly reflected in the 12th Plan.</w:t>
            </w:r>
          </w:p>
          <w:p w14:paraId="0E52DF6A" w14:textId="3C236DA9" w:rsidR="00666998" w:rsidRPr="002C1B2F" w:rsidRDefault="00666998" w:rsidP="00056EF4">
            <w:pPr>
              <w:tabs>
                <w:tab w:val="left" w:pos="1080"/>
              </w:tabs>
              <w:jc w:val="both"/>
              <w:rPr>
                <w:rFonts w:cstheme="minorHAnsi"/>
                <w:bCs/>
                <w:sz w:val="20"/>
                <w:szCs w:val="20"/>
              </w:rPr>
            </w:pPr>
          </w:p>
        </w:tc>
      </w:tr>
      <w:tr w:rsidR="00453E98" w:rsidRPr="002C1B2F" w14:paraId="19C5B90C" w14:textId="77777777" w:rsidTr="00E571F8">
        <w:trPr>
          <w:trHeight w:val="917"/>
        </w:trPr>
        <w:tc>
          <w:tcPr>
            <w:tcW w:w="10348" w:type="dxa"/>
            <w:gridSpan w:val="5"/>
            <w:shd w:val="clear" w:color="auto" w:fill="auto"/>
          </w:tcPr>
          <w:p w14:paraId="397D5F81" w14:textId="1534875D" w:rsidR="00453E98" w:rsidRPr="00B60AB3" w:rsidRDefault="00453E98" w:rsidP="00056EF4">
            <w:pPr>
              <w:tabs>
                <w:tab w:val="left" w:pos="1080"/>
              </w:tabs>
              <w:jc w:val="both"/>
              <w:rPr>
                <w:rFonts w:cstheme="minorHAnsi"/>
                <w:b/>
                <w:bCs/>
                <w:sz w:val="20"/>
                <w:szCs w:val="20"/>
              </w:rPr>
            </w:pPr>
            <w:r w:rsidRPr="004B257B">
              <w:rPr>
                <w:b/>
                <w:sz w:val="20"/>
                <w:szCs w:val="20"/>
              </w:rPr>
              <w:t xml:space="preserve">Management Response: </w:t>
            </w:r>
            <w:r>
              <w:rPr>
                <w:sz w:val="20"/>
                <w:szCs w:val="20"/>
              </w:rPr>
              <w:t xml:space="preserve">Management accepts the recommendations under Outcome 1. Arrangements are underway to finalize the institutional structure of the Masterplan which will be hosted by MESTECC, KPKT and </w:t>
            </w:r>
            <w:r w:rsidR="002655B8">
              <w:rPr>
                <w:sz w:val="20"/>
                <w:szCs w:val="20"/>
              </w:rPr>
              <w:t>the Ministry of Federal Territories</w:t>
            </w:r>
            <w:r>
              <w:rPr>
                <w:sz w:val="20"/>
                <w:szCs w:val="20"/>
              </w:rPr>
              <w:t>. The GTALCC project has provided inputs to the 12</w:t>
            </w:r>
            <w:r w:rsidRPr="00A02D6F">
              <w:rPr>
                <w:sz w:val="20"/>
                <w:szCs w:val="20"/>
                <w:vertAlign w:val="superscript"/>
              </w:rPr>
              <w:t>th</w:t>
            </w:r>
            <w:r>
              <w:rPr>
                <w:sz w:val="20"/>
                <w:szCs w:val="20"/>
              </w:rPr>
              <w:t xml:space="preserve"> Malaysia Plan process to highlight the importance of low carbon cities and several priority strategies which can be adopted in the 12</w:t>
            </w:r>
            <w:r w:rsidRPr="00A02D6F">
              <w:rPr>
                <w:sz w:val="20"/>
                <w:szCs w:val="20"/>
                <w:vertAlign w:val="superscript"/>
              </w:rPr>
              <w:t>th</w:t>
            </w:r>
            <w:r>
              <w:rPr>
                <w:sz w:val="20"/>
                <w:szCs w:val="20"/>
              </w:rPr>
              <w:t xml:space="preserve"> Malaysia Plan period.</w:t>
            </w:r>
          </w:p>
        </w:tc>
      </w:tr>
      <w:tr w:rsidR="00453E98" w:rsidRPr="002C1B2F" w14:paraId="1B5F458E" w14:textId="77777777" w:rsidTr="00E571F8">
        <w:trPr>
          <w:trHeight w:val="361"/>
        </w:trPr>
        <w:tc>
          <w:tcPr>
            <w:tcW w:w="3753" w:type="dxa"/>
            <w:vMerge w:val="restart"/>
            <w:shd w:val="clear" w:color="auto" w:fill="C6D9F1" w:themeFill="text2" w:themeFillTint="33"/>
            <w:vAlign w:val="center"/>
          </w:tcPr>
          <w:p w14:paraId="5158CB63" w14:textId="77777777" w:rsidR="00453E98" w:rsidRPr="002C1B2F" w:rsidRDefault="00453E98" w:rsidP="00056EF4">
            <w:pPr>
              <w:autoSpaceDE w:val="0"/>
              <w:autoSpaceDN w:val="0"/>
              <w:adjustRightInd w:val="0"/>
              <w:jc w:val="both"/>
              <w:rPr>
                <w:rFonts w:cstheme="minorHAnsi"/>
                <w:sz w:val="20"/>
                <w:szCs w:val="20"/>
              </w:rPr>
            </w:pPr>
            <w:r w:rsidRPr="002C1B2F">
              <w:rPr>
                <w:rFonts w:cstheme="minorHAnsi"/>
                <w:b/>
                <w:bCs/>
                <w:sz w:val="20"/>
                <w:szCs w:val="20"/>
              </w:rPr>
              <w:t>Key action(s)</w:t>
            </w:r>
          </w:p>
        </w:tc>
        <w:tc>
          <w:tcPr>
            <w:tcW w:w="1350" w:type="dxa"/>
            <w:vMerge w:val="restart"/>
            <w:shd w:val="clear" w:color="auto" w:fill="C6D9F1" w:themeFill="text2" w:themeFillTint="33"/>
            <w:vAlign w:val="center"/>
          </w:tcPr>
          <w:p w14:paraId="567F807C" w14:textId="77777777" w:rsidR="00453E98" w:rsidRPr="002C1B2F" w:rsidRDefault="00453E98" w:rsidP="00056EF4">
            <w:pPr>
              <w:autoSpaceDE w:val="0"/>
              <w:autoSpaceDN w:val="0"/>
              <w:adjustRightInd w:val="0"/>
              <w:jc w:val="both"/>
              <w:rPr>
                <w:rFonts w:cstheme="minorHAnsi"/>
                <w:sz w:val="20"/>
                <w:szCs w:val="20"/>
              </w:rPr>
            </w:pPr>
            <w:r w:rsidRPr="002C1B2F">
              <w:rPr>
                <w:rFonts w:cstheme="minorHAnsi"/>
                <w:b/>
                <w:bCs/>
                <w:sz w:val="20"/>
                <w:szCs w:val="20"/>
              </w:rPr>
              <w:t>Time frame</w:t>
            </w:r>
          </w:p>
        </w:tc>
        <w:tc>
          <w:tcPr>
            <w:tcW w:w="1411" w:type="dxa"/>
            <w:vMerge w:val="restart"/>
            <w:shd w:val="clear" w:color="auto" w:fill="C6D9F1" w:themeFill="text2" w:themeFillTint="33"/>
            <w:vAlign w:val="center"/>
          </w:tcPr>
          <w:p w14:paraId="747107FC" w14:textId="70954803" w:rsidR="00453E98" w:rsidRPr="002C1B2F" w:rsidRDefault="00453E98" w:rsidP="00056EF4">
            <w:pPr>
              <w:autoSpaceDE w:val="0"/>
              <w:autoSpaceDN w:val="0"/>
              <w:adjustRightInd w:val="0"/>
              <w:jc w:val="both"/>
              <w:rPr>
                <w:rFonts w:cstheme="minorHAnsi"/>
                <w:sz w:val="20"/>
                <w:szCs w:val="20"/>
              </w:rPr>
            </w:pPr>
            <w:r w:rsidRPr="00E571F8">
              <w:rPr>
                <w:rFonts w:cstheme="minorHAnsi"/>
                <w:b/>
                <w:bCs/>
                <w:sz w:val="20"/>
                <w:szCs w:val="20"/>
              </w:rPr>
              <w:t>Responsible Units</w:t>
            </w:r>
          </w:p>
        </w:tc>
        <w:tc>
          <w:tcPr>
            <w:tcW w:w="3834" w:type="dxa"/>
            <w:gridSpan w:val="2"/>
            <w:shd w:val="clear" w:color="auto" w:fill="C6D9F1" w:themeFill="text2" w:themeFillTint="33"/>
            <w:vAlign w:val="center"/>
          </w:tcPr>
          <w:p w14:paraId="2F4C40D0" w14:textId="77777777" w:rsidR="00453E98" w:rsidRPr="002C1B2F" w:rsidRDefault="00453E98" w:rsidP="00056EF4">
            <w:pPr>
              <w:autoSpaceDE w:val="0"/>
              <w:autoSpaceDN w:val="0"/>
              <w:adjustRightInd w:val="0"/>
              <w:jc w:val="both"/>
              <w:rPr>
                <w:rFonts w:cstheme="minorHAnsi"/>
                <w:b/>
                <w:bCs/>
                <w:sz w:val="20"/>
                <w:szCs w:val="20"/>
              </w:rPr>
            </w:pPr>
            <w:r w:rsidRPr="002C1B2F">
              <w:rPr>
                <w:rFonts w:cstheme="minorHAnsi"/>
                <w:b/>
                <w:bCs/>
                <w:sz w:val="20"/>
                <w:szCs w:val="20"/>
              </w:rPr>
              <w:t>Tracking</w:t>
            </w:r>
          </w:p>
        </w:tc>
      </w:tr>
      <w:tr w:rsidR="00453E98" w:rsidRPr="002C1B2F" w14:paraId="5930FF9D" w14:textId="77777777" w:rsidTr="00384123">
        <w:trPr>
          <w:trHeight w:val="242"/>
        </w:trPr>
        <w:tc>
          <w:tcPr>
            <w:tcW w:w="3753" w:type="dxa"/>
            <w:vMerge/>
            <w:shd w:val="clear" w:color="auto" w:fill="C6D9F1" w:themeFill="text2" w:themeFillTint="33"/>
            <w:vAlign w:val="center"/>
          </w:tcPr>
          <w:p w14:paraId="30FC11D5" w14:textId="77777777" w:rsidR="00453E98" w:rsidRPr="002C1B2F" w:rsidRDefault="00453E98" w:rsidP="00056EF4">
            <w:pPr>
              <w:autoSpaceDE w:val="0"/>
              <w:autoSpaceDN w:val="0"/>
              <w:adjustRightInd w:val="0"/>
              <w:jc w:val="both"/>
              <w:rPr>
                <w:rFonts w:cstheme="minorHAnsi"/>
                <w:sz w:val="20"/>
                <w:szCs w:val="20"/>
              </w:rPr>
            </w:pPr>
          </w:p>
        </w:tc>
        <w:tc>
          <w:tcPr>
            <w:tcW w:w="1350" w:type="dxa"/>
            <w:vMerge/>
            <w:shd w:val="clear" w:color="auto" w:fill="C6D9F1" w:themeFill="text2" w:themeFillTint="33"/>
            <w:vAlign w:val="center"/>
          </w:tcPr>
          <w:p w14:paraId="5144E987" w14:textId="77777777" w:rsidR="00453E98" w:rsidRPr="002C1B2F" w:rsidRDefault="00453E98" w:rsidP="00056EF4">
            <w:pPr>
              <w:autoSpaceDE w:val="0"/>
              <w:autoSpaceDN w:val="0"/>
              <w:adjustRightInd w:val="0"/>
              <w:jc w:val="both"/>
              <w:rPr>
                <w:rFonts w:cstheme="minorHAnsi"/>
                <w:sz w:val="20"/>
                <w:szCs w:val="20"/>
              </w:rPr>
            </w:pPr>
          </w:p>
        </w:tc>
        <w:tc>
          <w:tcPr>
            <w:tcW w:w="1411" w:type="dxa"/>
            <w:vMerge/>
            <w:shd w:val="clear" w:color="auto" w:fill="C6D9F1" w:themeFill="text2" w:themeFillTint="33"/>
            <w:vAlign w:val="center"/>
          </w:tcPr>
          <w:p w14:paraId="5BBFAF04" w14:textId="77777777" w:rsidR="00453E98" w:rsidRPr="002C1B2F" w:rsidRDefault="00453E98" w:rsidP="00056EF4">
            <w:pPr>
              <w:autoSpaceDE w:val="0"/>
              <w:autoSpaceDN w:val="0"/>
              <w:adjustRightInd w:val="0"/>
              <w:jc w:val="both"/>
              <w:rPr>
                <w:rFonts w:cstheme="minorHAnsi"/>
                <w:sz w:val="20"/>
                <w:szCs w:val="20"/>
              </w:rPr>
            </w:pPr>
          </w:p>
        </w:tc>
        <w:tc>
          <w:tcPr>
            <w:tcW w:w="2133" w:type="dxa"/>
            <w:shd w:val="clear" w:color="auto" w:fill="C6D9F1" w:themeFill="text2" w:themeFillTint="33"/>
            <w:vAlign w:val="center"/>
          </w:tcPr>
          <w:p w14:paraId="63AA1786" w14:textId="77777777" w:rsidR="00453E98" w:rsidRPr="002C1B2F" w:rsidRDefault="00453E98" w:rsidP="00056EF4">
            <w:pPr>
              <w:autoSpaceDE w:val="0"/>
              <w:autoSpaceDN w:val="0"/>
              <w:adjustRightInd w:val="0"/>
              <w:jc w:val="both"/>
              <w:rPr>
                <w:rFonts w:cstheme="minorHAnsi"/>
                <w:b/>
                <w:bCs/>
                <w:sz w:val="20"/>
                <w:szCs w:val="20"/>
              </w:rPr>
            </w:pPr>
            <w:r w:rsidRPr="002C1B2F">
              <w:rPr>
                <w:rFonts w:cstheme="minorHAnsi"/>
                <w:b/>
                <w:bCs/>
                <w:sz w:val="20"/>
                <w:szCs w:val="20"/>
              </w:rPr>
              <w:t>Comments</w:t>
            </w:r>
          </w:p>
        </w:tc>
        <w:tc>
          <w:tcPr>
            <w:tcW w:w="1701" w:type="dxa"/>
            <w:shd w:val="clear" w:color="auto" w:fill="C6D9F1" w:themeFill="text2" w:themeFillTint="33"/>
            <w:vAlign w:val="center"/>
          </w:tcPr>
          <w:p w14:paraId="0F555F2D" w14:textId="77777777" w:rsidR="00453E98" w:rsidRPr="002C1B2F" w:rsidRDefault="00453E98" w:rsidP="00056EF4">
            <w:pPr>
              <w:autoSpaceDE w:val="0"/>
              <w:autoSpaceDN w:val="0"/>
              <w:adjustRightInd w:val="0"/>
              <w:jc w:val="both"/>
              <w:rPr>
                <w:rFonts w:cstheme="minorHAnsi"/>
                <w:b/>
                <w:bCs/>
                <w:sz w:val="20"/>
                <w:szCs w:val="20"/>
              </w:rPr>
            </w:pPr>
            <w:r w:rsidRPr="002C1B2F">
              <w:rPr>
                <w:rFonts w:cstheme="minorHAnsi"/>
                <w:b/>
                <w:bCs/>
                <w:sz w:val="20"/>
                <w:szCs w:val="20"/>
              </w:rPr>
              <w:t>Status</w:t>
            </w:r>
          </w:p>
        </w:tc>
      </w:tr>
      <w:tr w:rsidR="00453E98" w:rsidRPr="00E021F0" w14:paraId="0C5A892A" w14:textId="77777777" w:rsidTr="00384123">
        <w:trPr>
          <w:trHeight w:val="361"/>
        </w:trPr>
        <w:tc>
          <w:tcPr>
            <w:tcW w:w="3753" w:type="dxa"/>
          </w:tcPr>
          <w:p w14:paraId="61AD80DA" w14:textId="3C0042CD" w:rsidR="00453E98" w:rsidRPr="0002678D" w:rsidRDefault="002655B8" w:rsidP="00056EF4">
            <w:pPr>
              <w:tabs>
                <w:tab w:val="left" w:pos="1080"/>
              </w:tabs>
              <w:jc w:val="both"/>
              <w:rPr>
                <w:rFonts w:cstheme="minorHAnsi"/>
                <w:bCs/>
                <w:sz w:val="20"/>
                <w:szCs w:val="20"/>
              </w:rPr>
            </w:pPr>
            <w:r>
              <w:rPr>
                <w:rFonts w:cstheme="minorHAnsi"/>
                <w:bCs/>
                <w:sz w:val="20"/>
                <w:szCs w:val="20"/>
              </w:rPr>
              <w:t xml:space="preserve">Institutionalization of the National Low Carbon Cities Masterplan </w:t>
            </w:r>
            <w:r w:rsidR="00A56533">
              <w:rPr>
                <w:rFonts w:cstheme="minorHAnsi"/>
                <w:bCs/>
                <w:sz w:val="20"/>
                <w:szCs w:val="20"/>
              </w:rPr>
              <w:t>with the relevant ministries and at the state level.</w:t>
            </w:r>
          </w:p>
        </w:tc>
        <w:tc>
          <w:tcPr>
            <w:tcW w:w="1350" w:type="dxa"/>
            <w:vAlign w:val="center"/>
          </w:tcPr>
          <w:p w14:paraId="58351AFD" w14:textId="2E560B6C" w:rsidR="00453E98" w:rsidRPr="00594C4D" w:rsidRDefault="00C91E86" w:rsidP="00056EF4">
            <w:pPr>
              <w:autoSpaceDE w:val="0"/>
              <w:autoSpaceDN w:val="0"/>
              <w:adjustRightInd w:val="0"/>
              <w:jc w:val="both"/>
              <w:rPr>
                <w:rFonts w:cstheme="minorHAnsi"/>
                <w:sz w:val="20"/>
                <w:szCs w:val="20"/>
              </w:rPr>
            </w:pPr>
            <w:r>
              <w:rPr>
                <w:rFonts w:cstheme="minorHAnsi"/>
                <w:sz w:val="20"/>
                <w:szCs w:val="20"/>
              </w:rPr>
              <w:t>December</w:t>
            </w:r>
            <w:r w:rsidR="006B3947">
              <w:rPr>
                <w:rFonts w:cstheme="minorHAnsi"/>
                <w:sz w:val="20"/>
                <w:szCs w:val="20"/>
              </w:rPr>
              <w:t xml:space="preserve"> </w:t>
            </w:r>
            <w:r w:rsidR="00453E98">
              <w:rPr>
                <w:rFonts w:cstheme="minorHAnsi"/>
                <w:sz w:val="20"/>
                <w:szCs w:val="20"/>
              </w:rPr>
              <w:t>2020</w:t>
            </w:r>
          </w:p>
        </w:tc>
        <w:tc>
          <w:tcPr>
            <w:tcW w:w="1411" w:type="dxa"/>
            <w:vAlign w:val="center"/>
          </w:tcPr>
          <w:p w14:paraId="0859360D" w14:textId="3CCF2C6A" w:rsidR="00453E98" w:rsidRPr="00594C4D" w:rsidRDefault="00453E98" w:rsidP="00056EF4">
            <w:pPr>
              <w:autoSpaceDE w:val="0"/>
              <w:autoSpaceDN w:val="0"/>
              <w:adjustRightInd w:val="0"/>
              <w:jc w:val="both"/>
              <w:rPr>
                <w:rFonts w:cstheme="minorHAnsi"/>
                <w:sz w:val="20"/>
                <w:szCs w:val="20"/>
              </w:rPr>
            </w:pPr>
            <w:r>
              <w:rPr>
                <w:rFonts w:cstheme="minorHAnsi"/>
                <w:sz w:val="20"/>
                <w:szCs w:val="20"/>
              </w:rPr>
              <w:t xml:space="preserve">MESTECC and </w:t>
            </w:r>
            <w:r w:rsidR="00AE1070">
              <w:rPr>
                <w:rFonts w:cstheme="minorHAnsi"/>
                <w:sz w:val="20"/>
                <w:szCs w:val="20"/>
              </w:rPr>
              <w:t>project team</w:t>
            </w:r>
          </w:p>
        </w:tc>
        <w:tc>
          <w:tcPr>
            <w:tcW w:w="2133" w:type="dxa"/>
            <w:vAlign w:val="center"/>
          </w:tcPr>
          <w:p w14:paraId="617B57E7" w14:textId="16EDA736" w:rsidR="00453E98" w:rsidRPr="00E021F0" w:rsidRDefault="000C75CA" w:rsidP="00056EF4">
            <w:pPr>
              <w:autoSpaceDE w:val="0"/>
              <w:autoSpaceDN w:val="0"/>
              <w:adjustRightInd w:val="0"/>
              <w:jc w:val="both"/>
              <w:rPr>
                <w:rFonts w:cstheme="minorHAnsi"/>
                <w:sz w:val="20"/>
                <w:szCs w:val="20"/>
                <w:highlight w:val="yellow"/>
              </w:rPr>
            </w:pPr>
            <w:r w:rsidRPr="000C75CA">
              <w:rPr>
                <w:rFonts w:cstheme="minorHAnsi"/>
                <w:sz w:val="20"/>
                <w:szCs w:val="20"/>
              </w:rPr>
              <w:t xml:space="preserve">Arrangements are made to have the National Low Carbon Cities Masterplan fully </w:t>
            </w:r>
            <w:r w:rsidR="00FD57BA" w:rsidRPr="000C75CA">
              <w:rPr>
                <w:rFonts w:cstheme="minorHAnsi"/>
                <w:sz w:val="20"/>
                <w:szCs w:val="20"/>
              </w:rPr>
              <w:t>institutionalized</w:t>
            </w:r>
            <w:r w:rsidRPr="000C75CA">
              <w:rPr>
                <w:rFonts w:cstheme="minorHAnsi"/>
                <w:sz w:val="20"/>
                <w:szCs w:val="20"/>
              </w:rPr>
              <w:t xml:space="preserve"> within the Ministry of Environment and Water</w:t>
            </w:r>
            <w:r w:rsidR="00FD57BA">
              <w:rPr>
                <w:rFonts w:cstheme="minorHAnsi"/>
                <w:sz w:val="20"/>
                <w:szCs w:val="20"/>
              </w:rPr>
              <w:t xml:space="preserve"> (previously known as the Ministry of Energy, Science, Technology, Environment &amp; Climate Change, MESTECC)</w:t>
            </w:r>
            <w:r w:rsidRPr="000C75CA">
              <w:rPr>
                <w:rFonts w:cstheme="minorHAnsi"/>
                <w:sz w:val="20"/>
                <w:szCs w:val="20"/>
              </w:rPr>
              <w:t>, in close coordination with the Ministry of Housing and Local Government and the Ministry of Federal Territories</w:t>
            </w:r>
            <w:r>
              <w:rPr>
                <w:rFonts w:cstheme="minorHAnsi"/>
                <w:sz w:val="20"/>
                <w:szCs w:val="20"/>
              </w:rPr>
              <w:t>.</w:t>
            </w:r>
            <w:r w:rsidR="001B1192">
              <w:rPr>
                <w:rFonts w:cstheme="minorHAnsi"/>
                <w:sz w:val="20"/>
                <w:szCs w:val="20"/>
              </w:rPr>
              <w:t xml:space="preserve"> The </w:t>
            </w:r>
            <w:r w:rsidR="001B1192">
              <w:rPr>
                <w:rFonts w:cstheme="minorHAnsi"/>
                <w:sz w:val="20"/>
                <w:szCs w:val="20"/>
              </w:rPr>
              <w:lastRenderedPageBreak/>
              <w:t>project had also recommended in the National Low Carbon Cities Masterplan for a climate change/ low carbon unit within the state government.</w:t>
            </w:r>
          </w:p>
        </w:tc>
        <w:tc>
          <w:tcPr>
            <w:tcW w:w="1701" w:type="dxa"/>
            <w:vAlign w:val="center"/>
          </w:tcPr>
          <w:p w14:paraId="53E82830" w14:textId="52F791C2" w:rsidR="00453E98" w:rsidRPr="00594C4D" w:rsidRDefault="000C75CA" w:rsidP="00056EF4">
            <w:pPr>
              <w:autoSpaceDE w:val="0"/>
              <w:autoSpaceDN w:val="0"/>
              <w:adjustRightInd w:val="0"/>
              <w:jc w:val="both"/>
              <w:rPr>
                <w:rFonts w:cstheme="minorHAnsi"/>
                <w:sz w:val="20"/>
                <w:szCs w:val="20"/>
              </w:rPr>
            </w:pPr>
            <w:r>
              <w:rPr>
                <w:rFonts w:cstheme="minorHAnsi"/>
                <w:sz w:val="20"/>
                <w:szCs w:val="20"/>
              </w:rPr>
              <w:lastRenderedPageBreak/>
              <w:t>In progress</w:t>
            </w:r>
          </w:p>
        </w:tc>
      </w:tr>
      <w:tr w:rsidR="00453E98" w:rsidRPr="00E021F0" w14:paraId="416CB8CA" w14:textId="77777777" w:rsidTr="00384123">
        <w:trPr>
          <w:trHeight w:val="361"/>
        </w:trPr>
        <w:tc>
          <w:tcPr>
            <w:tcW w:w="3753" w:type="dxa"/>
          </w:tcPr>
          <w:p w14:paraId="6814D39F" w14:textId="6F8174F0" w:rsidR="00453E98" w:rsidRPr="0002678D" w:rsidRDefault="002655B8" w:rsidP="00056EF4">
            <w:pPr>
              <w:tabs>
                <w:tab w:val="left" w:pos="1080"/>
              </w:tabs>
              <w:jc w:val="both"/>
              <w:rPr>
                <w:rFonts w:cstheme="minorHAnsi"/>
                <w:bCs/>
                <w:sz w:val="20"/>
                <w:szCs w:val="20"/>
              </w:rPr>
            </w:pPr>
            <w:r>
              <w:rPr>
                <w:rFonts w:cstheme="minorHAnsi"/>
                <w:bCs/>
                <w:sz w:val="20"/>
                <w:szCs w:val="20"/>
              </w:rPr>
              <w:t>Integrate the low-carbon agenda into the 12</w:t>
            </w:r>
            <w:r w:rsidRPr="002655B8">
              <w:rPr>
                <w:rFonts w:cstheme="minorHAnsi"/>
                <w:bCs/>
                <w:sz w:val="20"/>
                <w:szCs w:val="20"/>
                <w:vertAlign w:val="superscript"/>
              </w:rPr>
              <w:t>th</w:t>
            </w:r>
            <w:r>
              <w:rPr>
                <w:rFonts w:cstheme="minorHAnsi"/>
                <w:bCs/>
                <w:sz w:val="20"/>
                <w:szCs w:val="20"/>
              </w:rPr>
              <w:t xml:space="preserve"> Malaysia Plan</w:t>
            </w:r>
          </w:p>
        </w:tc>
        <w:tc>
          <w:tcPr>
            <w:tcW w:w="1350" w:type="dxa"/>
            <w:vAlign w:val="center"/>
          </w:tcPr>
          <w:p w14:paraId="02077C3E" w14:textId="5B3B553F" w:rsidR="00453E98" w:rsidRPr="00594C4D" w:rsidRDefault="00DD51B2" w:rsidP="00056EF4">
            <w:pPr>
              <w:autoSpaceDE w:val="0"/>
              <w:autoSpaceDN w:val="0"/>
              <w:adjustRightInd w:val="0"/>
              <w:jc w:val="both"/>
              <w:rPr>
                <w:rFonts w:cstheme="minorHAnsi"/>
                <w:sz w:val="20"/>
                <w:szCs w:val="20"/>
              </w:rPr>
            </w:pPr>
            <w:r>
              <w:rPr>
                <w:rFonts w:cstheme="minorHAnsi"/>
                <w:sz w:val="20"/>
                <w:szCs w:val="20"/>
              </w:rPr>
              <w:t>June 2020</w:t>
            </w:r>
          </w:p>
        </w:tc>
        <w:tc>
          <w:tcPr>
            <w:tcW w:w="1411" w:type="dxa"/>
            <w:vAlign w:val="center"/>
          </w:tcPr>
          <w:p w14:paraId="74360533" w14:textId="17702E40" w:rsidR="00453E98" w:rsidRPr="00594C4D" w:rsidRDefault="00DD51B2" w:rsidP="00056EF4">
            <w:pPr>
              <w:autoSpaceDE w:val="0"/>
              <w:autoSpaceDN w:val="0"/>
              <w:adjustRightInd w:val="0"/>
              <w:jc w:val="both"/>
              <w:rPr>
                <w:rFonts w:cstheme="minorHAnsi"/>
                <w:sz w:val="20"/>
                <w:szCs w:val="20"/>
              </w:rPr>
            </w:pPr>
            <w:r>
              <w:rPr>
                <w:rFonts w:cstheme="minorHAnsi"/>
                <w:sz w:val="20"/>
                <w:szCs w:val="20"/>
              </w:rPr>
              <w:t xml:space="preserve">MESTECC and </w:t>
            </w:r>
            <w:r w:rsidR="00AE1070">
              <w:rPr>
                <w:rFonts w:cstheme="minorHAnsi"/>
                <w:sz w:val="20"/>
                <w:szCs w:val="20"/>
              </w:rPr>
              <w:t>project team</w:t>
            </w:r>
          </w:p>
        </w:tc>
        <w:tc>
          <w:tcPr>
            <w:tcW w:w="2133" w:type="dxa"/>
            <w:vAlign w:val="center"/>
          </w:tcPr>
          <w:p w14:paraId="57727BF3" w14:textId="12ADB803" w:rsidR="00453E98" w:rsidRPr="00055E3C" w:rsidRDefault="00200255" w:rsidP="00056EF4">
            <w:pPr>
              <w:autoSpaceDE w:val="0"/>
              <w:autoSpaceDN w:val="0"/>
              <w:adjustRightInd w:val="0"/>
              <w:jc w:val="both"/>
              <w:rPr>
                <w:rFonts w:cstheme="minorHAnsi"/>
                <w:sz w:val="20"/>
                <w:szCs w:val="20"/>
              </w:rPr>
            </w:pPr>
            <w:r w:rsidRPr="00200255">
              <w:rPr>
                <w:rFonts w:cstheme="minorHAnsi"/>
                <w:sz w:val="20"/>
                <w:szCs w:val="20"/>
              </w:rPr>
              <w:t>A joint UN Policy Paper was prepared, led by UNDP with UNIDO and UNEP as contributors. One section of the Policy Paper was dedicated to empowering cities for climate action and green growth, which featured learnings and insights from the GTALCC project and its deliverables such as the Low Carbon Cities Masterplan and the Institutional Framework for Low Carbon Cities. Low carbon city inputs were also reflected in the IP's submission on 12th Malaysia Plan recommendations to the Economic Planning Unit. Initial drafts of the 12th Malaysia Plan</w:t>
            </w:r>
            <w:r w:rsidR="007238FD">
              <w:rPr>
                <w:rFonts w:cstheme="minorHAnsi"/>
                <w:sz w:val="20"/>
                <w:szCs w:val="20"/>
              </w:rPr>
              <w:t xml:space="preserve"> (currently still under development)</w:t>
            </w:r>
            <w:r w:rsidR="00A56533">
              <w:rPr>
                <w:rFonts w:cstheme="minorHAnsi"/>
                <w:sz w:val="20"/>
                <w:szCs w:val="20"/>
              </w:rPr>
              <w:t xml:space="preserve"> in Q2 2020</w:t>
            </w:r>
            <w:r w:rsidRPr="00200255">
              <w:rPr>
                <w:rFonts w:cstheme="minorHAnsi"/>
                <w:sz w:val="20"/>
                <w:szCs w:val="20"/>
              </w:rPr>
              <w:t xml:space="preserve"> shows a strategy being dedicated to cities and climate action</w:t>
            </w:r>
            <w:r w:rsidR="00A56533">
              <w:rPr>
                <w:rFonts w:cstheme="minorHAnsi"/>
                <w:sz w:val="20"/>
                <w:szCs w:val="20"/>
              </w:rPr>
              <w:t>.</w:t>
            </w:r>
          </w:p>
        </w:tc>
        <w:tc>
          <w:tcPr>
            <w:tcW w:w="1701" w:type="dxa"/>
            <w:vAlign w:val="center"/>
          </w:tcPr>
          <w:p w14:paraId="5E0A04F3" w14:textId="5A3C1FF3" w:rsidR="00453E98" w:rsidRPr="00594C4D" w:rsidRDefault="00200255" w:rsidP="00056EF4">
            <w:pPr>
              <w:autoSpaceDE w:val="0"/>
              <w:autoSpaceDN w:val="0"/>
              <w:adjustRightInd w:val="0"/>
              <w:jc w:val="both"/>
              <w:rPr>
                <w:rFonts w:cstheme="minorHAnsi"/>
                <w:sz w:val="20"/>
                <w:szCs w:val="20"/>
              </w:rPr>
            </w:pPr>
            <w:r>
              <w:rPr>
                <w:rFonts w:cstheme="minorHAnsi"/>
                <w:sz w:val="20"/>
                <w:szCs w:val="20"/>
              </w:rPr>
              <w:t>Completed</w:t>
            </w:r>
          </w:p>
        </w:tc>
        <w:bookmarkStart w:id="0" w:name="_GoBack"/>
        <w:bookmarkEnd w:id="0"/>
      </w:tr>
    </w:tbl>
    <w:p w14:paraId="6CB361AF" w14:textId="7695D258" w:rsidR="002C1B2F" w:rsidRDefault="002C1B2F" w:rsidP="00056EF4">
      <w:pPr>
        <w:jc w:val="both"/>
        <w:rPr>
          <w:rFonts w:cstheme="minorHAnsi"/>
          <w:sz w:val="20"/>
          <w:szCs w:val="20"/>
        </w:rPr>
      </w:pPr>
    </w:p>
    <w:tbl>
      <w:tblPr>
        <w:tblStyle w:val="TableGrid"/>
        <w:tblW w:w="10348" w:type="dxa"/>
        <w:tblInd w:w="-57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653"/>
        <w:gridCol w:w="1061"/>
        <w:gridCol w:w="1769"/>
        <w:gridCol w:w="2164"/>
        <w:gridCol w:w="1701"/>
      </w:tblGrid>
      <w:tr w:rsidR="00D65A4B" w:rsidRPr="002C1B2F" w14:paraId="53954605" w14:textId="77777777" w:rsidTr="002A0889">
        <w:trPr>
          <w:trHeight w:val="1232"/>
        </w:trPr>
        <w:tc>
          <w:tcPr>
            <w:tcW w:w="10348" w:type="dxa"/>
            <w:gridSpan w:val="5"/>
            <w:shd w:val="clear" w:color="auto" w:fill="C6D9F1" w:themeFill="text2" w:themeFillTint="33"/>
          </w:tcPr>
          <w:p w14:paraId="6ED417B4" w14:textId="77777777" w:rsidR="00D65A4B" w:rsidRDefault="00D65A4B" w:rsidP="00056EF4">
            <w:pPr>
              <w:pStyle w:val="paragraph"/>
              <w:tabs>
                <w:tab w:val="left" w:pos="567"/>
              </w:tabs>
              <w:spacing w:before="0" w:beforeAutospacing="0" w:after="0" w:afterAutospacing="0" w:line="276" w:lineRule="auto"/>
              <w:jc w:val="both"/>
              <w:textAlignment w:val="baseline"/>
              <w:rPr>
                <w:rFonts w:asciiTheme="minorHAnsi" w:hAnsiTheme="minorHAnsi" w:cstheme="minorHAnsi"/>
                <w:b/>
                <w:sz w:val="20"/>
                <w:szCs w:val="20"/>
              </w:rPr>
            </w:pPr>
            <w:r w:rsidRPr="002C1B2F">
              <w:rPr>
                <w:rFonts w:asciiTheme="minorHAnsi" w:hAnsiTheme="minorHAnsi" w:cstheme="minorHAnsi"/>
                <w:b/>
                <w:sz w:val="20"/>
                <w:szCs w:val="20"/>
              </w:rPr>
              <w:t xml:space="preserve">Recommendation 2: </w:t>
            </w:r>
          </w:p>
          <w:p w14:paraId="353F2C5A" w14:textId="129EB7DB" w:rsidR="00D65A4B" w:rsidRPr="002C1B2F" w:rsidRDefault="00200255" w:rsidP="00056EF4">
            <w:pPr>
              <w:pStyle w:val="Default"/>
              <w:jc w:val="both"/>
              <w:rPr>
                <w:sz w:val="20"/>
                <w:szCs w:val="20"/>
              </w:rPr>
            </w:pPr>
            <w:r>
              <w:rPr>
                <w:rFonts w:asciiTheme="minorHAnsi" w:hAnsiTheme="minorHAnsi" w:cstheme="minorHAnsi"/>
                <w:bCs/>
                <w:sz w:val="20"/>
                <w:szCs w:val="20"/>
              </w:rPr>
              <w:t xml:space="preserve">For Outcome 2, </w:t>
            </w:r>
            <w:r w:rsidR="00501332">
              <w:rPr>
                <w:rFonts w:asciiTheme="minorHAnsi" w:hAnsiTheme="minorHAnsi" w:cstheme="minorHAnsi"/>
                <w:bCs/>
                <w:sz w:val="20"/>
                <w:szCs w:val="20"/>
              </w:rPr>
              <w:t>as part of t</w:t>
            </w:r>
            <w:r w:rsidR="007238FD" w:rsidRPr="00FD57BA">
              <w:rPr>
                <w:bCs/>
                <w:sz w:val="20"/>
                <w:szCs w:val="20"/>
              </w:rPr>
              <w:t>he</w:t>
            </w:r>
            <w:r w:rsidR="007238FD" w:rsidRPr="00A11E82">
              <w:rPr>
                <w:sz w:val="20"/>
                <w:szCs w:val="20"/>
              </w:rPr>
              <w:t xml:space="preserve"> </w:t>
            </w:r>
            <w:r w:rsidR="007238FD">
              <w:rPr>
                <w:sz w:val="20"/>
                <w:szCs w:val="20"/>
              </w:rPr>
              <w:t>National Low Carbon Cities Masterplan (</w:t>
            </w:r>
            <w:r w:rsidR="007238FD" w:rsidRPr="00A11E82">
              <w:rPr>
                <w:sz w:val="20"/>
                <w:szCs w:val="20"/>
              </w:rPr>
              <w:t>NLCCMP</w:t>
            </w:r>
            <w:r w:rsidR="007238FD">
              <w:rPr>
                <w:sz w:val="20"/>
                <w:szCs w:val="20"/>
              </w:rPr>
              <w:t xml:space="preserve">) </w:t>
            </w:r>
            <w:r w:rsidR="007238FD" w:rsidRPr="00A11E82">
              <w:rPr>
                <w:sz w:val="20"/>
                <w:szCs w:val="20"/>
              </w:rPr>
              <w:t>&amp;</w:t>
            </w:r>
            <w:r w:rsidR="007238FD">
              <w:rPr>
                <w:sz w:val="20"/>
                <w:szCs w:val="20"/>
              </w:rPr>
              <w:t xml:space="preserve"> Policy Roadmap (</w:t>
            </w:r>
            <w:r w:rsidR="007238FD" w:rsidRPr="00A11E82">
              <w:rPr>
                <w:sz w:val="20"/>
                <w:szCs w:val="20"/>
              </w:rPr>
              <w:t>PRM</w:t>
            </w:r>
            <w:r w:rsidR="007238FD">
              <w:rPr>
                <w:sz w:val="20"/>
                <w:szCs w:val="20"/>
              </w:rPr>
              <w:t xml:space="preserve">) </w:t>
            </w:r>
            <w:r w:rsidR="00C943CC" w:rsidRPr="0060713E">
              <w:rPr>
                <w:sz w:val="20"/>
                <w:szCs w:val="20"/>
              </w:rPr>
              <w:t xml:space="preserve"> and Institutional Framework formulation</w:t>
            </w:r>
            <w:r w:rsidR="00C943CC">
              <w:rPr>
                <w:sz w:val="20"/>
                <w:szCs w:val="20"/>
              </w:rPr>
              <w:t xml:space="preserve">, to have a detailed look </w:t>
            </w:r>
            <w:r w:rsidR="00C943CC" w:rsidRPr="0060713E">
              <w:rPr>
                <w:sz w:val="20"/>
                <w:szCs w:val="20"/>
              </w:rPr>
              <w:t>how this inter-sectoral and inter-departmental coordination for low-carbon planning and actions can be best implemented to guarantee a longer-term impact, and how carbon-relevant funding (inter-sectoral and in cooperation with the private sector) can be mobili</w:t>
            </w:r>
            <w:r w:rsidR="007238FD">
              <w:rPr>
                <w:sz w:val="20"/>
                <w:szCs w:val="20"/>
              </w:rPr>
              <w:t>z</w:t>
            </w:r>
            <w:r w:rsidR="00C943CC" w:rsidRPr="0060713E">
              <w:rPr>
                <w:sz w:val="20"/>
                <w:szCs w:val="20"/>
              </w:rPr>
              <w:t>ed in an optimal way.</w:t>
            </w:r>
            <w:r w:rsidR="00C943CC">
              <w:rPr>
                <w:sz w:val="20"/>
                <w:szCs w:val="20"/>
              </w:rPr>
              <w:t xml:space="preserve"> </w:t>
            </w:r>
            <w:r w:rsidR="00D65A4B" w:rsidRPr="00A84E21">
              <w:rPr>
                <w:rFonts w:asciiTheme="minorHAnsi" w:hAnsiTheme="minorHAnsi" w:cstheme="minorHAnsi"/>
                <w:bCs/>
                <w:sz w:val="20"/>
                <w:szCs w:val="20"/>
              </w:rPr>
              <w:t xml:space="preserve">  </w:t>
            </w:r>
          </w:p>
        </w:tc>
      </w:tr>
      <w:tr w:rsidR="00D65A4B" w:rsidRPr="002C1B2F" w14:paraId="6CB58E69" w14:textId="77777777" w:rsidTr="002A0889">
        <w:trPr>
          <w:trHeight w:val="917"/>
        </w:trPr>
        <w:tc>
          <w:tcPr>
            <w:tcW w:w="10348" w:type="dxa"/>
            <w:gridSpan w:val="5"/>
            <w:shd w:val="clear" w:color="auto" w:fill="auto"/>
            <w:vAlign w:val="center"/>
          </w:tcPr>
          <w:p w14:paraId="20AC190B" w14:textId="77777777" w:rsidR="00D65A4B" w:rsidRPr="00743ACA" w:rsidRDefault="00D65A4B" w:rsidP="00056EF4">
            <w:pPr>
              <w:tabs>
                <w:tab w:val="left" w:pos="1080"/>
              </w:tabs>
              <w:jc w:val="both"/>
              <w:rPr>
                <w:rFonts w:cstheme="minorHAnsi"/>
                <w:b/>
                <w:sz w:val="20"/>
                <w:szCs w:val="20"/>
              </w:rPr>
            </w:pPr>
            <w:r w:rsidRPr="00743ACA">
              <w:rPr>
                <w:rFonts w:cstheme="minorHAnsi"/>
                <w:b/>
                <w:sz w:val="20"/>
                <w:szCs w:val="20"/>
              </w:rPr>
              <w:t xml:space="preserve">Management Response: </w:t>
            </w:r>
          </w:p>
          <w:p w14:paraId="4E9AB81C" w14:textId="77C1D2E6" w:rsidR="00A66948" w:rsidRDefault="00A66948" w:rsidP="00056EF4">
            <w:pPr>
              <w:autoSpaceDE w:val="0"/>
              <w:autoSpaceDN w:val="0"/>
              <w:adjustRightInd w:val="0"/>
              <w:jc w:val="both"/>
              <w:rPr>
                <w:rFonts w:cstheme="minorHAnsi"/>
                <w:sz w:val="20"/>
                <w:szCs w:val="20"/>
              </w:rPr>
            </w:pPr>
          </w:p>
          <w:p w14:paraId="05496BB4" w14:textId="73245EA2" w:rsidR="00A3597F" w:rsidRPr="002C1B2F" w:rsidRDefault="00811813" w:rsidP="00056EF4">
            <w:pPr>
              <w:autoSpaceDE w:val="0"/>
              <w:autoSpaceDN w:val="0"/>
              <w:adjustRightInd w:val="0"/>
              <w:jc w:val="both"/>
              <w:rPr>
                <w:rFonts w:cstheme="minorHAnsi"/>
                <w:sz w:val="20"/>
                <w:szCs w:val="20"/>
              </w:rPr>
            </w:pPr>
            <w:r>
              <w:rPr>
                <w:sz w:val="20"/>
                <w:szCs w:val="20"/>
              </w:rPr>
              <w:t>The recommendation under Outcome 2 is welcomed by UNDP Malaysia and partners. The N</w:t>
            </w:r>
            <w:r w:rsidR="007238FD">
              <w:rPr>
                <w:sz w:val="20"/>
                <w:szCs w:val="20"/>
              </w:rPr>
              <w:t xml:space="preserve">ational Low Carbon Cities </w:t>
            </w:r>
            <w:proofErr w:type="spellStart"/>
            <w:r w:rsidR="007238FD">
              <w:rPr>
                <w:sz w:val="20"/>
                <w:szCs w:val="20"/>
              </w:rPr>
              <w:t>Mastereplan</w:t>
            </w:r>
            <w:proofErr w:type="spellEnd"/>
            <w:r>
              <w:rPr>
                <w:sz w:val="20"/>
                <w:szCs w:val="20"/>
              </w:rPr>
              <w:t xml:space="preserve"> and the Institutional Framework Study on Low Carbon Cities have highlighted mechanisms to strengthen inter-sectoral and inter-departmental coordination for low-carbon planning including how funding can be mobili</w:t>
            </w:r>
            <w:r w:rsidR="00A56533">
              <w:rPr>
                <w:sz w:val="20"/>
                <w:szCs w:val="20"/>
              </w:rPr>
              <w:t>z</w:t>
            </w:r>
            <w:r>
              <w:rPr>
                <w:sz w:val="20"/>
                <w:szCs w:val="20"/>
              </w:rPr>
              <w:t xml:space="preserve">ed. </w:t>
            </w:r>
          </w:p>
        </w:tc>
      </w:tr>
      <w:tr w:rsidR="00D65A4B" w:rsidRPr="002C1B2F" w14:paraId="609E5C6C" w14:textId="77777777" w:rsidTr="002A0889">
        <w:trPr>
          <w:trHeight w:val="361"/>
        </w:trPr>
        <w:tc>
          <w:tcPr>
            <w:tcW w:w="3653" w:type="dxa"/>
            <w:vMerge w:val="restart"/>
            <w:shd w:val="clear" w:color="auto" w:fill="C6D9F1" w:themeFill="text2" w:themeFillTint="33"/>
            <w:vAlign w:val="center"/>
          </w:tcPr>
          <w:p w14:paraId="0C2550ED" w14:textId="77777777" w:rsidR="00D65A4B" w:rsidRPr="002C1B2F" w:rsidRDefault="00D65A4B" w:rsidP="00056EF4">
            <w:pPr>
              <w:autoSpaceDE w:val="0"/>
              <w:autoSpaceDN w:val="0"/>
              <w:adjustRightInd w:val="0"/>
              <w:jc w:val="both"/>
              <w:rPr>
                <w:rFonts w:cstheme="minorHAnsi"/>
                <w:sz w:val="20"/>
                <w:szCs w:val="20"/>
              </w:rPr>
            </w:pPr>
            <w:r w:rsidRPr="002C1B2F">
              <w:rPr>
                <w:rFonts w:cstheme="minorHAnsi"/>
                <w:b/>
                <w:bCs/>
                <w:sz w:val="20"/>
                <w:szCs w:val="20"/>
              </w:rPr>
              <w:t>Key action(s)</w:t>
            </w:r>
          </w:p>
        </w:tc>
        <w:tc>
          <w:tcPr>
            <w:tcW w:w="1061" w:type="dxa"/>
            <w:vMerge w:val="restart"/>
            <w:shd w:val="clear" w:color="auto" w:fill="C6D9F1" w:themeFill="text2" w:themeFillTint="33"/>
            <w:vAlign w:val="center"/>
          </w:tcPr>
          <w:p w14:paraId="0E9E5477" w14:textId="77777777" w:rsidR="00D65A4B" w:rsidRPr="002C1B2F" w:rsidRDefault="00D65A4B" w:rsidP="00056EF4">
            <w:pPr>
              <w:autoSpaceDE w:val="0"/>
              <w:autoSpaceDN w:val="0"/>
              <w:adjustRightInd w:val="0"/>
              <w:jc w:val="both"/>
              <w:rPr>
                <w:rFonts w:cstheme="minorHAnsi"/>
                <w:sz w:val="20"/>
                <w:szCs w:val="20"/>
              </w:rPr>
            </w:pPr>
            <w:r w:rsidRPr="002C1B2F">
              <w:rPr>
                <w:rFonts w:cstheme="minorHAnsi"/>
                <w:b/>
                <w:bCs/>
                <w:sz w:val="20"/>
                <w:szCs w:val="20"/>
              </w:rPr>
              <w:t>Time frame</w:t>
            </w:r>
          </w:p>
        </w:tc>
        <w:tc>
          <w:tcPr>
            <w:tcW w:w="1769" w:type="dxa"/>
            <w:vMerge w:val="restart"/>
            <w:shd w:val="clear" w:color="auto" w:fill="C6D9F1" w:themeFill="text2" w:themeFillTint="33"/>
            <w:vAlign w:val="center"/>
          </w:tcPr>
          <w:p w14:paraId="6B1B0DD4" w14:textId="77777777" w:rsidR="00D65A4B" w:rsidRPr="002C1B2F" w:rsidRDefault="00D65A4B" w:rsidP="00056EF4">
            <w:pPr>
              <w:autoSpaceDE w:val="0"/>
              <w:autoSpaceDN w:val="0"/>
              <w:adjustRightInd w:val="0"/>
              <w:jc w:val="both"/>
              <w:rPr>
                <w:rFonts w:cstheme="minorHAnsi"/>
                <w:sz w:val="20"/>
                <w:szCs w:val="20"/>
              </w:rPr>
            </w:pPr>
            <w:r w:rsidRPr="002C1B2F">
              <w:rPr>
                <w:rFonts w:cstheme="minorHAnsi"/>
                <w:b/>
                <w:bCs/>
                <w:sz w:val="20"/>
                <w:szCs w:val="20"/>
              </w:rPr>
              <w:t>Responsible unit(s)</w:t>
            </w:r>
          </w:p>
        </w:tc>
        <w:tc>
          <w:tcPr>
            <w:tcW w:w="3865" w:type="dxa"/>
            <w:gridSpan w:val="2"/>
            <w:shd w:val="clear" w:color="auto" w:fill="C6D9F1" w:themeFill="text2" w:themeFillTint="33"/>
            <w:vAlign w:val="center"/>
          </w:tcPr>
          <w:p w14:paraId="07EE6B7D" w14:textId="77777777" w:rsidR="00D65A4B" w:rsidRPr="002C1B2F" w:rsidRDefault="00D65A4B" w:rsidP="00056EF4">
            <w:pPr>
              <w:autoSpaceDE w:val="0"/>
              <w:autoSpaceDN w:val="0"/>
              <w:adjustRightInd w:val="0"/>
              <w:jc w:val="both"/>
              <w:rPr>
                <w:rFonts w:cstheme="minorHAnsi"/>
                <w:b/>
                <w:bCs/>
                <w:sz w:val="20"/>
                <w:szCs w:val="20"/>
              </w:rPr>
            </w:pPr>
            <w:r w:rsidRPr="002C1B2F">
              <w:rPr>
                <w:rFonts w:cstheme="minorHAnsi"/>
                <w:b/>
                <w:bCs/>
                <w:sz w:val="20"/>
                <w:szCs w:val="20"/>
              </w:rPr>
              <w:t>Tracking</w:t>
            </w:r>
          </w:p>
        </w:tc>
      </w:tr>
      <w:tr w:rsidR="00D65A4B" w:rsidRPr="002C1B2F" w14:paraId="5B39B160" w14:textId="77777777" w:rsidTr="002A0889">
        <w:trPr>
          <w:trHeight w:val="242"/>
        </w:trPr>
        <w:tc>
          <w:tcPr>
            <w:tcW w:w="3653" w:type="dxa"/>
            <w:vMerge/>
            <w:shd w:val="clear" w:color="auto" w:fill="C6D9F1" w:themeFill="text2" w:themeFillTint="33"/>
            <w:vAlign w:val="center"/>
          </w:tcPr>
          <w:p w14:paraId="364C760C" w14:textId="77777777" w:rsidR="00D65A4B" w:rsidRPr="002C1B2F" w:rsidRDefault="00D65A4B" w:rsidP="00056EF4">
            <w:pPr>
              <w:autoSpaceDE w:val="0"/>
              <w:autoSpaceDN w:val="0"/>
              <w:adjustRightInd w:val="0"/>
              <w:jc w:val="both"/>
              <w:rPr>
                <w:rFonts w:cstheme="minorHAnsi"/>
                <w:sz w:val="20"/>
                <w:szCs w:val="20"/>
              </w:rPr>
            </w:pPr>
          </w:p>
        </w:tc>
        <w:tc>
          <w:tcPr>
            <w:tcW w:w="1061" w:type="dxa"/>
            <w:vMerge/>
            <w:shd w:val="clear" w:color="auto" w:fill="C6D9F1" w:themeFill="text2" w:themeFillTint="33"/>
            <w:vAlign w:val="center"/>
          </w:tcPr>
          <w:p w14:paraId="2E5989E5" w14:textId="77777777" w:rsidR="00D65A4B" w:rsidRPr="002C1B2F" w:rsidRDefault="00D65A4B" w:rsidP="00056EF4">
            <w:pPr>
              <w:autoSpaceDE w:val="0"/>
              <w:autoSpaceDN w:val="0"/>
              <w:adjustRightInd w:val="0"/>
              <w:jc w:val="both"/>
              <w:rPr>
                <w:rFonts w:cstheme="minorHAnsi"/>
                <w:sz w:val="20"/>
                <w:szCs w:val="20"/>
              </w:rPr>
            </w:pPr>
          </w:p>
        </w:tc>
        <w:tc>
          <w:tcPr>
            <w:tcW w:w="1769" w:type="dxa"/>
            <w:vMerge/>
            <w:shd w:val="clear" w:color="auto" w:fill="C6D9F1" w:themeFill="text2" w:themeFillTint="33"/>
            <w:vAlign w:val="center"/>
          </w:tcPr>
          <w:p w14:paraId="3C0BE05F" w14:textId="77777777" w:rsidR="00D65A4B" w:rsidRPr="002C1B2F" w:rsidRDefault="00D65A4B" w:rsidP="00056EF4">
            <w:pPr>
              <w:autoSpaceDE w:val="0"/>
              <w:autoSpaceDN w:val="0"/>
              <w:adjustRightInd w:val="0"/>
              <w:jc w:val="both"/>
              <w:rPr>
                <w:rFonts w:cstheme="minorHAnsi"/>
                <w:sz w:val="20"/>
                <w:szCs w:val="20"/>
              </w:rPr>
            </w:pPr>
          </w:p>
        </w:tc>
        <w:tc>
          <w:tcPr>
            <w:tcW w:w="2164" w:type="dxa"/>
            <w:shd w:val="clear" w:color="auto" w:fill="C6D9F1" w:themeFill="text2" w:themeFillTint="33"/>
            <w:vAlign w:val="center"/>
          </w:tcPr>
          <w:p w14:paraId="2EAB6F9C" w14:textId="77777777" w:rsidR="00D65A4B" w:rsidRPr="002C1B2F" w:rsidRDefault="00D65A4B" w:rsidP="00056EF4">
            <w:pPr>
              <w:autoSpaceDE w:val="0"/>
              <w:autoSpaceDN w:val="0"/>
              <w:adjustRightInd w:val="0"/>
              <w:jc w:val="both"/>
              <w:rPr>
                <w:rFonts w:cstheme="minorHAnsi"/>
                <w:b/>
                <w:bCs/>
                <w:sz w:val="20"/>
                <w:szCs w:val="20"/>
              </w:rPr>
            </w:pPr>
            <w:r w:rsidRPr="002C1B2F">
              <w:rPr>
                <w:rFonts w:cstheme="minorHAnsi"/>
                <w:b/>
                <w:bCs/>
                <w:sz w:val="20"/>
                <w:szCs w:val="20"/>
              </w:rPr>
              <w:t>Comments</w:t>
            </w:r>
          </w:p>
        </w:tc>
        <w:tc>
          <w:tcPr>
            <w:tcW w:w="1701" w:type="dxa"/>
            <w:shd w:val="clear" w:color="auto" w:fill="C6D9F1" w:themeFill="text2" w:themeFillTint="33"/>
            <w:vAlign w:val="center"/>
          </w:tcPr>
          <w:p w14:paraId="01E57803" w14:textId="77777777" w:rsidR="00D65A4B" w:rsidRPr="002C1B2F" w:rsidRDefault="00D65A4B" w:rsidP="00056EF4">
            <w:pPr>
              <w:autoSpaceDE w:val="0"/>
              <w:autoSpaceDN w:val="0"/>
              <w:adjustRightInd w:val="0"/>
              <w:jc w:val="both"/>
              <w:rPr>
                <w:rFonts w:cstheme="minorHAnsi"/>
                <w:b/>
                <w:bCs/>
                <w:sz w:val="20"/>
                <w:szCs w:val="20"/>
              </w:rPr>
            </w:pPr>
            <w:r w:rsidRPr="002C1B2F">
              <w:rPr>
                <w:rFonts w:cstheme="minorHAnsi"/>
                <w:b/>
                <w:bCs/>
                <w:sz w:val="20"/>
                <w:szCs w:val="20"/>
              </w:rPr>
              <w:t>Status</w:t>
            </w:r>
          </w:p>
        </w:tc>
      </w:tr>
      <w:tr w:rsidR="00D65A4B" w:rsidRPr="002C1B2F" w14:paraId="613F9F80" w14:textId="77777777" w:rsidTr="002A0889">
        <w:trPr>
          <w:trHeight w:val="361"/>
        </w:trPr>
        <w:tc>
          <w:tcPr>
            <w:tcW w:w="3653" w:type="dxa"/>
          </w:tcPr>
          <w:p w14:paraId="4F56A91C" w14:textId="2CDD4ABC" w:rsidR="00D65A4B" w:rsidRPr="003765A7" w:rsidRDefault="00872EB6" w:rsidP="00056EF4">
            <w:pPr>
              <w:jc w:val="both"/>
              <w:rPr>
                <w:rFonts w:cstheme="minorHAnsi"/>
                <w:bCs/>
                <w:sz w:val="20"/>
                <w:szCs w:val="20"/>
              </w:rPr>
            </w:pPr>
            <w:r>
              <w:rPr>
                <w:rFonts w:cstheme="minorHAnsi"/>
                <w:bCs/>
                <w:sz w:val="20"/>
                <w:szCs w:val="20"/>
              </w:rPr>
              <w:t xml:space="preserve">2.1 </w:t>
            </w:r>
            <w:r w:rsidR="0054369B">
              <w:rPr>
                <w:rFonts w:cstheme="minorHAnsi"/>
                <w:bCs/>
                <w:sz w:val="20"/>
                <w:szCs w:val="20"/>
              </w:rPr>
              <w:t>As part of the National Low Carbon Cities Masterplan and the Institutional Framework on Low Carbon Cities Study, ensure that governance</w:t>
            </w:r>
            <w:r w:rsidR="006F5415">
              <w:rPr>
                <w:rFonts w:cstheme="minorHAnsi"/>
                <w:bCs/>
                <w:sz w:val="20"/>
                <w:szCs w:val="20"/>
              </w:rPr>
              <w:t xml:space="preserve">, </w:t>
            </w:r>
            <w:r w:rsidR="0054369B">
              <w:rPr>
                <w:rFonts w:cstheme="minorHAnsi"/>
                <w:bCs/>
                <w:sz w:val="20"/>
                <w:szCs w:val="20"/>
              </w:rPr>
              <w:t>coordination</w:t>
            </w:r>
            <w:r w:rsidR="006F5415">
              <w:rPr>
                <w:rFonts w:cstheme="minorHAnsi"/>
                <w:bCs/>
                <w:sz w:val="20"/>
                <w:szCs w:val="20"/>
              </w:rPr>
              <w:t xml:space="preserve"> and mobilization of funding</w:t>
            </w:r>
            <w:r w:rsidR="0054369B">
              <w:rPr>
                <w:rFonts w:cstheme="minorHAnsi"/>
                <w:bCs/>
                <w:sz w:val="20"/>
                <w:szCs w:val="20"/>
              </w:rPr>
              <w:t xml:space="preserve"> </w:t>
            </w:r>
            <w:r w:rsidR="006F5415">
              <w:rPr>
                <w:rFonts w:cstheme="minorHAnsi"/>
                <w:bCs/>
                <w:sz w:val="20"/>
                <w:szCs w:val="20"/>
              </w:rPr>
              <w:t>for low carbon planning are integrated within the recommendations.</w:t>
            </w:r>
          </w:p>
        </w:tc>
        <w:tc>
          <w:tcPr>
            <w:tcW w:w="1061" w:type="dxa"/>
            <w:vAlign w:val="center"/>
          </w:tcPr>
          <w:p w14:paraId="4AA283F8" w14:textId="64342B8C" w:rsidR="00D65A4B" w:rsidRPr="002C1B2F" w:rsidRDefault="00C91E86" w:rsidP="00056EF4">
            <w:pPr>
              <w:jc w:val="both"/>
              <w:rPr>
                <w:rFonts w:cstheme="minorHAnsi"/>
                <w:sz w:val="20"/>
                <w:szCs w:val="20"/>
              </w:rPr>
            </w:pPr>
            <w:r>
              <w:rPr>
                <w:rFonts w:cstheme="minorHAnsi"/>
                <w:sz w:val="20"/>
                <w:szCs w:val="20"/>
              </w:rPr>
              <w:t>June</w:t>
            </w:r>
            <w:r w:rsidR="00E4169A">
              <w:rPr>
                <w:rFonts w:cstheme="minorHAnsi"/>
                <w:sz w:val="20"/>
                <w:szCs w:val="20"/>
              </w:rPr>
              <w:t xml:space="preserve"> 2020</w:t>
            </w:r>
          </w:p>
        </w:tc>
        <w:tc>
          <w:tcPr>
            <w:tcW w:w="1769" w:type="dxa"/>
            <w:vAlign w:val="center"/>
          </w:tcPr>
          <w:p w14:paraId="57AD910B" w14:textId="2A55F907" w:rsidR="00D65A4B" w:rsidRPr="002C1B2F" w:rsidRDefault="006F5415" w:rsidP="00056EF4">
            <w:pPr>
              <w:autoSpaceDE w:val="0"/>
              <w:autoSpaceDN w:val="0"/>
              <w:adjustRightInd w:val="0"/>
              <w:jc w:val="both"/>
              <w:rPr>
                <w:rFonts w:cstheme="minorHAnsi"/>
                <w:sz w:val="20"/>
                <w:szCs w:val="20"/>
              </w:rPr>
            </w:pPr>
            <w:r>
              <w:rPr>
                <w:rFonts w:cstheme="minorHAnsi"/>
                <w:sz w:val="20"/>
                <w:szCs w:val="20"/>
              </w:rPr>
              <w:t>MESTECC</w:t>
            </w:r>
            <w:r w:rsidR="00AE1070">
              <w:rPr>
                <w:rFonts w:cstheme="minorHAnsi"/>
                <w:sz w:val="20"/>
                <w:szCs w:val="20"/>
              </w:rPr>
              <w:t xml:space="preserve"> &amp;</w:t>
            </w:r>
            <w:r>
              <w:rPr>
                <w:rFonts w:cstheme="minorHAnsi"/>
                <w:sz w:val="20"/>
                <w:szCs w:val="20"/>
              </w:rPr>
              <w:t xml:space="preserve"> Project Team</w:t>
            </w:r>
          </w:p>
        </w:tc>
        <w:tc>
          <w:tcPr>
            <w:tcW w:w="2164" w:type="dxa"/>
            <w:vAlign w:val="center"/>
          </w:tcPr>
          <w:p w14:paraId="51852941" w14:textId="0805DC26" w:rsidR="00806A43" w:rsidRPr="002C1B2F" w:rsidRDefault="00395958" w:rsidP="00056EF4">
            <w:pPr>
              <w:autoSpaceDE w:val="0"/>
              <w:autoSpaceDN w:val="0"/>
              <w:adjustRightInd w:val="0"/>
              <w:jc w:val="both"/>
              <w:rPr>
                <w:rFonts w:cstheme="minorHAnsi"/>
                <w:sz w:val="20"/>
                <w:szCs w:val="20"/>
              </w:rPr>
            </w:pPr>
            <w:r w:rsidRPr="00262D61">
              <w:rPr>
                <w:rFonts w:cstheme="minorHAnsi"/>
                <w:sz w:val="20"/>
                <w:szCs w:val="20"/>
              </w:rPr>
              <w:t>Th</w:t>
            </w:r>
            <w:r w:rsidR="00806A43">
              <w:rPr>
                <w:rFonts w:cstheme="minorHAnsi"/>
                <w:sz w:val="20"/>
                <w:szCs w:val="20"/>
              </w:rPr>
              <w:t>is recommendation has been addressed in the National Low Carbon Cities Masterplan and the Institutional Framework Study. The National Low Carbon Cities Masterplan highlights a proposed governance structure for low carbon cities. In 2020, the project will support closer inter sectoral and inter department coordination for low carbon planning and development.</w:t>
            </w:r>
          </w:p>
          <w:p w14:paraId="38A22591" w14:textId="61ECEB13" w:rsidR="00395958" w:rsidRPr="002C1B2F" w:rsidRDefault="00395958" w:rsidP="00056EF4">
            <w:pPr>
              <w:autoSpaceDE w:val="0"/>
              <w:autoSpaceDN w:val="0"/>
              <w:adjustRightInd w:val="0"/>
              <w:jc w:val="both"/>
              <w:rPr>
                <w:rFonts w:cstheme="minorHAnsi"/>
                <w:sz w:val="20"/>
                <w:szCs w:val="20"/>
              </w:rPr>
            </w:pPr>
          </w:p>
        </w:tc>
        <w:tc>
          <w:tcPr>
            <w:tcW w:w="1701" w:type="dxa"/>
            <w:vAlign w:val="center"/>
          </w:tcPr>
          <w:p w14:paraId="3F880BF6" w14:textId="24FA405F" w:rsidR="00D65A4B" w:rsidRPr="002C1B2F" w:rsidRDefault="00806A43" w:rsidP="00056EF4">
            <w:pPr>
              <w:autoSpaceDE w:val="0"/>
              <w:autoSpaceDN w:val="0"/>
              <w:adjustRightInd w:val="0"/>
              <w:jc w:val="both"/>
              <w:rPr>
                <w:rFonts w:cstheme="minorHAnsi"/>
                <w:sz w:val="20"/>
                <w:szCs w:val="20"/>
              </w:rPr>
            </w:pPr>
            <w:r>
              <w:rPr>
                <w:rFonts w:cstheme="minorHAnsi"/>
                <w:sz w:val="20"/>
                <w:szCs w:val="20"/>
              </w:rPr>
              <w:t>Completed</w:t>
            </w:r>
          </w:p>
        </w:tc>
      </w:tr>
    </w:tbl>
    <w:p w14:paraId="6CB37F57" w14:textId="3D2912BC" w:rsidR="00D65A4B" w:rsidRDefault="00D65A4B" w:rsidP="00056EF4">
      <w:pPr>
        <w:jc w:val="both"/>
        <w:rPr>
          <w:rFonts w:cstheme="minorHAnsi"/>
          <w:sz w:val="20"/>
          <w:szCs w:val="20"/>
        </w:rPr>
      </w:pPr>
    </w:p>
    <w:p w14:paraId="6BC07FF3" w14:textId="77777777" w:rsidR="00D65A4B" w:rsidRPr="002C1B2F" w:rsidRDefault="00D65A4B" w:rsidP="00056EF4">
      <w:pPr>
        <w:jc w:val="both"/>
        <w:rPr>
          <w:rFonts w:cstheme="minorHAnsi"/>
          <w:sz w:val="20"/>
          <w:szCs w:val="20"/>
        </w:rPr>
      </w:pPr>
    </w:p>
    <w:tbl>
      <w:tblPr>
        <w:tblStyle w:val="TableGrid"/>
        <w:tblW w:w="10348" w:type="dxa"/>
        <w:tblInd w:w="-57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640"/>
        <w:gridCol w:w="1059"/>
        <w:gridCol w:w="1680"/>
        <w:gridCol w:w="2268"/>
        <w:gridCol w:w="1701"/>
      </w:tblGrid>
      <w:tr w:rsidR="00752CB1" w:rsidRPr="002C1B2F" w14:paraId="09405D7E" w14:textId="77777777" w:rsidTr="00CC09FA">
        <w:trPr>
          <w:trHeight w:val="1232"/>
        </w:trPr>
        <w:tc>
          <w:tcPr>
            <w:tcW w:w="10348" w:type="dxa"/>
            <w:gridSpan w:val="5"/>
            <w:shd w:val="clear" w:color="auto" w:fill="C6D9F1" w:themeFill="text2" w:themeFillTint="33"/>
          </w:tcPr>
          <w:p w14:paraId="38B77461" w14:textId="77777777" w:rsidR="00752CB1" w:rsidRPr="002C1B2F" w:rsidRDefault="00752CB1" w:rsidP="00056EF4">
            <w:pPr>
              <w:pStyle w:val="Default"/>
              <w:jc w:val="both"/>
              <w:rPr>
                <w:sz w:val="20"/>
                <w:szCs w:val="20"/>
              </w:rPr>
            </w:pPr>
            <w:r w:rsidRPr="002C1B2F">
              <w:rPr>
                <w:rFonts w:cstheme="minorHAnsi"/>
                <w:b/>
                <w:bCs/>
                <w:sz w:val="20"/>
                <w:szCs w:val="20"/>
              </w:rPr>
              <w:t>Evaluation Recommendation 3</w:t>
            </w:r>
            <w:r w:rsidRPr="002C1B2F">
              <w:rPr>
                <w:rFonts w:asciiTheme="minorHAnsi" w:hAnsiTheme="minorHAnsi" w:cstheme="minorHAnsi"/>
                <w:b/>
                <w:bCs/>
                <w:sz w:val="20"/>
                <w:szCs w:val="20"/>
              </w:rPr>
              <w:t xml:space="preserve">. </w:t>
            </w:r>
          </w:p>
          <w:p w14:paraId="4AD93FAB" w14:textId="282569C9" w:rsidR="00FC411E" w:rsidRDefault="00D21062" w:rsidP="00056EF4">
            <w:pPr>
              <w:pStyle w:val="Default"/>
              <w:jc w:val="both"/>
              <w:rPr>
                <w:sz w:val="20"/>
                <w:szCs w:val="20"/>
              </w:rPr>
            </w:pPr>
            <w:r>
              <w:rPr>
                <w:rFonts w:cstheme="minorHAnsi"/>
                <w:sz w:val="20"/>
                <w:szCs w:val="20"/>
              </w:rPr>
              <w:t>For Outcome 3,</w:t>
            </w:r>
            <w:r w:rsidR="00295CFE">
              <w:rPr>
                <w:rFonts w:cstheme="minorHAnsi"/>
                <w:sz w:val="20"/>
                <w:szCs w:val="20"/>
              </w:rPr>
              <w:t xml:space="preserve"> t</w:t>
            </w:r>
            <w:r w:rsidR="00190584" w:rsidRPr="0060713E">
              <w:rPr>
                <w:sz w:val="20"/>
                <w:szCs w:val="20"/>
              </w:rPr>
              <w:t xml:space="preserve">he </w:t>
            </w:r>
            <w:r w:rsidR="00295CFE">
              <w:rPr>
                <w:sz w:val="20"/>
                <w:szCs w:val="20"/>
              </w:rPr>
              <w:t>Project Document</w:t>
            </w:r>
            <w:r w:rsidR="00190584" w:rsidRPr="0060713E">
              <w:rPr>
                <w:sz w:val="20"/>
                <w:szCs w:val="20"/>
              </w:rPr>
              <w:t xml:space="preserve"> in Output 3.1 of Component 3 indicates GTALCC support to selected on-going low-carbon investments by cities (I</w:t>
            </w:r>
            <w:r w:rsidR="00295CFE">
              <w:rPr>
                <w:sz w:val="20"/>
                <w:szCs w:val="20"/>
              </w:rPr>
              <w:t>skandar Malaysia Bus Rapid Transit</w:t>
            </w:r>
            <w:r w:rsidR="00190584" w:rsidRPr="0060713E">
              <w:rPr>
                <w:sz w:val="20"/>
                <w:szCs w:val="20"/>
              </w:rPr>
              <w:t>, Putrajaya</w:t>
            </w:r>
            <w:r w:rsidR="00295CFE">
              <w:rPr>
                <w:sz w:val="20"/>
                <w:szCs w:val="20"/>
              </w:rPr>
              <w:t xml:space="preserve"> cycleway</w:t>
            </w:r>
            <w:r w:rsidR="00190584" w:rsidRPr="0060713E">
              <w:rPr>
                <w:sz w:val="20"/>
                <w:szCs w:val="20"/>
              </w:rPr>
              <w:t>; Cyberjaya</w:t>
            </w:r>
            <w:r w:rsidR="00295CFE">
              <w:rPr>
                <w:sz w:val="20"/>
                <w:szCs w:val="20"/>
              </w:rPr>
              <w:t xml:space="preserve"> waste intervention</w:t>
            </w:r>
            <w:r w:rsidR="00190584" w:rsidRPr="0060713E">
              <w:rPr>
                <w:sz w:val="20"/>
                <w:szCs w:val="20"/>
              </w:rPr>
              <w:t xml:space="preserve">) or proposed by (public or private) companies, such as electric vehicles (e-buses, e-cars, e-bicycles). However, the time frame of these investments has changed (such as </w:t>
            </w:r>
            <w:r w:rsidR="00295CFE">
              <w:rPr>
                <w:sz w:val="20"/>
                <w:szCs w:val="20"/>
              </w:rPr>
              <w:t>the Iskandar Malaysia Bus Rapid Transit</w:t>
            </w:r>
            <w:r w:rsidR="00190584" w:rsidRPr="0060713E">
              <w:rPr>
                <w:sz w:val="20"/>
                <w:szCs w:val="20"/>
              </w:rPr>
              <w:t>) or the GTALCC priorities in low-carbon investments</w:t>
            </w:r>
            <w:r w:rsidR="00295CFE">
              <w:rPr>
                <w:sz w:val="20"/>
                <w:szCs w:val="20"/>
              </w:rPr>
              <w:t xml:space="preserve"> has</w:t>
            </w:r>
            <w:r w:rsidR="00190584" w:rsidRPr="0060713E">
              <w:rPr>
                <w:sz w:val="20"/>
                <w:szCs w:val="20"/>
              </w:rPr>
              <w:t xml:space="preserve"> change</w:t>
            </w:r>
            <w:r w:rsidR="00295CFE">
              <w:rPr>
                <w:sz w:val="20"/>
                <w:szCs w:val="20"/>
              </w:rPr>
              <w:t>d</w:t>
            </w:r>
            <w:r w:rsidR="00190584" w:rsidRPr="0060713E">
              <w:rPr>
                <w:sz w:val="20"/>
                <w:szCs w:val="20"/>
              </w:rPr>
              <w:t xml:space="preserve"> (e.g. electric vehicles and charging infrastructure is also addressed by other national and donor-supported initiatives).  The new investments hinted at in Output 3.2 tend to be city-oriented, which as such is understandable in a project that promotes city involvement in low-carbon planning and project implementation. However, such investments also tend to be city-level; some may be replicated to other cities, but otherwise the longer-term impacts may be limited. This has led to some re-thinking by the Project Team on the technology focus of Component 3, in which GTALCC is positioned as addressing ‘niche areas. One such as area is the use of bio-CNG replacing diesel in (public) transportation. The MTR Team fully endorses this creative way forward, in which </w:t>
            </w:r>
            <w:proofErr w:type="gramStart"/>
            <w:r w:rsidR="00190584" w:rsidRPr="0060713E">
              <w:rPr>
                <w:sz w:val="20"/>
                <w:szCs w:val="20"/>
              </w:rPr>
              <w:t>a number of</w:t>
            </w:r>
            <w:proofErr w:type="gramEnd"/>
            <w:r w:rsidR="00190584" w:rsidRPr="0060713E">
              <w:rPr>
                <w:sz w:val="20"/>
                <w:szCs w:val="20"/>
              </w:rPr>
              <w:t xml:space="preserve"> new (city- and national-level) initiatives have been proposed</w:t>
            </w:r>
            <w:r w:rsidR="00190584">
              <w:rPr>
                <w:sz w:val="20"/>
                <w:szCs w:val="20"/>
              </w:rPr>
              <w:t xml:space="preserve">. </w:t>
            </w:r>
          </w:p>
          <w:p w14:paraId="55F249A7" w14:textId="77777777" w:rsidR="00FC411E" w:rsidRDefault="00FC411E" w:rsidP="00056EF4">
            <w:pPr>
              <w:pStyle w:val="Default"/>
              <w:jc w:val="both"/>
              <w:rPr>
                <w:sz w:val="20"/>
                <w:szCs w:val="20"/>
              </w:rPr>
            </w:pPr>
          </w:p>
          <w:p w14:paraId="79170259" w14:textId="77777777" w:rsidR="004020FC" w:rsidRDefault="00FC411E" w:rsidP="00056EF4">
            <w:pPr>
              <w:pStyle w:val="Default"/>
              <w:jc w:val="both"/>
              <w:rPr>
                <w:sz w:val="20"/>
                <w:szCs w:val="20"/>
              </w:rPr>
            </w:pPr>
            <w:r w:rsidRPr="0060713E">
              <w:rPr>
                <w:sz w:val="20"/>
                <w:szCs w:val="20"/>
              </w:rPr>
              <w:t xml:space="preserve">As a new project activity, the GTALCC project is contemplating to carry out a pilot to proof the </w:t>
            </w:r>
            <w:proofErr w:type="spellStart"/>
            <w:r w:rsidRPr="0060713E">
              <w:rPr>
                <w:sz w:val="20"/>
                <w:szCs w:val="20"/>
              </w:rPr>
              <w:t>bioCNG</w:t>
            </w:r>
            <w:proofErr w:type="spellEnd"/>
            <w:r w:rsidRPr="0060713E">
              <w:rPr>
                <w:sz w:val="20"/>
                <w:szCs w:val="20"/>
              </w:rPr>
              <w:t>-for-transport concept, in cooperation with a bus operator and Gas Malaysia/Sime Darby Energy. The option of bio-CNG lends itself to a type of public-private partnership that the project tries to promote, in which national government (Ministry of Transport and agencies), companies (bus operator, palm oil companies, the</w:t>
            </w:r>
            <w:r w:rsidR="00481452">
              <w:rPr>
                <w:sz w:val="20"/>
                <w:szCs w:val="20"/>
              </w:rPr>
              <w:t xml:space="preserve"> </w:t>
            </w:r>
            <w:r w:rsidR="00481452" w:rsidRPr="0060713E">
              <w:rPr>
                <w:sz w:val="20"/>
                <w:szCs w:val="20"/>
              </w:rPr>
              <w:t xml:space="preserve">distributor </w:t>
            </w:r>
            <w:proofErr w:type="spellStart"/>
            <w:r w:rsidR="00481452" w:rsidRPr="0060713E">
              <w:rPr>
                <w:sz w:val="20"/>
                <w:szCs w:val="20"/>
              </w:rPr>
              <w:t>GasMalaysia</w:t>
            </w:r>
            <w:proofErr w:type="spellEnd"/>
            <w:r w:rsidR="00481452" w:rsidRPr="0060713E">
              <w:rPr>
                <w:sz w:val="20"/>
                <w:szCs w:val="20"/>
              </w:rPr>
              <w:t>), and local governments participate. The Project Team is contemplating to support a pilot project with about 10 bio-CNG buses. It would have been nice if this could be done with the IM-BRT, which is still in the design stage. A successful pilot may entice IM-BRT management to incorporate bio-CNG buses in their lines</w:t>
            </w:r>
            <w:r w:rsidR="00481452">
              <w:rPr>
                <w:sz w:val="20"/>
                <w:szCs w:val="20"/>
              </w:rPr>
              <w:t xml:space="preserve"> </w:t>
            </w:r>
            <w:r w:rsidR="00481452" w:rsidRPr="0060713E">
              <w:rPr>
                <w:sz w:val="20"/>
                <w:szCs w:val="20"/>
              </w:rPr>
              <w:t>and acquire bio-CNG buses on a larger scale in future BRT expansion works.</w:t>
            </w:r>
          </w:p>
          <w:p w14:paraId="6A51A5E5" w14:textId="77777777" w:rsidR="004020FC" w:rsidRDefault="004020FC" w:rsidP="00056EF4">
            <w:pPr>
              <w:pStyle w:val="Default"/>
              <w:jc w:val="both"/>
              <w:rPr>
                <w:sz w:val="20"/>
                <w:szCs w:val="20"/>
              </w:rPr>
            </w:pPr>
          </w:p>
          <w:p w14:paraId="3442354A" w14:textId="77777777" w:rsidR="00B2272F" w:rsidRDefault="004020FC" w:rsidP="00056EF4">
            <w:pPr>
              <w:pStyle w:val="Default"/>
              <w:jc w:val="both"/>
              <w:rPr>
                <w:sz w:val="20"/>
                <w:szCs w:val="20"/>
              </w:rPr>
            </w:pPr>
            <w:r w:rsidRPr="0060713E">
              <w:rPr>
                <w:sz w:val="20"/>
                <w:szCs w:val="20"/>
              </w:rPr>
              <w:t>We recommend that, apart from comparing the pros and cons of bio-CNG vs. electric buses vs. diesel-</w:t>
            </w:r>
            <w:proofErr w:type="spellStart"/>
            <w:r w:rsidRPr="0060713E">
              <w:rPr>
                <w:sz w:val="20"/>
                <w:szCs w:val="20"/>
              </w:rPr>
              <w:t>fuelled</w:t>
            </w:r>
            <w:proofErr w:type="spellEnd"/>
            <w:r w:rsidRPr="0060713E">
              <w:rPr>
                <w:sz w:val="20"/>
                <w:szCs w:val="20"/>
              </w:rPr>
              <w:t xml:space="preserve"> buses, GTALCC looks further into the techno-economic issues and options regarding the production of bio-CNG from methane recovered from palm oil waste, as well as from wastewater treatment facilities and landfills (incl. cost of  installation of CNG-quality upgrading facilities and required economy of scale). This could be part of a wider analysis of waste management (reduce, recycle, re-use, separate), waste-to-energy options (for electricity generation of bio-CNG production) and the role of cities, State governments and private sector.</w:t>
            </w:r>
          </w:p>
          <w:p w14:paraId="7252B200" w14:textId="77777777" w:rsidR="00B2272F" w:rsidRDefault="00B2272F" w:rsidP="00056EF4">
            <w:pPr>
              <w:pStyle w:val="Default"/>
              <w:jc w:val="both"/>
              <w:rPr>
                <w:sz w:val="20"/>
                <w:szCs w:val="20"/>
              </w:rPr>
            </w:pPr>
          </w:p>
          <w:p w14:paraId="43E3BF3D" w14:textId="77777777" w:rsidR="00295CFE" w:rsidRDefault="00B2272F" w:rsidP="00056EF4">
            <w:pPr>
              <w:pStyle w:val="Default"/>
              <w:jc w:val="both"/>
              <w:rPr>
                <w:sz w:val="20"/>
                <w:szCs w:val="20"/>
              </w:rPr>
            </w:pPr>
            <w:r w:rsidRPr="0060713E">
              <w:rPr>
                <w:sz w:val="20"/>
                <w:szCs w:val="20"/>
              </w:rPr>
              <w:t>Another idea mooted is the installation of solar PV on rooftops of government buildings and installation on covered parking space and walkways (with solar PV installed on top). If designed in the right way, the additional cost of covering open parking spaces and walkways could be recovered by the sale of electricity to the grid. We recommend that the Project Team studies the issues, options, costs, and benefits and explores the possibility of setting up a pilot project in Putrajaya (covering parking spaces) or with one of the MRT or BRT stations (e.g. covering walkways that interconnect the BRT or MRT with other public transport modes).</w:t>
            </w:r>
          </w:p>
          <w:p w14:paraId="284A31E8" w14:textId="77777777" w:rsidR="00295CFE" w:rsidRDefault="00295CFE" w:rsidP="00056EF4">
            <w:pPr>
              <w:pStyle w:val="Default"/>
              <w:jc w:val="both"/>
              <w:rPr>
                <w:sz w:val="20"/>
                <w:szCs w:val="20"/>
              </w:rPr>
            </w:pPr>
          </w:p>
          <w:p w14:paraId="70F8862D" w14:textId="41695E9C" w:rsidR="00752CB1" w:rsidRPr="002C1B2F" w:rsidRDefault="00295CFE" w:rsidP="00056EF4">
            <w:pPr>
              <w:pStyle w:val="Default"/>
              <w:jc w:val="both"/>
              <w:rPr>
                <w:sz w:val="20"/>
                <w:szCs w:val="20"/>
              </w:rPr>
            </w:pPr>
            <w:r w:rsidRPr="0060713E">
              <w:rPr>
                <w:sz w:val="20"/>
                <w:szCs w:val="20"/>
              </w:rPr>
              <w:t>Regarding the latter, inter-modal connectivity can often be problematic. If people cannot get from A to B using various transport modes (BRT, MRT, bus, walking, cycling, car park options at connection points) in a reasonable time, they will avoid it, even if the mass transport system itself is very effective). The GTAL</w:t>
            </w:r>
            <w:r>
              <w:rPr>
                <w:sz w:val="20"/>
                <w:szCs w:val="20"/>
              </w:rPr>
              <w:t>C</w:t>
            </w:r>
            <w:r w:rsidRPr="0060713E">
              <w:rPr>
                <w:sz w:val="20"/>
                <w:szCs w:val="20"/>
              </w:rPr>
              <w:t xml:space="preserve">C should </w:t>
            </w:r>
            <w:proofErr w:type="gramStart"/>
            <w:r w:rsidRPr="0060713E">
              <w:rPr>
                <w:sz w:val="20"/>
                <w:szCs w:val="20"/>
              </w:rPr>
              <w:t>look into</w:t>
            </w:r>
            <w:proofErr w:type="gramEnd"/>
            <w:r w:rsidRPr="0060713E">
              <w:rPr>
                <w:sz w:val="20"/>
                <w:szCs w:val="20"/>
              </w:rPr>
              <w:t xml:space="preserve"> options on how to improve inter-modal connectivity.</w:t>
            </w:r>
            <w:r w:rsidR="00A84E21" w:rsidRPr="00A84E21">
              <w:rPr>
                <w:rFonts w:cstheme="minorHAnsi"/>
                <w:sz w:val="20"/>
                <w:szCs w:val="20"/>
              </w:rPr>
              <w:t xml:space="preserve"> </w:t>
            </w:r>
          </w:p>
        </w:tc>
      </w:tr>
      <w:tr w:rsidR="00752CB1" w:rsidRPr="002C1B2F" w14:paraId="32649F31" w14:textId="77777777" w:rsidTr="00CC09FA">
        <w:trPr>
          <w:trHeight w:val="917"/>
        </w:trPr>
        <w:tc>
          <w:tcPr>
            <w:tcW w:w="10348" w:type="dxa"/>
            <w:gridSpan w:val="5"/>
            <w:shd w:val="clear" w:color="auto" w:fill="auto"/>
            <w:vAlign w:val="center"/>
          </w:tcPr>
          <w:p w14:paraId="725DC1C6" w14:textId="27EA362A" w:rsidR="00851EC3" w:rsidRDefault="00851EC3" w:rsidP="00056EF4">
            <w:pPr>
              <w:tabs>
                <w:tab w:val="left" w:pos="1080"/>
              </w:tabs>
              <w:jc w:val="both"/>
              <w:rPr>
                <w:rFonts w:cstheme="minorHAnsi"/>
                <w:b/>
                <w:sz w:val="20"/>
                <w:szCs w:val="20"/>
              </w:rPr>
            </w:pPr>
            <w:r w:rsidRPr="00743ACA">
              <w:rPr>
                <w:rFonts w:cstheme="minorHAnsi"/>
                <w:b/>
                <w:sz w:val="20"/>
                <w:szCs w:val="20"/>
              </w:rPr>
              <w:t xml:space="preserve">Management Response: </w:t>
            </w:r>
          </w:p>
          <w:p w14:paraId="5F2CB59C" w14:textId="5B5E7793" w:rsidR="00A66948" w:rsidRDefault="00A66948" w:rsidP="00056EF4">
            <w:pPr>
              <w:tabs>
                <w:tab w:val="left" w:pos="1080"/>
              </w:tabs>
              <w:jc w:val="both"/>
              <w:rPr>
                <w:rFonts w:cstheme="minorHAnsi"/>
                <w:b/>
                <w:sz w:val="20"/>
                <w:szCs w:val="20"/>
              </w:rPr>
            </w:pPr>
          </w:p>
          <w:p w14:paraId="011684C7" w14:textId="77777777" w:rsidR="00CD001A" w:rsidRDefault="003277D9" w:rsidP="00056EF4">
            <w:pPr>
              <w:tabs>
                <w:tab w:val="left" w:pos="1080"/>
              </w:tabs>
              <w:jc w:val="both"/>
              <w:rPr>
                <w:sz w:val="20"/>
                <w:szCs w:val="20"/>
              </w:rPr>
            </w:pPr>
            <w:r w:rsidRPr="0035509F">
              <w:rPr>
                <w:sz w:val="20"/>
                <w:szCs w:val="20"/>
              </w:rPr>
              <w:t>Management agrees with the recommendations</w:t>
            </w:r>
            <w:r>
              <w:rPr>
                <w:sz w:val="20"/>
                <w:szCs w:val="20"/>
              </w:rPr>
              <w:t xml:space="preserve"> that under Component 3, there have been several planned initiatives which were outlined in the Project </w:t>
            </w:r>
            <w:proofErr w:type="gramStart"/>
            <w:r>
              <w:rPr>
                <w:sz w:val="20"/>
                <w:szCs w:val="20"/>
              </w:rPr>
              <w:t>Document,</w:t>
            </w:r>
            <w:proofErr w:type="gramEnd"/>
            <w:r>
              <w:rPr>
                <w:sz w:val="20"/>
                <w:szCs w:val="20"/>
              </w:rPr>
              <w:t xml:space="preserve"> however the time frame of the investments or priorities of the government have changed. Efforts have been made to update and streamline initiatives, especially on demonstration projects, to ensure that these initiatives deliver maximum benefits, are leveraged on government initiatives and are most relevant to current priorities.</w:t>
            </w:r>
          </w:p>
          <w:p w14:paraId="3F1A90A3" w14:textId="77777777" w:rsidR="0005411F" w:rsidRDefault="0005411F" w:rsidP="00056EF4">
            <w:pPr>
              <w:tabs>
                <w:tab w:val="left" w:pos="1080"/>
              </w:tabs>
              <w:jc w:val="both"/>
              <w:rPr>
                <w:rFonts w:cstheme="minorHAnsi"/>
                <w:sz w:val="20"/>
                <w:szCs w:val="20"/>
              </w:rPr>
            </w:pPr>
          </w:p>
          <w:p w14:paraId="7109D396" w14:textId="16934603" w:rsidR="00E93B78" w:rsidRDefault="0005411F" w:rsidP="00056EF4">
            <w:pPr>
              <w:jc w:val="both"/>
              <w:rPr>
                <w:color w:val="000000"/>
                <w:sz w:val="20"/>
                <w:szCs w:val="20"/>
              </w:rPr>
            </w:pPr>
            <w:r>
              <w:rPr>
                <w:rFonts w:cstheme="minorHAnsi"/>
                <w:sz w:val="20"/>
                <w:szCs w:val="20"/>
              </w:rPr>
              <w:t xml:space="preserve">For the recommendation to explore a pilot on </w:t>
            </w:r>
            <w:proofErr w:type="spellStart"/>
            <w:r>
              <w:rPr>
                <w:rFonts w:cstheme="minorHAnsi"/>
                <w:sz w:val="20"/>
                <w:szCs w:val="20"/>
              </w:rPr>
              <w:t>bioCNG</w:t>
            </w:r>
            <w:proofErr w:type="spellEnd"/>
            <w:r>
              <w:rPr>
                <w:rFonts w:cstheme="minorHAnsi"/>
                <w:sz w:val="20"/>
                <w:szCs w:val="20"/>
              </w:rPr>
              <w:t xml:space="preserve">, </w:t>
            </w:r>
            <w:r w:rsidR="00D76B4B">
              <w:rPr>
                <w:rFonts w:cstheme="minorHAnsi"/>
                <w:sz w:val="20"/>
                <w:szCs w:val="20"/>
              </w:rPr>
              <w:t>the project is now focusing on</w:t>
            </w:r>
            <w:r w:rsidR="005A72C2">
              <w:rPr>
                <w:rFonts w:cstheme="minorHAnsi"/>
                <w:sz w:val="20"/>
                <w:szCs w:val="20"/>
              </w:rPr>
              <w:t xml:space="preserve"> the piloting of a</w:t>
            </w:r>
            <w:r w:rsidR="00D76B4B">
              <w:rPr>
                <w:rFonts w:cstheme="minorHAnsi"/>
                <w:sz w:val="20"/>
                <w:szCs w:val="20"/>
              </w:rPr>
              <w:t xml:space="preserve"> B100 </w:t>
            </w:r>
            <w:proofErr w:type="gramStart"/>
            <w:r w:rsidR="00D76B4B">
              <w:rPr>
                <w:rFonts w:cstheme="minorHAnsi"/>
                <w:sz w:val="20"/>
                <w:szCs w:val="20"/>
              </w:rPr>
              <w:t>bio fuel</w:t>
            </w:r>
            <w:proofErr w:type="gramEnd"/>
            <w:r w:rsidR="00D76B4B">
              <w:rPr>
                <w:rFonts w:cstheme="minorHAnsi"/>
                <w:sz w:val="20"/>
                <w:szCs w:val="20"/>
              </w:rPr>
              <w:t xml:space="preserve"> </w:t>
            </w:r>
            <w:proofErr w:type="spellStart"/>
            <w:r w:rsidR="00D76B4B">
              <w:rPr>
                <w:rFonts w:cstheme="minorHAnsi"/>
                <w:sz w:val="20"/>
                <w:szCs w:val="20"/>
              </w:rPr>
              <w:t>programme</w:t>
            </w:r>
            <w:proofErr w:type="spellEnd"/>
            <w:r w:rsidR="00D76B4B">
              <w:rPr>
                <w:rFonts w:cstheme="minorHAnsi"/>
                <w:sz w:val="20"/>
                <w:szCs w:val="20"/>
              </w:rPr>
              <w:t xml:space="preserve"> with MRT Corporation’s feeder bus fleet operated by </w:t>
            </w:r>
            <w:proofErr w:type="spellStart"/>
            <w:r w:rsidR="00D76B4B">
              <w:rPr>
                <w:rFonts w:cstheme="minorHAnsi"/>
                <w:sz w:val="20"/>
                <w:szCs w:val="20"/>
              </w:rPr>
              <w:t>Prasarana’s</w:t>
            </w:r>
            <w:proofErr w:type="spellEnd"/>
            <w:r w:rsidR="00D76B4B">
              <w:rPr>
                <w:rFonts w:cstheme="minorHAnsi"/>
                <w:sz w:val="20"/>
                <w:szCs w:val="20"/>
              </w:rPr>
              <w:t xml:space="preserve"> </w:t>
            </w:r>
            <w:proofErr w:type="spellStart"/>
            <w:r w:rsidR="00D76B4B">
              <w:rPr>
                <w:rFonts w:cstheme="minorHAnsi"/>
                <w:sz w:val="20"/>
                <w:szCs w:val="20"/>
              </w:rPr>
              <w:t>RapidBus</w:t>
            </w:r>
            <w:proofErr w:type="spellEnd"/>
            <w:r w:rsidR="00D76B4B">
              <w:rPr>
                <w:rFonts w:cstheme="minorHAnsi"/>
                <w:sz w:val="20"/>
                <w:szCs w:val="20"/>
              </w:rPr>
              <w:t>.</w:t>
            </w:r>
            <w:r w:rsidR="001B312A">
              <w:rPr>
                <w:rFonts w:cstheme="minorHAnsi"/>
                <w:sz w:val="20"/>
                <w:szCs w:val="20"/>
              </w:rPr>
              <w:t xml:space="preserve"> </w:t>
            </w:r>
            <w:r w:rsidR="001B312A">
              <w:rPr>
                <w:color w:val="000000"/>
                <w:sz w:val="20"/>
                <w:szCs w:val="20"/>
              </w:rPr>
              <w:t xml:space="preserve">The key stakeholders i.e. Ministry of Primary Industries, Malaysia Palm Oil Board and the industry players i.e. Scania are on board for this </w:t>
            </w:r>
            <w:proofErr w:type="spellStart"/>
            <w:r w:rsidR="001B312A">
              <w:rPr>
                <w:color w:val="000000"/>
                <w:sz w:val="20"/>
                <w:szCs w:val="20"/>
              </w:rPr>
              <w:t>programme</w:t>
            </w:r>
            <w:proofErr w:type="spellEnd"/>
            <w:r w:rsidR="001B312A">
              <w:rPr>
                <w:color w:val="000000"/>
                <w:sz w:val="20"/>
                <w:szCs w:val="20"/>
              </w:rPr>
              <w:t>.</w:t>
            </w:r>
            <w:r w:rsidR="006E3DD8">
              <w:rPr>
                <w:color w:val="000000"/>
                <w:sz w:val="20"/>
                <w:szCs w:val="20"/>
              </w:rPr>
              <w:t xml:space="preserve"> </w:t>
            </w:r>
            <w:r w:rsidR="00E93B78">
              <w:rPr>
                <w:color w:val="000000"/>
                <w:sz w:val="20"/>
                <w:szCs w:val="20"/>
              </w:rPr>
              <w:t xml:space="preserve">Given that the focus is now on B100 biofuel due to a policy direction on biofuels and keen interest from key stakeholders, the </w:t>
            </w:r>
            <w:r w:rsidR="005A72C2">
              <w:rPr>
                <w:color w:val="000000"/>
                <w:sz w:val="20"/>
                <w:szCs w:val="20"/>
              </w:rPr>
              <w:t>recommendation</w:t>
            </w:r>
            <w:r w:rsidR="00E93B78">
              <w:rPr>
                <w:color w:val="000000"/>
                <w:sz w:val="20"/>
                <w:szCs w:val="20"/>
              </w:rPr>
              <w:t xml:space="preserve"> of the MTR reviewers to </w:t>
            </w:r>
            <w:proofErr w:type="gramStart"/>
            <w:r w:rsidR="00E93B78">
              <w:rPr>
                <w:color w:val="000000"/>
                <w:sz w:val="20"/>
                <w:szCs w:val="20"/>
              </w:rPr>
              <w:t>look into</w:t>
            </w:r>
            <w:proofErr w:type="gramEnd"/>
            <w:r w:rsidR="00E93B78">
              <w:rPr>
                <w:color w:val="000000"/>
                <w:sz w:val="20"/>
                <w:szCs w:val="20"/>
              </w:rPr>
              <w:t xml:space="preserve"> bio-CNG buses and will instead</w:t>
            </w:r>
            <w:r w:rsidR="00062396">
              <w:rPr>
                <w:color w:val="000000"/>
                <w:sz w:val="20"/>
                <w:szCs w:val="20"/>
              </w:rPr>
              <w:t xml:space="preserve"> </w:t>
            </w:r>
            <w:r w:rsidR="005A72C2">
              <w:rPr>
                <w:color w:val="000000"/>
                <w:sz w:val="20"/>
                <w:szCs w:val="20"/>
              </w:rPr>
              <w:t xml:space="preserve">focus on </w:t>
            </w:r>
            <w:r w:rsidR="00062396">
              <w:rPr>
                <w:color w:val="000000"/>
                <w:sz w:val="20"/>
                <w:szCs w:val="20"/>
              </w:rPr>
              <w:t>a B100 biofuel pilot.</w:t>
            </w:r>
          </w:p>
          <w:p w14:paraId="6725DB8D" w14:textId="21071D6D" w:rsidR="0005411F" w:rsidRPr="002C1B2F" w:rsidRDefault="0005411F" w:rsidP="00056EF4">
            <w:pPr>
              <w:jc w:val="both"/>
              <w:rPr>
                <w:rFonts w:cstheme="minorHAnsi"/>
                <w:sz w:val="20"/>
                <w:szCs w:val="20"/>
              </w:rPr>
            </w:pPr>
          </w:p>
        </w:tc>
      </w:tr>
      <w:tr w:rsidR="003765A7" w:rsidRPr="002C1B2F" w14:paraId="015EF92E" w14:textId="77777777" w:rsidTr="00C5256F">
        <w:trPr>
          <w:trHeight w:val="361"/>
        </w:trPr>
        <w:tc>
          <w:tcPr>
            <w:tcW w:w="3640" w:type="dxa"/>
            <w:vMerge w:val="restart"/>
            <w:shd w:val="clear" w:color="auto" w:fill="C6D9F1" w:themeFill="text2" w:themeFillTint="33"/>
            <w:vAlign w:val="center"/>
          </w:tcPr>
          <w:p w14:paraId="593BF503" w14:textId="77777777" w:rsidR="00752CB1" w:rsidRPr="002C1B2F" w:rsidRDefault="00752CB1" w:rsidP="00056EF4">
            <w:pPr>
              <w:autoSpaceDE w:val="0"/>
              <w:autoSpaceDN w:val="0"/>
              <w:adjustRightInd w:val="0"/>
              <w:jc w:val="both"/>
              <w:rPr>
                <w:rFonts w:cstheme="minorHAnsi"/>
                <w:sz w:val="20"/>
                <w:szCs w:val="20"/>
              </w:rPr>
            </w:pPr>
            <w:r w:rsidRPr="002C1B2F">
              <w:rPr>
                <w:rFonts w:cstheme="minorHAnsi"/>
                <w:b/>
                <w:bCs/>
                <w:sz w:val="20"/>
                <w:szCs w:val="20"/>
              </w:rPr>
              <w:t>Key action(s)</w:t>
            </w:r>
          </w:p>
        </w:tc>
        <w:tc>
          <w:tcPr>
            <w:tcW w:w="1059" w:type="dxa"/>
            <w:vMerge w:val="restart"/>
            <w:shd w:val="clear" w:color="auto" w:fill="C6D9F1" w:themeFill="text2" w:themeFillTint="33"/>
            <w:vAlign w:val="center"/>
          </w:tcPr>
          <w:p w14:paraId="6C33689A" w14:textId="77777777" w:rsidR="00752CB1" w:rsidRPr="002C1B2F" w:rsidRDefault="00752CB1" w:rsidP="00056EF4">
            <w:pPr>
              <w:autoSpaceDE w:val="0"/>
              <w:autoSpaceDN w:val="0"/>
              <w:adjustRightInd w:val="0"/>
              <w:jc w:val="both"/>
              <w:rPr>
                <w:rFonts w:cstheme="minorHAnsi"/>
                <w:sz w:val="20"/>
                <w:szCs w:val="20"/>
              </w:rPr>
            </w:pPr>
            <w:r w:rsidRPr="002C1B2F">
              <w:rPr>
                <w:rFonts w:cstheme="minorHAnsi"/>
                <w:b/>
                <w:bCs/>
                <w:sz w:val="20"/>
                <w:szCs w:val="20"/>
              </w:rPr>
              <w:t>Time frame</w:t>
            </w:r>
          </w:p>
        </w:tc>
        <w:tc>
          <w:tcPr>
            <w:tcW w:w="1680" w:type="dxa"/>
            <w:vMerge w:val="restart"/>
            <w:shd w:val="clear" w:color="auto" w:fill="C6D9F1" w:themeFill="text2" w:themeFillTint="33"/>
            <w:vAlign w:val="center"/>
          </w:tcPr>
          <w:p w14:paraId="0B40C719" w14:textId="77777777" w:rsidR="00752CB1" w:rsidRPr="002C1B2F" w:rsidRDefault="00752CB1" w:rsidP="00056EF4">
            <w:pPr>
              <w:autoSpaceDE w:val="0"/>
              <w:autoSpaceDN w:val="0"/>
              <w:adjustRightInd w:val="0"/>
              <w:jc w:val="both"/>
              <w:rPr>
                <w:rFonts w:cstheme="minorHAnsi"/>
                <w:sz w:val="20"/>
                <w:szCs w:val="20"/>
              </w:rPr>
            </w:pPr>
            <w:r w:rsidRPr="002C1B2F">
              <w:rPr>
                <w:rFonts w:cstheme="minorHAnsi"/>
                <w:b/>
                <w:bCs/>
                <w:sz w:val="20"/>
                <w:szCs w:val="20"/>
              </w:rPr>
              <w:t>Responsible unit(s)</w:t>
            </w:r>
          </w:p>
        </w:tc>
        <w:tc>
          <w:tcPr>
            <w:tcW w:w="3969" w:type="dxa"/>
            <w:gridSpan w:val="2"/>
            <w:shd w:val="clear" w:color="auto" w:fill="C6D9F1" w:themeFill="text2" w:themeFillTint="33"/>
            <w:vAlign w:val="center"/>
          </w:tcPr>
          <w:p w14:paraId="4F22B3F7" w14:textId="77777777" w:rsidR="00752CB1" w:rsidRPr="002C1B2F" w:rsidRDefault="00752CB1" w:rsidP="00056EF4">
            <w:pPr>
              <w:autoSpaceDE w:val="0"/>
              <w:autoSpaceDN w:val="0"/>
              <w:adjustRightInd w:val="0"/>
              <w:jc w:val="both"/>
              <w:rPr>
                <w:rFonts w:cstheme="minorHAnsi"/>
                <w:b/>
                <w:bCs/>
                <w:sz w:val="20"/>
                <w:szCs w:val="20"/>
              </w:rPr>
            </w:pPr>
            <w:r w:rsidRPr="002C1B2F">
              <w:rPr>
                <w:rFonts w:cstheme="minorHAnsi"/>
                <w:b/>
                <w:bCs/>
                <w:sz w:val="20"/>
                <w:szCs w:val="20"/>
              </w:rPr>
              <w:t>Tracking</w:t>
            </w:r>
          </w:p>
        </w:tc>
      </w:tr>
      <w:tr w:rsidR="00C42004" w:rsidRPr="002C1B2F" w14:paraId="2857B10D" w14:textId="77777777" w:rsidTr="00C5256F">
        <w:trPr>
          <w:trHeight w:val="242"/>
        </w:trPr>
        <w:tc>
          <w:tcPr>
            <w:tcW w:w="3640" w:type="dxa"/>
            <w:vMerge/>
            <w:shd w:val="clear" w:color="auto" w:fill="C6D9F1" w:themeFill="text2" w:themeFillTint="33"/>
            <w:vAlign w:val="center"/>
          </w:tcPr>
          <w:p w14:paraId="338A0326" w14:textId="77777777" w:rsidR="00752CB1" w:rsidRPr="002C1B2F" w:rsidRDefault="00752CB1" w:rsidP="00056EF4">
            <w:pPr>
              <w:autoSpaceDE w:val="0"/>
              <w:autoSpaceDN w:val="0"/>
              <w:adjustRightInd w:val="0"/>
              <w:jc w:val="both"/>
              <w:rPr>
                <w:rFonts w:cstheme="minorHAnsi"/>
                <w:sz w:val="20"/>
                <w:szCs w:val="20"/>
              </w:rPr>
            </w:pPr>
          </w:p>
        </w:tc>
        <w:tc>
          <w:tcPr>
            <w:tcW w:w="1059" w:type="dxa"/>
            <w:vMerge/>
            <w:shd w:val="clear" w:color="auto" w:fill="C6D9F1" w:themeFill="text2" w:themeFillTint="33"/>
            <w:vAlign w:val="center"/>
          </w:tcPr>
          <w:p w14:paraId="50A78D71" w14:textId="77777777" w:rsidR="00752CB1" w:rsidRPr="002C1B2F" w:rsidRDefault="00752CB1" w:rsidP="00056EF4">
            <w:pPr>
              <w:autoSpaceDE w:val="0"/>
              <w:autoSpaceDN w:val="0"/>
              <w:adjustRightInd w:val="0"/>
              <w:jc w:val="both"/>
              <w:rPr>
                <w:rFonts w:cstheme="minorHAnsi"/>
                <w:sz w:val="20"/>
                <w:szCs w:val="20"/>
              </w:rPr>
            </w:pPr>
          </w:p>
        </w:tc>
        <w:tc>
          <w:tcPr>
            <w:tcW w:w="1680" w:type="dxa"/>
            <w:vMerge/>
            <w:shd w:val="clear" w:color="auto" w:fill="C6D9F1" w:themeFill="text2" w:themeFillTint="33"/>
            <w:vAlign w:val="center"/>
          </w:tcPr>
          <w:p w14:paraId="46E9F5B7" w14:textId="77777777" w:rsidR="00752CB1" w:rsidRPr="002C1B2F" w:rsidRDefault="00752CB1" w:rsidP="00056EF4">
            <w:pPr>
              <w:autoSpaceDE w:val="0"/>
              <w:autoSpaceDN w:val="0"/>
              <w:adjustRightInd w:val="0"/>
              <w:jc w:val="both"/>
              <w:rPr>
                <w:rFonts w:cstheme="minorHAnsi"/>
                <w:sz w:val="20"/>
                <w:szCs w:val="20"/>
              </w:rPr>
            </w:pPr>
          </w:p>
        </w:tc>
        <w:tc>
          <w:tcPr>
            <w:tcW w:w="2268" w:type="dxa"/>
            <w:shd w:val="clear" w:color="auto" w:fill="C6D9F1" w:themeFill="text2" w:themeFillTint="33"/>
            <w:vAlign w:val="center"/>
          </w:tcPr>
          <w:p w14:paraId="18843E8E" w14:textId="77777777" w:rsidR="00752CB1" w:rsidRPr="002C1B2F" w:rsidRDefault="00752CB1" w:rsidP="00056EF4">
            <w:pPr>
              <w:autoSpaceDE w:val="0"/>
              <w:autoSpaceDN w:val="0"/>
              <w:adjustRightInd w:val="0"/>
              <w:jc w:val="both"/>
              <w:rPr>
                <w:rFonts w:cstheme="minorHAnsi"/>
                <w:b/>
                <w:bCs/>
                <w:sz w:val="20"/>
                <w:szCs w:val="20"/>
              </w:rPr>
            </w:pPr>
            <w:r w:rsidRPr="002C1B2F">
              <w:rPr>
                <w:rFonts w:cstheme="minorHAnsi"/>
                <w:b/>
                <w:bCs/>
                <w:sz w:val="20"/>
                <w:szCs w:val="20"/>
              </w:rPr>
              <w:t>Comments</w:t>
            </w:r>
          </w:p>
        </w:tc>
        <w:tc>
          <w:tcPr>
            <w:tcW w:w="1701" w:type="dxa"/>
            <w:shd w:val="clear" w:color="auto" w:fill="C6D9F1" w:themeFill="text2" w:themeFillTint="33"/>
            <w:vAlign w:val="center"/>
          </w:tcPr>
          <w:p w14:paraId="24609598" w14:textId="77777777" w:rsidR="00752CB1" w:rsidRPr="002C1B2F" w:rsidRDefault="00752CB1" w:rsidP="00056EF4">
            <w:pPr>
              <w:autoSpaceDE w:val="0"/>
              <w:autoSpaceDN w:val="0"/>
              <w:adjustRightInd w:val="0"/>
              <w:jc w:val="both"/>
              <w:rPr>
                <w:rFonts w:cstheme="minorHAnsi"/>
                <w:b/>
                <w:bCs/>
                <w:sz w:val="20"/>
                <w:szCs w:val="20"/>
              </w:rPr>
            </w:pPr>
            <w:r w:rsidRPr="002C1B2F">
              <w:rPr>
                <w:rFonts w:cstheme="minorHAnsi"/>
                <w:b/>
                <w:bCs/>
                <w:sz w:val="20"/>
                <w:szCs w:val="20"/>
              </w:rPr>
              <w:t>Status</w:t>
            </w:r>
          </w:p>
        </w:tc>
      </w:tr>
      <w:tr w:rsidR="00C42004" w:rsidRPr="002C1B2F" w14:paraId="0C75C8A7" w14:textId="77777777" w:rsidTr="00C5256F">
        <w:trPr>
          <w:trHeight w:val="361"/>
        </w:trPr>
        <w:tc>
          <w:tcPr>
            <w:tcW w:w="3640" w:type="dxa"/>
          </w:tcPr>
          <w:p w14:paraId="4730087A" w14:textId="576F6F82" w:rsidR="006112C4" w:rsidRPr="003765A7" w:rsidRDefault="00F50507" w:rsidP="00056EF4">
            <w:pPr>
              <w:jc w:val="both"/>
              <w:rPr>
                <w:rFonts w:cstheme="minorHAnsi"/>
                <w:bCs/>
                <w:sz w:val="20"/>
                <w:szCs w:val="20"/>
              </w:rPr>
            </w:pPr>
            <w:r>
              <w:rPr>
                <w:rFonts w:cstheme="minorHAnsi"/>
                <w:bCs/>
                <w:sz w:val="20"/>
                <w:szCs w:val="20"/>
              </w:rPr>
              <w:t xml:space="preserve">To refocus the </w:t>
            </w:r>
            <w:r w:rsidRPr="00F50507">
              <w:rPr>
                <w:rFonts w:cstheme="minorHAnsi"/>
                <w:bCs/>
                <w:sz w:val="20"/>
                <w:szCs w:val="20"/>
              </w:rPr>
              <w:t>technology component of Component 3 in the light of changing timeframes and priorities</w:t>
            </w:r>
          </w:p>
        </w:tc>
        <w:tc>
          <w:tcPr>
            <w:tcW w:w="1059" w:type="dxa"/>
            <w:vAlign w:val="center"/>
          </w:tcPr>
          <w:p w14:paraId="18C21879" w14:textId="6883430D" w:rsidR="006112C4" w:rsidRPr="002C1B2F" w:rsidRDefault="009A3AE8" w:rsidP="00056EF4">
            <w:pPr>
              <w:jc w:val="both"/>
              <w:rPr>
                <w:rFonts w:cstheme="minorHAnsi"/>
                <w:sz w:val="20"/>
                <w:szCs w:val="20"/>
              </w:rPr>
            </w:pPr>
            <w:r>
              <w:rPr>
                <w:rFonts w:cstheme="minorHAnsi"/>
                <w:sz w:val="20"/>
                <w:szCs w:val="20"/>
              </w:rPr>
              <w:t>December 2019</w:t>
            </w:r>
          </w:p>
        </w:tc>
        <w:tc>
          <w:tcPr>
            <w:tcW w:w="1680" w:type="dxa"/>
            <w:vAlign w:val="center"/>
          </w:tcPr>
          <w:p w14:paraId="69319FDD" w14:textId="7973E887" w:rsidR="006112C4" w:rsidRPr="002C1B2F" w:rsidRDefault="00A851B8" w:rsidP="00056EF4">
            <w:pPr>
              <w:autoSpaceDE w:val="0"/>
              <w:autoSpaceDN w:val="0"/>
              <w:adjustRightInd w:val="0"/>
              <w:jc w:val="both"/>
              <w:rPr>
                <w:rFonts w:cstheme="minorHAnsi"/>
                <w:sz w:val="20"/>
                <w:szCs w:val="20"/>
              </w:rPr>
            </w:pPr>
            <w:r w:rsidRPr="0060713E">
              <w:rPr>
                <w:color w:val="000000"/>
                <w:sz w:val="20"/>
                <w:szCs w:val="20"/>
              </w:rPr>
              <w:t>Project Team</w:t>
            </w:r>
            <w:r>
              <w:rPr>
                <w:color w:val="000000"/>
                <w:sz w:val="20"/>
                <w:szCs w:val="20"/>
              </w:rPr>
              <w:t>, MESTECC, UNDP</w:t>
            </w:r>
          </w:p>
        </w:tc>
        <w:tc>
          <w:tcPr>
            <w:tcW w:w="2268" w:type="dxa"/>
            <w:vAlign w:val="center"/>
          </w:tcPr>
          <w:p w14:paraId="2FCECD2F" w14:textId="04B94396" w:rsidR="006112C4" w:rsidRPr="002C1B2F" w:rsidRDefault="00F50507" w:rsidP="00056EF4">
            <w:pPr>
              <w:autoSpaceDE w:val="0"/>
              <w:autoSpaceDN w:val="0"/>
              <w:adjustRightInd w:val="0"/>
              <w:jc w:val="both"/>
              <w:rPr>
                <w:rFonts w:cstheme="minorHAnsi"/>
                <w:sz w:val="20"/>
                <w:szCs w:val="20"/>
              </w:rPr>
            </w:pPr>
            <w:r w:rsidRPr="00F50507">
              <w:rPr>
                <w:rFonts w:cstheme="minorHAnsi"/>
                <w:sz w:val="20"/>
                <w:szCs w:val="20"/>
              </w:rPr>
              <w:t xml:space="preserve">Outputs and targets have been streamlined in the project </w:t>
            </w:r>
            <w:proofErr w:type="spellStart"/>
            <w:r w:rsidRPr="00F50507">
              <w:rPr>
                <w:rFonts w:cstheme="minorHAnsi"/>
                <w:sz w:val="20"/>
                <w:szCs w:val="20"/>
              </w:rPr>
              <w:t>logframe</w:t>
            </w:r>
            <w:proofErr w:type="spellEnd"/>
            <w:r w:rsidRPr="00F50507">
              <w:rPr>
                <w:rFonts w:cstheme="minorHAnsi"/>
                <w:sz w:val="20"/>
                <w:szCs w:val="20"/>
              </w:rPr>
              <w:t xml:space="preserve"> based on MTR recommendations</w:t>
            </w:r>
          </w:p>
        </w:tc>
        <w:tc>
          <w:tcPr>
            <w:tcW w:w="1701" w:type="dxa"/>
            <w:vAlign w:val="center"/>
          </w:tcPr>
          <w:p w14:paraId="2BA24D22" w14:textId="29E9E45D" w:rsidR="006112C4" w:rsidRPr="002C1B2F" w:rsidRDefault="00F50507" w:rsidP="00056EF4">
            <w:pPr>
              <w:autoSpaceDE w:val="0"/>
              <w:autoSpaceDN w:val="0"/>
              <w:adjustRightInd w:val="0"/>
              <w:jc w:val="both"/>
              <w:rPr>
                <w:rFonts w:cstheme="minorHAnsi"/>
                <w:sz w:val="20"/>
                <w:szCs w:val="20"/>
              </w:rPr>
            </w:pPr>
            <w:r>
              <w:rPr>
                <w:rFonts w:cstheme="minorHAnsi"/>
                <w:sz w:val="20"/>
                <w:szCs w:val="20"/>
              </w:rPr>
              <w:t>Completed</w:t>
            </w:r>
          </w:p>
        </w:tc>
      </w:tr>
      <w:tr w:rsidR="00C42004" w:rsidRPr="002C1B2F" w14:paraId="4A85C8D3" w14:textId="77777777" w:rsidTr="00C5256F">
        <w:trPr>
          <w:trHeight w:val="361"/>
        </w:trPr>
        <w:tc>
          <w:tcPr>
            <w:tcW w:w="3640" w:type="dxa"/>
          </w:tcPr>
          <w:p w14:paraId="1D9F6418" w14:textId="21826018" w:rsidR="006112C4" w:rsidRPr="002C1B2F" w:rsidRDefault="00672FF6" w:rsidP="00056EF4">
            <w:pPr>
              <w:pStyle w:val="ListParagraph"/>
              <w:ind w:left="0"/>
              <w:jc w:val="both"/>
              <w:rPr>
                <w:sz w:val="20"/>
                <w:szCs w:val="20"/>
              </w:rPr>
            </w:pPr>
            <w:r>
              <w:rPr>
                <w:sz w:val="20"/>
                <w:szCs w:val="20"/>
              </w:rPr>
              <w:t xml:space="preserve">To implement a B100 biofuel pilot project </w:t>
            </w:r>
            <w:r w:rsidR="00A07F1F">
              <w:rPr>
                <w:sz w:val="20"/>
                <w:szCs w:val="20"/>
              </w:rPr>
              <w:t>and explore possible synergies with the Iskandar Malaysia Bus Rapid Transit which is in the design phase</w:t>
            </w:r>
          </w:p>
        </w:tc>
        <w:tc>
          <w:tcPr>
            <w:tcW w:w="1059" w:type="dxa"/>
            <w:vAlign w:val="center"/>
          </w:tcPr>
          <w:p w14:paraId="06CFB3C1" w14:textId="472FD2A3" w:rsidR="006112C4" w:rsidRPr="002C1B2F" w:rsidRDefault="00C91E86" w:rsidP="00056EF4">
            <w:pPr>
              <w:autoSpaceDE w:val="0"/>
              <w:autoSpaceDN w:val="0"/>
              <w:adjustRightInd w:val="0"/>
              <w:jc w:val="both"/>
              <w:rPr>
                <w:rFonts w:cstheme="minorHAnsi"/>
                <w:sz w:val="20"/>
                <w:szCs w:val="20"/>
              </w:rPr>
            </w:pPr>
            <w:r>
              <w:rPr>
                <w:rFonts w:cstheme="minorHAnsi"/>
                <w:sz w:val="20"/>
                <w:szCs w:val="20"/>
              </w:rPr>
              <w:t>December</w:t>
            </w:r>
            <w:r w:rsidR="009D5C31">
              <w:rPr>
                <w:rFonts w:cstheme="minorHAnsi"/>
                <w:sz w:val="20"/>
                <w:szCs w:val="20"/>
              </w:rPr>
              <w:t xml:space="preserve"> 2020</w:t>
            </w:r>
          </w:p>
        </w:tc>
        <w:tc>
          <w:tcPr>
            <w:tcW w:w="1680" w:type="dxa"/>
            <w:vAlign w:val="center"/>
          </w:tcPr>
          <w:p w14:paraId="692FAE14" w14:textId="1F012447" w:rsidR="006112C4" w:rsidRPr="002C1B2F" w:rsidRDefault="009D5C31" w:rsidP="00056EF4">
            <w:pPr>
              <w:autoSpaceDE w:val="0"/>
              <w:autoSpaceDN w:val="0"/>
              <w:adjustRightInd w:val="0"/>
              <w:jc w:val="both"/>
              <w:rPr>
                <w:rFonts w:cstheme="minorHAnsi"/>
                <w:sz w:val="20"/>
                <w:szCs w:val="20"/>
              </w:rPr>
            </w:pPr>
            <w:r>
              <w:rPr>
                <w:rFonts w:cstheme="minorHAnsi"/>
                <w:sz w:val="20"/>
                <w:szCs w:val="20"/>
              </w:rPr>
              <w:t>Project Team</w:t>
            </w:r>
          </w:p>
        </w:tc>
        <w:tc>
          <w:tcPr>
            <w:tcW w:w="2268" w:type="dxa"/>
            <w:vAlign w:val="center"/>
          </w:tcPr>
          <w:p w14:paraId="65363398" w14:textId="1D2FD2DB" w:rsidR="006112C4" w:rsidRPr="002C1B2F" w:rsidRDefault="00A07F1F" w:rsidP="00056EF4">
            <w:pPr>
              <w:autoSpaceDE w:val="0"/>
              <w:autoSpaceDN w:val="0"/>
              <w:adjustRightInd w:val="0"/>
              <w:jc w:val="both"/>
              <w:rPr>
                <w:rFonts w:cstheme="minorHAnsi"/>
                <w:sz w:val="20"/>
                <w:szCs w:val="20"/>
              </w:rPr>
            </w:pPr>
            <w:r>
              <w:rPr>
                <w:rFonts w:cstheme="minorHAnsi"/>
                <w:sz w:val="20"/>
                <w:szCs w:val="20"/>
              </w:rPr>
              <w:t xml:space="preserve">The project is </w:t>
            </w:r>
            <w:r w:rsidR="00E6790D">
              <w:rPr>
                <w:rFonts w:cstheme="minorHAnsi"/>
                <w:sz w:val="20"/>
                <w:szCs w:val="20"/>
              </w:rPr>
              <w:t xml:space="preserve">initiating the implementation of </w:t>
            </w:r>
            <w:r w:rsidR="004F48E8">
              <w:rPr>
                <w:rFonts w:cstheme="minorHAnsi"/>
                <w:sz w:val="20"/>
                <w:szCs w:val="20"/>
              </w:rPr>
              <w:t xml:space="preserve">a pilot </w:t>
            </w:r>
            <w:r w:rsidR="00E6790D">
              <w:rPr>
                <w:rFonts w:cstheme="minorHAnsi"/>
                <w:sz w:val="20"/>
                <w:szCs w:val="20"/>
              </w:rPr>
              <w:t>B100 biofuel project</w:t>
            </w:r>
            <w:r w:rsidR="004F48E8">
              <w:rPr>
                <w:rFonts w:cstheme="minorHAnsi"/>
                <w:sz w:val="20"/>
                <w:szCs w:val="20"/>
              </w:rPr>
              <w:t xml:space="preserve"> involving 10 buses under MRT Corporation operated by </w:t>
            </w:r>
            <w:proofErr w:type="spellStart"/>
            <w:r w:rsidR="004F48E8">
              <w:rPr>
                <w:rFonts w:cstheme="minorHAnsi"/>
                <w:sz w:val="20"/>
                <w:szCs w:val="20"/>
              </w:rPr>
              <w:t>Prasarana’s</w:t>
            </w:r>
            <w:proofErr w:type="spellEnd"/>
            <w:r w:rsidR="004F48E8">
              <w:rPr>
                <w:rFonts w:cstheme="minorHAnsi"/>
                <w:sz w:val="20"/>
                <w:szCs w:val="20"/>
              </w:rPr>
              <w:t xml:space="preserve"> </w:t>
            </w:r>
            <w:proofErr w:type="spellStart"/>
            <w:r w:rsidR="004F48E8">
              <w:rPr>
                <w:rFonts w:cstheme="minorHAnsi"/>
                <w:sz w:val="20"/>
                <w:szCs w:val="20"/>
              </w:rPr>
              <w:t>Rapidbus</w:t>
            </w:r>
            <w:proofErr w:type="spellEnd"/>
            <w:r w:rsidR="004F48E8">
              <w:rPr>
                <w:rFonts w:cstheme="minorHAnsi"/>
                <w:sz w:val="20"/>
                <w:szCs w:val="20"/>
              </w:rPr>
              <w:t>,</w:t>
            </w:r>
            <w:r w:rsidR="00E6790D">
              <w:rPr>
                <w:rFonts w:cstheme="minorHAnsi"/>
                <w:sz w:val="20"/>
                <w:szCs w:val="20"/>
              </w:rPr>
              <w:t xml:space="preserve"> and is looking at promoting the use of B100 biofuel buses or other low carbon buses to be implemented for the Iskandar Malaysia Bus Rapid Transit (IM BRT) system, supported through the current peer review exercise for the IMBRT undertaken by an international expert.</w:t>
            </w:r>
          </w:p>
        </w:tc>
        <w:tc>
          <w:tcPr>
            <w:tcW w:w="1701" w:type="dxa"/>
            <w:vAlign w:val="center"/>
          </w:tcPr>
          <w:p w14:paraId="6B66317F" w14:textId="5A24211D" w:rsidR="006112C4" w:rsidRPr="002C1B2F" w:rsidRDefault="00E6790D" w:rsidP="00056EF4">
            <w:pPr>
              <w:autoSpaceDE w:val="0"/>
              <w:autoSpaceDN w:val="0"/>
              <w:adjustRightInd w:val="0"/>
              <w:jc w:val="both"/>
              <w:rPr>
                <w:rFonts w:cstheme="minorHAnsi"/>
                <w:sz w:val="20"/>
                <w:szCs w:val="20"/>
              </w:rPr>
            </w:pPr>
            <w:r>
              <w:rPr>
                <w:rFonts w:cstheme="minorHAnsi"/>
                <w:sz w:val="20"/>
                <w:szCs w:val="20"/>
              </w:rPr>
              <w:t>In progress</w:t>
            </w:r>
          </w:p>
        </w:tc>
      </w:tr>
      <w:tr w:rsidR="005D4989" w:rsidRPr="002C1B2F" w14:paraId="69676B53" w14:textId="77777777" w:rsidTr="00C5256F">
        <w:trPr>
          <w:trHeight w:val="361"/>
        </w:trPr>
        <w:tc>
          <w:tcPr>
            <w:tcW w:w="3640" w:type="dxa"/>
          </w:tcPr>
          <w:p w14:paraId="7C52BCDB" w14:textId="162C8969" w:rsidR="005D4989" w:rsidRDefault="00EE0BC0" w:rsidP="00056EF4">
            <w:pPr>
              <w:pStyle w:val="ListParagraph"/>
              <w:ind w:left="0" w:right="15"/>
              <w:jc w:val="both"/>
              <w:rPr>
                <w:rFonts w:cstheme="minorHAnsi"/>
                <w:bCs/>
                <w:sz w:val="20"/>
                <w:szCs w:val="20"/>
              </w:rPr>
            </w:pPr>
            <w:r w:rsidRPr="00EE0BC0">
              <w:rPr>
                <w:rFonts w:cstheme="minorHAnsi"/>
                <w:bCs/>
                <w:sz w:val="20"/>
                <w:szCs w:val="20"/>
              </w:rPr>
              <w:t>The project team to study the issues, options, costs and benefits and explore the possibility of setting up a pilot project on solar PV on covered parking spaces and walkways in Putrajaya, or one of the MRT or BRT stations</w:t>
            </w:r>
          </w:p>
        </w:tc>
        <w:tc>
          <w:tcPr>
            <w:tcW w:w="1059" w:type="dxa"/>
            <w:vAlign w:val="center"/>
          </w:tcPr>
          <w:p w14:paraId="0D240B55" w14:textId="2C128194" w:rsidR="005D4989" w:rsidRPr="002C1B2F" w:rsidRDefault="00C91E86" w:rsidP="00056EF4">
            <w:pPr>
              <w:jc w:val="both"/>
              <w:rPr>
                <w:rFonts w:cstheme="minorHAnsi"/>
                <w:sz w:val="20"/>
                <w:szCs w:val="20"/>
              </w:rPr>
            </w:pPr>
            <w:r>
              <w:rPr>
                <w:rFonts w:cstheme="minorHAnsi"/>
                <w:sz w:val="20"/>
                <w:szCs w:val="20"/>
              </w:rPr>
              <w:t>December</w:t>
            </w:r>
            <w:r w:rsidR="009D5C31">
              <w:rPr>
                <w:rFonts w:cstheme="minorHAnsi"/>
                <w:sz w:val="20"/>
                <w:szCs w:val="20"/>
              </w:rPr>
              <w:t xml:space="preserve"> 2020</w:t>
            </w:r>
          </w:p>
        </w:tc>
        <w:tc>
          <w:tcPr>
            <w:tcW w:w="1680" w:type="dxa"/>
            <w:vAlign w:val="center"/>
          </w:tcPr>
          <w:p w14:paraId="3AD37367" w14:textId="56592440" w:rsidR="005D4989" w:rsidRPr="002C1B2F" w:rsidRDefault="009D5C31" w:rsidP="00056EF4">
            <w:pPr>
              <w:autoSpaceDE w:val="0"/>
              <w:autoSpaceDN w:val="0"/>
              <w:adjustRightInd w:val="0"/>
              <w:jc w:val="both"/>
              <w:rPr>
                <w:rFonts w:cstheme="minorHAnsi"/>
                <w:sz w:val="20"/>
                <w:szCs w:val="20"/>
              </w:rPr>
            </w:pPr>
            <w:r>
              <w:rPr>
                <w:rFonts w:cstheme="minorHAnsi"/>
                <w:sz w:val="20"/>
                <w:szCs w:val="20"/>
              </w:rPr>
              <w:t>Project Team, SEDA</w:t>
            </w:r>
          </w:p>
        </w:tc>
        <w:tc>
          <w:tcPr>
            <w:tcW w:w="2268" w:type="dxa"/>
            <w:vAlign w:val="center"/>
          </w:tcPr>
          <w:p w14:paraId="593158F3" w14:textId="77777777" w:rsidR="00EE0BC0" w:rsidRPr="00EE0BC0" w:rsidRDefault="00EE0BC0" w:rsidP="00056EF4">
            <w:pPr>
              <w:autoSpaceDE w:val="0"/>
              <w:autoSpaceDN w:val="0"/>
              <w:adjustRightInd w:val="0"/>
              <w:jc w:val="both"/>
              <w:rPr>
                <w:rFonts w:cstheme="minorHAnsi"/>
                <w:sz w:val="20"/>
                <w:szCs w:val="20"/>
              </w:rPr>
            </w:pPr>
            <w:r w:rsidRPr="00EE0BC0">
              <w:rPr>
                <w:rFonts w:cstheme="minorHAnsi"/>
                <w:sz w:val="20"/>
                <w:szCs w:val="20"/>
              </w:rPr>
              <w:t xml:space="preserve">The project is working on the following solar projects as pilot projects: --Solar PV for Mass Rapid Transit (MRT) Corporation Facilities </w:t>
            </w:r>
          </w:p>
          <w:p w14:paraId="552E5A89" w14:textId="77777777" w:rsidR="00EE0BC0" w:rsidRPr="00EE0BC0" w:rsidRDefault="00EE0BC0" w:rsidP="00056EF4">
            <w:pPr>
              <w:autoSpaceDE w:val="0"/>
              <w:autoSpaceDN w:val="0"/>
              <w:adjustRightInd w:val="0"/>
              <w:jc w:val="both"/>
              <w:rPr>
                <w:rFonts w:cstheme="minorHAnsi"/>
                <w:sz w:val="20"/>
                <w:szCs w:val="20"/>
              </w:rPr>
            </w:pPr>
            <w:r w:rsidRPr="00EE0BC0">
              <w:rPr>
                <w:rFonts w:cstheme="minorHAnsi"/>
                <w:sz w:val="20"/>
                <w:szCs w:val="20"/>
              </w:rPr>
              <w:t xml:space="preserve">-Solar PV bundle </w:t>
            </w:r>
            <w:proofErr w:type="spellStart"/>
            <w:r w:rsidRPr="00EE0BC0">
              <w:rPr>
                <w:rFonts w:cstheme="minorHAnsi"/>
                <w:sz w:val="20"/>
                <w:szCs w:val="20"/>
              </w:rPr>
              <w:t>programme</w:t>
            </w:r>
            <w:proofErr w:type="spellEnd"/>
            <w:r w:rsidRPr="00EE0BC0">
              <w:rPr>
                <w:rFonts w:cstheme="minorHAnsi"/>
                <w:sz w:val="20"/>
                <w:szCs w:val="20"/>
              </w:rPr>
              <w:t xml:space="preserve"> for </w:t>
            </w:r>
            <w:proofErr w:type="spellStart"/>
            <w:proofErr w:type="gramStart"/>
            <w:r w:rsidRPr="00EE0BC0">
              <w:rPr>
                <w:rFonts w:cstheme="minorHAnsi"/>
                <w:sz w:val="20"/>
                <w:szCs w:val="20"/>
              </w:rPr>
              <w:t>Petaling</w:t>
            </w:r>
            <w:proofErr w:type="spellEnd"/>
            <w:r w:rsidRPr="00EE0BC0">
              <w:rPr>
                <w:rFonts w:cstheme="minorHAnsi"/>
                <w:sz w:val="20"/>
                <w:szCs w:val="20"/>
              </w:rPr>
              <w:t xml:space="preserve">  Jaya</w:t>
            </w:r>
            <w:proofErr w:type="gramEnd"/>
            <w:r w:rsidRPr="00EE0BC0">
              <w:rPr>
                <w:rFonts w:cstheme="minorHAnsi"/>
                <w:sz w:val="20"/>
                <w:szCs w:val="20"/>
              </w:rPr>
              <w:t xml:space="preserve"> City Council's (MBPJ) Residential Area Rooftops </w:t>
            </w:r>
          </w:p>
          <w:p w14:paraId="6E542810" w14:textId="77777777" w:rsidR="00EE0BC0" w:rsidRPr="00EE0BC0" w:rsidRDefault="00EE0BC0" w:rsidP="00056EF4">
            <w:pPr>
              <w:autoSpaceDE w:val="0"/>
              <w:autoSpaceDN w:val="0"/>
              <w:adjustRightInd w:val="0"/>
              <w:jc w:val="both"/>
              <w:rPr>
                <w:rFonts w:cstheme="minorHAnsi"/>
                <w:sz w:val="20"/>
                <w:szCs w:val="20"/>
              </w:rPr>
            </w:pPr>
            <w:r w:rsidRPr="00EE0BC0">
              <w:rPr>
                <w:rFonts w:cstheme="minorHAnsi"/>
                <w:sz w:val="20"/>
                <w:szCs w:val="20"/>
              </w:rPr>
              <w:t xml:space="preserve">-Solar PV for Ministry of Housing and Local Government's (KPKT) Parking </w:t>
            </w:r>
            <w:proofErr w:type="gramStart"/>
            <w:r w:rsidRPr="00EE0BC0">
              <w:rPr>
                <w:rFonts w:cstheme="minorHAnsi"/>
                <w:sz w:val="20"/>
                <w:szCs w:val="20"/>
              </w:rPr>
              <w:t>Complex  (</w:t>
            </w:r>
            <w:proofErr w:type="gramEnd"/>
            <w:r w:rsidRPr="00EE0BC0">
              <w:rPr>
                <w:rFonts w:cstheme="minorHAnsi"/>
                <w:sz w:val="20"/>
                <w:szCs w:val="20"/>
              </w:rPr>
              <w:t xml:space="preserve">proof of concept for the installation of solar PV at Multi </w:t>
            </w:r>
            <w:proofErr w:type="spellStart"/>
            <w:r w:rsidRPr="00EE0BC0">
              <w:rPr>
                <w:rFonts w:cstheme="minorHAnsi"/>
                <w:sz w:val="20"/>
                <w:szCs w:val="20"/>
              </w:rPr>
              <w:t>Storey</w:t>
            </w:r>
            <w:proofErr w:type="spellEnd"/>
            <w:r w:rsidRPr="00EE0BC0">
              <w:rPr>
                <w:rFonts w:cstheme="minorHAnsi"/>
                <w:sz w:val="20"/>
                <w:szCs w:val="20"/>
              </w:rPr>
              <w:t xml:space="preserve"> Carpark to supply power to KPKT building at Precinct 4, Putrajaya)</w:t>
            </w:r>
          </w:p>
          <w:p w14:paraId="5CFF00BF" w14:textId="4EB8EB82" w:rsidR="005D4989" w:rsidRPr="002C1B2F" w:rsidRDefault="00EE0BC0" w:rsidP="00056EF4">
            <w:pPr>
              <w:autoSpaceDE w:val="0"/>
              <w:autoSpaceDN w:val="0"/>
              <w:adjustRightInd w:val="0"/>
              <w:jc w:val="both"/>
              <w:rPr>
                <w:rFonts w:cstheme="minorHAnsi"/>
                <w:sz w:val="20"/>
                <w:szCs w:val="20"/>
              </w:rPr>
            </w:pPr>
            <w:r w:rsidRPr="00EE0BC0">
              <w:rPr>
                <w:rFonts w:cstheme="minorHAnsi"/>
                <w:sz w:val="20"/>
                <w:szCs w:val="20"/>
              </w:rPr>
              <w:t>A consultant has been hired to do in depth analysis, provide technical facilitation, formulate business proposals and carry out the detailed design and construction supervision for these projects</w:t>
            </w:r>
            <w:r w:rsidR="004F48E8">
              <w:rPr>
                <w:rFonts w:cstheme="minorHAnsi"/>
                <w:sz w:val="20"/>
                <w:szCs w:val="20"/>
              </w:rPr>
              <w:t>.</w:t>
            </w:r>
          </w:p>
        </w:tc>
        <w:tc>
          <w:tcPr>
            <w:tcW w:w="1701" w:type="dxa"/>
            <w:vAlign w:val="center"/>
          </w:tcPr>
          <w:p w14:paraId="3DCC806B" w14:textId="429D1581" w:rsidR="005D4989" w:rsidRPr="002C1B2F" w:rsidRDefault="00EE0BC0" w:rsidP="00056EF4">
            <w:pPr>
              <w:autoSpaceDE w:val="0"/>
              <w:autoSpaceDN w:val="0"/>
              <w:adjustRightInd w:val="0"/>
              <w:jc w:val="both"/>
              <w:rPr>
                <w:rFonts w:cstheme="minorHAnsi"/>
                <w:sz w:val="20"/>
                <w:szCs w:val="20"/>
              </w:rPr>
            </w:pPr>
            <w:r>
              <w:rPr>
                <w:rFonts w:cstheme="minorHAnsi"/>
                <w:sz w:val="20"/>
                <w:szCs w:val="20"/>
              </w:rPr>
              <w:t>In progress</w:t>
            </w:r>
          </w:p>
        </w:tc>
      </w:tr>
      <w:tr w:rsidR="00923EDE" w:rsidRPr="002C1B2F" w14:paraId="6A82BC90" w14:textId="77777777" w:rsidTr="00C5256F">
        <w:trPr>
          <w:trHeight w:val="361"/>
        </w:trPr>
        <w:tc>
          <w:tcPr>
            <w:tcW w:w="3640" w:type="dxa"/>
          </w:tcPr>
          <w:p w14:paraId="67099841" w14:textId="7AEA9E82" w:rsidR="00923EDE" w:rsidRPr="00000109" w:rsidRDefault="00131231" w:rsidP="00056EF4">
            <w:pPr>
              <w:tabs>
                <w:tab w:val="left" w:pos="1080"/>
              </w:tabs>
              <w:jc w:val="both"/>
              <w:rPr>
                <w:rFonts w:cstheme="minorHAnsi"/>
                <w:bCs/>
                <w:sz w:val="20"/>
                <w:szCs w:val="20"/>
              </w:rPr>
            </w:pPr>
            <w:r>
              <w:rPr>
                <w:rFonts w:cstheme="minorHAnsi"/>
                <w:bCs/>
                <w:sz w:val="20"/>
                <w:szCs w:val="20"/>
              </w:rPr>
              <w:t>To explore i</w:t>
            </w:r>
            <w:r w:rsidRPr="00131231">
              <w:rPr>
                <w:rFonts w:cstheme="minorHAnsi"/>
                <w:bCs/>
                <w:sz w:val="20"/>
                <w:szCs w:val="20"/>
              </w:rPr>
              <w:t xml:space="preserve">mproving intermodal connectivity for transport modes (BRT, MRT, bus, walking </w:t>
            </w:r>
            <w:proofErr w:type="spellStart"/>
            <w:r w:rsidRPr="00131231">
              <w:rPr>
                <w:rFonts w:cstheme="minorHAnsi"/>
                <w:bCs/>
                <w:sz w:val="20"/>
                <w:szCs w:val="20"/>
              </w:rPr>
              <w:t>etc</w:t>
            </w:r>
            <w:proofErr w:type="spellEnd"/>
            <w:r w:rsidRPr="00131231">
              <w:rPr>
                <w:rFonts w:cstheme="minorHAnsi"/>
                <w:bCs/>
                <w:sz w:val="20"/>
                <w:szCs w:val="20"/>
              </w:rPr>
              <w:t>)</w:t>
            </w:r>
          </w:p>
        </w:tc>
        <w:tc>
          <w:tcPr>
            <w:tcW w:w="1059" w:type="dxa"/>
            <w:vAlign w:val="center"/>
          </w:tcPr>
          <w:p w14:paraId="7622E54A" w14:textId="29F2FBB5" w:rsidR="00923EDE" w:rsidRPr="002C1B2F" w:rsidRDefault="00C91E86" w:rsidP="00056EF4">
            <w:pPr>
              <w:jc w:val="both"/>
              <w:rPr>
                <w:rFonts w:cstheme="minorHAnsi"/>
                <w:sz w:val="20"/>
                <w:szCs w:val="20"/>
              </w:rPr>
            </w:pPr>
            <w:r>
              <w:rPr>
                <w:rFonts w:cstheme="minorHAnsi"/>
                <w:sz w:val="20"/>
                <w:szCs w:val="20"/>
              </w:rPr>
              <w:t xml:space="preserve">December </w:t>
            </w:r>
            <w:r w:rsidR="00C83527">
              <w:rPr>
                <w:rFonts w:cstheme="minorHAnsi"/>
                <w:sz w:val="20"/>
                <w:szCs w:val="20"/>
              </w:rPr>
              <w:t>2020</w:t>
            </w:r>
          </w:p>
        </w:tc>
        <w:tc>
          <w:tcPr>
            <w:tcW w:w="1680" w:type="dxa"/>
            <w:vAlign w:val="center"/>
          </w:tcPr>
          <w:p w14:paraId="33C35127" w14:textId="7C459469" w:rsidR="00923EDE" w:rsidRPr="002C1B2F" w:rsidRDefault="00C83527" w:rsidP="00056EF4">
            <w:pPr>
              <w:autoSpaceDE w:val="0"/>
              <w:autoSpaceDN w:val="0"/>
              <w:adjustRightInd w:val="0"/>
              <w:jc w:val="both"/>
              <w:rPr>
                <w:rFonts w:cstheme="minorHAnsi"/>
                <w:sz w:val="20"/>
                <w:szCs w:val="20"/>
              </w:rPr>
            </w:pPr>
            <w:r>
              <w:rPr>
                <w:rFonts w:cstheme="minorHAnsi"/>
                <w:sz w:val="20"/>
                <w:szCs w:val="20"/>
              </w:rPr>
              <w:t>Project Team</w:t>
            </w:r>
          </w:p>
        </w:tc>
        <w:tc>
          <w:tcPr>
            <w:tcW w:w="2268" w:type="dxa"/>
            <w:vAlign w:val="center"/>
          </w:tcPr>
          <w:p w14:paraId="670D1603" w14:textId="1037C121" w:rsidR="00923EDE" w:rsidRPr="002C1B2F" w:rsidRDefault="009A3AE8" w:rsidP="00056EF4">
            <w:pPr>
              <w:autoSpaceDE w:val="0"/>
              <w:autoSpaceDN w:val="0"/>
              <w:adjustRightInd w:val="0"/>
              <w:jc w:val="both"/>
              <w:rPr>
                <w:rFonts w:cstheme="minorHAnsi"/>
                <w:sz w:val="20"/>
                <w:szCs w:val="20"/>
              </w:rPr>
            </w:pPr>
            <w:r w:rsidRPr="009A3AE8">
              <w:rPr>
                <w:rFonts w:cstheme="minorHAnsi"/>
                <w:sz w:val="20"/>
                <w:szCs w:val="20"/>
              </w:rPr>
              <w:t xml:space="preserve">On the first and last mile connectivity, the project is pursuing for a dedicated on-road bicycle lane in collaboration with the city of Putrajaya. The initiative will connect Putrajaya </w:t>
            </w:r>
            <w:proofErr w:type="spellStart"/>
            <w:r w:rsidRPr="009A3AE8">
              <w:rPr>
                <w:rFonts w:cstheme="minorHAnsi"/>
                <w:sz w:val="20"/>
                <w:szCs w:val="20"/>
              </w:rPr>
              <w:t>Sentral</w:t>
            </w:r>
            <w:proofErr w:type="spellEnd"/>
            <w:r w:rsidRPr="009A3AE8">
              <w:rPr>
                <w:rFonts w:cstheme="minorHAnsi"/>
                <w:sz w:val="20"/>
                <w:szCs w:val="20"/>
              </w:rPr>
              <w:t xml:space="preserve"> (a public transportation hub) to the heart of the administrative </w:t>
            </w:r>
            <w:proofErr w:type="spellStart"/>
            <w:r w:rsidRPr="009A3AE8">
              <w:rPr>
                <w:rFonts w:cstheme="minorHAnsi"/>
                <w:sz w:val="20"/>
                <w:szCs w:val="20"/>
              </w:rPr>
              <w:t>centre</w:t>
            </w:r>
            <w:proofErr w:type="spellEnd"/>
            <w:r w:rsidRPr="009A3AE8">
              <w:rPr>
                <w:rFonts w:cstheme="minorHAnsi"/>
                <w:sz w:val="20"/>
                <w:szCs w:val="20"/>
              </w:rPr>
              <w:t xml:space="preserve"> of Putrajaya. This will be a showcase of first and last mile connectivity for a city</w:t>
            </w:r>
            <w:r>
              <w:rPr>
                <w:rFonts w:cstheme="minorHAnsi"/>
                <w:sz w:val="20"/>
                <w:szCs w:val="20"/>
              </w:rPr>
              <w:t>.</w:t>
            </w:r>
          </w:p>
        </w:tc>
        <w:tc>
          <w:tcPr>
            <w:tcW w:w="1701" w:type="dxa"/>
            <w:vAlign w:val="center"/>
          </w:tcPr>
          <w:p w14:paraId="7C1270EA" w14:textId="10E0FFD1" w:rsidR="00923EDE" w:rsidRPr="002C1B2F" w:rsidRDefault="009A3AE8" w:rsidP="00056EF4">
            <w:pPr>
              <w:autoSpaceDE w:val="0"/>
              <w:autoSpaceDN w:val="0"/>
              <w:adjustRightInd w:val="0"/>
              <w:jc w:val="both"/>
              <w:rPr>
                <w:rFonts w:cstheme="minorHAnsi"/>
                <w:sz w:val="20"/>
                <w:szCs w:val="20"/>
              </w:rPr>
            </w:pPr>
            <w:r>
              <w:rPr>
                <w:rFonts w:cstheme="minorHAnsi"/>
                <w:sz w:val="20"/>
                <w:szCs w:val="20"/>
              </w:rPr>
              <w:t>In progress</w:t>
            </w:r>
          </w:p>
        </w:tc>
      </w:tr>
    </w:tbl>
    <w:p w14:paraId="5CE26CEC" w14:textId="4B350815" w:rsidR="00CD001A" w:rsidRDefault="00CD001A" w:rsidP="00056EF4">
      <w:pPr>
        <w:jc w:val="both"/>
        <w:rPr>
          <w:rFonts w:cstheme="minorHAnsi"/>
          <w:sz w:val="20"/>
          <w:szCs w:val="20"/>
        </w:rPr>
      </w:pPr>
    </w:p>
    <w:tbl>
      <w:tblPr>
        <w:tblStyle w:val="TableGrid"/>
        <w:tblW w:w="10348" w:type="dxa"/>
        <w:tblInd w:w="-57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653"/>
        <w:gridCol w:w="1061"/>
        <w:gridCol w:w="1769"/>
        <w:gridCol w:w="2164"/>
        <w:gridCol w:w="1701"/>
      </w:tblGrid>
      <w:tr w:rsidR="002842CC" w:rsidRPr="002C1B2F" w14:paraId="0C14FCE9" w14:textId="77777777" w:rsidTr="004C2BAC">
        <w:trPr>
          <w:trHeight w:val="1232"/>
        </w:trPr>
        <w:tc>
          <w:tcPr>
            <w:tcW w:w="10348" w:type="dxa"/>
            <w:gridSpan w:val="5"/>
            <w:shd w:val="clear" w:color="auto" w:fill="C6D9F1" w:themeFill="text2" w:themeFillTint="33"/>
          </w:tcPr>
          <w:p w14:paraId="7BFD50A2" w14:textId="70B417C5" w:rsidR="002842CC" w:rsidRDefault="002842CC" w:rsidP="00056EF4">
            <w:pPr>
              <w:pStyle w:val="paragraph"/>
              <w:tabs>
                <w:tab w:val="left" w:pos="567"/>
              </w:tabs>
              <w:spacing w:before="0" w:beforeAutospacing="0" w:after="0" w:afterAutospacing="0" w:line="276" w:lineRule="auto"/>
              <w:jc w:val="both"/>
              <w:textAlignment w:val="baseline"/>
              <w:rPr>
                <w:rFonts w:asciiTheme="minorHAnsi" w:hAnsiTheme="minorHAnsi" w:cstheme="minorHAnsi"/>
                <w:b/>
                <w:sz w:val="20"/>
                <w:szCs w:val="20"/>
              </w:rPr>
            </w:pPr>
            <w:r w:rsidRPr="002C1B2F">
              <w:rPr>
                <w:rFonts w:asciiTheme="minorHAnsi" w:hAnsiTheme="minorHAnsi" w:cstheme="minorHAnsi"/>
                <w:b/>
                <w:sz w:val="20"/>
                <w:szCs w:val="20"/>
              </w:rPr>
              <w:t xml:space="preserve">Recommendation </w:t>
            </w:r>
            <w:r>
              <w:rPr>
                <w:rFonts w:asciiTheme="minorHAnsi" w:hAnsiTheme="minorHAnsi" w:cstheme="minorHAnsi"/>
                <w:b/>
                <w:sz w:val="20"/>
                <w:szCs w:val="20"/>
              </w:rPr>
              <w:t>4</w:t>
            </w:r>
            <w:r w:rsidRPr="002C1B2F">
              <w:rPr>
                <w:rFonts w:asciiTheme="minorHAnsi" w:hAnsiTheme="minorHAnsi" w:cstheme="minorHAnsi"/>
                <w:b/>
                <w:sz w:val="20"/>
                <w:szCs w:val="20"/>
              </w:rPr>
              <w:t xml:space="preserve">: </w:t>
            </w:r>
          </w:p>
          <w:p w14:paraId="57E79153" w14:textId="77777777" w:rsidR="002842CC" w:rsidRDefault="0043214A" w:rsidP="00056EF4">
            <w:pPr>
              <w:pStyle w:val="Default"/>
              <w:jc w:val="both"/>
              <w:rPr>
                <w:sz w:val="20"/>
                <w:szCs w:val="20"/>
              </w:rPr>
            </w:pPr>
            <w:r>
              <w:rPr>
                <w:sz w:val="20"/>
                <w:szCs w:val="20"/>
              </w:rPr>
              <w:t>The</w:t>
            </w:r>
            <w:r w:rsidRPr="0060713E">
              <w:rPr>
                <w:sz w:val="20"/>
                <w:szCs w:val="20"/>
              </w:rPr>
              <w:t xml:space="preserve"> table of outcomes-outputs-activities and indicators needs to be updated to reflect the changes that have occurred since project design in 2013-15 and to have outcome indicators that more realistically reflect the impact of the Project’s actions rather than those of project partners.  The MTR Team has made a revised logical framework (in discussion with UND</w:t>
            </w:r>
            <w:r>
              <w:rPr>
                <w:sz w:val="20"/>
                <w:szCs w:val="20"/>
              </w:rPr>
              <w:t>P</w:t>
            </w:r>
            <w:r w:rsidRPr="0060713E">
              <w:rPr>
                <w:sz w:val="20"/>
                <w:szCs w:val="20"/>
              </w:rPr>
              <w:t xml:space="preserve"> CO and Project Team) that is presented in </w:t>
            </w:r>
            <w:r>
              <w:rPr>
                <w:sz w:val="20"/>
                <w:szCs w:val="20"/>
              </w:rPr>
              <w:t>the Mid Term Review Report</w:t>
            </w:r>
            <w:r w:rsidRPr="0060713E">
              <w:rPr>
                <w:sz w:val="20"/>
                <w:szCs w:val="20"/>
              </w:rPr>
              <w:t>. We recommend that this is discussed at the National Steering Committee level and considered for further progress reporting and work planning</w:t>
            </w:r>
            <w:r>
              <w:rPr>
                <w:sz w:val="20"/>
                <w:szCs w:val="20"/>
              </w:rPr>
              <w:t>.</w:t>
            </w:r>
          </w:p>
          <w:p w14:paraId="5F806FA6" w14:textId="77777777" w:rsidR="0085427A" w:rsidRDefault="0085427A" w:rsidP="00056EF4">
            <w:pPr>
              <w:pStyle w:val="Default"/>
              <w:jc w:val="both"/>
              <w:rPr>
                <w:sz w:val="20"/>
                <w:szCs w:val="20"/>
              </w:rPr>
            </w:pPr>
          </w:p>
          <w:p w14:paraId="47481F22" w14:textId="03CFD8E8" w:rsidR="0085427A" w:rsidRDefault="0085427A" w:rsidP="00056EF4">
            <w:pPr>
              <w:pStyle w:val="Default"/>
              <w:jc w:val="both"/>
              <w:rPr>
                <w:sz w:val="20"/>
                <w:szCs w:val="20"/>
              </w:rPr>
            </w:pPr>
            <w:r w:rsidRPr="0060713E">
              <w:rPr>
                <w:sz w:val="20"/>
                <w:szCs w:val="20"/>
              </w:rPr>
              <w:t xml:space="preserve">At the time of </w:t>
            </w:r>
            <w:r w:rsidR="00056EF4" w:rsidRPr="0060713E">
              <w:rPr>
                <w:sz w:val="20"/>
                <w:szCs w:val="20"/>
              </w:rPr>
              <w:t>conceptualization</w:t>
            </w:r>
            <w:r w:rsidRPr="0060713E">
              <w:rPr>
                <w:sz w:val="20"/>
                <w:szCs w:val="20"/>
              </w:rPr>
              <w:t>, the project was not designed to target women and girls specifically. The project should now make a gender strategy and action plan. This should include collecting a wider range of gender disaggregated data to be used for future analysis and planning for the advancement of gender equality and women empowerment. Another suggestion is to have a workshop on gender and climate change to strengthen the agenda of women participating as implementers and beneficiaries of low-carbon projects.</w:t>
            </w:r>
          </w:p>
          <w:p w14:paraId="73FC93F8" w14:textId="77777777" w:rsidR="00D9359F" w:rsidRDefault="00D9359F" w:rsidP="00056EF4">
            <w:pPr>
              <w:pStyle w:val="Default"/>
              <w:jc w:val="both"/>
              <w:rPr>
                <w:sz w:val="20"/>
                <w:szCs w:val="20"/>
              </w:rPr>
            </w:pPr>
          </w:p>
          <w:p w14:paraId="400B49A4" w14:textId="355BD8BA" w:rsidR="00D9359F" w:rsidRPr="002C1B2F" w:rsidRDefault="00D9359F" w:rsidP="00056EF4">
            <w:pPr>
              <w:pStyle w:val="Default"/>
              <w:jc w:val="both"/>
              <w:rPr>
                <w:sz w:val="20"/>
                <w:szCs w:val="20"/>
              </w:rPr>
            </w:pPr>
            <w:r w:rsidRPr="0060713E">
              <w:rPr>
                <w:sz w:val="20"/>
                <w:szCs w:val="20"/>
              </w:rPr>
              <w:t>Although the original Project Document included contracting a Chief Technical Advisor (CTA) for a 3-year period, the CTA) was not contracted until mid-2018 and only for half a year. We noted that the CTA position has allowed making valuable contributions and to be able to follow up and give good guidance on the recommended actions, we propose that the position of CTA is extended at least into 2020.</w:t>
            </w:r>
          </w:p>
        </w:tc>
      </w:tr>
      <w:tr w:rsidR="002842CC" w:rsidRPr="002C1B2F" w14:paraId="15CD0CB7" w14:textId="77777777" w:rsidTr="004C2BAC">
        <w:trPr>
          <w:trHeight w:val="917"/>
        </w:trPr>
        <w:tc>
          <w:tcPr>
            <w:tcW w:w="10348" w:type="dxa"/>
            <w:gridSpan w:val="5"/>
            <w:shd w:val="clear" w:color="auto" w:fill="auto"/>
            <w:vAlign w:val="center"/>
          </w:tcPr>
          <w:p w14:paraId="1C373271" w14:textId="77777777" w:rsidR="002842CC" w:rsidRPr="00743ACA" w:rsidRDefault="002842CC" w:rsidP="00056EF4">
            <w:pPr>
              <w:tabs>
                <w:tab w:val="left" w:pos="1080"/>
              </w:tabs>
              <w:jc w:val="both"/>
              <w:rPr>
                <w:rFonts w:cstheme="minorHAnsi"/>
                <w:b/>
                <w:sz w:val="20"/>
                <w:szCs w:val="20"/>
              </w:rPr>
            </w:pPr>
            <w:r w:rsidRPr="00743ACA">
              <w:rPr>
                <w:rFonts w:cstheme="minorHAnsi"/>
                <w:b/>
                <w:sz w:val="20"/>
                <w:szCs w:val="20"/>
              </w:rPr>
              <w:t xml:space="preserve">Management Response: </w:t>
            </w:r>
          </w:p>
          <w:p w14:paraId="0C96CA95" w14:textId="77777777" w:rsidR="002842CC" w:rsidRDefault="002842CC" w:rsidP="00056EF4">
            <w:pPr>
              <w:autoSpaceDE w:val="0"/>
              <w:autoSpaceDN w:val="0"/>
              <w:adjustRightInd w:val="0"/>
              <w:jc w:val="both"/>
              <w:rPr>
                <w:rFonts w:cstheme="minorHAnsi"/>
                <w:sz w:val="20"/>
                <w:szCs w:val="20"/>
              </w:rPr>
            </w:pPr>
          </w:p>
          <w:p w14:paraId="0FE66C15" w14:textId="58C85FCB" w:rsidR="002842CC" w:rsidRPr="002C1B2F" w:rsidRDefault="00B34A75" w:rsidP="00056EF4">
            <w:pPr>
              <w:autoSpaceDE w:val="0"/>
              <w:autoSpaceDN w:val="0"/>
              <w:adjustRightInd w:val="0"/>
              <w:jc w:val="both"/>
              <w:rPr>
                <w:rFonts w:cstheme="minorHAnsi"/>
                <w:sz w:val="20"/>
                <w:szCs w:val="20"/>
              </w:rPr>
            </w:pPr>
            <w:r>
              <w:rPr>
                <w:sz w:val="20"/>
                <w:szCs w:val="20"/>
              </w:rPr>
              <w:t>Management agrees with the recommendations for project implementation and adaptive management. Following the preliminary recommendation from the MTR reviewers that the project logical framework should be revised, UNDP, MESTECC, SEDA and the project team has developed an updated version of the logical framework which has been incorporated into the final version of the MTR report, and subsequently discussed and adopted at the technical working committee and national steering committee levels.</w:t>
            </w:r>
          </w:p>
        </w:tc>
      </w:tr>
      <w:tr w:rsidR="002842CC" w:rsidRPr="002C1B2F" w14:paraId="1C9B775F" w14:textId="77777777" w:rsidTr="004C2BAC">
        <w:trPr>
          <w:trHeight w:val="361"/>
        </w:trPr>
        <w:tc>
          <w:tcPr>
            <w:tcW w:w="3653" w:type="dxa"/>
            <w:vMerge w:val="restart"/>
            <w:shd w:val="clear" w:color="auto" w:fill="C6D9F1" w:themeFill="text2" w:themeFillTint="33"/>
            <w:vAlign w:val="center"/>
          </w:tcPr>
          <w:p w14:paraId="766D8CF6" w14:textId="77777777" w:rsidR="002842CC" w:rsidRPr="002C1B2F" w:rsidRDefault="002842CC" w:rsidP="00056EF4">
            <w:pPr>
              <w:autoSpaceDE w:val="0"/>
              <w:autoSpaceDN w:val="0"/>
              <w:adjustRightInd w:val="0"/>
              <w:jc w:val="both"/>
              <w:rPr>
                <w:rFonts w:cstheme="minorHAnsi"/>
                <w:sz w:val="20"/>
                <w:szCs w:val="20"/>
              </w:rPr>
            </w:pPr>
            <w:r w:rsidRPr="002C1B2F">
              <w:rPr>
                <w:rFonts w:cstheme="minorHAnsi"/>
                <w:b/>
                <w:bCs/>
                <w:sz w:val="20"/>
                <w:szCs w:val="20"/>
              </w:rPr>
              <w:t>Key action(s)</w:t>
            </w:r>
          </w:p>
        </w:tc>
        <w:tc>
          <w:tcPr>
            <w:tcW w:w="1061" w:type="dxa"/>
            <w:vMerge w:val="restart"/>
            <w:shd w:val="clear" w:color="auto" w:fill="C6D9F1" w:themeFill="text2" w:themeFillTint="33"/>
            <w:vAlign w:val="center"/>
          </w:tcPr>
          <w:p w14:paraId="63C5BA51" w14:textId="77777777" w:rsidR="002842CC" w:rsidRPr="002C1B2F" w:rsidRDefault="002842CC" w:rsidP="00056EF4">
            <w:pPr>
              <w:autoSpaceDE w:val="0"/>
              <w:autoSpaceDN w:val="0"/>
              <w:adjustRightInd w:val="0"/>
              <w:jc w:val="both"/>
              <w:rPr>
                <w:rFonts w:cstheme="minorHAnsi"/>
                <w:sz w:val="20"/>
                <w:szCs w:val="20"/>
              </w:rPr>
            </w:pPr>
            <w:r w:rsidRPr="002C1B2F">
              <w:rPr>
                <w:rFonts w:cstheme="minorHAnsi"/>
                <w:b/>
                <w:bCs/>
                <w:sz w:val="20"/>
                <w:szCs w:val="20"/>
              </w:rPr>
              <w:t>Time frame</w:t>
            </w:r>
          </w:p>
        </w:tc>
        <w:tc>
          <w:tcPr>
            <w:tcW w:w="1769" w:type="dxa"/>
            <w:vMerge w:val="restart"/>
            <w:shd w:val="clear" w:color="auto" w:fill="C6D9F1" w:themeFill="text2" w:themeFillTint="33"/>
            <w:vAlign w:val="center"/>
          </w:tcPr>
          <w:p w14:paraId="3389A67E" w14:textId="77777777" w:rsidR="002842CC" w:rsidRPr="002C1B2F" w:rsidRDefault="002842CC" w:rsidP="00056EF4">
            <w:pPr>
              <w:autoSpaceDE w:val="0"/>
              <w:autoSpaceDN w:val="0"/>
              <w:adjustRightInd w:val="0"/>
              <w:jc w:val="both"/>
              <w:rPr>
                <w:rFonts w:cstheme="minorHAnsi"/>
                <w:sz w:val="20"/>
                <w:szCs w:val="20"/>
              </w:rPr>
            </w:pPr>
            <w:r w:rsidRPr="002C1B2F">
              <w:rPr>
                <w:rFonts w:cstheme="minorHAnsi"/>
                <w:b/>
                <w:bCs/>
                <w:sz w:val="20"/>
                <w:szCs w:val="20"/>
              </w:rPr>
              <w:t>Responsible unit(s)</w:t>
            </w:r>
          </w:p>
        </w:tc>
        <w:tc>
          <w:tcPr>
            <w:tcW w:w="3865" w:type="dxa"/>
            <w:gridSpan w:val="2"/>
            <w:shd w:val="clear" w:color="auto" w:fill="C6D9F1" w:themeFill="text2" w:themeFillTint="33"/>
            <w:vAlign w:val="center"/>
          </w:tcPr>
          <w:p w14:paraId="42C50D49" w14:textId="77777777" w:rsidR="002842CC" w:rsidRPr="002C1B2F" w:rsidRDefault="002842CC" w:rsidP="00056EF4">
            <w:pPr>
              <w:autoSpaceDE w:val="0"/>
              <w:autoSpaceDN w:val="0"/>
              <w:adjustRightInd w:val="0"/>
              <w:jc w:val="both"/>
              <w:rPr>
                <w:rFonts w:cstheme="minorHAnsi"/>
                <w:b/>
                <w:bCs/>
                <w:sz w:val="20"/>
                <w:szCs w:val="20"/>
              </w:rPr>
            </w:pPr>
            <w:r w:rsidRPr="002C1B2F">
              <w:rPr>
                <w:rFonts w:cstheme="minorHAnsi"/>
                <w:b/>
                <w:bCs/>
                <w:sz w:val="20"/>
                <w:szCs w:val="20"/>
              </w:rPr>
              <w:t>Tracking</w:t>
            </w:r>
          </w:p>
        </w:tc>
      </w:tr>
      <w:tr w:rsidR="002842CC" w:rsidRPr="002C1B2F" w14:paraId="73918384" w14:textId="77777777" w:rsidTr="004C2BAC">
        <w:trPr>
          <w:trHeight w:val="242"/>
        </w:trPr>
        <w:tc>
          <w:tcPr>
            <w:tcW w:w="3653" w:type="dxa"/>
            <w:vMerge/>
            <w:shd w:val="clear" w:color="auto" w:fill="C6D9F1" w:themeFill="text2" w:themeFillTint="33"/>
            <w:vAlign w:val="center"/>
          </w:tcPr>
          <w:p w14:paraId="133F46CA" w14:textId="77777777" w:rsidR="002842CC" w:rsidRPr="002C1B2F" w:rsidRDefault="002842CC" w:rsidP="00056EF4">
            <w:pPr>
              <w:autoSpaceDE w:val="0"/>
              <w:autoSpaceDN w:val="0"/>
              <w:adjustRightInd w:val="0"/>
              <w:jc w:val="both"/>
              <w:rPr>
                <w:rFonts w:cstheme="minorHAnsi"/>
                <w:sz w:val="20"/>
                <w:szCs w:val="20"/>
              </w:rPr>
            </w:pPr>
          </w:p>
        </w:tc>
        <w:tc>
          <w:tcPr>
            <w:tcW w:w="1061" w:type="dxa"/>
            <w:vMerge/>
            <w:shd w:val="clear" w:color="auto" w:fill="C6D9F1" w:themeFill="text2" w:themeFillTint="33"/>
            <w:vAlign w:val="center"/>
          </w:tcPr>
          <w:p w14:paraId="7D8B6D99" w14:textId="77777777" w:rsidR="002842CC" w:rsidRPr="002C1B2F" w:rsidRDefault="002842CC" w:rsidP="00056EF4">
            <w:pPr>
              <w:autoSpaceDE w:val="0"/>
              <w:autoSpaceDN w:val="0"/>
              <w:adjustRightInd w:val="0"/>
              <w:jc w:val="both"/>
              <w:rPr>
                <w:rFonts w:cstheme="minorHAnsi"/>
                <w:sz w:val="20"/>
                <w:szCs w:val="20"/>
              </w:rPr>
            </w:pPr>
          </w:p>
        </w:tc>
        <w:tc>
          <w:tcPr>
            <w:tcW w:w="1769" w:type="dxa"/>
            <w:vMerge/>
            <w:shd w:val="clear" w:color="auto" w:fill="C6D9F1" w:themeFill="text2" w:themeFillTint="33"/>
            <w:vAlign w:val="center"/>
          </w:tcPr>
          <w:p w14:paraId="68F88BF4" w14:textId="77777777" w:rsidR="002842CC" w:rsidRPr="002C1B2F" w:rsidRDefault="002842CC" w:rsidP="00056EF4">
            <w:pPr>
              <w:autoSpaceDE w:val="0"/>
              <w:autoSpaceDN w:val="0"/>
              <w:adjustRightInd w:val="0"/>
              <w:jc w:val="both"/>
              <w:rPr>
                <w:rFonts w:cstheme="minorHAnsi"/>
                <w:sz w:val="20"/>
                <w:szCs w:val="20"/>
              </w:rPr>
            </w:pPr>
          </w:p>
        </w:tc>
        <w:tc>
          <w:tcPr>
            <w:tcW w:w="2164" w:type="dxa"/>
            <w:shd w:val="clear" w:color="auto" w:fill="C6D9F1" w:themeFill="text2" w:themeFillTint="33"/>
            <w:vAlign w:val="center"/>
          </w:tcPr>
          <w:p w14:paraId="221DF5C5" w14:textId="77777777" w:rsidR="002842CC" w:rsidRPr="002C1B2F" w:rsidRDefault="002842CC" w:rsidP="00056EF4">
            <w:pPr>
              <w:autoSpaceDE w:val="0"/>
              <w:autoSpaceDN w:val="0"/>
              <w:adjustRightInd w:val="0"/>
              <w:jc w:val="both"/>
              <w:rPr>
                <w:rFonts w:cstheme="minorHAnsi"/>
                <w:b/>
                <w:bCs/>
                <w:sz w:val="20"/>
                <w:szCs w:val="20"/>
              </w:rPr>
            </w:pPr>
            <w:r w:rsidRPr="002C1B2F">
              <w:rPr>
                <w:rFonts w:cstheme="minorHAnsi"/>
                <w:b/>
                <w:bCs/>
                <w:sz w:val="20"/>
                <w:szCs w:val="20"/>
              </w:rPr>
              <w:t>Comments</w:t>
            </w:r>
          </w:p>
        </w:tc>
        <w:tc>
          <w:tcPr>
            <w:tcW w:w="1701" w:type="dxa"/>
            <w:shd w:val="clear" w:color="auto" w:fill="C6D9F1" w:themeFill="text2" w:themeFillTint="33"/>
            <w:vAlign w:val="center"/>
          </w:tcPr>
          <w:p w14:paraId="726A5025" w14:textId="77777777" w:rsidR="002842CC" w:rsidRPr="002C1B2F" w:rsidRDefault="002842CC" w:rsidP="00056EF4">
            <w:pPr>
              <w:autoSpaceDE w:val="0"/>
              <w:autoSpaceDN w:val="0"/>
              <w:adjustRightInd w:val="0"/>
              <w:jc w:val="both"/>
              <w:rPr>
                <w:rFonts w:cstheme="minorHAnsi"/>
                <w:b/>
                <w:bCs/>
                <w:sz w:val="20"/>
                <w:szCs w:val="20"/>
              </w:rPr>
            </w:pPr>
            <w:r w:rsidRPr="002C1B2F">
              <w:rPr>
                <w:rFonts w:cstheme="minorHAnsi"/>
                <w:b/>
                <w:bCs/>
                <w:sz w:val="20"/>
                <w:szCs w:val="20"/>
              </w:rPr>
              <w:t>Status</w:t>
            </w:r>
          </w:p>
        </w:tc>
      </w:tr>
      <w:tr w:rsidR="002842CC" w:rsidRPr="002C1B2F" w14:paraId="5D2D5ED6" w14:textId="77777777" w:rsidTr="004C2BAC">
        <w:trPr>
          <w:trHeight w:val="361"/>
        </w:trPr>
        <w:tc>
          <w:tcPr>
            <w:tcW w:w="3653" w:type="dxa"/>
          </w:tcPr>
          <w:p w14:paraId="306F4455" w14:textId="6A6DE6C7" w:rsidR="002842CC" w:rsidRPr="003765A7" w:rsidRDefault="00B34A75" w:rsidP="00056EF4">
            <w:pPr>
              <w:jc w:val="both"/>
              <w:rPr>
                <w:rFonts w:cstheme="minorHAnsi"/>
                <w:bCs/>
                <w:sz w:val="20"/>
                <w:szCs w:val="20"/>
              </w:rPr>
            </w:pPr>
            <w:r>
              <w:rPr>
                <w:rFonts w:cstheme="minorHAnsi"/>
                <w:bCs/>
                <w:sz w:val="20"/>
                <w:szCs w:val="20"/>
              </w:rPr>
              <w:t>4.1</w:t>
            </w:r>
            <w:r w:rsidR="00E5247F">
              <w:rPr>
                <w:rFonts w:cstheme="minorHAnsi"/>
                <w:bCs/>
                <w:sz w:val="20"/>
                <w:szCs w:val="20"/>
              </w:rPr>
              <w:t xml:space="preserve"> </w:t>
            </w:r>
            <w:r w:rsidR="00E5247F" w:rsidRPr="00E5247F">
              <w:rPr>
                <w:rFonts w:cstheme="minorHAnsi"/>
                <w:bCs/>
                <w:sz w:val="20"/>
                <w:szCs w:val="20"/>
              </w:rPr>
              <w:t xml:space="preserve">To revise project </w:t>
            </w:r>
            <w:proofErr w:type="spellStart"/>
            <w:r w:rsidR="00E5247F" w:rsidRPr="00E5247F">
              <w:rPr>
                <w:rFonts w:cstheme="minorHAnsi"/>
                <w:bCs/>
                <w:sz w:val="20"/>
                <w:szCs w:val="20"/>
              </w:rPr>
              <w:t>logframe</w:t>
            </w:r>
            <w:proofErr w:type="spellEnd"/>
            <w:r w:rsidR="00E5247F" w:rsidRPr="00E5247F">
              <w:rPr>
                <w:rFonts w:cstheme="minorHAnsi"/>
                <w:bCs/>
                <w:sz w:val="20"/>
                <w:szCs w:val="20"/>
              </w:rPr>
              <w:t xml:space="preserve"> and have it discussed at National Steering Committee level</w:t>
            </w:r>
          </w:p>
        </w:tc>
        <w:tc>
          <w:tcPr>
            <w:tcW w:w="1061" w:type="dxa"/>
            <w:vAlign w:val="center"/>
          </w:tcPr>
          <w:p w14:paraId="379D4194" w14:textId="62A22035" w:rsidR="002842CC" w:rsidRPr="002C1B2F" w:rsidRDefault="00642FF9" w:rsidP="00056EF4">
            <w:pPr>
              <w:jc w:val="both"/>
              <w:rPr>
                <w:rFonts w:cstheme="minorHAnsi"/>
                <w:sz w:val="20"/>
                <w:szCs w:val="20"/>
              </w:rPr>
            </w:pPr>
            <w:r>
              <w:rPr>
                <w:rFonts w:cstheme="minorHAnsi"/>
                <w:sz w:val="20"/>
                <w:szCs w:val="20"/>
              </w:rPr>
              <w:t>December 2019</w:t>
            </w:r>
          </w:p>
        </w:tc>
        <w:tc>
          <w:tcPr>
            <w:tcW w:w="1769" w:type="dxa"/>
            <w:vAlign w:val="center"/>
          </w:tcPr>
          <w:p w14:paraId="26E9964C" w14:textId="3F56CADE" w:rsidR="002842CC" w:rsidRPr="002C1B2F" w:rsidRDefault="00642FF9" w:rsidP="00056EF4">
            <w:pPr>
              <w:autoSpaceDE w:val="0"/>
              <w:autoSpaceDN w:val="0"/>
              <w:adjustRightInd w:val="0"/>
              <w:jc w:val="both"/>
              <w:rPr>
                <w:rFonts w:cstheme="minorHAnsi"/>
                <w:sz w:val="20"/>
                <w:szCs w:val="20"/>
              </w:rPr>
            </w:pPr>
            <w:r>
              <w:rPr>
                <w:rFonts w:cstheme="minorHAnsi"/>
                <w:sz w:val="20"/>
                <w:szCs w:val="20"/>
              </w:rPr>
              <w:t xml:space="preserve">Project team, </w:t>
            </w:r>
            <w:r w:rsidR="009E3C1F">
              <w:rPr>
                <w:rFonts w:cstheme="minorHAnsi"/>
                <w:sz w:val="20"/>
                <w:szCs w:val="20"/>
              </w:rPr>
              <w:t>MESTECC,</w:t>
            </w:r>
            <w:r>
              <w:rPr>
                <w:rFonts w:cstheme="minorHAnsi"/>
                <w:sz w:val="20"/>
                <w:szCs w:val="20"/>
              </w:rPr>
              <w:t xml:space="preserve"> UNDP</w:t>
            </w:r>
          </w:p>
        </w:tc>
        <w:tc>
          <w:tcPr>
            <w:tcW w:w="2164" w:type="dxa"/>
            <w:vAlign w:val="center"/>
          </w:tcPr>
          <w:p w14:paraId="71E93874" w14:textId="7DFBEDBE" w:rsidR="002842CC" w:rsidRPr="002C1B2F" w:rsidRDefault="00E5247F" w:rsidP="00056EF4">
            <w:pPr>
              <w:autoSpaceDE w:val="0"/>
              <w:autoSpaceDN w:val="0"/>
              <w:adjustRightInd w:val="0"/>
              <w:jc w:val="both"/>
              <w:rPr>
                <w:rFonts w:cstheme="minorHAnsi"/>
                <w:sz w:val="20"/>
                <w:szCs w:val="20"/>
              </w:rPr>
            </w:pPr>
            <w:r w:rsidRPr="00E5247F">
              <w:rPr>
                <w:rFonts w:cstheme="minorHAnsi"/>
                <w:sz w:val="20"/>
                <w:szCs w:val="20"/>
              </w:rPr>
              <w:t xml:space="preserve">The revised project </w:t>
            </w:r>
            <w:proofErr w:type="spellStart"/>
            <w:r w:rsidRPr="00E5247F">
              <w:rPr>
                <w:rFonts w:cstheme="minorHAnsi"/>
                <w:sz w:val="20"/>
                <w:szCs w:val="20"/>
              </w:rPr>
              <w:t>logframe</w:t>
            </w:r>
            <w:proofErr w:type="spellEnd"/>
            <w:r w:rsidRPr="00E5247F">
              <w:rPr>
                <w:rFonts w:cstheme="minorHAnsi"/>
                <w:sz w:val="20"/>
                <w:szCs w:val="20"/>
              </w:rPr>
              <w:t xml:space="preserve">, which has been included into the MTR report, has been discussed and approved at the Project Technical Working Committee and National Steering Committee levels. The revised </w:t>
            </w:r>
            <w:proofErr w:type="spellStart"/>
            <w:r w:rsidRPr="00E5247F">
              <w:rPr>
                <w:rFonts w:cstheme="minorHAnsi"/>
                <w:sz w:val="20"/>
                <w:szCs w:val="20"/>
              </w:rPr>
              <w:t>logframe</w:t>
            </w:r>
            <w:proofErr w:type="spellEnd"/>
            <w:r w:rsidRPr="00E5247F">
              <w:rPr>
                <w:rFonts w:cstheme="minorHAnsi"/>
                <w:sz w:val="20"/>
                <w:szCs w:val="20"/>
              </w:rPr>
              <w:t xml:space="preserve"> has been used in the Progress Implementation Review (PIR) 2019 reporting and in the regular UNDP Country Office progress reporting for 2019</w:t>
            </w:r>
            <w:r>
              <w:rPr>
                <w:rFonts w:cstheme="minorHAnsi"/>
                <w:sz w:val="20"/>
                <w:szCs w:val="20"/>
              </w:rPr>
              <w:t>.</w:t>
            </w:r>
          </w:p>
        </w:tc>
        <w:tc>
          <w:tcPr>
            <w:tcW w:w="1701" w:type="dxa"/>
            <w:vAlign w:val="center"/>
          </w:tcPr>
          <w:p w14:paraId="1B27B3E7" w14:textId="72800C79" w:rsidR="002842CC" w:rsidRPr="002C1B2F" w:rsidRDefault="00E5247F" w:rsidP="00056EF4">
            <w:pPr>
              <w:autoSpaceDE w:val="0"/>
              <w:autoSpaceDN w:val="0"/>
              <w:adjustRightInd w:val="0"/>
              <w:jc w:val="both"/>
              <w:rPr>
                <w:rFonts w:cstheme="minorHAnsi"/>
                <w:sz w:val="20"/>
                <w:szCs w:val="20"/>
              </w:rPr>
            </w:pPr>
            <w:r>
              <w:rPr>
                <w:rFonts w:cstheme="minorHAnsi"/>
                <w:sz w:val="20"/>
                <w:szCs w:val="20"/>
              </w:rPr>
              <w:t>Completed</w:t>
            </w:r>
          </w:p>
        </w:tc>
      </w:tr>
      <w:tr w:rsidR="00B34A75" w:rsidRPr="002C1B2F" w14:paraId="114EB15C" w14:textId="77777777" w:rsidTr="004C2BAC">
        <w:trPr>
          <w:trHeight w:val="361"/>
        </w:trPr>
        <w:tc>
          <w:tcPr>
            <w:tcW w:w="3653" w:type="dxa"/>
          </w:tcPr>
          <w:p w14:paraId="5B1C36C7" w14:textId="43F1F322" w:rsidR="00B34A75" w:rsidRDefault="00B34A75" w:rsidP="00056EF4">
            <w:pPr>
              <w:jc w:val="both"/>
              <w:rPr>
                <w:rFonts w:cstheme="minorHAnsi"/>
                <w:bCs/>
                <w:sz w:val="20"/>
                <w:szCs w:val="20"/>
              </w:rPr>
            </w:pPr>
            <w:r>
              <w:rPr>
                <w:rFonts w:cstheme="minorHAnsi"/>
                <w:bCs/>
                <w:sz w:val="20"/>
                <w:szCs w:val="20"/>
              </w:rPr>
              <w:t>4.2</w:t>
            </w:r>
            <w:r w:rsidR="00E5247F">
              <w:rPr>
                <w:rFonts w:cstheme="minorHAnsi"/>
                <w:bCs/>
                <w:sz w:val="20"/>
                <w:szCs w:val="20"/>
              </w:rPr>
              <w:t xml:space="preserve"> </w:t>
            </w:r>
            <w:r w:rsidR="00E5247F" w:rsidRPr="00E5247F">
              <w:rPr>
                <w:rFonts w:cstheme="minorHAnsi"/>
                <w:bCs/>
                <w:sz w:val="20"/>
                <w:szCs w:val="20"/>
              </w:rPr>
              <w:t xml:space="preserve">To consider strengthening gender dimensions of project </w:t>
            </w:r>
          </w:p>
        </w:tc>
        <w:tc>
          <w:tcPr>
            <w:tcW w:w="1061" w:type="dxa"/>
            <w:vAlign w:val="center"/>
          </w:tcPr>
          <w:p w14:paraId="646E65C7" w14:textId="76CD21D2" w:rsidR="00B34A75" w:rsidRDefault="000A2A58" w:rsidP="00056EF4">
            <w:pPr>
              <w:jc w:val="both"/>
              <w:rPr>
                <w:rFonts w:cstheme="minorHAnsi"/>
                <w:sz w:val="20"/>
                <w:szCs w:val="20"/>
              </w:rPr>
            </w:pPr>
            <w:r>
              <w:rPr>
                <w:rFonts w:cstheme="minorHAnsi"/>
                <w:sz w:val="20"/>
                <w:szCs w:val="20"/>
              </w:rPr>
              <w:t>December 2020</w:t>
            </w:r>
          </w:p>
        </w:tc>
        <w:tc>
          <w:tcPr>
            <w:tcW w:w="1769" w:type="dxa"/>
            <w:vAlign w:val="center"/>
          </w:tcPr>
          <w:p w14:paraId="7A437C4D" w14:textId="7FB16EE0" w:rsidR="00B34A75" w:rsidRDefault="00642FF9" w:rsidP="00056EF4">
            <w:pPr>
              <w:autoSpaceDE w:val="0"/>
              <w:autoSpaceDN w:val="0"/>
              <w:adjustRightInd w:val="0"/>
              <w:jc w:val="both"/>
              <w:rPr>
                <w:rFonts w:cstheme="minorHAnsi"/>
                <w:sz w:val="20"/>
                <w:szCs w:val="20"/>
              </w:rPr>
            </w:pPr>
            <w:r>
              <w:rPr>
                <w:rFonts w:cstheme="minorHAnsi"/>
                <w:sz w:val="20"/>
                <w:szCs w:val="20"/>
              </w:rPr>
              <w:t>Project team</w:t>
            </w:r>
          </w:p>
        </w:tc>
        <w:tc>
          <w:tcPr>
            <w:tcW w:w="2164" w:type="dxa"/>
            <w:vAlign w:val="center"/>
          </w:tcPr>
          <w:p w14:paraId="0A047D3A" w14:textId="31206C92" w:rsidR="00B34A75" w:rsidRPr="00262D61" w:rsidRDefault="002460B4" w:rsidP="00056EF4">
            <w:pPr>
              <w:autoSpaceDE w:val="0"/>
              <w:autoSpaceDN w:val="0"/>
              <w:adjustRightInd w:val="0"/>
              <w:jc w:val="both"/>
              <w:rPr>
                <w:rFonts w:cstheme="minorHAnsi"/>
                <w:sz w:val="20"/>
                <w:szCs w:val="20"/>
              </w:rPr>
            </w:pPr>
            <w:r w:rsidRPr="002460B4">
              <w:rPr>
                <w:rFonts w:cstheme="minorHAnsi"/>
                <w:sz w:val="20"/>
                <w:szCs w:val="20"/>
              </w:rPr>
              <w:t>Project to strengthen gender considerations</w:t>
            </w:r>
            <w:r>
              <w:rPr>
                <w:rFonts w:cstheme="minorHAnsi"/>
                <w:sz w:val="20"/>
                <w:szCs w:val="20"/>
              </w:rPr>
              <w:t xml:space="preserve"> by assisting in developing gender disaggregated data and organizing a workshop on gender and climate change</w:t>
            </w:r>
          </w:p>
        </w:tc>
        <w:tc>
          <w:tcPr>
            <w:tcW w:w="1701" w:type="dxa"/>
            <w:vAlign w:val="center"/>
          </w:tcPr>
          <w:p w14:paraId="6944D93C" w14:textId="05CF0A8E" w:rsidR="00B34A75" w:rsidRDefault="002460B4" w:rsidP="00056EF4">
            <w:pPr>
              <w:autoSpaceDE w:val="0"/>
              <w:autoSpaceDN w:val="0"/>
              <w:adjustRightInd w:val="0"/>
              <w:jc w:val="both"/>
              <w:rPr>
                <w:rFonts w:cstheme="minorHAnsi"/>
                <w:sz w:val="20"/>
                <w:szCs w:val="20"/>
              </w:rPr>
            </w:pPr>
            <w:r>
              <w:rPr>
                <w:rFonts w:cstheme="minorHAnsi"/>
                <w:sz w:val="20"/>
                <w:szCs w:val="20"/>
              </w:rPr>
              <w:t>In progress</w:t>
            </w:r>
          </w:p>
        </w:tc>
      </w:tr>
      <w:tr w:rsidR="00B34A75" w:rsidRPr="002C1B2F" w14:paraId="3A1C726F" w14:textId="77777777" w:rsidTr="004C2BAC">
        <w:trPr>
          <w:trHeight w:val="361"/>
        </w:trPr>
        <w:tc>
          <w:tcPr>
            <w:tcW w:w="3653" w:type="dxa"/>
          </w:tcPr>
          <w:p w14:paraId="72FD99C3" w14:textId="1EC3AA1E" w:rsidR="00B34A75" w:rsidRDefault="00B34A75" w:rsidP="00056EF4">
            <w:pPr>
              <w:jc w:val="both"/>
              <w:rPr>
                <w:rFonts w:cstheme="minorHAnsi"/>
                <w:bCs/>
                <w:sz w:val="20"/>
                <w:szCs w:val="20"/>
              </w:rPr>
            </w:pPr>
            <w:r>
              <w:rPr>
                <w:rFonts w:cstheme="minorHAnsi"/>
                <w:bCs/>
                <w:sz w:val="20"/>
                <w:szCs w:val="20"/>
              </w:rPr>
              <w:t>4.3</w:t>
            </w:r>
            <w:r w:rsidR="002460B4">
              <w:rPr>
                <w:rFonts w:cstheme="minorHAnsi"/>
                <w:bCs/>
                <w:sz w:val="20"/>
                <w:szCs w:val="20"/>
              </w:rPr>
              <w:t xml:space="preserve"> To extend the Chief Technical Advisor position</w:t>
            </w:r>
          </w:p>
        </w:tc>
        <w:tc>
          <w:tcPr>
            <w:tcW w:w="1061" w:type="dxa"/>
            <w:vAlign w:val="center"/>
          </w:tcPr>
          <w:p w14:paraId="0600CB46" w14:textId="22CF45F8" w:rsidR="00B34A75" w:rsidRDefault="00E56321" w:rsidP="00056EF4">
            <w:pPr>
              <w:jc w:val="both"/>
              <w:rPr>
                <w:rFonts w:cstheme="minorHAnsi"/>
                <w:sz w:val="20"/>
                <w:szCs w:val="20"/>
              </w:rPr>
            </w:pPr>
            <w:r>
              <w:rPr>
                <w:rFonts w:cstheme="minorHAnsi"/>
                <w:sz w:val="20"/>
                <w:szCs w:val="20"/>
              </w:rPr>
              <w:t>June 2020</w:t>
            </w:r>
          </w:p>
        </w:tc>
        <w:tc>
          <w:tcPr>
            <w:tcW w:w="1769" w:type="dxa"/>
            <w:vAlign w:val="center"/>
          </w:tcPr>
          <w:p w14:paraId="6782F29A" w14:textId="6D58D8B3" w:rsidR="00B34A75" w:rsidRDefault="00642FF9" w:rsidP="00056EF4">
            <w:pPr>
              <w:autoSpaceDE w:val="0"/>
              <w:autoSpaceDN w:val="0"/>
              <w:adjustRightInd w:val="0"/>
              <w:jc w:val="both"/>
              <w:rPr>
                <w:rFonts w:cstheme="minorHAnsi"/>
                <w:sz w:val="20"/>
                <w:szCs w:val="20"/>
              </w:rPr>
            </w:pPr>
            <w:r>
              <w:rPr>
                <w:rFonts w:cstheme="minorHAnsi"/>
                <w:sz w:val="20"/>
                <w:szCs w:val="20"/>
              </w:rPr>
              <w:t xml:space="preserve">Project team, </w:t>
            </w:r>
            <w:r w:rsidR="009E3C1F">
              <w:rPr>
                <w:rFonts w:cstheme="minorHAnsi"/>
                <w:sz w:val="20"/>
                <w:szCs w:val="20"/>
              </w:rPr>
              <w:t>MESTECC</w:t>
            </w:r>
            <w:r>
              <w:rPr>
                <w:rFonts w:cstheme="minorHAnsi"/>
                <w:sz w:val="20"/>
                <w:szCs w:val="20"/>
              </w:rPr>
              <w:t>, UNDP</w:t>
            </w:r>
          </w:p>
        </w:tc>
        <w:tc>
          <w:tcPr>
            <w:tcW w:w="2164" w:type="dxa"/>
            <w:vAlign w:val="center"/>
          </w:tcPr>
          <w:p w14:paraId="25A1E44D" w14:textId="09273EE8" w:rsidR="00B34A75" w:rsidRPr="00262D61" w:rsidRDefault="00642FF9" w:rsidP="00056EF4">
            <w:pPr>
              <w:autoSpaceDE w:val="0"/>
              <w:autoSpaceDN w:val="0"/>
              <w:adjustRightInd w:val="0"/>
              <w:jc w:val="both"/>
              <w:rPr>
                <w:rFonts w:cstheme="minorHAnsi"/>
                <w:sz w:val="20"/>
                <w:szCs w:val="20"/>
              </w:rPr>
            </w:pPr>
            <w:r w:rsidRPr="00642FF9">
              <w:rPr>
                <w:rFonts w:cstheme="minorHAnsi"/>
                <w:sz w:val="20"/>
                <w:szCs w:val="20"/>
              </w:rPr>
              <w:t xml:space="preserve">The CTA position has been extended for another 6 months following the recommendations of the MTR reviewers until </w:t>
            </w:r>
            <w:r>
              <w:rPr>
                <w:rFonts w:cstheme="minorHAnsi"/>
                <w:sz w:val="20"/>
                <w:szCs w:val="20"/>
              </w:rPr>
              <w:t>December 2019, upon discussion with the project implementing partner.</w:t>
            </w:r>
          </w:p>
        </w:tc>
        <w:tc>
          <w:tcPr>
            <w:tcW w:w="1701" w:type="dxa"/>
            <w:vAlign w:val="center"/>
          </w:tcPr>
          <w:p w14:paraId="4EC01618" w14:textId="101FB915" w:rsidR="00B34A75" w:rsidRDefault="00642FF9" w:rsidP="00056EF4">
            <w:pPr>
              <w:autoSpaceDE w:val="0"/>
              <w:autoSpaceDN w:val="0"/>
              <w:adjustRightInd w:val="0"/>
              <w:jc w:val="both"/>
              <w:rPr>
                <w:rFonts w:cstheme="minorHAnsi"/>
                <w:sz w:val="20"/>
                <w:szCs w:val="20"/>
              </w:rPr>
            </w:pPr>
            <w:r>
              <w:rPr>
                <w:rFonts w:cstheme="minorHAnsi"/>
                <w:sz w:val="20"/>
                <w:szCs w:val="20"/>
              </w:rPr>
              <w:t>Completed</w:t>
            </w:r>
          </w:p>
        </w:tc>
      </w:tr>
    </w:tbl>
    <w:p w14:paraId="5BE50C94" w14:textId="77777777" w:rsidR="00752CB1" w:rsidRPr="002C1B2F" w:rsidRDefault="00752CB1" w:rsidP="00056EF4">
      <w:pPr>
        <w:jc w:val="both"/>
        <w:rPr>
          <w:rFonts w:cstheme="minorHAnsi"/>
          <w:sz w:val="20"/>
          <w:szCs w:val="20"/>
        </w:rPr>
      </w:pPr>
    </w:p>
    <w:sectPr w:rsidR="00752CB1" w:rsidRPr="002C1B2F" w:rsidSect="00582C2F">
      <w:headerReference w:type="default"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A5E4" w14:textId="77777777" w:rsidR="00525CA4" w:rsidRDefault="00525CA4" w:rsidP="00054A25">
      <w:pPr>
        <w:spacing w:after="0" w:line="240" w:lineRule="auto"/>
      </w:pPr>
      <w:r>
        <w:separator/>
      </w:r>
    </w:p>
  </w:endnote>
  <w:endnote w:type="continuationSeparator" w:id="0">
    <w:p w14:paraId="5F033CD3" w14:textId="77777777" w:rsidR="00525CA4" w:rsidRDefault="00525CA4" w:rsidP="00054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674431"/>
      <w:docPartObj>
        <w:docPartGallery w:val="Page Numbers (Bottom of Page)"/>
        <w:docPartUnique/>
      </w:docPartObj>
    </w:sdtPr>
    <w:sdtEndPr>
      <w:rPr>
        <w:color w:val="808080" w:themeColor="background1" w:themeShade="80"/>
        <w:spacing w:val="60"/>
      </w:rPr>
    </w:sdtEndPr>
    <w:sdtContent>
      <w:p w14:paraId="008F3508" w14:textId="77777777" w:rsidR="0071206D" w:rsidRDefault="007120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FC5A5A">
          <w:rPr>
            <w:noProof/>
          </w:rPr>
          <w:t>1</w:t>
        </w:r>
        <w:r>
          <w:rPr>
            <w:noProof/>
          </w:rPr>
          <w:fldChar w:fldCharType="end"/>
        </w:r>
        <w:r>
          <w:t xml:space="preserve"> | </w:t>
        </w:r>
        <w:r>
          <w:rPr>
            <w:color w:val="808080" w:themeColor="background1" w:themeShade="80"/>
            <w:spacing w:val="60"/>
          </w:rPr>
          <w:t>Page</w:t>
        </w:r>
      </w:p>
    </w:sdtContent>
  </w:sdt>
  <w:p w14:paraId="10F225E3" w14:textId="77777777" w:rsidR="0071206D" w:rsidRDefault="0071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0D5F" w14:textId="77777777" w:rsidR="00525CA4" w:rsidRDefault="00525CA4" w:rsidP="00054A25">
      <w:pPr>
        <w:spacing w:after="0" w:line="240" w:lineRule="auto"/>
      </w:pPr>
      <w:r>
        <w:separator/>
      </w:r>
    </w:p>
  </w:footnote>
  <w:footnote w:type="continuationSeparator" w:id="0">
    <w:p w14:paraId="6B4DA170" w14:textId="77777777" w:rsidR="00525CA4" w:rsidRDefault="00525CA4" w:rsidP="00054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A3FA" w14:textId="77777777" w:rsidR="00054A25" w:rsidRPr="00054A25" w:rsidRDefault="00054A25">
    <w:pPr>
      <w:pStyle w:val="Header"/>
      <w:rPr>
        <w:b/>
        <w:bCs/>
      </w:rPr>
    </w:pPr>
    <w:r w:rsidRPr="00054A25">
      <w:rPr>
        <w:b/>
        <w:bCs/>
      </w:rPr>
      <w:t xml:space="preserve">United Nations Development </w:t>
    </w:r>
    <w:proofErr w:type="spellStart"/>
    <w:r w:rsidRPr="00054A25">
      <w:rPr>
        <w:b/>
        <w:bCs/>
      </w:rPr>
      <w:t>Programme</w:t>
    </w:r>
    <w:proofErr w:type="spellEnd"/>
  </w:p>
  <w:p w14:paraId="6E4F7A52" w14:textId="514B2D19" w:rsidR="00054A25" w:rsidRPr="00054A25" w:rsidRDefault="00054A25" w:rsidP="00054A25">
    <w:pPr>
      <w:pStyle w:val="Header"/>
      <w:tabs>
        <w:tab w:val="right" w:pos="3690"/>
      </w:tabs>
      <w:rPr>
        <w:i/>
        <w:iCs/>
      </w:rPr>
    </w:pPr>
    <w:r>
      <w:rPr>
        <w:i/>
        <w:iCs/>
      </w:rPr>
      <w:tab/>
    </w:r>
    <w:r w:rsidR="00D15445">
      <w:rPr>
        <w:i/>
        <w:iCs/>
      </w:rPr>
      <w:t>Malaysia</w:t>
    </w:r>
    <w:r>
      <w:rPr>
        <w:i/>
        <w:iCs/>
      </w:rPr>
      <w:t xml:space="preserve"> Country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B7484"/>
    <w:multiLevelType w:val="multilevel"/>
    <w:tmpl w:val="957AD8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NDY0NjCxNDU3M7BU0lEKTi0uzszPAykwrgUArqP+lSwAAAA="/>
  </w:docVars>
  <w:rsids>
    <w:rsidRoot w:val="00424B6B"/>
    <w:rsid w:val="00000109"/>
    <w:rsid w:val="0001173D"/>
    <w:rsid w:val="000153C4"/>
    <w:rsid w:val="00015CB0"/>
    <w:rsid w:val="0001659A"/>
    <w:rsid w:val="000242D2"/>
    <w:rsid w:val="00024BCF"/>
    <w:rsid w:val="0002678D"/>
    <w:rsid w:val="00030369"/>
    <w:rsid w:val="00030525"/>
    <w:rsid w:val="0005411F"/>
    <w:rsid w:val="00054A25"/>
    <w:rsid w:val="00055D20"/>
    <w:rsid w:val="00055E3C"/>
    <w:rsid w:val="00056EF4"/>
    <w:rsid w:val="00061292"/>
    <w:rsid w:val="00062396"/>
    <w:rsid w:val="00062A2E"/>
    <w:rsid w:val="000723E6"/>
    <w:rsid w:val="00084C83"/>
    <w:rsid w:val="000939FA"/>
    <w:rsid w:val="00094D4C"/>
    <w:rsid w:val="00096B4A"/>
    <w:rsid w:val="00097CE3"/>
    <w:rsid w:val="000A2399"/>
    <w:rsid w:val="000A2A58"/>
    <w:rsid w:val="000C07CD"/>
    <w:rsid w:val="000C0D79"/>
    <w:rsid w:val="000C3837"/>
    <w:rsid w:val="000C4D56"/>
    <w:rsid w:val="000C75CA"/>
    <w:rsid w:val="000D3603"/>
    <w:rsid w:val="000D4C13"/>
    <w:rsid w:val="000E2528"/>
    <w:rsid w:val="000F2409"/>
    <w:rsid w:val="000F2505"/>
    <w:rsid w:val="000F4A64"/>
    <w:rsid w:val="00111F89"/>
    <w:rsid w:val="00120967"/>
    <w:rsid w:val="001210FA"/>
    <w:rsid w:val="00127B33"/>
    <w:rsid w:val="00131231"/>
    <w:rsid w:val="0014543F"/>
    <w:rsid w:val="0014765B"/>
    <w:rsid w:val="00156AEA"/>
    <w:rsid w:val="0016678C"/>
    <w:rsid w:val="00166C96"/>
    <w:rsid w:val="00180E3E"/>
    <w:rsid w:val="00183C9D"/>
    <w:rsid w:val="0018725A"/>
    <w:rsid w:val="00190584"/>
    <w:rsid w:val="001A027B"/>
    <w:rsid w:val="001A4B87"/>
    <w:rsid w:val="001B1192"/>
    <w:rsid w:val="001B160B"/>
    <w:rsid w:val="001B16F2"/>
    <w:rsid w:val="001B312A"/>
    <w:rsid w:val="001B3436"/>
    <w:rsid w:val="001B4433"/>
    <w:rsid w:val="001B7CE7"/>
    <w:rsid w:val="001C5710"/>
    <w:rsid w:val="001D30AC"/>
    <w:rsid w:val="001D563D"/>
    <w:rsid w:val="001D7F9F"/>
    <w:rsid w:val="001E7112"/>
    <w:rsid w:val="001E7E41"/>
    <w:rsid w:val="001F6EF7"/>
    <w:rsid w:val="001F742A"/>
    <w:rsid w:val="00200255"/>
    <w:rsid w:val="00201B87"/>
    <w:rsid w:val="00205B0E"/>
    <w:rsid w:val="00207D8E"/>
    <w:rsid w:val="00210BB0"/>
    <w:rsid w:val="00214191"/>
    <w:rsid w:val="00215E2D"/>
    <w:rsid w:val="00225727"/>
    <w:rsid w:val="00231FD3"/>
    <w:rsid w:val="0024040B"/>
    <w:rsid w:val="00241D35"/>
    <w:rsid w:val="002460B4"/>
    <w:rsid w:val="00255C17"/>
    <w:rsid w:val="00262D61"/>
    <w:rsid w:val="002655B8"/>
    <w:rsid w:val="00270FEB"/>
    <w:rsid w:val="002752F3"/>
    <w:rsid w:val="002842CC"/>
    <w:rsid w:val="00285BA8"/>
    <w:rsid w:val="00295CFE"/>
    <w:rsid w:val="002A0889"/>
    <w:rsid w:val="002A17D8"/>
    <w:rsid w:val="002B0D27"/>
    <w:rsid w:val="002B2824"/>
    <w:rsid w:val="002B6D78"/>
    <w:rsid w:val="002C1B2F"/>
    <w:rsid w:val="002C1E31"/>
    <w:rsid w:val="002C40B1"/>
    <w:rsid w:val="002C5DB4"/>
    <w:rsid w:val="002D6189"/>
    <w:rsid w:val="002E66ED"/>
    <w:rsid w:val="002F28D6"/>
    <w:rsid w:val="0030095D"/>
    <w:rsid w:val="003070B8"/>
    <w:rsid w:val="00313D9C"/>
    <w:rsid w:val="00320874"/>
    <w:rsid w:val="00321A41"/>
    <w:rsid w:val="00321FF6"/>
    <w:rsid w:val="00324445"/>
    <w:rsid w:val="003277D9"/>
    <w:rsid w:val="00330151"/>
    <w:rsid w:val="00333AAF"/>
    <w:rsid w:val="00333B14"/>
    <w:rsid w:val="00342E07"/>
    <w:rsid w:val="00343DE5"/>
    <w:rsid w:val="0034687E"/>
    <w:rsid w:val="00351CA4"/>
    <w:rsid w:val="0035602A"/>
    <w:rsid w:val="00361C4E"/>
    <w:rsid w:val="00367F72"/>
    <w:rsid w:val="00371D8A"/>
    <w:rsid w:val="003765A7"/>
    <w:rsid w:val="003773B9"/>
    <w:rsid w:val="003779E9"/>
    <w:rsid w:val="00381612"/>
    <w:rsid w:val="00384123"/>
    <w:rsid w:val="00384FB8"/>
    <w:rsid w:val="003862D6"/>
    <w:rsid w:val="00387CD4"/>
    <w:rsid w:val="00390B5B"/>
    <w:rsid w:val="00395958"/>
    <w:rsid w:val="00395F2D"/>
    <w:rsid w:val="003A5326"/>
    <w:rsid w:val="003B0D3C"/>
    <w:rsid w:val="003B2654"/>
    <w:rsid w:val="003B2EBE"/>
    <w:rsid w:val="003B67F0"/>
    <w:rsid w:val="003B6FF0"/>
    <w:rsid w:val="003C1395"/>
    <w:rsid w:val="003C351F"/>
    <w:rsid w:val="003C5238"/>
    <w:rsid w:val="003D34BC"/>
    <w:rsid w:val="003D4416"/>
    <w:rsid w:val="003E6D5E"/>
    <w:rsid w:val="003E707A"/>
    <w:rsid w:val="003F5894"/>
    <w:rsid w:val="003F7110"/>
    <w:rsid w:val="004005BC"/>
    <w:rsid w:val="004020FC"/>
    <w:rsid w:val="004033FC"/>
    <w:rsid w:val="00410563"/>
    <w:rsid w:val="004108BC"/>
    <w:rsid w:val="004161BF"/>
    <w:rsid w:val="004238C0"/>
    <w:rsid w:val="004241A4"/>
    <w:rsid w:val="00424554"/>
    <w:rsid w:val="00424B6B"/>
    <w:rsid w:val="00425B72"/>
    <w:rsid w:val="00425BE0"/>
    <w:rsid w:val="00427A7E"/>
    <w:rsid w:val="0043214A"/>
    <w:rsid w:val="00435997"/>
    <w:rsid w:val="004365FC"/>
    <w:rsid w:val="0044425B"/>
    <w:rsid w:val="00453E98"/>
    <w:rsid w:val="0045679D"/>
    <w:rsid w:val="00461E06"/>
    <w:rsid w:val="0046491F"/>
    <w:rsid w:val="004677C7"/>
    <w:rsid w:val="00481452"/>
    <w:rsid w:val="00484B27"/>
    <w:rsid w:val="00490A62"/>
    <w:rsid w:val="00491E2B"/>
    <w:rsid w:val="0049761B"/>
    <w:rsid w:val="004A615E"/>
    <w:rsid w:val="004B1216"/>
    <w:rsid w:val="004B5EBE"/>
    <w:rsid w:val="004C082E"/>
    <w:rsid w:val="004C164F"/>
    <w:rsid w:val="004C2232"/>
    <w:rsid w:val="004C7256"/>
    <w:rsid w:val="004D0B39"/>
    <w:rsid w:val="004D7977"/>
    <w:rsid w:val="004F2306"/>
    <w:rsid w:val="004F2E0D"/>
    <w:rsid w:val="004F48E8"/>
    <w:rsid w:val="004F6418"/>
    <w:rsid w:val="005000F2"/>
    <w:rsid w:val="00501332"/>
    <w:rsid w:val="005072DA"/>
    <w:rsid w:val="00507B22"/>
    <w:rsid w:val="00514C42"/>
    <w:rsid w:val="00515F65"/>
    <w:rsid w:val="00517E1B"/>
    <w:rsid w:val="00520962"/>
    <w:rsid w:val="00525CA4"/>
    <w:rsid w:val="005266F4"/>
    <w:rsid w:val="00526F35"/>
    <w:rsid w:val="00527A7A"/>
    <w:rsid w:val="00527DA3"/>
    <w:rsid w:val="00542D90"/>
    <w:rsid w:val="0054369B"/>
    <w:rsid w:val="0054559D"/>
    <w:rsid w:val="0055468B"/>
    <w:rsid w:val="00555BEE"/>
    <w:rsid w:val="0056575F"/>
    <w:rsid w:val="0057139C"/>
    <w:rsid w:val="005764D3"/>
    <w:rsid w:val="00576EDF"/>
    <w:rsid w:val="00582C2F"/>
    <w:rsid w:val="00587529"/>
    <w:rsid w:val="005903B2"/>
    <w:rsid w:val="00594C4D"/>
    <w:rsid w:val="005952CB"/>
    <w:rsid w:val="005A1CBA"/>
    <w:rsid w:val="005A1EC3"/>
    <w:rsid w:val="005A3958"/>
    <w:rsid w:val="005A3E57"/>
    <w:rsid w:val="005A72C2"/>
    <w:rsid w:val="005A73EB"/>
    <w:rsid w:val="005B40CE"/>
    <w:rsid w:val="005B424E"/>
    <w:rsid w:val="005B5AFB"/>
    <w:rsid w:val="005C0F82"/>
    <w:rsid w:val="005C10FB"/>
    <w:rsid w:val="005D3285"/>
    <w:rsid w:val="005D404E"/>
    <w:rsid w:val="005D4989"/>
    <w:rsid w:val="005D5270"/>
    <w:rsid w:val="005E0787"/>
    <w:rsid w:val="005E1150"/>
    <w:rsid w:val="005E1901"/>
    <w:rsid w:val="005E2FCA"/>
    <w:rsid w:val="005E63B0"/>
    <w:rsid w:val="005E76BB"/>
    <w:rsid w:val="005E7FC2"/>
    <w:rsid w:val="005F15FE"/>
    <w:rsid w:val="005F3416"/>
    <w:rsid w:val="005F4DC5"/>
    <w:rsid w:val="005F56C9"/>
    <w:rsid w:val="00605B6E"/>
    <w:rsid w:val="00610E1D"/>
    <w:rsid w:val="006112C4"/>
    <w:rsid w:val="00612FE9"/>
    <w:rsid w:val="00613A6A"/>
    <w:rsid w:val="00613C61"/>
    <w:rsid w:val="006148FE"/>
    <w:rsid w:val="00620DFB"/>
    <w:rsid w:val="006273C3"/>
    <w:rsid w:val="006361AD"/>
    <w:rsid w:val="00636551"/>
    <w:rsid w:val="0063738C"/>
    <w:rsid w:val="00642FF9"/>
    <w:rsid w:val="00644F77"/>
    <w:rsid w:val="006451AE"/>
    <w:rsid w:val="00645A71"/>
    <w:rsid w:val="006523AA"/>
    <w:rsid w:val="006543DD"/>
    <w:rsid w:val="00654BA1"/>
    <w:rsid w:val="006623A1"/>
    <w:rsid w:val="00666998"/>
    <w:rsid w:val="00672FF6"/>
    <w:rsid w:val="006736EF"/>
    <w:rsid w:val="00690CC8"/>
    <w:rsid w:val="006B10A8"/>
    <w:rsid w:val="006B12F9"/>
    <w:rsid w:val="006B3947"/>
    <w:rsid w:val="006B49EF"/>
    <w:rsid w:val="006C0B71"/>
    <w:rsid w:val="006C4AF8"/>
    <w:rsid w:val="006E3DD8"/>
    <w:rsid w:val="006F2762"/>
    <w:rsid w:val="006F5415"/>
    <w:rsid w:val="006F5ED6"/>
    <w:rsid w:val="00700240"/>
    <w:rsid w:val="007116F4"/>
    <w:rsid w:val="0071206D"/>
    <w:rsid w:val="00713ACA"/>
    <w:rsid w:val="007140DC"/>
    <w:rsid w:val="00717F7C"/>
    <w:rsid w:val="007238FD"/>
    <w:rsid w:val="00732C99"/>
    <w:rsid w:val="00735921"/>
    <w:rsid w:val="0073741F"/>
    <w:rsid w:val="00741093"/>
    <w:rsid w:val="00743ACA"/>
    <w:rsid w:val="00744F72"/>
    <w:rsid w:val="00750D41"/>
    <w:rsid w:val="0075237C"/>
    <w:rsid w:val="00752CB1"/>
    <w:rsid w:val="00754020"/>
    <w:rsid w:val="00754443"/>
    <w:rsid w:val="00756343"/>
    <w:rsid w:val="0075681E"/>
    <w:rsid w:val="00763542"/>
    <w:rsid w:val="00763D79"/>
    <w:rsid w:val="007704B0"/>
    <w:rsid w:val="00770AFF"/>
    <w:rsid w:val="00770BBA"/>
    <w:rsid w:val="00771674"/>
    <w:rsid w:val="00771F21"/>
    <w:rsid w:val="0077318E"/>
    <w:rsid w:val="00783436"/>
    <w:rsid w:val="00784DDE"/>
    <w:rsid w:val="00785D1E"/>
    <w:rsid w:val="00793810"/>
    <w:rsid w:val="0079597F"/>
    <w:rsid w:val="007A223F"/>
    <w:rsid w:val="007B528B"/>
    <w:rsid w:val="007B53A0"/>
    <w:rsid w:val="007B6340"/>
    <w:rsid w:val="007B6AAD"/>
    <w:rsid w:val="007C3409"/>
    <w:rsid w:val="007C4023"/>
    <w:rsid w:val="007C5929"/>
    <w:rsid w:val="007C5B97"/>
    <w:rsid w:val="007D59D0"/>
    <w:rsid w:val="007D6C22"/>
    <w:rsid w:val="007D7B31"/>
    <w:rsid w:val="007E4607"/>
    <w:rsid w:val="007E7F66"/>
    <w:rsid w:val="007F64ED"/>
    <w:rsid w:val="00804682"/>
    <w:rsid w:val="008055D8"/>
    <w:rsid w:val="00806A43"/>
    <w:rsid w:val="00807862"/>
    <w:rsid w:val="00811813"/>
    <w:rsid w:val="00813151"/>
    <w:rsid w:val="008161EE"/>
    <w:rsid w:val="0081671B"/>
    <w:rsid w:val="008167AC"/>
    <w:rsid w:val="00820084"/>
    <w:rsid w:val="00824910"/>
    <w:rsid w:val="00825D57"/>
    <w:rsid w:val="00826E68"/>
    <w:rsid w:val="00827335"/>
    <w:rsid w:val="008318DB"/>
    <w:rsid w:val="00841E62"/>
    <w:rsid w:val="00843E60"/>
    <w:rsid w:val="00851ABC"/>
    <w:rsid w:val="00851EC3"/>
    <w:rsid w:val="00851EF7"/>
    <w:rsid w:val="008525CB"/>
    <w:rsid w:val="0085335C"/>
    <w:rsid w:val="0085427A"/>
    <w:rsid w:val="00863DF1"/>
    <w:rsid w:val="00865014"/>
    <w:rsid w:val="008659C6"/>
    <w:rsid w:val="008706EF"/>
    <w:rsid w:val="00872EB6"/>
    <w:rsid w:val="00876931"/>
    <w:rsid w:val="00882BCC"/>
    <w:rsid w:val="00886F09"/>
    <w:rsid w:val="00887E6C"/>
    <w:rsid w:val="00890746"/>
    <w:rsid w:val="00893890"/>
    <w:rsid w:val="00893CD0"/>
    <w:rsid w:val="00895802"/>
    <w:rsid w:val="008A5188"/>
    <w:rsid w:val="008A6A18"/>
    <w:rsid w:val="008B2074"/>
    <w:rsid w:val="008B304A"/>
    <w:rsid w:val="008B4014"/>
    <w:rsid w:val="008B5A3D"/>
    <w:rsid w:val="008C11C8"/>
    <w:rsid w:val="008D511D"/>
    <w:rsid w:val="008D79B5"/>
    <w:rsid w:val="008E0903"/>
    <w:rsid w:val="008E3150"/>
    <w:rsid w:val="008E42EF"/>
    <w:rsid w:val="008E44B1"/>
    <w:rsid w:val="008E5D6F"/>
    <w:rsid w:val="008E6B7D"/>
    <w:rsid w:val="008E76E3"/>
    <w:rsid w:val="008F184D"/>
    <w:rsid w:val="00901427"/>
    <w:rsid w:val="00907CAB"/>
    <w:rsid w:val="00907F19"/>
    <w:rsid w:val="00923EDE"/>
    <w:rsid w:val="00925ACC"/>
    <w:rsid w:val="00931FF4"/>
    <w:rsid w:val="0094002B"/>
    <w:rsid w:val="00941458"/>
    <w:rsid w:val="0094384D"/>
    <w:rsid w:val="009537DD"/>
    <w:rsid w:val="0095419C"/>
    <w:rsid w:val="009627AB"/>
    <w:rsid w:val="009641F4"/>
    <w:rsid w:val="00967B62"/>
    <w:rsid w:val="00974936"/>
    <w:rsid w:val="00976EB5"/>
    <w:rsid w:val="00982120"/>
    <w:rsid w:val="00996F14"/>
    <w:rsid w:val="00997481"/>
    <w:rsid w:val="009A395D"/>
    <w:rsid w:val="009A3AE8"/>
    <w:rsid w:val="009B0C5B"/>
    <w:rsid w:val="009B0FF3"/>
    <w:rsid w:val="009B193E"/>
    <w:rsid w:val="009B1B0F"/>
    <w:rsid w:val="009B50C8"/>
    <w:rsid w:val="009C2A6D"/>
    <w:rsid w:val="009C3F82"/>
    <w:rsid w:val="009C59AD"/>
    <w:rsid w:val="009D037E"/>
    <w:rsid w:val="009D44AC"/>
    <w:rsid w:val="009D4BB2"/>
    <w:rsid w:val="009D5C31"/>
    <w:rsid w:val="009D7DB8"/>
    <w:rsid w:val="009E3C1F"/>
    <w:rsid w:val="009F075C"/>
    <w:rsid w:val="009F0AD8"/>
    <w:rsid w:val="009F3415"/>
    <w:rsid w:val="00A07F1F"/>
    <w:rsid w:val="00A142C4"/>
    <w:rsid w:val="00A14F09"/>
    <w:rsid w:val="00A1587C"/>
    <w:rsid w:val="00A17AD5"/>
    <w:rsid w:val="00A20405"/>
    <w:rsid w:val="00A211D8"/>
    <w:rsid w:val="00A21C7E"/>
    <w:rsid w:val="00A223AB"/>
    <w:rsid w:val="00A25C75"/>
    <w:rsid w:val="00A27311"/>
    <w:rsid w:val="00A3597F"/>
    <w:rsid w:val="00A4738B"/>
    <w:rsid w:val="00A52D2B"/>
    <w:rsid w:val="00A53B8B"/>
    <w:rsid w:val="00A56533"/>
    <w:rsid w:val="00A6045E"/>
    <w:rsid w:val="00A6224C"/>
    <w:rsid w:val="00A66948"/>
    <w:rsid w:val="00A810A3"/>
    <w:rsid w:val="00A824BB"/>
    <w:rsid w:val="00A82BD7"/>
    <w:rsid w:val="00A84E21"/>
    <w:rsid w:val="00A851B8"/>
    <w:rsid w:val="00A85B36"/>
    <w:rsid w:val="00A90477"/>
    <w:rsid w:val="00A955C1"/>
    <w:rsid w:val="00AB0444"/>
    <w:rsid w:val="00AB082F"/>
    <w:rsid w:val="00AB0B61"/>
    <w:rsid w:val="00AB1737"/>
    <w:rsid w:val="00AB3C16"/>
    <w:rsid w:val="00AC11CB"/>
    <w:rsid w:val="00AC6B77"/>
    <w:rsid w:val="00AC6E9A"/>
    <w:rsid w:val="00AD0C75"/>
    <w:rsid w:val="00AD19E3"/>
    <w:rsid w:val="00AE1070"/>
    <w:rsid w:val="00AE573F"/>
    <w:rsid w:val="00AE759B"/>
    <w:rsid w:val="00AF284A"/>
    <w:rsid w:val="00B0221C"/>
    <w:rsid w:val="00B0354B"/>
    <w:rsid w:val="00B0636E"/>
    <w:rsid w:val="00B067E6"/>
    <w:rsid w:val="00B20644"/>
    <w:rsid w:val="00B2272F"/>
    <w:rsid w:val="00B26ED0"/>
    <w:rsid w:val="00B34A75"/>
    <w:rsid w:val="00B42342"/>
    <w:rsid w:val="00B43DE5"/>
    <w:rsid w:val="00B475CC"/>
    <w:rsid w:val="00B47A56"/>
    <w:rsid w:val="00B56383"/>
    <w:rsid w:val="00B57097"/>
    <w:rsid w:val="00B601CD"/>
    <w:rsid w:val="00B60AB3"/>
    <w:rsid w:val="00B65BAC"/>
    <w:rsid w:val="00B66D61"/>
    <w:rsid w:val="00B701E4"/>
    <w:rsid w:val="00B72F29"/>
    <w:rsid w:val="00B72F89"/>
    <w:rsid w:val="00B73AF6"/>
    <w:rsid w:val="00B76366"/>
    <w:rsid w:val="00B80CE1"/>
    <w:rsid w:val="00B8407F"/>
    <w:rsid w:val="00B846BC"/>
    <w:rsid w:val="00B84B13"/>
    <w:rsid w:val="00B857F2"/>
    <w:rsid w:val="00B873D8"/>
    <w:rsid w:val="00B87F81"/>
    <w:rsid w:val="00B9075A"/>
    <w:rsid w:val="00B91177"/>
    <w:rsid w:val="00B946F5"/>
    <w:rsid w:val="00B97357"/>
    <w:rsid w:val="00BA4E5D"/>
    <w:rsid w:val="00BA5B86"/>
    <w:rsid w:val="00BA7E98"/>
    <w:rsid w:val="00BB3452"/>
    <w:rsid w:val="00BC2EF1"/>
    <w:rsid w:val="00BC51A0"/>
    <w:rsid w:val="00BC7051"/>
    <w:rsid w:val="00BD042D"/>
    <w:rsid w:val="00BD29B2"/>
    <w:rsid w:val="00BD4E61"/>
    <w:rsid w:val="00BE682F"/>
    <w:rsid w:val="00BF5AD0"/>
    <w:rsid w:val="00BF6392"/>
    <w:rsid w:val="00BF6A5B"/>
    <w:rsid w:val="00BF7DF8"/>
    <w:rsid w:val="00C0701F"/>
    <w:rsid w:val="00C07F73"/>
    <w:rsid w:val="00C213DC"/>
    <w:rsid w:val="00C21480"/>
    <w:rsid w:val="00C327C4"/>
    <w:rsid w:val="00C37910"/>
    <w:rsid w:val="00C419C0"/>
    <w:rsid w:val="00C42004"/>
    <w:rsid w:val="00C44F7E"/>
    <w:rsid w:val="00C452FB"/>
    <w:rsid w:val="00C478B0"/>
    <w:rsid w:val="00C5256F"/>
    <w:rsid w:val="00C52796"/>
    <w:rsid w:val="00C533E0"/>
    <w:rsid w:val="00C544BE"/>
    <w:rsid w:val="00C61C83"/>
    <w:rsid w:val="00C64F40"/>
    <w:rsid w:val="00C662FB"/>
    <w:rsid w:val="00C66F3B"/>
    <w:rsid w:val="00C72EF6"/>
    <w:rsid w:val="00C73C83"/>
    <w:rsid w:val="00C752B7"/>
    <w:rsid w:val="00C76C44"/>
    <w:rsid w:val="00C83527"/>
    <w:rsid w:val="00C83D15"/>
    <w:rsid w:val="00C91E86"/>
    <w:rsid w:val="00C927AE"/>
    <w:rsid w:val="00C92C0D"/>
    <w:rsid w:val="00C943CC"/>
    <w:rsid w:val="00C966F2"/>
    <w:rsid w:val="00C96A6E"/>
    <w:rsid w:val="00CA0D30"/>
    <w:rsid w:val="00CA1A74"/>
    <w:rsid w:val="00CA3375"/>
    <w:rsid w:val="00CB3638"/>
    <w:rsid w:val="00CB73FF"/>
    <w:rsid w:val="00CB774D"/>
    <w:rsid w:val="00CC07DC"/>
    <w:rsid w:val="00CC09FA"/>
    <w:rsid w:val="00CC2341"/>
    <w:rsid w:val="00CC25C5"/>
    <w:rsid w:val="00CC3289"/>
    <w:rsid w:val="00CD001A"/>
    <w:rsid w:val="00CD3B86"/>
    <w:rsid w:val="00CD629A"/>
    <w:rsid w:val="00CF15A4"/>
    <w:rsid w:val="00CF258E"/>
    <w:rsid w:val="00CF412C"/>
    <w:rsid w:val="00CF4B97"/>
    <w:rsid w:val="00CF5942"/>
    <w:rsid w:val="00D00236"/>
    <w:rsid w:val="00D02557"/>
    <w:rsid w:val="00D02763"/>
    <w:rsid w:val="00D14498"/>
    <w:rsid w:val="00D15445"/>
    <w:rsid w:val="00D163D3"/>
    <w:rsid w:val="00D20409"/>
    <w:rsid w:val="00D20EEB"/>
    <w:rsid w:val="00D21062"/>
    <w:rsid w:val="00D2207C"/>
    <w:rsid w:val="00D22F7A"/>
    <w:rsid w:val="00D2613F"/>
    <w:rsid w:val="00D2773D"/>
    <w:rsid w:val="00D3406F"/>
    <w:rsid w:val="00D37352"/>
    <w:rsid w:val="00D401F2"/>
    <w:rsid w:val="00D40807"/>
    <w:rsid w:val="00D4510D"/>
    <w:rsid w:val="00D50A78"/>
    <w:rsid w:val="00D525F2"/>
    <w:rsid w:val="00D56081"/>
    <w:rsid w:val="00D5738B"/>
    <w:rsid w:val="00D61E28"/>
    <w:rsid w:val="00D6262D"/>
    <w:rsid w:val="00D6596C"/>
    <w:rsid w:val="00D65A4B"/>
    <w:rsid w:val="00D74802"/>
    <w:rsid w:val="00D76674"/>
    <w:rsid w:val="00D76B4B"/>
    <w:rsid w:val="00D8410E"/>
    <w:rsid w:val="00D92510"/>
    <w:rsid w:val="00D9359F"/>
    <w:rsid w:val="00D93777"/>
    <w:rsid w:val="00DA5238"/>
    <w:rsid w:val="00DA6CA5"/>
    <w:rsid w:val="00DA71AE"/>
    <w:rsid w:val="00DB30E3"/>
    <w:rsid w:val="00DC0E58"/>
    <w:rsid w:val="00DC7AA9"/>
    <w:rsid w:val="00DD14EF"/>
    <w:rsid w:val="00DD3CB8"/>
    <w:rsid w:val="00DD51B2"/>
    <w:rsid w:val="00DD6E9C"/>
    <w:rsid w:val="00DE1F9A"/>
    <w:rsid w:val="00DE36EB"/>
    <w:rsid w:val="00DF6138"/>
    <w:rsid w:val="00E000FC"/>
    <w:rsid w:val="00E021F0"/>
    <w:rsid w:val="00E03879"/>
    <w:rsid w:val="00E03BD0"/>
    <w:rsid w:val="00E04FC3"/>
    <w:rsid w:val="00E05373"/>
    <w:rsid w:val="00E06CCB"/>
    <w:rsid w:val="00E15396"/>
    <w:rsid w:val="00E2162F"/>
    <w:rsid w:val="00E21946"/>
    <w:rsid w:val="00E21D43"/>
    <w:rsid w:val="00E30AC3"/>
    <w:rsid w:val="00E3108E"/>
    <w:rsid w:val="00E33CCC"/>
    <w:rsid w:val="00E37619"/>
    <w:rsid w:val="00E4169A"/>
    <w:rsid w:val="00E42C9F"/>
    <w:rsid w:val="00E43C32"/>
    <w:rsid w:val="00E447FA"/>
    <w:rsid w:val="00E513AA"/>
    <w:rsid w:val="00E51F81"/>
    <w:rsid w:val="00E521FC"/>
    <w:rsid w:val="00E5247F"/>
    <w:rsid w:val="00E5348B"/>
    <w:rsid w:val="00E5563A"/>
    <w:rsid w:val="00E56321"/>
    <w:rsid w:val="00E571F8"/>
    <w:rsid w:val="00E63C4E"/>
    <w:rsid w:val="00E676CB"/>
    <w:rsid w:val="00E678CF"/>
    <w:rsid w:val="00E6790D"/>
    <w:rsid w:val="00E73334"/>
    <w:rsid w:val="00E745E9"/>
    <w:rsid w:val="00E767F0"/>
    <w:rsid w:val="00E76977"/>
    <w:rsid w:val="00E80D8B"/>
    <w:rsid w:val="00E83FC6"/>
    <w:rsid w:val="00E90209"/>
    <w:rsid w:val="00E91BB6"/>
    <w:rsid w:val="00E93B78"/>
    <w:rsid w:val="00EA1362"/>
    <w:rsid w:val="00EA3111"/>
    <w:rsid w:val="00EA3723"/>
    <w:rsid w:val="00EA4758"/>
    <w:rsid w:val="00EA6AD0"/>
    <w:rsid w:val="00EB187D"/>
    <w:rsid w:val="00EB460F"/>
    <w:rsid w:val="00ED0EA7"/>
    <w:rsid w:val="00ED2790"/>
    <w:rsid w:val="00ED70E0"/>
    <w:rsid w:val="00EE0BC0"/>
    <w:rsid w:val="00EE0C08"/>
    <w:rsid w:val="00EE1F12"/>
    <w:rsid w:val="00EE70F9"/>
    <w:rsid w:val="00EF15A8"/>
    <w:rsid w:val="00EF2DE8"/>
    <w:rsid w:val="00F004F8"/>
    <w:rsid w:val="00F06919"/>
    <w:rsid w:val="00F16528"/>
    <w:rsid w:val="00F171DA"/>
    <w:rsid w:val="00F20158"/>
    <w:rsid w:val="00F2183F"/>
    <w:rsid w:val="00F23A54"/>
    <w:rsid w:val="00F30A55"/>
    <w:rsid w:val="00F33723"/>
    <w:rsid w:val="00F33BA2"/>
    <w:rsid w:val="00F432A3"/>
    <w:rsid w:val="00F46D69"/>
    <w:rsid w:val="00F50507"/>
    <w:rsid w:val="00F571BA"/>
    <w:rsid w:val="00F571DF"/>
    <w:rsid w:val="00F57336"/>
    <w:rsid w:val="00F6025A"/>
    <w:rsid w:val="00F604DC"/>
    <w:rsid w:val="00F61858"/>
    <w:rsid w:val="00F65950"/>
    <w:rsid w:val="00F7190C"/>
    <w:rsid w:val="00F77CCD"/>
    <w:rsid w:val="00F80B5C"/>
    <w:rsid w:val="00F824C4"/>
    <w:rsid w:val="00F829A3"/>
    <w:rsid w:val="00F82C24"/>
    <w:rsid w:val="00F866A5"/>
    <w:rsid w:val="00F86FD8"/>
    <w:rsid w:val="00F87AF8"/>
    <w:rsid w:val="00F91CF1"/>
    <w:rsid w:val="00F92678"/>
    <w:rsid w:val="00F9596A"/>
    <w:rsid w:val="00FA732F"/>
    <w:rsid w:val="00FC3888"/>
    <w:rsid w:val="00FC411E"/>
    <w:rsid w:val="00FC5A5A"/>
    <w:rsid w:val="00FD209D"/>
    <w:rsid w:val="00FD3FF8"/>
    <w:rsid w:val="00FD57BA"/>
    <w:rsid w:val="00FD665B"/>
    <w:rsid w:val="00FF197D"/>
    <w:rsid w:val="00FF5D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68E8B"/>
  <w15:docId w15:val="{75D5110A-ED65-471B-B649-142E4C95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A31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25"/>
  </w:style>
  <w:style w:type="paragraph" w:styleId="Footer">
    <w:name w:val="footer"/>
    <w:basedOn w:val="Normal"/>
    <w:link w:val="FooterChar"/>
    <w:uiPriority w:val="99"/>
    <w:unhideWhenUsed/>
    <w:rsid w:val="0005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25"/>
  </w:style>
  <w:style w:type="paragraph" w:styleId="BalloonText">
    <w:name w:val="Balloon Text"/>
    <w:basedOn w:val="Normal"/>
    <w:link w:val="BalloonTextChar"/>
    <w:uiPriority w:val="99"/>
    <w:semiHidden/>
    <w:unhideWhenUsed/>
    <w:rsid w:val="00054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25"/>
    <w:rPr>
      <w:rFonts w:ascii="Tahoma" w:hAnsi="Tahoma" w:cs="Tahoma"/>
      <w:sz w:val="16"/>
      <w:szCs w:val="16"/>
    </w:rPr>
  </w:style>
  <w:style w:type="paragraph" w:styleId="ListParagraph">
    <w:name w:val="List Paragraph"/>
    <w:basedOn w:val="Normal"/>
    <w:uiPriority w:val="34"/>
    <w:qFormat/>
    <w:rsid w:val="002C1E31"/>
    <w:pPr>
      <w:ind w:left="720"/>
      <w:contextualSpacing/>
    </w:pPr>
    <w:rPr>
      <w:rFonts w:ascii="Calibri" w:eastAsia="Times New Roman" w:hAnsi="Calibri" w:cs="Times New Roman"/>
    </w:rPr>
  </w:style>
  <w:style w:type="character" w:styleId="FootnoteReference">
    <w:name w:val="footnote reference"/>
    <w:uiPriority w:val="99"/>
    <w:unhideWhenUsed/>
    <w:rsid w:val="00E2162F"/>
    <w:rPr>
      <w:vertAlign w:val="superscript"/>
    </w:rPr>
  </w:style>
  <w:style w:type="paragraph" w:styleId="FootnoteText">
    <w:name w:val="footnote text"/>
    <w:basedOn w:val="Normal"/>
    <w:link w:val="FootnoteTextChar"/>
    <w:uiPriority w:val="99"/>
    <w:unhideWhenUsed/>
    <w:rsid w:val="00E2162F"/>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E2162F"/>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E2162F"/>
    <w:rPr>
      <w:sz w:val="16"/>
      <w:szCs w:val="16"/>
    </w:rPr>
  </w:style>
  <w:style w:type="paragraph" w:styleId="CommentText">
    <w:name w:val="annotation text"/>
    <w:basedOn w:val="Normal"/>
    <w:link w:val="CommentTextChar"/>
    <w:uiPriority w:val="99"/>
    <w:semiHidden/>
    <w:unhideWhenUsed/>
    <w:rsid w:val="00E2162F"/>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2162F"/>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33CCC"/>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E33CCC"/>
    <w:rPr>
      <w:rFonts w:ascii="Calibri" w:eastAsia="Calibri" w:hAnsi="Calibri" w:cs="Times New Roman"/>
      <w:b/>
      <w:bCs/>
      <w:sz w:val="20"/>
      <w:szCs w:val="20"/>
      <w:lang w:val="x-none" w:eastAsia="x-none"/>
    </w:rPr>
  </w:style>
  <w:style w:type="paragraph" w:customStyle="1" w:styleId="Default">
    <w:name w:val="Default"/>
    <w:rsid w:val="00527A7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927A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B67F0"/>
    <w:rPr>
      <w:color w:val="0000FF" w:themeColor="hyperlink"/>
      <w:u w:val="single"/>
    </w:rPr>
  </w:style>
  <w:style w:type="paragraph" w:customStyle="1" w:styleId="CarCarChar">
    <w:name w:val="Car Car Char"/>
    <w:basedOn w:val="Heading2"/>
    <w:rsid w:val="00EA3111"/>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character" w:customStyle="1" w:styleId="Heading2Char">
    <w:name w:val="Heading 2 Char"/>
    <w:basedOn w:val="DefaultParagraphFont"/>
    <w:link w:val="Heading2"/>
    <w:uiPriority w:val="9"/>
    <w:semiHidden/>
    <w:rsid w:val="00EA31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3389">
      <w:bodyDiv w:val="1"/>
      <w:marLeft w:val="0"/>
      <w:marRight w:val="0"/>
      <w:marTop w:val="0"/>
      <w:marBottom w:val="0"/>
      <w:divBdr>
        <w:top w:val="none" w:sz="0" w:space="0" w:color="auto"/>
        <w:left w:val="none" w:sz="0" w:space="0" w:color="auto"/>
        <w:bottom w:val="none" w:sz="0" w:space="0" w:color="auto"/>
        <w:right w:val="none" w:sz="0" w:space="0" w:color="auto"/>
      </w:divBdr>
    </w:div>
    <w:div w:id="22023193">
      <w:bodyDiv w:val="1"/>
      <w:marLeft w:val="0"/>
      <w:marRight w:val="0"/>
      <w:marTop w:val="0"/>
      <w:marBottom w:val="0"/>
      <w:divBdr>
        <w:top w:val="none" w:sz="0" w:space="0" w:color="auto"/>
        <w:left w:val="none" w:sz="0" w:space="0" w:color="auto"/>
        <w:bottom w:val="none" w:sz="0" w:space="0" w:color="auto"/>
        <w:right w:val="none" w:sz="0" w:space="0" w:color="auto"/>
      </w:divBdr>
      <w:divsChild>
        <w:div w:id="1091468074">
          <w:marLeft w:val="1080"/>
          <w:marRight w:val="0"/>
          <w:marTop w:val="0"/>
          <w:marBottom w:val="0"/>
          <w:divBdr>
            <w:top w:val="none" w:sz="0" w:space="0" w:color="auto"/>
            <w:left w:val="none" w:sz="0" w:space="0" w:color="auto"/>
            <w:bottom w:val="none" w:sz="0" w:space="0" w:color="auto"/>
            <w:right w:val="none" w:sz="0" w:space="0" w:color="auto"/>
          </w:divBdr>
        </w:div>
        <w:div w:id="1674920082">
          <w:marLeft w:val="360"/>
          <w:marRight w:val="0"/>
          <w:marTop w:val="0"/>
          <w:marBottom w:val="0"/>
          <w:divBdr>
            <w:top w:val="none" w:sz="0" w:space="0" w:color="auto"/>
            <w:left w:val="none" w:sz="0" w:space="0" w:color="auto"/>
            <w:bottom w:val="none" w:sz="0" w:space="0" w:color="auto"/>
            <w:right w:val="none" w:sz="0" w:space="0" w:color="auto"/>
          </w:divBdr>
        </w:div>
        <w:div w:id="1895778512">
          <w:marLeft w:val="1080"/>
          <w:marRight w:val="0"/>
          <w:marTop w:val="0"/>
          <w:marBottom w:val="0"/>
          <w:divBdr>
            <w:top w:val="none" w:sz="0" w:space="0" w:color="auto"/>
            <w:left w:val="none" w:sz="0" w:space="0" w:color="auto"/>
            <w:bottom w:val="none" w:sz="0" w:space="0" w:color="auto"/>
            <w:right w:val="none" w:sz="0" w:space="0" w:color="auto"/>
          </w:divBdr>
        </w:div>
        <w:div w:id="1915512174">
          <w:marLeft w:val="1080"/>
          <w:marRight w:val="0"/>
          <w:marTop w:val="0"/>
          <w:marBottom w:val="0"/>
          <w:divBdr>
            <w:top w:val="none" w:sz="0" w:space="0" w:color="auto"/>
            <w:left w:val="none" w:sz="0" w:space="0" w:color="auto"/>
            <w:bottom w:val="none" w:sz="0" w:space="0" w:color="auto"/>
            <w:right w:val="none" w:sz="0" w:space="0" w:color="auto"/>
          </w:divBdr>
        </w:div>
        <w:div w:id="1982614694">
          <w:marLeft w:val="1080"/>
          <w:marRight w:val="0"/>
          <w:marTop w:val="0"/>
          <w:marBottom w:val="0"/>
          <w:divBdr>
            <w:top w:val="none" w:sz="0" w:space="0" w:color="auto"/>
            <w:left w:val="none" w:sz="0" w:space="0" w:color="auto"/>
            <w:bottom w:val="none" w:sz="0" w:space="0" w:color="auto"/>
            <w:right w:val="none" w:sz="0" w:space="0" w:color="auto"/>
          </w:divBdr>
        </w:div>
      </w:divsChild>
    </w:div>
    <w:div w:id="49884508">
      <w:bodyDiv w:val="1"/>
      <w:marLeft w:val="0"/>
      <w:marRight w:val="0"/>
      <w:marTop w:val="0"/>
      <w:marBottom w:val="0"/>
      <w:divBdr>
        <w:top w:val="none" w:sz="0" w:space="0" w:color="auto"/>
        <w:left w:val="none" w:sz="0" w:space="0" w:color="auto"/>
        <w:bottom w:val="none" w:sz="0" w:space="0" w:color="auto"/>
        <w:right w:val="none" w:sz="0" w:space="0" w:color="auto"/>
      </w:divBdr>
    </w:div>
    <w:div w:id="145054689">
      <w:bodyDiv w:val="1"/>
      <w:marLeft w:val="0"/>
      <w:marRight w:val="0"/>
      <w:marTop w:val="0"/>
      <w:marBottom w:val="0"/>
      <w:divBdr>
        <w:top w:val="none" w:sz="0" w:space="0" w:color="auto"/>
        <w:left w:val="none" w:sz="0" w:space="0" w:color="auto"/>
        <w:bottom w:val="none" w:sz="0" w:space="0" w:color="auto"/>
        <w:right w:val="none" w:sz="0" w:space="0" w:color="auto"/>
      </w:divBdr>
    </w:div>
    <w:div w:id="168179009">
      <w:bodyDiv w:val="1"/>
      <w:marLeft w:val="0"/>
      <w:marRight w:val="0"/>
      <w:marTop w:val="0"/>
      <w:marBottom w:val="0"/>
      <w:divBdr>
        <w:top w:val="none" w:sz="0" w:space="0" w:color="auto"/>
        <w:left w:val="none" w:sz="0" w:space="0" w:color="auto"/>
        <w:bottom w:val="none" w:sz="0" w:space="0" w:color="auto"/>
        <w:right w:val="none" w:sz="0" w:space="0" w:color="auto"/>
      </w:divBdr>
    </w:div>
    <w:div w:id="298540873">
      <w:bodyDiv w:val="1"/>
      <w:marLeft w:val="0"/>
      <w:marRight w:val="0"/>
      <w:marTop w:val="0"/>
      <w:marBottom w:val="0"/>
      <w:divBdr>
        <w:top w:val="none" w:sz="0" w:space="0" w:color="auto"/>
        <w:left w:val="none" w:sz="0" w:space="0" w:color="auto"/>
        <w:bottom w:val="none" w:sz="0" w:space="0" w:color="auto"/>
        <w:right w:val="none" w:sz="0" w:space="0" w:color="auto"/>
      </w:divBdr>
    </w:div>
    <w:div w:id="1100638552">
      <w:bodyDiv w:val="1"/>
      <w:marLeft w:val="0"/>
      <w:marRight w:val="0"/>
      <w:marTop w:val="0"/>
      <w:marBottom w:val="0"/>
      <w:divBdr>
        <w:top w:val="none" w:sz="0" w:space="0" w:color="auto"/>
        <w:left w:val="none" w:sz="0" w:space="0" w:color="auto"/>
        <w:bottom w:val="none" w:sz="0" w:space="0" w:color="auto"/>
        <w:right w:val="none" w:sz="0" w:space="0" w:color="auto"/>
      </w:divBdr>
    </w:div>
    <w:div w:id="1105929993">
      <w:bodyDiv w:val="1"/>
      <w:marLeft w:val="0"/>
      <w:marRight w:val="0"/>
      <w:marTop w:val="0"/>
      <w:marBottom w:val="0"/>
      <w:divBdr>
        <w:top w:val="none" w:sz="0" w:space="0" w:color="auto"/>
        <w:left w:val="none" w:sz="0" w:space="0" w:color="auto"/>
        <w:bottom w:val="none" w:sz="0" w:space="0" w:color="auto"/>
        <w:right w:val="none" w:sz="0" w:space="0" w:color="auto"/>
      </w:divBdr>
      <w:divsChild>
        <w:div w:id="1703359562">
          <w:marLeft w:val="360"/>
          <w:marRight w:val="0"/>
          <w:marTop w:val="0"/>
          <w:marBottom w:val="0"/>
          <w:divBdr>
            <w:top w:val="none" w:sz="0" w:space="0" w:color="auto"/>
            <w:left w:val="none" w:sz="0" w:space="0" w:color="auto"/>
            <w:bottom w:val="none" w:sz="0" w:space="0" w:color="auto"/>
            <w:right w:val="none" w:sz="0" w:space="0" w:color="auto"/>
          </w:divBdr>
        </w:div>
        <w:div w:id="1705980793">
          <w:marLeft w:val="1080"/>
          <w:marRight w:val="0"/>
          <w:marTop w:val="0"/>
          <w:marBottom w:val="0"/>
          <w:divBdr>
            <w:top w:val="none" w:sz="0" w:space="0" w:color="auto"/>
            <w:left w:val="none" w:sz="0" w:space="0" w:color="auto"/>
            <w:bottom w:val="none" w:sz="0" w:space="0" w:color="auto"/>
            <w:right w:val="none" w:sz="0" w:space="0" w:color="auto"/>
          </w:divBdr>
        </w:div>
      </w:divsChild>
    </w:div>
    <w:div w:id="1273586020">
      <w:bodyDiv w:val="1"/>
      <w:marLeft w:val="0"/>
      <w:marRight w:val="0"/>
      <w:marTop w:val="0"/>
      <w:marBottom w:val="0"/>
      <w:divBdr>
        <w:top w:val="none" w:sz="0" w:space="0" w:color="auto"/>
        <w:left w:val="none" w:sz="0" w:space="0" w:color="auto"/>
        <w:bottom w:val="none" w:sz="0" w:space="0" w:color="auto"/>
        <w:right w:val="none" w:sz="0" w:space="0" w:color="auto"/>
      </w:divBdr>
    </w:div>
    <w:div w:id="1513572768">
      <w:bodyDiv w:val="1"/>
      <w:marLeft w:val="0"/>
      <w:marRight w:val="0"/>
      <w:marTop w:val="0"/>
      <w:marBottom w:val="0"/>
      <w:divBdr>
        <w:top w:val="none" w:sz="0" w:space="0" w:color="auto"/>
        <w:left w:val="none" w:sz="0" w:space="0" w:color="auto"/>
        <w:bottom w:val="none" w:sz="0" w:space="0" w:color="auto"/>
        <w:right w:val="none" w:sz="0" w:space="0" w:color="auto"/>
      </w:divBdr>
    </w:div>
    <w:div w:id="1817263025">
      <w:bodyDiv w:val="1"/>
      <w:marLeft w:val="0"/>
      <w:marRight w:val="0"/>
      <w:marTop w:val="0"/>
      <w:marBottom w:val="0"/>
      <w:divBdr>
        <w:top w:val="none" w:sz="0" w:space="0" w:color="auto"/>
        <w:left w:val="none" w:sz="0" w:space="0" w:color="auto"/>
        <w:bottom w:val="none" w:sz="0" w:space="0" w:color="auto"/>
        <w:right w:val="none" w:sz="0" w:space="0" w:color="auto"/>
      </w:divBdr>
    </w:div>
    <w:div w:id="1900825648">
      <w:bodyDiv w:val="1"/>
      <w:marLeft w:val="0"/>
      <w:marRight w:val="0"/>
      <w:marTop w:val="0"/>
      <w:marBottom w:val="0"/>
      <w:divBdr>
        <w:top w:val="none" w:sz="0" w:space="0" w:color="auto"/>
        <w:left w:val="none" w:sz="0" w:space="0" w:color="auto"/>
        <w:bottom w:val="none" w:sz="0" w:space="0" w:color="auto"/>
        <w:right w:val="none" w:sz="0" w:space="0" w:color="auto"/>
      </w:divBdr>
    </w:div>
    <w:div w:id="19171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A749596941E47858AE997A4065C10" ma:contentTypeVersion="13" ma:contentTypeDescription="Create a new document." ma:contentTypeScope="" ma:versionID="e586c2e8fc2ee1a182c03ddd2e761e6f">
  <xsd:schema xmlns:xsd="http://www.w3.org/2001/XMLSchema" xmlns:xs="http://www.w3.org/2001/XMLSchema" xmlns:p="http://schemas.microsoft.com/office/2006/metadata/properties" xmlns:ns3="19ac422d-0e0d-449f-b2de-801fbb1bd389" xmlns:ns4="747984ef-24bd-42cc-a8ff-353e80f8401e" targetNamespace="http://schemas.microsoft.com/office/2006/metadata/properties" ma:root="true" ma:fieldsID="fb3ddcba21b5cb90ccabbd818fe659ed" ns3:_="" ns4:_="">
    <xsd:import namespace="19ac422d-0e0d-449f-b2de-801fbb1bd389"/>
    <xsd:import namespace="747984ef-24bd-42cc-a8ff-353e80f840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c422d-0e0d-449f-b2de-801fbb1bd3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984ef-24bd-42cc-a8ff-353e80f840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06A6C-5B4C-4527-9F0A-A918A7E2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c422d-0e0d-449f-b2de-801fbb1bd389"/>
    <ds:schemaRef ds:uri="747984ef-24bd-42cc-a8ff-353e80f8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E05C9-B08D-4163-AC2B-187AF4083197}">
  <ds:schemaRefs>
    <ds:schemaRef ds:uri="http://schemas.microsoft.com/sharepoint/v3/contenttype/forms"/>
  </ds:schemaRefs>
</ds:datastoreItem>
</file>

<file path=customXml/itemProps3.xml><?xml version="1.0" encoding="utf-8"?>
<ds:datastoreItem xmlns:ds="http://schemas.openxmlformats.org/officeDocument/2006/customXml" ds:itemID="{54708691-3572-47BF-B762-7F807AAFB5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D7B26-4C6F-4FD0-9D1E-6DEA0CEA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Zubair Ezzat</dc:creator>
  <cp:keywords/>
  <dc:description/>
  <cp:lastModifiedBy>Nasha Chia Hwee Lee</cp:lastModifiedBy>
  <cp:revision>63</cp:revision>
  <cp:lastPrinted>2013-07-28T08:52:00Z</cp:lastPrinted>
  <dcterms:created xsi:type="dcterms:W3CDTF">2020-08-11T16:00:00Z</dcterms:created>
  <dcterms:modified xsi:type="dcterms:W3CDTF">2020-08-12T16:05:00Z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0x010100227A749596941E47858AE997A4065C10</vt:lpwstr>
  </property>
</Properties>
</file>