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135" w:type="dxa"/>
        <w:tblLook w:val="04A0" w:firstRow="1" w:lastRow="0" w:firstColumn="1" w:lastColumn="0" w:noHBand="0" w:noVBand="1"/>
      </w:tblPr>
      <w:tblGrid>
        <w:gridCol w:w="1975"/>
        <w:gridCol w:w="4950"/>
        <w:gridCol w:w="1440"/>
        <w:gridCol w:w="1260"/>
        <w:gridCol w:w="1440"/>
        <w:gridCol w:w="2070"/>
      </w:tblGrid>
      <w:tr w:rsidR="00BA4D42" w:rsidRPr="00E93B96" w14:paraId="51D4CA1A" w14:textId="77777777" w:rsidTr="00C90B6D">
        <w:tc>
          <w:tcPr>
            <w:tcW w:w="1975" w:type="dxa"/>
            <w:shd w:val="clear" w:color="auto" w:fill="FFF2CC" w:themeFill="accent4" w:themeFillTint="33"/>
          </w:tcPr>
          <w:p w14:paraId="0CE320D7" w14:textId="77777777" w:rsidR="00BA4D42" w:rsidRPr="00E93B96" w:rsidRDefault="00BA4D42" w:rsidP="00BA4D42">
            <w:pPr>
              <w:rPr>
                <w:b/>
              </w:rPr>
            </w:pPr>
            <w:r w:rsidRPr="00E93B96">
              <w:rPr>
                <w:b/>
              </w:rPr>
              <w:t xml:space="preserve">Project Name </w:t>
            </w:r>
          </w:p>
        </w:tc>
        <w:tc>
          <w:tcPr>
            <w:tcW w:w="11160" w:type="dxa"/>
            <w:gridSpan w:val="5"/>
          </w:tcPr>
          <w:p w14:paraId="2D7D3806" w14:textId="77777777" w:rsidR="00D832E0" w:rsidRPr="00E93B96" w:rsidRDefault="00D832E0" w:rsidP="00D832E0">
            <w:pPr>
              <w:jc w:val="center"/>
              <w:rPr>
                <w:b/>
                <w:bCs/>
                <w:color w:val="1F4E79" w:themeColor="accent1" w:themeShade="80"/>
                <w:sz w:val="26"/>
                <w:szCs w:val="26"/>
              </w:rPr>
            </w:pPr>
          </w:p>
          <w:p w14:paraId="1D2263A6" w14:textId="4B55968B" w:rsidR="00BA4D42" w:rsidRPr="00E93B96" w:rsidRDefault="003F2D85" w:rsidP="00D832E0">
            <w:pPr>
              <w:jc w:val="center"/>
              <w:rPr>
                <w:b/>
                <w:bCs/>
                <w:color w:val="1F4E79" w:themeColor="accent1" w:themeShade="80"/>
                <w:sz w:val="26"/>
                <w:szCs w:val="26"/>
              </w:rPr>
            </w:pPr>
            <w:r w:rsidRPr="00E93B96">
              <w:rPr>
                <w:b/>
                <w:bCs/>
                <w:color w:val="1F4E79" w:themeColor="accent1" w:themeShade="80"/>
                <w:sz w:val="26"/>
                <w:szCs w:val="26"/>
              </w:rPr>
              <w:t>De-risking renewable energy NAMA for the Nigerian power sector</w:t>
            </w:r>
          </w:p>
          <w:p w14:paraId="006F8883" w14:textId="08361077" w:rsidR="00D832E0" w:rsidRPr="00E93B96" w:rsidRDefault="00D832E0" w:rsidP="00D832E0">
            <w:pPr>
              <w:jc w:val="center"/>
              <w:rPr>
                <w:b/>
                <w:bCs/>
              </w:rPr>
            </w:pPr>
          </w:p>
        </w:tc>
      </w:tr>
      <w:tr w:rsidR="00BA4D42" w:rsidRPr="00E93B96" w14:paraId="03A3846E" w14:textId="77777777" w:rsidTr="00C90B6D">
        <w:tc>
          <w:tcPr>
            <w:tcW w:w="1975" w:type="dxa"/>
            <w:shd w:val="clear" w:color="auto" w:fill="FFF2CC" w:themeFill="accent4" w:themeFillTint="33"/>
          </w:tcPr>
          <w:p w14:paraId="6B5A3058" w14:textId="77777777" w:rsidR="00BA4D42" w:rsidRPr="00E93B96" w:rsidRDefault="00BA4D42" w:rsidP="00BA4D42">
            <w:pPr>
              <w:rPr>
                <w:b/>
              </w:rPr>
            </w:pPr>
            <w:r w:rsidRPr="00E93B96">
              <w:rPr>
                <w:b/>
              </w:rPr>
              <w:t>Type of Evaluation</w:t>
            </w:r>
          </w:p>
        </w:tc>
        <w:tc>
          <w:tcPr>
            <w:tcW w:w="11160" w:type="dxa"/>
            <w:gridSpan w:val="5"/>
          </w:tcPr>
          <w:p w14:paraId="7DFD90A8" w14:textId="0BD209B6" w:rsidR="00BA4D42" w:rsidRPr="00E93B96" w:rsidRDefault="003F2D85" w:rsidP="00D832E0">
            <w:pPr>
              <w:jc w:val="center"/>
              <w:rPr>
                <w:b/>
                <w:bCs/>
                <w:color w:val="1F4E79" w:themeColor="accent1" w:themeShade="80"/>
                <w:sz w:val="26"/>
                <w:szCs w:val="26"/>
              </w:rPr>
            </w:pPr>
            <w:r w:rsidRPr="00E93B96">
              <w:rPr>
                <w:b/>
                <w:bCs/>
                <w:color w:val="1F4E79" w:themeColor="accent1" w:themeShade="80"/>
                <w:sz w:val="26"/>
                <w:szCs w:val="26"/>
              </w:rPr>
              <w:t>MTR</w:t>
            </w:r>
          </w:p>
        </w:tc>
      </w:tr>
      <w:tr w:rsidR="00BA4D42" w:rsidRPr="00E93B96" w14:paraId="558E0B21" w14:textId="77777777" w:rsidTr="00C90B6D">
        <w:tc>
          <w:tcPr>
            <w:tcW w:w="1975" w:type="dxa"/>
            <w:shd w:val="clear" w:color="auto" w:fill="FFF2CC" w:themeFill="accent4" w:themeFillTint="33"/>
          </w:tcPr>
          <w:p w14:paraId="331C2C21" w14:textId="77777777" w:rsidR="00BA4D42" w:rsidRPr="00E93B96" w:rsidRDefault="00BA4D42" w:rsidP="00BA4D42">
            <w:pPr>
              <w:rPr>
                <w:b/>
              </w:rPr>
            </w:pPr>
            <w:r w:rsidRPr="00E93B96">
              <w:rPr>
                <w:b/>
              </w:rPr>
              <w:t>Unit Responsible for providing management response</w:t>
            </w:r>
          </w:p>
        </w:tc>
        <w:tc>
          <w:tcPr>
            <w:tcW w:w="11160" w:type="dxa"/>
            <w:gridSpan w:val="5"/>
          </w:tcPr>
          <w:p w14:paraId="49B2EC53" w14:textId="77777777" w:rsidR="00D832E0" w:rsidRPr="00E93B96" w:rsidRDefault="00D832E0" w:rsidP="00D832E0">
            <w:pPr>
              <w:jc w:val="center"/>
              <w:rPr>
                <w:b/>
                <w:bCs/>
                <w:color w:val="1F4E79" w:themeColor="accent1" w:themeShade="80"/>
                <w:sz w:val="26"/>
                <w:szCs w:val="26"/>
              </w:rPr>
            </w:pPr>
          </w:p>
          <w:p w14:paraId="5AD5C25B" w14:textId="72E4AC4D" w:rsidR="00BA4D42" w:rsidRPr="00E93B96" w:rsidRDefault="00BA4D42" w:rsidP="00D832E0">
            <w:pPr>
              <w:jc w:val="center"/>
              <w:rPr>
                <w:b/>
                <w:bCs/>
                <w:color w:val="1F4E79" w:themeColor="accent1" w:themeShade="80"/>
                <w:sz w:val="26"/>
                <w:szCs w:val="26"/>
              </w:rPr>
            </w:pPr>
            <w:r w:rsidRPr="00E93B96">
              <w:rPr>
                <w:b/>
                <w:bCs/>
                <w:color w:val="1F4E79" w:themeColor="accent1" w:themeShade="80"/>
                <w:sz w:val="26"/>
                <w:szCs w:val="26"/>
              </w:rPr>
              <w:t>Nigeria</w:t>
            </w:r>
            <w:bookmarkStart w:id="0" w:name="_GoBack"/>
            <w:bookmarkEnd w:id="0"/>
          </w:p>
        </w:tc>
      </w:tr>
      <w:tr w:rsidR="00BA4D42" w:rsidRPr="00E93B96" w14:paraId="5370E3F0" w14:textId="77777777" w:rsidTr="00C90B6D">
        <w:tc>
          <w:tcPr>
            <w:tcW w:w="13135" w:type="dxa"/>
            <w:gridSpan w:val="6"/>
            <w:shd w:val="clear" w:color="auto" w:fill="FFF2CC" w:themeFill="accent4" w:themeFillTint="33"/>
          </w:tcPr>
          <w:p w14:paraId="454DC44F" w14:textId="77777777" w:rsidR="00BA4D42" w:rsidRPr="00E93B96" w:rsidRDefault="00BA4D42" w:rsidP="00BA4D42">
            <w:r w:rsidRPr="00E93B96">
              <w:rPr>
                <w:b/>
              </w:rPr>
              <w:t>Recommendation</w:t>
            </w:r>
            <w:r w:rsidR="00C90B6D" w:rsidRPr="00E93B96">
              <w:rPr>
                <w:b/>
              </w:rPr>
              <w:t>s</w:t>
            </w:r>
          </w:p>
        </w:tc>
      </w:tr>
      <w:tr w:rsidR="00BA4D42" w:rsidRPr="00E93B96" w14:paraId="74F49019" w14:textId="77777777" w:rsidTr="00C90B6D">
        <w:tc>
          <w:tcPr>
            <w:tcW w:w="13135" w:type="dxa"/>
            <w:gridSpan w:val="6"/>
            <w:shd w:val="clear" w:color="auto" w:fill="FFF2CC" w:themeFill="accent4" w:themeFillTint="33"/>
          </w:tcPr>
          <w:p w14:paraId="2CE554D7" w14:textId="77161FEC" w:rsidR="00BA4D42" w:rsidRPr="00E93B96" w:rsidRDefault="00BA4D42" w:rsidP="00BA4D42">
            <w:pPr>
              <w:rPr>
                <w:b/>
              </w:rPr>
            </w:pPr>
            <w:r w:rsidRPr="00E93B96">
              <w:rPr>
                <w:b/>
              </w:rPr>
              <w:t>1.</w:t>
            </w:r>
          </w:p>
        </w:tc>
      </w:tr>
      <w:tr w:rsidR="00FA6B13" w:rsidRPr="00E93B96" w14:paraId="214EC983" w14:textId="77777777" w:rsidTr="00C90B6D">
        <w:tc>
          <w:tcPr>
            <w:tcW w:w="1975" w:type="dxa"/>
            <w:shd w:val="clear" w:color="auto" w:fill="FFF2CC" w:themeFill="accent4" w:themeFillTint="33"/>
          </w:tcPr>
          <w:p w14:paraId="654900AC" w14:textId="77777777" w:rsidR="00FA6B13" w:rsidRPr="00E93B96" w:rsidRDefault="00FA6B13">
            <w:pPr>
              <w:rPr>
                <w:b/>
              </w:rPr>
            </w:pPr>
            <w:r w:rsidRPr="00E93B96">
              <w:rPr>
                <w:b/>
              </w:rPr>
              <w:t>Recommendation</w:t>
            </w:r>
          </w:p>
        </w:tc>
        <w:tc>
          <w:tcPr>
            <w:tcW w:w="11160" w:type="dxa"/>
            <w:gridSpan w:val="5"/>
          </w:tcPr>
          <w:p w14:paraId="12FD6D9A" w14:textId="77777777" w:rsidR="006D40E0" w:rsidRPr="00E93B96" w:rsidRDefault="006D40E0" w:rsidP="006D40E0">
            <w:r w:rsidRPr="00E93B96">
              <w:rPr>
                <w:b/>
                <w:bCs/>
              </w:rPr>
              <w:t>Reassess the project strategy and redesign the project components accordingly</w:t>
            </w:r>
            <w:r w:rsidRPr="00E93B96">
              <w:t>.</w:t>
            </w:r>
          </w:p>
          <w:p w14:paraId="3CABAE69" w14:textId="6310E474" w:rsidR="00FA6B13" w:rsidRPr="00E93B96" w:rsidRDefault="006D40E0" w:rsidP="006D40E0">
            <w:r w:rsidRPr="00E93B96">
              <w:t>Three possible options are discussed in Section 4.2.1 of this MTR report and include: Option 1, remain focused on utility-scale solar PV and update the project strategy according to current circumstances; Option 2, reorient the project strategy towards rooftop PV (on-grid); and Option 3, reorient the project strategy towards embedded generation and interconnection mini-grids. The project results framework and allocation of funding across project components should be adjusted according to the updated or revised strategy. It is also recommended to develop a theory of change for the updated project strategy and reformulate the project results framework and an exit strategy in accordance with the causal pathways. A draft theory of change is included in this MTR report for consideration.</w:t>
            </w:r>
          </w:p>
        </w:tc>
      </w:tr>
      <w:tr w:rsidR="00BA4D42" w:rsidRPr="00E93B96" w14:paraId="0FF1C0D5" w14:textId="77777777" w:rsidTr="00C90B6D">
        <w:tc>
          <w:tcPr>
            <w:tcW w:w="1975" w:type="dxa"/>
            <w:shd w:val="clear" w:color="auto" w:fill="FFF2CC" w:themeFill="accent4" w:themeFillTint="33"/>
          </w:tcPr>
          <w:p w14:paraId="6695787C" w14:textId="77777777" w:rsidR="00BA4D42" w:rsidRPr="00E93B96" w:rsidRDefault="00BA4D42">
            <w:pPr>
              <w:rPr>
                <w:b/>
              </w:rPr>
            </w:pPr>
            <w:r w:rsidRPr="00E93B96">
              <w:rPr>
                <w:b/>
              </w:rPr>
              <w:t>Management Response</w:t>
            </w:r>
          </w:p>
        </w:tc>
        <w:tc>
          <w:tcPr>
            <w:tcW w:w="11160" w:type="dxa"/>
            <w:gridSpan w:val="5"/>
          </w:tcPr>
          <w:p w14:paraId="0F3C1B58" w14:textId="2001E085" w:rsidR="00BA4D42" w:rsidRPr="00E93B96" w:rsidRDefault="00B24BAD" w:rsidP="00BA4D42">
            <w:r w:rsidRPr="00E93B96">
              <w:t>Agreed</w:t>
            </w:r>
          </w:p>
        </w:tc>
      </w:tr>
      <w:tr w:rsidR="00C90B6D" w:rsidRPr="00E93B96" w14:paraId="0596AFFF" w14:textId="77777777" w:rsidTr="00C90B6D">
        <w:tc>
          <w:tcPr>
            <w:tcW w:w="1975" w:type="dxa"/>
            <w:shd w:val="clear" w:color="auto" w:fill="FFF2CC" w:themeFill="accent4" w:themeFillTint="33"/>
          </w:tcPr>
          <w:p w14:paraId="487F7841" w14:textId="77777777" w:rsidR="00FA6B13" w:rsidRPr="00E93B96" w:rsidRDefault="00FA6B13">
            <w:pPr>
              <w:rPr>
                <w:b/>
              </w:rPr>
            </w:pPr>
            <w:r w:rsidRPr="00E93B96">
              <w:rPr>
                <w:b/>
              </w:rPr>
              <w:t>Key Actions</w:t>
            </w:r>
          </w:p>
        </w:tc>
        <w:tc>
          <w:tcPr>
            <w:tcW w:w="4950" w:type="dxa"/>
            <w:shd w:val="clear" w:color="auto" w:fill="FFF2CC" w:themeFill="accent4" w:themeFillTint="33"/>
          </w:tcPr>
          <w:p w14:paraId="5D353D63" w14:textId="77777777" w:rsidR="00FA6B13" w:rsidRPr="00E93B96" w:rsidRDefault="00FA6B13"/>
        </w:tc>
        <w:tc>
          <w:tcPr>
            <w:tcW w:w="1440" w:type="dxa"/>
            <w:shd w:val="clear" w:color="auto" w:fill="FFF2CC" w:themeFill="accent4" w:themeFillTint="33"/>
          </w:tcPr>
          <w:p w14:paraId="5E80EEC2" w14:textId="77777777" w:rsidR="00FA6B13" w:rsidRPr="00E93B96" w:rsidRDefault="004D704E">
            <w:pPr>
              <w:rPr>
                <w:b/>
              </w:rPr>
            </w:pPr>
            <w:r w:rsidRPr="00E93B96">
              <w:rPr>
                <w:b/>
              </w:rPr>
              <w:t>Responsible</w:t>
            </w:r>
          </w:p>
        </w:tc>
        <w:tc>
          <w:tcPr>
            <w:tcW w:w="1260" w:type="dxa"/>
            <w:shd w:val="clear" w:color="auto" w:fill="FFF2CC" w:themeFill="accent4" w:themeFillTint="33"/>
          </w:tcPr>
          <w:p w14:paraId="1354629E" w14:textId="77777777" w:rsidR="00FA6B13" w:rsidRPr="00E93B96" w:rsidRDefault="004D704E">
            <w:pPr>
              <w:rPr>
                <w:b/>
              </w:rPr>
            </w:pPr>
            <w:r w:rsidRPr="00E93B96">
              <w:rPr>
                <w:b/>
              </w:rPr>
              <w:t>Due</w:t>
            </w:r>
            <w:r w:rsidR="00D57DDC" w:rsidRPr="00E93B96">
              <w:rPr>
                <w:b/>
              </w:rPr>
              <w:t xml:space="preserve"> </w:t>
            </w:r>
            <w:r w:rsidRPr="00E93B96">
              <w:rPr>
                <w:b/>
              </w:rPr>
              <w:t>Date</w:t>
            </w:r>
          </w:p>
        </w:tc>
        <w:tc>
          <w:tcPr>
            <w:tcW w:w="1440" w:type="dxa"/>
            <w:shd w:val="clear" w:color="auto" w:fill="FFF2CC" w:themeFill="accent4" w:themeFillTint="33"/>
          </w:tcPr>
          <w:p w14:paraId="27580E95" w14:textId="77777777" w:rsidR="00FA6B13" w:rsidRPr="00E93B96" w:rsidRDefault="004D704E">
            <w:pPr>
              <w:rPr>
                <w:b/>
              </w:rPr>
            </w:pPr>
            <w:r w:rsidRPr="00E93B96">
              <w:rPr>
                <w:b/>
              </w:rPr>
              <w:t>Status</w:t>
            </w:r>
          </w:p>
        </w:tc>
        <w:tc>
          <w:tcPr>
            <w:tcW w:w="2070" w:type="dxa"/>
            <w:shd w:val="clear" w:color="auto" w:fill="FFF2CC" w:themeFill="accent4" w:themeFillTint="33"/>
          </w:tcPr>
          <w:p w14:paraId="78343308" w14:textId="77777777" w:rsidR="00FA6B13" w:rsidRPr="00E93B96" w:rsidRDefault="00F562F0">
            <w:pPr>
              <w:rPr>
                <w:b/>
              </w:rPr>
            </w:pPr>
            <w:r w:rsidRPr="00E93B96">
              <w:rPr>
                <w:b/>
              </w:rPr>
              <w:t>Co</w:t>
            </w:r>
            <w:r w:rsidR="004D704E" w:rsidRPr="00E93B96">
              <w:rPr>
                <w:b/>
              </w:rPr>
              <w:t>mments</w:t>
            </w:r>
          </w:p>
        </w:tc>
      </w:tr>
      <w:tr w:rsidR="008E38C2" w:rsidRPr="00E93B96" w14:paraId="4013D41B" w14:textId="77777777" w:rsidTr="00C90B6D">
        <w:tc>
          <w:tcPr>
            <w:tcW w:w="1975" w:type="dxa"/>
            <w:vMerge w:val="restart"/>
            <w:shd w:val="clear" w:color="auto" w:fill="FFF2CC" w:themeFill="accent4" w:themeFillTint="33"/>
          </w:tcPr>
          <w:p w14:paraId="00EA874F" w14:textId="77777777" w:rsidR="008E38C2" w:rsidRPr="00E93B96" w:rsidRDefault="008E38C2" w:rsidP="008E38C2">
            <w:pPr>
              <w:rPr>
                <w:b/>
              </w:rPr>
            </w:pPr>
          </w:p>
        </w:tc>
        <w:tc>
          <w:tcPr>
            <w:tcW w:w="4950" w:type="dxa"/>
          </w:tcPr>
          <w:p w14:paraId="4055819E" w14:textId="4B5171BC" w:rsidR="008E38C2" w:rsidRPr="00E93B96" w:rsidRDefault="005909F2" w:rsidP="008E38C2">
            <w:r w:rsidRPr="00E93B96">
              <w:t>In consultation with the implementing partner and key government and development partners, the project should select from among the three course correction options presented in the MTR to reorient the project strategy.</w:t>
            </w:r>
          </w:p>
        </w:tc>
        <w:tc>
          <w:tcPr>
            <w:tcW w:w="1440" w:type="dxa"/>
          </w:tcPr>
          <w:p w14:paraId="0F3CFDEF" w14:textId="77777777" w:rsidR="008E38C2" w:rsidRPr="00E93B96" w:rsidRDefault="008E38C2" w:rsidP="008E38C2">
            <w:r w:rsidRPr="00E93B96">
              <w:rPr>
                <w:b/>
                <w:bCs/>
              </w:rPr>
              <w:t>UNDP</w:t>
            </w:r>
            <w:r w:rsidRPr="00E93B96">
              <w:t>,</w:t>
            </w:r>
          </w:p>
          <w:p w14:paraId="31E67625" w14:textId="77777777" w:rsidR="008E38C2" w:rsidRPr="00E93B96" w:rsidRDefault="008E38C2" w:rsidP="008E38C2">
            <w:r w:rsidRPr="00E93B96">
              <w:t>PMU/ECN,</w:t>
            </w:r>
          </w:p>
          <w:p w14:paraId="2B5A72C7" w14:textId="714F2562" w:rsidR="008E38C2" w:rsidRPr="00E93B96" w:rsidRDefault="008E38C2" w:rsidP="008E38C2">
            <w:r w:rsidRPr="00E93B96">
              <w:t>PSC</w:t>
            </w:r>
          </w:p>
        </w:tc>
        <w:tc>
          <w:tcPr>
            <w:tcW w:w="1260" w:type="dxa"/>
          </w:tcPr>
          <w:p w14:paraId="47F1FC35" w14:textId="4D3099B8" w:rsidR="008E38C2" w:rsidRPr="00E93B96" w:rsidRDefault="008E38C2" w:rsidP="008E38C2">
            <w:r w:rsidRPr="00E93B96">
              <w:t>November 2019</w:t>
            </w:r>
          </w:p>
        </w:tc>
        <w:tc>
          <w:tcPr>
            <w:tcW w:w="1440" w:type="dxa"/>
          </w:tcPr>
          <w:p w14:paraId="296554C6" w14:textId="0833068F" w:rsidR="008E38C2" w:rsidRPr="00E93B96" w:rsidRDefault="008E38C2" w:rsidP="008E38C2">
            <w:r w:rsidRPr="00E93B96">
              <w:t>completed</w:t>
            </w:r>
          </w:p>
        </w:tc>
        <w:tc>
          <w:tcPr>
            <w:tcW w:w="2070" w:type="dxa"/>
          </w:tcPr>
          <w:p w14:paraId="0A2CE7C7" w14:textId="5206C85A" w:rsidR="008E38C2" w:rsidRPr="00E93B96" w:rsidRDefault="008E38C2" w:rsidP="008E38C2">
            <w:pPr>
              <w:rPr>
                <w:b/>
              </w:rPr>
            </w:pPr>
            <w:r w:rsidRPr="00E93B96">
              <w:t xml:space="preserve">The </w:t>
            </w:r>
            <w:r w:rsidR="005909F2" w:rsidRPr="00E93B96">
              <w:t>three</w:t>
            </w:r>
            <w:r w:rsidRPr="00E93B96">
              <w:t xml:space="preserve"> </w:t>
            </w:r>
            <w:r w:rsidR="005909F2" w:rsidRPr="00E93B96">
              <w:t>o</w:t>
            </w:r>
            <w:r w:rsidRPr="00E93B96">
              <w:t>ptions w</w:t>
            </w:r>
            <w:r w:rsidR="005909F2" w:rsidRPr="00E93B96">
              <w:t>ere</w:t>
            </w:r>
            <w:r w:rsidRPr="00E93B96">
              <w:t xml:space="preserve"> presented to PSC members. Option 3 was unanimously adopted with slight modifications: </w:t>
            </w:r>
            <w:r w:rsidRPr="00E93B96">
              <w:rPr>
                <w:b/>
              </w:rPr>
              <w:t xml:space="preserve">“Inter-connected mini-grids”. </w:t>
            </w:r>
          </w:p>
          <w:p w14:paraId="77C485BF" w14:textId="77777777" w:rsidR="008E38C2" w:rsidRPr="00E93B96" w:rsidRDefault="008E38C2" w:rsidP="008E38C2">
            <w:pPr>
              <w:rPr>
                <w:b/>
              </w:rPr>
            </w:pPr>
          </w:p>
          <w:p w14:paraId="2F71E967" w14:textId="494BE307" w:rsidR="008E38C2" w:rsidRPr="00E93B96" w:rsidRDefault="008E38C2" w:rsidP="008E38C2">
            <w:r w:rsidRPr="00E93B96">
              <w:lastRenderedPageBreak/>
              <w:t>An international consultant was engaged to re-design the project to focus on “inter-connected mini-grid”.</w:t>
            </w:r>
          </w:p>
        </w:tc>
      </w:tr>
      <w:tr w:rsidR="008E38C2" w:rsidRPr="00E93B96" w14:paraId="20BA58A9" w14:textId="77777777" w:rsidTr="00C90B6D">
        <w:tc>
          <w:tcPr>
            <w:tcW w:w="1975" w:type="dxa"/>
            <w:vMerge/>
            <w:shd w:val="clear" w:color="auto" w:fill="FFF2CC" w:themeFill="accent4" w:themeFillTint="33"/>
          </w:tcPr>
          <w:p w14:paraId="53BCF8C8" w14:textId="77777777" w:rsidR="008E38C2" w:rsidRPr="00E93B96" w:rsidRDefault="008E38C2" w:rsidP="008E38C2">
            <w:pPr>
              <w:rPr>
                <w:b/>
              </w:rPr>
            </w:pPr>
          </w:p>
        </w:tc>
        <w:tc>
          <w:tcPr>
            <w:tcW w:w="4950" w:type="dxa"/>
          </w:tcPr>
          <w:p w14:paraId="13A0FCDB" w14:textId="1330B324" w:rsidR="008E38C2" w:rsidRPr="00E93B96" w:rsidRDefault="008E38C2" w:rsidP="008E38C2">
            <w:r w:rsidRPr="00E93B96">
              <w:t>Develop a theory of change for the updated project strategy and reformulate the project results framework and an exit strategy in accordance with the causal pathways</w:t>
            </w:r>
          </w:p>
        </w:tc>
        <w:tc>
          <w:tcPr>
            <w:tcW w:w="1440" w:type="dxa"/>
          </w:tcPr>
          <w:p w14:paraId="27D33919" w14:textId="77777777" w:rsidR="008E38C2" w:rsidRPr="00E93B96" w:rsidRDefault="008E38C2" w:rsidP="008E38C2">
            <w:r w:rsidRPr="00E93B96">
              <w:rPr>
                <w:b/>
                <w:bCs/>
              </w:rPr>
              <w:t>UNDP</w:t>
            </w:r>
            <w:r w:rsidRPr="00E93B96">
              <w:t>,</w:t>
            </w:r>
          </w:p>
          <w:p w14:paraId="6D4246E0" w14:textId="77777777" w:rsidR="008E38C2" w:rsidRPr="00E93B96" w:rsidRDefault="008E38C2" w:rsidP="008E38C2">
            <w:r w:rsidRPr="00E93B96">
              <w:t>PMU/ECN,</w:t>
            </w:r>
          </w:p>
          <w:p w14:paraId="22111C20" w14:textId="22A5F491" w:rsidR="008E38C2" w:rsidRPr="00E93B96" w:rsidRDefault="008E38C2" w:rsidP="008E38C2">
            <w:r w:rsidRPr="00E93B96">
              <w:t>PSC</w:t>
            </w:r>
          </w:p>
        </w:tc>
        <w:tc>
          <w:tcPr>
            <w:tcW w:w="1260" w:type="dxa"/>
          </w:tcPr>
          <w:p w14:paraId="0570C4CE" w14:textId="02829F5C" w:rsidR="008E38C2" w:rsidRPr="00E93B96" w:rsidRDefault="008E38C2" w:rsidP="008E38C2">
            <w:r w:rsidRPr="00E93B96">
              <w:t>November 2019</w:t>
            </w:r>
          </w:p>
        </w:tc>
        <w:tc>
          <w:tcPr>
            <w:tcW w:w="1440" w:type="dxa"/>
          </w:tcPr>
          <w:p w14:paraId="523AC9C2" w14:textId="1C53DB0F" w:rsidR="008E38C2" w:rsidRPr="00E93B96" w:rsidRDefault="008E38C2" w:rsidP="008E38C2">
            <w:r w:rsidRPr="00E93B96">
              <w:t xml:space="preserve">Completed </w:t>
            </w:r>
          </w:p>
        </w:tc>
        <w:tc>
          <w:tcPr>
            <w:tcW w:w="2070" w:type="dxa"/>
          </w:tcPr>
          <w:p w14:paraId="345AF6C9" w14:textId="5EBE1D5C" w:rsidR="008E38C2" w:rsidRPr="00E93B96" w:rsidRDefault="008E38C2" w:rsidP="008E38C2">
            <w:r w:rsidRPr="00E93B96">
              <w:t>The MTR developed a draft theory of change</w:t>
            </w:r>
            <w:r w:rsidR="005909F2" w:rsidRPr="00E93B96">
              <w:t>,</w:t>
            </w:r>
            <w:r w:rsidRPr="00E93B96">
              <w:t xml:space="preserve"> which was used by the Project Strategy Revision Consultant to reformulate </w:t>
            </w:r>
            <w:r w:rsidR="00E93B96" w:rsidRPr="00E93B96">
              <w:t>the results</w:t>
            </w:r>
            <w:r w:rsidRPr="00E93B96">
              <w:t xml:space="preserve"> framework.</w:t>
            </w:r>
          </w:p>
        </w:tc>
      </w:tr>
      <w:tr w:rsidR="008E38C2" w:rsidRPr="00E93B96" w14:paraId="0B0118FD" w14:textId="77777777" w:rsidTr="00C90B6D">
        <w:tc>
          <w:tcPr>
            <w:tcW w:w="13135" w:type="dxa"/>
            <w:gridSpan w:val="6"/>
            <w:shd w:val="clear" w:color="auto" w:fill="FFF2CC" w:themeFill="accent4" w:themeFillTint="33"/>
          </w:tcPr>
          <w:p w14:paraId="27E8047E" w14:textId="77777777" w:rsidR="008E38C2" w:rsidRPr="00E93B96" w:rsidRDefault="008E38C2" w:rsidP="008E38C2">
            <w:pPr>
              <w:rPr>
                <w:b/>
              </w:rPr>
            </w:pPr>
            <w:r w:rsidRPr="00E93B96">
              <w:rPr>
                <w:b/>
              </w:rPr>
              <w:t>2.</w:t>
            </w:r>
          </w:p>
        </w:tc>
      </w:tr>
      <w:tr w:rsidR="008E38C2" w:rsidRPr="00E93B96" w14:paraId="30C6346F" w14:textId="77777777" w:rsidTr="00C90B6D">
        <w:tc>
          <w:tcPr>
            <w:tcW w:w="1975" w:type="dxa"/>
            <w:shd w:val="clear" w:color="auto" w:fill="FFF2CC" w:themeFill="accent4" w:themeFillTint="33"/>
          </w:tcPr>
          <w:p w14:paraId="442852C3" w14:textId="77777777" w:rsidR="008E38C2" w:rsidRPr="00E93B96" w:rsidRDefault="008E38C2" w:rsidP="008E38C2">
            <w:pPr>
              <w:rPr>
                <w:b/>
              </w:rPr>
            </w:pPr>
            <w:r w:rsidRPr="00E93B96">
              <w:rPr>
                <w:b/>
              </w:rPr>
              <w:t>Recommendation</w:t>
            </w:r>
          </w:p>
        </w:tc>
        <w:tc>
          <w:tcPr>
            <w:tcW w:w="11160" w:type="dxa"/>
            <w:gridSpan w:val="5"/>
          </w:tcPr>
          <w:p w14:paraId="1F7C53E2" w14:textId="77777777" w:rsidR="008E38C2" w:rsidRPr="00E93B96" w:rsidRDefault="008E38C2" w:rsidP="008E38C2">
            <w:pPr>
              <w:rPr>
                <w:b/>
                <w:bCs/>
              </w:rPr>
            </w:pPr>
            <w:r w:rsidRPr="00E93B96">
              <w:rPr>
                <w:b/>
                <w:bCs/>
              </w:rPr>
              <w:t>Strengthen involvement of the FMPW&amp;H and FME through a joint implementation approach.</w:t>
            </w:r>
          </w:p>
          <w:p w14:paraId="59FBED29" w14:textId="43DEF239" w:rsidR="008E38C2" w:rsidRPr="00E93B96" w:rsidRDefault="008E38C2" w:rsidP="008E38C2">
            <w:r w:rsidRPr="00E93B96">
              <w:t>Implementation roles and responsibilities should be assigned to the FMPW&amp;H and FME, and possibly other stakeholders, to strengthen involvement and ensure ownership of the processes.</w:t>
            </w:r>
          </w:p>
        </w:tc>
      </w:tr>
      <w:tr w:rsidR="008E38C2" w:rsidRPr="00E93B96" w14:paraId="5BB68FEE" w14:textId="77777777" w:rsidTr="00C90B6D">
        <w:tc>
          <w:tcPr>
            <w:tcW w:w="1975" w:type="dxa"/>
            <w:shd w:val="clear" w:color="auto" w:fill="FFF2CC" w:themeFill="accent4" w:themeFillTint="33"/>
          </w:tcPr>
          <w:p w14:paraId="3ED64770" w14:textId="77777777" w:rsidR="008E38C2" w:rsidRPr="00E93B96" w:rsidRDefault="008E38C2" w:rsidP="008E38C2">
            <w:pPr>
              <w:rPr>
                <w:b/>
              </w:rPr>
            </w:pPr>
            <w:r w:rsidRPr="00E93B96">
              <w:rPr>
                <w:b/>
              </w:rPr>
              <w:t>Management Response</w:t>
            </w:r>
          </w:p>
        </w:tc>
        <w:tc>
          <w:tcPr>
            <w:tcW w:w="11160" w:type="dxa"/>
            <w:gridSpan w:val="5"/>
          </w:tcPr>
          <w:p w14:paraId="3D7F679C" w14:textId="5EC6AEC0" w:rsidR="008E38C2" w:rsidRPr="00E93B96" w:rsidRDefault="0046627F" w:rsidP="008E38C2">
            <w:r w:rsidRPr="00E93B96">
              <w:t>Partially a</w:t>
            </w:r>
            <w:r w:rsidR="008E38C2" w:rsidRPr="00E93B96">
              <w:t>greed</w:t>
            </w:r>
            <w:r w:rsidRPr="00E93B96">
              <w:t>.</w:t>
            </w:r>
            <w:r w:rsidR="00AC6265" w:rsidRPr="00E93B96">
              <w:t xml:space="preserve"> </w:t>
            </w:r>
            <w:r w:rsidRPr="00E93B96">
              <w:t xml:space="preserve">The </w:t>
            </w:r>
            <w:r w:rsidR="00AC6265" w:rsidRPr="00E93B96">
              <w:t>F</w:t>
            </w:r>
            <w:r w:rsidRPr="00E93B96">
              <w:t xml:space="preserve">ederal </w:t>
            </w:r>
            <w:r w:rsidR="00AC6265" w:rsidRPr="00E93B96">
              <w:t>M</w:t>
            </w:r>
            <w:r w:rsidRPr="00E93B96">
              <w:t xml:space="preserve">inistry of </w:t>
            </w:r>
            <w:r w:rsidR="00AC6265" w:rsidRPr="00E93B96">
              <w:t>P</w:t>
            </w:r>
            <w:r w:rsidRPr="00E93B96">
              <w:t>ower (FMP)</w:t>
            </w:r>
            <w:r w:rsidR="00AC6265" w:rsidRPr="00E93B96">
              <w:t xml:space="preserve"> and F</w:t>
            </w:r>
            <w:r w:rsidRPr="00E93B96">
              <w:t xml:space="preserve">ederal </w:t>
            </w:r>
            <w:r w:rsidR="00AC6265" w:rsidRPr="00E93B96">
              <w:t>M</w:t>
            </w:r>
            <w:r w:rsidRPr="00E93B96">
              <w:t xml:space="preserve">inistry of </w:t>
            </w:r>
            <w:r w:rsidR="00AC6265" w:rsidRPr="00E93B96">
              <w:t>Env</w:t>
            </w:r>
            <w:r w:rsidRPr="00E93B96">
              <w:t>ironment</w:t>
            </w:r>
            <w:r w:rsidR="00AC6265" w:rsidRPr="00E93B96">
              <w:t xml:space="preserve"> </w:t>
            </w:r>
            <w:r w:rsidRPr="00E93B96">
              <w:t>belong</w:t>
            </w:r>
            <w:r w:rsidR="00AC6265" w:rsidRPr="00E93B96">
              <w:t xml:space="preserve"> </w:t>
            </w:r>
            <w:r w:rsidRPr="00E93B96">
              <w:t xml:space="preserve">to </w:t>
            </w:r>
            <w:r w:rsidR="00AC6265" w:rsidRPr="00E93B96">
              <w:t xml:space="preserve">the respective </w:t>
            </w:r>
            <w:r w:rsidRPr="00E93B96">
              <w:t xml:space="preserve">Technical </w:t>
            </w:r>
            <w:r w:rsidR="00AC6265" w:rsidRPr="00E93B96">
              <w:t>Working Group</w:t>
            </w:r>
            <w:r w:rsidRPr="00E93B96">
              <w:t>s</w:t>
            </w:r>
            <w:r w:rsidR="00AC6265" w:rsidRPr="00E93B96">
              <w:t xml:space="preserve"> that provide technical back-up to </w:t>
            </w:r>
            <w:r w:rsidRPr="00E93B96">
              <w:t>the Project Steering Committee (</w:t>
            </w:r>
            <w:r w:rsidR="00AC6265" w:rsidRPr="00E93B96">
              <w:t>PSC</w:t>
            </w:r>
            <w:r w:rsidRPr="00E93B96">
              <w:t>)</w:t>
            </w:r>
            <w:r w:rsidR="00AC6265" w:rsidRPr="00E93B96">
              <w:t xml:space="preserve"> and </w:t>
            </w:r>
            <w:r w:rsidRPr="00E93B96">
              <w:t>Project Management Unit (</w:t>
            </w:r>
            <w:r w:rsidR="00AC6265" w:rsidRPr="00E93B96">
              <w:t>PMU</w:t>
            </w:r>
            <w:r w:rsidRPr="00E93B96">
              <w:t>)</w:t>
            </w:r>
            <w:r w:rsidR="00AC6265" w:rsidRPr="00E93B96">
              <w:t xml:space="preserve"> as the need arises.</w:t>
            </w:r>
            <w:r w:rsidRPr="00E93B96">
              <w:t xml:space="preserve"> Nonetheless, the project team will explore ways to further strengthen the involvement of FMP and FME.</w:t>
            </w:r>
          </w:p>
        </w:tc>
      </w:tr>
      <w:tr w:rsidR="008E38C2" w:rsidRPr="00E93B96" w14:paraId="07DCA44D" w14:textId="77777777" w:rsidTr="00C90B6D">
        <w:tc>
          <w:tcPr>
            <w:tcW w:w="1975" w:type="dxa"/>
            <w:shd w:val="clear" w:color="auto" w:fill="FFF2CC" w:themeFill="accent4" w:themeFillTint="33"/>
          </w:tcPr>
          <w:p w14:paraId="05BC8983" w14:textId="77777777" w:rsidR="008E38C2" w:rsidRPr="00E93B96" w:rsidRDefault="008E38C2" w:rsidP="008E38C2">
            <w:pPr>
              <w:rPr>
                <w:b/>
              </w:rPr>
            </w:pPr>
            <w:r w:rsidRPr="00E93B96">
              <w:rPr>
                <w:b/>
              </w:rPr>
              <w:t>Key Actions</w:t>
            </w:r>
          </w:p>
        </w:tc>
        <w:tc>
          <w:tcPr>
            <w:tcW w:w="4950" w:type="dxa"/>
            <w:shd w:val="clear" w:color="auto" w:fill="FFF2CC" w:themeFill="accent4" w:themeFillTint="33"/>
          </w:tcPr>
          <w:p w14:paraId="2CF41738" w14:textId="77777777" w:rsidR="008E38C2" w:rsidRPr="00E93B96" w:rsidRDefault="008E38C2" w:rsidP="008E38C2"/>
        </w:tc>
        <w:tc>
          <w:tcPr>
            <w:tcW w:w="1440" w:type="dxa"/>
            <w:shd w:val="clear" w:color="auto" w:fill="FFF2CC" w:themeFill="accent4" w:themeFillTint="33"/>
          </w:tcPr>
          <w:p w14:paraId="2B2B94C3" w14:textId="77777777" w:rsidR="008E38C2" w:rsidRPr="00E93B96" w:rsidRDefault="008E38C2" w:rsidP="008E38C2">
            <w:pPr>
              <w:rPr>
                <w:b/>
              </w:rPr>
            </w:pPr>
            <w:r w:rsidRPr="00E93B96">
              <w:rPr>
                <w:b/>
              </w:rPr>
              <w:t>Responsible</w:t>
            </w:r>
          </w:p>
        </w:tc>
        <w:tc>
          <w:tcPr>
            <w:tcW w:w="1260" w:type="dxa"/>
            <w:shd w:val="clear" w:color="auto" w:fill="FFF2CC" w:themeFill="accent4" w:themeFillTint="33"/>
          </w:tcPr>
          <w:p w14:paraId="41F6D960" w14:textId="77777777" w:rsidR="008E38C2" w:rsidRPr="00E93B96" w:rsidRDefault="008E38C2" w:rsidP="008E38C2">
            <w:pPr>
              <w:rPr>
                <w:b/>
              </w:rPr>
            </w:pPr>
            <w:r w:rsidRPr="00E93B96">
              <w:rPr>
                <w:b/>
              </w:rPr>
              <w:t>Due Date</w:t>
            </w:r>
          </w:p>
        </w:tc>
        <w:tc>
          <w:tcPr>
            <w:tcW w:w="1440" w:type="dxa"/>
            <w:shd w:val="clear" w:color="auto" w:fill="FFF2CC" w:themeFill="accent4" w:themeFillTint="33"/>
          </w:tcPr>
          <w:p w14:paraId="35FE1E3A" w14:textId="77777777" w:rsidR="008E38C2" w:rsidRPr="00E93B96" w:rsidRDefault="008E38C2" w:rsidP="008E38C2">
            <w:pPr>
              <w:rPr>
                <w:b/>
              </w:rPr>
            </w:pPr>
            <w:r w:rsidRPr="00E93B96">
              <w:rPr>
                <w:b/>
              </w:rPr>
              <w:t>Status</w:t>
            </w:r>
          </w:p>
        </w:tc>
        <w:tc>
          <w:tcPr>
            <w:tcW w:w="2070" w:type="dxa"/>
            <w:shd w:val="clear" w:color="auto" w:fill="FFF2CC" w:themeFill="accent4" w:themeFillTint="33"/>
          </w:tcPr>
          <w:p w14:paraId="70DA758D" w14:textId="77777777" w:rsidR="008E38C2" w:rsidRPr="00E93B96" w:rsidRDefault="008E38C2" w:rsidP="008E38C2">
            <w:pPr>
              <w:rPr>
                <w:b/>
              </w:rPr>
            </w:pPr>
            <w:r w:rsidRPr="00E93B96">
              <w:rPr>
                <w:b/>
              </w:rPr>
              <w:t>Comments</w:t>
            </w:r>
          </w:p>
        </w:tc>
      </w:tr>
      <w:tr w:rsidR="008E38C2" w:rsidRPr="00E93B96" w14:paraId="187D56A1" w14:textId="77777777" w:rsidTr="00C90B6D">
        <w:tc>
          <w:tcPr>
            <w:tcW w:w="1975" w:type="dxa"/>
            <w:vMerge w:val="restart"/>
            <w:shd w:val="clear" w:color="auto" w:fill="FFF2CC" w:themeFill="accent4" w:themeFillTint="33"/>
          </w:tcPr>
          <w:p w14:paraId="3697DE0A" w14:textId="77777777" w:rsidR="008E38C2" w:rsidRPr="00E93B96" w:rsidRDefault="008E38C2" w:rsidP="008E38C2">
            <w:pPr>
              <w:rPr>
                <w:b/>
              </w:rPr>
            </w:pPr>
          </w:p>
        </w:tc>
        <w:tc>
          <w:tcPr>
            <w:tcW w:w="4950" w:type="dxa"/>
          </w:tcPr>
          <w:p w14:paraId="7B2DE4B8" w14:textId="072AE015" w:rsidR="008E38C2" w:rsidRPr="00E93B96" w:rsidRDefault="0046627F" w:rsidP="008E38C2">
            <w:r w:rsidRPr="00E93B96">
              <w:t xml:space="preserve">Develop a Gantt chart that includes the full range of activities and outputs under each component, anticipated time of conclusion as well as progress over time. The responsible person should be named in the chart. The responsible person, where relevant, should present progress against these expectations at the PSC. </w:t>
            </w:r>
          </w:p>
        </w:tc>
        <w:tc>
          <w:tcPr>
            <w:tcW w:w="1440" w:type="dxa"/>
          </w:tcPr>
          <w:p w14:paraId="2AAC64CD" w14:textId="23606C12" w:rsidR="008E38C2" w:rsidRPr="00E93B96" w:rsidRDefault="008E38C2" w:rsidP="008E38C2">
            <w:r w:rsidRPr="00E93B96">
              <w:rPr>
                <w:rFonts w:cs="Calibri-Bold"/>
                <w:b/>
                <w:bCs/>
                <w:sz w:val="18"/>
                <w:szCs w:val="18"/>
              </w:rPr>
              <w:t>UNDP, PSC</w:t>
            </w:r>
          </w:p>
        </w:tc>
        <w:tc>
          <w:tcPr>
            <w:tcW w:w="1260" w:type="dxa"/>
          </w:tcPr>
          <w:p w14:paraId="32A3CCFD" w14:textId="12E3416D" w:rsidR="008E38C2" w:rsidRPr="00E93B96" w:rsidRDefault="005909F2" w:rsidP="008E38C2">
            <w:r w:rsidRPr="00E93B96">
              <w:t>October 2020</w:t>
            </w:r>
          </w:p>
        </w:tc>
        <w:tc>
          <w:tcPr>
            <w:tcW w:w="1440" w:type="dxa"/>
          </w:tcPr>
          <w:p w14:paraId="50FBC872" w14:textId="3351A420" w:rsidR="008E38C2" w:rsidRPr="00E93B96" w:rsidRDefault="005909F2" w:rsidP="008E38C2">
            <w:r w:rsidRPr="00E93B96">
              <w:t>Ongoing</w:t>
            </w:r>
          </w:p>
        </w:tc>
        <w:tc>
          <w:tcPr>
            <w:tcW w:w="2070" w:type="dxa"/>
          </w:tcPr>
          <w:p w14:paraId="6645A2A4" w14:textId="50AE17B2" w:rsidR="008E38C2" w:rsidRPr="00E93B96" w:rsidRDefault="00E93B96" w:rsidP="008E38C2">
            <w:r w:rsidRPr="00E93B96">
              <w:t>This has been agreed as part of the preparation of the 2020 PSC</w:t>
            </w:r>
          </w:p>
        </w:tc>
      </w:tr>
      <w:tr w:rsidR="008E38C2" w:rsidRPr="00E93B96" w14:paraId="63320D71" w14:textId="77777777" w:rsidTr="00C90B6D">
        <w:tc>
          <w:tcPr>
            <w:tcW w:w="1975" w:type="dxa"/>
            <w:vMerge/>
            <w:shd w:val="clear" w:color="auto" w:fill="FFF2CC" w:themeFill="accent4" w:themeFillTint="33"/>
          </w:tcPr>
          <w:p w14:paraId="1B712B4B" w14:textId="77777777" w:rsidR="008E38C2" w:rsidRPr="00E93B96" w:rsidRDefault="008E38C2" w:rsidP="008E38C2">
            <w:pPr>
              <w:rPr>
                <w:b/>
              </w:rPr>
            </w:pPr>
          </w:p>
        </w:tc>
        <w:tc>
          <w:tcPr>
            <w:tcW w:w="4950" w:type="dxa"/>
          </w:tcPr>
          <w:p w14:paraId="5F9696B0" w14:textId="03C22486" w:rsidR="008E38C2" w:rsidRPr="00E93B96" w:rsidRDefault="008E38C2" w:rsidP="008E38C2"/>
        </w:tc>
        <w:tc>
          <w:tcPr>
            <w:tcW w:w="1440" w:type="dxa"/>
          </w:tcPr>
          <w:p w14:paraId="2F1FD1DA" w14:textId="5EA890A6" w:rsidR="008E38C2" w:rsidRPr="00E93B96" w:rsidRDefault="008E38C2" w:rsidP="008E38C2"/>
        </w:tc>
        <w:tc>
          <w:tcPr>
            <w:tcW w:w="1260" w:type="dxa"/>
          </w:tcPr>
          <w:p w14:paraId="72C271F5" w14:textId="3C4C8574" w:rsidR="008E38C2" w:rsidRPr="00E93B96" w:rsidRDefault="008E38C2" w:rsidP="008E38C2"/>
        </w:tc>
        <w:tc>
          <w:tcPr>
            <w:tcW w:w="1440" w:type="dxa"/>
          </w:tcPr>
          <w:p w14:paraId="289AB513" w14:textId="38F579C0" w:rsidR="008E38C2" w:rsidRPr="00E93B96" w:rsidRDefault="008E38C2" w:rsidP="008E38C2"/>
        </w:tc>
        <w:tc>
          <w:tcPr>
            <w:tcW w:w="2070" w:type="dxa"/>
          </w:tcPr>
          <w:p w14:paraId="52215120" w14:textId="4239A82C" w:rsidR="008E38C2" w:rsidRPr="00E93B96" w:rsidRDefault="008E38C2" w:rsidP="008E38C2"/>
        </w:tc>
      </w:tr>
      <w:tr w:rsidR="008E38C2" w:rsidRPr="00E93B96" w14:paraId="6D2230A1" w14:textId="77777777" w:rsidTr="00C90B6D">
        <w:tc>
          <w:tcPr>
            <w:tcW w:w="13135" w:type="dxa"/>
            <w:gridSpan w:val="6"/>
            <w:shd w:val="clear" w:color="auto" w:fill="FFF2CC" w:themeFill="accent4" w:themeFillTint="33"/>
          </w:tcPr>
          <w:p w14:paraId="123A9992" w14:textId="77777777" w:rsidR="008E38C2" w:rsidRPr="00E93B96" w:rsidRDefault="008E38C2" w:rsidP="008E38C2">
            <w:pPr>
              <w:rPr>
                <w:b/>
              </w:rPr>
            </w:pPr>
            <w:r w:rsidRPr="00E93B96">
              <w:rPr>
                <w:b/>
              </w:rPr>
              <w:t>3.</w:t>
            </w:r>
          </w:p>
        </w:tc>
      </w:tr>
      <w:tr w:rsidR="008E38C2" w:rsidRPr="00E93B96" w14:paraId="4967CE50" w14:textId="77777777" w:rsidTr="00C90B6D">
        <w:tc>
          <w:tcPr>
            <w:tcW w:w="1975" w:type="dxa"/>
            <w:shd w:val="clear" w:color="auto" w:fill="FFF2CC" w:themeFill="accent4" w:themeFillTint="33"/>
          </w:tcPr>
          <w:p w14:paraId="53B09257" w14:textId="77777777" w:rsidR="008E38C2" w:rsidRPr="00E93B96" w:rsidRDefault="008E38C2" w:rsidP="008E38C2">
            <w:pPr>
              <w:rPr>
                <w:b/>
              </w:rPr>
            </w:pPr>
            <w:r w:rsidRPr="00E93B96">
              <w:rPr>
                <w:b/>
              </w:rPr>
              <w:lastRenderedPageBreak/>
              <w:t>Recommendation</w:t>
            </w:r>
          </w:p>
        </w:tc>
        <w:tc>
          <w:tcPr>
            <w:tcW w:w="11160" w:type="dxa"/>
            <w:gridSpan w:val="5"/>
          </w:tcPr>
          <w:p w14:paraId="73B14D9A" w14:textId="77777777" w:rsidR="008E38C2" w:rsidRPr="00E93B96" w:rsidRDefault="008E38C2" w:rsidP="008E38C2">
            <w:pPr>
              <w:rPr>
                <w:b/>
                <w:bCs/>
              </w:rPr>
            </w:pPr>
            <w:r w:rsidRPr="00E93B96">
              <w:rPr>
                <w:b/>
                <w:bCs/>
              </w:rPr>
              <w:t>Identify institutional roles and responsibilities for the project outputs and facilitate ownership of project</w:t>
            </w:r>
          </w:p>
          <w:p w14:paraId="73FB007B" w14:textId="77777777" w:rsidR="008E38C2" w:rsidRPr="00E93B96" w:rsidRDefault="008E38C2" w:rsidP="008E38C2">
            <w:pPr>
              <w:rPr>
                <w:b/>
                <w:bCs/>
              </w:rPr>
            </w:pPr>
            <w:r w:rsidRPr="00E93B96">
              <w:rPr>
                <w:b/>
                <w:bCs/>
              </w:rPr>
              <w:t>results, through institutionalizing the project results.</w:t>
            </w:r>
          </w:p>
          <w:p w14:paraId="7F8AC600" w14:textId="29EACDAB" w:rsidR="008E38C2" w:rsidRPr="00E93B96" w:rsidRDefault="008E38C2" w:rsidP="008E38C2">
            <w:r w:rsidRPr="00E93B96">
              <w:t>The institutional roles and responsibilities for each of the project outputs should be identified, and specific “champions” assigned in the relevant institutions to help facilitate institutionalization of project results. Project</w:t>
            </w:r>
          </w:p>
          <w:p w14:paraId="09DAEECE" w14:textId="440203E5" w:rsidR="008E38C2" w:rsidRPr="00E93B96" w:rsidRDefault="008E38C2" w:rsidP="008E38C2">
            <w:r w:rsidRPr="00E93B96">
              <w:t>outputs include, but are not limited to</w:t>
            </w:r>
            <w:r w:rsidR="005909F2" w:rsidRPr="00E93B96">
              <w:t>,</w:t>
            </w:r>
            <w:r w:rsidRPr="00E93B96">
              <w:t xml:space="preserve"> technology action plans, MRV mechanism, GIS tool, environmental and</w:t>
            </w:r>
          </w:p>
          <w:p w14:paraId="37EAE534" w14:textId="2F08119B" w:rsidR="008E38C2" w:rsidRPr="00E93B96" w:rsidRDefault="008E38C2" w:rsidP="008E38C2">
            <w:r w:rsidRPr="00E93B96">
              <w:t>social safeguard guidelines, financial sector reforms, etc.</w:t>
            </w:r>
          </w:p>
        </w:tc>
      </w:tr>
      <w:tr w:rsidR="008E38C2" w:rsidRPr="00E93B96" w14:paraId="0ACC7C2F" w14:textId="77777777" w:rsidTr="00C90B6D">
        <w:tc>
          <w:tcPr>
            <w:tcW w:w="1975" w:type="dxa"/>
            <w:shd w:val="clear" w:color="auto" w:fill="FFF2CC" w:themeFill="accent4" w:themeFillTint="33"/>
          </w:tcPr>
          <w:p w14:paraId="2E62A569" w14:textId="77777777" w:rsidR="008E38C2" w:rsidRPr="00E93B96" w:rsidRDefault="008E38C2" w:rsidP="008E38C2">
            <w:pPr>
              <w:rPr>
                <w:b/>
              </w:rPr>
            </w:pPr>
            <w:r w:rsidRPr="00E93B96">
              <w:rPr>
                <w:b/>
              </w:rPr>
              <w:t>Management Response</w:t>
            </w:r>
          </w:p>
        </w:tc>
        <w:tc>
          <w:tcPr>
            <w:tcW w:w="11160" w:type="dxa"/>
            <w:gridSpan w:val="5"/>
          </w:tcPr>
          <w:p w14:paraId="19707886" w14:textId="09FEAB90" w:rsidR="008E38C2" w:rsidRPr="00E93B96" w:rsidRDefault="008E38C2" w:rsidP="008E38C2">
            <w:r w:rsidRPr="00E93B96">
              <w:t>Agreed.</w:t>
            </w:r>
          </w:p>
        </w:tc>
      </w:tr>
      <w:tr w:rsidR="008E38C2" w:rsidRPr="00E93B96" w14:paraId="734709ED" w14:textId="77777777" w:rsidTr="00C90B6D">
        <w:tc>
          <w:tcPr>
            <w:tcW w:w="1975" w:type="dxa"/>
            <w:shd w:val="clear" w:color="auto" w:fill="FFF2CC" w:themeFill="accent4" w:themeFillTint="33"/>
          </w:tcPr>
          <w:p w14:paraId="61C4BFD5" w14:textId="77777777" w:rsidR="008E38C2" w:rsidRPr="00E93B96" w:rsidRDefault="008E38C2" w:rsidP="008E38C2">
            <w:pPr>
              <w:rPr>
                <w:b/>
              </w:rPr>
            </w:pPr>
            <w:r w:rsidRPr="00E93B96">
              <w:rPr>
                <w:b/>
              </w:rPr>
              <w:t>Key Actions</w:t>
            </w:r>
          </w:p>
        </w:tc>
        <w:tc>
          <w:tcPr>
            <w:tcW w:w="4950" w:type="dxa"/>
            <w:shd w:val="clear" w:color="auto" w:fill="FFF2CC" w:themeFill="accent4" w:themeFillTint="33"/>
          </w:tcPr>
          <w:p w14:paraId="54004763" w14:textId="77777777" w:rsidR="008E38C2" w:rsidRPr="00E93B96" w:rsidRDefault="008E38C2" w:rsidP="008E38C2"/>
        </w:tc>
        <w:tc>
          <w:tcPr>
            <w:tcW w:w="1440" w:type="dxa"/>
            <w:shd w:val="clear" w:color="auto" w:fill="FFF2CC" w:themeFill="accent4" w:themeFillTint="33"/>
          </w:tcPr>
          <w:p w14:paraId="29BF8838" w14:textId="77777777" w:rsidR="008E38C2" w:rsidRPr="00E93B96" w:rsidRDefault="008E38C2" w:rsidP="008E38C2">
            <w:pPr>
              <w:rPr>
                <w:b/>
              </w:rPr>
            </w:pPr>
            <w:r w:rsidRPr="00E93B96">
              <w:rPr>
                <w:b/>
              </w:rPr>
              <w:t>Responsible</w:t>
            </w:r>
          </w:p>
        </w:tc>
        <w:tc>
          <w:tcPr>
            <w:tcW w:w="1260" w:type="dxa"/>
            <w:shd w:val="clear" w:color="auto" w:fill="FFF2CC" w:themeFill="accent4" w:themeFillTint="33"/>
          </w:tcPr>
          <w:p w14:paraId="33D98B5C" w14:textId="77777777" w:rsidR="008E38C2" w:rsidRPr="00E93B96" w:rsidRDefault="008E38C2" w:rsidP="008E38C2">
            <w:pPr>
              <w:rPr>
                <w:b/>
              </w:rPr>
            </w:pPr>
            <w:r w:rsidRPr="00E93B96">
              <w:rPr>
                <w:b/>
              </w:rPr>
              <w:t>Due Date</w:t>
            </w:r>
          </w:p>
        </w:tc>
        <w:tc>
          <w:tcPr>
            <w:tcW w:w="1440" w:type="dxa"/>
            <w:shd w:val="clear" w:color="auto" w:fill="FFF2CC" w:themeFill="accent4" w:themeFillTint="33"/>
          </w:tcPr>
          <w:p w14:paraId="3BC4190C" w14:textId="77777777" w:rsidR="008E38C2" w:rsidRPr="00E93B96" w:rsidRDefault="008E38C2" w:rsidP="008E38C2">
            <w:pPr>
              <w:rPr>
                <w:b/>
              </w:rPr>
            </w:pPr>
            <w:r w:rsidRPr="00E93B96">
              <w:rPr>
                <w:b/>
              </w:rPr>
              <w:t>Status</w:t>
            </w:r>
          </w:p>
        </w:tc>
        <w:tc>
          <w:tcPr>
            <w:tcW w:w="2070" w:type="dxa"/>
            <w:shd w:val="clear" w:color="auto" w:fill="FFF2CC" w:themeFill="accent4" w:themeFillTint="33"/>
          </w:tcPr>
          <w:p w14:paraId="6D01A5EB" w14:textId="77777777" w:rsidR="008E38C2" w:rsidRPr="00E93B96" w:rsidRDefault="008E38C2" w:rsidP="008E38C2">
            <w:pPr>
              <w:rPr>
                <w:b/>
              </w:rPr>
            </w:pPr>
            <w:r w:rsidRPr="00E93B96">
              <w:rPr>
                <w:b/>
              </w:rPr>
              <w:t>Comments</w:t>
            </w:r>
          </w:p>
        </w:tc>
      </w:tr>
      <w:tr w:rsidR="008E38C2" w:rsidRPr="00E93B96" w14:paraId="6B505C21" w14:textId="77777777" w:rsidTr="00C90B6D">
        <w:tc>
          <w:tcPr>
            <w:tcW w:w="1975" w:type="dxa"/>
            <w:vMerge w:val="restart"/>
            <w:shd w:val="clear" w:color="auto" w:fill="FFF2CC" w:themeFill="accent4" w:themeFillTint="33"/>
          </w:tcPr>
          <w:p w14:paraId="0754B61F" w14:textId="77777777" w:rsidR="008E38C2" w:rsidRPr="00E93B96" w:rsidRDefault="008E38C2" w:rsidP="008E38C2">
            <w:pPr>
              <w:rPr>
                <w:b/>
              </w:rPr>
            </w:pPr>
          </w:p>
        </w:tc>
        <w:tc>
          <w:tcPr>
            <w:tcW w:w="4950" w:type="dxa"/>
          </w:tcPr>
          <w:p w14:paraId="57DB81D3" w14:textId="29AAA388" w:rsidR="008E38C2" w:rsidRPr="00E93B96" w:rsidRDefault="008E38C2" w:rsidP="008E38C2">
            <w:r w:rsidRPr="00E93B96">
              <w:t>Specific institutional roles and responsibilities will be assigned for each of the project outputs. These institutions will serve as “champions” to help facilitate institutionalization of project results</w:t>
            </w:r>
          </w:p>
        </w:tc>
        <w:tc>
          <w:tcPr>
            <w:tcW w:w="1440" w:type="dxa"/>
          </w:tcPr>
          <w:p w14:paraId="1B106F32" w14:textId="7C1DD84D" w:rsidR="008E38C2" w:rsidRPr="00E93B96" w:rsidRDefault="008E38C2" w:rsidP="008E38C2">
            <w:r w:rsidRPr="00E93B96">
              <w:rPr>
                <w:rFonts w:cs="Calibri-Bold"/>
                <w:b/>
                <w:bCs/>
                <w:sz w:val="18"/>
                <w:szCs w:val="18"/>
              </w:rPr>
              <w:t>PMU</w:t>
            </w:r>
            <w:r w:rsidRPr="00E93B96">
              <w:rPr>
                <w:rFonts w:cs="Calibri"/>
                <w:sz w:val="18"/>
                <w:szCs w:val="18"/>
              </w:rPr>
              <w:t>, PSC</w:t>
            </w:r>
          </w:p>
        </w:tc>
        <w:tc>
          <w:tcPr>
            <w:tcW w:w="1260" w:type="dxa"/>
          </w:tcPr>
          <w:p w14:paraId="60868816" w14:textId="2CFE09DD" w:rsidR="008E38C2" w:rsidRPr="00E93B96" w:rsidRDefault="00656379" w:rsidP="008E38C2">
            <w:r w:rsidRPr="00E93B96">
              <w:t>October 2020</w:t>
            </w:r>
          </w:p>
        </w:tc>
        <w:tc>
          <w:tcPr>
            <w:tcW w:w="1440" w:type="dxa"/>
          </w:tcPr>
          <w:p w14:paraId="241F934E" w14:textId="37343893" w:rsidR="008E38C2" w:rsidRPr="00E93B96" w:rsidRDefault="008E54EA" w:rsidP="008E38C2">
            <w:r w:rsidRPr="00E93B96">
              <w:t>On-going</w:t>
            </w:r>
          </w:p>
        </w:tc>
        <w:tc>
          <w:tcPr>
            <w:tcW w:w="2070" w:type="dxa"/>
          </w:tcPr>
          <w:p w14:paraId="6A62CC9C" w14:textId="3EC045A2" w:rsidR="008E38C2" w:rsidRPr="00E93B96" w:rsidRDefault="008E38C2" w:rsidP="008E38C2">
            <w:r w:rsidRPr="00E93B96">
              <w:t xml:space="preserve">Institutional roles </w:t>
            </w:r>
            <w:r w:rsidR="00DF14C2" w:rsidRPr="00E93B96">
              <w:t xml:space="preserve">are being </w:t>
            </w:r>
            <w:r w:rsidRPr="00E93B96">
              <w:t>identified and responsibilities assigned for each of the project outputs.</w:t>
            </w:r>
          </w:p>
        </w:tc>
      </w:tr>
      <w:tr w:rsidR="008E38C2" w:rsidRPr="00E93B96" w14:paraId="74B79F5D" w14:textId="77777777" w:rsidTr="00C90B6D">
        <w:tc>
          <w:tcPr>
            <w:tcW w:w="1975" w:type="dxa"/>
            <w:vMerge/>
            <w:shd w:val="clear" w:color="auto" w:fill="FFF2CC" w:themeFill="accent4" w:themeFillTint="33"/>
          </w:tcPr>
          <w:p w14:paraId="04EB4791" w14:textId="77777777" w:rsidR="008E38C2" w:rsidRPr="00E93B96" w:rsidRDefault="008E38C2" w:rsidP="008E38C2">
            <w:pPr>
              <w:rPr>
                <w:b/>
              </w:rPr>
            </w:pPr>
          </w:p>
        </w:tc>
        <w:tc>
          <w:tcPr>
            <w:tcW w:w="4950" w:type="dxa"/>
          </w:tcPr>
          <w:p w14:paraId="5125369A" w14:textId="5E123BEF" w:rsidR="008E38C2" w:rsidRPr="00E93B96" w:rsidRDefault="008E38C2" w:rsidP="008E38C2"/>
        </w:tc>
        <w:tc>
          <w:tcPr>
            <w:tcW w:w="1440" w:type="dxa"/>
          </w:tcPr>
          <w:p w14:paraId="1BACA33D" w14:textId="77777777" w:rsidR="008E38C2" w:rsidRPr="00E93B96" w:rsidRDefault="008E38C2" w:rsidP="008E38C2"/>
        </w:tc>
        <w:tc>
          <w:tcPr>
            <w:tcW w:w="1260" w:type="dxa"/>
          </w:tcPr>
          <w:p w14:paraId="48FF2736" w14:textId="77777777" w:rsidR="008E38C2" w:rsidRPr="00E93B96" w:rsidRDefault="008E38C2" w:rsidP="008E38C2"/>
        </w:tc>
        <w:tc>
          <w:tcPr>
            <w:tcW w:w="1440" w:type="dxa"/>
          </w:tcPr>
          <w:p w14:paraId="7F902A77" w14:textId="77777777" w:rsidR="008E38C2" w:rsidRPr="00E93B96" w:rsidRDefault="008E38C2" w:rsidP="008E38C2"/>
        </w:tc>
        <w:tc>
          <w:tcPr>
            <w:tcW w:w="2070" w:type="dxa"/>
          </w:tcPr>
          <w:p w14:paraId="58BA0DFE" w14:textId="77777777" w:rsidR="008E38C2" w:rsidRPr="00E93B96" w:rsidRDefault="008E38C2" w:rsidP="008E38C2"/>
        </w:tc>
      </w:tr>
      <w:tr w:rsidR="008E38C2" w:rsidRPr="00E93B96" w14:paraId="4752591C" w14:textId="77777777" w:rsidTr="00C90B6D">
        <w:tc>
          <w:tcPr>
            <w:tcW w:w="13135" w:type="dxa"/>
            <w:gridSpan w:val="6"/>
            <w:shd w:val="clear" w:color="auto" w:fill="FFF2CC" w:themeFill="accent4" w:themeFillTint="33"/>
          </w:tcPr>
          <w:p w14:paraId="4369A7AC" w14:textId="77777777" w:rsidR="008E38C2" w:rsidRPr="00E93B96" w:rsidRDefault="008E38C2" w:rsidP="008E38C2">
            <w:pPr>
              <w:rPr>
                <w:b/>
              </w:rPr>
            </w:pPr>
            <w:r w:rsidRPr="00E93B96">
              <w:rPr>
                <w:b/>
              </w:rPr>
              <w:t>4.</w:t>
            </w:r>
          </w:p>
        </w:tc>
      </w:tr>
      <w:tr w:rsidR="008E38C2" w:rsidRPr="00E93B96" w14:paraId="5DE43187" w14:textId="77777777" w:rsidTr="00C90B6D">
        <w:tc>
          <w:tcPr>
            <w:tcW w:w="1975" w:type="dxa"/>
            <w:shd w:val="clear" w:color="auto" w:fill="FFF2CC" w:themeFill="accent4" w:themeFillTint="33"/>
          </w:tcPr>
          <w:p w14:paraId="3D316907" w14:textId="77777777" w:rsidR="008E38C2" w:rsidRPr="00E93B96" w:rsidRDefault="008E38C2" w:rsidP="008E38C2">
            <w:pPr>
              <w:rPr>
                <w:b/>
              </w:rPr>
            </w:pPr>
            <w:r w:rsidRPr="00E93B96">
              <w:rPr>
                <w:b/>
              </w:rPr>
              <w:t>Recommendation</w:t>
            </w:r>
          </w:p>
        </w:tc>
        <w:tc>
          <w:tcPr>
            <w:tcW w:w="11160" w:type="dxa"/>
            <w:gridSpan w:val="5"/>
          </w:tcPr>
          <w:p w14:paraId="73ABD973" w14:textId="77777777" w:rsidR="008E38C2" w:rsidRPr="00E93B96" w:rsidRDefault="008E38C2" w:rsidP="008E38C2">
            <w:pPr>
              <w:rPr>
                <w:b/>
                <w:bCs/>
              </w:rPr>
            </w:pPr>
            <w:r w:rsidRPr="00E93B96">
              <w:rPr>
                <w:b/>
                <w:bCs/>
              </w:rPr>
              <w:t>Provide technical advisory support to help ensure coherency of project results.</w:t>
            </w:r>
          </w:p>
          <w:p w14:paraId="2B9713ED" w14:textId="18DFAFC8" w:rsidR="008E38C2" w:rsidRPr="00E93B96" w:rsidRDefault="008E38C2" w:rsidP="008E38C2">
            <w:r w:rsidRPr="00E93B96">
              <w:t xml:space="preserve">A part-time chief technical advisor should be recruited to support the PMU in ensuring </w:t>
            </w:r>
            <w:r w:rsidR="005909F2" w:rsidRPr="00E93B96">
              <w:t xml:space="preserve">a </w:t>
            </w:r>
            <w:r w:rsidRPr="00E93B96">
              <w:t>high quality of project outputs and to guide the project towards achieving the intended outcomes.</w:t>
            </w:r>
          </w:p>
        </w:tc>
      </w:tr>
      <w:tr w:rsidR="008E38C2" w:rsidRPr="00E93B96" w14:paraId="3D18EFC6" w14:textId="77777777" w:rsidTr="00C90B6D">
        <w:tc>
          <w:tcPr>
            <w:tcW w:w="1975" w:type="dxa"/>
            <w:shd w:val="clear" w:color="auto" w:fill="FFF2CC" w:themeFill="accent4" w:themeFillTint="33"/>
          </w:tcPr>
          <w:p w14:paraId="164CFE5C" w14:textId="77777777" w:rsidR="008E38C2" w:rsidRPr="00E93B96" w:rsidRDefault="008E38C2" w:rsidP="008E38C2">
            <w:pPr>
              <w:rPr>
                <w:b/>
              </w:rPr>
            </w:pPr>
            <w:r w:rsidRPr="00E93B96">
              <w:rPr>
                <w:b/>
              </w:rPr>
              <w:t>Management Response</w:t>
            </w:r>
          </w:p>
        </w:tc>
        <w:tc>
          <w:tcPr>
            <w:tcW w:w="11160" w:type="dxa"/>
            <w:gridSpan w:val="5"/>
          </w:tcPr>
          <w:p w14:paraId="22C6BBA2" w14:textId="643DA4E2" w:rsidR="008E38C2" w:rsidRPr="00E93B96" w:rsidRDefault="008E38C2" w:rsidP="008E38C2">
            <w:r w:rsidRPr="00E93B96">
              <w:t>Agreed</w:t>
            </w:r>
          </w:p>
        </w:tc>
      </w:tr>
      <w:tr w:rsidR="008E38C2" w:rsidRPr="00E93B96" w14:paraId="5E2E53B9" w14:textId="77777777" w:rsidTr="00C90B6D">
        <w:tc>
          <w:tcPr>
            <w:tcW w:w="1975" w:type="dxa"/>
            <w:shd w:val="clear" w:color="auto" w:fill="FFF2CC" w:themeFill="accent4" w:themeFillTint="33"/>
          </w:tcPr>
          <w:p w14:paraId="00B34212" w14:textId="77777777" w:rsidR="008E38C2" w:rsidRPr="00E93B96" w:rsidRDefault="008E38C2" w:rsidP="008E38C2">
            <w:pPr>
              <w:rPr>
                <w:b/>
              </w:rPr>
            </w:pPr>
            <w:r w:rsidRPr="00E93B96">
              <w:rPr>
                <w:b/>
              </w:rPr>
              <w:t>Key Actions</w:t>
            </w:r>
          </w:p>
        </w:tc>
        <w:tc>
          <w:tcPr>
            <w:tcW w:w="4950" w:type="dxa"/>
            <w:shd w:val="clear" w:color="auto" w:fill="FFF2CC" w:themeFill="accent4" w:themeFillTint="33"/>
          </w:tcPr>
          <w:p w14:paraId="77FA566C" w14:textId="77777777" w:rsidR="008E38C2" w:rsidRPr="00E93B96" w:rsidRDefault="008E38C2" w:rsidP="008E38C2"/>
        </w:tc>
        <w:tc>
          <w:tcPr>
            <w:tcW w:w="1440" w:type="dxa"/>
            <w:shd w:val="clear" w:color="auto" w:fill="FFF2CC" w:themeFill="accent4" w:themeFillTint="33"/>
          </w:tcPr>
          <w:p w14:paraId="59D25BAE" w14:textId="77777777" w:rsidR="008E38C2" w:rsidRPr="00E93B96" w:rsidRDefault="008E38C2" w:rsidP="008E38C2">
            <w:pPr>
              <w:rPr>
                <w:b/>
              </w:rPr>
            </w:pPr>
            <w:r w:rsidRPr="00E93B96">
              <w:rPr>
                <w:b/>
              </w:rPr>
              <w:t>Responsible</w:t>
            </w:r>
          </w:p>
        </w:tc>
        <w:tc>
          <w:tcPr>
            <w:tcW w:w="1260" w:type="dxa"/>
            <w:shd w:val="clear" w:color="auto" w:fill="FFF2CC" w:themeFill="accent4" w:themeFillTint="33"/>
          </w:tcPr>
          <w:p w14:paraId="7613FD8C" w14:textId="77777777" w:rsidR="008E38C2" w:rsidRPr="00E93B96" w:rsidRDefault="008E38C2" w:rsidP="008E38C2">
            <w:pPr>
              <w:rPr>
                <w:b/>
              </w:rPr>
            </w:pPr>
            <w:r w:rsidRPr="00E93B96">
              <w:rPr>
                <w:b/>
              </w:rPr>
              <w:t>Due Date</w:t>
            </w:r>
          </w:p>
        </w:tc>
        <w:tc>
          <w:tcPr>
            <w:tcW w:w="1440" w:type="dxa"/>
            <w:shd w:val="clear" w:color="auto" w:fill="FFF2CC" w:themeFill="accent4" w:themeFillTint="33"/>
          </w:tcPr>
          <w:p w14:paraId="77F2CDCE" w14:textId="77777777" w:rsidR="008E38C2" w:rsidRPr="00E93B96" w:rsidRDefault="008E38C2" w:rsidP="008E38C2">
            <w:pPr>
              <w:rPr>
                <w:b/>
              </w:rPr>
            </w:pPr>
            <w:r w:rsidRPr="00E93B96">
              <w:rPr>
                <w:b/>
              </w:rPr>
              <w:t>Status</w:t>
            </w:r>
          </w:p>
        </w:tc>
        <w:tc>
          <w:tcPr>
            <w:tcW w:w="2070" w:type="dxa"/>
            <w:shd w:val="clear" w:color="auto" w:fill="FFF2CC" w:themeFill="accent4" w:themeFillTint="33"/>
          </w:tcPr>
          <w:p w14:paraId="38CE520B" w14:textId="77777777" w:rsidR="008E38C2" w:rsidRPr="00E93B96" w:rsidRDefault="008E38C2" w:rsidP="008E38C2">
            <w:pPr>
              <w:rPr>
                <w:b/>
              </w:rPr>
            </w:pPr>
            <w:r w:rsidRPr="00E93B96">
              <w:rPr>
                <w:b/>
              </w:rPr>
              <w:t>Comments</w:t>
            </w:r>
          </w:p>
        </w:tc>
      </w:tr>
      <w:tr w:rsidR="008E38C2" w:rsidRPr="00E93B96" w14:paraId="2FE0D9B4" w14:textId="77777777" w:rsidTr="00C90B6D">
        <w:tc>
          <w:tcPr>
            <w:tcW w:w="1975" w:type="dxa"/>
            <w:vMerge w:val="restart"/>
            <w:shd w:val="clear" w:color="auto" w:fill="FFF2CC" w:themeFill="accent4" w:themeFillTint="33"/>
          </w:tcPr>
          <w:p w14:paraId="324ED758" w14:textId="77777777" w:rsidR="008E38C2" w:rsidRPr="00E93B96" w:rsidRDefault="008E38C2" w:rsidP="008E38C2">
            <w:pPr>
              <w:rPr>
                <w:b/>
              </w:rPr>
            </w:pPr>
          </w:p>
        </w:tc>
        <w:tc>
          <w:tcPr>
            <w:tcW w:w="4950" w:type="dxa"/>
          </w:tcPr>
          <w:p w14:paraId="15A81D78" w14:textId="0D831ACB" w:rsidR="008E38C2" w:rsidRPr="00E93B96" w:rsidRDefault="008E38C2" w:rsidP="008E38C2">
            <w:r w:rsidRPr="00E93B96">
              <w:t xml:space="preserve">A CTA will be engaged to support the PMU in ensuring </w:t>
            </w:r>
            <w:r w:rsidR="005909F2" w:rsidRPr="00E93B96">
              <w:t xml:space="preserve">a </w:t>
            </w:r>
            <w:r w:rsidRPr="00E93B96">
              <w:t>high quality of project outputs and to guide the project towards achieving the intended outcomes.</w:t>
            </w:r>
          </w:p>
        </w:tc>
        <w:tc>
          <w:tcPr>
            <w:tcW w:w="1440" w:type="dxa"/>
          </w:tcPr>
          <w:p w14:paraId="6D7F378B" w14:textId="4DE1DE6E" w:rsidR="008E38C2" w:rsidRPr="00E93B96" w:rsidRDefault="008E38C2" w:rsidP="008E38C2">
            <w:r w:rsidRPr="00E93B96">
              <w:rPr>
                <w:b/>
                <w:bCs/>
              </w:rPr>
              <w:t>PMU, UNDP</w:t>
            </w:r>
          </w:p>
        </w:tc>
        <w:tc>
          <w:tcPr>
            <w:tcW w:w="1260" w:type="dxa"/>
          </w:tcPr>
          <w:p w14:paraId="4482BD1E" w14:textId="285F47C6" w:rsidR="008E38C2" w:rsidRPr="00E93B96" w:rsidRDefault="00765FBB" w:rsidP="008E38C2">
            <w:r w:rsidRPr="00E93B96">
              <w:t>May, 2020</w:t>
            </w:r>
          </w:p>
        </w:tc>
        <w:tc>
          <w:tcPr>
            <w:tcW w:w="1440" w:type="dxa"/>
          </w:tcPr>
          <w:p w14:paraId="669DF7D8" w14:textId="7DF48245" w:rsidR="008E38C2" w:rsidRPr="00E93B96" w:rsidRDefault="008E38C2" w:rsidP="008E38C2">
            <w:r w:rsidRPr="00E93B96">
              <w:t xml:space="preserve">On-going </w:t>
            </w:r>
          </w:p>
        </w:tc>
        <w:tc>
          <w:tcPr>
            <w:tcW w:w="2070" w:type="dxa"/>
          </w:tcPr>
          <w:p w14:paraId="553A1267" w14:textId="21642EDD" w:rsidR="008E38C2" w:rsidRPr="00E93B96" w:rsidRDefault="008E38C2" w:rsidP="00E21630">
            <w:r w:rsidRPr="00E93B96">
              <w:t xml:space="preserve">Engagement of a CTA </w:t>
            </w:r>
            <w:r w:rsidR="004039B1" w:rsidRPr="00E93B96">
              <w:t>delayed</w:t>
            </w:r>
            <w:r w:rsidRPr="00E93B96">
              <w:t xml:space="preserve">. Procurement notice was </w:t>
            </w:r>
            <w:r w:rsidR="00E21630" w:rsidRPr="00E93B96">
              <w:t>placed</w:t>
            </w:r>
            <w:r w:rsidRPr="00E93B96">
              <w:t xml:space="preserve"> </w:t>
            </w:r>
            <w:r w:rsidR="00C25B19" w:rsidRPr="00E93B96">
              <w:t>b</w:t>
            </w:r>
            <w:r w:rsidR="005E044F" w:rsidRPr="00E93B96">
              <w:t xml:space="preserve">y UNDP </w:t>
            </w:r>
            <w:r w:rsidRPr="00E93B96">
              <w:t xml:space="preserve">since 26 January 2020 but no response yet. </w:t>
            </w:r>
            <w:r w:rsidR="00DB72BF" w:rsidRPr="00E93B96">
              <w:t xml:space="preserve">The procurement notice will be </w:t>
            </w:r>
            <w:r w:rsidR="00E93B96" w:rsidRPr="00E93B96">
              <w:t>advertised</w:t>
            </w:r>
            <w:r w:rsidR="00DB72BF" w:rsidRPr="00E93B96">
              <w:t xml:space="preserve">. The CO will also reach out to the </w:t>
            </w:r>
            <w:r w:rsidR="00DB72BF" w:rsidRPr="00E93B96">
              <w:lastRenderedPageBreak/>
              <w:t>Regional Centre regarding the possibility of procuring relevant expertise from one of the regional or global rosters.</w:t>
            </w:r>
          </w:p>
        </w:tc>
      </w:tr>
      <w:tr w:rsidR="008E38C2" w:rsidRPr="00E93B96" w14:paraId="12D6F749" w14:textId="77777777" w:rsidTr="00C90B6D">
        <w:tc>
          <w:tcPr>
            <w:tcW w:w="1975" w:type="dxa"/>
            <w:vMerge/>
            <w:shd w:val="clear" w:color="auto" w:fill="FFF2CC" w:themeFill="accent4" w:themeFillTint="33"/>
          </w:tcPr>
          <w:p w14:paraId="600C9186" w14:textId="77777777" w:rsidR="008E38C2" w:rsidRPr="00E93B96" w:rsidRDefault="008E38C2" w:rsidP="008E38C2">
            <w:pPr>
              <w:rPr>
                <w:b/>
              </w:rPr>
            </w:pPr>
          </w:p>
        </w:tc>
        <w:tc>
          <w:tcPr>
            <w:tcW w:w="4950" w:type="dxa"/>
          </w:tcPr>
          <w:p w14:paraId="5D37B84A" w14:textId="7F9EADC2" w:rsidR="008E38C2" w:rsidRPr="00E93B96" w:rsidRDefault="008E38C2" w:rsidP="008E38C2"/>
        </w:tc>
        <w:tc>
          <w:tcPr>
            <w:tcW w:w="1440" w:type="dxa"/>
          </w:tcPr>
          <w:p w14:paraId="3DA5DD54" w14:textId="77777777" w:rsidR="008E38C2" w:rsidRPr="00E93B96" w:rsidRDefault="008E38C2" w:rsidP="008E38C2"/>
        </w:tc>
        <w:tc>
          <w:tcPr>
            <w:tcW w:w="1260" w:type="dxa"/>
          </w:tcPr>
          <w:p w14:paraId="1F28AF51" w14:textId="77777777" w:rsidR="008E38C2" w:rsidRPr="00E93B96" w:rsidRDefault="008E38C2" w:rsidP="008E38C2"/>
        </w:tc>
        <w:tc>
          <w:tcPr>
            <w:tcW w:w="1440" w:type="dxa"/>
          </w:tcPr>
          <w:p w14:paraId="76DA7B0F" w14:textId="77777777" w:rsidR="008E38C2" w:rsidRPr="00E93B96" w:rsidRDefault="008E38C2" w:rsidP="008E38C2"/>
        </w:tc>
        <w:tc>
          <w:tcPr>
            <w:tcW w:w="2070" w:type="dxa"/>
          </w:tcPr>
          <w:p w14:paraId="36AFD6FA" w14:textId="77777777" w:rsidR="008E38C2" w:rsidRPr="00E93B96" w:rsidRDefault="008E38C2" w:rsidP="008E38C2"/>
        </w:tc>
      </w:tr>
      <w:tr w:rsidR="008E38C2" w:rsidRPr="00E93B96" w14:paraId="2C43FCAF" w14:textId="77777777" w:rsidTr="00DD1F21">
        <w:tc>
          <w:tcPr>
            <w:tcW w:w="13135" w:type="dxa"/>
            <w:gridSpan w:val="6"/>
            <w:shd w:val="clear" w:color="auto" w:fill="FFF2CC" w:themeFill="accent4" w:themeFillTint="33"/>
          </w:tcPr>
          <w:p w14:paraId="4EABB4CD" w14:textId="6422D269" w:rsidR="008E38C2" w:rsidRPr="00E93B96" w:rsidRDefault="008E38C2" w:rsidP="008E38C2">
            <w:pPr>
              <w:rPr>
                <w:b/>
              </w:rPr>
            </w:pPr>
            <w:r w:rsidRPr="00E93B96">
              <w:rPr>
                <w:b/>
              </w:rPr>
              <w:t>5.</w:t>
            </w:r>
          </w:p>
        </w:tc>
      </w:tr>
      <w:tr w:rsidR="008E38C2" w:rsidRPr="00E93B96" w14:paraId="28362C66" w14:textId="77777777" w:rsidTr="00DD1F21">
        <w:tc>
          <w:tcPr>
            <w:tcW w:w="1975" w:type="dxa"/>
            <w:shd w:val="clear" w:color="auto" w:fill="FFF2CC" w:themeFill="accent4" w:themeFillTint="33"/>
          </w:tcPr>
          <w:p w14:paraId="474181BE" w14:textId="77777777" w:rsidR="008E38C2" w:rsidRPr="00E93B96" w:rsidRDefault="008E38C2" w:rsidP="008E38C2">
            <w:pPr>
              <w:rPr>
                <w:b/>
              </w:rPr>
            </w:pPr>
            <w:r w:rsidRPr="00E93B96">
              <w:rPr>
                <w:b/>
              </w:rPr>
              <w:t>Recommendation</w:t>
            </w:r>
          </w:p>
        </w:tc>
        <w:tc>
          <w:tcPr>
            <w:tcW w:w="11160" w:type="dxa"/>
            <w:gridSpan w:val="5"/>
          </w:tcPr>
          <w:p w14:paraId="4528AA07" w14:textId="77777777" w:rsidR="008E38C2" w:rsidRPr="00E93B96" w:rsidRDefault="008E38C2" w:rsidP="008E38C2">
            <w:pPr>
              <w:rPr>
                <w:b/>
                <w:bCs/>
              </w:rPr>
            </w:pPr>
            <w:r w:rsidRPr="00E93B96">
              <w:rPr>
                <w:b/>
                <w:bCs/>
              </w:rPr>
              <w:t>Streamline and clarify the role and responsibilities of the project steering committee.</w:t>
            </w:r>
          </w:p>
          <w:p w14:paraId="371B2A65" w14:textId="0FE84F29" w:rsidR="008E38C2" w:rsidRPr="00E93B96" w:rsidRDefault="008E38C2" w:rsidP="008E38C2">
            <w:r w:rsidRPr="00E93B96">
              <w:t xml:space="preserve">A </w:t>
            </w:r>
            <w:r w:rsidR="00E93B96" w:rsidRPr="00E93B96">
              <w:t>term of reference</w:t>
            </w:r>
            <w:r w:rsidRPr="00E93B96">
              <w:t xml:space="preserve"> should be prepared for the project steering committee that includes identification of members and descriptions of roles and responsibilities. Stakeholders that are not members of the PSC should be encouraged to attend the PSC meetings as observers.</w:t>
            </w:r>
          </w:p>
        </w:tc>
      </w:tr>
      <w:tr w:rsidR="008E38C2" w:rsidRPr="00E93B96" w14:paraId="4C0AE330" w14:textId="77777777" w:rsidTr="00DD1F21">
        <w:tc>
          <w:tcPr>
            <w:tcW w:w="1975" w:type="dxa"/>
            <w:shd w:val="clear" w:color="auto" w:fill="FFF2CC" w:themeFill="accent4" w:themeFillTint="33"/>
          </w:tcPr>
          <w:p w14:paraId="41521860" w14:textId="77777777" w:rsidR="008E38C2" w:rsidRPr="00E93B96" w:rsidRDefault="008E38C2" w:rsidP="008E38C2">
            <w:pPr>
              <w:rPr>
                <w:b/>
              </w:rPr>
            </w:pPr>
            <w:r w:rsidRPr="00E93B96">
              <w:rPr>
                <w:b/>
              </w:rPr>
              <w:t>Management Response</w:t>
            </w:r>
          </w:p>
        </w:tc>
        <w:tc>
          <w:tcPr>
            <w:tcW w:w="11160" w:type="dxa"/>
            <w:gridSpan w:val="5"/>
          </w:tcPr>
          <w:p w14:paraId="057DF41E" w14:textId="56783DFB" w:rsidR="008E38C2" w:rsidRPr="00E93B96" w:rsidRDefault="008E38C2" w:rsidP="008E38C2">
            <w:r w:rsidRPr="00E93B96">
              <w:t>Agreed</w:t>
            </w:r>
          </w:p>
        </w:tc>
      </w:tr>
      <w:tr w:rsidR="008E38C2" w:rsidRPr="00E93B96" w14:paraId="2276C501" w14:textId="77777777" w:rsidTr="00DD1F21">
        <w:tc>
          <w:tcPr>
            <w:tcW w:w="1975" w:type="dxa"/>
            <w:shd w:val="clear" w:color="auto" w:fill="FFF2CC" w:themeFill="accent4" w:themeFillTint="33"/>
          </w:tcPr>
          <w:p w14:paraId="58BA7C6E" w14:textId="77777777" w:rsidR="008E38C2" w:rsidRPr="00E93B96" w:rsidRDefault="008E38C2" w:rsidP="008E38C2">
            <w:pPr>
              <w:rPr>
                <w:b/>
              </w:rPr>
            </w:pPr>
            <w:r w:rsidRPr="00E93B96">
              <w:rPr>
                <w:b/>
              </w:rPr>
              <w:t>Key Actions</w:t>
            </w:r>
          </w:p>
        </w:tc>
        <w:tc>
          <w:tcPr>
            <w:tcW w:w="4950" w:type="dxa"/>
            <w:shd w:val="clear" w:color="auto" w:fill="FFF2CC" w:themeFill="accent4" w:themeFillTint="33"/>
          </w:tcPr>
          <w:p w14:paraId="0544798E" w14:textId="77777777" w:rsidR="008E38C2" w:rsidRPr="00E93B96" w:rsidRDefault="008E38C2" w:rsidP="008E38C2"/>
        </w:tc>
        <w:tc>
          <w:tcPr>
            <w:tcW w:w="1440" w:type="dxa"/>
            <w:shd w:val="clear" w:color="auto" w:fill="FFF2CC" w:themeFill="accent4" w:themeFillTint="33"/>
          </w:tcPr>
          <w:p w14:paraId="2EF7FE26" w14:textId="77777777" w:rsidR="008E38C2" w:rsidRPr="00E93B96" w:rsidRDefault="008E38C2" w:rsidP="008E38C2">
            <w:pPr>
              <w:rPr>
                <w:b/>
              </w:rPr>
            </w:pPr>
            <w:r w:rsidRPr="00E93B96">
              <w:rPr>
                <w:b/>
              </w:rPr>
              <w:t>Responsible</w:t>
            </w:r>
          </w:p>
        </w:tc>
        <w:tc>
          <w:tcPr>
            <w:tcW w:w="1260" w:type="dxa"/>
            <w:shd w:val="clear" w:color="auto" w:fill="FFF2CC" w:themeFill="accent4" w:themeFillTint="33"/>
          </w:tcPr>
          <w:p w14:paraId="7ADDCF2B" w14:textId="77777777" w:rsidR="008E38C2" w:rsidRPr="00E93B96" w:rsidRDefault="008E38C2" w:rsidP="008E38C2">
            <w:pPr>
              <w:rPr>
                <w:b/>
              </w:rPr>
            </w:pPr>
            <w:r w:rsidRPr="00E93B96">
              <w:rPr>
                <w:b/>
              </w:rPr>
              <w:t>Due Date</w:t>
            </w:r>
          </w:p>
        </w:tc>
        <w:tc>
          <w:tcPr>
            <w:tcW w:w="1440" w:type="dxa"/>
            <w:shd w:val="clear" w:color="auto" w:fill="FFF2CC" w:themeFill="accent4" w:themeFillTint="33"/>
          </w:tcPr>
          <w:p w14:paraId="2A619CE2" w14:textId="77777777" w:rsidR="008E38C2" w:rsidRPr="00E93B96" w:rsidRDefault="008E38C2" w:rsidP="008E38C2">
            <w:pPr>
              <w:rPr>
                <w:b/>
              </w:rPr>
            </w:pPr>
            <w:r w:rsidRPr="00E93B96">
              <w:rPr>
                <w:b/>
              </w:rPr>
              <w:t>Status</w:t>
            </w:r>
          </w:p>
        </w:tc>
        <w:tc>
          <w:tcPr>
            <w:tcW w:w="2070" w:type="dxa"/>
            <w:shd w:val="clear" w:color="auto" w:fill="FFF2CC" w:themeFill="accent4" w:themeFillTint="33"/>
          </w:tcPr>
          <w:p w14:paraId="7DCC521B" w14:textId="77777777" w:rsidR="008E38C2" w:rsidRPr="00E93B96" w:rsidRDefault="008E38C2" w:rsidP="008E38C2">
            <w:pPr>
              <w:rPr>
                <w:b/>
              </w:rPr>
            </w:pPr>
            <w:r w:rsidRPr="00E93B96">
              <w:rPr>
                <w:b/>
              </w:rPr>
              <w:t>Comments</w:t>
            </w:r>
          </w:p>
        </w:tc>
      </w:tr>
      <w:tr w:rsidR="008E38C2" w:rsidRPr="00E93B96" w14:paraId="4754531B" w14:textId="77777777" w:rsidTr="00DD1F21">
        <w:tc>
          <w:tcPr>
            <w:tcW w:w="1975" w:type="dxa"/>
            <w:vMerge w:val="restart"/>
            <w:shd w:val="clear" w:color="auto" w:fill="FFF2CC" w:themeFill="accent4" w:themeFillTint="33"/>
          </w:tcPr>
          <w:p w14:paraId="4170801E" w14:textId="77777777" w:rsidR="008E38C2" w:rsidRPr="00E93B96" w:rsidRDefault="008E38C2" w:rsidP="008E38C2">
            <w:pPr>
              <w:rPr>
                <w:b/>
              </w:rPr>
            </w:pPr>
          </w:p>
        </w:tc>
        <w:tc>
          <w:tcPr>
            <w:tcW w:w="4950" w:type="dxa"/>
          </w:tcPr>
          <w:p w14:paraId="13EFE70D" w14:textId="55893EF5" w:rsidR="008E38C2" w:rsidRPr="00E93B96" w:rsidRDefault="008E38C2" w:rsidP="008E38C2">
            <w:r w:rsidRPr="00E93B96">
              <w:t>Prepare and adopt terms of reference for the project steering committee to document their roles and responsibilities</w:t>
            </w:r>
          </w:p>
        </w:tc>
        <w:tc>
          <w:tcPr>
            <w:tcW w:w="1440" w:type="dxa"/>
          </w:tcPr>
          <w:p w14:paraId="757FA3A1" w14:textId="248CB74C" w:rsidR="008E38C2" w:rsidRPr="00E93B96" w:rsidRDefault="008E38C2" w:rsidP="008E38C2">
            <w:r w:rsidRPr="00E93B96">
              <w:rPr>
                <w:b/>
                <w:bCs/>
              </w:rPr>
              <w:t>PMU, UNDP</w:t>
            </w:r>
          </w:p>
        </w:tc>
        <w:tc>
          <w:tcPr>
            <w:tcW w:w="1260" w:type="dxa"/>
          </w:tcPr>
          <w:p w14:paraId="3CB54363" w14:textId="21E08079" w:rsidR="008E38C2" w:rsidRPr="00E93B96" w:rsidRDefault="008E38C2" w:rsidP="008E38C2">
            <w:r w:rsidRPr="00E93B96">
              <w:t>September 2020.</w:t>
            </w:r>
          </w:p>
        </w:tc>
        <w:tc>
          <w:tcPr>
            <w:tcW w:w="1440" w:type="dxa"/>
          </w:tcPr>
          <w:p w14:paraId="10E6F606" w14:textId="3E57DAD9" w:rsidR="008E38C2" w:rsidRPr="00E93B96" w:rsidRDefault="008E38C2" w:rsidP="008E38C2">
            <w:r w:rsidRPr="00E93B96">
              <w:t xml:space="preserve">On-going </w:t>
            </w:r>
          </w:p>
        </w:tc>
        <w:tc>
          <w:tcPr>
            <w:tcW w:w="2070" w:type="dxa"/>
          </w:tcPr>
          <w:p w14:paraId="0778FB7B" w14:textId="36FF01A9" w:rsidR="008E38C2" w:rsidRPr="00E93B96" w:rsidRDefault="008E38C2" w:rsidP="008E38C2">
            <w:r w:rsidRPr="00E93B96">
              <w:t xml:space="preserve">Draft terms of reference </w:t>
            </w:r>
            <w:r w:rsidR="00E020A1" w:rsidRPr="00E93B96">
              <w:t xml:space="preserve">for the project steering committee </w:t>
            </w:r>
            <w:r w:rsidRPr="00E93B96">
              <w:t>to be finalized.</w:t>
            </w:r>
          </w:p>
        </w:tc>
      </w:tr>
      <w:tr w:rsidR="008E38C2" w:rsidRPr="00E93B96" w14:paraId="7DFE0CC4" w14:textId="77777777" w:rsidTr="00DD1F21">
        <w:tc>
          <w:tcPr>
            <w:tcW w:w="1975" w:type="dxa"/>
            <w:vMerge/>
            <w:shd w:val="clear" w:color="auto" w:fill="FFF2CC" w:themeFill="accent4" w:themeFillTint="33"/>
          </w:tcPr>
          <w:p w14:paraId="09052035" w14:textId="77777777" w:rsidR="008E38C2" w:rsidRPr="00E93B96" w:rsidRDefault="008E38C2" w:rsidP="008E38C2">
            <w:pPr>
              <w:rPr>
                <w:b/>
              </w:rPr>
            </w:pPr>
          </w:p>
        </w:tc>
        <w:tc>
          <w:tcPr>
            <w:tcW w:w="4950" w:type="dxa"/>
          </w:tcPr>
          <w:p w14:paraId="24B14C39" w14:textId="5AB0A50A" w:rsidR="008E38C2" w:rsidRPr="00E93B96" w:rsidRDefault="008E38C2" w:rsidP="008E38C2"/>
        </w:tc>
        <w:tc>
          <w:tcPr>
            <w:tcW w:w="1440" w:type="dxa"/>
          </w:tcPr>
          <w:p w14:paraId="40C5FEAC" w14:textId="77777777" w:rsidR="008E38C2" w:rsidRPr="00E93B96" w:rsidRDefault="008E38C2" w:rsidP="008E38C2"/>
        </w:tc>
        <w:tc>
          <w:tcPr>
            <w:tcW w:w="1260" w:type="dxa"/>
          </w:tcPr>
          <w:p w14:paraId="06C7EFC5" w14:textId="77777777" w:rsidR="008E38C2" w:rsidRPr="00E93B96" w:rsidRDefault="008E38C2" w:rsidP="008E38C2"/>
        </w:tc>
        <w:tc>
          <w:tcPr>
            <w:tcW w:w="1440" w:type="dxa"/>
          </w:tcPr>
          <w:p w14:paraId="3F45FF88" w14:textId="77777777" w:rsidR="008E38C2" w:rsidRPr="00E93B96" w:rsidRDefault="008E38C2" w:rsidP="008E38C2"/>
        </w:tc>
        <w:tc>
          <w:tcPr>
            <w:tcW w:w="2070" w:type="dxa"/>
          </w:tcPr>
          <w:p w14:paraId="7B68C943" w14:textId="77777777" w:rsidR="008E38C2" w:rsidRPr="00E93B96" w:rsidRDefault="008E38C2" w:rsidP="008E38C2"/>
        </w:tc>
      </w:tr>
      <w:tr w:rsidR="008E38C2" w:rsidRPr="00E93B96" w14:paraId="3355D1E0" w14:textId="77777777" w:rsidTr="00DD1F21">
        <w:tc>
          <w:tcPr>
            <w:tcW w:w="13135" w:type="dxa"/>
            <w:gridSpan w:val="6"/>
            <w:shd w:val="clear" w:color="auto" w:fill="FFF2CC" w:themeFill="accent4" w:themeFillTint="33"/>
          </w:tcPr>
          <w:p w14:paraId="163CBE1B" w14:textId="377D9C6A" w:rsidR="008E38C2" w:rsidRPr="00E93B96" w:rsidRDefault="008E38C2" w:rsidP="008E38C2">
            <w:pPr>
              <w:rPr>
                <w:b/>
              </w:rPr>
            </w:pPr>
            <w:r w:rsidRPr="00E93B96">
              <w:rPr>
                <w:b/>
              </w:rPr>
              <w:t>6.</w:t>
            </w:r>
          </w:p>
        </w:tc>
      </w:tr>
      <w:tr w:rsidR="008E38C2" w:rsidRPr="00E93B96" w14:paraId="0A3AC02B" w14:textId="77777777" w:rsidTr="00DD1F21">
        <w:tc>
          <w:tcPr>
            <w:tcW w:w="1975" w:type="dxa"/>
            <w:shd w:val="clear" w:color="auto" w:fill="FFF2CC" w:themeFill="accent4" w:themeFillTint="33"/>
          </w:tcPr>
          <w:p w14:paraId="7E613D76" w14:textId="77777777" w:rsidR="008E38C2" w:rsidRPr="00E93B96" w:rsidRDefault="008E38C2" w:rsidP="008E38C2">
            <w:pPr>
              <w:rPr>
                <w:b/>
              </w:rPr>
            </w:pPr>
            <w:r w:rsidRPr="00E93B96">
              <w:rPr>
                <w:b/>
              </w:rPr>
              <w:t>Recommendation</w:t>
            </w:r>
          </w:p>
        </w:tc>
        <w:tc>
          <w:tcPr>
            <w:tcW w:w="11160" w:type="dxa"/>
            <w:gridSpan w:val="5"/>
          </w:tcPr>
          <w:p w14:paraId="67E61D45" w14:textId="77777777" w:rsidR="008E38C2" w:rsidRPr="00E93B96" w:rsidRDefault="008E38C2" w:rsidP="008E38C2">
            <w:pPr>
              <w:rPr>
                <w:b/>
                <w:bCs/>
              </w:rPr>
            </w:pPr>
            <w:r w:rsidRPr="00E93B96">
              <w:rPr>
                <w:b/>
                <w:bCs/>
              </w:rPr>
              <w:t>Develop and implement a communication and knowledge management strategy and action plan.</w:t>
            </w:r>
          </w:p>
          <w:p w14:paraId="737FD5D2" w14:textId="110DC3F4" w:rsidR="008E38C2" w:rsidRPr="00E93B96" w:rsidRDefault="008E38C2" w:rsidP="008E38C2">
            <w:r w:rsidRPr="00E93B96">
              <w:t>A communication and knowledge management strategy and action plan should be developed in accordance with the updated or revised project strategy. An emphasis should be placed on proactively sharing knowledge generated by the project and information from the RE sector in general, as one of the derisking instruments to overcome the barrier of the lack of awareness and knowledge of the value of RE among decision-makers, consumers, end-users and local residents.</w:t>
            </w:r>
          </w:p>
        </w:tc>
      </w:tr>
      <w:tr w:rsidR="008E38C2" w:rsidRPr="00E93B96" w14:paraId="419C706B" w14:textId="77777777" w:rsidTr="00DD1F21">
        <w:tc>
          <w:tcPr>
            <w:tcW w:w="1975" w:type="dxa"/>
            <w:shd w:val="clear" w:color="auto" w:fill="FFF2CC" w:themeFill="accent4" w:themeFillTint="33"/>
          </w:tcPr>
          <w:p w14:paraId="0AEAF43C" w14:textId="77777777" w:rsidR="008E38C2" w:rsidRPr="00E93B96" w:rsidRDefault="008E38C2" w:rsidP="008E38C2">
            <w:pPr>
              <w:rPr>
                <w:b/>
              </w:rPr>
            </w:pPr>
            <w:r w:rsidRPr="00E93B96">
              <w:rPr>
                <w:b/>
              </w:rPr>
              <w:t>Management Response</w:t>
            </w:r>
          </w:p>
        </w:tc>
        <w:tc>
          <w:tcPr>
            <w:tcW w:w="11160" w:type="dxa"/>
            <w:gridSpan w:val="5"/>
          </w:tcPr>
          <w:p w14:paraId="72A867A1" w14:textId="7FF42E4E" w:rsidR="008E38C2" w:rsidRPr="00E93B96" w:rsidRDefault="008E38C2" w:rsidP="008E38C2">
            <w:r w:rsidRPr="00E93B96">
              <w:t>Agreed</w:t>
            </w:r>
          </w:p>
        </w:tc>
      </w:tr>
      <w:tr w:rsidR="008E38C2" w:rsidRPr="00E93B96" w14:paraId="7D2E2211" w14:textId="77777777" w:rsidTr="00DD1F21">
        <w:tc>
          <w:tcPr>
            <w:tcW w:w="1975" w:type="dxa"/>
            <w:shd w:val="clear" w:color="auto" w:fill="FFF2CC" w:themeFill="accent4" w:themeFillTint="33"/>
          </w:tcPr>
          <w:p w14:paraId="29918620" w14:textId="77777777" w:rsidR="008E38C2" w:rsidRPr="00E93B96" w:rsidRDefault="008E38C2" w:rsidP="008E38C2">
            <w:pPr>
              <w:rPr>
                <w:b/>
              </w:rPr>
            </w:pPr>
            <w:r w:rsidRPr="00E93B96">
              <w:rPr>
                <w:b/>
              </w:rPr>
              <w:t>Key Actions</w:t>
            </w:r>
          </w:p>
        </w:tc>
        <w:tc>
          <w:tcPr>
            <w:tcW w:w="4950" w:type="dxa"/>
            <w:shd w:val="clear" w:color="auto" w:fill="FFF2CC" w:themeFill="accent4" w:themeFillTint="33"/>
          </w:tcPr>
          <w:p w14:paraId="4ED33784" w14:textId="77777777" w:rsidR="008E38C2" w:rsidRPr="00E93B96" w:rsidRDefault="008E38C2" w:rsidP="008E38C2"/>
        </w:tc>
        <w:tc>
          <w:tcPr>
            <w:tcW w:w="1440" w:type="dxa"/>
            <w:shd w:val="clear" w:color="auto" w:fill="FFF2CC" w:themeFill="accent4" w:themeFillTint="33"/>
          </w:tcPr>
          <w:p w14:paraId="18059E25" w14:textId="77777777" w:rsidR="008E38C2" w:rsidRPr="00E93B96" w:rsidRDefault="008E38C2" w:rsidP="008E38C2">
            <w:pPr>
              <w:rPr>
                <w:b/>
              </w:rPr>
            </w:pPr>
            <w:r w:rsidRPr="00E93B96">
              <w:rPr>
                <w:b/>
              </w:rPr>
              <w:t>Responsible</w:t>
            </w:r>
          </w:p>
        </w:tc>
        <w:tc>
          <w:tcPr>
            <w:tcW w:w="1260" w:type="dxa"/>
            <w:shd w:val="clear" w:color="auto" w:fill="FFF2CC" w:themeFill="accent4" w:themeFillTint="33"/>
          </w:tcPr>
          <w:p w14:paraId="2A90A717" w14:textId="77777777" w:rsidR="008E38C2" w:rsidRPr="00E93B96" w:rsidRDefault="008E38C2" w:rsidP="008E38C2">
            <w:pPr>
              <w:rPr>
                <w:b/>
              </w:rPr>
            </w:pPr>
            <w:r w:rsidRPr="00E93B96">
              <w:rPr>
                <w:b/>
              </w:rPr>
              <w:t>Due Date</w:t>
            </w:r>
          </w:p>
        </w:tc>
        <w:tc>
          <w:tcPr>
            <w:tcW w:w="1440" w:type="dxa"/>
            <w:shd w:val="clear" w:color="auto" w:fill="FFF2CC" w:themeFill="accent4" w:themeFillTint="33"/>
          </w:tcPr>
          <w:p w14:paraId="0A66F94C" w14:textId="77777777" w:rsidR="008E38C2" w:rsidRPr="00E93B96" w:rsidRDefault="008E38C2" w:rsidP="008E38C2">
            <w:pPr>
              <w:rPr>
                <w:b/>
              </w:rPr>
            </w:pPr>
            <w:r w:rsidRPr="00E93B96">
              <w:rPr>
                <w:b/>
              </w:rPr>
              <w:t>Status</w:t>
            </w:r>
          </w:p>
        </w:tc>
        <w:tc>
          <w:tcPr>
            <w:tcW w:w="2070" w:type="dxa"/>
            <w:shd w:val="clear" w:color="auto" w:fill="FFF2CC" w:themeFill="accent4" w:themeFillTint="33"/>
          </w:tcPr>
          <w:p w14:paraId="2B768737" w14:textId="77777777" w:rsidR="008E38C2" w:rsidRPr="00E93B96" w:rsidRDefault="008E38C2" w:rsidP="008E38C2">
            <w:pPr>
              <w:rPr>
                <w:b/>
              </w:rPr>
            </w:pPr>
            <w:r w:rsidRPr="00E93B96">
              <w:rPr>
                <w:b/>
              </w:rPr>
              <w:t>Comments</w:t>
            </w:r>
          </w:p>
        </w:tc>
      </w:tr>
      <w:tr w:rsidR="008E38C2" w:rsidRPr="00E93B96" w14:paraId="01C83CFA" w14:textId="77777777" w:rsidTr="00DD1F21">
        <w:tc>
          <w:tcPr>
            <w:tcW w:w="1975" w:type="dxa"/>
            <w:vMerge w:val="restart"/>
            <w:shd w:val="clear" w:color="auto" w:fill="FFF2CC" w:themeFill="accent4" w:themeFillTint="33"/>
          </w:tcPr>
          <w:p w14:paraId="6DDDE540" w14:textId="77777777" w:rsidR="008E38C2" w:rsidRPr="00E93B96" w:rsidRDefault="008E38C2" w:rsidP="008E38C2">
            <w:pPr>
              <w:rPr>
                <w:b/>
              </w:rPr>
            </w:pPr>
          </w:p>
        </w:tc>
        <w:tc>
          <w:tcPr>
            <w:tcW w:w="4950" w:type="dxa"/>
          </w:tcPr>
          <w:p w14:paraId="74B0CAD9" w14:textId="50D27802" w:rsidR="008E38C2" w:rsidRPr="00E93B96" w:rsidRDefault="008E38C2" w:rsidP="008E38C2">
            <w:r w:rsidRPr="00E93B96">
              <w:t>Develop communication and knowledge management strategy and action plan</w:t>
            </w:r>
          </w:p>
        </w:tc>
        <w:tc>
          <w:tcPr>
            <w:tcW w:w="1440" w:type="dxa"/>
          </w:tcPr>
          <w:p w14:paraId="3D62D7C0" w14:textId="158EBA5F" w:rsidR="008E38C2" w:rsidRPr="00E93B96" w:rsidRDefault="008E38C2" w:rsidP="008E38C2">
            <w:r w:rsidRPr="00E93B96">
              <w:t>PMU/UNDP</w:t>
            </w:r>
          </w:p>
        </w:tc>
        <w:tc>
          <w:tcPr>
            <w:tcW w:w="1260" w:type="dxa"/>
          </w:tcPr>
          <w:p w14:paraId="13FBB067" w14:textId="45708FB8" w:rsidR="008E38C2" w:rsidRPr="00E93B96" w:rsidRDefault="00C67974" w:rsidP="008E38C2">
            <w:r w:rsidRPr="00E93B96">
              <w:t>September 2020</w:t>
            </w:r>
          </w:p>
        </w:tc>
        <w:tc>
          <w:tcPr>
            <w:tcW w:w="1440" w:type="dxa"/>
          </w:tcPr>
          <w:p w14:paraId="39AB161E" w14:textId="2D48FB8B" w:rsidR="008E38C2" w:rsidRPr="00E93B96" w:rsidRDefault="006D0303" w:rsidP="008E38C2">
            <w:r w:rsidRPr="00E93B96">
              <w:t xml:space="preserve">On-going </w:t>
            </w:r>
          </w:p>
        </w:tc>
        <w:tc>
          <w:tcPr>
            <w:tcW w:w="2070" w:type="dxa"/>
          </w:tcPr>
          <w:p w14:paraId="737C474D" w14:textId="1E5AF62D" w:rsidR="008E38C2" w:rsidRPr="00E93B96" w:rsidRDefault="008E38C2" w:rsidP="00E11B5D">
            <w:r w:rsidRPr="00E93B96">
              <w:t>A Communication</w:t>
            </w:r>
            <w:r w:rsidR="00E11B5D" w:rsidRPr="00E93B96">
              <w:t xml:space="preserve"> action</w:t>
            </w:r>
            <w:r w:rsidRPr="00E93B96">
              <w:t xml:space="preserve"> plan was</w:t>
            </w:r>
            <w:r w:rsidR="006B3695" w:rsidRPr="00E93B96">
              <w:t xml:space="preserve"> </w:t>
            </w:r>
            <w:r w:rsidR="00E11B5D" w:rsidRPr="00E93B96">
              <w:t>prod</w:t>
            </w:r>
            <w:r w:rsidR="00D42B75" w:rsidRPr="00E93B96">
              <w:t>uc</w:t>
            </w:r>
            <w:r w:rsidR="00E11B5D" w:rsidRPr="00E93B96">
              <w:t>ed</w:t>
            </w:r>
            <w:r w:rsidR="006B3695" w:rsidRPr="00E93B96">
              <w:t xml:space="preserve"> </w:t>
            </w:r>
            <w:r w:rsidR="00E93B96" w:rsidRPr="00E93B96">
              <w:t>and included</w:t>
            </w:r>
            <w:r w:rsidRPr="00E93B96">
              <w:t xml:space="preserve"> in the 2020 Annual Work Plan (AWP).</w:t>
            </w:r>
          </w:p>
        </w:tc>
      </w:tr>
      <w:tr w:rsidR="008E38C2" w:rsidRPr="00E93B96" w14:paraId="65304CC9" w14:textId="77777777" w:rsidTr="00DD1F21">
        <w:tc>
          <w:tcPr>
            <w:tcW w:w="1975" w:type="dxa"/>
            <w:vMerge/>
            <w:shd w:val="clear" w:color="auto" w:fill="FFF2CC" w:themeFill="accent4" w:themeFillTint="33"/>
          </w:tcPr>
          <w:p w14:paraId="79D7FACA" w14:textId="77777777" w:rsidR="008E38C2" w:rsidRPr="00E93B96" w:rsidRDefault="008E38C2" w:rsidP="008E38C2">
            <w:pPr>
              <w:rPr>
                <w:b/>
              </w:rPr>
            </w:pPr>
          </w:p>
        </w:tc>
        <w:tc>
          <w:tcPr>
            <w:tcW w:w="4950" w:type="dxa"/>
          </w:tcPr>
          <w:p w14:paraId="6DBD0B86" w14:textId="3552D20C" w:rsidR="008E38C2" w:rsidRPr="00E93B96" w:rsidRDefault="008E38C2" w:rsidP="008E38C2"/>
        </w:tc>
        <w:tc>
          <w:tcPr>
            <w:tcW w:w="1440" w:type="dxa"/>
          </w:tcPr>
          <w:p w14:paraId="086FF311" w14:textId="77777777" w:rsidR="008E38C2" w:rsidRPr="00E93B96" w:rsidRDefault="008E38C2" w:rsidP="008E38C2"/>
        </w:tc>
        <w:tc>
          <w:tcPr>
            <w:tcW w:w="1260" w:type="dxa"/>
          </w:tcPr>
          <w:p w14:paraId="49CC8F7E" w14:textId="77777777" w:rsidR="008E38C2" w:rsidRPr="00E93B96" w:rsidRDefault="008E38C2" w:rsidP="008E38C2"/>
        </w:tc>
        <w:tc>
          <w:tcPr>
            <w:tcW w:w="1440" w:type="dxa"/>
          </w:tcPr>
          <w:p w14:paraId="47A9B714" w14:textId="77777777" w:rsidR="008E38C2" w:rsidRPr="00E93B96" w:rsidRDefault="008E38C2" w:rsidP="008E38C2"/>
        </w:tc>
        <w:tc>
          <w:tcPr>
            <w:tcW w:w="2070" w:type="dxa"/>
          </w:tcPr>
          <w:p w14:paraId="54E16018" w14:textId="77777777" w:rsidR="008E38C2" w:rsidRPr="00E93B96" w:rsidRDefault="008E38C2" w:rsidP="008E38C2"/>
        </w:tc>
      </w:tr>
      <w:tr w:rsidR="008E38C2" w:rsidRPr="00E93B96" w14:paraId="2E3C1892" w14:textId="77777777" w:rsidTr="00DD1F21">
        <w:tc>
          <w:tcPr>
            <w:tcW w:w="13135" w:type="dxa"/>
            <w:gridSpan w:val="6"/>
            <w:shd w:val="clear" w:color="auto" w:fill="FFF2CC" w:themeFill="accent4" w:themeFillTint="33"/>
          </w:tcPr>
          <w:p w14:paraId="08FEB395" w14:textId="699FD71D" w:rsidR="008E38C2" w:rsidRPr="00E93B96" w:rsidRDefault="008E38C2" w:rsidP="008E38C2">
            <w:pPr>
              <w:rPr>
                <w:b/>
              </w:rPr>
            </w:pPr>
            <w:r w:rsidRPr="00E93B96">
              <w:rPr>
                <w:b/>
              </w:rPr>
              <w:t>7.</w:t>
            </w:r>
          </w:p>
        </w:tc>
      </w:tr>
      <w:tr w:rsidR="008E38C2" w:rsidRPr="00E93B96" w14:paraId="2D294799" w14:textId="77777777" w:rsidTr="00DD1F21">
        <w:tc>
          <w:tcPr>
            <w:tcW w:w="1975" w:type="dxa"/>
            <w:shd w:val="clear" w:color="auto" w:fill="FFF2CC" w:themeFill="accent4" w:themeFillTint="33"/>
          </w:tcPr>
          <w:p w14:paraId="528770C7" w14:textId="77777777" w:rsidR="008E38C2" w:rsidRPr="00E93B96" w:rsidRDefault="008E38C2" w:rsidP="008E38C2">
            <w:pPr>
              <w:rPr>
                <w:b/>
              </w:rPr>
            </w:pPr>
            <w:r w:rsidRPr="00E93B96">
              <w:rPr>
                <w:b/>
              </w:rPr>
              <w:t>Recommendation</w:t>
            </w:r>
          </w:p>
        </w:tc>
        <w:tc>
          <w:tcPr>
            <w:tcW w:w="11160" w:type="dxa"/>
            <w:gridSpan w:val="5"/>
          </w:tcPr>
          <w:p w14:paraId="0942D7F7" w14:textId="77777777" w:rsidR="008E38C2" w:rsidRPr="00E93B96" w:rsidRDefault="008E38C2" w:rsidP="008E38C2">
            <w:pPr>
              <w:rPr>
                <w:b/>
                <w:bCs/>
              </w:rPr>
            </w:pPr>
            <w:r w:rsidRPr="00E93B96">
              <w:rPr>
                <w:b/>
                <w:bCs/>
              </w:rPr>
              <w:t>Improve coordination with other projects and programs</w:t>
            </w:r>
          </w:p>
          <w:p w14:paraId="30FE7708" w14:textId="28CD4513" w:rsidR="008E38C2" w:rsidRPr="00E93B96" w:rsidRDefault="008E38C2" w:rsidP="008E38C2">
            <w:r w:rsidRPr="00E93B96">
              <w:t>An important part of reassessing the project strategy is to determine how the available GEF funds can provide meaningful incremental support to the sector, considering that there are several other ongoing projects and programs underway and in the pipeline. Apart from updating the analysis of baseline activities and possibly identifying additional co-financing partners, the project should implement an approach for maintaining close coordination with other projects and programs throughout the implementation phase. It would also be advisable to expand the level of sharing lessons learned and best practices among the portfolio of UNDP-GEF projects in the region.</w:t>
            </w:r>
          </w:p>
        </w:tc>
      </w:tr>
      <w:tr w:rsidR="008E38C2" w:rsidRPr="00E93B96" w14:paraId="07DD39EE" w14:textId="77777777" w:rsidTr="00DD1F21">
        <w:tc>
          <w:tcPr>
            <w:tcW w:w="1975" w:type="dxa"/>
            <w:shd w:val="clear" w:color="auto" w:fill="FFF2CC" w:themeFill="accent4" w:themeFillTint="33"/>
          </w:tcPr>
          <w:p w14:paraId="23AC7C52" w14:textId="77777777" w:rsidR="008E38C2" w:rsidRPr="00E93B96" w:rsidRDefault="008E38C2" w:rsidP="008E38C2">
            <w:pPr>
              <w:rPr>
                <w:b/>
              </w:rPr>
            </w:pPr>
            <w:r w:rsidRPr="00E93B96">
              <w:rPr>
                <w:b/>
              </w:rPr>
              <w:t>Management Response</w:t>
            </w:r>
          </w:p>
        </w:tc>
        <w:tc>
          <w:tcPr>
            <w:tcW w:w="11160" w:type="dxa"/>
            <w:gridSpan w:val="5"/>
          </w:tcPr>
          <w:p w14:paraId="2B2A110F" w14:textId="7F24DCA9" w:rsidR="008E38C2" w:rsidRPr="00E93B96" w:rsidRDefault="00C67974" w:rsidP="008E38C2">
            <w:r w:rsidRPr="00E93B96">
              <w:t>Agreed</w:t>
            </w:r>
          </w:p>
        </w:tc>
      </w:tr>
      <w:tr w:rsidR="008E38C2" w:rsidRPr="00E93B96" w14:paraId="65AD532A" w14:textId="77777777" w:rsidTr="00DD1F21">
        <w:tc>
          <w:tcPr>
            <w:tcW w:w="1975" w:type="dxa"/>
            <w:shd w:val="clear" w:color="auto" w:fill="FFF2CC" w:themeFill="accent4" w:themeFillTint="33"/>
          </w:tcPr>
          <w:p w14:paraId="4D040BE5" w14:textId="77777777" w:rsidR="008E38C2" w:rsidRPr="00E93B96" w:rsidRDefault="008E38C2" w:rsidP="008E38C2">
            <w:pPr>
              <w:rPr>
                <w:b/>
              </w:rPr>
            </w:pPr>
            <w:r w:rsidRPr="00E93B96">
              <w:rPr>
                <w:b/>
              </w:rPr>
              <w:t>Key Actions</w:t>
            </w:r>
          </w:p>
        </w:tc>
        <w:tc>
          <w:tcPr>
            <w:tcW w:w="4950" w:type="dxa"/>
            <w:shd w:val="clear" w:color="auto" w:fill="FFF2CC" w:themeFill="accent4" w:themeFillTint="33"/>
          </w:tcPr>
          <w:p w14:paraId="2F491F04" w14:textId="77777777" w:rsidR="008E38C2" w:rsidRPr="00E93B96" w:rsidRDefault="008E38C2" w:rsidP="008E38C2"/>
        </w:tc>
        <w:tc>
          <w:tcPr>
            <w:tcW w:w="1440" w:type="dxa"/>
            <w:shd w:val="clear" w:color="auto" w:fill="FFF2CC" w:themeFill="accent4" w:themeFillTint="33"/>
          </w:tcPr>
          <w:p w14:paraId="2337B997" w14:textId="77777777" w:rsidR="008E38C2" w:rsidRPr="00E93B96" w:rsidRDefault="008E38C2" w:rsidP="008E38C2">
            <w:pPr>
              <w:rPr>
                <w:b/>
              </w:rPr>
            </w:pPr>
            <w:r w:rsidRPr="00E93B96">
              <w:rPr>
                <w:b/>
              </w:rPr>
              <w:t>Responsible</w:t>
            </w:r>
          </w:p>
        </w:tc>
        <w:tc>
          <w:tcPr>
            <w:tcW w:w="1260" w:type="dxa"/>
            <w:shd w:val="clear" w:color="auto" w:fill="FFF2CC" w:themeFill="accent4" w:themeFillTint="33"/>
          </w:tcPr>
          <w:p w14:paraId="2BD7A73B" w14:textId="77777777" w:rsidR="008E38C2" w:rsidRPr="00E93B96" w:rsidRDefault="008E38C2" w:rsidP="008E38C2">
            <w:pPr>
              <w:rPr>
                <w:b/>
              </w:rPr>
            </w:pPr>
            <w:r w:rsidRPr="00E93B96">
              <w:rPr>
                <w:b/>
              </w:rPr>
              <w:t>Due Date</w:t>
            </w:r>
          </w:p>
        </w:tc>
        <w:tc>
          <w:tcPr>
            <w:tcW w:w="1440" w:type="dxa"/>
            <w:shd w:val="clear" w:color="auto" w:fill="FFF2CC" w:themeFill="accent4" w:themeFillTint="33"/>
          </w:tcPr>
          <w:p w14:paraId="0B373FF4" w14:textId="77777777" w:rsidR="008E38C2" w:rsidRPr="00E93B96" w:rsidRDefault="008E38C2" w:rsidP="008E38C2">
            <w:pPr>
              <w:rPr>
                <w:b/>
              </w:rPr>
            </w:pPr>
            <w:r w:rsidRPr="00E93B96">
              <w:rPr>
                <w:b/>
              </w:rPr>
              <w:t>Status</w:t>
            </w:r>
          </w:p>
        </w:tc>
        <w:tc>
          <w:tcPr>
            <w:tcW w:w="2070" w:type="dxa"/>
            <w:shd w:val="clear" w:color="auto" w:fill="FFF2CC" w:themeFill="accent4" w:themeFillTint="33"/>
          </w:tcPr>
          <w:p w14:paraId="619D2BFC" w14:textId="77777777" w:rsidR="008E38C2" w:rsidRPr="00E93B96" w:rsidRDefault="008E38C2" w:rsidP="008E38C2">
            <w:pPr>
              <w:rPr>
                <w:b/>
              </w:rPr>
            </w:pPr>
            <w:r w:rsidRPr="00E93B96">
              <w:rPr>
                <w:b/>
              </w:rPr>
              <w:t>Comments</w:t>
            </w:r>
          </w:p>
        </w:tc>
      </w:tr>
      <w:tr w:rsidR="008E38C2" w:rsidRPr="00E93B96" w14:paraId="1A882435" w14:textId="77777777" w:rsidTr="00DD1F21">
        <w:tc>
          <w:tcPr>
            <w:tcW w:w="1975" w:type="dxa"/>
            <w:vMerge w:val="restart"/>
            <w:shd w:val="clear" w:color="auto" w:fill="FFF2CC" w:themeFill="accent4" w:themeFillTint="33"/>
          </w:tcPr>
          <w:p w14:paraId="455C4C52" w14:textId="77777777" w:rsidR="008E38C2" w:rsidRPr="00E93B96" w:rsidRDefault="008E38C2" w:rsidP="008E38C2">
            <w:pPr>
              <w:rPr>
                <w:b/>
              </w:rPr>
            </w:pPr>
          </w:p>
        </w:tc>
        <w:tc>
          <w:tcPr>
            <w:tcW w:w="4950" w:type="dxa"/>
          </w:tcPr>
          <w:p w14:paraId="00E8CC5F" w14:textId="106D2CB4" w:rsidR="008E38C2" w:rsidRPr="00E93B96" w:rsidRDefault="00C67974" w:rsidP="008E38C2">
            <w:r w:rsidRPr="00E93B96">
              <w:t>Update the analysis of ongoing and planned baseline activities related to interconnected mini-grids in Nigeria and identify additional co-financing partners to support investments in interconnected mini-grids</w:t>
            </w:r>
          </w:p>
        </w:tc>
        <w:tc>
          <w:tcPr>
            <w:tcW w:w="1440" w:type="dxa"/>
          </w:tcPr>
          <w:p w14:paraId="7DF4FF2C" w14:textId="034FE785" w:rsidR="008E38C2" w:rsidRPr="00E93B96" w:rsidRDefault="008E38C2" w:rsidP="008E38C2">
            <w:r w:rsidRPr="00E93B96">
              <w:t>PMU/UNDP</w:t>
            </w:r>
          </w:p>
        </w:tc>
        <w:tc>
          <w:tcPr>
            <w:tcW w:w="1260" w:type="dxa"/>
          </w:tcPr>
          <w:p w14:paraId="3AEE30B3" w14:textId="7BBC0B08" w:rsidR="008E38C2" w:rsidRPr="00E93B96" w:rsidRDefault="004F1FF6" w:rsidP="008E38C2">
            <w:r w:rsidRPr="00E93B96">
              <w:t>November 2020</w:t>
            </w:r>
          </w:p>
        </w:tc>
        <w:tc>
          <w:tcPr>
            <w:tcW w:w="1440" w:type="dxa"/>
          </w:tcPr>
          <w:p w14:paraId="5ECF0FD4" w14:textId="5AAA1FFA" w:rsidR="008E38C2" w:rsidRPr="00E93B96" w:rsidRDefault="008E38C2" w:rsidP="008E38C2">
            <w:r w:rsidRPr="00E93B96">
              <w:t>On-going</w:t>
            </w:r>
          </w:p>
        </w:tc>
        <w:tc>
          <w:tcPr>
            <w:tcW w:w="2070" w:type="dxa"/>
          </w:tcPr>
          <w:p w14:paraId="489F18D3" w14:textId="4E0BFFDE" w:rsidR="008E38C2" w:rsidRPr="00E93B96" w:rsidRDefault="006C4BF1" w:rsidP="008E38C2">
            <w:r w:rsidRPr="00E93B96">
              <w:t xml:space="preserve"> </w:t>
            </w:r>
          </w:p>
        </w:tc>
      </w:tr>
      <w:tr w:rsidR="008E38C2" w:rsidRPr="00E93B96" w14:paraId="6BABF9AA" w14:textId="77777777" w:rsidTr="00DD1F21">
        <w:tc>
          <w:tcPr>
            <w:tcW w:w="1975" w:type="dxa"/>
            <w:vMerge/>
            <w:shd w:val="clear" w:color="auto" w:fill="FFF2CC" w:themeFill="accent4" w:themeFillTint="33"/>
          </w:tcPr>
          <w:p w14:paraId="73E1B8A7" w14:textId="77777777" w:rsidR="008E38C2" w:rsidRPr="00E93B96" w:rsidRDefault="008E38C2" w:rsidP="008E38C2">
            <w:pPr>
              <w:rPr>
                <w:b/>
              </w:rPr>
            </w:pPr>
          </w:p>
        </w:tc>
        <w:tc>
          <w:tcPr>
            <w:tcW w:w="4950" w:type="dxa"/>
          </w:tcPr>
          <w:p w14:paraId="3575CFBC" w14:textId="3D63BA5F" w:rsidR="008E38C2" w:rsidRPr="00E93B96" w:rsidRDefault="00C67974" w:rsidP="008E38C2">
            <w:r w:rsidRPr="00E93B96">
              <w:t>Expand the level of sharing lessons learned and best practices among the portfolio of UNDP-GEF in the region.</w:t>
            </w:r>
          </w:p>
        </w:tc>
        <w:tc>
          <w:tcPr>
            <w:tcW w:w="1440" w:type="dxa"/>
          </w:tcPr>
          <w:p w14:paraId="03AF3CE3" w14:textId="0C885267" w:rsidR="008E38C2" w:rsidRPr="00E93B96" w:rsidRDefault="00C67974" w:rsidP="008E38C2">
            <w:r w:rsidRPr="00E93B96">
              <w:t>PMU/UNDP</w:t>
            </w:r>
          </w:p>
        </w:tc>
        <w:tc>
          <w:tcPr>
            <w:tcW w:w="1260" w:type="dxa"/>
          </w:tcPr>
          <w:p w14:paraId="74BF7EEB" w14:textId="27DF55AC" w:rsidR="008E38C2" w:rsidRPr="00E93B96" w:rsidRDefault="00C67974" w:rsidP="008E38C2">
            <w:r w:rsidRPr="00E93B96">
              <w:t>November 2020</w:t>
            </w:r>
          </w:p>
        </w:tc>
        <w:tc>
          <w:tcPr>
            <w:tcW w:w="1440" w:type="dxa"/>
          </w:tcPr>
          <w:p w14:paraId="7174EEE3" w14:textId="7575A00B" w:rsidR="008E38C2" w:rsidRPr="00E93B96" w:rsidRDefault="00C67974" w:rsidP="008E38C2">
            <w:r w:rsidRPr="00E93B96">
              <w:t>Ongoing</w:t>
            </w:r>
          </w:p>
        </w:tc>
        <w:tc>
          <w:tcPr>
            <w:tcW w:w="2070" w:type="dxa"/>
          </w:tcPr>
          <w:p w14:paraId="4E23DD61" w14:textId="77777777" w:rsidR="00C67974" w:rsidRPr="00E93B96" w:rsidRDefault="00C67974" w:rsidP="00C67974">
            <w:r w:rsidRPr="00E93B96">
              <w:t>Project activities are implemented in partnership with Ministries, Departments and Agencies (MDAs), development agencies, CSOs and the private sector.</w:t>
            </w:r>
          </w:p>
          <w:p w14:paraId="2DFD5B80" w14:textId="50F0A196" w:rsidR="008E38C2" w:rsidRPr="00E93B96" w:rsidRDefault="00C67974" w:rsidP="00C67974">
            <w:r w:rsidRPr="00E93B96">
              <w:t xml:space="preserve">Consultant engaged to develop lessons </w:t>
            </w:r>
            <w:r w:rsidRPr="00E93B96">
              <w:lastRenderedPageBreak/>
              <w:t>learned and best practices.</w:t>
            </w:r>
          </w:p>
        </w:tc>
      </w:tr>
      <w:tr w:rsidR="008E38C2" w:rsidRPr="00E93B96" w14:paraId="752B4EA0" w14:textId="77777777" w:rsidTr="00DD1F21">
        <w:tc>
          <w:tcPr>
            <w:tcW w:w="13135" w:type="dxa"/>
            <w:gridSpan w:val="6"/>
            <w:shd w:val="clear" w:color="auto" w:fill="FFF2CC" w:themeFill="accent4" w:themeFillTint="33"/>
          </w:tcPr>
          <w:p w14:paraId="3F95E97E" w14:textId="5C28922F" w:rsidR="008E38C2" w:rsidRPr="00E93B96" w:rsidRDefault="008E38C2" w:rsidP="008E38C2">
            <w:pPr>
              <w:rPr>
                <w:b/>
              </w:rPr>
            </w:pPr>
            <w:r w:rsidRPr="00E93B96">
              <w:rPr>
                <w:b/>
              </w:rPr>
              <w:lastRenderedPageBreak/>
              <w:t>8.</w:t>
            </w:r>
          </w:p>
        </w:tc>
      </w:tr>
      <w:tr w:rsidR="008E38C2" w:rsidRPr="00E93B96" w14:paraId="696255BE" w14:textId="77777777" w:rsidTr="00DD1F21">
        <w:tc>
          <w:tcPr>
            <w:tcW w:w="1975" w:type="dxa"/>
            <w:shd w:val="clear" w:color="auto" w:fill="FFF2CC" w:themeFill="accent4" w:themeFillTint="33"/>
          </w:tcPr>
          <w:p w14:paraId="197457BF" w14:textId="77777777" w:rsidR="008E38C2" w:rsidRPr="00E93B96" w:rsidRDefault="008E38C2" w:rsidP="008E38C2">
            <w:pPr>
              <w:rPr>
                <w:b/>
              </w:rPr>
            </w:pPr>
            <w:r w:rsidRPr="00E93B96">
              <w:rPr>
                <w:b/>
              </w:rPr>
              <w:t>Recommendation</w:t>
            </w:r>
          </w:p>
        </w:tc>
        <w:tc>
          <w:tcPr>
            <w:tcW w:w="11160" w:type="dxa"/>
            <w:gridSpan w:val="5"/>
          </w:tcPr>
          <w:p w14:paraId="68468DE1" w14:textId="77777777" w:rsidR="008E38C2" w:rsidRPr="00E93B96" w:rsidRDefault="008E38C2" w:rsidP="008E38C2">
            <w:pPr>
              <w:rPr>
                <w:b/>
                <w:bCs/>
              </w:rPr>
            </w:pPr>
            <w:r w:rsidRPr="00E93B96">
              <w:rPr>
                <w:b/>
                <w:bCs/>
              </w:rPr>
              <w:t>Update the monitoring and evaluation (M&amp;E) plan for the project.</w:t>
            </w:r>
          </w:p>
          <w:p w14:paraId="1F570B89" w14:textId="36BD7EFE" w:rsidR="008E38C2" w:rsidRPr="00E93B96" w:rsidRDefault="008E38C2" w:rsidP="008E38C2">
            <w:r w:rsidRPr="00E93B96">
              <w:t>Concurrent with updating or revising the project results framework according to the updated or revised project strategy, an updated M&amp;E plan should be developed and implemented for the project. The means for verifying each of the performance metrics in the results framework should be described, along with allocation of resources and responsibilities. The GEF climate change mitigation tracking tool should also be updated according to the revised strategy. And, as indicated in Section 3.3.4 of this MTR report, the GHG emission reductions achieved through the off-grid solar PV investments made in 2017 should be included in the midterm assessment of the tracking tool.</w:t>
            </w:r>
          </w:p>
        </w:tc>
      </w:tr>
      <w:tr w:rsidR="008E38C2" w:rsidRPr="00E93B96" w14:paraId="52ED913F" w14:textId="77777777" w:rsidTr="00DD1F21">
        <w:tc>
          <w:tcPr>
            <w:tcW w:w="1975" w:type="dxa"/>
            <w:shd w:val="clear" w:color="auto" w:fill="FFF2CC" w:themeFill="accent4" w:themeFillTint="33"/>
          </w:tcPr>
          <w:p w14:paraId="7C804518" w14:textId="77777777" w:rsidR="008E38C2" w:rsidRPr="00E93B96" w:rsidRDefault="008E38C2" w:rsidP="008E38C2">
            <w:pPr>
              <w:rPr>
                <w:b/>
              </w:rPr>
            </w:pPr>
            <w:r w:rsidRPr="00E93B96">
              <w:rPr>
                <w:b/>
              </w:rPr>
              <w:t>Management Response</w:t>
            </w:r>
          </w:p>
        </w:tc>
        <w:tc>
          <w:tcPr>
            <w:tcW w:w="11160" w:type="dxa"/>
            <w:gridSpan w:val="5"/>
          </w:tcPr>
          <w:p w14:paraId="5FE79936" w14:textId="4763BB82" w:rsidR="008E38C2" w:rsidRPr="00E93B96" w:rsidRDefault="008E38C2" w:rsidP="008E38C2">
            <w:r w:rsidRPr="00E93B96">
              <w:t>Agreed</w:t>
            </w:r>
          </w:p>
        </w:tc>
      </w:tr>
      <w:tr w:rsidR="008E38C2" w:rsidRPr="00E93B96" w14:paraId="2E28BC81" w14:textId="77777777" w:rsidTr="00DD1F21">
        <w:tc>
          <w:tcPr>
            <w:tcW w:w="1975" w:type="dxa"/>
            <w:shd w:val="clear" w:color="auto" w:fill="FFF2CC" w:themeFill="accent4" w:themeFillTint="33"/>
          </w:tcPr>
          <w:p w14:paraId="7EE9F58D" w14:textId="77777777" w:rsidR="008E38C2" w:rsidRPr="00E93B96" w:rsidRDefault="008E38C2" w:rsidP="008E38C2">
            <w:pPr>
              <w:rPr>
                <w:b/>
              </w:rPr>
            </w:pPr>
            <w:r w:rsidRPr="00E93B96">
              <w:rPr>
                <w:b/>
              </w:rPr>
              <w:t>Key Actions</w:t>
            </w:r>
          </w:p>
        </w:tc>
        <w:tc>
          <w:tcPr>
            <w:tcW w:w="4950" w:type="dxa"/>
            <w:shd w:val="clear" w:color="auto" w:fill="FFF2CC" w:themeFill="accent4" w:themeFillTint="33"/>
          </w:tcPr>
          <w:p w14:paraId="707E0FFD" w14:textId="77777777" w:rsidR="008E38C2" w:rsidRPr="00E93B96" w:rsidRDefault="008E38C2" w:rsidP="008E38C2"/>
        </w:tc>
        <w:tc>
          <w:tcPr>
            <w:tcW w:w="1440" w:type="dxa"/>
            <w:shd w:val="clear" w:color="auto" w:fill="FFF2CC" w:themeFill="accent4" w:themeFillTint="33"/>
          </w:tcPr>
          <w:p w14:paraId="2F386129" w14:textId="77777777" w:rsidR="008E38C2" w:rsidRPr="00E93B96" w:rsidRDefault="008E38C2" w:rsidP="008E38C2">
            <w:pPr>
              <w:rPr>
                <w:b/>
              </w:rPr>
            </w:pPr>
            <w:r w:rsidRPr="00E93B96">
              <w:rPr>
                <w:b/>
              </w:rPr>
              <w:t>Responsible</w:t>
            </w:r>
          </w:p>
        </w:tc>
        <w:tc>
          <w:tcPr>
            <w:tcW w:w="1260" w:type="dxa"/>
            <w:shd w:val="clear" w:color="auto" w:fill="FFF2CC" w:themeFill="accent4" w:themeFillTint="33"/>
          </w:tcPr>
          <w:p w14:paraId="20F42C4D" w14:textId="77777777" w:rsidR="008E38C2" w:rsidRPr="00E93B96" w:rsidRDefault="008E38C2" w:rsidP="008E38C2">
            <w:pPr>
              <w:rPr>
                <w:b/>
              </w:rPr>
            </w:pPr>
            <w:r w:rsidRPr="00E93B96">
              <w:rPr>
                <w:b/>
              </w:rPr>
              <w:t>Due Date</w:t>
            </w:r>
          </w:p>
        </w:tc>
        <w:tc>
          <w:tcPr>
            <w:tcW w:w="1440" w:type="dxa"/>
            <w:shd w:val="clear" w:color="auto" w:fill="FFF2CC" w:themeFill="accent4" w:themeFillTint="33"/>
          </w:tcPr>
          <w:p w14:paraId="5254479C" w14:textId="77777777" w:rsidR="008E38C2" w:rsidRPr="00E93B96" w:rsidRDefault="008E38C2" w:rsidP="008E38C2">
            <w:pPr>
              <w:rPr>
                <w:b/>
              </w:rPr>
            </w:pPr>
            <w:r w:rsidRPr="00E93B96">
              <w:rPr>
                <w:b/>
              </w:rPr>
              <w:t>Status</w:t>
            </w:r>
          </w:p>
        </w:tc>
        <w:tc>
          <w:tcPr>
            <w:tcW w:w="2070" w:type="dxa"/>
            <w:shd w:val="clear" w:color="auto" w:fill="FFF2CC" w:themeFill="accent4" w:themeFillTint="33"/>
          </w:tcPr>
          <w:p w14:paraId="064C0A03" w14:textId="77777777" w:rsidR="008E38C2" w:rsidRPr="00E93B96" w:rsidRDefault="008E38C2" w:rsidP="008E38C2">
            <w:pPr>
              <w:rPr>
                <w:b/>
              </w:rPr>
            </w:pPr>
            <w:r w:rsidRPr="00E93B96">
              <w:rPr>
                <w:b/>
              </w:rPr>
              <w:t>Comments</w:t>
            </w:r>
          </w:p>
        </w:tc>
      </w:tr>
      <w:tr w:rsidR="008E38C2" w:rsidRPr="00E93B96" w14:paraId="05D47F8E" w14:textId="77777777" w:rsidTr="00DD1F21">
        <w:tc>
          <w:tcPr>
            <w:tcW w:w="1975" w:type="dxa"/>
            <w:vMerge w:val="restart"/>
            <w:shd w:val="clear" w:color="auto" w:fill="FFF2CC" w:themeFill="accent4" w:themeFillTint="33"/>
          </w:tcPr>
          <w:p w14:paraId="6BD4692B" w14:textId="77777777" w:rsidR="008E38C2" w:rsidRPr="00E93B96" w:rsidRDefault="008E38C2" w:rsidP="008E38C2">
            <w:pPr>
              <w:rPr>
                <w:b/>
              </w:rPr>
            </w:pPr>
          </w:p>
        </w:tc>
        <w:tc>
          <w:tcPr>
            <w:tcW w:w="4950" w:type="dxa"/>
          </w:tcPr>
          <w:p w14:paraId="4ED37B53" w14:textId="245A6D10" w:rsidR="008E38C2" w:rsidRPr="00E93B96" w:rsidRDefault="008E38C2" w:rsidP="008E38C2">
            <w:r w:rsidRPr="00E93B96">
              <w:t>Produce an updated M&amp;E plan for the project. The means for verifying each of the performance metrics in the results framework will be described, along with allocation of resources and responsibilities.</w:t>
            </w:r>
          </w:p>
        </w:tc>
        <w:tc>
          <w:tcPr>
            <w:tcW w:w="1440" w:type="dxa"/>
          </w:tcPr>
          <w:p w14:paraId="222EFDCA" w14:textId="43900F4B" w:rsidR="008E38C2" w:rsidRPr="00E93B96" w:rsidRDefault="008E38C2" w:rsidP="008E38C2">
            <w:r w:rsidRPr="00E93B96">
              <w:t>PMU, UNDP</w:t>
            </w:r>
          </w:p>
        </w:tc>
        <w:tc>
          <w:tcPr>
            <w:tcW w:w="1260" w:type="dxa"/>
          </w:tcPr>
          <w:p w14:paraId="7FCAF1AA" w14:textId="1F878320" w:rsidR="008E38C2" w:rsidRPr="00E93B96" w:rsidRDefault="008E38C2" w:rsidP="008E38C2">
            <w:r w:rsidRPr="00E93B96">
              <w:t>October 2020</w:t>
            </w:r>
          </w:p>
        </w:tc>
        <w:tc>
          <w:tcPr>
            <w:tcW w:w="1440" w:type="dxa"/>
          </w:tcPr>
          <w:p w14:paraId="27A60B4F" w14:textId="5CBB8CB1" w:rsidR="008E38C2" w:rsidRPr="00E93B96" w:rsidRDefault="008E38C2" w:rsidP="008E38C2">
            <w:r w:rsidRPr="00E93B96">
              <w:t>On-going</w:t>
            </w:r>
          </w:p>
        </w:tc>
        <w:tc>
          <w:tcPr>
            <w:tcW w:w="2070" w:type="dxa"/>
          </w:tcPr>
          <w:p w14:paraId="280C959D" w14:textId="0CEA0489" w:rsidR="008E38C2" w:rsidRPr="00E93B96" w:rsidRDefault="006122A7" w:rsidP="008E38C2">
            <w:r w:rsidRPr="00E93B96">
              <w:t xml:space="preserve">Updated M&amp;E plan for the project to be finalized. </w:t>
            </w:r>
          </w:p>
        </w:tc>
      </w:tr>
      <w:tr w:rsidR="008E38C2" w:rsidRPr="00E93B96" w14:paraId="218D042B" w14:textId="77777777" w:rsidTr="00DD1F21">
        <w:tc>
          <w:tcPr>
            <w:tcW w:w="1975" w:type="dxa"/>
            <w:vMerge/>
            <w:shd w:val="clear" w:color="auto" w:fill="FFF2CC" w:themeFill="accent4" w:themeFillTint="33"/>
          </w:tcPr>
          <w:p w14:paraId="442E240E" w14:textId="77777777" w:rsidR="008E38C2" w:rsidRPr="00E93B96" w:rsidRDefault="008E38C2" w:rsidP="008E38C2">
            <w:pPr>
              <w:rPr>
                <w:b/>
              </w:rPr>
            </w:pPr>
          </w:p>
        </w:tc>
        <w:tc>
          <w:tcPr>
            <w:tcW w:w="4950" w:type="dxa"/>
          </w:tcPr>
          <w:p w14:paraId="392A1324" w14:textId="43A41B6C" w:rsidR="008E38C2" w:rsidRPr="00E93B96" w:rsidRDefault="008E38C2" w:rsidP="008E38C2">
            <w:r w:rsidRPr="00E93B96">
              <w:t>Update GEF climate change mitigation tracking tool aligning it to the revised strategy.</w:t>
            </w:r>
          </w:p>
        </w:tc>
        <w:tc>
          <w:tcPr>
            <w:tcW w:w="1440" w:type="dxa"/>
          </w:tcPr>
          <w:p w14:paraId="1E2D0EB1" w14:textId="12F0D011" w:rsidR="008E38C2" w:rsidRPr="00E93B96" w:rsidRDefault="008E38C2" w:rsidP="008E38C2">
            <w:r w:rsidRPr="00E93B96">
              <w:t>PMU, UNDP</w:t>
            </w:r>
          </w:p>
        </w:tc>
        <w:tc>
          <w:tcPr>
            <w:tcW w:w="1260" w:type="dxa"/>
          </w:tcPr>
          <w:p w14:paraId="41996222" w14:textId="35F1965E" w:rsidR="008E38C2" w:rsidRPr="00E93B96" w:rsidRDefault="00C67974" w:rsidP="008E38C2">
            <w:r w:rsidRPr="00E93B96">
              <w:t>September 2020</w:t>
            </w:r>
          </w:p>
        </w:tc>
        <w:tc>
          <w:tcPr>
            <w:tcW w:w="1440" w:type="dxa"/>
          </w:tcPr>
          <w:p w14:paraId="34569748" w14:textId="76EDE329" w:rsidR="008E38C2" w:rsidRPr="00E93B96" w:rsidRDefault="00C67974" w:rsidP="008E38C2">
            <w:r w:rsidRPr="00E93B96">
              <w:t>Ongoing</w:t>
            </w:r>
          </w:p>
        </w:tc>
        <w:tc>
          <w:tcPr>
            <w:tcW w:w="2070" w:type="dxa"/>
          </w:tcPr>
          <w:p w14:paraId="78F67254" w14:textId="4B3D2FE8" w:rsidR="008E38C2" w:rsidRPr="00E93B96" w:rsidRDefault="00C67974" w:rsidP="008E38C2">
            <w:r w:rsidRPr="00E93B96">
              <w:t>Consult with UNDP Regional Technical Advisor for guidance in finalizing the mid-term tracking tool</w:t>
            </w:r>
          </w:p>
        </w:tc>
      </w:tr>
      <w:tr w:rsidR="008E38C2" w:rsidRPr="00E93B96" w14:paraId="26D18B8C" w14:textId="77777777" w:rsidTr="00DD1F21">
        <w:tc>
          <w:tcPr>
            <w:tcW w:w="13135" w:type="dxa"/>
            <w:gridSpan w:val="6"/>
            <w:shd w:val="clear" w:color="auto" w:fill="FFF2CC" w:themeFill="accent4" w:themeFillTint="33"/>
          </w:tcPr>
          <w:p w14:paraId="1B7D0911" w14:textId="7C3B47C5" w:rsidR="008E38C2" w:rsidRPr="00E93B96" w:rsidRDefault="008E38C2" w:rsidP="008E38C2">
            <w:pPr>
              <w:rPr>
                <w:b/>
              </w:rPr>
            </w:pPr>
            <w:r w:rsidRPr="00E93B96">
              <w:rPr>
                <w:b/>
              </w:rPr>
              <w:t>9.</w:t>
            </w:r>
          </w:p>
        </w:tc>
      </w:tr>
      <w:tr w:rsidR="008E38C2" w:rsidRPr="00E93B96" w14:paraId="20F91D85" w14:textId="77777777" w:rsidTr="00DD1F21">
        <w:tc>
          <w:tcPr>
            <w:tcW w:w="1975" w:type="dxa"/>
            <w:shd w:val="clear" w:color="auto" w:fill="FFF2CC" w:themeFill="accent4" w:themeFillTint="33"/>
          </w:tcPr>
          <w:p w14:paraId="4FE34071" w14:textId="77777777" w:rsidR="008E38C2" w:rsidRPr="00E93B96" w:rsidRDefault="008E38C2" w:rsidP="008E38C2">
            <w:pPr>
              <w:rPr>
                <w:b/>
              </w:rPr>
            </w:pPr>
            <w:r w:rsidRPr="00E93B96">
              <w:rPr>
                <w:b/>
              </w:rPr>
              <w:t>Recommendation</w:t>
            </w:r>
          </w:p>
        </w:tc>
        <w:tc>
          <w:tcPr>
            <w:tcW w:w="11160" w:type="dxa"/>
            <w:gridSpan w:val="5"/>
          </w:tcPr>
          <w:p w14:paraId="365952D0" w14:textId="77777777" w:rsidR="008E38C2" w:rsidRPr="00E93B96" w:rsidRDefault="008E38C2" w:rsidP="008E38C2">
            <w:pPr>
              <w:rPr>
                <w:b/>
                <w:bCs/>
              </w:rPr>
            </w:pPr>
            <w:r w:rsidRPr="00E93B96">
              <w:rPr>
                <w:b/>
                <w:bCs/>
              </w:rPr>
              <w:t>Strengthen management of project risks.</w:t>
            </w:r>
          </w:p>
          <w:p w14:paraId="5C2C0CEF" w14:textId="1731BF2E" w:rsidR="008E38C2" w:rsidRPr="00E93B96" w:rsidRDefault="008E38C2" w:rsidP="008E38C2">
            <w:r w:rsidRPr="00E93B96">
              <w:t>Management of project risks should be strengthened, including more proactive involvement in mitigation of social and environmental risks associated with the utility-scale solar PV plant in Bauchi State. Project risks should also be reassessed according to the process of updating or revising the project strategy, and appropriate risk mitigation measures should be implemented accordingly.</w:t>
            </w:r>
          </w:p>
        </w:tc>
      </w:tr>
      <w:tr w:rsidR="008E38C2" w:rsidRPr="00E93B96" w14:paraId="6C48BAC3" w14:textId="77777777" w:rsidTr="00DD1F21">
        <w:tc>
          <w:tcPr>
            <w:tcW w:w="1975" w:type="dxa"/>
            <w:shd w:val="clear" w:color="auto" w:fill="FFF2CC" w:themeFill="accent4" w:themeFillTint="33"/>
          </w:tcPr>
          <w:p w14:paraId="0FEE31FD" w14:textId="77777777" w:rsidR="008E38C2" w:rsidRPr="00E93B96" w:rsidRDefault="008E38C2" w:rsidP="008E38C2">
            <w:pPr>
              <w:rPr>
                <w:b/>
              </w:rPr>
            </w:pPr>
            <w:r w:rsidRPr="00E93B96">
              <w:rPr>
                <w:b/>
              </w:rPr>
              <w:t>Management Response</w:t>
            </w:r>
          </w:p>
        </w:tc>
        <w:tc>
          <w:tcPr>
            <w:tcW w:w="11160" w:type="dxa"/>
            <w:gridSpan w:val="5"/>
          </w:tcPr>
          <w:p w14:paraId="40007301" w14:textId="09168245" w:rsidR="008E38C2" w:rsidRPr="00E93B96" w:rsidRDefault="008E38C2" w:rsidP="008E38C2">
            <w:r w:rsidRPr="00E93B96">
              <w:t>Agreed</w:t>
            </w:r>
          </w:p>
        </w:tc>
      </w:tr>
      <w:tr w:rsidR="008E38C2" w:rsidRPr="00E93B96" w14:paraId="73376F6F" w14:textId="77777777" w:rsidTr="00DD1F21">
        <w:tc>
          <w:tcPr>
            <w:tcW w:w="1975" w:type="dxa"/>
            <w:shd w:val="clear" w:color="auto" w:fill="FFF2CC" w:themeFill="accent4" w:themeFillTint="33"/>
          </w:tcPr>
          <w:p w14:paraId="3D31BD08" w14:textId="77777777" w:rsidR="008E38C2" w:rsidRPr="00E93B96" w:rsidRDefault="008E38C2" w:rsidP="008E38C2">
            <w:pPr>
              <w:rPr>
                <w:b/>
              </w:rPr>
            </w:pPr>
            <w:r w:rsidRPr="00E93B96">
              <w:rPr>
                <w:b/>
              </w:rPr>
              <w:t>Key Actions</w:t>
            </w:r>
          </w:p>
        </w:tc>
        <w:tc>
          <w:tcPr>
            <w:tcW w:w="4950" w:type="dxa"/>
            <w:shd w:val="clear" w:color="auto" w:fill="FFF2CC" w:themeFill="accent4" w:themeFillTint="33"/>
          </w:tcPr>
          <w:p w14:paraId="382DAEDA" w14:textId="77777777" w:rsidR="008E38C2" w:rsidRPr="00E93B96" w:rsidRDefault="008E38C2" w:rsidP="008E38C2"/>
        </w:tc>
        <w:tc>
          <w:tcPr>
            <w:tcW w:w="1440" w:type="dxa"/>
            <w:shd w:val="clear" w:color="auto" w:fill="FFF2CC" w:themeFill="accent4" w:themeFillTint="33"/>
          </w:tcPr>
          <w:p w14:paraId="4B99BDF5" w14:textId="77777777" w:rsidR="008E38C2" w:rsidRPr="00E93B96" w:rsidRDefault="008E38C2" w:rsidP="008E38C2">
            <w:pPr>
              <w:rPr>
                <w:b/>
              </w:rPr>
            </w:pPr>
            <w:r w:rsidRPr="00E93B96">
              <w:rPr>
                <w:b/>
              </w:rPr>
              <w:t>Responsible</w:t>
            </w:r>
          </w:p>
        </w:tc>
        <w:tc>
          <w:tcPr>
            <w:tcW w:w="1260" w:type="dxa"/>
            <w:shd w:val="clear" w:color="auto" w:fill="FFF2CC" w:themeFill="accent4" w:themeFillTint="33"/>
          </w:tcPr>
          <w:p w14:paraId="641934E5" w14:textId="77777777" w:rsidR="008E38C2" w:rsidRPr="00E93B96" w:rsidRDefault="008E38C2" w:rsidP="008E38C2">
            <w:pPr>
              <w:rPr>
                <w:b/>
              </w:rPr>
            </w:pPr>
            <w:r w:rsidRPr="00E93B96">
              <w:rPr>
                <w:b/>
              </w:rPr>
              <w:t>Due Date</w:t>
            </w:r>
          </w:p>
        </w:tc>
        <w:tc>
          <w:tcPr>
            <w:tcW w:w="1440" w:type="dxa"/>
            <w:shd w:val="clear" w:color="auto" w:fill="FFF2CC" w:themeFill="accent4" w:themeFillTint="33"/>
          </w:tcPr>
          <w:p w14:paraId="360F2DAD" w14:textId="77777777" w:rsidR="008E38C2" w:rsidRPr="00E93B96" w:rsidRDefault="008E38C2" w:rsidP="008E38C2">
            <w:pPr>
              <w:rPr>
                <w:b/>
              </w:rPr>
            </w:pPr>
            <w:r w:rsidRPr="00E93B96">
              <w:rPr>
                <w:b/>
              </w:rPr>
              <w:t>Status</w:t>
            </w:r>
          </w:p>
        </w:tc>
        <w:tc>
          <w:tcPr>
            <w:tcW w:w="2070" w:type="dxa"/>
            <w:shd w:val="clear" w:color="auto" w:fill="FFF2CC" w:themeFill="accent4" w:themeFillTint="33"/>
          </w:tcPr>
          <w:p w14:paraId="7F5822AE" w14:textId="77777777" w:rsidR="008E38C2" w:rsidRPr="00E93B96" w:rsidRDefault="008E38C2" w:rsidP="008E38C2">
            <w:pPr>
              <w:rPr>
                <w:b/>
              </w:rPr>
            </w:pPr>
            <w:r w:rsidRPr="00E93B96">
              <w:rPr>
                <w:b/>
              </w:rPr>
              <w:t>Comments</w:t>
            </w:r>
          </w:p>
        </w:tc>
      </w:tr>
      <w:tr w:rsidR="008E38C2" w:rsidRPr="00E93B96" w14:paraId="4076DD3E" w14:textId="77777777" w:rsidTr="00DD1F21">
        <w:tc>
          <w:tcPr>
            <w:tcW w:w="1975" w:type="dxa"/>
            <w:vMerge w:val="restart"/>
            <w:shd w:val="clear" w:color="auto" w:fill="FFF2CC" w:themeFill="accent4" w:themeFillTint="33"/>
          </w:tcPr>
          <w:p w14:paraId="30BAE9D7" w14:textId="77777777" w:rsidR="008E38C2" w:rsidRPr="00E93B96" w:rsidRDefault="008E38C2" w:rsidP="008E38C2">
            <w:pPr>
              <w:rPr>
                <w:b/>
              </w:rPr>
            </w:pPr>
          </w:p>
        </w:tc>
        <w:tc>
          <w:tcPr>
            <w:tcW w:w="4950" w:type="dxa"/>
          </w:tcPr>
          <w:p w14:paraId="0DA9A1F8" w14:textId="0B8649A1" w:rsidR="008E38C2" w:rsidRPr="00E93B96" w:rsidRDefault="008E38C2" w:rsidP="008E38C2">
            <w:r w:rsidRPr="00E93B96">
              <w:t>Reassess project risks according to the process of revising the project strategy and cost appropriate risk mitigation measures</w:t>
            </w:r>
          </w:p>
        </w:tc>
        <w:tc>
          <w:tcPr>
            <w:tcW w:w="1440" w:type="dxa"/>
          </w:tcPr>
          <w:p w14:paraId="3FB757CC" w14:textId="17DAAA3F" w:rsidR="008E38C2" w:rsidRPr="00E93B96" w:rsidRDefault="008E38C2" w:rsidP="008E38C2">
            <w:r w:rsidRPr="00E93B96">
              <w:t>PMU, UNDP</w:t>
            </w:r>
          </w:p>
        </w:tc>
        <w:tc>
          <w:tcPr>
            <w:tcW w:w="1260" w:type="dxa"/>
          </w:tcPr>
          <w:p w14:paraId="77B0097E" w14:textId="6C1143F0" w:rsidR="008E38C2" w:rsidRPr="00E93B96" w:rsidRDefault="008E38C2" w:rsidP="008E38C2">
            <w:r w:rsidRPr="00E93B96">
              <w:t>August, 2020</w:t>
            </w:r>
          </w:p>
        </w:tc>
        <w:tc>
          <w:tcPr>
            <w:tcW w:w="1440" w:type="dxa"/>
          </w:tcPr>
          <w:p w14:paraId="3769258E" w14:textId="10227569" w:rsidR="008E38C2" w:rsidRPr="00E93B96" w:rsidRDefault="00C67974" w:rsidP="008E38C2">
            <w:r w:rsidRPr="00E93B96">
              <w:t>O</w:t>
            </w:r>
            <w:r w:rsidR="008E38C2" w:rsidRPr="00E93B96">
              <w:t xml:space="preserve">n-going </w:t>
            </w:r>
          </w:p>
        </w:tc>
        <w:tc>
          <w:tcPr>
            <w:tcW w:w="2070" w:type="dxa"/>
          </w:tcPr>
          <w:p w14:paraId="57D278F3" w14:textId="6D5AC245" w:rsidR="008E38C2" w:rsidRPr="00E93B96" w:rsidRDefault="008E38C2" w:rsidP="008E38C2">
            <w:r w:rsidRPr="00E93B96">
              <w:t xml:space="preserve">Consultants </w:t>
            </w:r>
            <w:r w:rsidR="00E93B96" w:rsidRPr="00E93B96">
              <w:t>engaged to</w:t>
            </w:r>
            <w:r w:rsidRPr="00E93B96">
              <w:t xml:space="preserve"> reassess the project risks in-line with the revised project strategy through De-risking Renewable Energy Investment (DREI) Analysis for solar PV technology in Nigeria.</w:t>
            </w:r>
          </w:p>
        </w:tc>
      </w:tr>
      <w:tr w:rsidR="008E38C2" w:rsidRPr="00E93B96" w14:paraId="061B59D0" w14:textId="77777777" w:rsidTr="00DD1F21">
        <w:tc>
          <w:tcPr>
            <w:tcW w:w="1975" w:type="dxa"/>
            <w:vMerge/>
            <w:shd w:val="clear" w:color="auto" w:fill="FFF2CC" w:themeFill="accent4" w:themeFillTint="33"/>
          </w:tcPr>
          <w:p w14:paraId="2B125AA2" w14:textId="77777777" w:rsidR="008E38C2" w:rsidRPr="00E93B96" w:rsidRDefault="008E38C2" w:rsidP="008E38C2">
            <w:pPr>
              <w:rPr>
                <w:b/>
              </w:rPr>
            </w:pPr>
          </w:p>
        </w:tc>
        <w:tc>
          <w:tcPr>
            <w:tcW w:w="4950" w:type="dxa"/>
          </w:tcPr>
          <w:p w14:paraId="7A2BBAC9" w14:textId="6C614685" w:rsidR="008E38C2" w:rsidRPr="00E93B96" w:rsidRDefault="00C67974" w:rsidP="008E38C2">
            <w:r w:rsidRPr="00E93B96">
              <w:t xml:space="preserve">Conduct detailed social and environmental screening procedure (SESP) for revised project strategy on interconnected </w:t>
            </w:r>
            <w:r w:rsidR="00E93B96" w:rsidRPr="00E93B96">
              <w:t>mini grids</w:t>
            </w:r>
            <w:r w:rsidRPr="00E93B96">
              <w:t xml:space="preserve">, conduct environmental and social impact assessment (ESIA) for proposed investment sites, and prepare </w:t>
            </w:r>
            <w:r w:rsidR="00442261" w:rsidRPr="00E93B96">
              <w:t>environmental and social management plan (ESMP) based on assessments</w:t>
            </w:r>
          </w:p>
        </w:tc>
        <w:tc>
          <w:tcPr>
            <w:tcW w:w="1440" w:type="dxa"/>
          </w:tcPr>
          <w:p w14:paraId="7AA9AB39" w14:textId="2ABD6D7B" w:rsidR="008E38C2" w:rsidRPr="00E93B96" w:rsidRDefault="00442261" w:rsidP="008E38C2">
            <w:r w:rsidRPr="00E93B96">
              <w:t>PMU, UNDP</w:t>
            </w:r>
          </w:p>
        </w:tc>
        <w:tc>
          <w:tcPr>
            <w:tcW w:w="1260" w:type="dxa"/>
          </w:tcPr>
          <w:p w14:paraId="5A1AB3CC" w14:textId="3BAF2445" w:rsidR="008E38C2" w:rsidRPr="00E93B96" w:rsidRDefault="00442261" w:rsidP="008E38C2">
            <w:r w:rsidRPr="00E93B96">
              <w:t>December 2020</w:t>
            </w:r>
          </w:p>
        </w:tc>
        <w:tc>
          <w:tcPr>
            <w:tcW w:w="1440" w:type="dxa"/>
          </w:tcPr>
          <w:p w14:paraId="4D709052" w14:textId="02F56456" w:rsidR="008E38C2" w:rsidRPr="00E93B96" w:rsidRDefault="00442261" w:rsidP="008E38C2">
            <w:r w:rsidRPr="00E93B96">
              <w:t>Pending</w:t>
            </w:r>
          </w:p>
        </w:tc>
        <w:tc>
          <w:tcPr>
            <w:tcW w:w="2070" w:type="dxa"/>
          </w:tcPr>
          <w:p w14:paraId="725D7340" w14:textId="449A0894" w:rsidR="008E38C2" w:rsidRPr="00E93B96" w:rsidRDefault="00442261" w:rsidP="008E38C2">
            <w:r w:rsidRPr="00E93B96">
              <w:t>Engage a safeguards expert to conduct screening and assessment and prepare a management plan. Regional Service Centre will share sample TORs and can recommend qualified experts.</w:t>
            </w:r>
          </w:p>
        </w:tc>
      </w:tr>
      <w:tr w:rsidR="008E38C2" w:rsidRPr="00E93B96" w14:paraId="5D8E949A" w14:textId="77777777" w:rsidTr="00DD1F21">
        <w:tc>
          <w:tcPr>
            <w:tcW w:w="13135" w:type="dxa"/>
            <w:gridSpan w:val="6"/>
            <w:shd w:val="clear" w:color="auto" w:fill="FFF2CC" w:themeFill="accent4" w:themeFillTint="33"/>
          </w:tcPr>
          <w:p w14:paraId="625121E7" w14:textId="48231228" w:rsidR="008E38C2" w:rsidRPr="00E93B96" w:rsidRDefault="008E38C2" w:rsidP="008E38C2">
            <w:pPr>
              <w:rPr>
                <w:b/>
              </w:rPr>
            </w:pPr>
            <w:r w:rsidRPr="00E93B96">
              <w:rPr>
                <w:b/>
              </w:rPr>
              <w:t>10.</w:t>
            </w:r>
          </w:p>
        </w:tc>
      </w:tr>
      <w:tr w:rsidR="008E38C2" w:rsidRPr="00E93B96" w14:paraId="42C43991" w14:textId="77777777" w:rsidTr="00DD1F21">
        <w:tc>
          <w:tcPr>
            <w:tcW w:w="1975" w:type="dxa"/>
            <w:shd w:val="clear" w:color="auto" w:fill="FFF2CC" w:themeFill="accent4" w:themeFillTint="33"/>
          </w:tcPr>
          <w:p w14:paraId="41E7B12F" w14:textId="77777777" w:rsidR="008E38C2" w:rsidRPr="00E93B96" w:rsidRDefault="008E38C2" w:rsidP="008E38C2">
            <w:pPr>
              <w:rPr>
                <w:b/>
              </w:rPr>
            </w:pPr>
            <w:r w:rsidRPr="00E93B96">
              <w:rPr>
                <w:b/>
              </w:rPr>
              <w:t>Recommendation</w:t>
            </w:r>
          </w:p>
        </w:tc>
        <w:tc>
          <w:tcPr>
            <w:tcW w:w="11160" w:type="dxa"/>
            <w:gridSpan w:val="5"/>
          </w:tcPr>
          <w:p w14:paraId="60639B23" w14:textId="77777777" w:rsidR="008E38C2" w:rsidRPr="00E93B96" w:rsidRDefault="008E38C2" w:rsidP="008E38C2">
            <w:pPr>
              <w:rPr>
                <w:b/>
                <w:bCs/>
              </w:rPr>
            </w:pPr>
            <w:r w:rsidRPr="00E93B96">
              <w:rPr>
                <w:b/>
                <w:bCs/>
              </w:rPr>
              <w:t xml:space="preserve">Facilitate a decision from the PSC and UNDP that is retroactive </w:t>
            </w:r>
            <w:proofErr w:type="gramStart"/>
            <w:r w:rsidRPr="00E93B96">
              <w:rPr>
                <w:b/>
                <w:bCs/>
              </w:rPr>
              <w:t>in regard to</w:t>
            </w:r>
            <w:proofErr w:type="gramEnd"/>
            <w:r w:rsidRPr="00E93B96">
              <w:rPr>
                <w:b/>
                <w:bCs/>
              </w:rPr>
              <w:t xml:space="preserve"> the investment in off-grid solar</w:t>
            </w:r>
          </w:p>
          <w:p w14:paraId="68437DF5" w14:textId="77777777" w:rsidR="008E38C2" w:rsidRPr="00E93B96" w:rsidRDefault="008E38C2" w:rsidP="008E38C2">
            <w:pPr>
              <w:rPr>
                <w:b/>
                <w:bCs/>
              </w:rPr>
            </w:pPr>
            <w:r w:rsidRPr="00E93B96">
              <w:rPr>
                <w:b/>
                <w:bCs/>
              </w:rPr>
              <w:t>PV systems in 2017.</w:t>
            </w:r>
          </w:p>
          <w:p w14:paraId="0043FD98" w14:textId="77777777" w:rsidR="008E38C2" w:rsidRPr="00E93B96" w:rsidRDefault="008E38C2" w:rsidP="008E38C2">
            <w:r w:rsidRPr="00E93B96">
              <w:t>The use of GEF funds for investment in off-grid solar PV systems in 2017 should be reconciled through a decision</w:t>
            </w:r>
          </w:p>
          <w:p w14:paraId="70853EB9" w14:textId="4B645EAD" w:rsidR="008E38C2" w:rsidRPr="00E93B96" w:rsidRDefault="008E38C2" w:rsidP="008E38C2">
            <w:r w:rsidRPr="00E93B96">
              <w:t>by the PSC and UNDP that is effective retroactively.</w:t>
            </w:r>
          </w:p>
        </w:tc>
      </w:tr>
      <w:tr w:rsidR="008E38C2" w:rsidRPr="00E93B96" w14:paraId="121D7ABB" w14:textId="77777777" w:rsidTr="00DD1F21">
        <w:tc>
          <w:tcPr>
            <w:tcW w:w="1975" w:type="dxa"/>
            <w:shd w:val="clear" w:color="auto" w:fill="FFF2CC" w:themeFill="accent4" w:themeFillTint="33"/>
          </w:tcPr>
          <w:p w14:paraId="7CE13AFA" w14:textId="77777777" w:rsidR="008E38C2" w:rsidRPr="00E93B96" w:rsidRDefault="008E38C2" w:rsidP="008E38C2">
            <w:pPr>
              <w:rPr>
                <w:b/>
              </w:rPr>
            </w:pPr>
            <w:r w:rsidRPr="00E93B96">
              <w:rPr>
                <w:b/>
              </w:rPr>
              <w:t>Management Response</w:t>
            </w:r>
          </w:p>
        </w:tc>
        <w:tc>
          <w:tcPr>
            <w:tcW w:w="11160" w:type="dxa"/>
            <w:gridSpan w:val="5"/>
          </w:tcPr>
          <w:p w14:paraId="67A077B6" w14:textId="0150DF1F" w:rsidR="008E38C2" w:rsidRPr="00E93B96" w:rsidRDefault="008E38C2" w:rsidP="008E38C2">
            <w:r w:rsidRPr="00E93B96">
              <w:t>Agreed.</w:t>
            </w:r>
          </w:p>
        </w:tc>
      </w:tr>
      <w:tr w:rsidR="008E38C2" w:rsidRPr="00E93B96" w14:paraId="6EE0A5E6" w14:textId="77777777" w:rsidTr="00DD1F21">
        <w:tc>
          <w:tcPr>
            <w:tcW w:w="1975" w:type="dxa"/>
            <w:shd w:val="clear" w:color="auto" w:fill="FFF2CC" w:themeFill="accent4" w:themeFillTint="33"/>
          </w:tcPr>
          <w:p w14:paraId="0FFA03D8" w14:textId="77777777" w:rsidR="008E38C2" w:rsidRPr="00E93B96" w:rsidRDefault="008E38C2" w:rsidP="008E38C2">
            <w:pPr>
              <w:rPr>
                <w:b/>
              </w:rPr>
            </w:pPr>
            <w:r w:rsidRPr="00E93B96">
              <w:rPr>
                <w:b/>
              </w:rPr>
              <w:t>Key Actions</w:t>
            </w:r>
          </w:p>
        </w:tc>
        <w:tc>
          <w:tcPr>
            <w:tcW w:w="4950" w:type="dxa"/>
            <w:shd w:val="clear" w:color="auto" w:fill="FFF2CC" w:themeFill="accent4" w:themeFillTint="33"/>
          </w:tcPr>
          <w:p w14:paraId="057239E2" w14:textId="77777777" w:rsidR="008E38C2" w:rsidRPr="00E93B96" w:rsidRDefault="008E38C2" w:rsidP="008E38C2"/>
        </w:tc>
        <w:tc>
          <w:tcPr>
            <w:tcW w:w="1440" w:type="dxa"/>
            <w:shd w:val="clear" w:color="auto" w:fill="FFF2CC" w:themeFill="accent4" w:themeFillTint="33"/>
          </w:tcPr>
          <w:p w14:paraId="0A23405D" w14:textId="77777777" w:rsidR="008E38C2" w:rsidRPr="00E93B96" w:rsidRDefault="008E38C2" w:rsidP="008E38C2">
            <w:pPr>
              <w:rPr>
                <w:b/>
              </w:rPr>
            </w:pPr>
            <w:r w:rsidRPr="00E93B96">
              <w:rPr>
                <w:b/>
              </w:rPr>
              <w:t>Responsible</w:t>
            </w:r>
          </w:p>
        </w:tc>
        <w:tc>
          <w:tcPr>
            <w:tcW w:w="1260" w:type="dxa"/>
            <w:shd w:val="clear" w:color="auto" w:fill="FFF2CC" w:themeFill="accent4" w:themeFillTint="33"/>
          </w:tcPr>
          <w:p w14:paraId="0568D82D" w14:textId="77777777" w:rsidR="008E38C2" w:rsidRPr="00E93B96" w:rsidRDefault="008E38C2" w:rsidP="008E38C2">
            <w:pPr>
              <w:rPr>
                <w:b/>
              </w:rPr>
            </w:pPr>
            <w:r w:rsidRPr="00E93B96">
              <w:rPr>
                <w:b/>
              </w:rPr>
              <w:t>Due Date</w:t>
            </w:r>
          </w:p>
        </w:tc>
        <w:tc>
          <w:tcPr>
            <w:tcW w:w="1440" w:type="dxa"/>
            <w:shd w:val="clear" w:color="auto" w:fill="FFF2CC" w:themeFill="accent4" w:themeFillTint="33"/>
          </w:tcPr>
          <w:p w14:paraId="2239E627" w14:textId="77777777" w:rsidR="008E38C2" w:rsidRPr="00E93B96" w:rsidRDefault="008E38C2" w:rsidP="008E38C2">
            <w:pPr>
              <w:rPr>
                <w:b/>
              </w:rPr>
            </w:pPr>
            <w:r w:rsidRPr="00E93B96">
              <w:rPr>
                <w:b/>
              </w:rPr>
              <w:t>Status</w:t>
            </w:r>
          </w:p>
        </w:tc>
        <w:tc>
          <w:tcPr>
            <w:tcW w:w="2070" w:type="dxa"/>
            <w:shd w:val="clear" w:color="auto" w:fill="FFF2CC" w:themeFill="accent4" w:themeFillTint="33"/>
          </w:tcPr>
          <w:p w14:paraId="223F3BAA" w14:textId="77777777" w:rsidR="008E38C2" w:rsidRPr="00E93B96" w:rsidRDefault="008E38C2" w:rsidP="008E38C2">
            <w:pPr>
              <w:rPr>
                <w:b/>
              </w:rPr>
            </w:pPr>
            <w:r w:rsidRPr="00E93B96">
              <w:rPr>
                <w:b/>
              </w:rPr>
              <w:t>Comments</w:t>
            </w:r>
          </w:p>
        </w:tc>
      </w:tr>
      <w:tr w:rsidR="008E38C2" w:rsidRPr="00E93B96" w14:paraId="17DFE851" w14:textId="77777777" w:rsidTr="00DD1F21">
        <w:tc>
          <w:tcPr>
            <w:tcW w:w="1975" w:type="dxa"/>
            <w:vMerge w:val="restart"/>
            <w:shd w:val="clear" w:color="auto" w:fill="FFF2CC" w:themeFill="accent4" w:themeFillTint="33"/>
          </w:tcPr>
          <w:p w14:paraId="3B494AC9" w14:textId="77777777" w:rsidR="008E38C2" w:rsidRPr="00E93B96" w:rsidRDefault="008E38C2" w:rsidP="008E38C2">
            <w:pPr>
              <w:rPr>
                <w:b/>
              </w:rPr>
            </w:pPr>
          </w:p>
        </w:tc>
        <w:tc>
          <w:tcPr>
            <w:tcW w:w="4950" w:type="dxa"/>
          </w:tcPr>
          <w:p w14:paraId="05C6DFF5" w14:textId="6D8C5B89" w:rsidR="008E38C2" w:rsidRPr="00E93B96" w:rsidRDefault="008E38C2" w:rsidP="008E38C2">
            <w:r w:rsidRPr="00E93B96">
              <w:t>Facilitate decision from the PSC and UNDP that should reconcile the use of GEF funds for investment in off-grid solar PV systems in 2017.</w:t>
            </w:r>
          </w:p>
        </w:tc>
        <w:tc>
          <w:tcPr>
            <w:tcW w:w="1440" w:type="dxa"/>
          </w:tcPr>
          <w:p w14:paraId="398A72CD" w14:textId="192AA6C9" w:rsidR="008E38C2" w:rsidRPr="00E93B96" w:rsidRDefault="008E38C2" w:rsidP="008E38C2">
            <w:r w:rsidRPr="00E93B96">
              <w:rPr>
                <w:b/>
                <w:bCs/>
              </w:rPr>
              <w:t>PSC, UNDP</w:t>
            </w:r>
          </w:p>
        </w:tc>
        <w:tc>
          <w:tcPr>
            <w:tcW w:w="1260" w:type="dxa"/>
          </w:tcPr>
          <w:p w14:paraId="0F62F02D" w14:textId="71D725ED" w:rsidR="008E38C2" w:rsidRPr="00E93B96" w:rsidRDefault="008E38C2" w:rsidP="008E38C2">
            <w:r w:rsidRPr="00E93B96">
              <w:t>26-06-2019</w:t>
            </w:r>
          </w:p>
        </w:tc>
        <w:tc>
          <w:tcPr>
            <w:tcW w:w="1440" w:type="dxa"/>
          </w:tcPr>
          <w:p w14:paraId="61A4AFAF" w14:textId="2C39F5FA" w:rsidR="008E38C2" w:rsidRPr="00E93B96" w:rsidRDefault="008E38C2" w:rsidP="008E38C2">
            <w:r w:rsidRPr="00E93B96">
              <w:t>completed</w:t>
            </w:r>
          </w:p>
        </w:tc>
        <w:tc>
          <w:tcPr>
            <w:tcW w:w="2070" w:type="dxa"/>
          </w:tcPr>
          <w:p w14:paraId="05F4B567" w14:textId="22A2E28F" w:rsidR="008E38C2" w:rsidRPr="00E93B96" w:rsidRDefault="008E38C2" w:rsidP="008E38C2">
            <w:r w:rsidRPr="00E93B96">
              <w:rPr>
                <w:rFonts w:cs="Calibri"/>
              </w:rPr>
              <w:t xml:space="preserve">The Project Steering Committee (PSC) and UNDP in an </w:t>
            </w:r>
            <w:r w:rsidRPr="00E93B96">
              <w:rPr>
                <w:rFonts w:cs="Calibri"/>
              </w:rPr>
              <w:lastRenderedPageBreak/>
              <w:t>Extra-Ordinary Emergency Meeting approved the construction of the three (3) demonstration projects in Jigawa, Ogun State and Kano State during an Extra-Ordinary Emergency Steering Committee meeting held 27 June 2019.</w:t>
            </w:r>
          </w:p>
        </w:tc>
      </w:tr>
      <w:tr w:rsidR="008E38C2" w:rsidRPr="00E93B96" w14:paraId="52BE64A7" w14:textId="77777777" w:rsidTr="00DD1F21">
        <w:tc>
          <w:tcPr>
            <w:tcW w:w="1975" w:type="dxa"/>
            <w:vMerge/>
            <w:shd w:val="clear" w:color="auto" w:fill="FFF2CC" w:themeFill="accent4" w:themeFillTint="33"/>
          </w:tcPr>
          <w:p w14:paraId="03E0323D" w14:textId="77777777" w:rsidR="008E38C2" w:rsidRPr="00E93B96" w:rsidRDefault="008E38C2" w:rsidP="008E38C2">
            <w:pPr>
              <w:rPr>
                <w:b/>
              </w:rPr>
            </w:pPr>
          </w:p>
        </w:tc>
        <w:tc>
          <w:tcPr>
            <w:tcW w:w="4950" w:type="dxa"/>
          </w:tcPr>
          <w:p w14:paraId="4AF3F439" w14:textId="00A1AC76" w:rsidR="008E38C2" w:rsidRPr="00E93B96" w:rsidRDefault="008E38C2" w:rsidP="008E38C2"/>
        </w:tc>
        <w:tc>
          <w:tcPr>
            <w:tcW w:w="1440" w:type="dxa"/>
          </w:tcPr>
          <w:p w14:paraId="0BED130A" w14:textId="77777777" w:rsidR="008E38C2" w:rsidRPr="00E93B96" w:rsidRDefault="008E38C2" w:rsidP="008E38C2"/>
        </w:tc>
        <w:tc>
          <w:tcPr>
            <w:tcW w:w="1260" w:type="dxa"/>
          </w:tcPr>
          <w:p w14:paraId="2100226E" w14:textId="77777777" w:rsidR="008E38C2" w:rsidRPr="00E93B96" w:rsidRDefault="008E38C2" w:rsidP="008E38C2"/>
        </w:tc>
        <w:tc>
          <w:tcPr>
            <w:tcW w:w="1440" w:type="dxa"/>
          </w:tcPr>
          <w:p w14:paraId="1D35877E" w14:textId="77777777" w:rsidR="008E38C2" w:rsidRPr="00E93B96" w:rsidRDefault="008E38C2" w:rsidP="008E38C2"/>
        </w:tc>
        <w:tc>
          <w:tcPr>
            <w:tcW w:w="2070" w:type="dxa"/>
          </w:tcPr>
          <w:p w14:paraId="299BA2B9" w14:textId="77777777" w:rsidR="008E38C2" w:rsidRPr="00E93B96" w:rsidRDefault="008E38C2" w:rsidP="008E38C2"/>
        </w:tc>
      </w:tr>
      <w:tr w:rsidR="008E38C2" w:rsidRPr="00E93B96" w14:paraId="3CFFB38B" w14:textId="77777777" w:rsidTr="00DD1F21">
        <w:tc>
          <w:tcPr>
            <w:tcW w:w="13135" w:type="dxa"/>
            <w:gridSpan w:val="6"/>
            <w:shd w:val="clear" w:color="auto" w:fill="FFF2CC" w:themeFill="accent4" w:themeFillTint="33"/>
          </w:tcPr>
          <w:p w14:paraId="6D284583" w14:textId="4EEF18BC" w:rsidR="008E38C2" w:rsidRPr="00E93B96" w:rsidRDefault="008E38C2" w:rsidP="008E38C2">
            <w:pPr>
              <w:rPr>
                <w:b/>
              </w:rPr>
            </w:pPr>
            <w:r w:rsidRPr="00E93B96">
              <w:rPr>
                <w:b/>
              </w:rPr>
              <w:t>11.</w:t>
            </w:r>
          </w:p>
        </w:tc>
      </w:tr>
      <w:tr w:rsidR="008E38C2" w:rsidRPr="00E93B96" w14:paraId="3B6CDD7C" w14:textId="77777777" w:rsidTr="00DD1F21">
        <w:tc>
          <w:tcPr>
            <w:tcW w:w="1975" w:type="dxa"/>
            <w:shd w:val="clear" w:color="auto" w:fill="FFF2CC" w:themeFill="accent4" w:themeFillTint="33"/>
          </w:tcPr>
          <w:p w14:paraId="3897A633" w14:textId="77777777" w:rsidR="008E38C2" w:rsidRPr="00E93B96" w:rsidRDefault="008E38C2" w:rsidP="008E38C2">
            <w:pPr>
              <w:rPr>
                <w:b/>
              </w:rPr>
            </w:pPr>
            <w:r w:rsidRPr="00E93B96">
              <w:rPr>
                <w:b/>
              </w:rPr>
              <w:t>Recommendation</w:t>
            </w:r>
          </w:p>
        </w:tc>
        <w:tc>
          <w:tcPr>
            <w:tcW w:w="11160" w:type="dxa"/>
            <w:gridSpan w:val="5"/>
          </w:tcPr>
          <w:p w14:paraId="072A3125" w14:textId="77777777" w:rsidR="008E38C2" w:rsidRPr="00E93B96" w:rsidRDefault="008E38C2" w:rsidP="008E38C2">
            <w:pPr>
              <w:rPr>
                <w:b/>
                <w:bCs/>
              </w:rPr>
            </w:pPr>
            <w:r w:rsidRPr="00E93B96">
              <w:rPr>
                <w:b/>
                <w:bCs/>
              </w:rPr>
              <w:t>Follow up on the progress of implementing the recommendations for achieving financial sector reform.</w:t>
            </w:r>
          </w:p>
          <w:p w14:paraId="2CCFD00A" w14:textId="32FEF0C4" w:rsidR="008E38C2" w:rsidRPr="00E93B96" w:rsidRDefault="008E38C2" w:rsidP="008E38C2">
            <w:r w:rsidRPr="00E93B96">
              <w:t>It would be advisable to follow up on the recommendations made in the financial sector reform report under Output 2.1, identifying responsible entities for each of the recommendations and requesting progress feedback reports at each of the project steering committee meetings.</w:t>
            </w:r>
          </w:p>
        </w:tc>
      </w:tr>
      <w:tr w:rsidR="008E38C2" w:rsidRPr="00E93B96" w14:paraId="20BD3286" w14:textId="77777777" w:rsidTr="00DD1F21">
        <w:tc>
          <w:tcPr>
            <w:tcW w:w="1975" w:type="dxa"/>
            <w:shd w:val="clear" w:color="auto" w:fill="FFF2CC" w:themeFill="accent4" w:themeFillTint="33"/>
          </w:tcPr>
          <w:p w14:paraId="5A79AD52" w14:textId="77777777" w:rsidR="008E38C2" w:rsidRPr="00E93B96" w:rsidRDefault="008E38C2" w:rsidP="008E38C2">
            <w:pPr>
              <w:rPr>
                <w:b/>
              </w:rPr>
            </w:pPr>
            <w:r w:rsidRPr="00E93B96">
              <w:rPr>
                <w:b/>
              </w:rPr>
              <w:t>Management Response</w:t>
            </w:r>
          </w:p>
        </w:tc>
        <w:tc>
          <w:tcPr>
            <w:tcW w:w="11160" w:type="dxa"/>
            <w:gridSpan w:val="5"/>
          </w:tcPr>
          <w:p w14:paraId="08FB0360" w14:textId="14FEE7C8" w:rsidR="008E38C2" w:rsidRPr="00E93B96" w:rsidRDefault="00442261" w:rsidP="008E38C2">
            <w:r w:rsidRPr="00E93B96">
              <w:t>Agreed</w:t>
            </w:r>
          </w:p>
        </w:tc>
      </w:tr>
      <w:tr w:rsidR="008E38C2" w:rsidRPr="00E93B96" w14:paraId="3CAD477C" w14:textId="77777777" w:rsidTr="00DD1F21">
        <w:tc>
          <w:tcPr>
            <w:tcW w:w="1975" w:type="dxa"/>
            <w:shd w:val="clear" w:color="auto" w:fill="FFF2CC" w:themeFill="accent4" w:themeFillTint="33"/>
          </w:tcPr>
          <w:p w14:paraId="1547FE72" w14:textId="77777777" w:rsidR="008E38C2" w:rsidRPr="00E93B96" w:rsidRDefault="008E38C2" w:rsidP="008E38C2">
            <w:pPr>
              <w:rPr>
                <w:b/>
              </w:rPr>
            </w:pPr>
            <w:r w:rsidRPr="00E93B96">
              <w:rPr>
                <w:b/>
              </w:rPr>
              <w:t>Key Actions</w:t>
            </w:r>
          </w:p>
        </w:tc>
        <w:tc>
          <w:tcPr>
            <w:tcW w:w="4950" w:type="dxa"/>
            <w:shd w:val="clear" w:color="auto" w:fill="FFF2CC" w:themeFill="accent4" w:themeFillTint="33"/>
          </w:tcPr>
          <w:p w14:paraId="05F924FF" w14:textId="77777777" w:rsidR="008E38C2" w:rsidRPr="00E93B96" w:rsidRDefault="008E38C2" w:rsidP="008E38C2"/>
        </w:tc>
        <w:tc>
          <w:tcPr>
            <w:tcW w:w="1440" w:type="dxa"/>
            <w:shd w:val="clear" w:color="auto" w:fill="FFF2CC" w:themeFill="accent4" w:themeFillTint="33"/>
          </w:tcPr>
          <w:p w14:paraId="420D0C59" w14:textId="77777777" w:rsidR="008E38C2" w:rsidRPr="00E93B96" w:rsidRDefault="008E38C2" w:rsidP="008E38C2">
            <w:pPr>
              <w:rPr>
                <w:b/>
              </w:rPr>
            </w:pPr>
            <w:r w:rsidRPr="00E93B96">
              <w:rPr>
                <w:b/>
              </w:rPr>
              <w:t>Responsible</w:t>
            </w:r>
          </w:p>
        </w:tc>
        <w:tc>
          <w:tcPr>
            <w:tcW w:w="1260" w:type="dxa"/>
            <w:shd w:val="clear" w:color="auto" w:fill="FFF2CC" w:themeFill="accent4" w:themeFillTint="33"/>
          </w:tcPr>
          <w:p w14:paraId="099F97A4" w14:textId="77777777" w:rsidR="008E38C2" w:rsidRPr="00E93B96" w:rsidRDefault="008E38C2" w:rsidP="008E38C2">
            <w:pPr>
              <w:rPr>
                <w:b/>
              </w:rPr>
            </w:pPr>
            <w:r w:rsidRPr="00E93B96">
              <w:rPr>
                <w:b/>
              </w:rPr>
              <w:t>Due Date</w:t>
            </w:r>
          </w:p>
        </w:tc>
        <w:tc>
          <w:tcPr>
            <w:tcW w:w="1440" w:type="dxa"/>
            <w:shd w:val="clear" w:color="auto" w:fill="FFF2CC" w:themeFill="accent4" w:themeFillTint="33"/>
          </w:tcPr>
          <w:p w14:paraId="4A8911DE" w14:textId="77777777" w:rsidR="008E38C2" w:rsidRPr="00E93B96" w:rsidRDefault="008E38C2" w:rsidP="008E38C2">
            <w:pPr>
              <w:rPr>
                <w:b/>
              </w:rPr>
            </w:pPr>
            <w:r w:rsidRPr="00E93B96">
              <w:rPr>
                <w:b/>
              </w:rPr>
              <w:t>Status</w:t>
            </w:r>
          </w:p>
        </w:tc>
        <w:tc>
          <w:tcPr>
            <w:tcW w:w="2070" w:type="dxa"/>
            <w:shd w:val="clear" w:color="auto" w:fill="FFF2CC" w:themeFill="accent4" w:themeFillTint="33"/>
          </w:tcPr>
          <w:p w14:paraId="077F60B2" w14:textId="77777777" w:rsidR="008E38C2" w:rsidRPr="00E93B96" w:rsidRDefault="008E38C2" w:rsidP="008E38C2">
            <w:pPr>
              <w:rPr>
                <w:b/>
              </w:rPr>
            </w:pPr>
            <w:r w:rsidRPr="00E93B96">
              <w:rPr>
                <w:b/>
              </w:rPr>
              <w:t>Comments</w:t>
            </w:r>
          </w:p>
        </w:tc>
      </w:tr>
      <w:tr w:rsidR="008E38C2" w:rsidRPr="00E93B96" w14:paraId="5CF1BED2" w14:textId="77777777" w:rsidTr="00DD1F21">
        <w:tc>
          <w:tcPr>
            <w:tcW w:w="1975" w:type="dxa"/>
            <w:vMerge w:val="restart"/>
            <w:shd w:val="clear" w:color="auto" w:fill="FFF2CC" w:themeFill="accent4" w:themeFillTint="33"/>
          </w:tcPr>
          <w:p w14:paraId="5E9C2A13" w14:textId="77777777" w:rsidR="008E38C2" w:rsidRPr="00E93B96" w:rsidRDefault="008E38C2" w:rsidP="008E38C2">
            <w:pPr>
              <w:rPr>
                <w:b/>
              </w:rPr>
            </w:pPr>
          </w:p>
        </w:tc>
        <w:tc>
          <w:tcPr>
            <w:tcW w:w="4950" w:type="dxa"/>
          </w:tcPr>
          <w:p w14:paraId="2807066D" w14:textId="148373F8" w:rsidR="008E38C2" w:rsidRPr="00E93B96" w:rsidRDefault="009D48A8" w:rsidP="008E38C2">
            <w:r w:rsidRPr="00E93B96">
              <w:t>Follow up on the recommendations made in the financial sector reform report under Output 2.1</w:t>
            </w:r>
          </w:p>
        </w:tc>
        <w:tc>
          <w:tcPr>
            <w:tcW w:w="1440" w:type="dxa"/>
          </w:tcPr>
          <w:p w14:paraId="308E502D" w14:textId="46771A10" w:rsidR="008E38C2" w:rsidRPr="00E93B96" w:rsidRDefault="008E38C2" w:rsidP="008E38C2">
            <w:r w:rsidRPr="00E93B96">
              <w:rPr>
                <w:b/>
                <w:bCs/>
              </w:rPr>
              <w:t>PSC, UNDP</w:t>
            </w:r>
          </w:p>
        </w:tc>
        <w:tc>
          <w:tcPr>
            <w:tcW w:w="1260" w:type="dxa"/>
          </w:tcPr>
          <w:p w14:paraId="5EA69A40" w14:textId="5FC638CF" w:rsidR="008E38C2" w:rsidRPr="00E93B96" w:rsidRDefault="006C4BF1" w:rsidP="008E38C2">
            <w:r w:rsidRPr="00E93B96">
              <w:t>November 2020</w:t>
            </w:r>
          </w:p>
        </w:tc>
        <w:tc>
          <w:tcPr>
            <w:tcW w:w="1440" w:type="dxa"/>
          </w:tcPr>
          <w:p w14:paraId="3878632A" w14:textId="037B30AA" w:rsidR="008E38C2" w:rsidRPr="00E93B96" w:rsidRDefault="008E38C2" w:rsidP="008E38C2">
            <w:r w:rsidRPr="00E93B96">
              <w:t xml:space="preserve">On-going </w:t>
            </w:r>
          </w:p>
        </w:tc>
        <w:tc>
          <w:tcPr>
            <w:tcW w:w="2070" w:type="dxa"/>
          </w:tcPr>
          <w:p w14:paraId="7D811AE5" w14:textId="0464D071" w:rsidR="008E38C2" w:rsidRPr="00E93B96" w:rsidRDefault="008E38C2" w:rsidP="008E38C2">
            <w:r w:rsidRPr="00E93B96">
              <w:t>National workshop on popularization of financia</w:t>
            </w:r>
            <w:r w:rsidR="001B5F69" w:rsidRPr="00E93B96">
              <w:t>l sector reform report proposed.</w:t>
            </w:r>
            <w:r w:rsidRPr="00E93B96">
              <w:t xml:space="preserve"> </w:t>
            </w:r>
          </w:p>
        </w:tc>
      </w:tr>
      <w:tr w:rsidR="008E38C2" w:rsidRPr="00E93B96" w14:paraId="07FEABB2" w14:textId="77777777" w:rsidTr="00DD1F21">
        <w:tc>
          <w:tcPr>
            <w:tcW w:w="1975" w:type="dxa"/>
            <w:vMerge/>
            <w:shd w:val="clear" w:color="auto" w:fill="FFF2CC" w:themeFill="accent4" w:themeFillTint="33"/>
          </w:tcPr>
          <w:p w14:paraId="41327367" w14:textId="77777777" w:rsidR="008E38C2" w:rsidRPr="00E93B96" w:rsidRDefault="008E38C2" w:rsidP="008E38C2">
            <w:pPr>
              <w:rPr>
                <w:b/>
              </w:rPr>
            </w:pPr>
          </w:p>
        </w:tc>
        <w:tc>
          <w:tcPr>
            <w:tcW w:w="4950" w:type="dxa"/>
          </w:tcPr>
          <w:p w14:paraId="47820C96" w14:textId="20394833" w:rsidR="008E38C2" w:rsidRPr="00E93B96" w:rsidRDefault="00442261" w:rsidP="008E38C2">
            <w:r w:rsidRPr="00E93B96">
              <w:t>Identify responsible entities for each of the recommendations and request and request progress feedback reports at each of the Project Steering Committee meetings</w:t>
            </w:r>
          </w:p>
        </w:tc>
        <w:tc>
          <w:tcPr>
            <w:tcW w:w="1440" w:type="dxa"/>
          </w:tcPr>
          <w:p w14:paraId="6329ABFC" w14:textId="102A73F5" w:rsidR="008E38C2" w:rsidRPr="00E93B96" w:rsidRDefault="00442261" w:rsidP="008E38C2">
            <w:r w:rsidRPr="00E93B96">
              <w:t>PMU, UNDP</w:t>
            </w:r>
          </w:p>
        </w:tc>
        <w:tc>
          <w:tcPr>
            <w:tcW w:w="1260" w:type="dxa"/>
          </w:tcPr>
          <w:p w14:paraId="50B7C60D" w14:textId="460AAEC3" w:rsidR="008E38C2" w:rsidRPr="00E93B96" w:rsidRDefault="00442261" w:rsidP="008E38C2">
            <w:r w:rsidRPr="00E93B96">
              <w:t>October 2020</w:t>
            </w:r>
          </w:p>
        </w:tc>
        <w:tc>
          <w:tcPr>
            <w:tcW w:w="1440" w:type="dxa"/>
          </w:tcPr>
          <w:p w14:paraId="3535C2F4" w14:textId="782C4F6B" w:rsidR="008E38C2" w:rsidRPr="00E93B96" w:rsidRDefault="00442261" w:rsidP="008E38C2">
            <w:r w:rsidRPr="00E93B96">
              <w:t>Pending</w:t>
            </w:r>
          </w:p>
        </w:tc>
        <w:tc>
          <w:tcPr>
            <w:tcW w:w="2070" w:type="dxa"/>
          </w:tcPr>
          <w:p w14:paraId="6A84E97F" w14:textId="323F78E0" w:rsidR="008E38C2" w:rsidRPr="00E93B96" w:rsidRDefault="00E93B96" w:rsidP="008E38C2">
            <w:r w:rsidRPr="00E93B96">
              <w:t>A planned consultation planned during the 2020 implementation year</w:t>
            </w:r>
          </w:p>
        </w:tc>
      </w:tr>
    </w:tbl>
    <w:p w14:paraId="254C4DA9" w14:textId="77777777" w:rsidR="002628AB" w:rsidRPr="00E93B96" w:rsidRDefault="002628AB" w:rsidP="002628AB"/>
    <w:p w14:paraId="39E59EA4" w14:textId="77777777" w:rsidR="002628AB" w:rsidRDefault="002628AB" w:rsidP="002628AB"/>
    <w:p w14:paraId="5BD9636A" w14:textId="77777777" w:rsidR="005F6230" w:rsidRDefault="005F6230"/>
    <w:sectPr w:rsidR="005F6230" w:rsidSect="009111B1">
      <w:pgSz w:w="15840" w:h="12240" w:orient="landscape"/>
      <w:pgMar w:top="1702" w:right="1440" w:bottom="15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736431"/>
    <w:multiLevelType w:val="hybridMultilevel"/>
    <w:tmpl w:val="05700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BEF"/>
    <w:rsid w:val="00001ED7"/>
    <w:rsid w:val="0003541B"/>
    <w:rsid w:val="000670A8"/>
    <w:rsid w:val="00085FAE"/>
    <w:rsid w:val="000916FE"/>
    <w:rsid w:val="000A26CE"/>
    <w:rsid w:val="000F0334"/>
    <w:rsid w:val="0011681A"/>
    <w:rsid w:val="0016768E"/>
    <w:rsid w:val="001714F7"/>
    <w:rsid w:val="001742B4"/>
    <w:rsid w:val="00194ECB"/>
    <w:rsid w:val="001A48E9"/>
    <w:rsid w:val="001B5F69"/>
    <w:rsid w:val="001C70B7"/>
    <w:rsid w:val="001D2561"/>
    <w:rsid w:val="001F7846"/>
    <w:rsid w:val="00230D99"/>
    <w:rsid w:val="00252CC0"/>
    <w:rsid w:val="002541E7"/>
    <w:rsid w:val="002628AB"/>
    <w:rsid w:val="00296483"/>
    <w:rsid w:val="00335D92"/>
    <w:rsid w:val="00380630"/>
    <w:rsid w:val="003F2D85"/>
    <w:rsid w:val="004039B1"/>
    <w:rsid w:val="004057B4"/>
    <w:rsid w:val="00442261"/>
    <w:rsid w:val="00456284"/>
    <w:rsid w:val="0046627F"/>
    <w:rsid w:val="004D0F6E"/>
    <w:rsid w:val="004D704E"/>
    <w:rsid w:val="004F08AB"/>
    <w:rsid w:val="004F1FF6"/>
    <w:rsid w:val="00510AC0"/>
    <w:rsid w:val="00547025"/>
    <w:rsid w:val="005909F2"/>
    <w:rsid w:val="005A10E1"/>
    <w:rsid w:val="005E044F"/>
    <w:rsid w:val="005F6230"/>
    <w:rsid w:val="006104F4"/>
    <w:rsid w:val="006122A7"/>
    <w:rsid w:val="00656379"/>
    <w:rsid w:val="006B3693"/>
    <w:rsid w:val="006B3695"/>
    <w:rsid w:val="006C280F"/>
    <w:rsid w:val="006C4BF1"/>
    <w:rsid w:val="006D0303"/>
    <w:rsid w:val="006D40E0"/>
    <w:rsid w:val="00737D04"/>
    <w:rsid w:val="00747A0B"/>
    <w:rsid w:val="007550D3"/>
    <w:rsid w:val="00765A4E"/>
    <w:rsid w:val="00765FBB"/>
    <w:rsid w:val="007E22E0"/>
    <w:rsid w:val="008131AC"/>
    <w:rsid w:val="008172B1"/>
    <w:rsid w:val="008B2D4B"/>
    <w:rsid w:val="008C1133"/>
    <w:rsid w:val="008D5A4C"/>
    <w:rsid w:val="008E38C2"/>
    <w:rsid w:val="008E54EA"/>
    <w:rsid w:val="009111B1"/>
    <w:rsid w:val="00935F91"/>
    <w:rsid w:val="009B579E"/>
    <w:rsid w:val="009D48A8"/>
    <w:rsid w:val="009F7CFF"/>
    <w:rsid w:val="00A2479F"/>
    <w:rsid w:val="00A364A3"/>
    <w:rsid w:val="00A43DF3"/>
    <w:rsid w:val="00A4701E"/>
    <w:rsid w:val="00AA1477"/>
    <w:rsid w:val="00AC6265"/>
    <w:rsid w:val="00AE20F1"/>
    <w:rsid w:val="00B24BAD"/>
    <w:rsid w:val="00B2720D"/>
    <w:rsid w:val="00B47592"/>
    <w:rsid w:val="00B732CB"/>
    <w:rsid w:val="00B82672"/>
    <w:rsid w:val="00BA4D42"/>
    <w:rsid w:val="00BA4EF6"/>
    <w:rsid w:val="00BD13AF"/>
    <w:rsid w:val="00BE43B2"/>
    <w:rsid w:val="00C065FA"/>
    <w:rsid w:val="00C25B19"/>
    <w:rsid w:val="00C460FC"/>
    <w:rsid w:val="00C55728"/>
    <w:rsid w:val="00C67974"/>
    <w:rsid w:val="00C76E74"/>
    <w:rsid w:val="00C8028F"/>
    <w:rsid w:val="00C84811"/>
    <w:rsid w:val="00C90B6D"/>
    <w:rsid w:val="00CC4186"/>
    <w:rsid w:val="00CF4577"/>
    <w:rsid w:val="00D26D04"/>
    <w:rsid w:val="00D42B75"/>
    <w:rsid w:val="00D43337"/>
    <w:rsid w:val="00D57DDC"/>
    <w:rsid w:val="00D61883"/>
    <w:rsid w:val="00D73A3D"/>
    <w:rsid w:val="00D82CF0"/>
    <w:rsid w:val="00D832E0"/>
    <w:rsid w:val="00DB72BF"/>
    <w:rsid w:val="00DD77A6"/>
    <w:rsid w:val="00DF14C2"/>
    <w:rsid w:val="00E00399"/>
    <w:rsid w:val="00E020A1"/>
    <w:rsid w:val="00E06E14"/>
    <w:rsid w:val="00E11B5D"/>
    <w:rsid w:val="00E20243"/>
    <w:rsid w:val="00E21630"/>
    <w:rsid w:val="00E26C19"/>
    <w:rsid w:val="00E52BEF"/>
    <w:rsid w:val="00E65AC6"/>
    <w:rsid w:val="00E70B52"/>
    <w:rsid w:val="00E93B96"/>
    <w:rsid w:val="00E96694"/>
    <w:rsid w:val="00EF22D1"/>
    <w:rsid w:val="00F16CCE"/>
    <w:rsid w:val="00F2486A"/>
    <w:rsid w:val="00F562F0"/>
    <w:rsid w:val="00F963C3"/>
    <w:rsid w:val="00FA6B13"/>
    <w:rsid w:val="00FD2064"/>
    <w:rsid w:val="00FD56E5"/>
    <w:rsid w:val="00FF5C01"/>
    <w:rsid w:val="00FF6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DCDA4"/>
  <w15:chartTrackingRefBased/>
  <w15:docId w15:val="{13CCA264-8D94-4F98-805C-44552B21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7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6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3C3"/>
    <w:pPr>
      <w:spacing w:after="200" w:line="276" w:lineRule="auto"/>
      <w:ind w:left="720"/>
      <w:contextualSpacing/>
    </w:pPr>
  </w:style>
  <w:style w:type="paragraph" w:styleId="BalloonText">
    <w:name w:val="Balloon Text"/>
    <w:basedOn w:val="Normal"/>
    <w:link w:val="BalloonTextChar"/>
    <w:uiPriority w:val="99"/>
    <w:semiHidden/>
    <w:unhideWhenUsed/>
    <w:rsid w:val="00E93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B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1874</Words>
  <Characters>10682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Omata</dc:creator>
  <cp:keywords/>
  <dc:description/>
  <cp:lastModifiedBy>Muyiwa Odele</cp:lastModifiedBy>
  <cp:revision>2</cp:revision>
  <dcterms:created xsi:type="dcterms:W3CDTF">2020-09-28T14:10:00Z</dcterms:created>
  <dcterms:modified xsi:type="dcterms:W3CDTF">2020-09-28T14:10:00Z</dcterms:modified>
</cp:coreProperties>
</file>