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398"/>
        <w:tblW w:w="0" w:type="auto"/>
        <w:tblLook w:val="04A0" w:firstRow="1" w:lastRow="0" w:firstColumn="1" w:lastColumn="0" w:noHBand="0" w:noVBand="1"/>
      </w:tblPr>
      <w:tblGrid>
        <w:gridCol w:w="975"/>
        <w:gridCol w:w="3556"/>
        <w:gridCol w:w="4253"/>
        <w:gridCol w:w="2829"/>
      </w:tblGrid>
      <w:tr w:rsidR="00D812BE" w:rsidTr="00D74F3E">
        <w:tc>
          <w:tcPr>
            <w:tcW w:w="975" w:type="dxa"/>
          </w:tcPr>
          <w:p w:rsidR="00D812BE" w:rsidRDefault="00D812BE" w:rsidP="00D74F3E">
            <w:pPr>
              <w:jc w:val="both"/>
            </w:pPr>
            <w:r>
              <w:rPr>
                <w:rFonts w:ascii="Arial" w:hAnsi="Arial" w:cs="Arial"/>
                <w:noProof/>
                <w:sz w:val="18"/>
                <w:szCs w:val="18"/>
              </w:rPr>
              <w:drawing>
                <wp:inline distT="0" distB="0" distL="0" distR="0" wp14:anchorId="3B06FD8A" wp14:editId="16396390">
                  <wp:extent cx="461010" cy="906145"/>
                  <wp:effectExtent l="0" t="0" r="0" b="0"/>
                  <wp:docPr id="1" name="Imagen 1" descr="logo 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906145"/>
                          </a:xfrm>
                          <a:prstGeom prst="rect">
                            <a:avLst/>
                          </a:prstGeom>
                          <a:noFill/>
                          <a:ln>
                            <a:noFill/>
                          </a:ln>
                        </pic:spPr>
                      </pic:pic>
                    </a:graphicData>
                  </a:graphic>
                </wp:inline>
              </w:drawing>
            </w:r>
          </w:p>
        </w:tc>
        <w:tc>
          <w:tcPr>
            <w:tcW w:w="7809" w:type="dxa"/>
            <w:gridSpan w:val="2"/>
            <w:vAlign w:val="center"/>
          </w:tcPr>
          <w:p w:rsidR="00E33043" w:rsidRDefault="00D812BE" w:rsidP="00D74F3E">
            <w:pPr>
              <w:jc w:val="center"/>
              <w:rPr>
                <w:rFonts w:ascii="Arial" w:hAnsi="Arial" w:cs="Arial"/>
                <w:b/>
              </w:rPr>
            </w:pPr>
            <w:r>
              <w:rPr>
                <w:rFonts w:ascii="Arial" w:hAnsi="Arial" w:cs="Arial"/>
                <w:b/>
              </w:rPr>
              <w:t xml:space="preserve">PROGRAMA DE LAS NACIONES UNIDAS PARA EL DESARROLLO – </w:t>
            </w:r>
          </w:p>
          <w:p w:rsidR="00D812BE" w:rsidRDefault="00D812BE" w:rsidP="00D74F3E">
            <w:pPr>
              <w:jc w:val="center"/>
              <w:rPr>
                <w:rFonts w:ascii="Arial" w:hAnsi="Arial" w:cs="Arial"/>
                <w:b/>
              </w:rPr>
            </w:pPr>
            <w:r>
              <w:rPr>
                <w:rFonts w:ascii="Arial" w:hAnsi="Arial" w:cs="Arial"/>
                <w:b/>
              </w:rPr>
              <w:t>EL SALVADOR</w:t>
            </w:r>
          </w:p>
          <w:p w:rsidR="00D812BE" w:rsidRDefault="00D812BE" w:rsidP="00D74F3E">
            <w:pPr>
              <w:jc w:val="center"/>
              <w:rPr>
                <w:rFonts w:ascii="Arial" w:hAnsi="Arial" w:cs="Arial"/>
                <w:b/>
              </w:rPr>
            </w:pPr>
          </w:p>
          <w:p w:rsidR="00D812BE" w:rsidRDefault="00D812BE" w:rsidP="00D74F3E">
            <w:pPr>
              <w:jc w:val="center"/>
            </w:pPr>
            <w:r>
              <w:rPr>
                <w:rStyle w:val="Textoennegrita"/>
                <w:rFonts w:ascii="Arial" w:hAnsi="Arial" w:cs="Arial"/>
                <w:sz w:val="20"/>
                <w:szCs w:val="20"/>
              </w:rPr>
              <w:t>PROYECTO “</w:t>
            </w:r>
            <w:bookmarkStart w:id="0" w:name="_Hlk30751195"/>
            <w:r>
              <w:rPr>
                <w:rStyle w:val="Textoennegrita"/>
                <w:rFonts w:ascii="Arial" w:hAnsi="Arial" w:cs="Arial"/>
                <w:sz w:val="20"/>
                <w:szCs w:val="20"/>
              </w:rPr>
              <w:t>FORTALECIMIENTO INSTITUCIONAL DE LA ADMINISTRACIÓN ELECTORAL DE EL SALVADOR”</w:t>
            </w:r>
            <w:bookmarkEnd w:id="0"/>
          </w:p>
        </w:tc>
        <w:tc>
          <w:tcPr>
            <w:tcW w:w="2829" w:type="dxa"/>
            <w:vMerge w:val="restart"/>
          </w:tcPr>
          <w:p w:rsidR="00D812BE" w:rsidRPr="00D1005E" w:rsidRDefault="00D812BE" w:rsidP="00D74F3E">
            <w:pPr>
              <w:rPr>
                <w:rFonts w:ascii="Arial" w:hAnsi="Arial" w:cs="Arial"/>
                <w:sz w:val="18"/>
                <w:szCs w:val="18"/>
                <w:highlight w:val="lightGray"/>
                <w:lang w:val="it-IT"/>
              </w:rPr>
            </w:pPr>
          </w:p>
          <w:p w:rsidR="00D812BE" w:rsidRPr="00D1005E" w:rsidRDefault="00D812BE" w:rsidP="00D74F3E">
            <w:pPr>
              <w:rPr>
                <w:rFonts w:ascii="Arial" w:hAnsi="Arial" w:cs="Arial"/>
                <w:sz w:val="18"/>
                <w:szCs w:val="18"/>
                <w:highlight w:val="lightGray"/>
                <w:lang w:val="it-IT"/>
              </w:rPr>
            </w:pPr>
            <w:r w:rsidRPr="00D1005E">
              <w:rPr>
                <w:rFonts w:ascii="Arial" w:hAnsi="Arial" w:cs="Arial"/>
                <w:noProof/>
                <w:sz w:val="18"/>
                <w:szCs w:val="18"/>
                <w:highlight w:val="lightGray"/>
                <w:lang w:val="it-IT"/>
              </w:rPr>
              <w:drawing>
                <wp:inline distT="0" distB="0" distL="0" distR="0" wp14:anchorId="458CE74C" wp14:editId="4992253A">
                  <wp:extent cx="1598295" cy="1407160"/>
                  <wp:effectExtent l="19050" t="19050" r="190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EFEFE"/>
                              </a:clrFrom>
                              <a:clrTo>
                                <a:srgbClr val="FEFEFE">
                                  <a:alpha val="0"/>
                                </a:srgbClr>
                              </a:clrTo>
                            </a:clrChange>
                            <a:lum contrast="-30000"/>
                            <a:extLst>
                              <a:ext uri="{28A0092B-C50C-407E-A947-70E740481C1C}">
                                <a14:useLocalDpi xmlns:a14="http://schemas.microsoft.com/office/drawing/2010/main" val="0"/>
                              </a:ext>
                            </a:extLst>
                          </a:blip>
                          <a:srcRect/>
                          <a:stretch>
                            <a:fillRect/>
                          </a:stretch>
                        </pic:blipFill>
                        <pic:spPr bwMode="auto">
                          <a:xfrm>
                            <a:off x="0" y="0"/>
                            <a:ext cx="1598295" cy="1407160"/>
                          </a:xfrm>
                          <a:prstGeom prst="rect">
                            <a:avLst/>
                          </a:prstGeom>
                          <a:noFill/>
                          <a:ln w="6350" cmpd="sng">
                            <a:solidFill>
                              <a:srgbClr val="000000"/>
                            </a:solidFill>
                            <a:miter lim="800000"/>
                            <a:headEnd/>
                            <a:tailEnd/>
                          </a:ln>
                          <a:effectLst/>
                        </pic:spPr>
                      </pic:pic>
                    </a:graphicData>
                  </a:graphic>
                </wp:inline>
              </w:drawing>
            </w:r>
          </w:p>
          <w:p w:rsidR="00D812BE" w:rsidRPr="006A343A" w:rsidRDefault="00D812BE" w:rsidP="00D74F3E">
            <w:pPr>
              <w:rPr>
                <w:rFonts w:ascii="Calibri" w:hAnsi="Calibri" w:cs="Arial"/>
                <w:sz w:val="20"/>
                <w:szCs w:val="20"/>
                <w:lang w:val="it-IT"/>
              </w:rPr>
            </w:pPr>
          </w:p>
          <w:p w:rsidR="00D812BE" w:rsidRPr="00B05661" w:rsidRDefault="00D812BE" w:rsidP="00D74F3E">
            <w:pPr>
              <w:rPr>
                <w:rFonts w:ascii="Calibri" w:hAnsi="Calibri" w:cs="Arial"/>
                <w:b/>
                <w:sz w:val="20"/>
                <w:szCs w:val="20"/>
                <w:u w:val="single"/>
                <w:lang w:val="it-IT"/>
              </w:rPr>
            </w:pPr>
            <w:r w:rsidRPr="00B05661">
              <w:rPr>
                <w:rFonts w:ascii="Calibri" w:hAnsi="Calibri" w:cs="Arial"/>
                <w:b/>
                <w:sz w:val="20"/>
                <w:szCs w:val="20"/>
                <w:u w:val="single"/>
                <w:lang w:val="it-IT"/>
              </w:rPr>
              <w:t xml:space="preserve">País participante: </w:t>
            </w:r>
          </w:p>
          <w:p w:rsidR="00D812BE" w:rsidRPr="006A343A" w:rsidRDefault="00D812BE" w:rsidP="00D74F3E">
            <w:pPr>
              <w:rPr>
                <w:rFonts w:ascii="Calibri" w:hAnsi="Calibri" w:cs="Arial"/>
                <w:sz w:val="20"/>
                <w:szCs w:val="20"/>
                <w:lang w:val="it-IT"/>
              </w:rPr>
            </w:pPr>
            <w:r w:rsidRPr="006A343A">
              <w:rPr>
                <w:rFonts w:ascii="Calibri" w:hAnsi="Calibri" w:cs="Arial"/>
                <w:sz w:val="20"/>
                <w:szCs w:val="20"/>
                <w:lang w:val="it-IT"/>
              </w:rPr>
              <w:t>El Salvador</w:t>
            </w:r>
          </w:p>
          <w:p w:rsidR="00D812BE" w:rsidRPr="006A343A" w:rsidRDefault="00D812BE" w:rsidP="00D74F3E">
            <w:pPr>
              <w:rPr>
                <w:rFonts w:ascii="Calibri" w:hAnsi="Calibri" w:cs="Arial"/>
                <w:sz w:val="20"/>
                <w:szCs w:val="20"/>
                <w:lang w:val="it-IT"/>
              </w:rPr>
            </w:pPr>
          </w:p>
          <w:p w:rsidR="00D812BE" w:rsidRPr="00B05661" w:rsidRDefault="00D812BE" w:rsidP="00D74F3E">
            <w:pPr>
              <w:rPr>
                <w:rFonts w:ascii="Calibri" w:hAnsi="Calibri" w:cs="Arial"/>
                <w:b/>
                <w:sz w:val="20"/>
                <w:szCs w:val="20"/>
                <w:u w:val="single"/>
                <w:lang w:val="it-IT"/>
              </w:rPr>
            </w:pPr>
            <w:r w:rsidRPr="00B05661">
              <w:rPr>
                <w:rFonts w:ascii="Calibri" w:hAnsi="Calibri" w:cs="Arial"/>
                <w:b/>
                <w:sz w:val="20"/>
                <w:szCs w:val="20"/>
                <w:u w:val="single"/>
                <w:lang w:val="it-IT"/>
              </w:rPr>
              <w:t>Resultado de país</w:t>
            </w:r>
            <w:r>
              <w:rPr>
                <w:rFonts w:ascii="Calibri" w:hAnsi="Calibri" w:cs="Arial"/>
                <w:b/>
                <w:sz w:val="20"/>
                <w:szCs w:val="20"/>
                <w:u w:val="single"/>
                <w:lang w:val="it-IT"/>
              </w:rPr>
              <w:t xml:space="preserve"> (CPD)</w:t>
            </w:r>
            <w:r w:rsidRPr="00B05661">
              <w:rPr>
                <w:rFonts w:ascii="Calibri" w:hAnsi="Calibri" w:cs="Arial"/>
                <w:b/>
                <w:sz w:val="20"/>
                <w:szCs w:val="20"/>
                <w:u w:val="single"/>
                <w:lang w:val="it-IT"/>
              </w:rPr>
              <w:t>:</w:t>
            </w:r>
          </w:p>
          <w:p w:rsidR="00D812BE" w:rsidRDefault="00D812BE" w:rsidP="00D74F3E">
            <w:pPr>
              <w:rPr>
                <w:rFonts w:ascii="Calibri" w:hAnsi="Calibri" w:cs="Arial"/>
                <w:sz w:val="20"/>
                <w:szCs w:val="20"/>
                <w:lang w:val="it-IT"/>
              </w:rPr>
            </w:pPr>
            <w:r w:rsidRPr="006A343A">
              <w:rPr>
                <w:rFonts w:ascii="Calibri" w:hAnsi="Calibri" w:cs="Arial"/>
                <w:sz w:val="20"/>
                <w:szCs w:val="20"/>
                <w:lang w:val="it-IT"/>
              </w:rPr>
              <w:t>3. El Salvador goza de nuevos consensos esenciales de país que facilitan a la población y a las personas más vulnerables y excluidas, gozar del ejercicio pleno de sus derechos.</w:t>
            </w:r>
          </w:p>
          <w:p w:rsidR="00D812BE" w:rsidRPr="006A343A" w:rsidRDefault="00D812BE" w:rsidP="00D74F3E">
            <w:pPr>
              <w:rPr>
                <w:rFonts w:ascii="Calibri" w:hAnsi="Calibri" w:cs="Arial"/>
                <w:sz w:val="20"/>
                <w:szCs w:val="20"/>
                <w:highlight w:val="lightGray"/>
                <w:lang w:val="it-IT"/>
              </w:rPr>
            </w:pPr>
          </w:p>
          <w:p w:rsidR="00D812BE" w:rsidRPr="00A6532D" w:rsidRDefault="00D812BE" w:rsidP="00D74F3E">
            <w:pPr>
              <w:rPr>
                <w:rFonts w:ascii="Calibri" w:hAnsi="Calibri" w:cs="Arial"/>
                <w:sz w:val="20"/>
                <w:szCs w:val="20"/>
                <w:lang w:val="it-IT"/>
              </w:rPr>
            </w:pPr>
            <w:r w:rsidRPr="00B05661">
              <w:rPr>
                <w:rFonts w:ascii="Calibri" w:hAnsi="Calibri" w:cs="Arial"/>
                <w:b/>
                <w:sz w:val="20"/>
                <w:szCs w:val="20"/>
                <w:u w:val="single"/>
                <w:lang w:val="it-IT"/>
              </w:rPr>
              <w:t>ODS:</w:t>
            </w:r>
            <w:r>
              <w:rPr>
                <w:rFonts w:ascii="Calibri" w:hAnsi="Calibri" w:cs="Arial"/>
                <w:b/>
                <w:sz w:val="20"/>
                <w:szCs w:val="20"/>
                <w:u w:val="single"/>
                <w:lang w:val="it-IT"/>
              </w:rPr>
              <w:t xml:space="preserve"> </w:t>
            </w:r>
            <w:r w:rsidRPr="006A343A">
              <w:rPr>
                <w:rFonts w:ascii="Calibri" w:hAnsi="Calibri" w:cs="Arial"/>
                <w:sz w:val="20"/>
                <w:szCs w:val="20"/>
                <w:lang w:val="it-IT"/>
              </w:rPr>
              <w:t xml:space="preserve">El proyecto se vincula con el ODS 16: Paz, Justicia e Instituciones Sólidas, </w:t>
            </w:r>
            <w:r>
              <w:rPr>
                <w:rFonts w:ascii="Calibri" w:hAnsi="Calibri" w:cs="Arial"/>
                <w:sz w:val="20"/>
                <w:szCs w:val="20"/>
                <w:lang w:val="it-IT"/>
              </w:rPr>
              <w:t>metas 16.6 y 16.7: “</w:t>
            </w:r>
            <w:r w:rsidRPr="0026020E">
              <w:rPr>
                <w:rFonts w:ascii="Calibri" w:hAnsi="Calibri" w:cs="Arial"/>
                <w:sz w:val="20"/>
                <w:szCs w:val="20"/>
                <w:lang w:val="it-IT"/>
              </w:rPr>
              <w:t>Crear a todos los niveles instituciones eficaces y transparentes que rindan cuentas</w:t>
            </w:r>
            <w:r>
              <w:rPr>
                <w:rFonts w:ascii="Calibri" w:hAnsi="Calibri" w:cs="Arial"/>
                <w:sz w:val="20"/>
                <w:szCs w:val="20"/>
                <w:lang w:val="it-IT"/>
              </w:rPr>
              <w:t>” y</w:t>
            </w:r>
            <w:r w:rsidRPr="0026020E">
              <w:rPr>
                <w:rFonts w:ascii="Calibri" w:hAnsi="Calibri" w:cs="Arial"/>
                <w:sz w:val="20"/>
                <w:szCs w:val="20"/>
                <w:lang w:val="it-IT"/>
              </w:rPr>
              <w:t xml:space="preserve"> </w:t>
            </w:r>
            <w:r w:rsidRPr="006A343A">
              <w:rPr>
                <w:rFonts w:ascii="Calibri" w:hAnsi="Calibri" w:cs="Arial"/>
                <w:sz w:val="20"/>
                <w:szCs w:val="20"/>
                <w:lang w:val="it-IT"/>
              </w:rPr>
              <w:t xml:space="preserve"> "Garantizar la adopción en todos los niveles de decisiones inclusivas, participativas y representativas que respondan a las necesidades".</w:t>
            </w:r>
          </w:p>
          <w:p w:rsidR="00D812BE" w:rsidRPr="006A343A" w:rsidRDefault="00D812BE" w:rsidP="00D74F3E">
            <w:pPr>
              <w:rPr>
                <w:rFonts w:ascii="Calibri" w:hAnsi="Calibri" w:cs="Arial"/>
                <w:sz w:val="20"/>
                <w:szCs w:val="20"/>
                <w:lang w:val="it-IT"/>
              </w:rPr>
            </w:pPr>
          </w:p>
          <w:p w:rsidR="00D812BE" w:rsidRPr="00B05661" w:rsidRDefault="00D812BE" w:rsidP="00D74F3E">
            <w:pPr>
              <w:rPr>
                <w:rFonts w:ascii="Calibri" w:hAnsi="Calibri" w:cs="Arial"/>
                <w:b/>
                <w:sz w:val="20"/>
                <w:szCs w:val="20"/>
                <w:u w:val="single"/>
                <w:lang w:val="it-IT"/>
              </w:rPr>
            </w:pPr>
            <w:r w:rsidRPr="00B05661">
              <w:rPr>
                <w:rFonts w:ascii="Calibri" w:hAnsi="Calibri" w:cs="Arial"/>
                <w:b/>
                <w:sz w:val="20"/>
                <w:szCs w:val="20"/>
                <w:u w:val="single"/>
                <w:lang w:val="it-IT"/>
              </w:rPr>
              <w:t xml:space="preserve">Presupuesto estimado:   </w:t>
            </w:r>
          </w:p>
          <w:p w:rsidR="00D812BE" w:rsidRDefault="00D812BE" w:rsidP="00D74F3E">
            <w:pPr>
              <w:rPr>
                <w:rFonts w:ascii="Calibri" w:hAnsi="Calibri" w:cs="Arial"/>
                <w:sz w:val="20"/>
                <w:szCs w:val="20"/>
                <w:lang w:val="it-IT"/>
              </w:rPr>
            </w:pPr>
            <w:r w:rsidRPr="006A343A">
              <w:rPr>
                <w:rFonts w:ascii="Calibri" w:hAnsi="Calibri" w:cs="Arial"/>
                <w:sz w:val="20"/>
                <w:szCs w:val="20"/>
                <w:lang w:val="it-IT"/>
              </w:rPr>
              <w:t xml:space="preserve">US$  </w:t>
            </w:r>
            <w:r>
              <w:rPr>
                <w:rFonts w:ascii="Calibri" w:hAnsi="Calibri" w:cs="Arial"/>
                <w:sz w:val="20"/>
                <w:szCs w:val="20"/>
                <w:lang w:val="it-IT"/>
              </w:rPr>
              <w:t xml:space="preserve">  </w:t>
            </w:r>
            <w:r w:rsidR="006D15BC">
              <w:rPr>
                <w:rFonts w:ascii="Calibri" w:hAnsi="Calibri" w:cs="Arial"/>
                <w:sz w:val="20"/>
                <w:szCs w:val="20"/>
                <w:lang w:val="it-IT"/>
              </w:rPr>
              <w:t>2,000,000.00</w:t>
            </w:r>
          </w:p>
          <w:p w:rsidR="00D812BE" w:rsidRDefault="00D812BE" w:rsidP="00D74F3E">
            <w:pPr>
              <w:rPr>
                <w:rFonts w:ascii="Calibri" w:hAnsi="Calibri" w:cs="Arial"/>
                <w:sz w:val="20"/>
                <w:szCs w:val="20"/>
                <w:lang w:val="it-IT"/>
              </w:rPr>
            </w:pPr>
          </w:p>
          <w:p w:rsidR="00D812BE" w:rsidRPr="000A52B4" w:rsidRDefault="00D812BE" w:rsidP="00D74F3E">
            <w:pPr>
              <w:rPr>
                <w:rFonts w:ascii="Calibri" w:hAnsi="Calibri" w:cs="Arial"/>
                <w:b/>
                <w:sz w:val="20"/>
                <w:szCs w:val="20"/>
                <w:u w:val="single"/>
                <w:lang w:val="it-IT"/>
              </w:rPr>
            </w:pPr>
            <w:r w:rsidRPr="000A52B4">
              <w:rPr>
                <w:rFonts w:ascii="Calibri" w:hAnsi="Calibri" w:cs="Arial"/>
                <w:b/>
                <w:sz w:val="20"/>
                <w:szCs w:val="20"/>
                <w:u w:val="single"/>
                <w:lang w:val="it-IT"/>
              </w:rPr>
              <w:t>Período de implementación:</w:t>
            </w:r>
          </w:p>
          <w:p w:rsidR="00D812BE" w:rsidRPr="002318AF" w:rsidRDefault="00D812BE" w:rsidP="00D74F3E">
            <w:pPr>
              <w:rPr>
                <w:rFonts w:cstheme="minorHAnsi"/>
                <w:sz w:val="20"/>
                <w:szCs w:val="20"/>
                <w:lang w:val="it-IT"/>
              </w:rPr>
            </w:pPr>
            <w:r>
              <w:rPr>
                <w:rFonts w:cstheme="minorHAnsi"/>
                <w:sz w:val="20"/>
                <w:szCs w:val="20"/>
                <w:lang w:val="it-IT"/>
              </w:rPr>
              <w:t>18</w:t>
            </w:r>
            <w:r w:rsidRPr="002318AF">
              <w:rPr>
                <w:rFonts w:cstheme="minorHAnsi"/>
                <w:sz w:val="20"/>
                <w:szCs w:val="20"/>
                <w:lang w:val="it-IT"/>
              </w:rPr>
              <w:t xml:space="preserve"> meses</w:t>
            </w:r>
          </w:p>
          <w:p w:rsidR="00D812BE" w:rsidRPr="002318AF" w:rsidRDefault="00D812BE" w:rsidP="00D74F3E">
            <w:pPr>
              <w:rPr>
                <w:rFonts w:cstheme="minorHAnsi"/>
                <w:sz w:val="20"/>
                <w:szCs w:val="20"/>
                <w:lang w:val="it-IT"/>
              </w:rPr>
            </w:pPr>
            <w:r w:rsidRPr="002318AF">
              <w:rPr>
                <w:rFonts w:cstheme="minorHAnsi"/>
                <w:sz w:val="20"/>
                <w:szCs w:val="20"/>
                <w:lang w:val="it-IT"/>
              </w:rPr>
              <w:t>(</w:t>
            </w:r>
            <w:r>
              <w:rPr>
                <w:rFonts w:cstheme="minorHAnsi"/>
                <w:sz w:val="20"/>
                <w:szCs w:val="20"/>
                <w:lang w:val="it-IT"/>
              </w:rPr>
              <w:t>Julio</w:t>
            </w:r>
            <w:r w:rsidRPr="002318AF">
              <w:rPr>
                <w:rFonts w:cstheme="minorHAnsi"/>
                <w:sz w:val="20"/>
                <w:szCs w:val="20"/>
                <w:lang w:val="it-IT"/>
              </w:rPr>
              <w:t xml:space="preserve"> 2020 – diciembre 2021)</w:t>
            </w:r>
          </w:p>
          <w:p w:rsidR="00D812BE" w:rsidRPr="002318AF" w:rsidRDefault="00D812BE" w:rsidP="00D74F3E">
            <w:pPr>
              <w:rPr>
                <w:rFonts w:cstheme="minorHAnsi"/>
                <w:sz w:val="20"/>
                <w:szCs w:val="20"/>
                <w:lang w:val="it-IT"/>
              </w:rPr>
            </w:pPr>
          </w:p>
          <w:p w:rsidR="00D812BE" w:rsidRPr="002318AF" w:rsidRDefault="00D812BE" w:rsidP="00D74F3E">
            <w:pPr>
              <w:rPr>
                <w:rFonts w:cstheme="minorHAnsi"/>
                <w:sz w:val="20"/>
                <w:szCs w:val="20"/>
                <w:lang w:val="it-IT"/>
              </w:rPr>
            </w:pPr>
            <w:r w:rsidRPr="002318AF">
              <w:rPr>
                <w:rFonts w:cstheme="minorHAnsi"/>
                <w:b/>
                <w:sz w:val="20"/>
                <w:szCs w:val="20"/>
                <w:u w:val="single"/>
                <w:lang w:val="it-IT"/>
              </w:rPr>
              <w:t>Información de contacto:</w:t>
            </w:r>
          </w:p>
          <w:p w:rsidR="00D812BE" w:rsidRPr="002318AF" w:rsidRDefault="00D812BE" w:rsidP="00D74F3E">
            <w:pPr>
              <w:rPr>
                <w:rFonts w:cstheme="minorHAnsi"/>
                <w:sz w:val="20"/>
                <w:szCs w:val="20"/>
                <w:lang w:val="it-IT"/>
              </w:rPr>
            </w:pPr>
            <w:r w:rsidRPr="002318AF">
              <w:rPr>
                <w:rFonts w:cstheme="minorHAnsi"/>
                <w:sz w:val="20"/>
                <w:szCs w:val="20"/>
                <w:lang w:val="it-IT"/>
              </w:rPr>
              <w:t>Georgiana Braga-Orillard</w:t>
            </w:r>
          </w:p>
          <w:p w:rsidR="00D812BE" w:rsidRPr="002318AF" w:rsidRDefault="00D812BE" w:rsidP="00D74F3E">
            <w:pPr>
              <w:rPr>
                <w:rFonts w:cstheme="minorHAnsi"/>
                <w:sz w:val="20"/>
                <w:szCs w:val="20"/>
                <w:lang w:val="it-IT"/>
              </w:rPr>
            </w:pPr>
            <w:r w:rsidRPr="002318AF">
              <w:rPr>
                <w:rFonts w:cstheme="minorHAnsi"/>
                <w:sz w:val="20"/>
                <w:szCs w:val="20"/>
                <w:lang w:val="it-IT"/>
              </w:rPr>
              <w:t>Representante Residente</w:t>
            </w:r>
          </w:p>
          <w:p w:rsidR="00D812BE" w:rsidRPr="002318AF" w:rsidRDefault="00D812BE" w:rsidP="00D74F3E">
            <w:pPr>
              <w:rPr>
                <w:rFonts w:cstheme="minorHAnsi"/>
                <w:sz w:val="20"/>
                <w:szCs w:val="20"/>
                <w:lang w:val="it-IT"/>
              </w:rPr>
            </w:pPr>
            <w:r w:rsidRPr="002318AF">
              <w:rPr>
                <w:rFonts w:cstheme="minorHAnsi"/>
                <w:sz w:val="20"/>
                <w:szCs w:val="20"/>
                <w:lang w:val="it-IT"/>
              </w:rPr>
              <w:t>PNUD El Salvador</w:t>
            </w:r>
          </w:p>
          <w:p w:rsidR="00D812BE" w:rsidRPr="002318AF" w:rsidRDefault="006E517B" w:rsidP="00D74F3E">
            <w:pPr>
              <w:rPr>
                <w:rFonts w:cstheme="minorHAnsi"/>
                <w:sz w:val="20"/>
                <w:szCs w:val="20"/>
                <w:lang w:val="it-IT"/>
              </w:rPr>
            </w:pPr>
            <w:hyperlink r:id="rId9" w:history="1">
              <w:r w:rsidR="00D812BE" w:rsidRPr="002318AF">
                <w:rPr>
                  <w:rStyle w:val="Hipervnculo"/>
                  <w:rFonts w:cstheme="minorHAnsi"/>
                  <w:sz w:val="20"/>
                  <w:szCs w:val="20"/>
                  <w:lang w:val="it-IT"/>
                </w:rPr>
                <w:t>georgiana.braga@undp.org</w:t>
              </w:r>
            </w:hyperlink>
            <w:r w:rsidR="00D812BE" w:rsidRPr="002318AF">
              <w:rPr>
                <w:rFonts w:cstheme="minorHAnsi"/>
                <w:sz w:val="20"/>
                <w:szCs w:val="20"/>
                <w:lang w:val="it-IT"/>
              </w:rPr>
              <w:t xml:space="preserve"> </w:t>
            </w:r>
          </w:p>
          <w:p w:rsidR="00D812BE" w:rsidRPr="002318AF" w:rsidRDefault="00D812BE" w:rsidP="00D74F3E">
            <w:pPr>
              <w:rPr>
                <w:rFonts w:cstheme="minorHAnsi"/>
                <w:sz w:val="20"/>
                <w:szCs w:val="20"/>
                <w:lang w:val="it-IT"/>
              </w:rPr>
            </w:pPr>
          </w:p>
          <w:p w:rsidR="00D812BE" w:rsidRPr="002318AF" w:rsidRDefault="00D812BE" w:rsidP="00D74F3E">
            <w:pPr>
              <w:rPr>
                <w:rFonts w:cstheme="minorHAnsi"/>
                <w:sz w:val="20"/>
                <w:szCs w:val="20"/>
                <w:lang w:val="it-IT"/>
              </w:rPr>
            </w:pPr>
            <w:r w:rsidRPr="002318AF">
              <w:rPr>
                <w:rFonts w:cstheme="minorHAnsi"/>
                <w:sz w:val="20"/>
                <w:szCs w:val="20"/>
                <w:lang w:val="it-IT"/>
              </w:rPr>
              <w:t>Mónica Merino</w:t>
            </w:r>
          </w:p>
          <w:p w:rsidR="00D812BE" w:rsidRPr="002318AF" w:rsidRDefault="00D812BE" w:rsidP="00D74F3E">
            <w:pPr>
              <w:rPr>
                <w:rFonts w:cstheme="minorHAnsi"/>
                <w:sz w:val="20"/>
                <w:szCs w:val="20"/>
                <w:lang w:val="it-IT"/>
              </w:rPr>
            </w:pPr>
            <w:r w:rsidRPr="002318AF">
              <w:rPr>
                <w:rFonts w:cstheme="minorHAnsi"/>
                <w:sz w:val="20"/>
                <w:szCs w:val="20"/>
                <w:lang w:val="it-IT"/>
              </w:rPr>
              <w:t>Representante Residente Adjunta PNUD EL SALVADOR</w:t>
            </w:r>
          </w:p>
          <w:p w:rsidR="00D812BE" w:rsidRDefault="006E517B" w:rsidP="00D74F3E">
            <w:hyperlink r:id="rId10" w:history="1">
              <w:r w:rsidR="00D812BE" w:rsidRPr="002318AF">
                <w:rPr>
                  <w:rStyle w:val="Hipervnculo"/>
                  <w:rFonts w:cstheme="minorHAnsi"/>
                  <w:sz w:val="20"/>
                  <w:szCs w:val="20"/>
                  <w:lang w:val="it-IT"/>
                </w:rPr>
                <w:t>monica.merino@undp.org</w:t>
              </w:r>
            </w:hyperlink>
          </w:p>
        </w:tc>
      </w:tr>
      <w:tr w:rsidR="00AA686B" w:rsidTr="00D74F3E">
        <w:tc>
          <w:tcPr>
            <w:tcW w:w="8784" w:type="dxa"/>
            <w:gridSpan w:val="3"/>
          </w:tcPr>
          <w:p w:rsidR="00AA686B" w:rsidRPr="006A343A" w:rsidRDefault="00AA686B" w:rsidP="00D74F3E">
            <w:pPr>
              <w:rPr>
                <w:rFonts w:ascii="Calibri" w:hAnsi="Calibri" w:cs="Arial"/>
                <w:b/>
                <w:sz w:val="20"/>
                <w:szCs w:val="20"/>
              </w:rPr>
            </w:pPr>
            <w:r w:rsidRPr="006A343A">
              <w:rPr>
                <w:rFonts w:ascii="Calibri" w:hAnsi="Calibri" w:cs="Arial"/>
                <w:b/>
                <w:sz w:val="20"/>
                <w:szCs w:val="20"/>
              </w:rPr>
              <w:t>Contexto y Justificación</w:t>
            </w:r>
          </w:p>
          <w:p w:rsidR="00AA686B" w:rsidRPr="00AA686B" w:rsidRDefault="00AA686B" w:rsidP="00D74F3E">
            <w:pPr>
              <w:pStyle w:val="Textoindependiente2"/>
              <w:framePr w:hSpace="0" w:wrap="auto" w:vAnchor="margin" w:hAnchor="text" w:xAlign="left" w:yAlign="inline"/>
              <w:jc w:val="both"/>
              <w:rPr>
                <w:rFonts w:ascii="Calibri" w:hAnsi="Calibri"/>
                <w:szCs w:val="20"/>
              </w:rPr>
            </w:pPr>
          </w:p>
          <w:p w:rsidR="00AA686B" w:rsidRPr="00AA686B" w:rsidRDefault="00AA686B" w:rsidP="00D74F3E">
            <w:pPr>
              <w:pStyle w:val="Textoindependiente2"/>
              <w:framePr w:hSpace="0" w:wrap="auto" w:vAnchor="margin" w:hAnchor="text" w:xAlign="left" w:yAlign="inline"/>
              <w:jc w:val="both"/>
              <w:rPr>
                <w:rFonts w:ascii="Calibri" w:hAnsi="Calibri"/>
                <w:szCs w:val="20"/>
              </w:rPr>
            </w:pPr>
            <w:r w:rsidRPr="00AA686B">
              <w:rPr>
                <w:rFonts w:ascii="Calibri" w:hAnsi="Calibri"/>
                <w:szCs w:val="20"/>
              </w:rPr>
              <w:t>En los últimos 10 años el sistema electoral salvadoreño experimentó cambios sustanciales en sus reglas, lo que enfrentó a la administración electoral ante retos complejos en sus diferentes áreas de trabajo</w:t>
            </w:r>
            <w:r w:rsidR="002E3B56">
              <w:rPr>
                <w:rFonts w:ascii="Calibri" w:hAnsi="Calibri"/>
                <w:szCs w:val="20"/>
              </w:rPr>
              <w:t>, a pesar de que la estructura organizativa y el presupuesto se mantuvieron iguales</w:t>
            </w:r>
            <w:r w:rsidRPr="00AA686B">
              <w:rPr>
                <w:rFonts w:ascii="Calibri" w:hAnsi="Calibri"/>
                <w:szCs w:val="20"/>
              </w:rPr>
              <w:t xml:space="preserve">. Esto motivó a que el Tribunal Supremo Electoral (TSE) solicitara el apoyo de Naciones Unidas para fortalecer sus capacidades, especialmente las de formación y </w:t>
            </w:r>
            <w:r w:rsidR="002E3B56">
              <w:rPr>
                <w:rFonts w:ascii="Calibri" w:hAnsi="Calibri"/>
                <w:szCs w:val="20"/>
              </w:rPr>
              <w:t xml:space="preserve">de </w:t>
            </w:r>
            <w:r w:rsidRPr="00AA686B">
              <w:rPr>
                <w:rFonts w:ascii="Calibri" w:hAnsi="Calibri"/>
                <w:szCs w:val="20"/>
              </w:rPr>
              <w:t xml:space="preserve">entrenamiento del personal electoral temporal. Ante los resultados positivos del proyecto implementado con el apoyo del Programa de las Naciones Unidas para el Desarrollo (PNUD), el TSE solicitó una segunda fase para </w:t>
            </w:r>
            <w:r w:rsidR="002E3B56">
              <w:rPr>
                <w:rFonts w:ascii="Calibri" w:hAnsi="Calibri"/>
                <w:szCs w:val="20"/>
              </w:rPr>
              <w:t xml:space="preserve">el ciclo electoral </w:t>
            </w:r>
            <w:r w:rsidR="000917DE">
              <w:rPr>
                <w:rFonts w:ascii="Calibri" w:hAnsi="Calibri"/>
                <w:szCs w:val="20"/>
              </w:rPr>
              <w:t>2021-2024</w:t>
            </w:r>
            <w:r w:rsidRPr="00AA686B">
              <w:rPr>
                <w:rFonts w:ascii="Calibri" w:hAnsi="Calibri"/>
                <w:szCs w:val="20"/>
              </w:rPr>
              <w:t>.</w:t>
            </w:r>
          </w:p>
          <w:p w:rsidR="00AA686B" w:rsidRDefault="00AA686B" w:rsidP="00D74F3E">
            <w:r w:rsidRPr="00AA686B">
              <w:rPr>
                <w:rFonts w:ascii="Calibri" w:hAnsi="Calibri"/>
                <w:sz w:val="20"/>
                <w:szCs w:val="20"/>
              </w:rPr>
              <w:t>En atención a la solicitud del TSE, Naciones Unidas desplegó una misión de evaluación de necesidades (NAM, por sus siglas en inglés) entre el 4 y el 10 de septiembre de 2019, que recomendó desarrollar un proyecto enfocado en el fortalecimiento de la capacidad institucional del TSE</w:t>
            </w:r>
            <w:r w:rsidR="000917DE">
              <w:rPr>
                <w:rFonts w:ascii="Calibri" w:hAnsi="Calibri"/>
                <w:sz w:val="20"/>
                <w:szCs w:val="20"/>
              </w:rPr>
              <w:t>, inicialmente para el período 2020-2021</w:t>
            </w:r>
            <w:r w:rsidR="006C7788">
              <w:rPr>
                <w:rFonts w:ascii="Calibri" w:hAnsi="Calibri"/>
                <w:sz w:val="20"/>
                <w:szCs w:val="20"/>
              </w:rPr>
              <w:t xml:space="preserve"> y con la posibilidad de extenderse hasta 2024.</w:t>
            </w:r>
          </w:p>
        </w:tc>
        <w:tc>
          <w:tcPr>
            <w:tcW w:w="2829" w:type="dxa"/>
            <w:vMerge/>
          </w:tcPr>
          <w:p w:rsidR="00AA686B" w:rsidRDefault="00AA686B" w:rsidP="00D74F3E"/>
        </w:tc>
      </w:tr>
      <w:tr w:rsidR="0042009F" w:rsidTr="00504C78">
        <w:tc>
          <w:tcPr>
            <w:tcW w:w="4531" w:type="dxa"/>
            <w:gridSpan w:val="2"/>
          </w:tcPr>
          <w:p w:rsidR="0042009F" w:rsidRPr="006A343A" w:rsidRDefault="0042009F" w:rsidP="00D74F3E">
            <w:pPr>
              <w:jc w:val="both"/>
              <w:rPr>
                <w:rFonts w:ascii="Calibri" w:hAnsi="Calibri" w:cs="Arial"/>
                <w:b/>
                <w:sz w:val="20"/>
                <w:szCs w:val="20"/>
              </w:rPr>
            </w:pPr>
            <w:r w:rsidRPr="006A343A">
              <w:rPr>
                <w:rFonts w:ascii="Calibri" w:hAnsi="Calibri" w:cs="Arial"/>
                <w:b/>
                <w:sz w:val="20"/>
                <w:szCs w:val="20"/>
              </w:rPr>
              <w:t>Estrategia y metodología</w:t>
            </w:r>
          </w:p>
          <w:p w:rsidR="0042009F" w:rsidRPr="006A343A" w:rsidRDefault="0042009F" w:rsidP="00D74F3E">
            <w:pPr>
              <w:jc w:val="both"/>
              <w:rPr>
                <w:rFonts w:ascii="Calibri" w:hAnsi="Calibri" w:cs="Arial"/>
                <w:sz w:val="20"/>
                <w:szCs w:val="20"/>
              </w:rPr>
            </w:pPr>
          </w:p>
          <w:p w:rsidR="0042009F" w:rsidRDefault="0042009F" w:rsidP="00D74F3E">
            <w:pPr>
              <w:pStyle w:val="Textoindependiente2"/>
              <w:framePr w:hSpace="0" w:wrap="auto" w:vAnchor="margin" w:hAnchor="text" w:xAlign="left" w:yAlign="inline"/>
              <w:numPr>
                <w:ilvl w:val="0"/>
                <w:numId w:val="1"/>
              </w:numPr>
              <w:jc w:val="both"/>
              <w:rPr>
                <w:rFonts w:ascii="Calibri" w:hAnsi="Calibri"/>
                <w:bCs/>
                <w:szCs w:val="20"/>
                <w:lang w:val="es-ES"/>
              </w:rPr>
            </w:pPr>
            <w:r>
              <w:rPr>
                <w:rFonts w:ascii="Calibri" w:hAnsi="Calibri"/>
                <w:b/>
                <w:szCs w:val="20"/>
                <w:lang w:val="es-ES"/>
              </w:rPr>
              <w:t xml:space="preserve">Diálogo, participación y </w:t>
            </w:r>
            <w:r w:rsidRPr="00C7293B">
              <w:rPr>
                <w:rFonts w:ascii="Calibri" w:hAnsi="Calibri"/>
                <w:b/>
                <w:szCs w:val="20"/>
                <w:lang w:val="es-ES"/>
              </w:rPr>
              <w:t>propuestas</w:t>
            </w:r>
            <w:r>
              <w:rPr>
                <w:rFonts w:ascii="Calibri" w:hAnsi="Calibri"/>
                <w:bCs/>
                <w:szCs w:val="20"/>
                <w:lang w:val="es-ES"/>
              </w:rPr>
              <w:t>: m</w:t>
            </w:r>
            <w:r w:rsidRPr="00C7293B">
              <w:rPr>
                <w:rFonts w:ascii="Calibri" w:hAnsi="Calibri"/>
                <w:bCs/>
                <w:szCs w:val="20"/>
                <w:lang w:val="es-ES"/>
              </w:rPr>
              <w:t>antener</w:t>
            </w:r>
            <w:r>
              <w:rPr>
                <w:rFonts w:ascii="Calibri" w:hAnsi="Calibri"/>
                <w:bCs/>
                <w:szCs w:val="20"/>
                <w:lang w:val="es-ES"/>
              </w:rPr>
              <w:t xml:space="preserve"> e institucionalizar los espacios de diálogo</w:t>
            </w:r>
            <w:r w:rsidR="0003660D">
              <w:rPr>
                <w:rFonts w:ascii="Calibri" w:hAnsi="Calibri"/>
                <w:bCs/>
                <w:szCs w:val="20"/>
                <w:lang w:val="es-ES"/>
              </w:rPr>
              <w:t xml:space="preserve"> y evaluación</w:t>
            </w:r>
            <w:r>
              <w:rPr>
                <w:rFonts w:ascii="Calibri" w:hAnsi="Calibri"/>
                <w:bCs/>
                <w:szCs w:val="20"/>
                <w:lang w:val="es-ES"/>
              </w:rPr>
              <w:t xml:space="preserve"> con la más amplia participación y con el objetivo de tomar acuerdos para la mejora de la administración electoral</w:t>
            </w:r>
            <w:r w:rsidR="0003660D">
              <w:rPr>
                <w:rFonts w:ascii="Calibri" w:hAnsi="Calibri"/>
                <w:bCs/>
                <w:szCs w:val="20"/>
                <w:lang w:val="es-ES"/>
              </w:rPr>
              <w:t>,</w:t>
            </w:r>
            <w:r>
              <w:rPr>
                <w:rFonts w:ascii="Calibri" w:hAnsi="Calibri"/>
                <w:bCs/>
                <w:szCs w:val="20"/>
                <w:lang w:val="es-ES"/>
              </w:rPr>
              <w:t xml:space="preserve"> mediante cambios administrativos o legales, así como para apoyar campañas o estrategias de comunicación hacia grupos o temas específicos.</w:t>
            </w:r>
          </w:p>
          <w:p w:rsidR="006414DD" w:rsidRDefault="006414DD" w:rsidP="00D74F3E">
            <w:pPr>
              <w:pStyle w:val="Textoindependiente2"/>
              <w:framePr w:hSpace="0" w:wrap="auto" w:vAnchor="margin" w:hAnchor="text" w:xAlign="left" w:yAlign="inline"/>
              <w:ind w:left="720"/>
              <w:jc w:val="both"/>
              <w:rPr>
                <w:rFonts w:ascii="Calibri" w:hAnsi="Calibri"/>
                <w:bCs/>
                <w:szCs w:val="20"/>
                <w:lang w:val="es-ES"/>
              </w:rPr>
            </w:pPr>
          </w:p>
          <w:p w:rsidR="006414DD" w:rsidRDefault="006414DD" w:rsidP="00D74F3E">
            <w:pPr>
              <w:pStyle w:val="Textoindependiente2"/>
              <w:framePr w:hSpace="0" w:wrap="auto" w:vAnchor="margin" w:hAnchor="text" w:xAlign="left" w:yAlign="inline"/>
              <w:numPr>
                <w:ilvl w:val="0"/>
                <w:numId w:val="1"/>
              </w:numPr>
              <w:jc w:val="both"/>
              <w:rPr>
                <w:rFonts w:ascii="Calibri" w:hAnsi="Calibri"/>
                <w:bCs/>
                <w:szCs w:val="20"/>
                <w:lang w:val="es-ES"/>
              </w:rPr>
            </w:pPr>
            <w:r w:rsidRPr="00EF7938">
              <w:rPr>
                <w:rFonts w:ascii="Calibri" w:hAnsi="Calibri"/>
                <w:b/>
                <w:szCs w:val="20"/>
                <w:lang w:val="es-ES"/>
              </w:rPr>
              <w:t>Capacitación electoral</w:t>
            </w:r>
            <w:r>
              <w:rPr>
                <w:rFonts w:ascii="Calibri" w:hAnsi="Calibri"/>
                <w:bCs/>
                <w:szCs w:val="20"/>
                <w:lang w:val="es-ES"/>
              </w:rPr>
              <w:t xml:space="preserve">: </w:t>
            </w:r>
            <w:r w:rsidR="007B12CC">
              <w:rPr>
                <w:rFonts w:ascii="Calibri" w:hAnsi="Calibri"/>
                <w:bCs/>
                <w:szCs w:val="20"/>
                <w:lang w:val="es-ES"/>
              </w:rPr>
              <w:t xml:space="preserve">concluir el proceso de creación de una escuela </w:t>
            </w:r>
            <w:r w:rsidR="00DF4A47">
              <w:rPr>
                <w:rFonts w:ascii="Calibri" w:hAnsi="Calibri"/>
                <w:bCs/>
                <w:szCs w:val="20"/>
                <w:lang w:val="es-ES"/>
              </w:rPr>
              <w:t>de capacitación y formación electoral</w:t>
            </w:r>
            <w:r w:rsidR="007B12CC">
              <w:rPr>
                <w:rFonts w:ascii="Calibri" w:hAnsi="Calibri"/>
                <w:bCs/>
                <w:szCs w:val="20"/>
                <w:lang w:val="es-ES"/>
              </w:rPr>
              <w:t xml:space="preserve">. Asimismo, institucionalizar </w:t>
            </w:r>
            <w:r>
              <w:rPr>
                <w:rFonts w:ascii="Calibri" w:hAnsi="Calibri"/>
                <w:bCs/>
                <w:szCs w:val="20"/>
                <w:lang w:val="es-ES"/>
              </w:rPr>
              <w:t xml:space="preserve">las herramientas generadas durante la primera fase del proyecto: aula virtual, Apps electorales y aula física. </w:t>
            </w:r>
            <w:r w:rsidR="007B12CC">
              <w:rPr>
                <w:rFonts w:ascii="Calibri" w:hAnsi="Calibri"/>
                <w:bCs/>
                <w:szCs w:val="20"/>
                <w:lang w:val="es-ES"/>
              </w:rPr>
              <w:t>También, e</w:t>
            </w:r>
            <w:r>
              <w:rPr>
                <w:rFonts w:ascii="Calibri" w:hAnsi="Calibri"/>
                <w:bCs/>
                <w:szCs w:val="20"/>
                <w:lang w:val="es-ES"/>
              </w:rPr>
              <w:t>s necesario desarrollar un plan de estudios (permanente y temporal) y los cursos correspondientes a cada contenido.</w:t>
            </w:r>
            <w:r w:rsidR="002D5A55">
              <w:rPr>
                <w:rFonts w:ascii="Calibri" w:hAnsi="Calibri"/>
                <w:bCs/>
                <w:szCs w:val="20"/>
                <w:lang w:val="es-ES"/>
              </w:rPr>
              <w:t xml:space="preserve"> Finalmente,</w:t>
            </w:r>
            <w:r>
              <w:rPr>
                <w:rFonts w:ascii="Calibri" w:hAnsi="Calibri"/>
                <w:bCs/>
                <w:szCs w:val="20"/>
                <w:lang w:val="es-ES"/>
              </w:rPr>
              <w:t xml:space="preserve"> </w:t>
            </w:r>
            <w:r w:rsidR="002D5A55">
              <w:rPr>
                <w:rFonts w:ascii="Calibri" w:hAnsi="Calibri"/>
                <w:bCs/>
                <w:szCs w:val="20"/>
                <w:lang w:val="es-ES"/>
              </w:rPr>
              <w:t>s</w:t>
            </w:r>
            <w:r>
              <w:rPr>
                <w:rFonts w:ascii="Calibri" w:hAnsi="Calibri"/>
                <w:bCs/>
                <w:szCs w:val="20"/>
                <w:lang w:val="es-ES"/>
              </w:rPr>
              <w:t>e debe de mantener la inclusión de temas específicos sobre participación de la mujer e inclusión de otros grupos.</w:t>
            </w:r>
          </w:p>
          <w:p w:rsidR="0042009F" w:rsidRDefault="0042009F" w:rsidP="00D74F3E">
            <w:pPr>
              <w:pStyle w:val="Textoindependiente2"/>
              <w:framePr w:hSpace="0" w:wrap="auto" w:vAnchor="margin" w:hAnchor="text" w:xAlign="left" w:yAlign="inline"/>
              <w:ind w:left="720"/>
              <w:jc w:val="both"/>
              <w:rPr>
                <w:rFonts w:ascii="Calibri" w:hAnsi="Calibri"/>
                <w:bCs/>
                <w:szCs w:val="20"/>
                <w:lang w:val="es-ES"/>
              </w:rPr>
            </w:pPr>
          </w:p>
          <w:p w:rsidR="0042009F" w:rsidRPr="006414DD" w:rsidRDefault="0042009F" w:rsidP="00D74F3E">
            <w:pPr>
              <w:pStyle w:val="Textoindependiente2"/>
              <w:framePr w:hSpace="0" w:wrap="auto" w:vAnchor="margin" w:hAnchor="text" w:xAlign="left" w:yAlign="inline"/>
              <w:numPr>
                <w:ilvl w:val="0"/>
                <w:numId w:val="1"/>
              </w:numPr>
              <w:jc w:val="both"/>
              <w:rPr>
                <w:rFonts w:ascii="Calibri" w:hAnsi="Calibri"/>
                <w:bCs/>
                <w:szCs w:val="20"/>
                <w:lang w:val="es-ES"/>
              </w:rPr>
            </w:pPr>
            <w:r w:rsidRPr="00C7293B">
              <w:rPr>
                <w:rFonts w:ascii="Calibri" w:hAnsi="Calibri"/>
                <w:b/>
                <w:szCs w:val="20"/>
                <w:lang w:val="es-ES"/>
              </w:rPr>
              <w:t>Modernización institucional</w:t>
            </w:r>
            <w:r>
              <w:rPr>
                <w:rFonts w:ascii="Calibri" w:hAnsi="Calibri"/>
                <w:bCs/>
                <w:szCs w:val="20"/>
                <w:lang w:val="es-ES"/>
              </w:rPr>
              <w:t>: mejorar la capacidad de gestión, controles de calidad, desempeño del personal y prestación de servicios del TSE, en los diferentes procedimientos administrativos y electorales a través de su evaluación, mejora e inclusión de las TIC. Debe</w:t>
            </w:r>
            <w:r w:rsidR="006414DD">
              <w:rPr>
                <w:rFonts w:ascii="Calibri" w:hAnsi="Calibri"/>
                <w:bCs/>
                <w:szCs w:val="20"/>
                <w:lang w:val="es-ES"/>
              </w:rPr>
              <w:t xml:space="preserve"> de</w:t>
            </w:r>
            <w:r>
              <w:rPr>
                <w:rFonts w:ascii="Calibri" w:hAnsi="Calibri"/>
                <w:bCs/>
                <w:szCs w:val="20"/>
                <w:lang w:val="es-ES"/>
              </w:rPr>
              <w:t xml:space="preserve"> continuarse la generación de datos con enfoque de género</w:t>
            </w:r>
            <w:r w:rsidR="006414DD">
              <w:rPr>
                <w:rFonts w:ascii="Calibri" w:hAnsi="Calibri"/>
                <w:bCs/>
                <w:szCs w:val="20"/>
                <w:lang w:val="es-ES"/>
              </w:rPr>
              <w:t xml:space="preserve"> y tener en cuenta las competencias de control del TSE</w:t>
            </w:r>
            <w:r>
              <w:rPr>
                <w:rFonts w:ascii="Calibri" w:hAnsi="Calibri"/>
                <w:bCs/>
                <w:szCs w:val="20"/>
                <w:lang w:val="es-ES"/>
              </w:rPr>
              <w:t>.</w:t>
            </w:r>
          </w:p>
        </w:tc>
        <w:tc>
          <w:tcPr>
            <w:tcW w:w="4253" w:type="dxa"/>
          </w:tcPr>
          <w:p w:rsidR="0042009F" w:rsidRPr="006A343A" w:rsidRDefault="0042009F" w:rsidP="00D74F3E">
            <w:pPr>
              <w:jc w:val="both"/>
              <w:rPr>
                <w:rFonts w:ascii="Calibri" w:hAnsi="Calibri" w:cs="Arial"/>
                <w:b/>
                <w:sz w:val="20"/>
                <w:szCs w:val="20"/>
              </w:rPr>
            </w:pPr>
            <w:r>
              <w:rPr>
                <w:rFonts w:ascii="Calibri" w:hAnsi="Calibri" w:cs="Arial"/>
                <w:b/>
                <w:sz w:val="20"/>
                <w:szCs w:val="20"/>
              </w:rPr>
              <w:t xml:space="preserve">Resultados esperados del proyecto </w:t>
            </w:r>
          </w:p>
          <w:p w:rsidR="0042009F" w:rsidRPr="006A343A" w:rsidRDefault="0042009F" w:rsidP="00D74F3E">
            <w:pPr>
              <w:jc w:val="both"/>
              <w:rPr>
                <w:rFonts w:ascii="Calibri" w:hAnsi="Calibri" w:cs="Arial"/>
                <w:b/>
                <w:sz w:val="20"/>
                <w:szCs w:val="20"/>
              </w:rPr>
            </w:pPr>
          </w:p>
          <w:p w:rsidR="0042009F" w:rsidRPr="00F60C48" w:rsidRDefault="0042009F" w:rsidP="00D74F3E">
            <w:pPr>
              <w:rPr>
                <w:rFonts w:ascii="Calibri" w:hAnsi="Calibri" w:cs="Arial"/>
                <w:sz w:val="20"/>
                <w:szCs w:val="20"/>
                <w:lang w:val="it-IT"/>
              </w:rPr>
            </w:pPr>
            <w:bookmarkStart w:id="1" w:name="_Hlk31705164"/>
            <w:r>
              <w:rPr>
                <w:rFonts w:ascii="Calibri" w:hAnsi="Calibri" w:cs="Arial"/>
                <w:sz w:val="20"/>
                <w:szCs w:val="20"/>
                <w:lang w:val="it-IT"/>
              </w:rPr>
              <w:t>Fortalecidas las capacidades institucionales del Tribunal Supremo Electoral para la gestión y prestación de los servicios electorales con mayor eficacia, eficiencia y transparencia, asegurando elecciones libres y justas</w:t>
            </w:r>
            <w:bookmarkEnd w:id="1"/>
            <w:r>
              <w:rPr>
                <w:rFonts w:ascii="Calibri" w:hAnsi="Calibri" w:cs="Arial"/>
                <w:sz w:val="20"/>
                <w:szCs w:val="20"/>
                <w:lang w:val="it-IT"/>
              </w:rPr>
              <w:t>.</w:t>
            </w:r>
          </w:p>
          <w:p w:rsidR="0042009F" w:rsidRDefault="0042009F" w:rsidP="00D74F3E">
            <w:pPr>
              <w:jc w:val="both"/>
              <w:rPr>
                <w:rFonts w:ascii="Calibri" w:hAnsi="Calibri" w:cs="Arial"/>
                <w:b/>
                <w:sz w:val="20"/>
                <w:szCs w:val="20"/>
              </w:rPr>
            </w:pPr>
          </w:p>
          <w:p w:rsidR="0042009F" w:rsidRDefault="0042009F" w:rsidP="00D74F3E">
            <w:pPr>
              <w:jc w:val="both"/>
              <w:rPr>
                <w:rFonts w:ascii="Calibri" w:hAnsi="Calibri" w:cs="Arial"/>
                <w:sz w:val="20"/>
                <w:szCs w:val="20"/>
              </w:rPr>
            </w:pPr>
            <w:r>
              <w:rPr>
                <w:rFonts w:ascii="Calibri" w:hAnsi="Calibri" w:cs="Arial"/>
                <w:b/>
                <w:sz w:val="20"/>
                <w:szCs w:val="20"/>
              </w:rPr>
              <w:t>B</w:t>
            </w:r>
            <w:r w:rsidRPr="000A52B4">
              <w:rPr>
                <w:rFonts w:ascii="Calibri" w:hAnsi="Calibri" w:cs="Arial"/>
                <w:b/>
                <w:sz w:val="20"/>
                <w:szCs w:val="20"/>
              </w:rPr>
              <w:t>eneficiaria/os</w:t>
            </w:r>
          </w:p>
          <w:p w:rsidR="0042009F" w:rsidRDefault="0042009F" w:rsidP="00D74F3E">
            <w:pPr>
              <w:jc w:val="both"/>
              <w:rPr>
                <w:rFonts w:ascii="Calibri" w:hAnsi="Calibri" w:cs="Arial"/>
                <w:sz w:val="20"/>
                <w:szCs w:val="20"/>
              </w:rPr>
            </w:pPr>
          </w:p>
          <w:p w:rsidR="0042009F" w:rsidRDefault="0042009F" w:rsidP="00D74F3E">
            <w:pPr>
              <w:jc w:val="both"/>
              <w:rPr>
                <w:rFonts w:ascii="Calibri" w:hAnsi="Calibri" w:cs="Arial"/>
                <w:sz w:val="20"/>
                <w:szCs w:val="20"/>
              </w:rPr>
            </w:pPr>
            <w:r>
              <w:rPr>
                <w:rFonts w:ascii="Calibri" w:hAnsi="Calibri" w:cs="Arial"/>
                <w:sz w:val="20"/>
                <w:szCs w:val="20"/>
              </w:rPr>
              <w:t xml:space="preserve">El </w:t>
            </w:r>
            <w:r w:rsidRPr="000A52B4">
              <w:rPr>
                <w:rFonts w:ascii="Calibri" w:hAnsi="Calibri" w:cs="Arial"/>
                <w:sz w:val="20"/>
                <w:szCs w:val="20"/>
              </w:rPr>
              <w:t>TSE,</w:t>
            </w:r>
            <w:r>
              <w:rPr>
                <w:rFonts w:ascii="Calibri" w:hAnsi="Calibri" w:cs="Arial"/>
                <w:sz w:val="20"/>
                <w:szCs w:val="20"/>
              </w:rPr>
              <w:t xml:space="preserve"> los Organismo Electorales Temporales, la ciudadanía residente en El Salvador y en el exterior</w:t>
            </w:r>
            <w:r w:rsidRPr="000A52B4">
              <w:rPr>
                <w:rFonts w:ascii="Calibri" w:hAnsi="Calibri" w:cs="Arial"/>
                <w:sz w:val="20"/>
                <w:szCs w:val="20"/>
              </w:rPr>
              <w:t>,</w:t>
            </w:r>
            <w:r>
              <w:rPr>
                <w:rFonts w:ascii="Calibri" w:hAnsi="Calibri" w:cs="Arial"/>
                <w:sz w:val="20"/>
                <w:szCs w:val="20"/>
              </w:rPr>
              <w:t xml:space="preserve"> con especial énfasis en</w:t>
            </w:r>
            <w:r w:rsidRPr="000A52B4">
              <w:rPr>
                <w:rFonts w:ascii="Calibri" w:hAnsi="Calibri" w:cs="Arial"/>
                <w:sz w:val="20"/>
                <w:szCs w:val="20"/>
              </w:rPr>
              <w:t xml:space="preserve"> mujeres</w:t>
            </w:r>
            <w:r>
              <w:rPr>
                <w:rFonts w:ascii="Calibri" w:hAnsi="Calibri" w:cs="Arial"/>
                <w:sz w:val="20"/>
                <w:szCs w:val="20"/>
              </w:rPr>
              <w:t>, jóvenes, personas con discapacidad</w:t>
            </w:r>
            <w:r w:rsidRPr="000A52B4">
              <w:rPr>
                <w:rFonts w:ascii="Calibri" w:hAnsi="Calibri" w:cs="Arial"/>
                <w:sz w:val="20"/>
                <w:szCs w:val="20"/>
              </w:rPr>
              <w:t xml:space="preserve"> y </w:t>
            </w:r>
            <w:r>
              <w:rPr>
                <w:rFonts w:ascii="Calibri" w:hAnsi="Calibri" w:cs="Arial"/>
                <w:sz w:val="20"/>
                <w:szCs w:val="20"/>
              </w:rPr>
              <w:t>personas</w:t>
            </w:r>
            <w:r w:rsidRPr="000A52B4">
              <w:rPr>
                <w:rFonts w:ascii="Calibri" w:hAnsi="Calibri" w:cs="Arial"/>
                <w:sz w:val="20"/>
                <w:szCs w:val="20"/>
              </w:rPr>
              <w:t xml:space="preserve"> LGBTI. </w:t>
            </w:r>
          </w:p>
          <w:p w:rsidR="0042009F" w:rsidRDefault="0042009F" w:rsidP="00D74F3E">
            <w:pPr>
              <w:jc w:val="both"/>
              <w:rPr>
                <w:rFonts w:ascii="Calibri" w:hAnsi="Calibri" w:cs="Arial"/>
                <w:sz w:val="20"/>
                <w:szCs w:val="20"/>
              </w:rPr>
            </w:pPr>
          </w:p>
          <w:p w:rsidR="0042009F" w:rsidRPr="00FF5AEA" w:rsidRDefault="0042009F" w:rsidP="00D74F3E">
            <w:pPr>
              <w:jc w:val="both"/>
              <w:rPr>
                <w:rFonts w:ascii="Calibri" w:hAnsi="Calibri" w:cs="Arial"/>
                <w:b/>
                <w:sz w:val="20"/>
                <w:szCs w:val="20"/>
              </w:rPr>
            </w:pPr>
            <w:r w:rsidRPr="00FF5AEA">
              <w:rPr>
                <w:rFonts w:ascii="Calibri" w:hAnsi="Calibri" w:cs="Arial"/>
                <w:b/>
                <w:sz w:val="20"/>
                <w:szCs w:val="20"/>
              </w:rPr>
              <w:t>Riesgos</w:t>
            </w:r>
          </w:p>
          <w:p w:rsidR="0042009F" w:rsidRDefault="0042009F" w:rsidP="00D74F3E">
            <w:pPr>
              <w:jc w:val="both"/>
              <w:rPr>
                <w:rFonts w:ascii="Calibri" w:hAnsi="Calibri" w:cs="Arial"/>
                <w:sz w:val="20"/>
                <w:szCs w:val="20"/>
              </w:rPr>
            </w:pPr>
          </w:p>
          <w:p w:rsidR="0042009F" w:rsidRDefault="00FC7684" w:rsidP="00D74F3E">
            <w:pPr>
              <w:numPr>
                <w:ilvl w:val="0"/>
                <w:numId w:val="2"/>
              </w:numPr>
              <w:ind w:left="346"/>
              <w:jc w:val="both"/>
              <w:rPr>
                <w:rFonts w:ascii="Calibri" w:hAnsi="Calibri" w:cs="Arial"/>
                <w:sz w:val="20"/>
                <w:szCs w:val="20"/>
              </w:rPr>
            </w:pPr>
            <w:bookmarkStart w:id="2" w:name="_Hlk31707259"/>
            <w:bookmarkStart w:id="3" w:name="_Hlk31707224"/>
            <w:r>
              <w:rPr>
                <w:rFonts w:ascii="Calibri" w:hAnsi="Calibri" w:cs="Arial"/>
                <w:sz w:val="20"/>
                <w:szCs w:val="20"/>
              </w:rPr>
              <w:t>La complejidad de la elección 2021</w:t>
            </w:r>
            <w:r w:rsidR="0042009F">
              <w:rPr>
                <w:rFonts w:ascii="Calibri" w:hAnsi="Calibri" w:cs="Arial"/>
                <w:sz w:val="20"/>
                <w:szCs w:val="20"/>
              </w:rPr>
              <w:t xml:space="preserve"> </w:t>
            </w:r>
            <w:r w:rsidR="005B0AA3">
              <w:rPr>
                <w:rFonts w:ascii="Calibri" w:hAnsi="Calibri" w:cs="Arial"/>
                <w:sz w:val="20"/>
                <w:szCs w:val="20"/>
              </w:rPr>
              <w:t xml:space="preserve">podría influir en el retraso de </w:t>
            </w:r>
            <w:r w:rsidR="0042009F">
              <w:rPr>
                <w:rFonts w:ascii="Calibri" w:hAnsi="Calibri" w:cs="Arial"/>
                <w:sz w:val="20"/>
                <w:szCs w:val="20"/>
              </w:rPr>
              <w:t>la toma de decisiones</w:t>
            </w:r>
            <w:r w:rsidR="0042009F" w:rsidRPr="00FF5AEA">
              <w:rPr>
                <w:rFonts w:ascii="Calibri" w:hAnsi="Calibri" w:cs="Arial"/>
                <w:sz w:val="20"/>
                <w:szCs w:val="20"/>
              </w:rPr>
              <w:t xml:space="preserve"> </w:t>
            </w:r>
            <w:r w:rsidR="0042009F">
              <w:rPr>
                <w:rFonts w:ascii="Calibri" w:hAnsi="Calibri" w:cs="Arial"/>
                <w:sz w:val="20"/>
                <w:szCs w:val="20"/>
              </w:rPr>
              <w:t>relacionadas con la aprobación de instructivos u otras medidas necesarias para la preparación de la elección</w:t>
            </w:r>
            <w:bookmarkEnd w:id="2"/>
            <w:r w:rsidR="0042009F">
              <w:rPr>
                <w:rFonts w:ascii="Calibri" w:hAnsi="Calibri" w:cs="Arial"/>
                <w:sz w:val="20"/>
                <w:szCs w:val="20"/>
              </w:rPr>
              <w:t>.</w:t>
            </w:r>
          </w:p>
          <w:p w:rsidR="00DF477B" w:rsidRDefault="00DF477B" w:rsidP="00D74F3E">
            <w:pPr>
              <w:numPr>
                <w:ilvl w:val="0"/>
                <w:numId w:val="2"/>
              </w:numPr>
              <w:ind w:left="346"/>
              <w:jc w:val="both"/>
              <w:rPr>
                <w:rFonts w:ascii="Calibri" w:hAnsi="Calibri" w:cs="Arial"/>
                <w:sz w:val="20"/>
                <w:szCs w:val="20"/>
              </w:rPr>
            </w:pPr>
            <w:bookmarkStart w:id="4" w:name="_Hlk31707309"/>
            <w:r>
              <w:rPr>
                <w:rFonts w:ascii="Calibri" w:hAnsi="Calibri" w:cs="Arial"/>
                <w:sz w:val="20"/>
                <w:szCs w:val="20"/>
              </w:rPr>
              <w:t>La falta de financiamiento oportuno puede afectar la formulación e implementación de soluciones</w:t>
            </w:r>
            <w:bookmarkEnd w:id="4"/>
            <w:r>
              <w:rPr>
                <w:rFonts w:ascii="Calibri" w:hAnsi="Calibri" w:cs="Arial"/>
                <w:sz w:val="20"/>
                <w:szCs w:val="20"/>
              </w:rPr>
              <w:t>.</w:t>
            </w:r>
          </w:p>
          <w:p w:rsidR="00504C78" w:rsidRDefault="00504C78" w:rsidP="00D74F3E">
            <w:pPr>
              <w:numPr>
                <w:ilvl w:val="0"/>
                <w:numId w:val="2"/>
              </w:numPr>
              <w:ind w:left="346"/>
              <w:jc w:val="both"/>
              <w:rPr>
                <w:rFonts w:ascii="Calibri" w:hAnsi="Calibri" w:cs="Arial"/>
                <w:sz w:val="20"/>
                <w:szCs w:val="20"/>
              </w:rPr>
            </w:pPr>
            <w:bookmarkStart w:id="5" w:name="_GoBack"/>
            <w:bookmarkEnd w:id="5"/>
            <w:r w:rsidRPr="00504C78">
              <w:rPr>
                <w:rFonts w:ascii="Calibri" w:hAnsi="Calibri" w:cs="Arial"/>
                <w:sz w:val="20"/>
                <w:szCs w:val="20"/>
              </w:rPr>
              <w:t>La experiencia electoral del TSE, de su cultura interna, no debe de convertirse en obstáculo de</w:t>
            </w:r>
            <w:r w:rsidR="003014EF">
              <w:rPr>
                <w:rFonts w:ascii="Calibri" w:hAnsi="Calibri" w:cs="Arial"/>
                <w:sz w:val="20"/>
                <w:szCs w:val="20"/>
              </w:rPr>
              <w:t xml:space="preserve"> </w:t>
            </w:r>
            <w:r w:rsidRPr="00504C78">
              <w:rPr>
                <w:rFonts w:ascii="Calibri" w:hAnsi="Calibri" w:cs="Arial"/>
                <w:sz w:val="20"/>
                <w:szCs w:val="20"/>
              </w:rPr>
              <w:t>l</w:t>
            </w:r>
            <w:r w:rsidR="003014EF">
              <w:rPr>
                <w:rFonts w:ascii="Calibri" w:hAnsi="Calibri" w:cs="Arial"/>
                <w:sz w:val="20"/>
                <w:szCs w:val="20"/>
              </w:rPr>
              <w:t>os</w:t>
            </w:r>
            <w:r w:rsidRPr="00504C78">
              <w:rPr>
                <w:rFonts w:ascii="Calibri" w:hAnsi="Calibri" w:cs="Arial"/>
                <w:sz w:val="20"/>
                <w:szCs w:val="20"/>
              </w:rPr>
              <w:t xml:space="preserve"> procesos</w:t>
            </w:r>
            <w:r>
              <w:rPr>
                <w:rFonts w:ascii="Calibri" w:hAnsi="Calibri" w:cs="Arial"/>
                <w:sz w:val="20"/>
                <w:szCs w:val="20"/>
              </w:rPr>
              <w:t>.</w:t>
            </w:r>
          </w:p>
          <w:bookmarkEnd w:id="3"/>
          <w:p w:rsidR="0042009F" w:rsidRPr="00137256" w:rsidRDefault="0042009F" w:rsidP="003014EF">
            <w:pPr>
              <w:ind w:left="346"/>
              <w:jc w:val="both"/>
              <w:rPr>
                <w:rFonts w:ascii="Calibri" w:hAnsi="Calibri" w:cs="Arial"/>
                <w:sz w:val="20"/>
                <w:szCs w:val="20"/>
              </w:rPr>
            </w:pPr>
          </w:p>
        </w:tc>
        <w:tc>
          <w:tcPr>
            <w:tcW w:w="2829" w:type="dxa"/>
            <w:vMerge/>
          </w:tcPr>
          <w:p w:rsidR="0042009F" w:rsidRDefault="0042009F" w:rsidP="00D74F3E"/>
        </w:tc>
      </w:tr>
    </w:tbl>
    <w:p w:rsidR="001B41F7" w:rsidRDefault="001B41F7" w:rsidP="002D536E"/>
    <w:sectPr w:rsidR="001B41F7" w:rsidSect="00984489">
      <w:headerReference w:type="even" r:id="rId11"/>
      <w:headerReference w:type="default" r:id="rId12"/>
      <w:footerReference w:type="even" r:id="rId13"/>
      <w:footerReference w:type="default" r:id="rId14"/>
      <w:headerReference w:type="first" r:id="rId15"/>
      <w:footerReference w:type="first" r:id="rId16"/>
      <w:pgSz w:w="12240" w:h="15840"/>
      <w:pgMar w:top="568" w:right="191"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7B" w:rsidRDefault="006E517B" w:rsidP="000917DE">
      <w:pPr>
        <w:spacing w:after="0" w:line="240" w:lineRule="auto"/>
      </w:pPr>
      <w:r>
        <w:separator/>
      </w:r>
    </w:p>
  </w:endnote>
  <w:endnote w:type="continuationSeparator" w:id="0">
    <w:p w:rsidR="006E517B" w:rsidRDefault="006E517B" w:rsidP="0009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6E" w:rsidRDefault="002D53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7DE" w:rsidRPr="009759F1" w:rsidRDefault="000917DE" w:rsidP="000917DE">
    <w:pPr>
      <w:pStyle w:val="Piedepgina"/>
      <w:jc w:val="right"/>
    </w:pPr>
    <w:r>
      <w:t>SLV_PM_PP</w:t>
    </w:r>
  </w:p>
  <w:p w:rsidR="000917DE" w:rsidRDefault="000917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6E" w:rsidRDefault="002D53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7B" w:rsidRDefault="006E517B" w:rsidP="000917DE">
      <w:pPr>
        <w:spacing w:after="0" w:line="240" w:lineRule="auto"/>
      </w:pPr>
      <w:r>
        <w:separator/>
      </w:r>
    </w:p>
  </w:footnote>
  <w:footnote w:type="continuationSeparator" w:id="0">
    <w:p w:rsidR="006E517B" w:rsidRDefault="006E517B" w:rsidP="0009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6E" w:rsidRDefault="006E517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4704" o:spid="_x0000_s2050" type="#_x0000_t136" style="position:absolute;margin-left:0;margin-top:0;width:595.9pt;height:223.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6E" w:rsidRDefault="006E517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4705" o:spid="_x0000_s2051" type="#_x0000_t136" style="position:absolute;margin-left:0;margin-top:0;width:595.9pt;height:223.4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36E" w:rsidRDefault="006E517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4703" o:spid="_x0000_s2049" type="#_x0000_t136" style="position:absolute;margin-left:0;margin-top:0;width:595.9pt;height:223.4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140D4"/>
    <w:multiLevelType w:val="hybridMultilevel"/>
    <w:tmpl w:val="4D4E0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3DE12246"/>
    <w:multiLevelType w:val="hybridMultilevel"/>
    <w:tmpl w:val="058A01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E"/>
    <w:rsid w:val="0003660D"/>
    <w:rsid w:val="000917DE"/>
    <w:rsid w:val="000B1877"/>
    <w:rsid w:val="001B41F7"/>
    <w:rsid w:val="001F47FE"/>
    <w:rsid w:val="002404BC"/>
    <w:rsid w:val="002D536E"/>
    <w:rsid w:val="002D5A55"/>
    <w:rsid w:val="002E3B56"/>
    <w:rsid w:val="003014EF"/>
    <w:rsid w:val="003417DE"/>
    <w:rsid w:val="00390D2D"/>
    <w:rsid w:val="003A495D"/>
    <w:rsid w:val="0042009F"/>
    <w:rsid w:val="00504C78"/>
    <w:rsid w:val="005B0AA3"/>
    <w:rsid w:val="006414DD"/>
    <w:rsid w:val="006C7788"/>
    <w:rsid w:val="006D15BC"/>
    <w:rsid w:val="006E517B"/>
    <w:rsid w:val="007B12CC"/>
    <w:rsid w:val="00984489"/>
    <w:rsid w:val="009A7467"/>
    <w:rsid w:val="00AA686B"/>
    <w:rsid w:val="00BC4B07"/>
    <w:rsid w:val="00BF2EA4"/>
    <w:rsid w:val="00C21530"/>
    <w:rsid w:val="00D74F3E"/>
    <w:rsid w:val="00D812BE"/>
    <w:rsid w:val="00D82ED3"/>
    <w:rsid w:val="00DF477B"/>
    <w:rsid w:val="00DF4A47"/>
    <w:rsid w:val="00E33043"/>
    <w:rsid w:val="00E40184"/>
    <w:rsid w:val="00EE50C2"/>
    <w:rsid w:val="00F016C4"/>
    <w:rsid w:val="00FA2E04"/>
    <w:rsid w:val="00FC768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2A28E1"/>
  <w15:chartTrackingRefBased/>
  <w15:docId w15:val="{F6E6AFA7-2D0B-4F52-B426-0EB3CE67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4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D812BE"/>
    <w:rPr>
      <w:b/>
      <w:bCs/>
    </w:rPr>
  </w:style>
  <w:style w:type="character" w:styleId="Hipervnculo">
    <w:name w:val="Hyperlink"/>
    <w:rsid w:val="00D812BE"/>
    <w:rPr>
      <w:color w:val="0000FF"/>
      <w:u w:val="single"/>
    </w:rPr>
  </w:style>
  <w:style w:type="paragraph" w:styleId="Textoindependiente2">
    <w:name w:val="Body Text 2"/>
    <w:basedOn w:val="Normal"/>
    <w:link w:val="Textoindependiente2Car"/>
    <w:rsid w:val="00AA686B"/>
    <w:pPr>
      <w:framePr w:hSpace="180" w:wrap="around" w:vAnchor="page" w:hAnchor="margin" w:xAlign="center" w:y="361"/>
      <w:spacing w:after="0" w:line="240" w:lineRule="auto"/>
    </w:pPr>
    <w:rPr>
      <w:rFonts w:ascii="Arial" w:eastAsia="Times New Roman" w:hAnsi="Arial" w:cs="Arial"/>
      <w:sz w:val="20"/>
      <w:szCs w:val="18"/>
    </w:rPr>
  </w:style>
  <w:style w:type="character" w:customStyle="1" w:styleId="Textoindependiente2Car">
    <w:name w:val="Texto independiente 2 Car"/>
    <w:basedOn w:val="Fuentedeprrafopredeter"/>
    <w:link w:val="Textoindependiente2"/>
    <w:rsid w:val="00AA686B"/>
    <w:rPr>
      <w:rFonts w:ascii="Arial" w:eastAsia="Times New Roman" w:hAnsi="Arial" w:cs="Arial"/>
      <w:sz w:val="20"/>
      <w:szCs w:val="18"/>
    </w:rPr>
  </w:style>
  <w:style w:type="paragraph" w:styleId="Prrafodelista">
    <w:name w:val="List Paragraph"/>
    <w:basedOn w:val="Normal"/>
    <w:uiPriority w:val="34"/>
    <w:qFormat/>
    <w:rsid w:val="00AA686B"/>
    <w:pPr>
      <w:spacing w:after="0" w:line="240" w:lineRule="auto"/>
      <w:ind w:left="708"/>
    </w:pPr>
    <w:rPr>
      <w:rFonts w:ascii="Times New Roman" w:eastAsia="Times New Roman" w:hAnsi="Times New Roman" w:cs="Times New Roman"/>
      <w:sz w:val="24"/>
      <w:szCs w:val="24"/>
      <w:lang w:val="en-US"/>
    </w:rPr>
  </w:style>
  <w:style w:type="paragraph" w:styleId="Encabezado">
    <w:name w:val="header"/>
    <w:basedOn w:val="Normal"/>
    <w:link w:val="EncabezadoCar"/>
    <w:uiPriority w:val="99"/>
    <w:unhideWhenUsed/>
    <w:rsid w:val="000917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17DE"/>
  </w:style>
  <w:style w:type="paragraph" w:styleId="Piedepgina">
    <w:name w:val="footer"/>
    <w:basedOn w:val="Normal"/>
    <w:link w:val="PiedepginaCar"/>
    <w:unhideWhenUsed/>
    <w:rsid w:val="000917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1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onica.merino@undp.org" TargetMode="External"/><Relationship Id="rId4" Type="http://schemas.openxmlformats.org/officeDocument/2006/relationships/webSettings" Target="webSettings.xml"/><Relationship Id="rId9" Type="http://schemas.openxmlformats.org/officeDocument/2006/relationships/hyperlink" Target="mailto:georgiana.braga@und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Cuellar</dc:creator>
  <cp:keywords/>
  <dc:description/>
  <cp:lastModifiedBy>Eduardo Cuellar</cp:lastModifiedBy>
  <cp:revision>4</cp:revision>
  <cp:lastPrinted>2020-02-27T20:06:00Z</cp:lastPrinted>
  <dcterms:created xsi:type="dcterms:W3CDTF">2020-03-03T21:07:00Z</dcterms:created>
  <dcterms:modified xsi:type="dcterms:W3CDTF">2020-03-04T20:52:00Z</dcterms:modified>
</cp:coreProperties>
</file>