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D0464" w14:textId="61A13B90" w:rsidR="00E61BD7" w:rsidRDefault="00E61BD7" w:rsidP="00260F5B">
      <w:pPr>
        <w:pStyle w:val="G-heading2"/>
        <w:numPr>
          <w:ilvl w:val="0"/>
          <w:numId w:val="0"/>
        </w:numPr>
        <w:rPr>
          <w:lang w:val="en-US"/>
        </w:rPr>
      </w:pPr>
      <w:bookmarkStart w:id="0" w:name="_Toc533099722"/>
      <w:r w:rsidRPr="00E47287">
        <w:rPr>
          <w:lang w:val="en-US"/>
        </w:rPr>
        <w:t xml:space="preserve">Management response </w:t>
      </w:r>
      <w:bookmarkEnd w:id="0"/>
    </w:p>
    <w:p w14:paraId="0176EC84" w14:textId="77777777" w:rsidR="00260F5B" w:rsidRPr="00E47287" w:rsidRDefault="00260F5B" w:rsidP="00260F5B">
      <w:pPr>
        <w:pStyle w:val="G-heading2"/>
        <w:numPr>
          <w:ilvl w:val="0"/>
          <w:numId w:val="0"/>
        </w:numPr>
        <w:rPr>
          <w:rFonts w:cstheme="minorHAnsi"/>
          <w:b w:val="0"/>
          <w:lang w:val="en-US"/>
        </w:rPr>
      </w:pPr>
    </w:p>
    <w:p w14:paraId="43BD0466" w14:textId="4A9B75A2" w:rsidR="00E61BD7" w:rsidRPr="00E47287" w:rsidRDefault="00AA7999" w:rsidP="00E61BD7">
      <w:pPr>
        <w:spacing w:after="0" w:line="240" w:lineRule="auto"/>
        <w:jc w:val="both"/>
        <w:rPr>
          <w:rFonts w:cstheme="minorHAnsi"/>
          <w:lang w:val="en-US"/>
        </w:rPr>
      </w:pPr>
      <w:r w:rsidRPr="00E47287">
        <w:rPr>
          <w:rFonts w:cstheme="minorHAnsi"/>
          <w:b/>
          <w:lang w:val="en-US"/>
        </w:rPr>
        <w:t xml:space="preserve"> </w:t>
      </w:r>
      <w:r w:rsidR="007F6FB1" w:rsidRPr="00E47287">
        <w:rPr>
          <w:rFonts w:cstheme="minorHAnsi"/>
          <w:b/>
          <w:lang w:val="en-US"/>
        </w:rPr>
        <w:t xml:space="preserve">ICPE </w:t>
      </w:r>
      <w:r w:rsidR="00E61BD7" w:rsidRPr="00E47287">
        <w:rPr>
          <w:rFonts w:cstheme="minorHAnsi"/>
          <w:lang w:val="en-US"/>
        </w:rPr>
        <w:t>Date:</w:t>
      </w:r>
      <w:r w:rsidR="007F6FB1" w:rsidRPr="00E47287">
        <w:rPr>
          <w:rFonts w:cstheme="minorHAnsi"/>
          <w:lang w:val="en-US"/>
        </w:rPr>
        <w:t xml:space="preserve"> 2019</w:t>
      </w:r>
    </w:p>
    <w:p w14:paraId="43BD0467" w14:textId="77777777" w:rsidR="00E61BD7" w:rsidRPr="00E47287" w:rsidRDefault="00E61BD7" w:rsidP="00E61BD7">
      <w:pPr>
        <w:spacing w:after="0" w:line="240" w:lineRule="auto"/>
        <w:ind w:left="5040" w:firstLine="720"/>
        <w:jc w:val="both"/>
        <w:rPr>
          <w:rFonts w:cstheme="minorHAnsi"/>
          <w:lang w:val="en-US"/>
        </w:rPr>
      </w:pPr>
    </w:p>
    <w:p w14:paraId="43BD0468" w14:textId="18E6D3A1" w:rsidR="00E61BD7" w:rsidRPr="00E47287" w:rsidRDefault="00E61BD7" w:rsidP="00E61BD7">
      <w:pPr>
        <w:tabs>
          <w:tab w:val="left" w:pos="4320"/>
          <w:tab w:val="left" w:pos="7200"/>
        </w:tabs>
        <w:spacing w:after="0" w:line="240" w:lineRule="auto"/>
        <w:jc w:val="both"/>
        <w:rPr>
          <w:rFonts w:cstheme="minorHAnsi"/>
          <w:lang w:val="en-US"/>
        </w:rPr>
      </w:pPr>
      <w:r w:rsidRPr="00E47287">
        <w:rPr>
          <w:rFonts w:cstheme="minorHAnsi"/>
          <w:lang w:val="en-US"/>
        </w:rPr>
        <w:t xml:space="preserve">Prepared by:   </w:t>
      </w:r>
      <w:r w:rsidR="007F6FB1" w:rsidRPr="00E47287">
        <w:rPr>
          <w:rFonts w:cstheme="minorHAnsi"/>
          <w:lang w:val="en-US"/>
        </w:rPr>
        <w:t>María Cecilia del Río</w:t>
      </w:r>
      <w:r w:rsidRPr="00E47287">
        <w:rPr>
          <w:rFonts w:cstheme="minorHAnsi"/>
          <w:lang w:val="en-US"/>
        </w:rPr>
        <w:tab/>
        <w:t>Position:</w:t>
      </w:r>
      <w:r w:rsidR="007F6FB1" w:rsidRPr="00E47287">
        <w:rPr>
          <w:rFonts w:cstheme="minorHAnsi"/>
          <w:lang w:val="en-US"/>
        </w:rPr>
        <w:t xml:space="preserve"> </w:t>
      </w:r>
      <w:r w:rsidR="00E47287" w:rsidRPr="00E47287">
        <w:rPr>
          <w:rFonts w:cstheme="minorHAnsi"/>
          <w:lang w:val="en-US"/>
        </w:rPr>
        <w:t>M</w:t>
      </w:r>
      <w:r w:rsidR="007F6FB1" w:rsidRPr="00E47287">
        <w:rPr>
          <w:rFonts w:cstheme="minorHAnsi"/>
          <w:lang w:val="en-US"/>
        </w:rPr>
        <w:t>&amp;E</w:t>
      </w:r>
      <w:r w:rsidR="00E47287" w:rsidRPr="00E47287">
        <w:rPr>
          <w:rFonts w:cstheme="minorHAnsi"/>
          <w:lang w:val="en-US"/>
        </w:rPr>
        <w:t xml:space="preserve"> Analyst</w:t>
      </w:r>
      <w:r w:rsidRPr="00E47287">
        <w:rPr>
          <w:rFonts w:cstheme="minorHAnsi"/>
          <w:lang w:val="en-US"/>
        </w:rPr>
        <w:tab/>
      </w:r>
      <w:r w:rsidRPr="00E47287">
        <w:rPr>
          <w:rFonts w:cstheme="minorHAnsi"/>
          <w:lang w:val="en-US"/>
        </w:rPr>
        <w:tab/>
        <w:t>Unit/Bureau:</w:t>
      </w:r>
      <w:r w:rsidR="007F6FB1" w:rsidRPr="00E47287">
        <w:rPr>
          <w:rFonts w:cstheme="minorHAnsi"/>
          <w:lang w:val="en-US"/>
        </w:rPr>
        <w:t xml:space="preserve"> </w:t>
      </w:r>
      <w:r w:rsidR="00E47287">
        <w:rPr>
          <w:rFonts w:cstheme="minorHAnsi"/>
          <w:lang w:val="en-US"/>
        </w:rPr>
        <w:t>UNDP</w:t>
      </w:r>
      <w:r w:rsidR="007F6FB1" w:rsidRPr="00E47287">
        <w:rPr>
          <w:rFonts w:cstheme="minorHAnsi"/>
          <w:lang w:val="en-US"/>
        </w:rPr>
        <w:t xml:space="preserve"> Argentina</w:t>
      </w:r>
      <w:r w:rsidR="00E47287">
        <w:rPr>
          <w:rFonts w:cstheme="minorHAnsi"/>
          <w:lang w:val="en-US"/>
        </w:rPr>
        <w:t xml:space="preserve"> Country Office</w:t>
      </w:r>
    </w:p>
    <w:p w14:paraId="6B6A7062" w14:textId="031C2DE1" w:rsidR="008A2C66" w:rsidRPr="002046F3" w:rsidRDefault="008A2C66" w:rsidP="008A2C66">
      <w:pPr>
        <w:tabs>
          <w:tab w:val="left" w:pos="4320"/>
          <w:tab w:val="left" w:pos="7200"/>
        </w:tabs>
        <w:spacing w:after="0" w:line="240" w:lineRule="auto"/>
        <w:jc w:val="both"/>
        <w:rPr>
          <w:rFonts w:cstheme="minorHAnsi"/>
          <w:lang w:val="en-US"/>
        </w:rPr>
      </w:pPr>
      <w:r w:rsidRPr="002046F3">
        <w:rPr>
          <w:rFonts w:cstheme="minorHAnsi"/>
          <w:lang w:val="en-US"/>
        </w:rPr>
        <w:t>Cleared by:      Valentín Gonzalez</w:t>
      </w:r>
      <w:r w:rsidRPr="002046F3">
        <w:rPr>
          <w:rFonts w:cstheme="minorHAnsi"/>
          <w:lang w:val="en-US"/>
        </w:rPr>
        <w:tab/>
        <w:t xml:space="preserve">Position: </w:t>
      </w:r>
      <w:r w:rsidR="009B0087" w:rsidRPr="002046F3">
        <w:rPr>
          <w:rFonts w:cstheme="minorHAnsi"/>
          <w:lang w:val="en-US"/>
        </w:rPr>
        <w:t>Dep</w:t>
      </w:r>
      <w:r w:rsidR="001B6C6A" w:rsidRPr="002046F3">
        <w:rPr>
          <w:rFonts w:cstheme="minorHAnsi"/>
          <w:lang w:val="en-US"/>
        </w:rPr>
        <w:t>uty</w:t>
      </w:r>
      <w:r w:rsidRPr="002046F3">
        <w:rPr>
          <w:rFonts w:cstheme="minorHAnsi"/>
          <w:lang w:val="en-US"/>
        </w:rPr>
        <w:tab/>
        <w:t xml:space="preserve"> </w:t>
      </w:r>
      <w:r w:rsidR="001B6C6A" w:rsidRPr="002046F3">
        <w:rPr>
          <w:rFonts w:cstheme="minorHAnsi"/>
          <w:lang w:val="en-US"/>
        </w:rPr>
        <w:tab/>
      </w:r>
      <w:r w:rsidRPr="002046F3">
        <w:rPr>
          <w:rFonts w:cstheme="minorHAnsi"/>
          <w:lang w:val="en-US"/>
        </w:rPr>
        <w:t xml:space="preserve">Unit/Bureau: </w:t>
      </w:r>
      <w:r w:rsidR="002046F3">
        <w:rPr>
          <w:rFonts w:cstheme="minorHAnsi"/>
          <w:lang w:val="en-US"/>
        </w:rPr>
        <w:t>UNDP</w:t>
      </w:r>
      <w:r w:rsidR="002046F3" w:rsidRPr="00E47287">
        <w:rPr>
          <w:rFonts w:cstheme="minorHAnsi"/>
          <w:lang w:val="en-US"/>
        </w:rPr>
        <w:t xml:space="preserve"> Argentina</w:t>
      </w:r>
      <w:r w:rsidR="002046F3">
        <w:rPr>
          <w:rFonts w:cstheme="minorHAnsi"/>
          <w:lang w:val="en-US"/>
        </w:rPr>
        <w:t xml:space="preserve"> Country Office</w:t>
      </w:r>
    </w:p>
    <w:p w14:paraId="6D664ABF" w14:textId="37E61413" w:rsidR="008A2C66" w:rsidRPr="005614D9" w:rsidRDefault="008A2C66" w:rsidP="008A2C66">
      <w:pPr>
        <w:tabs>
          <w:tab w:val="left" w:pos="4320"/>
          <w:tab w:val="left" w:pos="7200"/>
        </w:tabs>
        <w:spacing w:after="0" w:line="240" w:lineRule="auto"/>
        <w:jc w:val="both"/>
        <w:rPr>
          <w:rFonts w:cstheme="minorHAnsi"/>
          <w:lang w:val="en-US"/>
        </w:rPr>
      </w:pPr>
      <w:r w:rsidRPr="005614D9">
        <w:rPr>
          <w:rFonts w:cstheme="minorHAnsi"/>
          <w:lang w:val="en-US"/>
        </w:rPr>
        <w:t xml:space="preserve">Approved by:  René Mauricio Valdes                      Position: </w:t>
      </w:r>
      <w:r w:rsidR="001B6C6A" w:rsidRPr="005614D9">
        <w:rPr>
          <w:rFonts w:cstheme="minorHAnsi"/>
          <w:lang w:val="en-US"/>
        </w:rPr>
        <w:t xml:space="preserve">Resident </w:t>
      </w:r>
      <w:r w:rsidR="002046F3" w:rsidRPr="005614D9">
        <w:rPr>
          <w:rFonts w:cstheme="minorHAnsi"/>
          <w:lang w:val="en-US"/>
        </w:rPr>
        <w:t>Repres</w:t>
      </w:r>
      <w:r w:rsidR="002046F3">
        <w:rPr>
          <w:rFonts w:cstheme="minorHAnsi"/>
          <w:lang w:val="en-US"/>
        </w:rPr>
        <w:t>entative</w:t>
      </w:r>
      <w:r w:rsidRPr="005614D9">
        <w:rPr>
          <w:rFonts w:cstheme="minorHAnsi"/>
          <w:lang w:val="en-US"/>
        </w:rPr>
        <w:tab/>
        <w:t xml:space="preserve">Unit/Bureau: </w:t>
      </w:r>
      <w:r w:rsidR="002046F3">
        <w:rPr>
          <w:rFonts w:cstheme="minorHAnsi"/>
          <w:lang w:val="en-US"/>
        </w:rPr>
        <w:t>UNDP</w:t>
      </w:r>
      <w:r w:rsidR="002046F3" w:rsidRPr="00E47287">
        <w:rPr>
          <w:rFonts w:cstheme="minorHAnsi"/>
          <w:lang w:val="en-US"/>
        </w:rPr>
        <w:t xml:space="preserve"> Argentina</w:t>
      </w:r>
      <w:r w:rsidR="002046F3">
        <w:rPr>
          <w:rFonts w:cstheme="minorHAnsi"/>
          <w:lang w:val="en-US"/>
        </w:rPr>
        <w:t xml:space="preserve"> Country Office</w:t>
      </w:r>
    </w:p>
    <w:p w14:paraId="43BD046A" w14:textId="77777777" w:rsidR="00E61BD7" w:rsidRPr="00E47287" w:rsidRDefault="00E61BD7" w:rsidP="00E61BD7">
      <w:pPr>
        <w:tabs>
          <w:tab w:val="left" w:pos="4320"/>
          <w:tab w:val="left" w:pos="7200"/>
        </w:tabs>
        <w:spacing w:after="0" w:line="240" w:lineRule="auto"/>
        <w:jc w:val="both"/>
        <w:rPr>
          <w:rFonts w:cstheme="minorHAnsi"/>
          <w:lang w:val="en-US"/>
        </w:rPr>
      </w:pPr>
      <w:r w:rsidRPr="00E47287">
        <w:rPr>
          <w:rFonts w:cstheme="minorHAnsi"/>
          <w:lang w:val="en-US"/>
        </w:rPr>
        <w:t>Input into and update in ERC:</w:t>
      </w:r>
      <w:r w:rsidRPr="00E47287">
        <w:rPr>
          <w:rFonts w:cstheme="minorHAnsi"/>
          <w:lang w:val="en-US"/>
        </w:rPr>
        <w:tab/>
        <w:t>Position:</w:t>
      </w:r>
      <w:r w:rsidRPr="00E47287">
        <w:rPr>
          <w:rFonts w:cstheme="minorHAnsi"/>
          <w:lang w:val="en-US"/>
        </w:rPr>
        <w:tab/>
      </w:r>
      <w:r w:rsidRPr="00E47287">
        <w:rPr>
          <w:rFonts w:cstheme="minorHAnsi"/>
          <w:lang w:val="en-US"/>
        </w:rPr>
        <w:tab/>
        <w:t>Unit/Bureau:</w:t>
      </w:r>
    </w:p>
    <w:p w14:paraId="43BD046B" w14:textId="15E6A703" w:rsidR="00E61BD7" w:rsidRDefault="00E61BD7" w:rsidP="00E61BD7">
      <w:pPr>
        <w:spacing w:after="0" w:line="240" w:lineRule="auto"/>
        <w:jc w:val="both"/>
        <w:rPr>
          <w:rFonts w:cstheme="minorHAnsi"/>
          <w:lang w:val="en-US"/>
        </w:rPr>
      </w:pPr>
    </w:p>
    <w:p w14:paraId="4CA1DB4E" w14:textId="77777777" w:rsidR="00ED3082" w:rsidRPr="00E47287" w:rsidRDefault="00ED3082" w:rsidP="00E61BD7">
      <w:pPr>
        <w:spacing w:after="0" w:line="240" w:lineRule="auto"/>
        <w:jc w:val="both"/>
        <w:rPr>
          <w:rFonts w:cstheme="minorHAnsi"/>
          <w:lang w:val="en-US"/>
        </w:rPr>
      </w:pPr>
    </w:p>
    <w:tbl>
      <w:tblPr>
        <w:tblpPr w:leftFromText="180" w:rightFromText="180" w:vertAnchor="text" w:tblpY="31"/>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65"/>
        <w:gridCol w:w="3344"/>
        <w:gridCol w:w="2997"/>
        <w:gridCol w:w="1439"/>
        <w:gridCol w:w="1373"/>
      </w:tblGrid>
      <w:tr w:rsidR="00E61BD7" w:rsidRPr="00E47287" w14:paraId="43BD046D" w14:textId="77777777" w:rsidTr="007F7476">
        <w:trPr>
          <w:trHeight w:val="1125"/>
        </w:trPr>
        <w:tc>
          <w:tcPr>
            <w:tcW w:w="5000" w:type="pct"/>
            <w:gridSpan w:val="5"/>
            <w:shd w:val="clear" w:color="auto" w:fill="EAF6F3"/>
          </w:tcPr>
          <w:p w14:paraId="38471EBE" w14:textId="77777777" w:rsidR="00FD62C5" w:rsidRPr="00E47287" w:rsidRDefault="00E61BD7" w:rsidP="009E2946">
            <w:pPr>
              <w:spacing w:after="0" w:line="240" w:lineRule="auto"/>
              <w:jc w:val="both"/>
              <w:rPr>
                <w:b/>
                <w:bCs/>
                <w:lang w:val="en-US"/>
              </w:rPr>
            </w:pPr>
            <w:r w:rsidRPr="00E47287">
              <w:rPr>
                <w:rFonts w:cstheme="minorHAnsi"/>
                <w:b/>
                <w:color w:val="185262"/>
                <w:lang w:val="en-US"/>
              </w:rPr>
              <w:t xml:space="preserve">Evaluation </w:t>
            </w:r>
            <w:r w:rsidR="00225DF0" w:rsidRPr="00E47287">
              <w:rPr>
                <w:rFonts w:cstheme="minorHAnsi"/>
                <w:b/>
                <w:color w:val="185262"/>
                <w:lang w:val="en-US"/>
              </w:rPr>
              <w:t>R</w:t>
            </w:r>
            <w:r w:rsidRPr="00E47287">
              <w:rPr>
                <w:rFonts w:cstheme="minorHAnsi"/>
                <w:b/>
                <w:color w:val="185262"/>
                <w:lang w:val="en-US"/>
              </w:rPr>
              <w:t xml:space="preserve">ecommendation 1. </w:t>
            </w:r>
            <w:r w:rsidR="00416336" w:rsidRPr="00E47287">
              <w:rPr>
                <w:lang w:val="en-US"/>
              </w:rPr>
              <w:t xml:space="preserve"> </w:t>
            </w:r>
            <w:r w:rsidR="00D9090A" w:rsidRPr="00E47287">
              <w:rPr>
                <w:b/>
                <w:bCs/>
                <w:lang w:val="en-US"/>
              </w:rPr>
              <w:t xml:space="preserve">UNDP should make a concerted effort to expand its strategic technical contributions in Argentina, aimed at addressing structural institutional weaknesses and development challenges. UNDP should define key areas in which it can provide substantive value added to the national government and maximize the use of its global network and expertise to foster innovative solutions to advance the SDGs. </w:t>
            </w:r>
          </w:p>
          <w:p w14:paraId="61384933" w14:textId="77777777" w:rsidR="00AC105D" w:rsidRDefault="00D9090A" w:rsidP="00F85743">
            <w:pPr>
              <w:spacing w:after="0" w:line="240" w:lineRule="auto"/>
              <w:jc w:val="both"/>
              <w:rPr>
                <w:lang w:val="en-US"/>
              </w:rPr>
            </w:pPr>
            <w:r w:rsidRPr="00E47287">
              <w:rPr>
                <w:lang w:val="en-US"/>
              </w:rPr>
              <w:t>While continuing to provide valued operational and procurement services, UNDP should work to further expand its strategic development services to the national government, building from existing work and successful experiences elsewhere. This may include broadening support to the government on south-south cooperation, helping set national priorities for actions on the SDGs, providing practical solutions on social service / social protection reform, and helping expand entrepreneurship and business creation to stimulate the economy. UNDP has the knowledge and experience to be a preferred provider of such strategic development advice the Government of Argentina.</w:t>
            </w:r>
          </w:p>
          <w:p w14:paraId="43BD046C" w14:textId="04984914" w:rsidR="00523C11" w:rsidRPr="00E47287" w:rsidRDefault="00523C11" w:rsidP="00F85743">
            <w:pPr>
              <w:spacing w:after="0" w:line="240" w:lineRule="auto"/>
              <w:jc w:val="both"/>
              <w:rPr>
                <w:rFonts w:cstheme="minorHAnsi"/>
                <w:color w:val="185262"/>
                <w:lang w:val="en-US"/>
              </w:rPr>
            </w:pPr>
          </w:p>
        </w:tc>
      </w:tr>
      <w:tr w:rsidR="00E61BD7" w:rsidRPr="00E47287" w14:paraId="43BD046F" w14:textId="77777777" w:rsidTr="00B024F1">
        <w:tc>
          <w:tcPr>
            <w:tcW w:w="5000" w:type="pct"/>
            <w:gridSpan w:val="5"/>
            <w:shd w:val="clear" w:color="auto" w:fill="EAF6F3"/>
          </w:tcPr>
          <w:p w14:paraId="56F7F794" w14:textId="77777777" w:rsidR="00FB7DA8" w:rsidRDefault="00E61BD7" w:rsidP="009E2946">
            <w:pPr>
              <w:tabs>
                <w:tab w:val="left" w:pos="1080"/>
              </w:tabs>
              <w:spacing w:after="0" w:line="240" w:lineRule="auto"/>
              <w:jc w:val="both"/>
              <w:rPr>
                <w:lang w:val="en-US"/>
              </w:rPr>
            </w:pPr>
            <w:r w:rsidRPr="006578F4">
              <w:rPr>
                <w:rFonts w:cstheme="minorHAnsi"/>
                <w:b/>
                <w:color w:val="185262"/>
                <w:lang w:val="en-US"/>
              </w:rPr>
              <w:t>Management response:</w:t>
            </w:r>
            <w:r w:rsidR="00F70433" w:rsidRPr="006578F4">
              <w:rPr>
                <w:rFonts w:cstheme="minorHAnsi"/>
                <w:b/>
                <w:color w:val="185262"/>
                <w:lang w:val="en-US"/>
              </w:rPr>
              <w:t xml:space="preserve"> </w:t>
            </w:r>
            <w:r w:rsidR="00030B1F" w:rsidRPr="00030B1F">
              <w:rPr>
                <w:lang w:val="en-US"/>
              </w:rPr>
              <w:t xml:space="preserve">The Office considers that the technical contributions made are strategic in nature for the country, including both the contribution to design </w:t>
            </w:r>
            <w:r w:rsidR="00EB19E7" w:rsidRPr="00030B1F">
              <w:rPr>
                <w:lang w:val="en-US"/>
              </w:rPr>
              <w:t xml:space="preserve">and </w:t>
            </w:r>
            <w:r w:rsidR="00EB19E7">
              <w:rPr>
                <w:lang w:val="en-US"/>
              </w:rPr>
              <w:t>implementation</w:t>
            </w:r>
            <w:r w:rsidR="00030B1F" w:rsidRPr="00030B1F">
              <w:rPr>
                <w:lang w:val="en-US"/>
              </w:rPr>
              <w:t xml:space="preserve"> of programs and projects at the national and sub-national levels. Even so, to the extent that there is a national demand to deepen assistance in key areas, the Office will continue to contribute and </w:t>
            </w:r>
            <w:r w:rsidR="00C1556E">
              <w:rPr>
                <w:lang w:val="en-US"/>
              </w:rPr>
              <w:t xml:space="preserve">also </w:t>
            </w:r>
            <w:r w:rsidR="00EB19E7">
              <w:rPr>
                <w:lang w:val="en-US"/>
              </w:rPr>
              <w:t xml:space="preserve">to </w:t>
            </w:r>
            <w:r w:rsidR="00763B97">
              <w:rPr>
                <w:lang w:val="en-US"/>
              </w:rPr>
              <w:t xml:space="preserve">act as </w:t>
            </w:r>
            <w:r w:rsidR="00030B1F" w:rsidRPr="00030B1F">
              <w:rPr>
                <w:lang w:val="en-US"/>
              </w:rPr>
              <w:t>a platform that brings together resources and local and global efforts to support the government with a comprehensive approach</w:t>
            </w:r>
            <w:r w:rsidR="00C1556E">
              <w:rPr>
                <w:lang w:val="en-US"/>
              </w:rPr>
              <w:t xml:space="preserve">, which includes </w:t>
            </w:r>
            <w:r w:rsidR="00030B1F" w:rsidRPr="00030B1F">
              <w:rPr>
                <w:lang w:val="en-US"/>
              </w:rPr>
              <w:t>the economic, social and environmental</w:t>
            </w:r>
            <w:r w:rsidR="00273E0F">
              <w:rPr>
                <w:lang w:val="en-US"/>
              </w:rPr>
              <w:t xml:space="preserve"> dimensions</w:t>
            </w:r>
            <w:r w:rsidR="00030B1F" w:rsidRPr="00030B1F">
              <w:rPr>
                <w:lang w:val="en-US"/>
              </w:rPr>
              <w:t>, a</w:t>
            </w:r>
            <w:r w:rsidR="00931590">
              <w:rPr>
                <w:lang w:val="en-US"/>
              </w:rPr>
              <w:t xml:space="preserve">s well as </w:t>
            </w:r>
            <w:r w:rsidR="00030B1F" w:rsidRPr="00030B1F">
              <w:rPr>
                <w:lang w:val="en-US"/>
              </w:rPr>
              <w:t>innova</w:t>
            </w:r>
            <w:r w:rsidR="00E73C34">
              <w:rPr>
                <w:lang w:val="en-US"/>
              </w:rPr>
              <w:t>tion</w:t>
            </w:r>
            <w:r w:rsidR="00030B1F" w:rsidRPr="00030B1F">
              <w:rPr>
                <w:lang w:val="en-US"/>
              </w:rPr>
              <w:t xml:space="preserve"> for the acceleration of the SDGs. In this sense, UNDP will have the opportunity to make its contribution</w:t>
            </w:r>
            <w:r w:rsidR="001015B6">
              <w:rPr>
                <w:lang w:val="en-US"/>
              </w:rPr>
              <w:t xml:space="preserve"> </w:t>
            </w:r>
            <w:r w:rsidR="008A7677">
              <w:rPr>
                <w:lang w:val="en-US"/>
              </w:rPr>
              <w:t>to</w:t>
            </w:r>
            <w:r w:rsidR="001015B6">
              <w:rPr>
                <w:lang w:val="en-US"/>
              </w:rPr>
              <w:t xml:space="preserve"> </w:t>
            </w:r>
            <w:r w:rsidR="00E73C34">
              <w:rPr>
                <w:lang w:val="en-US"/>
              </w:rPr>
              <w:t xml:space="preserve">the </w:t>
            </w:r>
            <w:r w:rsidR="00030B1F" w:rsidRPr="00030B1F">
              <w:rPr>
                <w:lang w:val="en-US"/>
              </w:rPr>
              <w:t xml:space="preserve">socioeconomic reconstruction in the context of </w:t>
            </w:r>
            <w:r w:rsidR="006578F4">
              <w:rPr>
                <w:lang w:val="en-US"/>
              </w:rPr>
              <w:t xml:space="preserve">the </w:t>
            </w:r>
            <w:r w:rsidR="00030B1F" w:rsidRPr="00030B1F">
              <w:rPr>
                <w:lang w:val="en-US"/>
              </w:rPr>
              <w:t>COVID-19.</w:t>
            </w:r>
          </w:p>
          <w:p w14:paraId="43BD046E" w14:textId="475D0790" w:rsidR="00523C11" w:rsidRPr="00877674" w:rsidRDefault="00523C11" w:rsidP="009E2946">
            <w:pPr>
              <w:tabs>
                <w:tab w:val="left" w:pos="1080"/>
              </w:tabs>
              <w:spacing w:after="0" w:line="240" w:lineRule="auto"/>
              <w:jc w:val="both"/>
              <w:rPr>
                <w:lang w:val="en-US"/>
              </w:rPr>
            </w:pPr>
          </w:p>
        </w:tc>
      </w:tr>
      <w:tr w:rsidR="00E61BD7" w:rsidRPr="00E47287" w14:paraId="43BD0474" w14:textId="77777777" w:rsidTr="00B024F1">
        <w:trPr>
          <w:trHeight w:val="135"/>
        </w:trPr>
        <w:tc>
          <w:tcPr>
            <w:tcW w:w="1781" w:type="pct"/>
            <w:vMerge w:val="restart"/>
            <w:shd w:val="clear" w:color="auto" w:fill="EAF6F3"/>
          </w:tcPr>
          <w:p w14:paraId="43BD0470"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Key action(s)</w:t>
            </w:r>
          </w:p>
        </w:tc>
        <w:tc>
          <w:tcPr>
            <w:tcW w:w="1176" w:type="pct"/>
            <w:vMerge w:val="restart"/>
            <w:shd w:val="clear" w:color="auto" w:fill="EAF6F3"/>
          </w:tcPr>
          <w:p w14:paraId="43BD0471"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Completion date</w:t>
            </w:r>
          </w:p>
        </w:tc>
        <w:tc>
          <w:tcPr>
            <w:tcW w:w="1054" w:type="pct"/>
            <w:vMerge w:val="restart"/>
            <w:shd w:val="clear" w:color="auto" w:fill="EAF6F3"/>
          </w:tcPr>
          <w:p w14:paraId="43BD0472"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Responsible unit(s)</w:t>
            </w:r>
          </w:p>
        </w:tc>
        <w:tc>
          <w:tcPr>
            <w:tcW w:w="989" w:type="pct"/>
            <w:gridSpan w:val="2"/>
            <w:shd w:val="clear" w:color="auto" w:fill="EAF6F3"/>
          </w:tcPr>
          <w:p w14:paraId="43BD0473"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Tracking*</w:t>
            </w:r>
          </w:p>
        </w:tc>
      </w:tr>
      <w:tr w:rsidR="00E61BD7" w:rsidRPr="00E47287" w14:paraId="43BD047B" w14:textId="77777777" w:rsidTr="00B024F1">
        <w:trPr>
          <w:trHeight w:val="135"/>
        </w:trPr>
        <w:tc>
          <w:tcPr>
            <w:tcW w:w="1781" w:type="pct"/>
            <w:vMerge/>
            <w:shd w:val="clear" w:color="auto" w:fill="F3F3F3"/>
          </w:tcPr>
          <w:p w14:paraId="43BD0475" w14:textId="77777777" w:rsidR="00E61BD7" w:rsidRPr="00E47287" w:rsidRDefault="00E61BD7" w:rsidP="00260FE5">
            <w:pPr>
              <w:tabs>
                <w:tab w:val="left" w:pos="1080"/>
              </w:tabs>
              <w:spacing w:after="0" w:line="240" w:lineRule="auto"/>
              <w:jc w:val="both"/>
              <w:rPr>
                <w:rFonts w:cstheme="minorHAnsi"/>
                <w:color w:val="185262"/>
                <w:lang w:val="en-US"/>
              </w:rPr>
            </w:pPr>
          </w:p>
        </w:tc>
        <w:tc>
          <w:tcPr>
            <w:tcW w:w="1176" w:type="pct"/>
            <w:vMerge/>
            <w:shd w:val="clear" w:color="auto" w:fill="F3F3F3"/>
          </w:tcPr>
          <w:p w14:paraId="43BD0476" w14:textId="77777777" w:rsidR="00E61BD7" w:rsidRPr="00E47287" w:rsidRDefault="00E61BD7" w:rsidP="00260FE5">
            <w:pPr>
              <w:tabs>
                <w:tab w:val="left" w:pos="1080"/>
              </w:tabs>
              <w:spacing w:after="0" w:line="240" w:lineRule="auto"/>
              <w:jc w:val="both"/>
              <w:rPr>
                <w:rFonts w:cstheme="minorHAnsi"/>
                <w:b/>
                <w:color w:val="185262"/>
                <w:lang w:val="en-US"/>
              </w:rPr>
            </w:pPr>
          </w:p>
        </w:tc>
        <w:tc>
          <w:tcPr>
            <w:tcW w:w="1054" w:type="pct"/>
            <w:vMerge/>
            <w:shd w:val="clear" w:color="auto" w:fill="F3F3F3"/>
          </w:tcPr>
          <w:p w14:paraId="43BD0477" w14:textId="77777777" w:rsidR="00E61BD7" w:rsidRPr="00E47287" w:rsidRDefault="00E61BD7" w:rsidP="00260FE5">
            <w:pPr>
              <w:tabs>
                <w:tab w:val="left" w:pos="1080"/>
              </w:tabs>
              <w:spacing w:after="0" w:line="240" w:lineRule="auto"/>
              <w:jc w:val="both"/>
              <w:rPr>
                <w:rFonts w:cstheme="minorHAnsi"/>
                <w:b/>
                <w:color w:val="185262"/>
                <w:lang w:val="en-US"/>
              </w:rPr>
            </w:pPr>
          </w:p>
        </w:tc>
        <w:tc>
          <w:tcPr>
            <w:tcW w:w="506" w:type="pct"/>
          </w:tcPr>
          <w:p w14:paraId="43BD0478"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Comments</w:t>
            </w:r>
          </w:p>
        </w:tc>
        <w:tc>
          <w:tcPr>
            <w:tcW w:w="483" w:type="pct"/>
          </w:tcPr>
          <w:p w14:paraId="43BD047A" w14:textId="34FD9B51" w:rsidR="00E61BD7" w:rsidRPr="00E47287" w:rsidRDefault="00E61BD7" w:rsidP="00260FE5">
            <w:pPr>
              <w:tabs>
                <w:tab w:val="left" w:pos="1080"/>
              </w:tabs>
              <w:spacing w:after="0" w:line="240" w:lineRule="auto"/>
              <w:jc w:val="both"/>
              <w:rPr>
                <w:rFonts w:asciiTheme="majorHAnsi" w:eastAsiaTheme="majorEastAsia" w:hAnsiTheme="majorHAnsi" w:cstheme="minorHAnsi"/>
                <w:b/>
                <w:color w:val="185262"/>
                <w:sz w:val="21"/>
                <w:szCs w:val="21"/>
                <w:lang w:val="en-US"/>
              </w:rPr>
            </w:pPr>
            <w:r w:rsidRPr="00E47287">
              <w:rPr>
                <w:rFonts w:cstheme="minorHAnsi"/>
                <w:b/>
                <w:color w:val="185262"/>
                <w:lang w:val="en-US"/>
              </w:rPr>
              <w:t>Status</w:t>
            </w:r>
          </w:p>
        </w:tc>
      </w:tr>
      <w:tr w:rsidR="00E61BD7" w:rsidRPr="00E47287" w14:paraId="43BD0481" w14:textId="77777777" w:rsidTr="00B024F1">
        <w:tc>
          <w:tcPr>
            <w:tcW w:w="1781" w:type="pct"/>
          </w:tcPr>
          <w:p w14:paraId="43BD047C" w14:textId="1E7BF996" w:rsidR="00DF5625" w:rsidRPr="00DF5625" w:rsidRDefault="00E61BD7" w:rsidP="00077C32">
            <w:pPr>
              <w:tabs>
                <w:tab w:val="left" w:pos="1080"/>
              </w:tabs>
              <w:spacing w:after="0" w:line="240" w:lineRule="auto"/>
              <w:jc w:val="both"/>
              <w:rPr>
                <w:rFonts w:cstheme="minorHAnsi"/>
                <w:lang w:val="en-US"/>
              </w:rPr>
            </w:pPr>
            <w:r w:rsidRPr="00077C32">
              <w:rPr>
                <w:rFonts w:cstheme="minorHAnsi"/>
                <w:lang w:val="en-US"/>
              </w:rPr>
              <w:t xml:space="preserve">1.1 </w:t>
            </w:r>
            <w:r w:rsidR="00077C32">
              <w:rPr>
                <w:rFonts w:cstheme="minorHAnsi"/>
                <w:lang w:val="en-US"/>
              </w:rPr>
              <w:t>In</w:t>
            </w:r>
            <w:r w:rsidR="00077C32" w:rsidRPr="00DF5625">
              <w:rPr>
                <w:rFonts w:cstheme="minorHAnsi"/>
                <w:lang w:val="en-US"/>
              </w:rPr>
              <w:t xml:space="preserve"> the framework of the </w:t>
            </w:r>
            <w:r w:rsidR="00077C32">
              <w:rPr>
                <w:rFonts w:cstheme="minorHAnsi"/>
                <w:lang w:val="en-US"/>
              </w:rPr>
              <w:t xml:space="preserve">new CPD formulation, </w:t>
            </w:r>
            <w:r w:rsidR="0049659D">
              <w:rPr>
                <w:rFonts w:cstheme="minorHAnsi"/>
                <w:lang w:val="en-US"/>
              </w:rPr>
              <w:t>analyze</w:t>
            </w:r>
            <w:r w:rsidR="00077C32">
              <w:rPr>
                <w:rFonts w:cstheme="minorHAnsi"/>
                <w:lang w:val="en-US"/>
              </w:rPr>
              <w:t xml:space="preserve"> </w:t>
            </w:r>
            <w:r w:rsidR="00DF5625" w:rsidRPr="00DF5625">
              <w:rPr>
                <w:rFonts w:cstheme="minorHAnsi"/>
                <w:lang w:val="en-US"/>
              </w:rPr>
              <w:t>po</w:t>
            </w:r>
            <w:r w:rsidR="00BF343A">
              <w:rPr>
                <w:rFonts w:cstheme="minorHAnsi"/>
                <w:lang w:val="en-US"/>
              </w:rPr>
              <w:t>tential</w:t>
            </w:r>
            <w:r w:rsidR="00DF5625" w:rsidRPr="00DF5625">
              <w:rPr>
                <w:rFonts w:cstheme="minorHAnsi"/>
                <w:lang w:val="en-US"/>
              </w:rPr>
              <w:t xml:space="preserve"> </w:t>
            </w:r>
            <w:r w:rsidR="00077C32">
              <w:rPr>
                <w:rFonts w:cstheme="minorHAnsi"/>
                <w:lang w:val="en-US"/>
              </w:rPr>
              <w:t>G</w:t>
            </w:r>
            <w:r w:rsidR="009B116E" w:rsidRPr="00DF5625">
              <w:rPr>
                <w:rFonts w:cstheme="minorHAnsi"/>
                <w:lang w:val="en-US"/>
              </w:rPr>
              <w:t>overnment</w:t>
            </w:r>
            <w:r w:rsidR="00BF343A">
              <w:rPr>
                <w:rFonts w:cstheme="minorHAnsi"/>
                <w:lang w:val="en-US"/>
              </w:rPr>
              <w:t>´s</w:t>
            </w:r>
            <w:r w:rsidR="009B116E" w:rsidRPr="00DF5625">
              <w:rPr>
                <w:rFonts w:cstheme="minorHAnsi"/>
                <w:lang w:val="en-US"/>
              </w:rPr>
              <w:t xml:space="preserve"> demands</w:t>
            </w:r>
            <w:r w:rsidR="00F872F5" w:rsidRPr="00DF5625">
              <w:rPr>
                <w:rFonts w:cstheme="minorHAnsi"/>
                <w:lang w:val="en-US"/>
              </w:rPr>
              <w:t xml:space="preserve"> </w:t>
            </w:r>
            <w:r w:rsidR="00DF5625" w:rsidRPr="00DF5625">
              <w:rPr>
                <w:rFonts w:cstheme="minorHAnsi"/>
                <w:lang w:val="en-US"/>
              </w:rPr>
              <w:t xml:space="preserve">in new key areas that may require </w:t>
            </w:r>
            <w:r w:rsidR="000516D6">
              <w:rPr>
                <w:rFonts w:cstheme="minorHAnsi"/>
                <w:lang w:val="en-US"/>
              </w:rPr>
              <w:t xml:space="preserve">UNDP </w:t>
            </w:r>
            <w:r w:rsidR="00DF5625" w:rsidRPr="00DF5625">
              <w:rPr>
                <w:rFonts w:cstheme="minorHAnsi"/>
                <w:lang w:val="en-US"/>
              </w:rPr>
              <w:t>contribution.</w:t>
            </w:r>
          </w:p>
        </w:tc>
        <w:tc>
          <w:tcPr>
            <w:tcW w:w="1176" w:type="pct"/>
          </w:tcPr>
          <w:p w14:paraId="43BD047D" w14:textId="24052C1D" w:rsidR="00E61BD7" w:rsidRPr="00E47287" w:rsidRDefault="00877B85" w:rsidP="00260FE5">
            <w:pPr>
              <w:tabs>
                <w:tab w:val="left" w:pos="1080"/>
              </w:tabs>
              <w:spacing w:after="0" w:line="240" w:lineRule="auto"/>
              <w:jc w:val="both"/>
              <w:rPr>
                <w:rFonts w:cstheme="minorHAnsi"/>
                <w:lang w:val="en-US"/>
              </w:rPr>
            </w:pPr>
            <w:r w:rsidRPr="00E47287">
              <w:rPr>
                <w:rFonts w:cstheme="minorHAnsi"/>
                <w:lang w:val="en-US"/>
              </w:rPr>
              <w:t>31-12-2020</w:t>
            </w:r>
          </w:p>
        </w:tc>
        <w:tc>
          <w:tcPr>
            <w:tcW w:w="1054" w:type="pct"/>
          </w:tcPr>
          <w:p w14:paraId="43BD047E" w14:textId="608E2E4C" w:rsidR="00E61BD7" w:rsidRPr="00E47287" w:rsidRDefault="00AA5210" w:rsidP="00260FE5">
            <w:pPr>
              <w:tabs>
                <w:tab w:val="left" w:pos="1080"/>
              </w:tabs>
              <w:spacing w:after="0" w:line="240" w:lineRule="auto"/>
              <w:jc w:val="both"/>
              <w:rPr>
                <w:rFonts w:cstheme="minorHAnsi"/>
                <w:lang w:val="en-US"/>
              </w:rPr>
            </w:pPr>
            <w:r>
              <w:rPr>
                <w:rFonts w:cstheme="minorHAnsi"/>
                <w:lang w:val="en-US"/>
              </w:rPr>
              <w:t>Programme</w:t>
            </w:r>
            <w:r w:rsidR="00A6577C">
              <w:rPr>
                <w:rFonts w:cstheme="minorHAnsi"/>
                <w:lang w:val="en-US"/>
              </w:rPr>
              <w:t xml:space="preserve"> areas</w:t>
            </w:r>
            <w:r>
              <w:rPr>
                <w:rFonts w:cstheme="minorHAnsi"/>
                <w:lang w:val="en-US"/>
              </w:rPr>
              <w:t xml:space="preserve"> and</w:t>
            </w:r>
            <w:r w:rsidRPr="00E47287">
              <w:rPr>
                <w:rFonts w:cstheme="minorHAnsi"/>
                <w:lang w:val="en-US"/>
              </w:rPr>
              <w:t xml:space="preserve"> M&amp;E</w:t>
            </w:r>
          </w:p>
        </w:tc>
        <w:tc>
          <w:tcPr>
            <w:tcW w:w="506" w:type="pct"/>
          </w:tcPr>
          <w:p w14:paraId="43BD047F" w14:textId="77777777" w:rsidR="00E61BD7" w:rsidRPr="00E47287" w:rsidRDefault="00E61BD7" w:rsidP="00260FE5">
            <w:pPr>
              <w:tabs>
                <w:tab w:val="left" w:pos="1080"/>
              </w:tabs>
              <w:spacing w:after="0" w:line="240" w:lineRule="auto"/>
              <w:jc w:val="both"/>
              <w:rPr>
                <w:rFonts w:cstheme="minorHAnsi"/>
                <w:color w:val="185262"/>
                <w:lang w:val="en-US"/>
              </w:rPr>
            </w:pPr>
          </w:p>
        </w:tc>
        <w:tc>
          <w:tcPr>
            <w:tcW w:w="483" w:type="pct"/>
          </w:tcPr>
          <w:p w14:paraId="43BD0480" w14:textId="77777777" w:rsidR="00E61BD7" w:rsidRPr="00E47287" w:rsidRDefault="00E61BD7" w:rsidP="00260FE5">
            <w:pPr>
              <w:tabs>
                <w:tab w:val="left" w:pos="1080"/>
              </w:tabs>
              <w:spacing w:after="0" w:line="240" w:lineRule="auto"/>
              <w:jc w:val="both"/>
              <w:rPr>
                <w:rFonts w:cstheme="minorHAnsi"/>
                <w:color w:val="185262"/>
                <w:lang w:val="en-US"/>
              </w:rPr>
            </w:pPr>
          </w:p>
        </w:tc>
      </w:tr>
      <w:tr w:rsidR="00C0758F" w:rsidRPr="00C9348F" w14:paraId="43BD0487" w14:textId="77777777" w:rsidTr="00B024F1">
        <w:tc>
          <w:tcPr>
            <w:tcW w:w="1781" w:type="pct"/>
          </w:tcPr>
          <w:p w14:paraId="43BD0482" w14:textId="2F0EBF75" w:rsidR="009B116E" w:rsidRPr="00E47287" w:rsidRDefault="00C0758F" w:rsidP="00B96BD5">
            <w:pPr>
              <w:tabs>
                <w:tab w:val="left" w:pos="1080"/>
              </w:tabs>
              <w:spacing w:after="0" w:line="240" w:lineRule="auto"/>
              <w:jc w:val="both"/>
              <w:rPr>
                <w:rFonts w:cstheme="minorHAnsi"/>
                <w:lang w:val="en-US"/>
              </w:rPr>
            </w:pPr>
            <w:r w:rsidRPr="00E47287">
              <w:rPr>
                <w:rFonts w:cstheme="minorHAnsi"/>
                <w:lang w:val="en-US"/>
              </w:rPr>
              <w:lastRenderedPageBreak/>
              <w:t xml:space="preserve">1.2 </w:t>
            </w:r>
            <w:r w:rsidR="009B116E" w:rsidRPr="009B116E">
              <w:rPr>
                <w:rFonts w:cstheme="minorHAnsi"/>
                <w:lang w:val="en-US"/>
              </w:rPr>
              <w:t>Define a strateg</w:t>
            </w:r>
            <w:r w:rsidR="00B92D82">
              <w:rPr>
                <w:rFonts w:cstheme="minorHAnsi"/>
                <w:lang w:val="en-US"/>
              </w:rPr>
              <w:t>y</w:t>
            </w:r>
            <w:r w:rsidR="009B116E" w:rsidRPr="009B116E">
              <w:rPr>
                <w:rFonts w:cstheme="minorHAnsi"/>
                <w:lang w:val="en-US"/>
              </w:rPr>
              <w:t xml:space="preserve"> </w:t>
            </w:r>
            <w:r w:rsidR="00660D69">
              <w:rPr>
                <w:rFonts w:cstheme="minorHAnsi"/>
                <w:lang w:val="en-US"/>
              </w:rPr>
              <w:t>-</w:t>
            </w:r>
            <w:r w:rsidR="009B116E" w:rsidRPr="009B116E">
              <w:rPr>
                <w:rFonts w:cstheme="minorHAnsi"/>
                <w:lang w:val="en-US"/>
              </w:rPr>
              <w:t xml:space="preserve">including Policy </w:t>
            </w:r>
            <w:r w:rsidR="00B92D82">
              <w:rPr>
                <w:rFonts w:cstheme="minorHAnsi"/>
                <w:lang w:val="en-US"/>
              </w:rPr>
              <w:t>unit,</w:t>
            </w:r>
            <w:r w:rsidR="009B116E" w:rsidRPr="009B116E">
              <w:rPr>
                <w:rFonts w:cstheme="minorHAnsi"/>
                <w:lang w:val="en-US"/>
              </w:rPr>
              <w:t xml:space="preserve"> LAB, global experiences, resource mobilization and establishment of alliances</w:t>
            </w:r>
            <w:r w:rsidR="00660D69">
              <w:rPr>
                <w:rFonts w:cstheme="minorHAnsi"/>
                <w:lang w:val="en-US"/>
              </w:rPr>
              <w:t>-</w:t>
            </w:r>
            <w:r w:rsidR="009B116E" w:rsidRPr="009B116E">
              <w:rPr>
                <w:rFonts w:cstheme="minorHAnsi"/>
                <w:lang w:val="en-US"/>
              </w:rPr>
              <w:t xml:space="preserve"> to contribute </w:t>
            </w:r>
            <w:r w:rsidR="00B96BD5">
              <w:rPr>
                <w:rFonts w:cstheme="minorHAnsi"/>
                <w:lang w:val="en-US"/>
              </w:rPr>
              <w:t>to</w:t>
            </w:r>
            <w:r w:rsidR="009B116E" w:rsidRPr="009B116E">
              <w:rPr>
                <w:rFonts w:cstheme="minorHAnsi"/>
                <w:lang w:val="en-US"/>
              </w:rPr>
              <w:t xml:space="preserve"> the identified areas.</w:t>
            </w:r>
          </w:p>
        </w:tc>
        <w:tc>
          <w:tcPr>
            <w:tcW w:w="1176" w:type="pct"/>
          </w:tcPr>
          <w:p w14:paraId="43BD0483" w14:textId="7E644971" w:rsidR="00C0758F" w:rsidRPr="00E47287" w:rsidRDefault="00C0758F" w:rsidP="00C0758F">
            <w:pPr>
              <w:tabs>
                <w:tab w:val="left" w:pos="1080"/>
              </w:tabs>
              <w:spacing w:after="0" w:line="240" w:lineRule="auto"/>
              <w:jc w:val="both"/>
              <w:rPr>
                <w:rFonts w:cstheme="minorHAnsi"/>
                <w:lang w:val="en-US"/>
              </w:rPr>
            </w:pPr>
            <w:r w:rsidRPr="00E47287">
              <w:rPr>
                <w:rFonts w:cstheme="minorHAnsi"/>
                <w:lang w:val="en-US"/>
              </w:rPr>
              <w:t>31-12-2021</w:t>
            </w:r>
          </w:p>
        </w:tc>
        <w:tc>
          <w:tcPr>
            <w:tcW w:w="1054" w:type="pct"/>
          </w:tcPr>
          <w:p w14:paraId="43BD0484" w14:textId="3AB70A5F" w:rsidR="00C0758F" w:rsidRPr="00C9348F" w:rsidRDefault="00944F7E" w:rsidP="00C0758F">
            <w:pPr>
              <w:tabs>
                <w:tab w:val="left" w:pos="1080"/>
              </w:tabs>
              <w:spacing w:after="0" w:line="240" w:lineRule="auto"/>
              <w:jc w:val="both"/>
              <w:rPr>
                <w:rFonts w:cstheme="minorHAnsi"/>
                <w:lang w:val="en-US"/>
              </w:rPr>
            </w:pPr>
            <w:r w:rsidRPr="00C9348F">
              <w:rPr>
                <w:rFonts w:cstheme="minorHAnsi"/>
                <w:lang w:val="en-US"/>
              </w:rPr>
              <w:t>Program</w:t>
            </w:r>
            <w:r w:rsidR="00AA5210">
              <w:rPr>
                <w:rFonts w:cstheme="minorHAnsi"/>
                <w:lang w:val="en-US"/>
              </w:rPr>
              <w:t>me</w:t>
            </w:r>
            <w:r w:rsidRPr="00C9348F">
              <w:rPr>
                <w:rFonts w:cstheme="minorHAnsi"/>
                <w:lang w:val="en-US"/>
              </w:rPr>
              <w:t xml:space="preserve"> </w:t>
            </w:r>
            <w:r w:rsidR="00A6577C">
              <w:rPr>
                <w:rFonts w:cstheme="minorHAnsi"/>
                <w:lang w:val="en-US"/>
              </w:rPr>
              <w:t>area</w:t>
            </w:r>
            <w:r w:rsidR="00AA5210">
              <w:rPr>
                <w:rFonts w:cstheme="minorHAnsi"/>
                <w:lang w:val="en-US"/>
              </w:rPr>
              <w:t>s</w:t>
            </w:r>
            <w:r w:rsidRPr="00C9348F">
              <w:rPr>
                <w:rFonts w:cstheme="minorHAnsi"/>
                <w:lang w:val="en-US"/>
              </w:rPr>
              <w:t>, LAB, Policy</w:t>
            </w:r>
            <w:r w:rsidR="00A6577C">
              <w:rPr>
                <w:rFonts w:cstheme="minorHAnsi"/>
                <w:lang w:val="en-US"/>
              </w:rPr>
              <w:t xml:space="preserve"> </w:t>
            </w:r>
            <w:r w:rsidR="00E579B2">
              <w:rPr>
                <w:rFonts w:cstheme="minorHAnsi"/>
                <w:lang w:val="en-US"/>
              </w:rPr>
              <w:t>u</w:t>
            </w:r>
            <w:r w:rsidR="00A6577C">
              <w:rPr>
                <w:rFonts w:cstheme="minorHAnsi"/>
                <w:lang w:val="en-US"/>
              </w:rPr>
              <w:t>nit</w:t>
            </w:r>
            <w:r w:rsidRPr="00C9348F">
              <w:rPr>
                <w:rFonts w:cstheme="minorHAnsi"/>
                <w:lang w:val="en-US"/>
              </w:rPr>
              <w:t xml:space="preserve"> and</w:t>
            </w:r>
            <w:r w:rsidR="00C9348F">
              <w:rPr>
                <w:rFonts w:cstheme="minorHAnsi"/>
                <w:lang w:val="en-US"/>
              </w:rPr>
              <w:t xml:space="preserve"> </w:t>
            </w:r>
            <w:r w:rsidRPr="00C9348F">
              <w:rPr>
                <w:rFonts w:cstheme="minorHAnsi"/>
                <w:lang w:val="en-US"/>
              </w:rPr>
              <w:t>M&amp;E</w:t>
            </w:r>
          </w:p>
        </w:tc>
        <w:tc>
          <w:tcPr>
            <w:tcW w:w="506" w:type="pct"/>
          </w:tcPr>
          <w:p w14:paraId="43BD0485" w14:textId="77777777" w:rsidR="00C0758F" w:rsidRPr="00C9348F" w:rsidRDefault="00C0758F" w:rsidP="00C0758F">
            <w:pPr>
              <w:tabs>
                <w:tab w:val="left" w:pos="1080"/>
              </w:tabs>
              <w:spacing w:after="0" w:line="240" w:lineRule="auto"/>
              <w:jc w:val="both"/>
              <w:rPr>
                <w:rFonts w:cstheme="minorHAnsi"/>
                <w:color w:val="185262"/>
                <w:lang w:val="en-US"/>
              </w:rPr>
            </w:pPr>
          </w:p>
        </w:tc>
        <w:tc>
          <w:tcPr>
            <w:tcW w:w="483" w:type="pct"/>
          </w:tcPr>
          <w:p w14:paraId="43BD0486" w14:textId="77777777" w:rsidR="00C0758F" w:rsidRPr="00C9348F" w:rsidRDefault="00C0758F" w:rsidP="00C0758F">
            <w:pPr>
              <w:tabs>
                <w:tab w:val="left" w:pos="1080"/>
              </w:tabs>
              <w:spacing w:after="0" w:line="240" w:lineRule="auto"/>
              <w:jc w:val="both"/>
              <w:rPr>
                <w:rFonts w:cstheme="minorHAnsi"/>
                <w:color w:val="185262"/>
                <w:lang w:val="en-US"/>
              </w:rPr>
            </w:pPr>
          </w:p>
        </w:tc>
      </w:tr>
      <w:tr w:rsidR="00CA7C06" w:rsidRPr="00E47287" w14:paraId="7675CF8D" w14:textId="77777777" w:rsidTr="00B024F1">
        <w:tc>
          <w:tcPr>
            <w:tcW w:w="1781" w:type="pct"/>
          </w:tcPr>
          <w:p w14:paraId="133C1FAF" w14:textId="77777777" w:rsidR="003B5574" w:rsidRDefault="00CA7C06" w:rsidP="00877674">
            <w:pPr>
              <w:tabs>
                <w:tab w:val="left" w:pos="1080"/>
              </w:tabs>
              <w:spacing w:after="0" w:line="240" w:lineRule="auto"/>
              <w:jc w:val="both"/>
              <w:rPr>
                <w:rFonts w:cstheme="minorHAnsi"/>
                <w:lang w:val="en-US"/>
              </w:rPr>
            </w:pPr>
            <w:r w:rsidRPr="00E47287">
              <w:rPr>
                <w:rFonts w:cstheme="minorHAnsi"/>
                <w:lang w:val="en-US"/>
              </w:rPr>
              <w:t xml:space="preserve">1.3 </w:t>
            </w:r>
            <w:r w:rsidR="00E723A5">
              <w:rPr>
                <w:rFonts w:cstheme="minorHAnsi"/>
                <w:lang w:val="en-US"/>
              </w:rPr>
              <w:t>D</w:t>
            </w:r>
            <w:r w:rsidR="002B3BE1" w:rsidRPr="002B3BE1">
              <w:rPr>
                <w:rFonts w:cstheme="minorHAnsi"/>
                <w:lang w:val="en-US"/>
              </w:rPr>
              <w:t xml:space="preserve">efine proposals to contribute to </w:t>
            </w:r>
            <w:r w:rsidR="002B3BE1">
              <w:rPr>
                <w:rFonts w:cstheme="minorHAnsi"/>
                <w:lang w:val="en-US"/>
              </w:rPr>
              <w:t xml:space="preserve">the </w:t>
            </w:r>
            <w:r w:rsidR="002B3BE1" w:rsidRPr="002B3BE1">
              <w:rPr>
                <w:rFonts w:cstheme="minorHAnsi"/>
                <w:lang w:val="en-US"/>
              </w:rPr>
              <w:t xml:space="preserve">socioeconomic reconstruction in the context of </w:t>
            </w:r>
            <w:r w:rsidR="00E723A5">
              <w:rPr>
                <w:rFonts w:cstheme="minorHAnsi"/>
                <w:lang w:val="en-US"/>
              </w:rPr>
              <w:t xml:space="preserve">the </w:t>
            </w:r>
            <w:r w:rsidR="002B3BE1" w:rsidRPr="002B3BE1">
              <w:rPr>
                <w:rFonts w:cstheme="minorHAnsi"/>
                <w:lang w:val="en-US"/>
              </w:rPr>
              <w:t>COVID-19.</w:t>
            </w:r>
          </w:p>
          <w:p w14:paraId="320763F6" w14:textId="45135F4E" w:rsidR="00523C11" w:rsidRPr="00E47287" w:rsidRDefault="00523C11" w:rsidP="00877674">
            <w:pPr>
              <w:tabs>
                <w:tab w:val="left" w:pos="1080"/>
              </w:tabs>
              <w:spacing w:after="0" w:line="240" w:lineRule="auto"/>
              <w:jc w:val="both"/>
              <w:rPr>
                <w:rFonts w:cstheme="minorHAnsi"/>
                <w:lang w:val="en-US"/>
              </w:rPr>
            </w:pPr>
          </w:p>
        </w:tc>
        <w:tc>
          <w:tcPr>
            <w:tcW w:w="1176" w:type="pct"/>
          </w:tcPr>
          <w:p w14:paraId="6092AE94" w14:textId="22E9446D" w:rsidR="00CA7C06" w:rsidRPr="00E47287" w:rsidRDefault="00CA7C06" w:rsidP="00CA7C06">
            <w:pPr>
              <w:tabs>
                <w:tab w:val="left" w:pos="1080"/>
              </w:tabs>
              <w:spacing w:after="0" w:line="240" w:lineRule="auto"/>
              <w:jc w:val="both"/>
              <w:rPr>
                <w:rFonts w:cstheme="minorHAnsi"/>
                <w:lang w:val="en-US"/>
              </w:rPr>
            </w:pPr>
            <w:r w:rsidRPr="00E47287">
              <w:rPr>
                <w:rFonts w:cstheme="minorHAnsi"/>
                <w:lang w:val="en-US"/>
              </w:rPr>
              <w:t>31-12-2021</w:t>
            </w:r>
          </w:p>
        </w:tc>
        <w:tc>
          <w:tcPr>
            <w:tcW w:w="1054" w:type="pct"/>
          </w:tcPr>
          <w:p w14:paraId="76405847" w14:textId="0F5EA9BA" w:rsidR="00CA7C06" w:rsidRPr="00E47287" w:rsidRDefault="00AA5210" w:rsidP="00CA7C06">
            <w:pPr>
              <w:tabs>
                <w:tab w:val="left" w:pos="1080"/>
              </w:tabs>
              <w:spacing w:after="0" w:line="240" w:lineRule="auto"/>
              <w:jc w:val="both"/>
              <w:rPr>
                <w:rFonts w:cstheme="minorHAnsi"/>
                <w:lang w:val="en-US"/>
              </w:rPr>
            </w:pPr>
            <w:r>
              <w:rPr>
                <w:rFonts w:cstheme="minorHAnsi"/>
                <w:lang w:val="en-US"/>
              </w:rPr>
              <w:t xml:space="preserve">Programme </w:t>
            </w:r>
            <w:r w:rsidR="00A6577C">
              <w:rPr>
                <w:rFonts w:cstheme="minorHAnsi"/>
                <w:lang w:val="en-US"/>
              </w:rPr>
              <w:t>areas</w:t>
            </w:r>
          </w:p>
        </w:tc>
        <w:tc>
          <w:tcPr>
            <w:tcW w:w="506" w:type="pct"/>
          </w:tcPr>
          <w:p w14:paraId="1D8786F1" w14:textId="77777777" w:rsidR="00CA7C06" w:rsidRPr="00E47287" w:rsidRDefault="00CA7C06" w:rsidP="00CA7C06">
            <w:pPr>
              <w:tabs>
                <w:tab w:val="left" w:pos="1080"/>
              </w:tabs>
              <w:spacing w:after="0" w:line="240" w:lineRule="auto"/>
              <w:jc w:val="both"/>
              <w:rPr>
                <w:rFonts w:cstheme="minorHAnsi"/>
                <w:color w:val="185262"/>
                <w:lang w:val="en-US"/>
              </w:rPr>
            </w:pPr>
          </w:p>
        </w:tc>
        <w:tc>
          <w:tcPr>
            <w:tcW w:w="483" w:type="pct"/>
          </w:tcPr>
          <w:p w14:paraId="73509BCC" w14:textId="77777777" w:rsidR="00CA7C06" w:rsidRPr="00E47287" w:rsidRDefault="00CA7C06" w:rsidP="00CA7C06">
            <w:pPr>
              <w:tabs>
                <w:tab w:val="left" w:pos="1080"/>
              </w:tabs>
              <w:spacing w:after="0" w:line="240" w:lineRule="auto"/>
              <w:jc w:val="both"/>
              <w:rPr>
                <w:rFonts w:cstheme="minorHAnsi"/>
                <w:color w:val="185262"/>
                <w:lang w:val="en-US"/>
              </w:rPr>
            </w:pPr>
          </w:p>
        </w:tc>
      </w:tr>
    </w:tbl>
    <w:p w14:paraId="43BD048E" w14:textId="77777777" w:rsidR="00E61BD7" w:rsidRPr="00E47287" w:rsidRDefault="00E61BD7" w:rsidP="00E61BD7">
      <w:pPr>
        <w:spacing w:after="0" w:line="240" w:lineRule="auto"/>
        <w:jc w:val="both"/>
        <w:rPr>
          <w:rFonts w:cstheme="minorHAnsi"/>
          <w:vanish/>
          <w:color w:val="185262"/>
          <w:lang w:val="en-US"/>
        </w:rPr>
      </w:pPr>
    </w:p>
    <w:tbl>
      <w:tblPr>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90"/>
        <w:gridCol w:w="3310"/>
        <w:gridCol w:w="3000"/>
        <w:gridCol w:w="1447"/>
        <w:gridCol w:w="1371"/>
      </w:tblGrid>
      <w:tr w:rsidR="00E61BD7" w:rsidRPr="00E47287" w14:paraId="43BD0490" w14:textId="77777777" w:rsidTr="00B024F1">
        <w:tc>
          <w:tcPr>
            <w:tcW w:w="5000" w:type="pct"/>
            <w:gridSpan w:val="5"/>
            <w:shd w:val="clear" w:color="auto" w:fill="EAF6F3"/>
          </w:tcPr>
          <w:p w14:paraId="1D559064" w14:textId="77777777" w:rsidR="00FD62C5" w:rsidRPr="00E47287" w:rsidRDefault="00E61BD7" w:rsidP="0023624A">
            <w:pPr>
              <w:spacing w:after="0" w:line="240" w:lineRule="auto"/>
              <w:jc w:val="both"/>
              <w:rPr>
                <w:b/>
                <w:bCs/>
                <w:lang w:val="en-US"/>
              </w:rPr>
            </w:pPr>
            <w:r w:rsidRPr="00E47287">
              <w:rPr>
                <w:rFonts w:cstheme="minorHAnsi"/>
                <w:b/>
                <w:color w:val="185262"/>
                <w:lang w:val="en-US"/>
              </w:rPr>
              <w:t>Evaluation</w:t>
            </w:r>
            <w:r w:rsidR="00C448CA" w:rsidRPr="00E47287">
              <w:rPr>
                <w:rFonts w:cstheme="minorHAnsi"/>
                <w:b/>
                <w:color w:val="185262"/>
                <w:lang w:val="en-US"/>
              </w:rPr>
              <w:t xml:space="preserve"> R</w:t>
            </w:r>
            <w:r w:rsidRPr="00E47287">
              <w:rPr>
                <w:rFonts w:cstheme="minorHAnsi"/>
                <w:b/>
                <w:color w:val="185262"/>
                <w:lang w:val="en-US"/>
              </w:rPr>
              <w:t xml:space="preserve">ecommendation 2. </w:t>
            </w:r>
            <w:r w:rsidR="00C448CA" w:rsidRPr="00E47287">
              <w:rPr>
                <w:b/>
                <w:bCs/>
                <w:lang w:val="en-US"/>
              </w:rPr>
              <w:t xml:space="preserve">UNDP should explore opportunities for strategically expanding collaborative partnerships and programming at the provincial level, especially in the northern region, with the aim of helping sub-national governments reduce poverty and inequality, improve municipal services and adapt to a changing climate. </w:t>
            </w:r>
          </w:p>
          <w:p w14:paraId="225F8238" w14:textId="77777777" w:rsidR="00AC105D" w:rsidRDefault="001E47C4" w:rsidP="00F85743">
            <w:pPr>
              <w:spacing w:after="0" w:line="240" w:lineRule="auto"/>
              <w:jc w:val="both"/>
              <w:rPr>
                <w:lang w:val="en-US"/>
              </w:rPr>
            </w:pPr>
            <w:r w:rsidRPr="00E47287">
              <w:rPr>
                <w:lang w:val="en-US"/>
              </w:rPr>
              <w:t>In its next programme cycle, UNDP should strive to deepen its engagement in the northern provinces (i.e. Santiago del Estero, Chaco, Formosa, Salta, Corrientes y Jujuy, among others), in response to the development challenges these provinces face. A more strategic, long term approach, coupled with a revised resource mobilization/partnership strategy can help to broaden UNDP’s substantive engagement at the sub-national level, including innovative and integrated provincial and municipal services that improve financial management, spur entrepreneurship and job creation, and anticipate changing climate conditions.</w:t>
            </w:r>
          </w:p>
          <w:p w14:paraId="43BD048F" w14:textId="2C2F01A9" w:rsidR="00523C11" w:rsidRPr="00E47287" w:rsidRDefault="00523C11" w:rsidP="00F85743">
            <w:pPr>
              <w:spacing w:after="0" w:line="240" w:lineRule="auto"/>
              <w:jc w:val="both"/>
              <w:rPr>
                <w:lang w:val="en-US"/>
              </w:rPr>
            </w:pPr>
          </w:p>
        </w:tc>
      </w:tr>
      <w:tr w:rsidR="00E61BD7" w:rsidRPr="00E47287" w14:paraId="43BD0492" w14:textId="77777777" w:rsidTr="00B024F1">
        <w:tc>
          <w:tcPr>
            <w:tcW w:w="5000" w:type="pct"/>
            <w:gridSpan w:val="5"/>
            <w:shd w:val="clear" w:color="auto" w:fill="EAF6F3"/>
          </w:tcPr>
          <w:p w14:paraId="30875193" w14:textId="286F466F" w:rsidR="001F01AA" w:rsidRPr="00F26ECE" w:rsidRDefault="00E61BD7" w:rsidP="006E67B9">
            <w:pPr>
              <w:tabs>
                <w:tab w:val="left" w:pos="1080"/>
              </w:tabs>
              <w:spacing w:after="0" w:line="240" w:lineRule="auto"/>
              <w:jc w:val="both"/>
              <w:rPr>
                <w:lang w:val="en-US"/>
              </w:rPr>
            </w:pPr>
            <w:r w:rsidRPr="00F26ECE">
              <w:rPr>
                <w:rFonts w:cstheme="minorHAnsi"/>
                <w:b/>
                <w:bCs/>
                <w:color w:val="185262"/>
                <w:lang w:val="en-US"/>
              </w:rPr>
              <w:t>Management response</w:t>
            </w:r>
            <w:r w:rsidRPr="00F26ECE">
              <w:rPr>
                <w:rFonts w:cstheme="minorHAnsi"/>
                <w:color w:val="185262"/>
                <w:lang w:val="en-US"/>
              </w:rPr>
              <w:t>:</w:t>
            </w:r>
            <w:r w:rsidR="00681236" w:rsidRPr="00F26ECE">
              <w:rPr>
                <w:rFonts w:cstheme="minorHAnsi"/>
                <w:color w:val="185262"/>
                <w:lang w:val="en-US"/>
              </w:rPr>
              <w:t xml:space="preserve"> </w:t>
            </w:r>
            <w:r w:rsidR="00F26ECE" w:rsidRPr="00F26ECE">
              <w:rPr>
                <w:lang w:val="en-US"/>
              </w:rPr>
              <w:t xml:space="preserve">The Office has been supporting various initiatives in the northern region, both directly </w:t>
            </w:r>
            <w:r w:rsidR="00B952FF">
              <w:rPr>
                <w:lang w:val="en-US"/>
              </w:rPr>
              <w:t xml:space="preserve">and </w:t>
            </w:r>
            <w:r w:rsidR="006074EC">
              <w:rPr>
                <w:lang w:val="en-US"/>
              </w:rPr>
              <w:t xml:space="preserve">together </w:t>
            </w:r>
            <w:r w:rsidR="00F26ECE" w:rsidRPr="00F26ECE">
              <w:rPr>
                <w:lang w:val="en-US"/>
              </w:rPr>
              <w:t xml:space="preserve">with </w:t>
            </w:r>
            <w:r w:rsidR="00804936">
              <w:rPr>
                <w:lang w:val="en-US"/>
              </w:rPr>
              <w:t xml:space="preserve">the </w:t>
            </w:r>
            <w:r w:rsidR="00F26ECE" w:rsidRPr="00F26ECE">
              <w:rPr>
                <w:lang w:val="en-US"/>
              </w:rPr>
              <w:t>sub-national governments</w:t>
            </w:r>
            <w:r w:rsidR="001F01AA" w:rsidRPr="00F26ECE">
              <w:rPr>
                <w:lang w:val="en-US"/>
              </w:rPr>
              <w:t>:</w:t>
            </w:r>
          </w:p>
          <w:p w14:paraId="1E8CE491" w14:textId="4B80A6A3" w:rsidR="001F01AA" w:rsidRPr="008A2C66" w:rsidRDefault="001F01AA" w:rsidP="001F01AA">
            <w:pPr>
              <w:tabs>
                <w:tab w:val="left" w:pos="1985"/>
              </w:tabs>
              <w:spacing w:after="0" w:line="240" w:lineRule="auto"/>
              <w:ind w:left="697"/>
              <w:rPr>
                <w:color w:val="000000"/>
                <w:lang w:val="es-AR" w:eastAsia="es-AR"/>
              </w:rPr>
            </w:pPr>
            <w:r w:rsidRPr="008A2C66">
              <w:rPr>
                <w:color w:val="000000"/>
                <w:lang w:val="es-AR" w:eastAsia="es-AR"/>
              </w:rPr>
              <w:t>1. Fortalecimiento del Modelo de Gestión de Salud en la provincia de Santiago del Estero</w:t>
            </w:r>
            <w:r w:rsidR="006E324E" w:rsidRPr="008A2C66">
              <w:rPr>
                <w:color w:val="000000"/>
                <w:lang w:val="es-AR" w:eastAsia="es-AR"/>
              </w:rPr>
              <w:t xml:space="preserve"> (#90371)</w:t>
            </w:r>
            <w:r w:rsidRPr="008A2C66">
              <w:rPr>
                <w:color w:val="000000"/>
                <w:lang w:val="es-AR" w:eastAsia="es-AR"/>
              </w:rPr>
              <w:t xml:space="preserve">; </w:t>
            </w:r>
          </w:p>
          <w:p w14:paraId="32BB82BC" w14:textId="20FAD167" w:rsidR="001F01AA" w:rsidRPr="008A2C66" w:rsidRDefault="001F01AA" w:rsidP="001F01AA">
            <w:pPr>
              <w:tabs>
                <w:tab w:val="left" w:pos="1985"/>
              </w:tabs>
              <w:spacing w:after="0" w:line="240" w:lineRule="auto"/>
              <w:ind w:left="697"/>
              <w:rPr>
                <w:color w:val="000000"/>
                <w:lang w:val="es-AR" w:eastAsia="es-AR"/>
              </w:rPr>
            </w:pPr>
            <w:r w:rsidRPr="008A2C66">
              <w:rPr>
                <w:color w:val="000000"/>
                <w:lang w:val="es-AR" w:eastAsia="es-AR"/>
              </w:rPr>
              <w:t xml:space="preserve">2. Programa </w:t>
            </w:r>
            <w:r w:rsidR="00286D75" w:rsidRPr="008A2C66">
              <w:rPr>
                <w:color w:val="000000"/>
                <w:lang w:val="es-AR" w:eastAsia="es-AR"/>
              </w:rPr>
              <w:t xml:space="preserve">de </w:t>
            </w:r>
            <w:r w:rsidRPr="008A2C66">
              <w:rPr>
                <w:color w:val="000000"/>
                <w:lang w:val="es-AR" w:eastAsia="es-AR"/>
              </w:rPr>
              <w:t>Robótica</w:t>
            </w:r>
            <w:r w:rsidR="00286D75" w:rsidRPr="008A2C66">
              <w:rPr>
                <w:color w:val="000000"/>
                <w:lang w:val="es-AR" w:eastAsia="es-AR"/>
              </w:rPr>
              <w:t xml:space="preserve"> y Tecnología</w:t>
            </w:r>
            <w:r w:rsidRPr="008A2C66">
              <w:rPr>
                <w:color w:val="000000"/>
                <w:lang w:val="es-AR" w:eastAsia="es-AR"/>
              </w:rPr>
              <w:t xml:space="preserve"> para Educar en la provincia de Salta</w:t>
            </w:r>
            <w:r w:rsidR="006E324E" w:rsidRPr="008A2C66">
              <w:rPr>
                <w:color w:val="000000"/>
                <w:lang w:val="es-AR" w:eastAsia="es-AR"/>
              </w:rPr>
              <w:t xml:space="preserve"> </w:t>
            </w:r>
            <w:r w:rsidR="00E43C6F" w:rsidRPr="008A2C66">
              <w:rPr>
                <w:color w:val="000000"/>
                <w:lang w:val="es-AR" w:eastAsia="es-AR"/>
              </w:rPr>
              <w:t>(#1</w:t>
            </w:r>
            <w:r w:rsidR="00584B23" w:rsidRPr="008A2C66">
              <w:rPr>
                <w:color w:val="000000"/>
                <w:lang w:val="es-AR" w:eastAsia="es-AR"/>
              </w:rPr>
              <w:t>21246</w:t>
            </w:r>
            <w:r w:rsidR="00E43C6F" w:rsidRPr="008A2C66">
              <w:rPr>
                <w:color w:val="000000"/>
                <w:lang w:val="es-AR" w:eastAsia="es-AR"/>
              </w:rPr>
              <w:t>)</w:t>
            </w:r>
            <w:r w:rsidRPr="008A2C66">
              <w:rPr>
                <w:color w:val="000000"/>
                <w:lang w:val="es-AR" w:eastAsia="es-AR"/>
              </w:rPr>
              <w:t>;</w:t>
            </w:r>
          </w:p>
          <w:p w14:paraId="7AD85FFF" w14:textId="486FEB0A" w:rsidR="001F01AA" w:rsidRPr="008A2C66" w:rsidRDefault="001F01AA" w:rsidP="001F01AA">
            <w:pPr>
              <w:tabs>
                <w:tab w:val="left" w:pos="1985"/>
              </w:tabs>
              <w:spacing w:after="0" w:line="240" w:lineRule="auto"/>
              <w:ind w:left="697"/>
              <w:rPr>
                <w:color w:val="000000"/>
                <w:lang w:val="es-AR" w:eastAsia="es-AR"/>
              </w:rPr>
            </w:pPr>
            <w:r w:rsidRPr="008A2C66">
              <w:rPr>
                <w:color w:val="000000"/>
                <w:lang w:val="es-AR" w:eastAsia="es-AR"/>
              </w:rPr>
              <w:t>3. Microempresas para mujeres jefas de hogar en la provincia de Salta</w:t>
            </w:r>
            <w:r w:rsidR="00E43C6F" w:rsidRPr="008A2C66">
              <w:rPr>
                <w:color w:val="000000"/>
                <w:lang w:val="es-AR" w:eastAsia="es-AR"/>
              </w:rPr>
              <w:t xml:space="preserve"> (#112468)</w:t>
            </w:r>
            <w:r w:rsidRPr="008A2C66">
              <w:rPr>
                <w:color w:val="000000"/>
                <w:lang w:val="es-AR" w:eastAsia="es-AR"/>
              </w:rPr>
              <w:t xml:space="preserve">; </w:t>
            </w:r>
          </w:p>
          <w:p w14:paraId="2A9D55BF" w14:textId="2956EB5D" w:rsidR="001F01AA" w:rsidRPr="008A2C66" w:rsidRDefault="001F01AA" w:rsidP="001F01AA">
            <w:pPr>
              <w:tabs>
                <w:tab w:val="left" w:pos="1985"/>
              </w:tabs>
              <w:spacing w:after="0" w:line="240" w:lineRule="auto"/>
              <w:ind w:left="697"/>
              <w:rPr>
                <w:lang w:val="es-AR"/>
              </w:rPr>
            </w:pPr>
            <w:r w:rsidRPr="008A2C66">
              <w:rPr>
                <w:color w:val="000000"/>
                <w:lang w:val="es-AR" w:eastAsia="es-AR"/>
              </w:rPr>
              <w:t xml:space="preserve">4. </w:t>
            </w:r>
            <w:r w:rsidRPr="008A2C66">
              <w:rPr>
                <w:lang w:val="es-AR"/>
              </w:rPr>
              <w:t>Implementación de Sistemas de Control para la Producción Orgánica de Quinoa en Jujuy</w:t>
            </w:r>
            <w:r w:rsidR="00584B23" w:rsidRPr="008A2C66">
              <w:rPr>
                <w:lang w:val="es-AR"/>
              </w:rPr>
              <w:t xml:space="preserve"> </w:t>
            </w:r>
            <w:r w:rsidR="00584B23" w:rsidRPr="008A2C66">
              <w:rPr>
                <w:color w:val="000000"/>
                <w:lang w:val="es-AR" w:eastAsia="es-AR"/>
              </w:rPr>
              <w:t>(#70262)</w:t>
            </w:r>
            <w:r w:rsidRPr="008A2C66">
              <w:rPr>
                <w:lang w:val="es-AR"/>
              </w:rPr>
              <w:t xml:space="preserve">; </w:t>
            </w:r>
          </w:p>
          <w:p w14:paraId="27CFE6FB" w14:textId="7DF41600" w:rsidR="001F01AA" w:rsidRPr="008A2C66" w:rsidRDefault="001F01AA" w:rsidP="001F01AA">
            <w:pPr>
              <w:tabs>
                <w:tab w:val="left" w:pos="1985"/>
              </w:tabs>
              <w:spacing w:after="0" w:line="240" w:lineRule="auto"/>
              <w:ind w:left="697"/>
              <w:rPr>
                <w:lang w:val="es-AR"/>
              </w:rPr>
            </w:pPr>
            <w:r w:rsidRPr="008A2C66">
              <w:rPr>
                <w:lang w:val="es-AR"/>
              </w:rPr>
              <w:t>5. Aprovechamiento, transformación y comercialización de pieles con curtido ecológico en Yala, Jujuy</w:t>
            </w:r>
            <w:r w:rsidR="00AE3255" w:rsidRPr="008A2C66">
              <w:rPr>
                <w:lang w:val="es-AR"/>
              </w:rPr>
              <w:t xml:space="preserve"> </w:t>
            </w:r>
            <w:r w:rsidR="00AE3255" w:rsidRPr="008A2C66">
              <w:rPr>
                <w:color w:val="000000"/>
                <w:lang w:val="es-AR" w:eastAsia="es-AR"/>
              </w:rPr>
              <w:t>(#113</w:t>
            </w:r>
            <w:r w:rsidR="006C0C7A" w:rsidRPr="008A2C66">
              <w:rPr>
                <w:color w:val="000000"/>
                <w:lang w:val="es-AR" w:eastAsia="es-AR"/>
              </w:rPr>
              <w:t>198</w:t>
            </w:r>
            <w:r w:rsidR="00AE3255" w:rsidRPr="008A2C66">
              <w:rPr>
                <w:color w:val="000000"/>
                <w:lang w:val="es-AR" w:eastAsia="es-AR"/>
              </w:rPr>
              <w:t>)</w:t>
            </w:r>
            <w:r w:rsidRPr="008A2C66">
              <w:rPr>
                <w:lang w:val="es-AR"/>
              </w:rPr>
              <w:t xml:space="preserve">; </w:t>
            </w:r>
          </w:p>
          <w:p w14:paraId="4C960DAB" w14:textId="4D37D3D3" w:rsidR="00AD0DEA" w:rsidRPr="008A2C66" w:rsidRDefault="00AD0DEA" w:rsidP="001F01AA">
            <w:pPr>
              <w:tabs>
                <w:tab w:val="left" w:pos="1985"/>
              </w:tabs>
              <w:spacing w:after="0" w:line="240" w:lineRule="auto"/>
              <w:ind w:left="697"/>
              <w:rPr>
                <w:lang w:val="es-AR"/>
              </w:rPr>
            </w:pPr>
            <w:r w:rsidRPr="008A2C66">
              <w:rPr>
                <w:lang w:val="es-AR"/>
              </w:rPr>
              <w:t>6.</w:t>
            </w:r>
            <w:r w:rsidR="003B2328" w:rsidRPr="008A2C66">
              <w:rPr>
                <w:lang w:val="es-AR"/>
              </w:rPr>
              <w:t xml:space="preserve"> Fortalecimiento de la Gestión Municipal y Generación de Proyectos de Infraestructura en la provincia de Corrientes</w:t>
            </w:r>
            <w:r w:rsidR="006C0C7A" w:rsidRPr="008A2C66">
              <w:rPr>
                <w:lang w:val="es-AR"/>
              </w:rPr>
              <w:t xml:space="preserve"> </w:t>
            </w:r>
            <w:r w:rsidR="006C0C7A" w:rsidRPr="008A2C66">
              <w:rPr>
                <w:color w:val="000000"/>
                <w:lang w:val="es-AR" w:eastAsia="es-AR"/>
              </w:rPr>
              <w:t>(#61281)</w:t>
            </w:r>
            <w:r w:rsidR="003B2328" w:rsidRPr="008A2C66">
              <w:rPr>
                <w:lang w:val="es-AR"/>
              </w:rPr>
              <w:t>;</w:t>
            </w:r>
          </w:p>
          <w:p w14:paraId="6B863F44" w14:textId="4C0A2DBF" w:rsidR="001F01AA" w:rsidRPr="008A2C66" w:rsidRDefault="00AD0DEA" w:rsidP="001F01AA">
            <w:pPr>
              <w:tabs>
                <w:tab w:val="left" w:pos="1985"/>
              </w:tabs>
              <w:spacing w:after="0" w:line="240" w:lineRule="auto"/>
              <w:ind w:left="697"/>
              <w:rPr>
                <w:color w:val="000000"/>
                <w:lang w:val="es-AR" w:eastAsia="es-AR"/>
              </w:rPr>
            </w:pPr>
            <w:r w:rsidRPr="008A2C66">
              <w:rPr>
                <w:lang w:val="es-AR"/>
              </w:rPr>
              <w:t>7</w:t>
            </w:r>
            <w:r w:rsidR="001F01AA" w:rsidRPr="008A2C66">
              <w:rPr>
                <w:lang w:val="es-AR"/>
              </w:rPr>
              <w:t xml:space="preserve">. </w:t>
            </w:r>
            <w:r w:rsidR="001F01AA" w:rsidRPr="008A2C66">
              <w:rPr>
                <w:color w:val="000000"/>
                <w:lang w:val="es-AR" w:eastAsia="es-AR"/>
              </w:rPr>
              <w:t>Iniciativa Spotlight para eliminación del femicidio en las provincias de Salta y Jujuy</w:t>
            </w:r>
            <w:r w:rsidR="006E0D64" w:rsidRPr="008A2C66">
              <w:rPr>
                <w:color w:val="000000"/>
                <w:lang w:val="es-AR" w:eastAsia="es-AR"/>
              </w:rPr>
              <w:t xml:space="preserve"> (#117570)</w:t>
            </w:r>
            <w:r w:rsidR="001F01AA" w:rsidRPr="008A2C66">
              <w:rPr>
                <w:color w:val="000000"/>
                <w:lang w:val="es-AR" w:eastAsia="es-AR"/>
              </w:rPr>
              <w:t xml:space="preserve">. </w:t>
            </w:r>
          </w:p>
          <w:p w14:paraId="4E665550" w14:textId="77777777" w:rsidR="00033E8D" w:rsidRPr="008A2C66" w:rsidRDefault="00033E8D" w:rsidP="001F01AA">
            <w:pPr>
              <w:tabs>
                <w:tab w:val="left" w:pos="1985"/>
              </w:tabs>
              <w:spacing w:after="0" w:line="240" w:lineRule="auto"/>
              <w:ind w:left="697"/>
              <w:rPr>
                <w:color w:val="000000"/>
                <w:lang w:val="es-AR" w:eastAsia="es-AR"/>
              </w:rPr>
            </w:pPr>
          </w:p>
          <w:p w14:paraId="1910B417" w14:textId="5DFA8105" w:rsidR="006E67B9" w:rsidRPr="00E47287" w:rsidRDefault="00AB4C91" w:rsidP="00831F03">
            <w:pPr>
              <w:tabs>
                <w:tab w:val="left" w:pos="1080"/>
              </w:tabs>
              <w:spacing w:after="0" w:line="240" w:lineRule="auto"/>
              <w:jc w:val="both"/>
              <w:rPr>
                <w:rFonts w:cstheme="minorHAnsi"/>
                <w:color w:val="185262"/>
                <w:lang w:val="en-US"/>
              </w:rPr>
            </w:pPr>
            <w:r>
              <w:rPr>
                <w:lang w:val="en-US"/>
              </w:rPr>
              <w:t>Moreover, the CO supports in</w:t>
            </w:r>
            <w:r w:rsidR="00BC4303" w:rsidRPr="00BC4303">
              <w:rPr>
                <w:lang w:val="en-US"/>
              </w:rPr>
              <w:t xml:space="preserve">directly through </w:t>
            </w:r>
            <w:r w:rsidR="006074EC">
              <w:rPr>
                <w:lang w:val="en-US"/>
              </w:rPr>
              <w:t>P</w:t>
            </w:r>
            <w:r w:rsidR="00BC4303" w:rsidRPr="00BC4303">
              <w:rPr>
                <w:lang w:val="en-US"/>
              </w:rPr>
              <w:t xml:space="preserve">rojects </w:t>
            </w:r>
            <w:r w:rsidR="00C87B8C" w:rsidRPr="00BC4303">
              <w:rPr>
                <w:lang w:val="en-US"/>
              </w:rPr>
              <w:t>execut</w:t>
            </w:r>
            <w:r w:rsidR="00C87B8C">
              <w:rPr>
                <w:lang w:val="en-US"/>
              </w:rPr>
              <w:t xml:space="preserve">ed with </w:t>
            </w:r>
            <w:r w:rsidR="00BC4303" w:rsidRPr="00BC4303">
              <w:rPr>
                <w:lang w:val="en-US"/>
              </w:rPr>
              <w:t xml:space="preserve">the national government </w:t>
            </w:r>
            <w:r w:rsidR="00D059A4">
              <w:rPr>
                <w:lang w:val="en-US"/>
              </w:rPr>
              <w:t>that have an</w:t>
            </w:r>
            <w:r w:rsidR="00BC4303" w:rsidRPr="00BC4303">
              <w:rPr>
                <w:lang w:val="en-US"/>
              </w:rPr>
              <w:t xml:space="preserve"> implementation in the provinces:</w:t>
            </w:r>
            <w:r w:rsidR="00925491" w:rsidRPr="00E47287">
              <w:rPr>
                <w:lang w:val="en-US"/>
              </w:rPr>
              <w:t xml:space="preserve"> </w:t>
            </w:r>
          </w:p>
          <w:p w14:paraId="567B18C2" w14:textId="3C0853AC" w:rsidR="00CA6D33" w:rsidRPr="008A2C66" w:rsidRDefault="00873DE5" w:rsidP="00831F03">
            <w:pPr>
              <w:tabs>
                <w:tab w:val="left" w:pos="1985"/>
              </w:tabs>
              <w:spacing w:after="0" w:line="240" w:lineRule="auto"/>
              <w:ind w:left="700"/>
              <w:rPr>
                <w:color w:val="000000"/>
                <w:lang w:val="es-AR" w:eastAsia="es-AR"/>
              </w:rPr>
            </w:pPr>
            <w:r w:rsidRPr="008A2C66">
              <w:rPr>
                <w:color w:val="000000"/>
                <w:lang w:val="es-AR" w:eastAsia="es-AR"/>
              </w:rPr>
              <w:t>1. Plan Nacional para la Prevención y Reducción del Embarazo No Intencional en la Adolescencia</w:t>
            </w:r>
            <w:r w:rsidR="00E75805" w:rsidRPr="008A2C66">
              <w:rPr>
                <w:color w:val="000000"/>
                <w:lang w:val="es-AR" w:eastAsia="es-AR"/>
              </w:rPr>
              <w:t xml:space="preserve"> (#107433)</w:t>
            </w:r>
            <w:r w:rsidRPr="008A2C66">
              <w:rPr>
                <w:color w:val="000000"/>
                <w:lang w:val="es-AR" w:eastAsia="es-AR"/>
              </w:rPr>
              <w:t xml:space="preserve">; </w:t>
            </w:r>
          </w:p>
          <w:p w14:paraId="61BC68F7" w14:textId="112572CE" w:rsidR="00CA6D33" w:rsidRPr="008A2C66" w:rsidRDefault="00873DE5" w:rsidP="00831F03">
            <w:pPr>
              <w:tabs>
                <w:tab w:val="left" w:pos="1985"/>
              </w:tabs>
              <w:spacing w:after="0" w:line="240" w:lineRule="auto"/>
              <w:ind w:left="700"/>
              <w:rPr>
                <w:color w:val="000000"/>
                <w:lang w:val="es-AR" w:eastAsia="es-AR"/>
              </w:rPr>
            </w:pPr>
            <w:r w:rsidRPr="008A2C66">
              <w:rPr>
                <w:color w:val="000000"/>
                <w:lang w:val="es-AR" w:eastAsia="es-AR"/>
              </w:rPr>
              <w:t>2. Plan Nacional de Primera Infancia</w:t>
            </w:r>
            <w:r w:rsidR="00090A5B" w:rsidRPr="008A2C66">
              <w:rPr>
                <w:color w:val="000000"/>
                <w:lang w:val="es-AR" w:eastAsia="es-AR"/>
              </w:rPr>
              <w:t xml:space="preserve"> (#97461)</w:t>
            </w:r>
            <w:r w:rsidRPr="008A2C66">
              <w:rPr>
                <w:color w:val="000000"/>
                <w:lang w:val="es-AR" w:eastAsia="es-AR"/>
              </w:rPr>
              <w:t xml:space="preserve">; </w:t>
            </w:r>
          </w:p>
          <w:p w14:paraId="55D40962" w14:textId="6BD82841" w:rsidR="00CA6D33" w:rsidRPr="008A2C66" w:rsidRDefault="00873DE5" w:rsidP="00831F03">
            <w:pPr>
              <w:tabs>
                <w:tab w:val="left" w:pos="1985"/>
              </w:tabs>
              <w:spacing w:after="0" w:line="240" w:lineRule="auto"/>
              <w:ind w:left="700"/>
              <w:rPr>
                <w:color w:val="000000"/>
                <w:lang w:val="es-AR" w:eastAsia="es-AR"/>
              </w:rPr>
            </w:pPr>
            <w:r w:rsidRPr="008A2C66">
              <w:rPr>
                <w:color w:val="000000"/>
                <w:lang w:val="es-AR" w:eastAsia="es-AR"/>
              </w:rPr>
              <w:t>3. Gestión de la Política Alimentaria</w:t>
            </w:r>
            <w:r w:rsidR="00090A5B" w:rsidRPr="008A2C66">
              <w:rPr>
                <w:color w:val="000000"/>
                <w:lang w:val="es-AR" w:eastAsia="es-AR"/>
              </w:rPr>
              <w:t xml:space="preserve"> (#</w:t>
            </w:r>
            <w:r w:rsidR="00D4578B" w:rsidRPr="008A2C66">
              <w:rPr>
                <w:color w:val="000000"/>
                <w:lang w:val="es-AR" w:eastAsia="es-AR"/>
              </w:rPr>
              <w:t>66602</w:t>
            </w:r>
            <w:r w:rsidR="00090A5B" w:rsidRPr="008A2C66">
              <w:rPr>
                <w:color w:val="000000"/>
                <w:lang w:val="es-AR" w:eastAsia="es-AR"/>
              </w:rPr>
              <w:t>)</w:t>
            </w:r>
            <w:r w:rsidRPr="008A2C66">
              <w:rPr>
                <w:color w:val="000000"/>
                <w:lang w:val="es-AR" w:eastAsia="es-AR"/>
              </w:rPr>
              <w:t xml:space="preserve">; </w:t>
            </w:r>
          </w:p>
          <w:p w14:paraId="32B0D2E7" w14:textId="7A689121" w:rsidR="00CA6D33" w:rsidRPr="008A2C66" w:rsidRDefault="00873DE5" w:rsidP="00831F03">
            <w:pPr>
              <w:tabs>
                <w:tab w:val="left" w:pos="1985"/>
              </w:tabs>
              <w:spacing w:after="0" w:line="240" w:lineRule="auto"/>
              <w:ind w:left="700"/>
              <w:rPr>
                <w:color w:val="000000"/>
                <w:lang w:val="es-AR" w:eastAsia="es-AR"/>
              </w:rPr>
            </w:pPr>
            <w:r w:rsidRPr="008A2C66">
              <w:rPr>
                <w:color w:val="000000"/>
                <w:lang w:val="es-AR" w:eastAsia="es-AR"/>
              </w:rPr>
              <w:t>4. Diseño de Redes de Banda Ancha</w:t>
            </w:r>
            <w:r w:rsidR="00D4578B" w:rsidRPr="008A2C66">
              <w:rPr>
                <w:color w:val="000000"/>
                <w:lang w:val="es-AR" w:eastAsia="es-AR"/>
              </w:rPr>
              <w:t xml:space="preserve"> (#97344)</w:t>
            </w:r>
            <w:r w:rsidRPr="008A2C66">
              <w:rPr>
                <w:color w:val="000000"/>
                <w:lang w:val="es-AR" w:eastAsia="es-AR"/>
              </w:rPr>
              <w:t xml:space="preserve">; </w:t>
            </w:r>
          </w:p>
          <w:p w14:paraId="088753FA" w14:textId="48026610" w:rsidR="00CA6D33" w:rsidRPr="008A2C66" w:rsidRDefault="00873DE5" w:rsidP="00831F03">
            <w:pPr>
              <w:tabs>
                <w:tab w:val="left" w:pos="1985"/>
              </w:tabs>
              <w:spacing w:after="0" w:line="240" w:lineRule="auto"/>
              <w:ind w:left="700"/>
              <w:rPr>
                <w:color w:val="000000"/>
                <w:lang w:val="es-AR" w:eastAsia="es-AR"/>
              </w:rPr>
            </w:pPr>
            <w:r w:rsidRPr="008A2C66">
              <w:rPr>
                <w:color w:val="000000"/>
                <w:lang w:val="es-AR" w:eastAsia="es-AR"/>
              </w:rPr>
              <w:t>5. Acceso a Justicia</w:t>
            </w:r>
            <w:r w:rsidR="00623417" w:rsidRPr="008A2C66">
              <w:rPr>
                <w:color w:val="000000"/>
                <w:lang w:val="es-AR" w:eastAsia="es-AR"/>
              </w:rPr>
              <w:t xml:space="preserve"> (#99891)</w:t>
            </w:r>
            <w:r w:rsidRPr="008A2C66">
              <w:rPr>
                <w:color w:val="000000"/>
                <w:lang w:val="es-AR" w:eastAsia="es-AR"/>
              </w:rPr>
              <w:t xml:space="preserve">; </w:t>
            </w:r>
          </w:p>
          <w:p w14:paraId="63AA4D52" w14:textId="4E5F3B63" w:rsidR="00831F03" w:rsidRPr="008A2C66" w:rsidRDefault="00873DE5" w:rsidP="00831F03">
            <w:pPr>
              <w:tabs>
                <w:tab w:val="left" w:pos="1985"/>
              </w:tabs>
              <w:spacing w:after="0" w:line="240" w:lineRule="auto"/>
              <w:ind w:left="700"/>
              <w:rPr>
                <w:color w:val="000000"/>
                <w:lang w:val="es-AR" w:eastAsia="es-AR"/>
              </w:rPr>
            </w:pPr>
            <w:r w:rsidRPr="008A2C66">
              <w:rPr>
                <w:color w:val="000000"/>
                <w:lang w:val="es-AR" w:eastAsia="es-AR"/>
              </w:rPr>
              <w:t>6. Sistemas Productivos Locales</w:t>
            </w:r>
            <w:r w:rsidR="00623417" w:rsidRPr="008A2C66">
              <w:rPr>
                <w:color w:val="000000"/>
                <w:lang w:val="es-AR" w:eastAsia="es-AR"/>
              </w:rPr>
              <w:t xml:space="preserve"> (#66509)</w:t>
            </w:r>
            <w:r w:rsidRPr="008A2C66">
              <w:rPr>
                <w:color w:val="000000"/>
                <w:lang w:val="es-AR" w:eastAsia="es-AR"/>
              </w:rPr>
              <w:t>;</w:t>
            </w:r>
          </w:p>
          <w:p w14:paraId="163C35B3" w14:textId="28535C32" w:rsidR="00831F03" w:rsidRPr="008A2C66" w:rsidRDefault="00873DE5" w:rsidP="00831F03">
            <w:pPr>
              <w:tabs>
                <w:tab w:val="left" w:pos="1985"/>
              </w:tabs>
              <w:spacing w:after="0" w:line="240" w:lineRule="auto"/>
              <w:ind w:left="700"/>
              <w:rPr>
                <w:color w:val="000000"/>
                <w:lang w:val="es-AR" w:eastAsia="es-AR"/>
              </w:rPr>
            </w:pPr>
            <w:r w:rsidRPr="008A2C66">
              <w:rPr>
                <w:color w:val="000000"/>
                <w:lang w:val="es-AR" w:eastAsia="es-AR"/>
              </w:rPr>
              <w:lastRenderedPageBreak/>
              <w:t>7. Programa de Emprendedorismo</w:t>
            </w:r>
            <w:r w:rsidR="00B92E3A" w:rsidRPr="008A2C66">
              <w:rPr>
                <w:color w:val="000000"/>
                <w:lang w:val="es-AR" w:eastAsia="es-AR"/>
              </w:rPr>
              <w:t xml:space="preserve"> (#96925)</w:t>
            </w:r>
            <w:r w:rsidRPr="008A2C66">
              <w:rPr>
                <w:color w:val="000000"/>
                <w:lang w:val="es-AR" w:eastAsia="es-AR"/>
              </w:rPr>
              <w:t xml:space="preserve">; </w:t>
            </w:r>
          </w:p>
          <w:p w14:paraId="4BD479DE" w14:textId="72698151" w:rsidR="00831F03" w:rsidRPr="008A2C66" w:rsidRDefault="00873DE5" w:rsidP="00831F03">
            <w:pPr>
              <w:tabs>
                <w:tab w:val="left" w:pos="1985"/>
              </w:tabs>
              <w:spacing w:after="0" w:line="240" w:lineRule="auto"/>
              <w:ind w:left="700"/>
              <w:rPr>
                <w:color w:val="000000"/>
                <w:lang w:val="es-AR" w:eastAsia="es-AR"/>
              </w:rPr>
            </w:pPr>
            <w:r w:rsidRPr="008A2C66">
              <w:rPr>
                <w:color w:val="000000"/>
                <w:lang w:val="es-AR" w:eastAsia="es-AR"/>
              </w:rPr>
              <w:t>8. Uso sostenible de la Biodiversidad</w:t>
            </w:r>
            <w:r w:rsidR="00E30C0D" w:rsidRPr="008A2C66">
              <w:rPr>
                <w:color w:val="000000"/>
                <w:lang w:val="es-AR" w:eastAsia="es-AR"/>
              </w:rPr>
              <w:t xml:space="preserve"> (#</w:t>
            </w:r>
            <w:r w:rsidR="00001224" w:rsidRPr="008A2C66">
              <w:rPr>
                <w:color w:val="000000"/>
                <w:lang w:val="es-AR" w:eastAsia="es-AR"/>
              </w:rPr>
              <w:t>85129</w:t>
            </w:r>
            <w:r w:rsidR="00E30C0D" w:rsidRPr="008A2C66">
              <w:rPr>
                <w:color w:val="000000"/>
                <w:lang w:val="es-AR" w:eastAsia="es-AR"/>
              </w:rPr>
              <w:t>)</w:t>
            </w:r>
            <w:r w:rsidRPr="008A2C66">
              <w:rPr>
                <w:color w:val="000000"/>
                <w:lang w:val="es-AR" w:eastAsia="es-AR"/>
              </w:rPr>
              <w:t xml:space="preserve">; </w:t>
            </w:r>
          </w:p>
          <w:p w14:paraId="03623E3B" w14:textId="03EFD6DF" w:rsidR="00831F03" w:rsidRPr="008A2C66" w:rsidRDefault="00873DE5" w:rsidP="00831F03">
            <w:pPr>
              <w:tabs>
                <w:tab w:val="left" w:pos="1985"/>
              </w:tabs>
              <w:spacing w:after="0" w:line="240" w:lineRule="auto"/>
              <w:ind w:left="700"/>
              <w:rPr>
                <w:color w:val="000000"/>
                <w:lang w:val="es-AR" w:eastAsia="es-AR"/>
              </w:rPr>
            </w:pPr>
            <w:r w:rsidRPr="008A2C66">
              <w:rPr>
                <w:color w:val="000000"/>
                <w:lang w:val="es-AR" w:eastAsia="es-AR"/>
              </w:rPr>
              <w:t>9. Manejo Sustentable de Tierras en las Zonas Secas del Noroeste</w:t>
            </w:r>
            <w:r w:rsidR="00A944AE" w:rsidRPr="008A2C66">
              <w:rPr>
                <w:color w:val="000000"/>
                <w:lang w:val="es-AR" w:eastAsia="es-AR"/>
              </w:rPr>
              <w:t xml:space="preserve"> (#80382)</w:t>
            </w:r>
            <w:r w:rsidRPr="008A2C66">
              <w:rPr>
                <w:color w:val="000000"/>
                <w:lang w:val="es-AR" w:eastAsia="es-AR"/>
              </w:rPr>
              <w:t xml:space="preserve">; </w:t>
            </w:r>
          </w:p>
          <w:p w14:paraId="0DFCD6CA" w14:textId="6F2B0155" w:rsidR="00831F03" w:rsidRPr="008A2C66" w:rsidRDefault="00873DE5" w:rsidP="0089392D">
            <w:pPr>
              <w:tabs>
                <w:tab w:val="left" w:pos="1985"/>
              </w:tabs>
              <w:spacing w:after="0" w:line="240" w:lineRule="auto"/>
              <w:ind w:left="700"/>
              <w:rPr>
                <w:color w:val="000000"/>
                <w:lang w:val="es-AR" w:eastAsia="es-AR"/>
              </w:rPr>
            </w:pPr>
            <w:r w:rsidRPr="008A2C66">
              <w:rPr>
                <w:color w:val="000000"/>
                <w:lang w:val="es-AR" w:eastAsia="es-AR"/>
              </w:rPr>
              <w:t>10. Manejo Forestal Sostenible en el Gran Chaco Americano</w:t>
            </w:r>
            <w:r w:rsidR="009D7F9B" w:rsidRPr="008A2C66">
              <w:rPr>
                <w:color w:val="000000"/>
                <w:lang w:val="es-AR" w:eastAsia="es-AR"/>
              </w:rPr>
              <w:t xml:space="preserve"> (#59495)</w:t>
            </w:r>
            <w:r w:rsidRPr="008A2C66">
              <w:rPr>
                <w:color w:val="000000"/>
                <w:lang w:val="es-AR" w:eastAsia="es-AR"/>
              </w:rPr>
              <w:t xml:space="preserve">; </w:t>
            </w:r>
          </w:p>
          <w:p w14:paraId="6BED3875" w14:textId="0D996223" w:rsidR="00831F03" w:rsidRPr="008A2C66" w:rsidRDefault="00873DE5" w:rsidP="00F66D9D">
            <w:pPr>
              <w:tabs>
                <w:tab w:val="left" w:pos="1985"/>
              </w:tabs>
              <w:spacing w:after="0" w:line="240" w:lineRule="auto"/>
              <w:ind w:left="700"/>
              <w:rPr>
                <w:color w:val="000000"/>
                <w:lang w:val="es-AR" w:eastAsia="es-AR"/>
              </w:rPr>
            </w:pPr>
            <w:r w:rsidRPr="008A2C66">
              <w:rPr>
                <w:color w:val="000000"/>
                <w:lang w:val="es-AR" w:eastAsia="es-AR"/>
              </w:rPr>
              <w:t>1</w:t>
            </w:r>
            <w:r w:rsidR="0089392D" w:rsidRPr="008A2C66">
              <w:rPr>
                <w:color w:val="000000"/>
                <w:lang w:val="es-AR" w:eastAsia="es-AR"/>
              </w:rPr>
              <w:t>1</w:t>
            </w:r>
            <w:r w:rsidRPr="008A2C66">
              <w:rPr>
                <w:color w:val="000000"/>
                <w:lang w:val="es-AR" w:eastAsia="es-AR"/>
              </w:rPr>
              <w:t>. Implementación de la Ley de Bosques</w:t>
            </w:r>
            <w:r w:rsidR="00FA06F2" w:rsidRPr="008A2C66">
              <w:rPr>
                <w:color w:val="000000"/>
                <w:lang w:val="es-AR" w:eastAsia="es-AR"/>
              </w:rPr>
              <w:t xml:space="preserve"> (#69288)</w:t>
            </w:r>
            <w:r w:rsidRPr="008A2C66">
              <w:rPr>
                <w:color w:val="000000"/>
                <w:lang w:val="es-AR" w:eastAsia="es-AR"/>
              </w:rPr>
              <w:t xml:space="preserve">; </w:t>
            </w:r>
          </w:p>
          <w:p w14:paraId="7B510CC3" w14:textId="24301B42" w:rsidR="00873DE5" w:rsidRPr="00E47287" w:rsidRDefault="00873DE5" w:rsidP="00F66D9D">
            <w:pPr>
              <w:tabs>
                <w:tab w:val="left" w:pos="1985"/>
              </w:tabs>
              <w:spacing w:after="0" w:line="240" w:lineRule="auto"/>
              <w:ind w:left="700"/>
              <w:rPr>
                <w:color w:val="000000"/>
                <w:lang w:val="en-US" w:eastAsia="es-AR"/>
              </w:rPr>
            </w:pPr>
            <w:r w:rsidRPr="00E47287">
              <w:rPr>
                <w:color w:val="000000"/>
                <w:lang w:val="en-US" w:eastAsia="es-AR"/>
              </w:rPr>
              <w:t>1</w:t>
            </w:r>
            <w:r w:rsidR="0089392D">
              <w:rPr>
                <w:color w:val="000000"/>
                <w:lang w:val="en-US" w:eastAsia="es-AR"/>
              </w:rPr>
              <w:t>2</w:t>
            </w:r>
            <w:r w:rsidRPr="00E47287">
              <w:rPr>
                <w:color w:val="000000"/>
                <w:lang w:val="en-US" w:eastAsia="es-AR"/>
              </w:rPr>
              <w:t>. Bosques Nativos y Comunidad</w:t>
            </w:r>
            <w:r w:rsidR="005B0387">
              <w:rPr>
                <w:color w:val="000000"/>
                <w:lang w:val="en-US" w:eastAsia="es-AR"/>
              </w:rPr>
              <w:t xml:space="preserve"> (#</w:t>
            </w:r>
            <w:r w:rsidR="008136FC">
              <w:rPr>
                <w:color w:val="000000"/>
                <w:lang w:val="en-US" w:eastAsia="es-AR"/>
              </w:rPr>
              <w:t>90603</w:t>
            </w:r>
            <w:r w:rsidR="005B0387">
              <w:rPr>
                <w:color w:val="000000"/>
                <w:lang w:val="en-US" w:eastAsia="es-AR"/>
              </w:rPr>
              <w:t>)</w:t>
            </w:r>
            <w:r w:rsidRPr="00E47287">
              <w:rPr>
                <w:color w:val="000000"/>
                <w:lang w:val="en-US" w:eastAsia="es-AR"/>
              </w:rPr>
              <w:t>.</w:t>
            </w:r>
          </w:p>
          <w:p w14:paraId="6BECDE2D" w14:textId="77777777" w:rsidR="00F66D9D" w:rsidRPr="00E47287" w:rsidRDefault="00F66D9D" w:rsidP="00F66D9D">
            <w:pPr>
              <w:tabs>
                <w:tab w:val="left" w:pos="1985"/>
              </w:tabs>
              <w:spacing w:after="0" w:line="240" w:lineRule="auto"/>
              <w:rPr>
                <w:lang w:val="en-US"/>
              </w:rPr>
            </w:pPr>
          </w:p>
          <w:p w14:paraId="4234A433" w14:textId="0F5933EF" w:rsidR="00F66D9D" w:rsidRPr="00E47287" w:rsidRDefault="00E541AB" w:rsidP="00E541AB">
            <w:pPr>
              <w:tabs>
                <w:tab w:val="left" w:pos="1985"/>
              </w:tabs>
              <w:spacing w:after="0" w:line="240" w:lineRule="auto"/>
              <w:rPr>
                <w:lang w:val="en-US"/>
              </w:rPr>
            </w:pPr>
            <w:r w:rsidRPr="00E541AB">
              <w:rPr>
                <w:lang w:val="en-US"/>
              </w:rPr>
              <w:t xml:space="preserve">The Office will continue to prioritize the </w:t>
            </w:r>
            <w:r w:rsidR="00AD165B">
              <w:rPr>
                <w:lang w:val="en-US"/>
              </w:rPr>
              <w:t xml:space="preserve">northern </w:t>
            </w:r>
            <w:r w:rsidRPr="00E541AB">
              <w:rPr>
                <w:lang w:val="en-US"/>
              </w:rPr>
              <w:t xml:space="preserve">region through the </w:t>
            </w:r>
            <w:r>
              <w:rPr>
                <w:lang w:val="en-US"/>
              </w:rPr>
              <w:t xml:space="preserve">development of </w:t>
            </w:r>
            <w:r w:rsidR="00996B03">
              <w:rPr>
                <w:lang w:val="en-US"/>
              </w:rPr>
              <w:t xml:space="preserve">partnerships </w:t>
            </w:r>
            <w:r w:rsidRPr="00E541AB">
              <w:rPr>
                <w:lang w:val="en-US"/>
              </w:rPr>
              <w:t>and resources</w:t>
            </w:r>
            <w:r w:rsidR="00151BAF">
              <w:rPr>
                <w:lang w:val="en-US"/>
              </w:rPr>
              <w:t xml:space="preserve"> m</w:t>
            </w:r>
            <w:r w:rsidR="00151BAF" w:rsidRPr="00E541AB">
              <w:rPr>
                <w:lang w:val="en-US"/>
              </w:rPr>
              <w:t>obilization</w:t>
            </w:r>
            <w:r w:rsidRPr="00E541AB">
              <w:rPr>
                <w:lang w:val="en-US"/>
              </w:rPr>
              <w:t>, as in the current cycle.</w:t>
            </w:r>
          </w:p>
          <w:p w14:paraId="43BD0491" w14:textId="183B9E4D" w:rsidR="0023624A" w:rsidRPr="00E47287" w:rsidRDefault="0023624A" w:rsidP="0023624A">
            <w:pPr>
              <w:tabs>
                <w:tab w:val="left" w:pos="1985"/>
              </w:tabs>
              <w:spacing w:after="0" w:line="240" w:lineRule="auto"/>
              <w:rPr>
                <w:rFonts w:cstheme="minorHAnsi"/>
                <w:color w:val="185262"/>
                <w:lang w:val="en-US"/>
              </w:rPr>
            </w:pPr>
          </w:p>
        </w:tc>
      </w:tr>
      <w:tr w:rsidR="00E61BD7" w:rsidRPr="00E47287" w14:paraId="43BD0497" w14:textId="77777777" w:rsidTr="005165C9">
        <w:trPr>
          <w:trHeight w:val="135"/>
        </w:trPr>
        <w:tc>
          <w:tcPr>
            <w:tcW w:w="1790" w:type="pct"/>
            <w:vMerge w:val="restart"/>
            <w:shd w:val="clear" w:color="auto" w:fill="EAF6F3"/>
          </w:tcPr>
          <w:p w14:paraId="43BD0493"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lastRenderedPageBreak/>
              <w:t>Key action(s)</w:t>
            </w:r>
          </w:p>
        </w:tc>
        <w:tc>
          <w:tcPr>
            <w:tcW w:w="1164" w:type="pct"/>
            <w:vMerge w:val="restart"/>
            <w:shd w:val="clear" w:color="auto" w:fill="EAF6F3"/>
          </w:tcPr>
          <w:p w14:paraId="43BD0494"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Completion date</w:t>
            </w:r>
          </w:p>
        </w:tc>
        <w:tc>
          <w:tcPr>
            <w:tcW w:w="1055" w:type="pct"/>
            <w:vMerge w:val="restart"/>
            <w:shd w:val="clear" w:color="auto" w:fill="EAF6F3"/>
          </w:tcPr>
          <w:p w14:paraId="43BD0495"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Responsible unit(s)</w:t>
            </w:r>
          </w:p>
        </w:tc>
        <w:tc>
          <w:tcPr>
            <w:tcW w:w="991" w:type="pct"/>
            <w:gridSpan w:val="2"/>
            <w:shd w:val="clear" w:color="auto" w:fill="EAF6F3"/>
          </w:tcPr>
          <w:p w14:paraId="43BD0496"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Tracking</w:t>
            </w:r>
          </w:p>
        </w:tc>
      </w:tr>
      <w:tr w:rsidR="00E61BD7" w:rsidRPr="00E47287" w14:paraId="43BD049D" w14:textId="77777777" w:rsidTr="005165C9">
        <w:trPr>
          <w:trHeight w:val="135"/>
        </w:trPr>
        <w:tc>
          <w:tcPr>
            <w:tcW w:w="1790" w:type="pct"/>
            <w:vMerge/>
            <w:shd w:val="clear" w:color="auto" w:fill="F3F3F3"/>
          </w:tcPr>
          <w:p w14:paraId="43BD0498" w14:textId="77777777" w:rsidR="00E61BD7" w:rsidRPr="00E47287" w:rsidRDefault="00E61BD7" w:rsidP="00260FE5">
            <w:pPr>
              <w:tabs>
                <w:tab w:val="left" w:pos="1080"/>
              </w:tabs>
              <w:spacing w:after="0" w:line="240" w:lineRule="auto"/>
              <w:jc w:val="both"/>
              <w:rPr>
                <w:rFonts w:cstheme="minorHAnsi"/>
                <w:color w:val="185262"/>
                <w:lang w:val="en-US"/>
              </w:rPr>
            </w:pPr>
          </w:p>
        </w:tc>
        <w:tc>
          <w:tcPr>
            <w:tcW w:w="1164" w:type="pct"/>
            <w:vMerge/>
            <w:shd w:val="clear" w:color="auto" w:fill="F3F3F3"/>
          </w:tcPr>
          <w:p w14:paraId="43BD0499" w14:textId="77777777" w:rsidR="00E61BD7" w:rsidRPr="00E47287" w:rsidRDefault="00E61BD7" w:rsidP="00260FE5">
            <w:pPr>
              <w:tabs>
                <w:tab w:val="left" w:pos="1080"/>
              </w:tabs>
              <w:spacing w:after="0" w:line="240" w:lineRule="auto"/>
              <w:jc w:val="both"/>
              <w:rPr>
                <w:rFonts w:cstheme="minorHAnsi"/>
                <w:b/>
                <w:color w:val="185262"/>
                <w:lang w:val="en-US"/>
              </w:rPr>
            </w:pPr>
          </w:p>
        </w:tc>
        <w:tc>
          <w:tcPr>
            <w:tcW w:w="1055" w:type="pct"/>
            <w:vMerge/>
            <w:shd w:val="clear" w:color="auto" w:fill="F3F3F3"/>
          </w:tcPr>
          <w:p w14:paraId="43BD049A" w14:textId="77777777" w:rsidR="00E61BD7" w:rsidRPr="00E47287" w:rsidRDefault="00E61BD7" w:rsidP="00260FE5">
            <w:pPr>
              <w:tabs>
                <w:tab w:val="left" w:pos="1080"/>
              </w:tabs>
              <w:spacing w:after="0" w:line="240" w:lineRule="auto"/>
              <w:jc w:val="both"/>
              <w:rPr>
                <w:rFonts w:cstheme="minorHAnsi"/>
                <w:b/>
                <w:color w:val="185262"/>
                <w:lang w:val="en-US"/>
              </w:rPr>
            </w:pPr>
          </w:p>
        </w:tc>
        <w:tc>
          <w:tcPr>
            <w:tcW w:w="509" w:type="pct"/>
          </w:tcPr>
          <w:p w14:paraId="43BD049B"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Comments</w:t>
            </w:r>
          </w:p>
        </w:tc>
        <w:tc>
          <w:tcPr>
            <w:tcW w:w="482" w:type="pct"/>
          </w:tcPr>
          <w:p w14:paraId="43BD049C" w14:textId="14FCC659" w:rsidR="00E61BD7" w:rsidRPr="00E47287" w:rsidRDefault="00FB7DA8"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Status</w:t>
            </w:r>
          </w:p>
        </w:tc>
      </w:tr>
      <w:tr w:rsidR="008C1053" w:rsidRPr="00E47287" w14:paraId="43BD04A3" w14:textId="77777777" w:rsidTr="005165C9">
        <w:tc>
          <w:tcPr>
            <w:tcW w:w="1790" w:type="pct"/>
          </w:tcPr>
          <w:p w14:paraId="2F5BC6FF" w14:textId="08E47B48" w:rsidR="000A41A2" w:rsidRPr="00E47287" w:rsidRDefault="008C1053" w:rsidP="000A41A2">
            <w:pPr>
              <w:tabs>
                <w:tab w:val="left" w:pos="1080"/>
              </w:tabs>
              <w:spacing w:after="0" w:line="240" w:lineRule="auto"/>
              <w:jc w:val="both"/>
              <w:rPr>
                <w:rFonts w:cstheme="minorHAnsi"/>
                <w:lang w:val="en-US"/>
              </w:rPr>
            </w:pPr>
            <w:r w:rsidRPr="00E47287">
              <w:rPr>
                <w:rFonts w:cstheme="minorHAnsi"/>
                <w:lang w:val="en-US"/>
              </w:rPr>
              <w:t xml:space="preserve">2.1 </w:t>
            </w:r>
            <w:r w:rsidR="000A41A2" w:rsidRPr="000A41A2">
              <w:rPr>
                <w:rFonts w:cstheme="minorHAnsi"/>
                <w:lang w:val="en-US"/>
              </w:rPr>
              <w:t>Includ</w:t>
            </w:r>
            <w:r w:rsidR="002D3709">
              <w:rPr>
                <w:rFonts w:cstheme="minorHAnsi"/>
                <w:lang w:val="en-US"/>
              </w:rPr>
              <w:t>e</w:t>
            </w:r>
            <w:r w:rsidR="000A41A2" w:rsidRPr="000A41A2">
              <w:rPr>
                <w:rFonts w:cstheme="minorHAnsi"/>
                <w:lang w:val="en-US"/>
              </w:rPr>
              <w:t xml:space="preserve"> the development of </w:t>
            </w:r>
            <w:r w:rsidR="00CE6BA8">
              <w:rPr>
                <w:rFonts w:cstheme="minorHAnsi"/>
                <w:lang w:val="en-US"/>
              </w:rPr>
              <w:t>initiatives</w:t>
            </w:r>
            <w:r w:rsidR="000A41A2" w:rsidRPr="000A41A2">
              <w:rPr>
                <w:rFonts w:cstheme="minorHAnsi"/>
                <w:lang w:val="en-US"/>
              </w:rPr>
              <w:t xml:space="preserve"> in the northern region</w:t>
            </w:r>
            <w:r w:rsidR="002D3709" w:rsidRPr="000A41A2">
              <w:rPr>
                <w:rFonts w:cstheme="minorHAnsi"/>
                <w:lang w:val="en-US"/>
              </w:rPr>
              <w:t xml:space="preserve"> as a priority of the 2021-25 </w:t>
            </w:r>
            <w:r w:rsidR="002D3709">
              <w:rPr>
                <w:rFonts w:cstheme="minorHAnsi"/>
                <w:lang w:val="en-US"/>
              </w:rPr>
              <w:t>P</w:t>
            </w:r>
            <w:r w:rsidR="002D3709" w:rsidRPr="000A41A2">
              <w:rPr>
                <w:rFonts w:cstheme="minorHAnsi"/>
                <w:lang w:val="en-US"/>
              </w:rPr>
              <w:t>rogram</w:t>
            </w:r>
            <w:r w:rsidR="002D3709">
              <w:rPr>
                <w:rFonts w:cstheme="minorHAnsi"/>
                <w:lang w:val="en-US"/>
              </w:rPr>
              <w:t>me</w:t>
            </w:r>
            <w:r w:rsidR="002D3709" w:rsidRPr="000A41A2">
              <w:rPr>
                <w:rFonts w:cstheme="minorHAnsi"/>
                <w:lang w:val="en-US"/>
              </w:rPr>
              <w:t xml:space="preserve"> cycle</w:t>
            </w:r>
            <w:r w:rsidR="003E06F1">
              <w:rPr>
                <w:rFonts w:cstheme="minorHAnsi"/>
                <w:lang w:val="en-US"/>
              </w:rPr>
              <w:t>.</w:t>
            </w:r>
          </w:p>
          <w:p w14:paraId="43BD049E" w14:textId="56247DD8" w:rsidR="008C1053" w:rsidRPr="00E47287" w:rsidRDefault="008C1053" w:rsidP="008C1053">
            <w:pPr>
              <w:tabs>
                <w:tab w:val="left" w:pos="1080"/>
              </w:tabs>
              <w:spacing w:after="0" w:line="240" w:lineRule="auto"/>
              <w:jc w:val="both"/>
              <w:rPr>
                <w:rFonts w:cstheme="minorHAnsi"/>
                <w:lang w:val="en-US"/>
              </w:rPr>
            </w:pPr>
          </w:p>
        </w:tc>
        <w:tc>
          <w:tcPr>
            <w:tcW w:w="1164" w:type="pct"/>
          </w:tcPr>
          <w:p w14:paraId="43BD049F" w14:textId="03F7E3DA" w:rsidR="008C1053" w:rsidRPr="00E47287" w:rsidRDefault="008C1053" w:rsidP="008C1053">
            <w:pPr>
              <w:tabs>
                <w:tab w:val="left" w:pos="1080"/>
              </w:tabs>
              <w:spacing w:after="0" w:line="240" w:lineRule="auto"/>
              <w:jc w:val="both"/>
              <w:rPr>
                <w:rFonts w:cstheme="minorHAnsi"/>
                <w:lang w:val="en-US"/>
              </w:rPr>
            </w:pPr>
            <w:r w:rsidRPr="00E47287">
              <w:rPr>
                <w:rFonts w:cstheme="minorHAnsi"/>
                <w:lang w:val="en-US"/>
              </w:rPr>
              <w:t>31-12-2021</w:t>
            </w:r>
          </w:p>
        </w:tc>
        <w:tc>
          <w:tcPr>
            <w:tcW w:w="1055" w:type="pct"/>
          </w:tcPr>
          <w:p w14:paraId="43BD04A0" w14:textId="2F62F8A3" w:rsidR="008C1053" w:rsidRPr="00E47287" w:rsidRDefault="00AA5210" w:rsidP="008C1053">
            <w:pPr>
              <w:tabs>
                <w:tab w:val="left" w:pos="1080"/>
              </w:tabs>
              <w:spacing w:after="0" w:line="240" w:lineRule="auto"/>
              <w:jc w:val="both"/>
              <w:rPr>
                <w:rFonts w:cstheme="minorHAnsi"/>
                <w:lang w:val="en-US"/>
              </w:rPr>
            </w:pPr>
            <w:r>
              <w:rPr>
                <w:rFonts w:cstheme="minorHAnsi"/>
                <w:lang w:val="en-US"/>
              </w:rPr>
              <w:t xml:space="preserve">Programme </w:t>
            </w:r>
            <w:r w:rsidR="00A6577C">
              <w:rPr>
                <w:rFonts w:cstheme="minorHAnsi"/>
                <w:lang w:val="en-US"/>
              </w:rPr>
              <w:t>areas</w:t>
            </w:r>
          </w:p>
        </w:tc>
        <w:tc>
          <w:tcPr>
            <w:tcW w:w="509" w:type="pct"/>
          </w:tcPr>
          <w:p w14:paraId="43BD04A1" w14:textId="77777777" w:rsidR="008C1053" w:rsidRPr="00E47287" w:rsidRDefault="008C1053" w:rsidP="008C1053">
            <w:pPr>
              <w:tabs>
                <w:tab w:val="left" w:pos="1080"/>
              </w:tabs>
              <w:spacing w:after="0" w:line="240" w:lineRule="auto"/>
              <w:jc w:val="both"/>
              <w:rPr>
                <w:rFonts w:cstheme="minorHAnsi"/>
                <w:color w:val="185262"/>
                <w:lang w:val="en-US"/>
              </w:rPr>
            </w:pPr>
          </w:p>
        </w:tc>
        <w:tc>
          <w:tcPr>
            <w:tcW w:w="482" w:type="pct"/>
          </w:tcPr>
          <w:p w14:paraId="43BD04A2" w14:textId="77777777" w:rsidR="008C1053" w:rsidRPr="00E47287" w:rsidRDefault="008C1053" w:rsidP="008C1053">
            <w:pPr>
              <w:tabs>
                <w:tab w:val="left" w:pos="1080"/>
              </w:tabs>
              <w:spacing w:after="0" w:line="240" w:lineRule="auto"/>
              <w:jc w:val="both"/>
              <w:rPr>
                <w:rFonts w:cstheme="minorHAnsi"/>
                <w:color w:val="185262"/>
                <w:lang w:val="en-US"/>
              </w:rPr>
            </w:pPr>
          </w:p>
        </w:tc>
      </w:tr>
    </w:tbl>
    <w:p w14:paraId="43BD04B0" w14:textId="77777777" w:rsidR="00E61BD7" w:rsidRPr="00E47287" w:rsidRDefault="00E61BD7" w:rsidP="00E61BD7">
      <w:pPr>
        <w:spacing w:after="0" w:line="240" w:lineRule="auto"/>
        <w:jc w:val="both"/>
        <w:rPr>
          <w:rFonts w:cstheme="minorHAnsi"/>
          <w:vanish/>
          <w:color w:val="185262"/>
          <w:lang w:val="en-US"/>
        </w:rPr>
      </w:pPr>
    </w:p>
    <w:tbl>
      <w:tblPr>
        <w:tblpPr w:leftFromText="180" w:rightFromText="180" w:vertAnchor="text" w:horzAnchor="margin" w:tblpY="16"/>
        <w:tblW w:w="5000" w:type="pct"/>
        <w:tblBorders>
          <w:top w:val="single" w:sz="4" w:space="0" w:color="1E687C"/>
          <w:left w:val="single" w:sz="4" w:space="0" w:color="1E687C"/>
          <w:bottom w:val="single" w:sz="4" w:space="0" w:color="1E687C"/>
          <w:right w:val="single" w:sz="4" w:space="0" w:color="1E687C"/>
          <w:insideH w:val="single" w:sz="6" w:space="0" w:color="1E687C"/>
          <w:insideV w:val="single" w:sz="6" w:space="0" w:color="1E687C"/>
        </w:tblBorders>
        <w:tblLook w:val="01E0" w:firstRow="1" w:lastRow="1" w:firstColumn="1" w:lastColumn="1" w:noHBand="0" w:noVBand="0"/>
      </w:tblPr>
      <w:tblGrid>
        <w:gridCol w:w="5090"/>
        <w:gridCol w:w="3310"/>
        <w:gridCol w:w="3000"/>
        <w:gridCol w:w="1447"/>
        <w:gridCol w:w="1371"/>
      </w:tblGrid>
      <w:tr w:rsidR="00E61BD7" w:rsidRPr="00E47287" w14:paraId="43BD04B2" w14:textId="77777777" w:rsidTr="00B024F1">
        <w:tc>
          <w:tcPr>
            <w:tcW w:w="5000" w:type="pct"/>
            <w:gridSpan w:val="5"/>
            <w:shd w:val="clear" w:color="auto" w:fill="EAF6F3"/>
          </w:tcPr>
          <w:p w14:paraId="51ABA1DA" w14:textId="589BA16B" w:rsidR="00FD62C5" w:rsidRPr="00E47287" w:rsidRDefault="00E61BD7" w:rsidP="003B5574">
            <w:pPr>
              <w:spacing w:after="0" w:line="240" w:lineRule="auto"/>
              <w:jc w:val="both"/>
              <w:rPr>
                <w:b/>
                <w:bCs/>
                <w:lang w:val="en-US"/>
              </w:rPr>
            </w:pPr>
            <w:r w:rsidRPr="00E47287">
              <w:rPr>
                <w:rFonts w:cstheme="minorHAnsi"/>
                <w:color w:val="185262"/>
                <w:lang w:val="en-US"/>
              </w:rPr>
              <w:br w:type="page"/>
            </w:r>
            <w:r w:rsidRPr="00E47287">
              <w:rPr>
                <w:rFonts w:cstheme="minorHAnsi"/>
                <w:b/>
                <w:color w:val="185262"/>
                <w:lang w:val="en-US"/>
              </w:rPr>
              <w:t xml:space="preserve">Evaluation </w:t>
            </w:r>
            <w:r w:rsidR="008C6BCD" w:rsidRPr="00E47287">
              <w:rPr>
                <w:rFonts w:cstheme="minorHAnsi"/>
                <w:b/>
                <w:color w:val="185262"/>
                <w:lang w:val="en-US"/>
              </w:rPr>
              <w:t>R</w:t>
            </w:r>
            <w:r w:rsidRPr="00E47287">
              <w:rPr>
                <w:rFonts w:cstheme="minorHAnsi"/>
                <w:b/>
                <w:color w:val="185262"/>
                <w:lang w:val="en-US"/>
              </w:rPr>
              <w:t xml:space="preserve">ecommendation 3. </w:t>
            </w:r>
            <w:r w:rsidR="008C6BCD" w:rsidRPr="00E47287">
              <w:rPr>
                <w:b/>
                <w:bCs/>
                <w:lang w:val="en-US"/>
              </w:rPr>
              <w:t xml:space="preserve">UNDP should strive to refine its results-based management approach in Argentina, placing greater emphasis on programmatic integration and synergies, the adoption of knowledge transfer strategies and the use of evaluations for learning, including the implementation of recommendations, to inform programmatic decision making and improvement. </w:t>
            </w:r>
          </w:p>
          <w:p w14:paraId="30A97EA7" w14:textId="77777777" w:rsidR="00FD62C5" w:rsidRPr="00E47287" w:rsidRDefault="00FD62C5" w:rsidP="00FD62C5">
            <w:pPr>
              <w:spacing w:after="0" w:line="240" w:lineRule="auto"/>
              <w:jc w:val="both"/>
              <w:rPr>
                <w:lang w:val="en-US"/>
              </w:rPr>
            </w:pPr>
            <w:r w:rsidRPr="00E47287">
              <w:rPr>
                <w:lang w:val="en-US"/>
              </w:rPr>
              <w:t>Fostering greater integration between projects within the UNDP Argentina programme, and promoting synergies across clusters, can enhance UNDP’s contributions from a multidimensional perspective. A dynamic systems approach would identify linkages and complementarities between different interventions. Establishing cross-sectoral teams within the office can reduce programmatic silos and enable greater complementarity between interventions.</w:t>
            </w:r>
          </w:p>
          <w:p w14:paraId="4CCB47CA" w14:textId="77777777" w:rsidR="00AC105D" w:rsidRDefault="00FD62C5" w:rsidP="00F85743">
            <w:pPr>
              <w:spacing w:after="0" w:line="240" w:lineRule="auto"/>
              <w:jc w:val="both"/>
              <w:rPr>
                <w:lang w:val="en-US"/>
              </w:rPr>
            </w:pPr>
            <w:r w:rsidRPr="00E47287">
              <w:rPr>
                <w:lang w:val="en-US"/>
              </w:rPr>
              <w:t>To promote learning and adaptive management, greater efforts should be placed on promoting an evaluation culture, including the implementation of evaluation recommendations and use of evaluative evidence and lessons, both within the office and with national partners to improve results and evidence-based decision making. Efforts should be made to convince government partners that evaluations of UNDP-managed projects are beneficial and funds need to be allocated for this purpose. UNDP should strengthen its internal capacities in planning and evaluation, increasing its technical expertise and providing instruments and tools to measure effective capacity development and long-term results across thematic areas. Particular attention should be placed on assessing the effectiveness of pilot projects such as the collaborative co-habitation initiative with the National Prison Attorney’s Office, as well as entrepreneurship and employment initiatives at local level.</w:t>
            </w:r>
          </w:p>
          <w:p w14:paraId="43BD04B1" w14:textId="01E1C18F" w:rsidR="00523C11" w:rsidRPr="00E47287" w:rsidRDefault="00523C11" w:rsidP="00F85743">
            <w:pPr>
              <w:spacing w:after="0" w:line="240" w:lineRule="auto"/>
              <w:jc w:val="both"/>
              <w:rPr>
                <w:lang w:val="en-US"/>
              </w:rPr>
            </w:pPr>
          </w:p>
        </w:tc>
      </w:tr>
      <w:tr w:rsidR="00E61BD7" w:rsidRPr="00E47287" w14:paraId="43BD04B4" w14:textId="77777777" w:rsidTr="00B024F1">
        <w:tc>
          <w:tcPr>
            <w:tcW w:w="5000" w:type="pct"/>
            <w:gridSpan w:val="5"/>
            <w:shd w:val="clear" w:color="auto" w:fill="EAF6F3"/>
          </w:tcPr>
          <w:p w14:paraId="5396DEDC" w14:textId="2F6A3550" w:rsidR="006B2A03" w:rsidRDefault="00E61BD7" w:rsidP="00260FE5">
            <w:pPr>
              <w:tabs>
                <w:tab w:val="left" w:pos="1080"/>
              </w:tabs>
              <w:spacing w:after="0" w:line="240" w:lineRule="auto"/>
              <w:jc w:val="both"/>
              <w:rPr>
                <w:lang w:val="en-US"/>
              </w:rPr>
            </w:pPr>
            <w:r w:rsidRPr="00E47287">
              <w:rPr>
                <w:rFonts w:cstheme="minorHAnsi"/>
                <w:b/>
                <w:color w:val="185262"/>
                <w:lang w:val="en-US"/>
              </w:rPr>
              <w:t>Management response</w:t>
            </w:r>
            <w:r w:rsidRPr="00E47287">
              <w:rPr>
                <w:rFonts w:cstheme="minorHAnsi"/>
                <w:color w:val="185262"/>
                <w:lang w:val="en-US"/>
              </w:rPr>
              <w:t xml:space="preserve">: </w:t>
            </w:r>
            <w:r w:rsidR="00537E9F" w:rsidRPr="00E47287">
              <w:rPr>
                <w:lang w:val="en-US"/>
              </w:rPr>
              <w:t xml:space="preserve"> </w:t>
            </w:r>
            <w:r w:rsidR="004304E1" w:rsidRPr="004304E1">
              <w:rPr>
                <w:lang w:val="en-US"/>
              </w:rPr>
              <w:t xml:space="preserve">The Office has implemented the Evaluation Plan </w:t>
            </w:r>
            <w:r w:rsidR="004304E1">
              <w:rPr>
                <w:lang w:val="en-US"/>
              </w:rPr>
              <w:t xml:space="preserve">of the </w:t>
            </w:r>
            <w:r w:rsidR="004304E1" w:rsidRPr="004304E1">
              <w:rPr>
                <w:lang w:val="en-US"/>
              </w:rPr>
              <w:t xml:space="preserve">2016-20 CPD in accordance with the </w:t>
            </w:r>
            <w:r w:rsidR="000505DD">
              <w:rPr>
                <w:lang w:val="en-US"/>
              </w:rPr>
              <w:t>E</w:t>
            </w:r>
            <w:r w:rsidR="004304E1" w:rsidRPr="004304E1">
              <w:rPr>
                <w:lang w:val="en-US"/>
              </w:rPr>
              <w:t xml:space="preserve">valuation </w:t>
            </w:r>
            <w:r w:rsidR="004304E1">
              <w:rPr>
                <w:lang w:val="en-US"/>
              </w:rPr>
              <w:t>G</w:t>
            </w:r>
            <w:r w:rsidR="004304E1" w:rsidRPr="004304E1">
              <w:rPr>
                <w:lang w:val="en-US"/>
              </w:rPr>
              <w:t xml:space="preserve">uidelines in force until 2019. In this sense, 2 mid-term evaluations </w:t>
            </w:r>
            <w:r w:rsidR="00F8640A">
              <w:rPr>
                <w:lang w:val="en-US"/>
              </w:rPr>
              <w:t>(Results</w:t>
            </w:r>
            <w:r w:rsidR="004304E1" w:rsidRPr="004304E1">
              <w:rPr>
                <w:lang w:val="en-US"/>
              </w:rPr>
              <w:t xml:space="preserve"> 1 and 2</w:t>
            </w:r>
            <w:r w:rsidR="00F8640A">
              <w:rPr>
                <w:lang w:val="en-US"/>
              </w:rPr>
              <w:t>)</w:t>
            </w:r>
            <w:r w:rsidR="004304E1" w:rsidRPr="004304E1">
              <w:rPr>
                <w:lang w:val="en-US"/>
              </w:rPr>
              <w:t xml:space="preserve"> were carried out as planned</w:t>
            </w:r>
            <w:r w:rsidR="000505DD">
              <w:rPr>
                <w:lang w:val="en-US"/>
              </w:rPr>
              <w:t>,</w:t>
            </w:r>
            <w:r w:rsidR="004304E1" w:rsidRPr="004304E1">
              <w:rPr>
                <w:lang w:val="en-US"/>
              </w:rPr>
              <w:t xml:space="preserve"> </w:t>
            </w:r>
            <w:r w:rsidR="00845730" w:rsidRPr="004304E1">
              <w:rPr>
                <w:lang w:val="en-US"/>
              </w:rPr>
              <w:t>and</w:t>
            </w:r>
            <w:r w:rsidR="001C439B">
              <w:rPr>
                <w:lang w:val="en-US"/>
              </w:rPr>
              <w:t xml:space="preserve"> </w:t>
            </w:r>
            <w:r w:rsidR="00845730">
              <w:rPr>
                <w:lang w:val="en-US"/>
              </w:rPr>
              <w:t xml:space="preserve">the </w:t>
            </w:r>
            <w:r w:rsidR="001C439B">
              <w:rPr>
                <w:lang w:val="en-US"/>
              </w:rPr>
              <w:t>P</w:t>
            </w:r>
            <w:r w:rsidR="004304E1" w:rsidRPr="004304E1">
              <w:rPr>
                <w:lang w:val="en-US"/>
              </w:rPr>
              <w:t>roject</w:t>
            </w:r>
            <w:r w:rsidR="00D37CD1">
              <w:rPr>
                <w:lang w:val="en-US"/>
              </w:rPr>
              <w:t>s´</w:t>
            </w:r>
            <w:r w:rsidR="004304E1" w:rsidRPr="004304E1">
              <w:rPr>
                <w:lang w:val="en-US"/>
              </w:rPr>
              <w:t xml:space="preserve"> evaluations </w:t>
            </w:r>
            <w:r w:rsidR="009833A4">
              <w:rPr>
                <w:lang w:val="en-US"/>
              </w:rPr>
              <w:t xml:space="preserve">required </w:t>
            </w:r>
            <w:r w:rsidR="004304E1" w:rsidRPr="004304E1">
              <w:rPr>
                <w:lang w:val="en-US"/>
              </w:rPr>
              <w:t xml:space="preserve">by donors. Since the new evaluation </w:t>
            </w:r>
            <w:r w:rsidR="009833A4">
              <w:rPr>
                <w:lang w:val="en-US"/>
              </w:rPr>
              <w:t>G</w:t>
            </w:r>
            <w:r w:rsidR="004304E1" w:rsidRPr="004304E1">
              <w:rPr>
                <w:lang w:val="en-US"/>
              </w:rPr>
              <w:t xml:space="preserve">uidelines came into force in 2019, the Office </w:t>
            </w:r>
            <w:r w:rsidR="008837CD">
              <w:rPr>
                <w:lang w:val="en-US"/>
              </w:rPr>
              <w:t>informed</w:t>
            </w:r>
            <w:r w:rsidR="004304E1" w:rsidRPr="004304E1">
              <w:rPr>
                <w:lang w:val="en-US"/>
              </w:rPr>
              <w:t xml:space="preserve"> to the </w:t>
            </w:r>
            <w:r w:rsidR="001E70D8">
              <w:rPr>
                <w:lang w:val="en-US"/>
              </w:rPr>
              <w:t xml:space="preserve">Government Coordinating Agency </w:t>
            </w:r>
            <w:r w:rsidR="004304E1" w:rsidRPr="004304E1">
              <w:rPr>
                <w:lang w:val="en-US"/>
              </w:rPr>
              <w:t xml:space="preserve">and main counterparts for </w:t>
            </w:r>
            <w:r w:rsidR="008837CD">
              <w:rPr>
                <w:lang w:val="en-US"/>
              </w:rPr>
              <w:t xml:space="preserve">its </w:t>
            </w:r>
            <w:r w:rsidR="004304E1" w:rsidRPr="004304E1">
              <w:rPr>
                <w:lang w:val="en-US"/>
              </w:rPr>
              <w:t xml:space="preserve">compliance in all new projects. </w:t>
            </w:r>
          </w:p>
          <w:p w14:paraId="3B33D4CB" w14:textId="77777777" w:rsidR="0023624A" w:rsidRDefault="008837CD" w:rsidP="00260FE5">
            <w:pPr>
              <w:tabs>
                <w:tab w:val="left" w:pos="1080"/>
              </w:tabs>
              <w:spacing w:after="0" w:line="240" w:lineRule="auto"/>
              <w:jc w:val="both"/>
              <w:rPr>
                <w:lang w:val="en-US"/>
              </w:rPr>
            </w:pPr>
            <w:r w:rsidRPr="004304E1">
              <w:rPr>
                <w:lang w:val="en-US"/>
              </w:rPr>
              <w:lastRenderedPageBreak/>
              <w:t>Regarding</w:t>
            </w:r>
            <w:r w:rsidR="004304E1" w:rsidRPr="004304E1">
              <w:rPr>
                <w:lang w:val="en-US"/>
              </w:rPr>
              <w:t xml:space="preserve"> the results-based management </w:t>
            </w:r>
            <w:r w:rsidR="004C13D6">
              <w:rPr>
                <w:lang w:val="en-US"/>
              </w:rPr>
              <w:t xml:space="preserve">(RBM) </w:t>
            </w:r>
            <w:r w:rsidR="004304E1" w:rsidRPr="004304E1">
              <w:rPr>
                <w:lang w:val="en-US"/>
              </w:rPr>
              <w:t xml:space="preserve">approach, the Office carried out during 2019 a Training Plan on the subject for UNDP staff, the </w:t>
            </w:r>
            <w:r w:rsidR="001E70D8">
              <w:rPr>
                <w:lang w:val="en-US"/>
              </w:rPr>
              <w:t>Government Coordinating Agency</w:t>
            </w:r>
            <w:r w:rsidR="004304E1" w:rsidRPr="004304E1">
              <w:rPr>
                <w:lang w:val="en-US"/>
              </w:rPr>
              <w:t xml:space="preserve"> and </w:t>
            </w:r>
            <w:r w:rsidR="00A41C16">
              <w:rPr>
                <w:lang w:val="en-US"/>
              </w:rPr>
              <w:t xml:space="preserve">our </w:t>
            </w:r>
            <w:r w:rsidR="004C13D6">
              <w:rPr>
                <w:lang w:val="en-US"/>
              </w:rPr>
              <w:t>counterparts</w:t>
            </w:r>
            <w:r w:rsidR="004304E1" w:rsidRPr="004304E1">
              <w:rPr>
                <w:lang w:val="en-US"/>
              </w:rPr>
              <w:t xml:space="preserve">, in order to strengthen </w:t>
            </w:r>
            <w:r w:rsidR="00A41C16">
              <w:rPr>
                <w:lang w:val="en-US"/>
              </w:rPr>
              <w:t xml:space="preserve">their </w:t>
            </w:r>
            <w:r w:rsidR="004304E1" w:rsidRPr="004304E1">
              <w:rPr>
                <w:lang w:val="en-US"/>
              </w:rPr>
              <w:t xml:space="preserve">capacities on </w:t>
            </w:r>
            <w:r w:rsidR="00233B56">
              <w:rPr>
                <w:lang w:val="en-US"/>
              </w:rPr>
              <w:t xml:space="preserve">the </w:t>
            </w:r>
            <w:r w:rsidR="004C13D6">
              <w:rPr>
                <w:lang w:val="en-US"/>
              </w:rPr>
              <w:t xml:space="preserve">RBM </w:t>
            </w:r>
            <w:r w:rsidR="004C13D6" w:rsidRPr="004304E1">
              <w:rPr>
                <w:lang w:val="en-US"/>
              </w:rPr>
              <w:t>approach</w:t>
            </w:r>
            <w:r w:rsidR="004304E1" w:rsidRPr="004304E1">
              <w:rPr>
                <w:lang w:val="en-US"/>
              </w:rPr>
              <w:t xml:space="preserve">. </w:t>
            </w:r>
            <w:r w:rsidR="004C13D6" w:rsidRPr="004304E1">
              <w:rPr>
                <w:lang w:val="en-US"/>
              </w:rPr>
              <w:t>About</w:t>
            </w:r>
            <w:r w:rsidR="004304E1" w:rsidRPr="004304E1">
              <w:rPr>
                <w:lang w:val="en-US"/>
              </w:rPr>
              <w:t xml:space="preserve"> synergies, the UNDP Office makes efforts to guarantee the multidimensional perspective in all Projects and initiatives, through formal instances of exchange and collaboration between the thematic areas during </w:t>
            </w:r>
            <w:r w:rsidR="00233B56">
              <w:rPr>
                <w:lang w:val="en-US"/>
              </w:rPr>
              <w:t xml:space="preserve">project </w:t>
            </w:r>
            <w:r w:rsidR="004304E1" w:rsidRPr="004304E1">
              <w:rPr>
                <w:lang w:val="en-US"/>
              </w:rPr>
              <w:t xml:space="preserve">formulation and implementation </w:t>
            </w:r>
            <w:r w:rsidR="00233B56">
              <w:rPr>
                <w:lang w:val="en-US"/>
              </w:rPr>
              <w:t>stages</w:t>
            </w:r>
            <w:r w:rsidR="004304E1" w:rsidRPr="004304E1">
              <w:rPr>
                <w:lang w:val="en-US"/>
              </w:rPr>
              <w:t>.</w:t>
            </w:r>
          </w:p>
          <w:p w14:paraId="43BD04B3" w14:textId="2D8DFD1C" w:rsidR="00523C11" w:rsidRPr="00877674" w:rsidRDefault="00523C11" w:rsidP="00260FE5">
            <w:pPr>
              <w:tabs>
                <w:tab w:val="left" w:pos="1080"/>
              </w:tabs>
              <w:spacing w:after="0" w:line="240" w:lineRule="auto"/>
              <w:jc w:val="both"/>
              <w:rPr>
                <w:lang w:val="en-US"/>
              </w:rPr>
            </w:pPr>
          </w:p>
        </w:tc>
      </w:tr>
      <w:tr w:rsidR="00E61BD7" w:rsidRPr="00E47287" w14:paraId="43BD04B9" w14:textId="77777777" w:rsidTr="00B1422E">
        <w:trPr>
          <w:trHeight w:val="135"/>
        </w:trPr>
        <w:tc>
          <w:tcPr>
            <w:tcW w:w="1790" w:type="pct"/>
            <w:vMerge w:val="restart"/>
            <w:shd w:val="clear" w:color="auto" w:fill="EAF6F3"/>
          </w:tcPr>
          <w:p w14:paraId="43BD04B5"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lastRenderedPageBreak/>
              <w:t>Key action(s)</w:t>
            </w:r>
          </w:p>
        </w:tc>
        <w:tc>
          <w:tcPr>
            <w:tcW w:w="1164" w:type="pct"/>
            <w:vMerge w:val="restart"/>
            <w:shd w:val="clear" w:color="auto" w:fill="EAF6F3"/>
          </w:tcPr>
          <w:p w14:paraId="43BD04B6"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Completion date</w:t>
            </w:r>
          </w:p>
        </w:tc>
        <w:tc>
          <w:tcPr>
            <w:tcW w:w="1055" w:type="pct"/>
            <w:vMerge w:val="restart"/>
            <w:shd w:val="clear" w:color="auto" w:fill="EAF6F3"/>
          </w:tcPr>
          <w:p w14:paraId="43BD04B7"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Responsible unit(s)</w:t>
            </w:r>
          </w:p>
        </w:tc>
        <w:tc>
          <w:tcPr>
            <w:tcW w:w="991" w:type="pct"/>
            <w:gridSpan w:val="2"/>
            <w:shd w:val="clear" w:color="auto" w:fill="EAF6F3"/>
          </w:tcPr>
          <w:p w14:paraId="43BD04B8"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Tracking</w:t>
            </w:r>
          </w:p>
        </w:tc>
      </w:tr>
      <w:tr w:rsidR="00E61BD7" w:rsidRPr="00E47287" w14:paraId="43BD04BF" w14:textId="77777777" w:rsidTr="00B1422E">
        <w:trPr>
          <w:trHeight w:val="135"/>
        </w:trPr>
        <w:tc>
          <w:tcPr>
            <w:tcW w:w="1790" w:type="pct"/>
            <w:vMerge/>
            <w:shd w:val="clear" w:color="auto" w:fill="F3F3F3"/>
          </w:tcPr>
          <w:p w14:paraId="43BD04BA" w14:textId="77777777" w:rsidR="00E61BD7" w:rsidRPr="00E47287" w:rsidRDefault="00E61BD7" w:rsidP="00260FE5">
            <w:pPr>
              <w:tabs>
                <w:tab w:val="left" w:pos="1080"/>
              </w:tabs>
              <w:spacing w:after="0" w:line="240" w:lineRule="auto"/>
              <w:jc w:val="both"/>
              <w:rPr>
                <w:rFonts w:cstheme="minorHAnsi"/>
                <w:color w:val="185262"/>
                <w:lang w:val="en-US"/>
              </w:rPr>
            </w:pPr>
          </w:p>
        </w:tc>
        <w:tc>
          <w:tcPr>
            <w:tcW w:w="1164" w:type="pct"/>
            <w:vMerge/>
            <w:shd w:val="clear" w:color="auto" w:fill="F3F3F3"/>
          </w:tcPr>
          <w:p w14:paraId="43BD04BB" w14:textId="77777777" w:rsidR="00E61BD7" w:rsidRPr="00E47287" w:rsidRDefault="00E61BD7" w:rsidP="00260FE5">
            <w:pPr>
              <w:tabs>
                <w:tab w:val="left" w:pos="1080"/>
              </w:tabs>
              <w:spacing w:after="0" w:line="240" w:lineRule="auto"/>
              <w:jc w:val="both"/>
              <w:rPr>
                <w:rFonts w:cstheme="minorHAnsi"/>
                <w:b/>
                <w:color w:val="185262"/>
                <w:lang w:val="en-US"/>
              </w:rPr>
            </w:pPr>
          </w:p>
        </w:tc>
        <w:tc>
          <w:tcPr>
            <w:tcW w:w="1055" w:type="pct"/>
            <w:vMerge/>
            <w:shd w:val="clear" w:color="auto" w:fill="F3F3F3"/>
          </w:tcPr>
          <w:p w14:paraId="43BD04BC" w14:textId="77777777" w:rsidR="00E61BD7" w:rsidRPr="00E47287" w:rsidRDefault="00E61BD7" w:rsidP="00260FE5">
            <w:pPr>
              <w:tabs>
                <w:tab w:val="left" w:pos="1080"/>
              </w:tabs>
              <w:spacing w:after="0" w:line="240" w:lineRule="auto"/>
              <w:jc w:val="both"/>
              <w:rPr>
                <w:rFonts w:cstheme="minorHAnsi"/>
                <w:b/>
                <w:color w:val="185262"/>
                <w:lang w:val="en-US"/>
              </w:rPr>
            </w:pPr>
          </w:p>
        </w:tc>
        <w:tc>
          <w:tcPr>
            <w:tcW w:w="509" w:type="pct"/>
          </w:tcPr>
          <w:p w14:paraId="43BD04BD" w14:textId="77777777" w:rsidR="00E61BD7" w:rsidRPr="00E47287" w:rsidRDefault="00E61BD7"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Comments</w:t>
            </w:r>
          </w:p>
        </w:tc>
        <w:tc>
          <w:tcPr>
            <w:tcW w:w="482" w:type="pct"/>
          </w:tcPr>
          <w:p w14:paraId="43BD04BE" w14:textId="22F5D960" w:rsidR="00E61BD7" w:rsidRPr="00E47287" w:rsidRDefault="00FB7DA8" w:rsidP="00260FE5">
            <w:pPr>
              <w:tabs>
                <w:tab w:val="left" w:pos="1080"/>
              </w:tabs>
              <w:spacing w:after="0" w:line="240" w:lineRule="auto"/>
              <w:jc w:val="both"/>
              <w:rPr>
                <w:rFonts w:cstheme="minorHAnsi"/>
                <w:b/>
                <w:color w:val="185262"/>
                <w:lang w:val="en-US"/>
              </w:rPr>
            </w:pPr>
            <w:r w:rsidRPr="00E47287">
              <w:rPr>
                <w:rFonts w:cstheme="minorHAnsi"/>
                <w:b/>
                <w:color w:val="185262"/>
                <w:lang w:val="en-US"/>
              </w:rPr>
              <w:t>Status</w:t>
            </w:r>
          </w:p>
        </w:tc>
      </w:tr>
      <w:tr w:rsidR="00CE05F0" w:rsidRPr="00E47287" w14:paraId="43BD04C5" w14:textId="77777777" w:rsidTr="00B1422E">
        <w:tc>
          <w:tcPr>
            <w:tcW w:w="1790" w:type="pct"/>
          </w:tcPr>
          <w:p w14:paraId="43BD04C0" w14:textId="5F81055E" w:rsidR="00F03AF3" w:rsidRPr="00E47287" w:rsidRDefault="00CE05F0" w:rsidP="00D64FDF">
            <w:pPr>
              <w:tabs>
                <w:tab w:val="left" w:pos="1080"/>
              </w:tabs>
              <w:spacing w:after="0" w:line="240" w:lineRule="auto"/>
              <w:jc w:val="both"/>
              <w:rPr>
                <w:rFonts w:cstheme="minorHAnsi"/>
                <w:lang w:val="en-US"/>
              </w:rPr>
            </w:pPr>
            <w:r w:rsidRPr="00E47287">
              <w:rPr>
                <w:rFonts w:cstheme="minorHAnsi"/>
                <w:lang w:val="en-US"/>
              </w:rPr>
              <w:t xml:space="preserve">3.1 </w:t>
            </w:r>
            <w:r w:rsidR="00F03AF3" w:rsidRPr="00F03AF3">
              <w:rPr>
                <w:rFonts w:cstheme="minorHAnsi"/>
                <w:lang w:val="en-US"/>
              </w:rPr>
              <w:t xml:space="preserve">Define and implement the Evaluation Plan of the CPD 2021-25 according to the new evaluation </w:t>
            </w:r>
            <w:r w:rsidR="000B3410">
              <w:rPr>
                <w:rFonts w:cstheme="minorHAnsi"/>
                <w:lang w:val="en-US"/>
              </w:rPr>
              <w:t>G</w:t>
            </w:r>
            <w:r w:rsidR="00F03AF3" w:rsidRPr="00F03AF3">
              <w:rPr>
                <w:rFonts w:cstheme="minorHAnsi"/>
                <w:lang w:val="en-US"/>
              </w:rPr>
              <w:t>uidelines, inc</w:t>
            </w:r>
            <w:r w:rsidR="00173252">
              <w:rPr>
                <w:rFonts w:cstheme="minorHAnsi"/>
                <w:lang w:val="en-US"/>
              </w:rPr>
              <w:t>luding t</w:t>
            </w:r>
            <w:r w:rsidR="00F03AF3" w:rsidRPr="00F03AF3">
              <w:rPr>
                <w:rFonts w:cstheme="minorHAnsi"/>
                <w:lang w:val="en-US"/>
              </w:rPr>
              <w:t xml:space="preserve">he evaluation of </w:t>
            </w:r>
            <w:r w:rsidR="000B3410">
              <w:rPr>
                <w:rFonts w:cstheme="minorHAnsi"/>
                <w:lang w:val="en-US"/>
              </w:rPr>
              <w:t>s</w:t>
            </w:r>
            <w:r w:rsidR="00F03AF3" w:rsidRPr="00F03AF3">
              <w:rPr>
                <w:rFonts w:cstheme="minorHAnsi"/>
                <w:lang w:val="en-US"/>
              </w:rPr>
              <w:t>trategic Projects</w:t>
            </w:r>
            <w:r w:rsidR="006C069E">
              <w:rPr>
                <w:rFonts w:cstheme="minorHAnsi"/>
                <w:lang w:val="en-US"/>
              </w:rPr>
              <w:t>,</w:t>
            </w:r>
            <w:r w:rsidR="00F03AF3" w:rsidRPr="00F03AF3">
              <w:rPr>
                <w:rFonts w:cstheme="minorHAnsi"/>
                <w:lang w:val="en-US"/>
              </w:rPr>
              <w:t xml:space="preserve"> and guaranteeing the effective implementation of the evaluation recommendations through </w:t>
            </w:r>
            <w:r w:rsidR="000B3410">
              <w:rPr>
                <w:rFonts w:cstheme="minorHAnsi"/>
                <w:lang w:val="en-US"/>
              </w:rPr>
              <w:t>Project Board</w:t>
            </w:r>
            <w:r w:rsidR="00F03AF3" w:rsidRPr="00F03AF3">
              <w:rPr>
                <w:rFonts w:cstheme="minorHAnsi"/>
                <w:lang w:val="en-US"/>
              </w:rPr>
              <w:t xml:space="preserve"> meetings.</w:t>
            </w:r>
          </w:p>
        </w:tc>
        <w:tc>
          <w:tcPr>
            <w:tcW w:w="1164" w:type="pct"/>
          </w:tcPr>
          <w:p w14:paraId="43BD04C1" w14:textId="587A245A" w:rsidR="00CE05F0" w:rsidRPr="00E47287" w:rsidRDefault="00CE05F0" w:rsidP="00CE05F0">
            <w:pPr>
              <w:tabs>
                <w:tab w:val="left" w:pos="1080"/>
              </w:tabs>
              <w:spacing w:after="0" w:line="240" w:lineRule="auto"/>
              <w:jc w:val="both"/>
              <w:rPr>
                <w:rFonts w:cstheme="minorHAnsi"/>
                <w:lang w:val="en-US"/>
              </w:rPr>
            </w:pPr>
            <w:r w:rsidRPr="00E47287">
              <w:rPr>
                <w:rFonts w:cstheme="minorHAnsi"/>
                <w:lang w:val="en-US"/>
              </w:rPr>
              <w:t>31-12-2021</w:t>
            </w:r>
          </w:p>
        </w:tc>
        <w:tc>
          <w:tcPr>
            <w:tcW w:w="1055" w:type="pct"/>
          </w:tcPr>
          <w:p w14:paraId="43BD04C2" w14:textId="4B59092C" w:rsidR="00CE05F0" w:rsidRPr="00E47287" w:rsidRDefault="00C9348F" w:rsidP="00CE05F0">
            <w:pPr>
              <w:tabs>
                <w:tab w:val="left" w:pos="1080"/>
              </w:tabs>
              <w:spacing w:after="0" w:line="240" w:lineRule="auto"/>
              <w:jc w:val="both"/>
              <w:rPr>
                <w:rFonts w:cstheme="minorHAnsi"/>
                <w:lang w:val="en-US"/>
              </w:rPr>
            </w:pPr>
            <w:r>
              <w:rPr>
                <w:rFonts w:cstheme="minorHAnsi"/>
                <w:lang w:val="en-US"/>
              </w:rPr>
              <w:t>Program</w:t>
            </w:r>
            <w:r w:rsidR="00AA5210">
              <w:rPr>
                <w:rFonts w:cstheme="minorHAnsi"/>
                <w:lang w:val="en-US"/>
              </w:rPr>
              <w:t>me</w:t>
            </w:r>
            <w:r>
              <w:rPr>
                <w:rFonts w:cstheme="minorHAnsi"/>
                <w:lang w:val="en-US"/>
              </w:rPr>
              <w:t xml:space="preserve"> </w:t>
            </w:r>
            <w:r w:rsidR="00A6577C">
              <w:rPr>
                <w:rFonts w:cstheme="minorHAnsi"/>
                <w:lang w:val="en-US"/>
              </w:rPr>
              <w:t>areas</w:t>
            </w:r>
            <w:r>
              <w:rPr>
                <w:rFonts w:cstheme="minorHAnsi"/>
                <w:lang w:val="en-US"/>
              </w:rPr>
              <w:t xml:space="preserve"> and</w:t>
            </w:r>
            <w:r w:rsidRPr="00E47287">
              <w:rPr>
                <w:rFonts w:cstheme="minorHAnsi"/>
                <w:lang w:val="en-US"/>
              </w:rPr>
              <w:t xml:space="preserve"> M&amp;E</w:t>
            </w:r>
          </w:p>
        </w:tc>
        <w:tc>
          <w:tcPr>
            <w:tcW w:w="509" w:type="pct"/>
          </w:tcPr>
          <w:p w14:paraId="43BD04C3" w14:textId="77777777" w:rsidR="00CE05F0" w:rsidRPr="00E47287" w:rsidRDefault="00CE05F0" w:rsidP="00CE05F0">
            <w:pPr>
              <w:tabs>
                <w:tab w:val="left" w:pos="1080"/>
              </w:tabs>
              <w:spacing w:after="0" w:line="240" w:lineRule="auto"/>
              <w:jc w:val="both"/>
              <w:rPr>
                <w:rFonts w:cstheme="minorHAnsi"/>
                <w:color w:val="185262"/>
                <w:lang w:val="en-US"/>
              </w:rPr>
            </w:pPr>
          </w:p>
        </w:tc>
        <w:tc>
          <w:tcPr>
            <w:tcW w:w="482" w:type="pct"/>
          </w:tcPr>
          <w:p w14:paraId="43BD04C4" w14:textId="77777777" w:rsidR="00CE05F0" w:rsidRPr="00E47287" w:rsidRDefault="00CE05F0" w:rsidP="00CE05F0">
            <w:pPr>
              <w:tabs>
                <w:tab w:val="left" w:pos="1080"/>
              </w:tabs>
              <w:spacing w:after="0" w:line="240" w:lineRule="auto"/>
              <w:jc w:val="both"/>
              <w:rPr>
                <w:rFonts w:cstheme="minorHAnsi"/>
                <w:color w:val="185262"/>
                <w:lang w:val="en-US"/>
              </w:rPr>
            </w:pPr>
          </w:p>
        </w:tc>
      </w:tr>
      <w:tr w:rsidR="002D0507" w:rsidRPr="00E47287" w14:paraId="3B812AFA" w14:textId="77777777" w:rsidTr="00B1422E">
        <w:tc>
          <w:tcPr>
            <w:tcW w:w="1790" w:type="pct"/>
          </w:tcPr>
          <w:p w14:paraId="1511ED5A" w14:textId="33A65E4B" w:rsidR="00B13C6D" w:rsidRPr="00E47287" w:rsidRDefault="000B1B25" w:rsidP="009271ED">
            <w:pPr>
              <w:tabs>
                <w:tab w:val="left" w:pos="1080"/>
              </w:tabs>
              <w:spacing w:after="0" w:line="240" w:lineRule="auto"/>
              <w:jc w:val="both"/>
              <w:rPr>
                <w:rFonts w:cstheme="minorHAnsi"/>
                <w:lang w:val="en-US"/>
              </w:rPr>
            </w:pPr>
            <w:r w:rsidRPr="00E47287">
              <w:rPr>
                <w:rFonts w:cstheme="minorHAnsi"/>
                <w:lang w:val="en-US"/>
              </w:rPr>
              <w:t xml:space="preserve">3.2 </w:t>
            </w:r>
            <w:r w:rsidR="00B13C6D" w:rsidRPr="00B13C6D">
              <w:rPr>
                <w:rFonts w:cstheme="minorHAnsi"/>
                <w:lang w:val="en-US"/>
              </w:rPr>
              <w:t xml:space="preserve">Continue </w:t>
            </w:r>
            <w:r w:rsidR="00A43BA9">
              <w:rPr>
                <w:rFonts w:cstheme="minorHAnsi"/>
                <w:lang w:val="en-US"/>
              </w:rPr>
              <w:t xml:space="preserve">to carry out </w:t>
            </w:r>
            <w:r w:rsidR="00E76670">
              <w:rPr>
                <w:rFonts w:cstheme="minorHAnsi"/>
                <w:lang w:val="en-US"/>
              </w:rPr>
              <w:t>t</w:t>
            </w:r>
            <w:r w:rsidR="00B13C6D" w:rsidRPr="00B13C6D">
              <w:rPr>
                <w:rFonts w:cstheme="minorHAnsi"/>
                <w:lang w:val="en-US"/>
              </w:rPr>
              <w:t xml:space="preserve">raining on </w:t>
            </w:r>
            <w:r w:rsidR="00E76670">
              <w:rPr>
                <w:rFonts w:cstheme="minorHAnsi"/>
                <w:lang w:val="en-US"/>
              </w:rPr>
              <w:t>R</w:t>
            </w:r>
            <w:r w:rsidR="00B13C6D" w:rsidRPr="00B13C6D">
              <w:rPr>
                <w:rFonts w:cstheme="minorHAnsi"/>
                <w:lang w:val="en-US"/>
              </w:rPr>
              <w:t>esults-based management</w:t>
            </w:r>
            <w:r w:rsidR="00EC784A">
              <w:rPr>
                <w:rFonts w:cstheme="minorHAnsi"/>
                <w:lang w:val="en-US"/>
              </w:rPr>
              <w:t xml:space="preserve"> to </w:t>
            </w:r>
            <w:r w:rsidR="00E76670">
              <w:rPr>
                <w:rFonts w:cstheme="minorHAnsi"/>
                <w:lang w:val="en-US"/>
              </w:rPr>
              <w:t>counterparts</w:t>
            </w:r>
            <w:r w:rsidR="00B13C6D" w:rsidRPr="00B13C6D">
              <w:rPr>
                <w:rFonts w:cstheme="minorHAnsi"/>
                <w:lang w:val="en-US"/>
              </w:rPr>
              <w:t xml:space="preserve">, and </w:t>
            </w:r>
            <w:r w:rsidR="00963234">
              <w:rPr>
                <w:rFonts w:cstheme="minorHAnsi"/>
                <w:lang w:val="en-US"/>
              </w:rPr>
              <w:t xml:space="preserve">to </w:t>
            </w:r>
            <w:r w:rsidR="00B13C6D" w:rsidRPr="00B13C6D">
              <w:rPr>
                <w:rFonts w:cstheme="minorHAnsi"/>
                <w:lang w:val="en-US"/>
              </w:rPr>
              <w:t>follow up on the use of evidence provided by monitoring instruments in decision-making.</w:t>
            </w:r>
          </w:p>
        </w:tc>
        <w:tc>
          <w:tcPr>
            <w:tcW w:w="1164" w:type="pct"/>
          </w:tcPr>
          <w:p w14:paraId="6BCB595A" w14:textId="5CB9FBA5" w:rsidR="002D0507" w:rsidRPr="00E47287" w:rsidRDefault="00BD429D" w:rsidP="00CE05F0">
            <w:pPr>
              <w:tabs>
                <w:tab w:val="left" w:pos="1080"/>
              </w:tabs>
              <w:spacing w:after="0" w:line="240" w:lineRule="auto"/>
              <w:jc w:val="both"/>
              <w:rPr>
                <w:rFonts w:cstheme="minorHAnsi"/>
                <w:lang w:val="en-US"/>
              </w:rPr>
            </w:pPr>
            <w:r w:rsidRPr="00E47287">
              <w:rPr>
                <w:rFonts w:cstheme="minorHAnsi"/>
                <w:lang w:val="en-US"/>
              </w:rPr>
              <w:t>31-12-2021</w:t>
            </w:r>
          </w:p>
        </w:tc>
        <w:tc>
          <w:tcPr>
            <w:tcW w:w="1055" w:type="pct"/>
          </w:tcPr>
          <w:p w14:paraId="732FD2B8" w14:textId="55EA6EF9" w:rsidR="002D0507" w:rsidRPr="00E47287" w:rsidRDefault="00AA5210" w:rsidP="00CE05F0">
            <w:pPr>
              <w:tabs>
                <w:tab w:val="left" w:pos="1080"/>
              </w:tabs>
              <w:spacing w:after="0" w:line="240" w:lineRule="auto"/>
              <w:jc w:val="both"/>
              <w:rPr>
                <w:rFonts w:cstheme="minorHAnsi"/>
                <w:lang w:val="en-US"/>
              </w:rPr>
            </w:pPr>
            <w:r>
              <w:rPr>
                <w:rFonts w:cstheme="minorHAnsi"/>
                <w:lang w:val="en-US"/>
              </w:rPr>
              <w:t xml:space="preserve">Programme </w:t>
            </w:r>
            <w:r w:rsidR="00A6577C">
              <w:rPr>
                <w:rFonts w:cstheme="minorHAnsi"/>
                <w:lang w:val="en-US"/>
              </w:rPr>
              <w:t>areas</w:t>
            </w:r>
            <w:r>
              <w:rPr>
                <w:rFonts w:cstheme="minorHAnsi"/>
                <w:lang w:val="en-US"/>
              </w:rPr>
              <w:t xml:space="preserve"> and</w:t>
            </w:r>
            <w:r w:rsidRPr="00E47287">
              <w:rPr>
                <w:rFonts w:cstheme="minorHAnsi"/>
                <w:lang w:val="en-US"/>
              </w:rPr>
              <w:t xml:space="preserve"> M&amp;E</w:t>
            </w:r>
          </w:p>
        </w:tc>
        <w:tc>
          <w:tcPr>
            <w:tcW w:w="509" w:type="pct"/>
          </w:tcPr>
          <w:p w14:paraId="0CB3D4F5" w14:textId="77777777" w:rsidR="002D0507" w:rsidRPr="00E47287" w:rsidRDefault="002D0507" w:rsidP="00CE05F0">
            <w:pPr>
              <w:tabs>
                <w:tab w:val="left" w:pos="1080"/>
              </w:tabs>
              <w:spacing w:after="0" w:line="240" w:lineRule="auto"/>
              <w:jc w:val="both"/>
              <w:rPr>
                <w:rFonts w:cstheme="minorHAnsi"/>
                <w:color w:val="185262"/>
                <w:lang w:val="en-US"/>
              </w:rPr>
            </w:pPr>
          </w:p>
        </w:tc>
        <w:tc>
          <w:tcPr>
            <w:tcW w:w="482" w:type="pct"/>
          </w:tcPr>
          <w:p w14:paraId="69FD7512" w14:textId="77777777" w:rsidR="002D0507" w:rsidRPr="00E47287" w:rsidRDefault="002D0507" w:rsidP="00CE05F0">
            <w:pPr>
              <w:tabs>
                <w:tab w:val="left" w:pos="1080"/>
              </w:tabs>
              <w:spacing w:after="0" w:line="240" w:lineRule="auto"/>
              <w:jc w:val="both"/>
              <w:rPr>
                <w:rFonts w:cstheme="minorHAnsi"/>
                <w:color w:val="185262"/>
                <w:lang w:val="en-US"/>
              </w:rPr>
            </w:pPr>
          </w:p>
        </w:tc>
      </w:tr>
      <w:tr w:rsidR="009F5671" w:rsidRPr="00E47287" w14:paraId="10045FD3" w14:textId="77777777" w:rsidTr="00B1422E">
        <w:tc>
          <w:tcPr>
            <w:tcW w:w="1790" w:type="pct"/>
          </w:tcPr>
          <w:p w14:paraId="4F7A463E" w14:textId="77777777" w:rsidR="00104F8F" w:rsidRDefault="009F5671" w:rsidP="005713D3">
            <w:pPr>
              <w:tabs>
                <w:tab w:val="left" w:pos="1080"/>
              </w:tabs>
              <w:spacing w:after="0" w:line="240" w:lineRule="auto"/>
              <w:jc w:val="both"/>
              <w:rPr>
                <w:rFonts w:cstheme="minorHAnsi"/>
                <w:lang w:val="en-US"/>
              </w:rPr>
            </w:pPr>
            <w:r w:rsidRPr="00E47287">
              <w:rPr>
                <w:rFonts w:cstheme="minorHAnsi"/>
                <w:lang w:val="en-US"/>
              </w:rPr>
              <w:t xml:space="preserve">3.3 </w:t>
            </w:r>
            <w:r w:rsidR="00B13C6D" w:rsidRPr="00B13C6D">
              <w:rPr>
                <w:rFonts w:cstheme="minorHAnsi"/>
                <w:lang w:val="en-US"/>
              </w:rPr>
              <w:t xml:space="preserve">Incorporate the multidimensional perspective in the formulation of the new CPD to enhance synergy and collaboration between UNDP program areas, and identify new opportunities for inter-cluster collaboration through workshops </w:t>
            </w:r>
            <w:r w:rsidR="00104F8F">
              <w:rPr>
                <w:rFonts w:cstheme="minorHAnsi"/>
                <w:lang w:val="en-US"/>
              </w:rPr>
              <w:t>imparted</w:t>
            </w:r>
            <w:r w:rsidR="00B13C6D" w:rsidRPr="00B13C6D">
              <w:rPr>
                <w:rFonts w:cstheme="minorHAnsi"/>
                <w:lang w:val="en-US"/>
              </w:rPr>
              <w:t xml:space="preserve"> by</w:t>
            </w:r>
            <w:r w:rsidR="00B13C6D">
              <w:rPr>
                <w:rFonts w:cstheme="minorHAnsi"/>
                <w:lang w:val="en-US"/>
              </w:rPr>
              <w:t xml:space="preserve"> the LAB.</w:t>
            </w:r>
          </w:p>
          <w:p w14:paraId="1F8C1455" w14:textId="4E773D5F" w:rsidR="00523C11" w:rsidRPr="00E47287" w:rsidRDefault="00523C11" w:rsidP="005713D3">
            <w:pPr>
              <w:tabs>
                <w:tab w:val="left" w:pos="1080"/>
              </w:tabs>
              <w:spacing w:after="0" w:line="240" w:lineRule="auto"/>
              <w:jc w:val="both"/>
              <w:rPr>
                <w:rFonts w:cstheme="minorHAnsi"/>
                <w:lang w:val="en-US"/>
              </w:rPr>
            </w:pPr>
          </w:p>
        </w:tc>
        <w:tc>
          <w:tcPr>
            <w:tcW w:w="1164" w:type="pct"/>
          </w:tcPr>
          <w:p w14:paraId="5BF4C79C" w14:textId="75AA5FE1" w:rsidR="009F5671" w:rsidRPr="00E47287" w:rsidRDefault="009F5671" w:rsidP="009F5671">
            <w:pPr>
              <w:tabs>
                <w:tab w:val="left" w:pos="1080"/>
              </w:tabs>
              <w:spacing w:after="0" w:line="240" w:lineRule="auto"/>
              <w:jc w:val="both"/>
              <w:rPr>
                <w:rFonts w:cstheme="minorHAnsi"/>
                <w:lang w:val="en-US"/>
              </w:rPr>
            </w:pPr>
            <w:r w:rsidRPr="00E47287">
              <w:rPr>
                <w:rFonts w:cstheme="minorHAnsi"/>
                <w:lang w:val="en-US"/>
              </w:rPr>
              <w:t>31-12-2021</w:t>
            </w:r>
          </w:p>
        </w:tc>
        <w:tc>
          <w:tcPr>
            <w:tcW w:w="1055" w:type="pct"/>
          </w:tcPr>
          <w:p w14:paraId="589A977E" w14:textId="208DD12E" w:rsidR="009F5671" w:rsidRPr="00E47287" w:rsidRDefault="00AA5210" w:rsidP="009F5671">
            <w:pPr>
              <w:tabs>
                <w:tab w:val="left" w:pos="1080"/>
              </w:tabs>
              <w:spacing w:after="0" w:line="240" w:lineRule="auto"/>
              <w:jc w:val="both"/>
              <w:rPr>
                <w:rFonts w:cstheme="minorHAnsi"/>
                <w:lang w:val="en-US"/>
              </w:rPr>
            </w:pPr>
            <w:r>
              <w:rPr>
                <w:rFonts w:cstheme="minorHAnsi"/>
                <w:lang w:val="en-US"/>
              </w:rPr>
              <w:t xml:space="preserve">Programme </w:t>
            </w:r>
            <w:r w:rsidR="00A6577C">
              <w:rPr>
                <w:rFonts w:cstheme="minorHAnsi"/>
                <w:lang w:val="en-US"/>
              </w:rPr>
              <w:t>areas</w:t>
            </w:r>
            <w:r>
              <w:rPr>
                <w:rFonts w:cstheme="minorHAnsi"/>
                <w:lang w:val="en-US"/>
              </w:rPr>
              <w:t>, LAB and</w:t>
            </w:r>
            <w:r w:rsidRPr="00E47287">
              <w:rPr>
                <w:rFonts w:cstheme="minorHAnsi"/>
                <w:lang w:val="en-US"/>
              </w:rPr>
              <w:t xml:space="preserve"> M&amp;E</w:t>
            </w:r>
          </w:p>
        </w:tc>
        <w:tc>
          <w:tcPr>
            <w:tcW w:w="509" w:type="pct"/>
          </w:tcPr>
          <w:p w14:paraId="3DB2A539" w14:textId="77777777" w:rsidR="009F5671" w:rsidRPr="00E47287" w:rsidRDefault="009F5671" w:rsidP="009F5671">
            <w:pPr>
              <w:tabs>
                <w:tab w:val="left" w:pos="1080"/>
              </w:tabs>
              <w:spacing w:after="0" w:line="240" w:lineRule="auto"/>
              <w:jc w:val="both"/>
              <w:rPr>
                <w:rFonts w:cstheme="minorHAnsi"/>
                <w:color w:val="185262"/>
                <w:lang w:val="en-US"/>
              </w:rPr>
            </w:pPr>
          </w:p>
        </w:tc>
        <w:tc>
          <w:tcPr>
            <w:tcW w:w="482" w:type="pct"/>
          </w:tcPr>
          <w:p w14:paraId="09795D7E" w14:textId="77777777" w:rsidR="009F5671" w:rsidRPr="00E47287" w:rsidRDefault="009F5671" w:rsidP="009F5671">
            <w:pPr>
              <w:tabs>
                <w:tab w:val="left" w:pos="1080"/>
              </w:tabs>
              <w:spacing w:after="0" w:line="240" w:lineRule="auto"/>
              <w:jc w:val="both"/>
              <w:rPr>
                <w:rFonts w:cstheme="minorHAnsi"/>
                <w:color w:val="185262"/>
                <w:lang w:val="en-US"/>
              </w:rPr>
            </w:pPr>
          </w:p>
        </w:tc>
      </w:tr>
      <w:tr w:rsidR="009F5671" w:rsidRPr="00E47287" w14:paraId="7B1C60F0" w14:textId="77777777" w:rsidTr="001A11BB">
        <w:tc>
          <w:tcPr>
            <w:tcW w:w="5000" w:type="pct"/>
            <w:gridSpan w:val="5"/>
            <w:shd w:val="clear" w:color="auto" w:fill="EAF6F3"/>
          </w:tcPr>
          <w:p w14:paraId="3D4F46B7" w14:textId="77777777" w:rsidR="008D01E7" w:rsidRPr="00E47287" w:rsidRDefault="009F5671" w:rsidP="009F5671">
            <w:pPr>
              <w:spacing w:after="0" w:line="240" w:lineRule="auto"/>
              <w:jc w:val="both"/>
              <w:rPr>
                <w:b/>
                <w:bCs/>
                <w:lang w:val="en-US"/>
              </w:rPr>
            </w:pPr>
            <w:r w:rsidRPr="00E47287">
              <w:rPr>
                <w:rFonts w:cstheme="minorHAnsi"/>
                <w:color w:val="185262"/>
                <w:lang w:val="en-US"/>
              </w:rPr>
              <w:br w:type="page"/>
            </w:r>
            <w:r w:rsidRPr="00E47287">
              <w:rPr>
                <w:rFonts w:cstheme="minorHAnsi"/>
                <w:b/>
                <w:color w:val="185262"/>
                <w:lang w:val="en-US"/>
              </w:rPr>
              <w:t xml:space="preserve">Evaluation </w:t>
            </w:r>
            <w:r w:rsidR="008D01E7" w:rsidRPr="00E47287">
              <w:rPr>
                <w:rFonts w:cstheme="minorHAnsi"/>
                <w:b/>
                <w:color w:val="185262"/>
                <w:lang w:val="en-US"/>
              </w:rPr>
              <w:t>R</w:t>
            </w:r>
            <w:r w:rsidRPr="00E47287">
              <w:rPr>
                <w:rFonts w:cstheme="minorHAnsi"/>
                <w:b/>
                <w:color w:val="185262"/>
                <w:lang w:val="en-US"/>
              </w:rPr>
              <w:t xml:space="preserve">ecommendation 4. </w:t>
            </w:r>
            <w:r w:rsidR="008D01E7" w:rsidRPr="00E47287">
              <w:rPr>
                <w:b/>
                <w:bCs/>
                <w:lang w:val="en-US"/>
              </w:rPr>
              <w:t>With a view to enhancing its contributions to gender equality and women’s empowerment, UNDP should strengthen its gender mainstreaming and advocacy work across all programme areas. Emphasis should be placed on ensuring the adequate integration of a gender dimension and rights-based approach in the implementation of all policies and strategies at the sub-national level, including local pilot initiatives.</w:t>
            </w:r>
          </w:p>
          <w:p w14:paraId="2509CA7B" w14:textId="77777777" w:rsidR="00EA34F9" w:rsidRDefault="00352E6A" w:rsidP="00F85743">
            <w:pPr>
              <w:spacing w:after="0" w:line="240" w:lineRule="auto"/>
              <w:jc w:val="both"/>
              <w:rPr>
                <w:lang w:val="en-US"/>
              </w:rPr>
            </w:pPr>
            <w:r w:rsidRPr="00E47287">
              <w:rPr>
                <w:lang w:val="en-US"/>
              </w:rPr>
              <w:t>Building from its existent recognition in gender mainstreaming, UNDP should strengthen its technical advisory role and support towards achieving long-term gender results, with the aim of moving towards more gender transformative results. At the same time, UNDP should sustain its strategic partnerships with the government, private sector and civil society actors across all programmatic areas to enhance gender capacities at the institutional level, as a building block for long-term gender results. Especially with the private sector, it should expand its collaboration and advocacy role with a focus on reducing the existing gender gap in women’s participation in decision-making positions.</w:t>
            </w:r>
          </w:p>
          <w:p w14:paraId="61CC711D" w14:textId="20E5A579" w:rsidR="00523C11" w:rsidRPr="00E47287" w:rsidRDefault="00523C11" w:rsidP="00F85743">
            <w:pPr>
              <w:spacing w:after="0" w:line="240" w:lineRule="auto"/>
              <w:jc w:val="both"/>
              <w:rPr>
                <w:rFonts w:cstheme="minorHAnsi"/>
                <w:b/>
                <w:color w:val="185262"/>
                <w:lang w:val="en-US"/>
              </w:rPr>
            </w:pPr>
          </w:p>
        </w:tc>
      </w:tr>
      <w:tr w:rsidR="009F5671" w:rsidRPr="00D450D0" w14:paraId="7DA57E6A" w14:textId="77777777" w:rsidTr="001A11BB">
        <w:tc>
          <w:tcPr>
            <w:tcW w:w="5000" w:type="pct"/>
            <w:gridSpan w:val="5"/>
            <w:shd w:val="clear" w:color="auto" w:fill="EAF6F3"/>
          </w:tcPr>
          <w:p w14:paraId="75DC3D4B" w14:textId="5AFB62A4" w:rsidR="00D450D0" w:rsidRPr="00D450D0" w:rsidRDefault="009F5671" w:rsidP="00D450D0">
            <w:pPr>
              <w:tabs>
                <w:tab w:val="left" w:pos="1080"/>
              </w:tabs>
              <w:spacing w:after="0" w:line="240" w:lineRule="auto"/>
              <w:jc w:val="both"/>
              <w:rPr>
                <w:rFonts w:cstheme="minorHAnsi"/>
                <w:lang w:val="en-US"/>
              </w:rPr>
            </w:pPr>
            <w:r w:rsidRPr="00472BF3">
              <w:rPr>
                <w:rFonts w:cstheme="minorHAnsi"/>
                <w:b/>
                <w:color w:val="185262"/>
                <w:lang w:val="en-US"/>
              </w:rPr>
              <w:lastRenderedPageBreak/>
              <w:t>Management response</w:t>
            </w:r>
            <w:r w:rsidRPr="00472BF3">
              <w:rPr>
                <w:rFonts w:cstheme="minorHAnsi"/>
                <w:color w:val="185262"/>
                <w:lang w:val="en-US"/>
              </w:rPr>
              <w:t xml:space="preserve">: </w:t>
            </w:r>
            <w:r w:rsidR="00D450D0" w:rsidRPr="00D450D0">
              <w:rPr>
                <w:rFonts w:cstheme="minorHAnsi"/>
                <w:lang w:val="en-US"/>
              </w:rPr>
              <w:t xml:space="preserve">The Office has raised this issue as a priority during the execution of the </w:t>
            </w:r>
            <w:r w:rsidR="00B65951">
              <w:rPr>
                <w:rFonts w:cstheme="minorHAnsi"/>
                <w:lang w:val="en-US"/>
              </w:rPr>
              <w:t xml:space="preserve">CPD </w:t>
            </w:r>
            <w:r w:rsidR="00B65951" w:rsidRPr="00D450D0">
              <w:rPr>
                <w:rFonts w:cstheme="minorHAnsi"/>
                <w:lang w:val="en-US"/>
              </w:rPr>
              <w:t>and</w:t>
            </w:r>
            <w:r w:rsidR="00D450D0" w:rsidRPr="00D450D0">
              <w:rPr>
                <w:rFonts w:cstheme="minorHAnsi"/>
                <w:lang w:val="en-US"/>
              </w:rPr>
              <w:t xml:space="preserve"> has a Gender Unit </w:t>
            </w:r>
            <w:r w:rsidR="00EB7754">
              <w:rPr>
                <w:rFonts w:cstheme="minorHAnsi"/>
                <w:lang w:val="en-US"/>
              </w:rPr>
              <w:t xml:space="preserve">conformed by </w:t>
            </w:r>
            <w:r w:rsidR="00D450D0" w:rsidRPr="00D450D0">
              <w:rPr>
                <w:rFonts w:cstheme="minorHAnsi"/>
                <w:lang w:val="en-US"/>
              </w:rPr>
              <w:t>a specialist and an associate dedicated exclusively to mainstreaming the gender equality approach in all projects, initiatives and activities carrie</w:t>
            </w:r>
            <w:r w:rsidR="00230FBA">
              <w:rPr>
                <w:rFonts w:cstheme="minorHAnsi"/>
                <w:lang w:val="en-US"/>
              </w:rPr>
              <w:t>d</w:t>
            </w:r>
            <w:r w:rsidR="00D450D0" w:rsidRPr="00D450D0">
              <w:rPr>
                <w:rFonts w:cstheme="minorHAnsi"/>
                <w:lang w:val="en-US"/>
              </w:rPr>
              <w:t xml:space="preserve"> out</w:t>
            </w:r>
            <w:r w:rsidR="00230FBA">
              <w:rPr>
                <w:rFonts w:cstheme="minorHAnsi"/>
                <w:lang w:val="en-US"/>
              </w:rPr>
              <w:t xml:space="preserve"> by the Office</w:t>
            </w:r>
            <w:r w:rsidR="00D450D0" w:rsidRPr="00D450D0">
              <w:rPr>
                <w:rFonts w:cstheme="minorHAnsi"/>
                <w:lang w:val="en-US"/>
              </w:rPr>
              <w:t xml:space="preserve">, both with </w:t>
            </w:r>
            <w:r w:rsidR="000D5E28">
              <w:rPr>
                <w:rFonts w:cstheme="minorHAnsi"/>
                <w:lang w:val="en-US"/>
              </w:rPr>
              <w:t xml:space="preserve">the </w:t>
            </w:r>
            <w:r w:rsidR="00D450D0" w:rsidRPr="00D450D0">
              <w:rPr>
                <w:rFonts w:cstheme="minorHAnsi"/>
                <w:lang w:val="en-US"/>
              </w:rPr>
              <w:t>counterparts and those of direct implementation. Likewise, the program</w:t>
            </w:r>
            <w:r w:rsidR="000D5E28">
              <w:rPr>
                <w:rFonts w:cstheme="minorHAnsi"/>
                <w:lang w:val="en-US"/>
              </w:rPr>
              <w:t>me</w:t>
            </w:r>
            <w:r w:rsidR="00D450D0" w:rsidRPr="00D450D0">
              <w:rPr>
                <w:rFonts w:cstheme="minorHAnsi"/>
                <w:lang w:val="en-US"/>
              </w:rPr>
              <w:t xml:space="preserve"> officers have been trained to incorporate the </w:t>
            </w:r>
            <w:r w:rsidR="000D5E28">
              <w:rPr>
                <w:rFonts w:cstheme="minorHAnsi"/>
                <w:lang w:val="en-US"/>
              </w:rPr>
              <w:t xml:space="preserve">gender </w:t>
            </w:r>
            <w:r w:rsidR="00D450D0" w:rsidRPr="00D450D0">
              <w:rPr>
                <w:rFonts w:cstheme="minorHAnsi"/>
                <w:lang w:val="en-US"/>
              </w:rPr>
              <w:t>approach from the beginning</w:t>
            </w:r>
            <w:r w:rsidR="000D5E28">
              <w:rPr>
                <w:rFonts w:cstheme="minorHAnsi"/>
                <w:lang w:val="en-US"/>
              </w:rPr>
              <w:t xml:space="preserve">, </w:t>
            </w:r>
            <w:r w:rsidR="00D450D0" w:rsidRPr="00D450D0">
              <w:rPr>
                <w:rFonts w:cstheme="minorHAnsi"/>
                <w:lang w:val="en-US"/>
              </w:rPr>
              <w:t xml:space="preserve">in the project formulation stage. Recommendations are actively made to incorporate the </w:t>
            </w:r>
            <w:r w:rsidR="009B4B87">
              <w:rPr>
                <w:rFonts w:cstheme="minorHAnsi"/>
                <w:lang w:val="en-US"/>
              </w:rPr>
              <w:t>gender approach</w:t>
            </w:r>
            <w:r w:rsidR="00D450D0" w:rsidRPr="00D450D0">
              <w:rPr>
                <w:rFonts w:cstheme="minorHAnsi"/>
                <w:lang w:val="en-US"/>
              </w:rPr>
              <w:t xml:space="preserve">, </w:t>
            </w:r>
            <w:r w:rsidR="009B4B87">
              <w:rPr>
                <w:rFonts w:cstheme="minorHAnsi"/>
                <w:lang w:val="en-US"/>
              </w:rPr>
              <w:t xml:space="preserve">as well as </w:t>
            </w:r>
            <w:r w:rsidR="00D450D0" w:rsidRPr="00D450D0">
              <w:rPr>
                <w:rFonts w:cstheme="minorHAnsi"/>
                <w:lang w:val="en-US"/>
              </w:rPr>
              <w:t xml:space="preserve">training </w:t>
            </w:r>
            <w:r w:rsidR="00F53B1C">
              <w:rPr>
                <w:rFonts w:cstheme="minorHAnsi"/>
                <w:lang w:val="en-US"/>
              </w:rPr>
              <w:t xml:space="preserve">activities </w:t>
            </w:r>
            <w:r w:rsidR="00D450D0" w:rsidRPr="00D450D0">
              <w:rPr>
                <w:rFonts w:cstheme="minorHAnsi"/>
                <w:lang w:val="en-US"/>
              </w:rPr>
              <w:t>and specific technical assistance</w:t>
            </w:r>
            <w:r w:rsidR="00F53B1C">
              <w:rPr>
                <w:rFonts w:cstheme="minorHAnsi"/>
                <w:lang w:val="en-US"/>
              </w:rPr>
              <w:t>s</w:t>
            </w:r>
            <w:r w:rsidR="00D450D0" w:rsidRPr="00D450D0">
              <w:rPr>
                <w:rFonts w:cstheme="minorHAnsi"/>
                <w:lang w:val="en-US"/>
              </w:rPr>
              <w:t>.</w:t>
            </w:r>
          </w:p>
          <w:p w14:paraId="67CAADB9" w14:textId="0B6CEBD9" w:rsidR="00D450D0" w:rsidRPr="00D450D0" w:rsidRDefault="00D450D0" w:rsidP="00D450D0">
            <w:pPr>
              <w:tabs>
                <w:tab w:val="left" w:pos="1080"/>
              </w:tabs>
              <w:spacing w:after="0" w:line="240" w:lineRule="auto"/>
              <w:jc w:val="both"/>
              <w:rPr>
                <w:rFonts w:cstheme="minorHAnsi"/>
                <w:lang w:val="en-US"/>
              </w:rPr>
            </w:pPr>
            <w:r w:rsidRPr="00D450D0">
              <w:rPr>
                <w:rFonts w:cstheme="minorHAnsi"/>
                <w:lang w:val="en-US"/>
              </w:rPr>
              <w:t>In this framework, the Office will continue to carry out actions to promote the sustainability of actions for the promotion of gender equality in all program</w:t>
            </w:r>
            <w:r w:rsidR="00F53B1C">
              <w:rPr>
                <w:rFonts w:cstheme="minorHAnsi"/>
                <w:lang w:val="en-US"/>
              </w:rPr>
              <w:t>me</w:t>
            </w:r>
            <w:r w:rsidRPr="00D450D0">
              <w:rPr>
                <w:rFonts w:cstheme="minorHAnsi"/>
                <w:lang w:val="en-US"/>
              </w:rPr>
              <w:t xml:space="preserve"> initiatives at the national and sub-national levels</w:t>
            </w:r>
            <w:r w:rsidR="0076744E">
              <w:rPr>
                <w:rFonts w:cstheme="minorHAnsi"/>
                <w:lang w:val="en-US"/>
              </w:rPr>
              <w:t>,</w:t>
            </w:r>
            <w:r w:rsidRPr="00D450D0">
              <w:rPr>
                <w:rFonts w:cstheme="minorHAnsi"/>
                <w:lang w:val="en-US"/>
              </w:rPr>
              <w:t xml:space="preserve"> so that the </w:t>
            </w:r>
            <w:r w:rsidR="006615DA">
              <w:rPr>
                <w:rFonts w:cstheme="minorHAnsi"/>
                <w:lang w:val="en-US"/>
              </w:rPr>
              <w:t xml:space="preserve">counterparts </w:t>
            </w:r>
            <w:r w:rsidR="0051540D">
              <w:rPr>
                <w:rFonts w:cstheme="minorHAnsi"/>
                <w:lang w:val="en-US"/>
              </w:rPr>
              <w:t xml:space="preserve">put into practice the </w:t>
            </w:r>
            <w:r w:rsidRPr="00D450D0">
              <w:rPr>
                <w:rFonts w:cstheme="minorHAnsi"/>
                <w:lang w:val="en-US"/>
              </w:rPr>
              <w:t>agreed recommendations.</w:t>
            </w:r>
          </w:p>
          <w:p w14:paraId="0ABFDD9D" w14:textId="21CCB538" w:rsidR="009F5671" w:rsidRPr="00D450D0" w:rsidRDefault="009F5671" w:rsidP="009F5671">
            <w:pPr>
              <w:tabs>
                <w:tab w:val="left" w:pos="1080"/>
              </w:tabs>
              <w:spacing w:after="0" w:line="240" w:lineRule="auto"/>
              <w:jc w:val="both"/>
              <w:rPr>
                <w:rFonts w:cstheme="minorHAnsi"/>
                <w:color w:val="185262"/>
                <w:lang w:val="en-US"/>
              </w:rPr>
            </w:pPr>
          </w:p>
        </w:tc>
      </w:tr>
      <w:tr w:rsidR="009F5671" w:rsidRPr="00E47287" w14:paraId="2DA3C40D" w14:textId="77777777" w:rsidTr="00B1422E">
        <w:trPr>
          <w:trHeight w:val="135"/>
        </w:trPr>
        <w:tc>
          <w:tcPr>
            <w:tcW w:w="1790" w:type="pct"/>
            <w:vMerge w:val="restart"/>
            <w:shd w:val="clear" w:color="auto" w:fill="EAF6F3"/>
          </w:tcPr>
          <w:p w14:paraId="50EF930E" w14:textId="77777777" w:rsidR="009F5671" w:rsidRPr="00E47287" w:rsidRDefault="009F5671" w:rsidP="009F5671">
            <w:pPr>
              <w:tabs>
                <w:tab w:val="left" w:pos="1080"/>
              </w:tabs>
              <w:spacing w:after="0" w:line="240" w:lineRule="auto"/>
              <w:jc w:val="both"/>
              <w:rPr>
                <w:rFonts w:cstheme="minorHAnsi"/>
                <w:b/>
                <w:color w:val="185262"/>
                <w:lang w:val="en-US"/>
              </w:rPr>
            </w:pPr>
            <w:r w:rsidRPr="00E47287">
              <w:rPr>
                <w:rFonts w:cstheme="minorHAnsi"/>
                <w:b/>
                <w:color w:val="185262"/>
                <w:lang w:val="en-US"/>
              </w:rPr>
              <w:t>Key action(s)</w:t>
            </w:r>
          </w:p>
        </w:tc>
        <w:tc>
          <w:tcPr>
            <w:tcW w:w="1164" w:type="pct"/>
            <w:vMerge w:val="restart"/>
            <w:shd w:val="clear" w:color="auto" w:fill="EAF6F3"/>
          </w:tcPr>
          <w:p w14:paraId="11E96551" w14:textId="77777777" w:rsidR="009F5671" w:rsidRPr="00E47287" w:rsidRDefault="009F5671" w:rsidP="009F5671">
            <w:pPr>
              <w:tabs>
                <w:tab w:val="left" w:pos="1080"/>
              </w:tabs>
              <w:spacing w:after="0" w:line="240" w:lineRule="auto"/>
              <w:jc w:val="both"/>
              <w:rPr>
                <w:rFonts w:cstheme="minorHAnsi"/>
                <w:b/>
                <w:color w:val="185262"/>
                <w:lang w:val="en-US"/>
              </w:rPr>
            </w:pPr>
            <w:r w:rsidRPr="00E47287">
              <w:rPr>
                <w:rFonts w:cstheme="minorHAnsi"/>
                <w:b/>
                <w:color w:val="185262"/>
                <w:lang w:val="en-US"/>
              </w:rPr>
              <w:t>Completion date</w:t>
            </w:r>
          </w:p>
        </w:tc>
        <w:tc>
          <w:tcPr>
            <w:tcW w:w="1055" w:type="pct"/>
            <w:vMerge w:val="restart"/>
            <w:shd w:val="clear" w:color="auto" w:fill="EAF6F3"/>
          </w:tcPr>
          <w:p w14:paraId="41E0971D" w14:textId="77777777" w:rsidR="009F5671" w:rsidRPr="00E47287" w:rsidRDefault="009F5671" w:rsidP="009F5671">
            <w:pPr>
              <w:tabs>
                <w:tab w:val="left" w:pos="1080"/>
              </w:tabs>
              <w:spacing w:after="0" w:line="240" w:lineRule="auto"/>
              <w:jc w:val="both"/>
              <w:rPr>
                <w:rFonts w:cstheme="minorHAnsi"/>
                <w:b/>
                <w:color w:val="185262"/>
                <w:lang w:val="en-US"/>
              </w:rPr>
            </w:pPr>
            <w:r w:rsidRPr="00E47287">
              <w:rPr>
                <w:rFonts w:cstheme="minorHAnsi"/>
                <w:b/>
                <w:color w:val="185262"/>
                <w:lang w:val="en-US"/>
              </w:rPr>
              <w:t>Responsible unit(s)</w:t>
            </w:r>
          </w:p>
        </w:tc>
        <w:tc>
          <w:tcPr>
            <w:tcW w:w="991" w:type="pct"/>
            <w:gridSpan w:val="2"/>
            <w:shd w:val="clear" w:color="auto" w:fill="EAF6F3"/>
          </w:tcPr>
          <w:p w14:paraId="60120056" w14:textId="77777777" w:rsidR="009F5671" w:rsidRPr="00E47287" w:rsidRDefault="009F5671" w:rsidP="009F5671">
            <w:pPr>
              <w:tabs>
                <w:tab w:val="left" w:pos="1080"/>
              </w:tabs>
              <w:spacing w:after="0" w:line="240" w:lineRule="auto"/>
              <w:jc w:val="both"/>
              <w:rPr>
                <w:rFonts w:cstheme="minorHAnsi"/>
                <w:b/>
                <w:color w:val="185262"/>
                <w:lang w:val="en-US"/>
              </w:rPr>
            </w:pPr>
            <w:r w:rsidRPr="00E47287">
              <w:rPr>
                <w:rFonts w:cstheme="minorHAnsi"/>
                <w:b/>
                <w:color w:val="185262"/>
                <w:lang w:val="en-US"/>
              </w:rPr>
              <w:t>Tracking</w:t>
            </w:r>
          </w:p>
        </w:tc>
      </w:tr>
      <w:tr w:rsidR="009F5671" w:rsidRPr="00E47287" w14:paraId="5F7CFE11" w14:textId="77777777" w:rsidTr="00B1422E">
        <w:trPr>
          <w:trHeight w:val="135"/>
        </w:trPr>
        <w:tc>
          <w:tcPr>
            <w:tcW w:w="1790" w:type="pct"/>
            <w:vMerge/>
            <w:shd w:val="clear" w:color="auto" w:fill="F3F3F3"/>
          </w:tcPr>
          <w:p w14:paraId="7EA4F445" w14:textId="77777777" w:rsidR="009F5671" w:rsidRPr="00E47287" w:rsidRDefault="009F5671" w:rsidP="009F5671">
            <w:pPr>
              <w:tabs>
                <w:tab w:val="left" w:pos="1080"/>
              </w:tabs>
              <w:spacing w:after="0" w:line="240" w:lineRule="auto"/>
              <w:jc w:val="both"/>
              <w:rPr>
                <w:rFonts w:cstheme="minorHAnsi"/>
                <w:color w:val="185262"/>
                <w:lang w:val="en-US"/>
              </w:rPr>
            </w:pPr>
          </w:p>
        </w:tc>
        <w:tc>
          <w:tcPr>
            <w:tcW w:w="1164" w:type="pct"/>
            <w:vMerge/>
            <w:shd w:val="clear" w:color="auto" w:fill="F3F3F3"/>
          </w:tcPr>
          <w:p w14:paraId="193BFB32" w14:textId="77777777" w:rsidR="009F5671" w:rsidRPr="00E47287" w:rsidRDefault="009F5671" w:rsidP="009F5671">
            <w:pPr>
              <w:tabs>
                <w:tab w:val="left" w:pos="1080"/>
              </w:tabs>
              <w:spacing w:after="0" w:line="240" w:lineRule="auto"/>
              <w:jc w:val="both"/>
              <w:rPr>
                <w:rFonts w:cstheme="minorHAnsi"/>
                <w:b/>
                <w:color w:val="185262"/>
                <w:lang w:val="en-US"/>
              </w:rPr>
            </w:pPr>
          </w:p>
        </w:tc>
        <w:tc>
          <w:tcPr>
            <w:tcW w:w="1055" w:type="pct"/>
            <w:vMerge/>
            <w:shd w:val="clear" w:color="auto" w:fill="F3F3F3"/>
          </w:tcPr>
          <w:p w14:paraId="2D207805" w14:textId="77777777" w:rsidR="009F5671" w:rsidRPr="00E47287" w:rsidRDefault="009F5671" w:rsidP="009F5671">
            <w:pPr>
              <w:tabs>
                <w:tab w:val="left" w:pos="1080"/>
              </w:tabs>
              <w:spacing w:after="0" w:line="240" w:lineRule="auto"/>
              <w:jc w:val="both"/>
              <w:rPr>
                <w:rFonts w:cstheme="minorHAnsi"/>
                <w:b/>
                <w:color w:val="185262"/>
                <w:lang w:val="en-US"/>
              </w:rPr>
            </w:pPr>
          </w:p>
        </w:tc>
        <w:tc>
          <w:tcPr>
            <w:tcW w:w="509" w:type="pct"/>
          </w:tcPr>
          <w:p w14:paraId="51A91CE6" w14:textId="77777777" w:rsidR="009F5671" w:rsidRPr="00E47287" w:rsidRDefault="009F5671" w:rsidP="009F5671">
            <w:pPr>
              <w:tabs>
                <w:tab w:val="left" w:pos="1080"/>
              </w:tabs>
              <w:spacing w:after="0" w:line="240" w:lineRule="auto"/>
              <w:jc w:val="both"/>
              <w:rPr>
                <w:rFonts w:cstheme="minorHAnsi"/>
                <w:b/>
                <w:color w:val="185262"/>
                <w:lang w:val="en-US"/>
              </w:rPr>
            </w:pPr>
            <w:r w:rsidRPr="00E47287">
              <w:rPr>
                <w:rFonts w:cstheme="minorHAnsi"/>
                <w:b/>
                <w:color w:val="185262"/>
                <w:lang w:val="en-US"/>
              </w:rPr>
              <w:t>Comments</w:t>
            </w:r>
          </w:p>
        </w:tc>
        <w:tc>
          <w:tcPr>
            <w:tcW w:w="482" w:type="pct"/>
          </w:tcPr>
          <w:p w14:paraId="5FC68F86" w14:textId="55B39EE2" w:rsidR="009F5671" w:rsidRPr="00E47287" w:rsidRDefault="00FB7DA8" w:rsidP="009F5671">
            <w:pPr>
              <w:tabs>
                <w:tab w:val="left" w:pos="1080"/>
              </w:tabs>
              <w:spacing w:after="0" w:line="240" w:lineRule="auto"/>
              <w:jc w:val="both"/>
              <w:rPr>
                <w:rFonts w:cstheme="minorHAnsi"/>
                <w:b/>
                <w:color w:val="185262"/>
                <w:lang w:val="en-US"/>
              </w:rPr>
            </w:pPr>
            <w:r w:rsidRPr="00E47287">
              <w:rPr>
                <w:rFonts w:cstheme="minorHAnsi"/>
                <w:b/>
                <w:color w:val="185262"/>
                <w:lang w:val="en-US"/>
              </w:rPr>
              <w:t>Status</w:t>
            </w:r>
          </w:p>
        </w:tc>
      </w:tr>
      <w:tr w:rsidR="009F5671" w:rsidRPr="00E47287" w14:paraId="388282F9" w14:textId="77777777" w:rsidTr="00B1422E">
        <w:tc>
          <w:tcPr>
            <w:tcW w:w="1790" w:type="pct"/>
          </w:tcPr>
          <w:p w14:paraId="592BABB7" w14:textId="265220E0" w:rsidR="0057600B" w:rsidRPr="00E47287" w:rsidRDefault="009F5671" w:rsidP="00E467E8">
            <w:pPr>
              <w:tabs>
                <w:tab w:val="left" w:pos="1080"/>
              </w:tabs>
              <w:spacing w:after="0" w:line="240" w:lineRule="auto"/>
              <w:jc w:val="both"/>
              <w:rPr>
                <w:rFonts w:cstheme="minorHAnsi"/>
                <w:lang w:val="en-US"/>
              </w:rPr>
            </w:pPr>
            <w:r w:rsidRPr="00E47287">
              <w:rPr>
                <w:rFonts w:cstheme="minorHAnsi"/>
                <w:lang w:val="en-US"/>
              </w:rPr>
              <w:t xml:space="preserve">4.1 </w:t>
            </w:r>
            <w:r w:rsidR="0057600B" w:rsidRPr="0057600B">
              <w:rPr>
                <w:rFonts w:cstheme="minorHAnsi"/>
                <w:lang w:val="en-US"/>
              </w:rPr>
              <w:t xml:space="preserve">Continue making recommendations and </w:t>
            </w:r>
            <w:r w:rsidR="00F17779">
              <w:rPr>
                <w:rFonts w:cstheme="minorHAnsi"/>
                <w:lang w:val="en-US"/>
              </w:rPr>
              <w:t xml:space="preserve">providing </w:t>
            </w:r>
            <w:r w:rsidR="0057600B" w:rsidRPr="0057600B">
              <w:rPr>
                <w:rFonts w:cstheme="minorHAnsi"/>
                <w:lang w:val="en-US"/>
              </w:rPr>
              <w:t xml:space="preserve">technical assistance </w:t>
            </w:r>
            <w:r w:rsidR="00CF0710">
              <w:rPr>
                <w:rFonts w:cstheme="minorHAnsi"/>
                <w:lang w:val="en-US"/>
              </w:rPr>
              <w:t>to mainstr</w:t>
            </w:r>
            <w:r w:rsidR="00941CD3">
              <w:rPr>
                <w:rFonts w:cstheme="minorHAnsi"/>
                <w:lang w:val="en-US"/>
              </w:rPr>
              <w:t xml:space="preserve">eam </w:t>
            </w:r>
            <w:r w:rsidR="00E467E8">
              <w:rPr>
                <w:rFonts w:cstheme="minorHAnsi"/>
                <w:lang w:val="en-US"/>
              </w:rPr>
              <w:t xml:space="preserve">the </w:t>
            </w:r>
            <w:r w:rsidR="0057600B" w:rsidRPr="0057600B">
              <w:rPr>
                <w:rFonts w:cstheme="minorHAnsi"/>
                <w:lang w:val="en-US"/>
              </w:rPr>
              <w:t>gender equality approach in all projects and initiatives of the Program.</w:t>
            </w:r>
          </w:p>
        </w:tc>
        <w:tc>
          <w:tcPr>
            <w:tcW w:w="1164" w:type="pct"/>
          </w:tcPr>
          <w:p w14:paraId="7B6767A4" w14:textId="7A8710F0" w:rsidR="009F5671" w:rsidRPr="00E47287" w:rsidRDefault="00BF57B4" w:rsidP="009F5671">
            <w:pPr>
              <w:tabs>
                <w:tab w:val="left" w:pos="1080"/>
              </w:tabs>
              <w:spacing w:after="0" w:line="240" w:lineRule="auto"/>
              <w:jc w:val="both"/>
              <w:rPr>
                <w:rFonts w:cstheme="minorHAnsi"/>
                <w:lang w:val="en-US"/>
              </w:rPr>
            </w:pPr>
            <w:r w:rsidRPr="00E47287">
              <w:rPr>
                <w:rFonts w:cstheme="minorHAnsi"/>
                <w:lang w:val="en-US"/>
              </w:rPr>
              <w:t>31-12-2021</w:t>
            </w:r>
          </w:p>
        </w:tc>
        <w:tc>
          <w:tcPr>
            <w:tcW w:w="1055" w:type="pct"/>
          </w:tcPr>
          <w:p w14:paraId="48FFE874" w14:textId="5B5ED3F3" w:rsidR="009F5671" w:rsidRPr="00E47287" w:rsidRDefault="00AA5210" w:rsidP="009F5671">
            <w:pPr>
              <w:tabs>
                <w:tab w:val="left" w:pos="1080"/>
              </w:tabs>
              <w:spacing w:after="0" w:line="240" w:lineRule="auto"/>
              <w:jc w:val="both"/>
              <w:rPr>
                <w:rFonts w:cstheme="minorHAnsi"/>
                <w:lang w:val="en-US"/>
              </w:rPr>
            </w:pPr>
            <w:r>
              <w:rPr>
                <w:rFonts w:cstheme="minorHAnsi"/>
                <w:lang w:val="en-US"/>
              </w:rPr>
              <w:t xml:space="preserve">Gender </w:t>
            </w:r>
            <w:r w:rsidR="00A6577C">
              <w:rPr>
                <w:rFonts w:cstheme="minorHAnsi"/>
                <w:lang w:val="en-US"/>
              </w:rPr>
              <w:t xml:space="preserve">unit </w:t>
            </w:r>
            <w:r>
              <w:rPr>
                <w:rFonts w:cstheme="minorHAnsi"/>
                <w:lang w:val="en-US"/>
              </w:rPr>
              <w:t xml:space="preserve">and Programme </w:t>
            </w:r>
            <w:r w:rsidR="00A6577C">
              <w:rPr>
                <w:rFonts w:cstheme="minorHAnsi"/>
                <w:lang w:val="en-US"/>
              </w:rPr>
              <w:t>areas</w:t>
            </w:r>
          </w:p>
        </w:tc>
        <w:tc>
          <w:tcPr>
            <w:tcW w:w="509" w:type="pct"/>
          </w:tcPr>
          <w:p w14:paraId="1C8576F2" w14:textId="77777777" w:rsidR="009F5671" w:rsidRPr="00E47287" w:rsidRDefault="009F5671" w:rsidP="009F5671">
            <w:pPr>
              <w:tabs>
                <w:tab w:val="left" w:pos="1080"/>
              </w:tabs>
              <w:spacing w:after="0" w:line="240" w:lineRule="auto"/>
              <w:jc w:val="both"/>
              <w:rPr>
                <w:rFonts w:cstheme="minorHAnsi"/>
                <w:color w:val="185262"/>
                <w:lang w:val="en-US"/>
              </w:rPr>
            </w:pPr>
          </w:p>
        </w:tc>
        <w:tc>
          <w:tcPr>
            <w:tcW w:w="482" w:type="pct"/>
          </w:tcPr>
          <w:p w14:paraId="4730DC5C" w14:textId="77777777" w:rsidR="009F5671" w:rsidRPr="00E47287" w:rsidRDefault="009F5671" w:rsidP="009F5671">
            <w:pPr>
              <w:tabs>
                <w:tab w:val="left" w:pos="1080"/>
              </w:tabs>
              <w:spacing w:after="0" w:line="240" w:lineRule="auto"/>
              <w:jc w:val="both"/>
              <w:rPr>
                <w:rFonts w:cstheme="minorHAnsi"/>
                <w:color w:val="185262"/>
                <w:lang w:val="en-US"/>
              </w:rPr>
            </w:pPr>
          </w:p>
        </w:tc>
      </w:tr>
      <w:tr w:rsidR="009F5671" w:rsidRPr="00E47287" w14:paraId="7BEE58E3" w14:textId="77777777" w:rsidTr="00B1422E">
        <w:tc>
          <w:tcPr>
            <w:tcW w:w="1790" w:type="pct"/>
          </w:tcPr>
          <w:p w14:paraId="01E7643A" w14:textId="63A35A72" w:rsidR="0057600B" w:rsidRPr="00E47287" w:rsidRDefault="009F5671" w:rsidP="007A3B7B">
            <w:pPr>
              <w:tabs>
                <w:tab w:val="left" w:pos="1080"/>
              </w:tabs>
              <w:spacing w:after="0" w:line="240" w:lineRule="auto"/>
              <w:jc w:val="both"/>
              <w:rPr>
                <w:rFonts w:cstheme="minorHAnsi"/>
                <w:lang w:val="en-US"/>
              </w:rPr>
            </w:pPr>
            <w:r w:rsidRPr="00E47287">
              <w:rPr>
                <w:rFonts w:cstheme="minorHAnsi"/>
                <w:lang w:val="en-US"/>
              </w:rPr>
              <w:t xml:space="preserve">4.2 </w:t>
            </w:r>
            <w:r w:rsidR="0057600B" w:rsidRPr="0057600B">
              <w:rPr>
                <w:rFonts w:cstheme="minorHAnsi"/>
                <w:lang w:val="en-US"/>
              </w:rPr>
              <w:t xml:space="preserve">Require a specific allocation of resources for the promotion of gender equality in </w:t>
            </w:r>
            <w:r w:rsidR="00941CD3">
              <w:rPr>
                <w:rFonts w:cstheme="minorHAnsi"/>
                <w:lang w:val="en-US"/>
              </w:rPr>
              <w:t>p</w:t>
            </w:r>
            <w:r w:rsidR="0057600B" w:rsidRPr="0057600B">
              <w:rPr>
                <w:rFonts w:cstheme="minorHAnsi"/>
                <w:lang w:val="en-US"/>
              </w:rPr>
              <w:t>rojects and initiatives.</w:t>
            </w:r>
          </w:p>
        </w:tc>
        <w:tc>
          <w:tcPr>
            <w:tcW w:w="1164" w:type="pct"/>
          </w:tcPr>
          <w:p w14:paraId="24FCA96A" w14:textId="4D40083E" w:rsidR="009F5671" w:rsidRPr="00E47287" w:rsidRDefault="00BF57B4" w:rsidP="009F5671">
            <w:pPr>
              <w:tabs>
                <w:tab w:val="left" w:pos="1080"/>
              </w:tabs>
              <w:spacing w:after="0" w:line="240" w:lineRule="auto"/>
              <w:jc w:val="both"/>
              <w:rPr>
                <w:rFonts w:cstheme="minorHAnsi"/>
                <w:lang w:val="en-US"/>
              </w:rPr>
            </w:pPr>
            <w:r w:rsidRPr="00E47287">
              <w:rPr>
                <w:rFonts w:cstheme="minorHAnsi"/>
                <w:lang w:val="en-US"/>
              </w:rPr>
              <w:t>31-12-2021</w:t>
            </w:r>
          </w:p>
        </w:tc>
        <w:tc>
          <w:tcPr>
            <w:tcW w:w="1055" w:type="pct"/>
          </w:tcPr>
          <w:p w14:paraId="0BFBFEA9" w14:textId="683843B4" w:rsidR="009F5671" w:rsidRPr="00E47287" w:rsidRDefault="002E71BF" w:rsidP="009F5671">
            <w:pPr>
              <w:tabs>
                <w:tab w:val="left" w:pos="1080"/>
              </w:tabs>
              <w:spacing w:after="0" w:line="240" w:lineRule="auto"/>
              <w:jc w:val="both"/>
              <w:rPr>
                <w:rFonts w:cstheme="minorHAnsi"/>
                <w:lang w:val="en-US"/>
              </w:rPr>
            </w:pPr>
            <w:r>
              <w:rPr>
                <w:rFonts w:cstheme="minorHAnsi"/>
                <w:lang w:val="en-US"/>
              </w:rPr>
              <w:t xml:space="preserve">Gender </w:t>
            </w:r>
            <w:r w:rsidR="00A6577C">
              <w:rPr>
                <w:rFonts w:cstheme="minorHAnsi"/>
                <w:lang w:val="en-US"/>
              </w:rPr>
              <w:t xml:space="preserve">unit </w:t>
            </w:r>
            <w:r>
              <w:rPr>
                <w:rFonts w:cstheme="minorHAnsi"/>
                <w:lang w:val="en-US"/>
              </w:rPr>
              <w:t>and Program</w:t>
            </w:r>
            <w:r w:rsidR="00AA5210">
              <w:rPr>
                <w:rFonts w:cstheme="minorHAnsi"/>
                <w:lang w:val="en-US"/>
              </w:rPr>
              <w:t>me</w:t>
            </w:r>
            <w:r>
              <w:rPr>
                <w:rFonts w:cstheme="minorHAnsi"/>
                <w:lang w:val="en-US"/>
              </w:rPr>
              <w:t xml:space="preserve"> </w:t>
            </w:r>
            <w:r w:rsidR="00A6577C">
              <w:rPr>
                <w:rFonts w:cstheme="minorHAnsi"/>
                <w:lang w:val="en-US"/>
              </w:rPr>
              <w:t>areas</w:t>
            </w:r>
          </w:p>
        </w:tc>
        <w:tc>
          <w:tcPr>
            <w:tcW w:w="509" w:type="pct"/>
          </w:tcPr>
          <w:p w14:paraId="5D6557E2" w14:textId="77777777" w:rsidR="009F5671" w:rsidRPr="00E47287" w:rsidRDefault="009F5671" w:rsidP="009F5671">
            <w:pPr>
              <w:tabs>
                <w:tab w:val="left" w:pos="1080"/>
              </w:tabs>
              <w:spacing w:after="0" w:line="240" w:lineRule="auto"/>
              <w:jc w:val="both"/>
              <w:rPr>
                <w:rFonts w:cstheme="minorHAnsi"/>
                <w:color w:val="185262"/>
                <w:lang w:val="en-US"/>
              </w:rPr>
            </w:pPr>
          </w:p>
        </w:tc>
        <w:tc>
          <w:tcPr>
            <w:tcW w:w="482" w:type="pct"/>
          </w:tcPr>
          <w:p w14:paraId="13E965AD" w14:textId="77777777" w:rsidR="009F5671" w:rsidRPr="00E47287" w:rsidRDefault="009F5671" w:rsidP="009F5671">
            <w:pPr>
              <w:tabs>
                <w:tab w:val="left" w:pos="1080"/>
              </w:tabs>
              <w:spacing w:after="0" w:line="240" w:lineRule="auto"/>
              <w:jc w:val="both"/>
              <w:rPr>
                <w:rFonts w:cstheme="minorHAnsi"/>
                <w:color w:val="185262"/>
                <w:lang w:val="en-US"/>
              </w:rPr>
            </w:pPr>
          </w:p>
        </w:tc>
      </w:tr>
      <w:tr w:rsidR="009F5671" w:rsidRPr="00E47287" w14:paraId="208D0CC2" w14:textId="77777777" w:rsidTr="00A9206A">
        <w:trPr>
          <w:trHeight w:val="430"/>
        </w:trPr>
        <w:tc>
          <w:tcPr>
            <w:tcW w:w="1790" w:type="pct"/>
          </w:tcPr>
          <w:p w14:paraId="01D501C4" w14:textId="796DFBB6" w:rsidR="0057600B" w:rsidRPr="00E47287" w:rsidRDefault="009F5671" w:rsidP="00D60B58">
            <w:pPr>
              <w:tabs>
                <w:tab w:val="left" w:pos="1080"/>
              </w:tabs>
              <w:spacing w:after="0" w:line="240" w:lineRule="auto"/>
              <w:jc w:val="both"/>
              <w:rPr>
                <w:rFonts w:cstheme="minorHAnsi"/>
                <w:lang w:val="en-US"/>
              </w:rPr>
            </w:pPr>
            <w:r w:rsidRPr="00E47287">
              <w:rPr>
                <w:rFonts w:cstheme="minorHAnsi"/>
                <w:lang w:val="en-US"/>
              </w:rPr>
              <w:t>4.3</w:t>
            </w:r>
            <w:r w:rsidR="009707B6" w:rsidRPr="00E47287">
              <w:rPr>
                <w:rFonts w:cstheme="minorHAnsi"/>
                <w:lang w:val="en-US"/>
              </w:rPr>
              <w:t xml:space="preserve"> </w:t>
            </w:r>
            <w:r w:rsidR="0057600B" w:rsidRPr="0057600B">
              <w:rPr>
                <w:rFonts w:cstheme="minorHAnsi"/>
                <w:lang w:val="en-US"/>
              </w:rPr>
              <w:t xml:space="preserve">Follow up on </w:t>
            </w:r>
            <w:r w:rsidR="002765F9">
              <w:rPr>
                <w:rFonts w:cstheme="minorHAnsi"/>
                <w:lang w:val="en-US"/>
              </w:rPr>
              <w:t>the</w:t>
            </w:r>
            <w:r w:rsidR="0057600B" w:rsidRPr="0057600B">
              <w:rPr>
                <w:rFonts w:cstheme="minorHAnsi"/>
                <w:lang w:val="en-US"/>
              </w:rPr>
              <w:t xml:space="preserve"> effective implementation </w:t>
            </w:r>
            <w:r w:rsidR="002765F9">
              <w:rPr>
                <w:rFonts w:cstheme="minorHAnsi"/>
                <w:lang w:val="en-US"/>
              </w:rPr>
              <w:t xml:space="preserve">of commitments </w:t>
            </w:r>
            <w:r w:rsidR="0057600B" w:rsidRPr="0057600B">
              <w:rPr>
                <w:rFonts w:cstheme="minorHAnsi"/>
                <w:lang w:val="en-US"/>
              </w:rPr>
              <w:t xml:space="preserve">and </w:t>
            </w:r>
            <w:r w:rsidR="007D4DE2">
              <w:rPr>
                <w:rFonts w:cstheme="minorHAnsi"/>
                <w:lang w:val="en-US"/>
              </w:rPr>
              <w:t xml:space="preserve">on </w:t>
            </w:r>
            <w:r w:rsidR="0057600B" w:rsidRPr="0057600B">
              <w:rPr>
                <w:rFonts w:cstheme="minorHAnsi"/>
                <w:lang w:val="en-US"/>
              </w:rPr>
              <w:t>the allocation of specific resources for the promotion of gender equality.</w:t>
            </w:r>
          </w:p>
        </w:tc>
        <w:tc>
          <w:tcPr>
            <w:tcW w:w="1164" w:type="pct"/>
          </w:tcPr>
          <w:p w14:paraId="63B17512" w14:textId="4A29D245" w:rsidR="009F5671" w:rsidRPr="00E47287" w:rsidDel="0081599E" w:rsidRDefault="00BF57B4" w:rsidP="009F5671">
            <w:pPr>
              <w:tabs>
                <w:tab w:val="left" w:pos="1080"/>
              </w:tabs>
              <w:spacing w:after="0" w:line="240" w:lineRule="auto"/>
              <w:jc w:val="both"/>
              <w:rPr>
                <w:rFonts w:cstheme="minorHAnsi"/>
                <w:lang w:val="en-US"/>
              </w:rPr>
            </w:pPr>
            <w:r w:rsidRPr="00E47287">
              <w:rPr>
                <w:rFonts w:cstheme="minorHAnsi"/>
                <w:lang w:val="en-US"/>
              </w:rPr>
              <w:t>31-12-2021</w:t>
            </w:r>
          </w:p>
        </w:tc>
        <w:tc>
          <w:tcPr>
            <w:tcW w:w="1055" w:type="pct"/>
          </w:tcPr>
          <w:p w14:paraId="29E52E93" w14:textId="46AC278A" w:rsidR="009F5671" w:rsidRPr="00E47287" w:rsidDel="0081599E" w:rsidRDefault="00A9206A" w:rsidP="009F5671">
            <w:pPr>
              <w:tabs>
                <w:tab w:val="left" w:pos="1080"/>
              </w:tabs>
              <w:spacing w:after="0" w:line="240" w:lineRule="auto"/>
              <w:jc w:val="both"/>
              <w:rPr>
                <w:rFonts w:cstheme="minorHAnsi"/>
                <w:lang w:val="en-US"/>
              </w:rPr>
            </w:pPr>
            <w:r>
              <w:rPr>
                <w:rFonts w:cstheme="minorHAnsi"/>
                <w:lang w:val="en-US"/>
              </w:rPr>
              <w:t>Gender unit and Programme areas</w:t>
            </w:r>
            <w:bookmarkStart w:id="1" w:name="_GoBack"/>
            <w:bookmarkEnd w:id="1"/>
          </w:p>
        </w:tc>
        <w:tc>
          <w:tcPr>
            <w:tcW w:w="509" w:type="pct"/>
          </w:tcPr>
          <w:p w14:paraId="5838919F" w14:textId="77777777" w:rsidR="009F5671" w:rsidRPr="00E47287" w:rsidRDefault="009F5671" w:rsidP="009F5671">
            <w:pPr>
              <w:tabs>
                <w:tab w:val="left" w:pos="1080"/>
              </w:tabs>
              <w:spacing w:after="0" w:line="240" w:lineRule="auto"/>
              <w:jc w:val="both"/>
              <w:rPr>
                <w:rFonts w:cstheme="minorHAnsi"/>
                <w:color w:val="185262"/>
                <w:lang w:val="en-US"/>
              </w:rPr>
            </w:pPr>
          </w:p>
        </w:tc>
        <w:tc>
          <w:tcPr>
            <w:tcW w:w="482" w:type="pct"/>
          </w:tcPr>
          <w:p w14:paraId="0D3760E6" w14:textId="77777777" w:rsidR="009F5671" w:rsidRPr="00E47287" w:rsidRDefault="009F5671" w:rsidP="009F5671">
            <w:pPr>
              <w:tabs>
                <w:tab w:val="left" w:pos="1080"/>
              </w:tabs>
              <w:spacing w:after="0" w:line="240" w:lineRule="auto"/>
              <w:jc w:val="both"/>
              <w:rPr>
                <w:rFonts w:cstheme="minorHAnsi"/>
                <w:color w:val="185262"/>
                <w:lang w:val="en-US"/>
              </w:rPr>
            </w:pPr>
          </w:p>
        </w:tc>
      </w:tr>
    </w:tbl>
    <w:p w14:paraId="43BD04D2" w14:textId="77777777" w:rsidR="00E61BD7" w:rsidRPr="00E47287" w:rsidRDefault="00E61BD7" w:rsidP="00E61BD7">
      <w:pPr>
        <w:tabs>
          <w:tab w:val="left" w:pos="1080"/>
        </w:tabs>
        <w:spacing w:after="0" w:line="240" w:lineRule="auto"/>
        <w:jc w:val="both"/>
        <w:rPr>
          <w:rFonts w:cstheme="minorHAnsi"/>
          <w:color w:val="185262"/>
          <w:lang w:val="en-US" w:eastAsia="ja-JP"/>
        </w:rPr>
      </w:pPr>
    </w:p>
    <w:p w14:paraId="43BD04D3" w14:textId="77777777" w:rsidR="00E61BD7" w:rsidRPr="00E47287" w:rsidRDefault="00E61BD7" w:rsidP="00E61BD7">
      <w:pPr>
        <w:tabs>
          <w:tab w:val="left" w:pos="1080"/>
        </w:tabs>
        <w:spacing w:after="0" w:line="240" w:lineRule="auto"/>
        <w:jc w:val="both"/>
        <w:rPr>
          <w:rFonts w:cstheme="minorHAnsi"/>
          <w:lang w:val="en-US" w:eastAsia="ja-JP"/>
        </w:rPr>
      </w:pPr>
    </w:p>
    <w:p w14:paraId="43BD04D4" w14:textId="77777777" w:rsidR="00E61BD7" w:rsidRPr="00E47287" w:rsidRDefault="00E61BD7" w:rsidP="00E61BD7">
      <w:pPr>
        <w:tabs>
          <w:tab w:val="left" w:pos="1080"/>
        </w:tabs>
        <w:spacing w:after="0" w:line="240" w:lineRule="auto"/>
        <w:jc w:val="both"/>
        <w:rPr>
          <w:rFonts w:eastAsiaTheme="majorEastAsia" w:cstheme="minorHAnsi"/>
          <w:color w:val="2E74B5" w:themeColor="accent1" w:themeShade="BF"/>
          <w:lang w:val="en-US"/>
        </w:rPr>
      </w:pPr>
      <w:r w:rsidRPr="00E47287">
        <w:rPr>
          <w:rFonts w:cstheme="minorHAnsi"/>
          <w:lang w:val="en-US" w:eastAsia="ja-JP"/>
        </w:rPr>
        <w:t xml:space="preserve">* </w:t>
      </w:r>
      <w:r w:rsidRPr="00E47287">
        <w:rPr>
          <w:rFonts w:cstheme="minorHAnsi"/>
          <w:lang w:val="en-US"/>
        </w:rPr>
        <w:t>Status of implementation is tracked electronically in the ERC database.</w:t>
      </w:r>
    </w:p>
    <w:p w14:paraId="43BD04D5" w14:textId="77777777" w:rsidR="00DE19DA" w:rsidRPr="00E47287" w:rsidRDefault="00A9206A">
      <w:pPr>
        <w:rPr>
          <w:lang w:val="en-US"/>
        </w:rPr>
      </w:pPr>
    </w:p>
    <w:sectPr w:rsidR="00DE19DA" w:rsidRPr="00E47287" w:rsidSect="00B024F1">
      <w:pgSz w:w="16838" w:h="11906" w:orient="landscape"/>
      <w:pgMar w:top="1440" w:right="1170" w:bottom="1440" w:left="1440" w:header="720" w:footer="720" w:gutter="0"/>
      <w:pgNumType w:start="49"/>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1A77"/>
    <w:multiLevelType w:val="multilevel"/>
    <w:tmpl w:val="35AA41EE"/>
    <w:lvl w:ilvl="0">
      <w:start w:val="4"/>
      <w:numFmt w:val="decimal"/>
      <w:pStyle w:val="Ttulo1"/>
      <w:lvlText w:val="%1"/>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tulo2"/>
      <w:lvlText w:val="%1.%2"/>
      <w:lvlJc w:val="left"/>
      <w:pPr>
        <w:ind w:left="576" w:hanging="576"/>
      </w:pPr>
      <w:rPr>
        <w:rFonts w:hint="default"/>
        <w:b/>
        <w:bCs w:val="0"/>
        <w:i w:val="0"/>
        <w:iCs w:val="0"/>
        <w:caps w:val="0"/>
        <w:smallCaps w:val="0"/>
        <w:strike w:val="0"/>
        <w:dstrike w:val="0"/>
        <w:noProof w:val="0"/>
        <w:vanish w:val="0"/>
        <w:color w:val="18526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tulo3"/>
      <w:lvlText w:val="%1.%2.%3"/>
      <w:lvlJc w:val="left"/>
      <w:pPr>
        <w:ind w:left="900" w:hanging="720"/>
      </w:pPr>
      <w:rPr>
        <w:rFonts w:hint="default"/>
        <w:b w:val="0"/>
        <w:bCs w:val="0"/>
        <w:i w:val="0"/>
        <w:iCs w:val="0"/>
        <w:caps w:val="0"/>
        <w:smallCaps w:val="0"/>
        <w:strike w:val="0"/>
        <w:dstrike w:val="0"/>
        <w:noProof w:val="0"/>
        <w:vanish w:val="0"/>
        <w:color w:val="1896A3"/>
        <w:spacing w:val="0"/>
        <w:kern w:val="0"/>
        <w:position w:val="0"/>
        <w:sz w:val="26"/>
        <w:szCs w:val="2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BD7"/>
    <w:rsid w:val="00001224"/>
    <w:rsid w:val="000228F5"/>
    <w:rsid w:val="00023C42"/>
    <w:rsid w:val="00030B1F"/>
    <w:rsid w:val="00033E8D"/>
    <w:rsid w:val="00034978"/>
    <w:rsid w:val="00046836"/>
    <w:rsid w:val="000505DD"/>
    <w:rsid w:val="000516D6"/>
    <w:rsid w:val="00071F04"/>
    <w:rsid w:val="00077C32"/>
    <w:rsid w:val="00090A5B"/>
    <w:rsid w:val="000A41A2"/>
    <w:rsid w:val="000B1B25"/>
    <w:rsid w:val="000B3410"/>
    <w:rsid w:val="000D5E28"/>
    <w:rsid w:val="001015B6"/>
    <w:rsid w:val="001033D5"/>
    <w:rsid w:val="00104F8F"/>
    <w:rsid w:val="00126463"/>
    <w:rsid w:val="001340A7"/>
    <w:rsid w:val="00150B53"/>
    <w:rsid w:val="00151BAF"/>
    <w:rsid w:val="0017233C"/>
    <w:rsid w:val="00173252"/>
    <w:rsid w:val="001A5B2B"/>
    <w:rsid w:val="001B6C6A"/>
    <w:rsid w:val="001C439B"/>
    <w:rsid w:val="001E05C3"/>
    <w:rsid w:val="001E47C4"/>
    <w:rsid w:val="001E70D8"/>
    <w:rsid w:val="001F01AA"/>
    <w:rsid w:val="001F6104"/>
    <w:rsid w:val="002046F3"/>
    <w:rsid w:val="00211960"/>
    <w:rsid w:val="00225DF0"/>
    <w:rsid w:val="00230FBA"/>
    <w:rsid w:val="00233B56"/>
    <w:rsid w:val="0023624A"/>
    <w:rsid w:val="00256027"/>
    <w:rsid w:val="00260F5B"/>
    <w:rsid w:val="0026107E"/>
    <w:rsid w:val="002670A5"/>
    <w:rsid w:val="00273E0F"/>
    <w:rsid w:val="002765F9"/>
    <w:rsid w:val="00286D75"/>
    <w:rsid w:val="00292A15"/>
    <w:rsid w:val="002A5DB2"/>
    <w:rsid w:val="002B3BE1"/>
    <w:rsid w:val="002B3D01"/>
    <w:rsid w:val="002B5FB6"/>
    <w:rsid w:val="002C09D9"/>
    <w:rsid w:val="002C2010"/>
    <w:rsid w:val="002D0346"/>
    <w:rsid w:val="002D0507"/>
    <w:rsid w:val="002D3709"/>
    <w:rsid w:val="002D4000"/>
    <w:rsid w:val="002E562A"/>
    <w:rsid w:val="002E6B9E"/>
    <w:rsid w:val="002E71BF"/>
    <w:rsid w:val="002F29DC"/>
    <w:rsid w:val="002F4281"/>
    <w:rsid w:val="00300CC8"/>
    <w:rsid w:val="003071D6"/>
    <w:rsid w:val="003209E7"/>
    <w:rsid w:val="00352E6A"/>
    <w:rsid w:val="0037203C"/>
    <w:rsid w:val="003842F6"/>
    <w:rsid w:val="00391156"/>
    <w:rsid w:val="003B2328"/>
    <w:rsid w:val="003B5574"/>
    <w:rsid w:val="003D5AF2"/>
    <w:rsid w:val="003D69E3"/>
    <w:rsid w:val="003E06F1"/>
    <w:rsid w:val="003F1E0A"/>
    <w:rsid w:val="0040675A"/>
    <w:rsid w:val="00416336"/>
    <w:rsid w:val="004304E1"/>
    <w:rsid w:val="00463496"/>
    <w:rsid w:val="00464DDA"/>
    <w:rsid w:val="00472BF3"/>
    <w:rsid w:val="00473587"/>
    <w:rsid w:val="0047431E"/>
    <w:rsid w:val="0049659D"/>
    <w:rsid w:val="004A0560"/>
    <w:rsid w:val="004A34E2"/>
    <w:rsid w:val="004C13D6"/>
    <w:rsid w:val="004D74E2"/>
    <w:rsid w:val="004D7762"/>
    <w:rsid w:val="00505970"/>
    <w:rsid w:val="005107D8"/>
    <w:rsid w:val="0051540D"/>
    <w:rsid w:val="005165C9"/>
    <w:rsid w:val="00523C11"/>
    <w:rsid w:val="00534B32"/>
    <w:rsid w:val="00537E9F"/>
    <w:rsid w:val="005614D9"/>
    <w:rsid w:val="00563D60"/>
    <w:rsid w:val="005713D3"/>
    <w:rsid w:val="0057600B"/>
    <w:rsid w:val="00580E0C"/>
    <w:rsid w:val="00584B23"/>
    <w:rsid w:val="005B0387"/>
    <w:rsid w:val="005B044A"/>
    <w:rsid w:val="005E4B33"/>
    <w:rsid w:val="00604E9D"/>
    <w:rsid w:val="006074EC"/>
    <w:rsid w:val="00614116"/>
    <w:rsid w:val="00623417"/>
    <w:rsid w:val="0063460E"/>
    <w:rsid w:val="00644D5B"/>
    <w:rsid w:val="006578F4"/>
    <w:rsid w:val="00660D69"/>
    <w:rsid w:val="006615DA"/>
    <w:rsid w:val="00672E65"/>
    <w:rsid w:val="00677AC8"/>
    <w:rsid w:val="00681236"/>
    <w:rsid w:val="006A491A"/>
    <w:rsid w:val="006B2A03"/>
    <w:rsid w:val="006B30A1"/>
    <w:rsid w:val="006C069E"/>
    <w:rsid w:val="006C0C7A"/>
    <w:rsid w:val="006C4DE8"/>
    <w:rsid w:val="006C5DF0"/>
    <w:rsid w:val="006E0151"/>
    <w:rsid w:val="006E0D64"/>
    <w:rsid w:val="006E324E"/>
    <w:rsid w:val="006E67B9"/>
    <w:rsid w:val="006F2FCF"/>
    <w:rsid w:val="00701434"/>
    <w:rsid w:val="007259F8"/>
    <w:rsid w:val="00730632"/>
    <w:rsid w:val="00734549"/>
    <w:rsid w:val="007467FD"/>
    <w:rsid w:val="007538A2"/>
    <w:rsid w:val="00763B97"/>
    <w:rsid w:val="0076744E"/>
    <w:rsid w:val="00770EBB"/>
    <w:rsid w:val="00771AB2"/>
    <w:rsid w:val="007739B4"/>
    <w:rsid w:val="00793274"/>
    <w:rsid w:val="00794FBF"/>
    <w:rsid w:val="0079671E"/>
    <w:rsid w:val="007A3B7B"/>
    <w:rsid w:val="007D4DE2"/>
    <w:rsid w:val="007F1F1E"/>
    <w:rsid w:val="007F3274"/>
    <w:rsid w:val="007F6FB1"/>
    <w:rsid w:val="007F7476"/>
    <w:rsid w:val="00804936"/>
    <w:rsid w:val="008136FC"/>
    <w:rsid w:val="00831F03"/>
    <w:rsid w:val="00845730"/>
    <w:rsid w:val="0086563D"/>
    <w:rsid w:val="00873DE5"/>
    <w:rsid w:val="00877674"/>
    <w:rsid w:val="00877B85"/>
    <w:rsid w:val="008837CD"/>
    <w:rsid w:val="0089392D"/>
    <w:rsid w:val="008A2728"/>
    <w:rsid w:val="008A2C66"/>
    <w:rsid w:val="008A7677"/>
    <w:rsid w:val="008C1053"/>
    <w:rsid w:val="008C32ED"/>
    <w:rsid w:val="008C5CA5"/>
    <w:rsid w:val="008C6BCD"/>
    <w:rsid w:val="008D01E7"/>
    <w:rsid w:val="008D0F35"/>
    <w:rsid w:val="008E60F2"/>
    <w:rsid w:val="00905A56"/>
    <w:rsid w:val="00913922"/>
    <w:rsid w:val="00925491"/>
    <w:rsid w:val="009271ED"/>
    <w:rsid w:val="00931590"/>
    <w:rsid w:val="00941CD3"/>
    <w:rsid w:val="009421E5"/>
    <w:rsid w:val="00944F7E"/>
    <w:rsid w:val="00963234"/>
    <w:rsid w:val="00964475"/>
    <w:rsid w:val="009707B6"/>
    <w:rsid w:val="00972EBC"/>
    <w:rsid w:val="00977AD5"/>
    <w:rsid w:val="009833A4"/>
    <w:rsid w:val="00983A27"/>
    <w:rsid w:val="00996B03"/>
    <w:rsid w:val="009B0087"/>
    <w:rsid w:val="009B116E"/>
    <w:rsid w:val="009B2167"/>
    <w:rsid w:val="009B4B87"/>
    <w:rsid w:val="009B5037"/>
    <w:rsid w:val="009D7F9B"/>
    <w:rsid w:val="009E2946"/>
    <w:rsid w:val="009E34B5"/>
    <w:rsid w:val="009F281D"/>
    <w:rsid w:val="009F5671"/>
    <w:rsid w:val="00A105B9"/>
    <w:rsid w:val="00A27A29"/>
    <w:rsid w:val="00A41C16"/>
    <w:rsid w:val="00A43BA9"/>
    <w:rsid w:val="00A6577C"/>
    <w:rsid w:val="00A83CF2"/>
    <w:rsid w:val="00A842FB"/>
    <w:rsid w:val="00A8796C"/>
    <w:rsid w:val="00A9206A"/>
    <w:rsid w:val="00A944AE"/>
    <w:rsid w:val="00AA5210"/>
    <w:rsid w:val="00AA7999"/>
    <w:rsid w:val="00AB4BB0"/>
    <w:rsid w:val="00AB4C91"/>
    <w:rsid w:val="00AC105D"/>
    <w:rsid w:val="00AC56F8"/>
    <w:rsid w:val="00AC728B"/>
    <w:rsid w:val="00AD0DEA"/>
    <w:rsid w:val="00AD165B"/>
    <w:rsid w:val="00AD1988"/>
    <w:rsid w:val="00AD3189"/>
    <w:rsid w:val="00AE0BEA"/>
    <w:rsid w:val="00AE3255"/>
    <w:rsid w:val="00AE6DA0"/>
    <w:rsid w:val="00B024F1"/>
    <w:rsid w:val="00B10039"/>
    <w:rsid w:val="00B13C6D"/>
    <w:rsid w:val="00B1422E"/>
    <w:rsid w:val="00B33808"/>
    <w:rsid w:val="00B33DC0"/>
    <w:rsid w:val="00B36748"/>
    <w:rsid w:val="00B54A6A"/>
    <w:rsid w:val="00B64014"/>
    <w:rsid w:val="00B65951"/>
    <w:rsid w:val="00B70A19"/>
    <w:rsid w:val="00B71E37"/>
    <w:rsid w:val="00B730BF"/>
    <w:rsid w:val="00B92D82"/>
    <w:rsid w:val="00B92E3A"/>
    <w:rsid w:val="00B94575"/>
    <w:rsid w:val="00B952FF"/>
    <w:rsid w:val="00B96BD5"/>
    <w:rsid w:val="00BA02CE"/>
    <w:rsid w:val="00BB11A1"/>
    <w:rsid w:val="00BB510F"/>
    <w:rsid w:val="00BC316E"/>
    <w:rsid w:val="00BC4303"/>
    <w:rsid w:val="00BD429D"/>
    <w:rsid w:val="00BE11DE"/>
    <w:rsid w:val="00BF343A"/>
    <w:rsid w:val="00BF57B4"/>
    <w:rsid w:val="00C0758F"/>
    <w:rsid w:val="00C1556E"/>
    <w:rsid w:val="00C448CA"/>
    <w:rsid w:val="00C4672F"/>
    <w:rsid w:val="00C60CDA"/>
    <w:rsid w:val="00C7570F"/>
    <w:rsid w:val="00C76013"/>
    <w:rsid w:val="00C87B8C"/>
    <w:rsid w:val="00C9348F"/>
    <w:rsid w:val="00CA6D33"/>
    <w:rsid w:val="00CA7C06"/>
    <w:rsid w:val="00CC194B"/>
    <w:rsid w:val="00CC3B70"/>
    <w:rsid w:val="00CE05F0"/>
    <w:rsid w:val="00CE5C90"/>
    <w:rsid w:val="00CE6BA8"/>
    <w:rsid w:val="00CF0710"/>
    <w:rsid w:val="00D059A4"/>
    <w:rsid w:val="00D06691"/>
    <w:rsid w:val="00D30214"/>
    <w:rsid w:val="00D37CD1"/>
    <w:rsid w:val="00D4471A"/>
    <w:rsid w:val="00D450D0"/>
    <w:rsid w:val="00D4578B"/>
    <w:rsid w:val="00D60B58"/>
    <w:rsid w:val="00D64FDF"/>
    <w:rsid w:val="00D82E7A"/>
    <w:rsid w:val="00D9090A"/>
    <w:rsid w:val="00DC59E5"/>
    <w:rsid w:val="00DE3F28"/>
    <w:rsid w:val="00DF5625"/>
    <w:rsid w:val="00E30953"/>
    <w:rsid w:val="00E30C0D"/>
    <w:rsid w:val="00E3694F"/>
    <w:rsid w:val="00E43C6F"/>
    <w:rsid w:val="00E467E8"/>
    <w:rsid w:val="00E47287"/>
    <w:rsid w:val="00E5275A"/>
    <w:rsid w:val="00E541AB"/>
    <w:rsid w:val="00E579B2"/>
    <w:rsid w:val="00E61BD7"/>
    <w:rsid w:val="00E656B5"/>
    <w:rsid w:val="00E67C40"/>
    <w:rsid w:val="00E723A5"/>
    <w:rsid w:val="00E73C34"/>
    <w:rsid w:val="00E75805"/>
    <w:rsid w:val="00E76670"/>
    <w:rsid w:val="00E76901"/>
    <w:rsid w:val="00E90F43"/>
    <w:rsid w:val="00EA34F9"/>
    <w:rsid w:val="00EA3930"/>
    <w:rsid w:val="00EB19E7"/>
    <w:rsid w:val="00EB5351"/>
    <w:rsid w:val="00EB61F0"/>
    <w:rsid w:val="00EB7754"/>
    <w:rsid w:val="00EC0382"/>
    <w:rsid w:val="00EC13E6"/>
    <w:rsid w:val="00EC784A"/>
    <w:rsid w:val="00ED2DC7"/>
    <w:rsid w:val="00ED3082"/>
    <w:rsid w:val="00EE30C5"/>
    <w:rsid w:val="00EF0936"/>
    <w:rsid w:val="00F0398E"/>
    <w:rsid w:val="00F03AF3"/>
    <w:rsid w:val="00F13A36"/>
    <w:rsid w:val="00F15AF8"/>
    <w:rsid w:val="00F17779"/>
    <w:rsid w:val="00F26ECE"/>
    <w:rsid w:val="00F3395E"/>
    <w:rsid w:val="00F33B83"/>
    <w:rsid w:val="00F53B1C"/>
    <w:rsid w:val="00F6118E"/>
    <w:rsid w:val="00F66D9D"/>
    <w:rsid w:val="00F70433"/>
    <w:rsid w:val="00F77425"/>
    <w:rsid w:val="00F80222"/>
    <w:rsid w:val="00F85743"/>
    <w:rsid w:val="00F8640A"/>
    <w:rsid w:val="00F872F5"/>
    <w:rsid w:val="00F94C65"/>
    <w:rsid w:val="00FA06F2"/>
    <w:rsid w:val="00FA291C"/>
    <w:rsid w:val="00FA7B83"/>
    <w:rsid w:val="00FB25CF"/>
    <w:rsid w:val="00FB4161"/>
    <w:rsid w:val="00FB7DA8"/>
    <w:rsid w:val="00FC7876"/>
    <w:rsid w:val="00FD3995"/>
    <w:rsid w:val="00FD62C5"/>
    <w:rsid w:val="00FE4398"/>
    <w:rsid w:val="00FE7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0463"/>
  <w15:chartTrackingRefBased/>
  <w15:docId w15:val="{3F69541E-0FFC-4BAE-9028-FAE2D1D6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BD7"/>
    <w:rPr>
      <w:lang w:val="en-GB"/>
    </w:rPr>
  </w:style>
  <w:style w:type="paragraph" w:styleId="Ttulo1">
    <w:name w:val="heading 1"/>
    <w:basedOn w:val="Normal"/>
    <w:next w:val="Normal"/>
    <w:link w:val="Ttulo1Car"/>
    <w:uiPriority w:val="9"/>
    <w:qFormat/>
    <w:rsid w:val="00E61BD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1BD7"/>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E61BD7"/>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E61BD7"/>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E61BD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61BD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61BD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61BD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61BD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61BD7"/>
    <w:rPr>
      <w:rFonts w:asciiTheme="majorHAnsi" w:eastAsiaTheme="majorEastAsia" w:hAnsiTheme="majorHAnsi" w:cstheme="majorBidi"/>
      <w:color w:val="2E74B5" w:themeColor="accent1" w:themeShade="BF"/>
      <w:sz w:val="32"/>
      <w:szCs w:val="32"/>
      <w:lang w:val="en-GB"/>
    </w:rPr>
  </w:style>
  <w:style w:type="character" w:customStyle="1" w:styleId="Ttulo2Car">
    <w:name w:val="Título 2 Car"/>
    <w:basedOn w:val="Fuentedeprrafopredeter"/>
    <w:link w:val="Ttulo2"/>
    <w:uiPriority w:val="9"/>
    <w:rsid w:val="00E61BD7"/>
    <w:rPr>
      <w:rFonts w:asciiTheme="majorHAnsi" w:eastAsiaTheme="majorEastAsia" w:hAnsiTheme="majorHAnsi" w:cstheme="majorBidi"/>
      <w:color w:val="2E74B5" w:themeColor="accent1" w:themeShade="BF"/>
      <w:sz w:val="26"/>
      <w:szCs w:val="26"/>
      <w:lang w:val="en-GB"/>
    </w:rPr>
  </w:style>
  <w:style w:type="character" w:customStyle="1" w:styleId="Ttulo3Car">
    <w:name w:val="Título 3 Car"/>
    <w:basedOn w:val="Fuentedeprrafopredeter"/>
    <w:link w:val="Ttulo3"/>
    <w:uiPriority w:val="9"/>
    <w:rsid w:val="00E61BD7"/>
    <w:rPr>
      <w:rFonts w:asciiTheme="majorHAnsi" w:eastAsiaTheme="majorEastAsia" w:hAnsiTheme="majorHAnsi" w:cstheme="majorBidi"/>
      <w:color w:val="1F4D78" w:themeColor="accent1" w:themeShade="7F"/>
      <w:sz w:val="24"/>
      <w:szCs w:val="24"/>
      <w:lang w:val="en-GB"/>
    </w:rPr>
  </w:style>
  <w:style w:type="character" w:customStyle="1" w:styleId="Ttulo4Car">
    <w:name w:val="Título 4 Car"/>
    <w:basedOn w:val="Fuentedeprrafopredeter"/>
    <w:link w:val="Ttulo4"/>
    <w:uiPriority w:val="9"/>
    <w:semiHidden/>
    <w:rsid w:val="00E61BD7"/>
    <w:rPr>
      <w:rFonts w:asciiTheme="majorHAnsi" w:eastAsiaTheme="majorEastAsia" w:hAnsiTheme="majorHAnsi" w:cstheme="majorBidi"/>
      <w:i/>
      <w:iCs/>
      <w:color w:val="2E74B5" w:themeColor="accent1" w:themeShade="BF"/>
      <w:lang w:val="en-GB"/>
    </w:rPr>
  </w:style>
  <w:style w:type="character" w:customStyle="1" w:styleId="Ttulo5Car">
    <w:name w:val="Título 5 Car"/>
    <w:basedOn w:val="Fuentedeprrafopredeter"/>
    <w:link w:val="Ttulo5"/>
    <w:uiPriority w:val="9"/>
    <w:semiHidden/>
    <w:rsid w:val="00E61BD7"/>
    <w:rPr>
      <w:rFonts w:asciiTheme="majorHAnsi" w:eastAsiaTheme="majorEastAsia" w:hAnsiTheme="majorHAnsi" w:cstheme="majorBidi"/>
      <w:color w:val="2E74B5" w:themeColor="accent1" w:themeShade="BF"/>
      <w:lang w:val="en-GB"/>
    </w:rPr>
  </w:style>
  <w:style w:type="character" w:customStyle="1" w:styleId="Ttulo6Car">
    <w:name w:val="Título 6 Car"/>
    <w:basedOn w:val="Fuentedeprrafopredeter"/>
    <w:link w:val="Ttulo6"/>
    <w:uiPriority w:val="9"/>
    <w:semiHidden/>
    <w:rsid w:val="00E61BD7"/>
    <w:rPr>
      <w:rFonts w:asciiTheme="majorHAnsi" w:eastAsiaTheme="majorEastAsia" w:hAnsiTheme="majorHAnsi" w:cstheme="majorBidi"/>
      <w:color w:val="1F4D78" w:themeColor="accent1" w:themeShade="7F"/>
      <w:lang w:val="en-GB"/>
    </w:rPr>
  </w:style>
  <w:style w:type="character" w:customStyle="1" w:styleId="Ttulo7Car">
    <w:name w:val="Título 7 Car"/>
    <w:basedOn w:val="Fuentedeprrafopredeter"/>
    <w:link w:val="Ttulo7"/>
    <w:uiPriority w:val="9"/>
    <w:semiHidden/>
    <w:rsid w:val="00E61BD7"/>
    <w:rPr>
      <w:rFonts w:asciiTheme="majorHAnsi" w:eastAsiaTheme="majorEastAsia" w:hAnsiTheme="majorHAnsi" w:cstheme="majorBidi"/>
      <w:i/>
      <w:iCs/>
      <w:color w:val="1F4D78" w:themeColor="accent1" w:themeShade="7F"/>
      <w:lang w:val="en-GB"/>
    </w:rPr>
  </w:style>
  <w:style w:type="character" w:customStyle="1" w:styleId="Ttulo8Car">
    <w:name w:val="Título 8 Car"/>
    <w:basedOn w:val="Fuentedeprrafopredeter"/>
    <w:link w:val="Ttulo8"/>
    <w:uiPriority w:val="9"/>
    <w:semiHidden/>
    <w:rsid w:val="00E61BD7"/>
    <w:rPr>
      <w:rFonts w:asciiTheme="majorHAnsi" w:eastAsiaTheme="majorEastAsia" w:hAnsiTheme="majorHAnsi" w:cstheme="majorBidi"/>
      <w:color w:val="272727" w:themeColor="text1" w:themeTint="D8"/>
      <w:sz w:val="21"/>
      <w:szCs w:val="21"/>
      <w:lang w:val="en-GB"/>
    </w:rPr>
  </w:style>
  <w:style w:type="character" w:customStyle="1" w:styleId="Ttulo9Car">
    <w:name w:val="Título 9 Car"/>
    <w:basedOn w:val="Fuentedeprrafopredeter"/>
    <w:link w:val="Ttulo9"/>
    <w:uiPriority w:val="9"/>
    <w:semiHidden/>
    <w:rsid w:val="00E61BD7"/>
    <w:rPr>
      <w:rFonts w:asciiTheme="majorHAnsi" w:eastAsiaTheme="majorEastAsia" w:hAnsiTheme="majorHAnsi" w:cstheme="majorBidi"/>
      <w:i/>
      <w:iCs/>
      <w:color w:val="272727" w:themeColor="text1" w:themeTint="D8"/>
      <w:sz w:val="21"/>
      <w:szCs w:val="21"/>
      <w:lang w:val="en-GB"/>
    </w:rPr>
  </w:style>
  <w:style w:type="paragraph" w:customStyle="1" w:styleId="G-heading2">
    <w:name w:val="G-heading2"/>
    <w:basedOn w:val="Ttulo2"/>
    <w:link w:val="G-heading2Char"/>
    <w:qFormat/>
    <w:rsid w:val="00E61BD7"/>
    <w:pPr>
      <w:pBdr>
        <w:top w:val="nil"/>
        <w:left w:val="nil"/>
        <w:bottom w:val="nil"/>
        <w:right w:val="nil"/>
        <w:between w:val="nil"/>
        <w:bar w:val="nil"/>
      </w:pBdr>
    </w:pPr>
    <w:rPr>
      <w:rFonts w:ascii="Calibri" w:eastAsia="Calibri" w:hAnsi="Calibri" w:cs="Calibri"/>
      <w:b/>
      <w:color w:val="185262"/>
      <w:u w:color="374C80"/>
      <w:bdr w:val="nil"/>
      <w:lang w:eastAsia="zh-CN"/>
    </w:rPr>
  </w:style>
  <w:style w:type="character" w:customStyle="1" w:styleId="G-heading2Char">
    <w:name w:val="G-heading2 Char"/>
    <w:basedOn w:val="Ttulo2Car"/>
    <w:link w:val="G-heading2"/>
    <w:rsid w:val="00E61BD7"/>
    <w:rPr>
      <w:rFonts w:ascii="Calibri" w:eastAsia="Calibri" w:hAnsi="Calibri" w:cs="Calibri"/>
      <w:b/>
      <w:color w:val="185262"/>
      <w:sz w:val="26"/>
      <w:szCs w:val="26"/>
      <w:u w:color="374C80"/>
      <w:bdr w:val="nil"/>
      <w:lang w:val="en-GB" w:eastAsia="zh-CN"/>
    </w:rPr>
  </w:style>
  <w:style w:type="paragraph" w:styleId="Prrafodelista">
    <w:name w:val="List Paragraph"/>
    <w:basedOn w:val="Normal"/>
    <w:uiPriority w:val="34"/>
    <w:qFormat/>
    <w:rsid w:val="00DF5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38067">
      <w:bodyDiv w:val="1"/>
      <w:marLeft w:val="0"/>
      <w:marRight w:val="0"/>
      <w:marTop w:val="0"/>
      <w:marBottom w:val="0"/>
      <w:divBdr>
        <w:top w:val="none" w:sz="0" w:space="0" w:color="auto"/>
        <w:left w:val="none" w:sz="0" w:space="0" w:color="auto"/>
        <w:bottom w:val="none" w:sz="0" w:space="0" w:color="auto"/>
        <w:right w:val="none" w:sz="0" w:space="0" w:color="auto"/>
      </w:divBdr>
    </w:div>
    <w:div w:id="577206589">
      <w:bodyDiv w:val="1"/>
      <w:marLeft w:val="0"/>
      <w:marRight w:val="0"/>
      <w:marTop w:val="0"/>
      <w:marBottom w:val="0"/>
      <w:divBdr>
        <w:top w:val="none" w:sz="0" w:space="0" w:color="auto"/>
        <w:left w:val="none" w:sz="0" w:space="0" w:color="auto"/>
        <w:bottom w:val="none" w:sz="0" w:space="0" w:color="auto"/>
        <w:right w:val="none" w:sz="0" w:space="0" w:color="auto"/>
      </w:divBdr>
    </w:div>
    <w:div w:id="1913080844">
      <w:bodyDiv w:val="1"/>
      <w:marLeft w:val="0"/>
      <w:marRight w:val="0"/>
      <w:marTop w:val="0"/>
      <w:marBottom w:val="0"/>
      <w:divBdr>
        <w:top w:val="none" w:sz="0" w:space="0" w:color="auto"/>
        <w:left w:val="none" w:sz="0" w:space="0" w:color="auto"/>
        <w:bottom w:val="none" w:sz="0" w:space="0" w:color="auto"/>
        <w:right w:val="none" w:sz="0" w:space="0" w:color="auto"/>
      </w:divBdr>
    </w:div>
    <w:div w:id="206316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d0d438f-e724-4e96-b52a-9b9e20ac6ad7">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DEA23E720C8040BB9F8BC4F759921D" ma:contentTypeVersion="12" ma:contentTypeDescription="Crear nuevo documento." ma:contentTypeScope="" ma:versionID="530283cc4deb77e540d181fbb969eda5">
  <xsd:schema xmlns:xsd="http://www.w3.org/2001/XMLSchema" xmlns:xs="http://www.w3.org/2001/XMLSchema" xmlns:p="http://schemas.microsoft.com/office/2006/metadata/properties" xmlns:ns2="69729d78-896d-40e7-bd34-ba4c321c1243" xmlns:ns3="ad0d438f-e724-4e96-b52a-9b9e20ac6ad7" targetNamespace="http://schemas.microsoft.com/office/2006/metadata/properties" ma:root="true" ma:fieldsID="56140c87cc21a950b1bfabdb790ee388" ns2:_="" ns3:_="">
    <xsd:import namespace="69729d78-896d-40e7-bd34-ba4c321c1243"/>
    <xsd:import namespace="ad0d438f-e724-4e96-b52a-9b9e20ac6a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9d78-896d-40e7-bd34-ba4c321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0d438f-e724-4e96-b52a-9b9e20ac6ad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52B39-17DC-4520-8312-6CAE7A62B73C}">
  <ds:schemaRefs>
    <ds:schemaRef ds:uri="http://schemas.microsoft.com/sharepoint/v3/contenttype/forms"/>
  </ds:schemaRefs>
</ds:datastoreItem>
</file>

<file path=customXml/itemProps2.xml><?xml version="1.0" encoding="utf-8"?>
<ds:datastoreItem xmlns:ds="http://schemas.openxmlformats.org/officeDocument/2006/customXml" ds:itemID="{041EF1DB-34C7-4D96-B906-F97DA2C11FE8}">
  <ds:schemaRefs>
    <ds:schemaRef ds:uri="http://schemas.microsoft.com/office/2006/metadata/properties"/>
    <ds:schemaRef ds:uri="http://schemas.microsoft.com/office/infopath/2007/PartnerControls"/>
    <ds:schemaRef ds:uri="ad0d438f-e724-4e96-b52a-9b9e20ac6ad7"/>
  </ds:schemaRefs>
</ds:datastoreItem>
</file>

<file path=customXml/itemProps3.xml><?xml version="1.0" encoding="utf-8"?>
<ds:datastoreItem xmlns:ds="http://schemas.openxmlformats.org/officeDocument/2006/customXml" ds:itemID="{4D0FB172-530E-4CAA-81C5-59288AE1B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29d78-896d-40e7-bd34-ba4c321c1243"/>
    <ds:schemaRef ds:uri="ad0d438f-e724-4e96-b52a-9b9e20ac6a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1901</Words>
  <Characters>10461</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Jones</dc:creator>
  <cp:keywords/>
  <dc:description/>
  <cp:lastModifiedBy>Maria Victoria Santi</cp:lastModifiedBy>
  <cp:revision>10</cp:revision>
  <dcterms:created xsi:type="dcterms:W3CDTF">2020-06-25T15:48:00Z</dcterms:created>
  <dcterms:modified xsi:type="dcterms:W3CDTF">2020-12-23T13:12:00Z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0x010100EADEA23E720C8040BB9F8BC4F759921D</vt:lpwstr>
  </property>
  <property fmtid="{D5CDD505-2E9C-101B-9397-08002B2CF9AE}" pid="3" name="Order">
    <vt:r8>19564200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