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48ED1" w14:textId="7B029CD6" w:rsidR="00FD1BCE" w:rsidRPr="00686BBC" w:rsidRDefault="00792C52" w:rsidP="00FD1BCE">
      <w:pPr>
        <w:tabs>
          <w:tab w:val="left" w:pos="1080"/>
        </w:tabs>
        <w:spacing w:line="20" w:lineRule="exact"/>
        <w:rPr>
          <w:b/>
          <w:bCs/>
          <w:sz w:val="2"/>
          <w:szCs w:val="20"/>
          <w:lang w:val="en-GB"/>
        </w:rPr>
      </w:pPr>
      <w:bookmarkStart w:id="0" w:name="_GoBack"/>
      <w:bookmarkEnd w:id="0"/>
      <w:r w:rsidRPr="00686BBC">
        <w:rPr>
          <w:b/>
          <w:bCs/>
          <w:sz w:val="2"/>
          <w:szCs w:val="20"/>
          <w:lang w:val="en-GB"/>
        </w:rPr>
        <w:t xml:space="preserve"> </w:t>
      </w:r>
    </w:p>
    <w:p w14:paraId="6DB1ADA5" w14:textId="77777777" w:rsidR="005D4B6A" w:rsidRPr="00686BBC" w:rsidRDefault="005D4B6A" w:rsidP="005D4B6A">
      <w:pPr>
        <w:rPr>
          <w:b/>
          <w:sz w:val="20"/>
          <w:lang w:val="en-GB"/>
        </w:rPr>
      </w:pPr>
      <w:r w:rsidRPr="00686BBC">
        <w:rPr>
          <w:b/>
          <w:sz w:val="20"/>
          <w:lang w:val="en-GB"/>
        </w:rPr>
        <w:t>First regular session 2021</w:t>
      </w:r>
    </w:p>
    <w:p w14:paraId="545F8C06" w14:textId="77777777" w:rsidR="005D4B6A" w:rsidRPr="00686BBC" w:rsidRDefault="005D4B6A" w:rsidP="005D4B6A">
      <w:pPr>
        <w:keepNext/>
        <w:outlineLvl w:val="3"/>
        <w:rPr>
          <w:sz w:val="20"/>
          <w:lang w:val="en-GB"/>
        </w:rPr>
      </w:pPr>
      <w:r w:rsidRPr="00686BBC">
        <w:rPr>
          <w:sz w:val="20"/>
          <w:lang w:val="en-GB"/>
        </w:rPr>
        <w:t>1 to 4 February 2021, New York</w:t>
      </w:r>
    </w:p>
    <w:p w14:paraId="708BB066" w14:textId="77777777" w:rsidR="005D4B6A" w:rsidRPr="00686BBC" w:rsidRDefault="005D4B6A" w:rsidP="005D4B6A">
      <w:pPr>
        <w:keepNext/>
        <w:outlineLvl w:val="3"/>
        <w:rPr>
          <w:sz w:val="20"/>
          <w:lang w:val="en-GB"/>
        </w:rPr>
      </w:pPr>
      <w:r w:rsidRPr="00686BBC">
        <w:rPr>
          <w:sz w:val="20"/>
          <w:lang w:val="en-GB"/>
        </w:rPr>
        <w:t>Item 6 of the provisional agenda</w:t>
      </w:r>
    </w:p>
    <w:p w14:paraId="39FB1A50" w14:textId="77777777" w:rsidR="005D4B6A" w:rsidRPr="00686BBC" w:rsidRDefault="005D4B6A" w:rsidP="005D4B6A">
      <w:pPr>
        <w:keepNext/>
        <w:outlineLvl w:val="3"/>
        <w:rPr>
          <w:b/>
          <w:bCs/>
          <w:sz w:val="20"/>
          <w:lang w:val="en-GB"/>
        </w:rPr>
      </w:pPr>
      <w:r w:rsidRPr="00686BBC">
        <w:rPr>
          <w:b/>
          <w:bCs/>
          <w:sz w:val="20"/>
          <w:lang w:val="en-GB"/>
        </w:rPr>
        <w:t>Evaluation</w:t>
      </w:r>
    </w:p>
    <w:p w14:paraId="678DEFCD" w14:textId="77777777" w:rsidR="00F655D7" w:rsidRPr="00686BBC" w:rsidRDefault="00F655D7" w:rsidP="00F655D7">
      <w:pPr>
        <w:tabs>
          <w:tab w:val="left" w:pos="1080"/>
        </w:tabs>
        <w:spacing w:line="120" w:lineRule="exact"/>
        <w:rPr>
          <w:sz w:val="20"/>
          <w:szCs w:val="20"/>
          <w:lang w:val="en-GB"/>
        </w:rPr>
      </w:pPr>
    </w:p>
    <w:p w14:paraId="2956685A" w14:textId="724C92E5" w:rsidR="00561F28" w:rsidRPr="00E140B4" w:rsidRDefault="00561F28" w:rsidP="00E140B4">
      <w:pPr>
        <w:pStyle w:val="HM"/>
        <w:tabs>
          <w:tab w:val="left" w:pos="0"/>
          <w:tab w:val="left" w:pos="6828"/>
        </w:tabs>
        <w:rPr>
          <w:b w:val="0"/>
          <w:bCs/>
          <w:sz w:val="20"/>
        </w:rPr>
      </w:pPr>
    </w:p>
    <w:p w14:paraId="7EAC47D5" w14:textId="77777777" w:rsidR="00E140B4" w:rsidRPr="00ED0283" w:rsidRDefault="00E140B4" w:rsidP="00E140B4">
      <w:pPr>
        <w:rPr>
          <w:sz w:val="20"/>
          <w:szCs w:val="20"/>
          <w:lang w:val="en-GB"/>
        </w:rPr>
      </w:pPr>
    </w:p>
    <w:p w14:paraId="57BB2515" w14:textId="2DB0435D" w:rsidR="00027A71" w:rsidRPr="00686BBC" w:rsidRDefault="00AE6C34" w:rsidP="00E140B4">
      <w:pPr>
        <w:pStyle w:val="HM"/>
        <w:tabs>
          <w:tab w:val="left" w:pos="0"/>
        </w:tabs>
        <w:rPr>
          <w:sz w:val="32"/>
          <w:szCs w:val="32"/>
        </w:rPr>
      </w:pPr>
      <w:r w:rsidRPr="00686BBC">
        <w:rPr>
          <w:sz w:val="32"/>
          <w:szCs w:val="32"/>
        </w:rPr>
        <w:t>Management response to the e</w:t>
      </w:r>
      <w:r w:rsidR="002E0C4D" w:rsidRPr="00686BBC">
        <w:rPr>
          <w:sz w:val="32"/>
          <w:szCs w:val="32"/>
        </w:rPr>
        <w:t xml:space="preserve">valuation of UNDP </w:t>
      </w:r>
      <w:r w:rsidRPr="00686BBC">
        <w:rPr>
          <w:sz w:val="32"/>
          <w:szCs w:val="32"/>
        </w:rPr>
        <w:t>s</w:t>
      </w:r>
      <w:r w:rsidR="002E0C4D" w:rsidRPr="00686BBC">
        <w:rPr>
          <w:sz w:val="32"/>
          <w:szCs w:val="32"/>
        </w:rPr>
        <w:t xml:space="preserve">upport for </w:t>
      </w:r>
      <w:r w:rsidRPr="00686BBC">
        <w:rPr>
          <w:sz w:val="32"/>
          <w:szCs w:val="32"/>
        </w:rPr>
        <w:t>c</w:t>
      </w:r>
      <w:r w:rsidR="002E0C4D" w:rsidRPr="00686BBC">
        <w:rPr>
          <w:sz w:val="32"/>
          <w:szCs w:val="32"/>
        </w:rPr>
        <w:t>limate change adaptation</w:t>
      </w:r>
    </w:p>
    <w:p w14:paraId="32FCB2CC" w14:textId="2FE208F4" w:rsidR="00485EFF" w:rsidRDefault="00485EFF" w:rsidP="00485EFF">
      <w:pPr>
        <w:rPr>
          <w:lang w:val="en-GB"/>
        </w:rPr>
      </w:pPr>
    </w:p>
    <w:p w14:paraId="0D7E3663" w14:textId="77777777" w:rsidR="00E140B4" w:rsidRPr="00686BBC" w:rsidRDefault="00E140B4" w:rsidP="00485EFF">
      <w:pPr>
        <w:rPr>
          <w:lang w:val="en-GB"/>
        </w:rPr>
      </w:pPr>
    </w:p>
    <w:p w14:paraId="5D39E02D" w14:textId="38F6421A" w:rsidR="00383645" w:rsidRPr="00686BBC" w:rsidRDefault="00485EFF" w:rsidP="001914A6">
      <w:pPr>
        <w:pStyle w:val="ListParagraph"/>
        <w:numPr>
          <w:ilvl w:val="0"/>
          <w:numId w:val="5"/>
        </w:numPr>
        <w:tabs>
          <w:tab w:val="left" w:pos="1080"/>
          <w:tab w:val="left" w:pos="1890"/>
        </w:tabs>
        <w:ind w:left="1440" w:right="-1224"/>
        <w:rPr>
          <w:b/>
          <w:bCs/>
          <w:sz w:val="28"/>
          <w:szCs w:val="28"/>
          <w:lang w:val="en-GB"/>
        </w:rPr>
      </w:pPr>
      <w:r w:rsidRPr="00686BBC">
        <w:rPr>
          <w:b/>
          <w:bCs/>
          <w:sz w:val="28"/>
          <w:szCs w:val="28"/>
          <w:lang w:val="en-GB"/>
        </w:rPr>
        <w:t>Introduction</w:t>
      </w:r>
    </w:p>
    <w:p w14:paraId="105A1603" w14:textId="1792064E" w:rsidR="0061063A" w:rsidRPr="00686BBC" w:rsidRDefault="0061063A" w:rsidP="001914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0"/>
          <w:tab w:val="left" w:pos="720"/>
          <w:tab w:val="left" w:pos="1350"/>
          <w:tab w:val="left" w:pos="1620"/>
          <w:tab w:val="left" w:pos="2160"/>
          <w:tab w:val="left" w:pos="2880"/>
          <w:tab w:val="left" w:pos="3600"/>
          <w:tab w:val="left" w:pos="4320"/>
          <w:tab w:val="left" w:pos="5040"/>
          <w:tab w:val="left" w:pos="5760"/>
        </w:tabs>
        <w:spacing w:after="0" w:line="240" w:lineRule="auto"/>
        <w:ind w:left="1080" w:right="1378"/>
      </w:pPr>
    </w:p>
    <w:p w14:paraId="1BC569B9" w14:textId="6D57ACEB" w:rsidR="008F5D74" w:rsidRPr="00686BBC" w:rsidRDefault="00AB4D9A" w:rsidP="001914A6">
      <w:pPr>
        <w:pStyle w:val="ListParagraph"/>
        <w:numPr>
          <w:ilvl w:val="0"/>
          <w:numId w:val="18"/>
        </w:numPr>
        <w:tabs>
          <w:tab w:val="left" w:pos="1350"/>
          <w:tab w:val="left" w:pos="1710"/>
        </w:tabs>
        <w:spacing w:after="120"/>
        <w:ind w:left="1080" w:firstLine="0"/>
        <w:jc w:val="both"/>
        <w:rPr>
          <w:sz w:val="20"/>
          <w:szCs w:val="20"/>
          <w:lang w:val="en-GB"/>
        </w:rPr>
      </w:pPr>
      <w:r w:rsidRPr="00686BBC">
        <w:rPr>
          <w:sz w:val="20"/>
          <w:szCs w:val="20"/>
          <w:lang w:val="en-GB"/>
        </w:rPr>
        <w:t>T</w:t>
      </w:r>
      <w:r w:rsidR="4C72DE5F" w:rsidRPr="00686BBC">
        <w:rPr>
          <w:sz w:val="20"/>
          <w:szCs w:val="20"/>
          <w:lang w:val="en-GB"/>
        </w:rPr>
        <w:t>he Independent Evaluation Office (IEO) of UNDP conducted th</w:t>
      </w:r>
      <w:r w:rsidR="00483425" w:rsidRPr="00686BBC">
        <w:rPr>
          <w:sz w:val="20"/>
          <w:szCs w:val="20"/>
          <w:lang w:val="en-GB"/>
        </w:rPr>
        <w:t>e</w:t>
      </w:r>
      <w:r w:rsidR="4C72DE5F" w:rsidRPr="00686BBC">
        <w:rPr>
          <w:sz w:val="20"/>
          <w:szCs w:val="20"/>
          <w:lang w:val="en-GB"/>
        </w:rPr>
        <w:t xml:space="preserve"> </w:t>
      </w:r>
      <w:r w:rsidR="008020EB" w:rsidRPr="00686BBC">
        <w:rPr>
          <w:sz w:val="20"/>
          <w:szCs w:val="20"/>
          <w:lang w:val="en-GB"/>
        </w:rPr>
        <w:t>e</w:t>
      </w:r>
      <w:r w:rsidR="4C72DE5F" w:rsidRPr="00686BBC">
        <w:rPr>
          <w:sz w:val="20"/>
          <w:szCs w:val="20"/>
          <w:lang w:val="en-GB"/>
        </w:rPr>
        <w:t>valuation</w:t>
      </w:r>
      <w:r w:rsidR="00483425" w:rsidRPr="00686BBC">
        <w:rPr>
          <w:sz w:val="20"/>
          <w:szCs w:val="20"/>
          <w:lang w:val="en-GB"/>
        </w:rPr>
        <w:t xml:space="preserve"> of UNDP </w:t>
      </w:r>
      <w:r w:rsidR="008020EB" w:rsidRPr="00686BBC">
        <w:rPr>
          <w:sz w:val="20"/>
          <w:szCs w:val="20"/>
          <w:lang w:val="en-GB"/>
        </w:rPr>
        <w:t>s</w:t>
      </w:r>
      <w:r w:rsidR="00483425" w:rsidRPr="00686BBC">
        <w:rPr>
          <w:sz w:val="20"/>
          <w:szCs w:val="20"/>
          <w:lang w:val="en-GB"/>
        </w:rPr>
        <w:t xml:space="preserve">upport for </w:t>
      </w:r>
      <w:r w:rsidR="008020EB" w:rsidRPr="00686BBC">
        <w:rPr>
          <w:sz w:val="20"/>
          <w:szCs w:val="20"/>
          <w:lang w:val="en-GB"/>
        </w:rPr>
        <w:t>c</w:t>
      </w:r>
      <w:r w:rsidR="00483425" w:rsidRPr="00686BBC">
        <w:rPr>
          <w:sz w:val="20"/>
          <w:szCs w:val="20"/>
          <w:lang w:val="en-GB"/>
        </w:rPr>
        <w:t>limate</w:t>
      </w:r>
      <w:r w:rsidR="000953D1" w:rsidRPr="00686BBC">
        <w:rPr>
          <w:sz w:val="20"/>
          <w:szCs w:val="20"/>
          <w:lang w:val="en-GB"/>
        </w:rPr>
        <w:t xml:space="preserve"> change adaptation</w:t>
      </w:r>
      <w:r w:rsidR="00483425" w:rsidRPr="00686BBC">
        <w:rPr>
          <w:sz w:val="20"/>
          <w:szCs w:val="20"/>
          <w:lang w:val="en-GB"/>
        </w:rPr>
        <w:t xml:space="preserve"> </w:t>
      </w:r>
      <w:r w:rsidR="00686BBC">
        <w:rPr>
          <w:sz w:val="20"/>
          <w:szCs w:val="20"/>
          <w:lang w:val="en-GB"/>
        </w:rPr>
        <w:t xml:space="preserve">in order </w:t>
      </w:r>
      <w:r w:rsidR="4C72DE5F" w:rsidRPr="00686BBC">
        <w:rPr>
          <w:sz w:val="20"/>
          <w:szCs w:val="20"/>
          <w:lang w:val="en-GB"/>
        </w:rPr>
        <w:t>to take stock of UNDP</w:t>
      </w:r>
      <w:r w:rsidR="00686BBC">
        <w:rPr>
          <w:sz w:val="20"/>
          <w:szCs w:val="20"/>
          <w:lang w:val="en-GB"/>
        </w:rPr>
        <w:t xml:space="preserve"> </w:t>
      </w:r>
      <w:r w:rsidR="4C72DE5F" w:rsidRPr="00686BBC">
        <w:rPr>
          <w:sz w:val="20"/>
          <w:szCs w:val="20"/>
          <w:lang w:val="en-GB"/>
        </w:rPr>
        <w:t xml:space="preserve">achievements and performance in helping partner countries adapt to new climate conditions created by global warming. The evaluation </w:t>
      </w:r>
      <w:r w:rsidR="00401637" w:rsidRPr="00686BBC">
        <w:rPr>
          <w:sz w:val="20"/>
          <w:szCs w:val="20"/>
          <w:lang w:val="en-GB"/>
        </w:rPr>
        <w:t>was conducted</w:t>
      </w:r>
      <w:r w:rsidR="003738BC" w:rsidRPr="00686BBC">
        <w:rPr>
          <w:sz w:val="20"/>
          <w:szCs w:val="20"/>
          <w:lang w:val="en-GB"/>
        </w:rPr>
        <w:t xml:space="preserve"> in accordance with </w:t>
      </w:r>
      <w:r w:rsidR="4C72DE5F" w:rsidRPr="00686BBC">
        <w:rPr>
          <w:sz w:val="20"/>
          <w:szCs w:val="20"/>
          <w:lang w:val="en-GB"/>
        </w:rPr>
        <w:t xml:space="preserve">the </w:t>
      </w:r>
      <w:r w:rsidR="008F5D74" w:rsidRPr="00686BBC">
        <w:rPr>
          <w:sz w:val="20"/>
          <w:szCs w:val="20"/>
          <w:lang w:val="en-GB"/>
        </w:rPr>
        <w:t xml:space="preserve">multi-year evaluation plan of IEO </w:t>
      </w:r>
      <w:r w:rsidR="4C72DE5F" w:rsidRPr="00686BBC">
        <w:rPr>
          <w:sz w:val="20"/>
          <w:szCs w:val="20"/>
          <w:lang w:val="en-GB"/>
        </w:rPr>
        <w:t>(</w:t>
      </w:r>
      <w:r w:rsidR="00FA79D6">
        <w:rPr>
          <w:sz w:val="20"/>
          <w:szCs w:val="20"/>
          <w:lang w:val="en-GB"/>
        </w:rPr>
        <w:t>D</w:t>
      </w:r>
      <w:r w:rsidR="4C72DE5F" w:rsidRPr="00686BBC">
        <w:rPr>
          <w:sz w:val="20"/>
          <w:szCs w:val="20"/>
          <w:lang w:val="en-GB"/>
        </w:rPr>
        <w:t xml:space="preserve">P/2018/4) approved by the Executive Board </w:t>
      </w:r>
      <w:r w:rsidR="00686BBC">
        <w:rPr>
          <w:sz w:val="20"/>
          <w:szCs w:val="20"/>
          <w:lang w:val="en-GB"/>
        </w:rPr>
        <w:t>in its decision 2018/1</w:t>
      </w:r>
      <w:r w:rsidR="4C72DE5F" w:rsidRPr="00686BBC">
        <w:rPr>
          <w:sz w:val="20"/>
          <w:szCs w:val="20"/>
          <w:lang w:val="en-GB"/>
        </w:rPr>
        <w:t xml:space="preserve">. </w:t>
      </w:r>
      <w:r w:rsidR="00B87CEF" w:rsidRPr="00686BBC">
        <w:rPr>
          <w:sz w:val="20"/>
          <w:szCs w:val="20"/>
          <w:lang w:val="en-GB"/>
        </w:rPr>
        <w:t xml:space="preserve"> </w:t>
      </w:r>
    </w:p>
    <w:p w14:paraId="388275CB" w14:textId="77777777" w:rsidR="003E60E5" w:rsidRPr="004E5136" w:rsidRDefault="003E60E5" w:rsidP="001914A6">
      <w:pPr>
        <w:pStyle w:val="ListParagraph"/>
        <w:tabs>
          <w:tab w:val="left" w:pos="1350"/>
          <w:tab w:val="left" w:pos="1710"/>
        </w:tabs>
        <w:spacing w:after="120"/>
        <w:ind w:left="1080"/>
        <w:jc w:val="both"/>
        <w:rPr>
          <w:sz w:val="12"/>
          <w:szCs w:val="12"/>
          <w:lang w:val="en-GB"/>
        </w:rPr>
      </w:pPr>
    </w:p>
    <w:p w14:paraId="1C37D904" w14:textId="37B6EE64" w:rsidR="4C72DE5F" w:rsidRPr="00686BBC" w:rsidRDefault="4C72DE5F" w:rsidP="001914A6">
      <w:pPr>
        <w:pStyle w:val="ListParagraph"/>
        <w:numPr>
          <w:ilvl w:val="0"/>
          <w:numId w:val="18"/>
        </w:numPr>
        <w:tabs>
          <w:tab w:val="left" w:pos="1350"/>
          <w:tab w:val="left" w:pos="1710"/>
        </w:tabs>
        <w:spacing w:after="120"/>
        <w:ind w:left="1080" w:firstLine="0"/>
        <w:jc w:val="both"/>
        <w:rPr>
          <w:sz w:val="20"/>
          <w:szCs w:val="20"/>
          <w:lang w:val="en-GB"/>
        </w:rPr>
      </w:pPr>
      <w:r w:rsidRPr="00686BBC">
        <w:rPr>
          <w:sz w:val="20"/>
          <w:szCs w:val="20"/>
          <w:lang w:val="en-GB"/>
        </w:rPr>
        <w:t xml:space="preserve">The primary focus </w:t>
      </w:r>
      <w:r w:rsidR="00107149" w:rsidRPr="00686BBC">
        <w:rPr>
          <w:sz w:val="20"/>
          <w:szCs w:val="20"/>
          <w:lang w:val="en-GB"/>
        </w:rPr>
        <w:t xml:space="preserve">of the evaluation </w:t>
      </w:r>
      <w:r w:rsidR="00364D92" w:rsidRPr="00686BBC">
        <w:rPr>
          <w:sz w:val="20"/>
          <w:szCs w:val="20"/>
          <w:lang w:val="en-GB"/>
        </w:rPr>
        <w:t xml:space="preserve">was </w:t>
      </w:r>
      <w:r w:rsidRPr="00686BBC">
        <w:rPr>
          <w:sz w:val="20"/>
          <w:szCs w:val="20"/>
          <w:lang w:val="en-GB"/>
        </w:rPr>
        <w:t xml:space="preserve">UNDP activities that </w:t>
      </w:r>
      <w:r w:rsidRPr="00686BBC">
        <w:rPr>
          <w:i/>
          <w:iCs/>
          <w:sz w:val="20"/>
          <w:szCs w:val="20"/>
          <w:lang w:val="en-GB"/>
        </w:rPr>
        <w:t>directly</w:t>
      </w:r>
      <w:r w:rsidRPr="00686BBC">
        <w:rPr>
          <w:sz w:val="20"/>
          <w:szCs w:val="20"/>
          <w:lang w:val="en-GB"/>
        </w:rPr>
        <w:t xml:space="preserve"> contribute to climate change adaptation</w:t>
      </w:r>
      <w:r w:rsidR="00715191">
        <w:rPr>
          <w:sz w:val="20"/>
          <w:szCs w:val="20"/>
          <w:lang w:val="en-GB"/>
        </w:rPr>
        <w:t xml:space="preserve"> and </w:t>
      </w:r>
      <w:r w:rsidRPr="00686BBC">
        <w:rPr>
          <w:sz w:val="20"/>
          <w:szCs w:val="20"/>
          <w:lang w:val="en-GB"/>
        </w:rPr>
        <w:t xml:space="preserve">assessed climate change adaptation finance channelled through UNDP in four policy domains: </w:t>
      </w:r>
      <w:r w:rsidR="00FA79D6">
        <w:rPr>
          <w:sz w:val="20"/>
          <w:szCs w:val="20"/>
          <w:lang w:val="en-GB"/>
        </w:rPr>
        <w:t>(a</w:t>
      </w:r>
      <w:r w:rsidRPr="00686BBC">
        <w:rPr>
          <w:sz w:val="20"/>
          <w:szCs w:val="20"/>
          <w:lang w:val="en-GB"/>
        </w:rPr>
        <w:t xml:space="preserve">) </w:t>
      </w:r>
      <w:r w:rsidR="00682B7C" w:rsidRPr="00686BBC">
        <w:rPr>
          <w:sz w:val="20"/>
          <w:szCs w:val="20"/>
          <w:lang w:val="en-GB"/>
        </w:rPr>
        <w:t>a</w:t>
      </w:r>
      <w:r w:rsidRPr="00686BBC">
        <w:rPr>
          <w:sz w:val="20"/>
          <w:szCs w:val="20"/>
          <w:lang w:val="en-GB"/>
        </w:rPr>
        <w:t>griculture, forestry, fisheries</w:t>
      </w:r>
      <w:r w:rsidR="00E424DB" w:rsidRPr="00686BBC">
        <w:rPr>
          <w:sz w:val="20"/>
          <w:szCs w:val="20"/>
          <w:lang w:val="en-GB"/>
        </w:rPr>
        <w:t xml:space="preserve"> and</w:t>
      </w:r>
      <w:r w:rsidRPr="00686BBC">
        <w:rPr>
          <w:sz w:val="20"/>
          <w:szCs w:val="20"/>
          <w:lang w:val="en-GB"/>
        </w:rPr>
        <w:t xml:space="preserve"> food security; </w:t>
      </w:r>
      <w:r w:rsidR="00FA79D6">
        <w:rPr>
          <w:sz w:val="20"/>
          <w:szCs w:val="20"/>
          <w:lang w:val="en-GB"/>
        </w:rPr>
        <w:t>(b</w:t>
      </w:r>
      <w:r w:rsidRPr="00686BBC">
        <w:rPr>
          <w:sz w:val="20"/>
          <w:szCs w:val="20"/>
          <w:lang w:val="en-GB"/>
        </w:rPr>
        <w:t>)</w:t>
      </w:r>
      <w:r w:rsidR="00FA79D6">
        <w:rPr>
          <w:sz w:val="20"/>
          <w:szCs w:val="20"/>
          <w:lang w:val="en-GB"/>
        </w:rPr>
        <w:t> </w:t>
      </w:r>
      <w:r w:rsidR="00682B7C" w:rsidRPr="00686BBC">
        <w:rPr>
          <w:sz w:val="20"/>
          <w:szCs w:val="20"/>
          <w:lang w:val="en-GB"/>
        </w:rPr>
        <w:t>d</w:t>
      </w:r>
      <w:r w:rsidRPr="00686BBC">
        <w:rPr>
          <w:sz w:val="20"/>
          <w:szCs w:val="20"/>
          <w:lang w:val="en-GB"/>
        </w:rPr>
        <w:t xml:space="preserve">isaster </w:t>
      </w:r>
      <w:r w:rsidR="00682B7C" w:rsidRPr="00686BBC">
        <w:rPr>
          <w:sz w:val="20"/>
          <w:szCs w:val="20"/>
          <w:lang w:val="en-GB"/>
        </w:rPr>
        <w:t>p</w:t>
      </w:r>
      <w:r w:rsidRPr="00686BBC">
        <w:rPr>
          <w:sz w:val="20"/>
          <w:szCs w:val="20"/>
          <w:lang w:val="en-GB"/>
        </w:rPr>
        <w:t xml:space="preserve">revention and </w:t>
      </w:r>
      <w:r w:rsidR="00682B7C" w:rsidRPr="00686BBC">
        <w:rPr>
          <w:sz w:val="20"/>
          <w:szCs w:val="20"/>
          <w:lang w:val="en-GB"/>
        </w:rPr>
        <w:t>p</w:t>
      </w:r>
      <w:r w:rsidRPr="00686BBC">
        <w:rPr>
          <w:sz w:val="20"/>
          <w:szCs w:val="20"/>
          <w:lang w:val="en-GB"/>
        </w:rPr>
        <w:t>reparedness</w:t>
      </w:r>
      <w:r w:rsidR="00E424DB" w:rsidRPr="00686BBC">
        <w:rPr>
          <w:sz w:val="20"/>
          <w:szCs w:val="20"/>
          <w:lang w:val="en-GB"/>
        </w:rPr>
        <w:t xml:space="preserve">, </w:t>
      </w:r>
      <w:r w:rsidRPr="00686BBC">
        <w:rPr>
          <w:sz w:val="20"/>
          <w:szCs w:val="20"/>
          <w:lang w:val="en-GB"/>
        </w:rPr>
        <w:t>including recovery</w:t>
      </w:r>
      <w:r w:rsidR="00E424DB" w:rsidRPr="00686BBC">
        <w:rPr>
          <w:sz w:val="20"/>
          <w:szCs w:val="20"/>
          <w:lang w:val="en-GB"/>
        </w:rPr>
        <w:t xml:space="preserve">, </w:t>
      </w:r>
      <w:r w:rsidR="00364D92" w:rsidRPr="00686BBC">
        <w:rPr>
          <w:sz w:val="20"/>
          <w:szCs w:val="20"/>
          <w:lang w:val="en-GB"/>
        </w:rPr>
        <w:t>and</w:t>
      </w:r>
      <w:r w:rsidRPr="00686BBC">
        <w:rPr>
          <w:sz w:val="20"/>
          <w:szCs w:val="20"/>
          <w:lang w:val="en-GB"/>
        </w:rPr>
        <w:t xml:space="preserve"> </w:t>
      </w:r>
      <w:r w:rsidR="00682B7C" w:rsidRPr="00686BBC">
        <w:rPr>
          <w:sz w:val="20"/>
          <w:szCs w:val="20"/>
          <w:lang w:val="en-GB"/>
        </w:rPr>
        <w:t>e</w:t>
      </w:r>
      <w:r w:rsidRPr="00686BBC">
        <w:rPr>
          <w:sz w:val="20"/>
          <w:szCs w:val="20"/>
          <w:lang w:val="en-GB"/>
        </w:rPr>
        <w:t xml:space="preserve">mergency </w:t>
      </w:r>
      <w:r w:rsidR="00682B7C" w:rsidRPr="00686BBC">
        <w:rPr>
          <w:sz w:val="20"/>
          <w:szCs w:val="20"/>
          <w:lang w:val="en-GB"/>
        </w:rPr>
        <w:t>r</w:t>
      </w:r>
      <w:r w:rsidRPr="00686BBC">
        <w:rPr>
          <w:sz w:val="20"/>
          <w:szCs w:val="20"/>
          <w:lang w:val="en-GB"/>
        </w:rPr>
        <w:t xml:space="preserve">esponse and </w:t>
      </w:r>
      <w:r w:rsidR="00682B7C" w:rsidRPr="00686BBC">
        <w:rPr>
          <w:sz w:val="20"/>
          <w:szCs w:val="20"/>
          <w:lang w:val="en-GB"/>
        </w:rPr>
        <w:t>r</w:t>
      </w:r>
      <w:r w:rsidRPr="00686BBC">
        <w:rPr>
          <w:sz w:val="20"/>
          <w:szCs w:val="20"/>
          <w:lang w:val="en-GB"/>
        </w:rPr>
        <w:t xml:space="preserve">econstruction; </w:t>
      </w:r>
      <w:r w:rsidR="00FA79D6">
        <w:rPr>
          <w:sz w:val="20"/>
          <w:szCs w:val="20"/>
          <w:lang w:val="en-GB"/>
        </w:rPr>
        <w:t>(c</w:t>
      </w:r>
      <w:r w:rsidRPr="00686BBC">
        <w:rPr>
          <w:sz w:val="20"/>
          <w:szCs w:val="20"/>
          <w:lang w:val="en-GB"/>
        </w:rPr>
        <w:t>)</w:t>
      </w:r>
      <w:r w:rsidR="00FA79D6">
        <w:rPr>
          <w:sz w:val="20"/>
          <w:szCs w:val="20"/>
          <w:lang w:val="en-GB"/>
        </w:rPr>
        <w:t> </w:t>
      </w:r>
      <w:r w:rsidR="00E424DB" w:rsidRPr="00686BBC">
        <w:rPr>
          <w:sz w:val="20"/>
          <w:szCs w:val="20"/>
          <w:lang w:val="en-GB"/>
        </w:rPr>
        <w:t>e</w:t>
      </w:r>
      <w:r w:rsidRPr="00686BBC">
        <w:rPr>
          <w:sz w:val="20"/>
          <w:szCs w:val="20"/>
          <w:lang w:val="en-GB"/>
        </w:rPr>
        <w:t xml:space="preserve">nvironmental protection and conservation; and </w:t>
      </w:r>
      <w:r w:rsidR="00FA79D6">
        <w:rPr>
          <w:sz w:val="20"/>
          <w:szCs w:val="20"/>
          <w:lang w:val="en-GB"/>
        </w:rPr>
        <w:t>(d</w:t>
      </w:r>
      <w:r w:rsidRPr="00686BBC">
        <w:rPr>
          <w:sz w:val="20"/>
          <w:szCs w:val="20"/>
          <w:lang w:val="en-GB"/>
        </w:rPr>
        <w:t xml:space="preserve">) </w:t>
      </w:r>
      <w:r w:rsidR="00682B7C" w:rsidRPr="00686BBC">
        <w:rPr>
          <w:sz w:val="20"/>
          <w:szCs w:val="20"/>
          <w:lang w:val="en-GB"/>
        </w:rPr>
        <w:t>w</w:t>
      </w:r>
      <w:r w:rsidRPr="00686BBC">
        <w:rPr>
          <w:sz w:val="20"/>
          <w:szCs w:val="20"/>
          <w:lang w:val="en-GB"/>
        </w:rPr>
        <w:t xml:space="preserve">ater </w:t>
      </w:r>
      <w:r w:rsidR="00682B7C" w:rsidRPr="00686BBC">
        <w:rPr>
          <w:sz w:val="20"/>
          <w:szCs w:val="20"/>
          <w:lang w:val="en-GB"/>
        </w:rPr>
        <w:t>s</w:t>
      </w:r>
      <w:r w:rsidRPr="00686BBC">
        <w:rPr>
          <w:sz w:val="20"/>
          <w:szCs w:val="20"/>
          <w:lang w:val="en-GB"/>
        </w:rPr>
        <w:t xml:space="preserve">upply and </w:t>
      </w:r>
      <w:r w:rsidR="00682B7C" w:rsidRPr="00686BBC">
        <w:rPr>
          <w:sz w:val="20"/>
          <w:szCs w:val="20"/>
          <w:lang w:val="en-GB"/>
        </w:rPr>
        <w:t>s</w:t>
      </w:r>
      <w:r w:rsidRPr="00686BBC">
        <w:rPr>
          <w:sz w:val="20"/>
          <w:szCs w:val="20"/>
          <w:lang w:val="en-GB"/>
        </w:rPr>
        <w:t>anitation.</w:t>
      </w:r>
      <w:r w:rsidR="00715191">
        <w:rPr>
          <w:sz w:val="20"/>
          <w:szCs w:val="20"/>
          <w:lang w:val="en-GB"/>
        </w:rPr>
        <w:t xml:space="preserve">  </w:t>
      </w:r>
      <w:r w:rsidR="00715191" w:rsidRPr="00686BBC">
        <w:rPr>
          <w:sz w:val="20"/>
          <w:szCs w:val="20"/>
          <w:lang w:val="en-GB"/>
        </w:rPr>
        <w:t xml:space="preserve">The evaluation looks across </w:t>
      </w:r>
      <w:r w:rsidR="00715191">
        <w:rPr>
          <w:sz w:val="20"/>
          <w:szCs w:val="20"/>
          <w:lang w:val="en-GB"/>
        </w:rPr>
        <w:t xml:space="preserve">the </w:t>
      </w:r>
      <w:r w:rsidR="00715191" w:rsidRPr="00686BBC">
        <w:rPr>
          <w:sz w:val="20"/>
          <w:szCs w:val="20"/>
          <w:lang w:val="en-GB"/>
        </w:rPr>
        <w:t xml:space="preserve">UNDP climate change adaptation offer but </w:t>
      </w:r>
      <w:r w:rsidR="00715191">
        <w:rPr>
          <w:sz w:val="20"/>
          <w:szCs w:val="20"/>
          <w:lang w:val="en-GB"/>
        </w:rPr>
        <w:t xml:space="preserve">its </w:t>
      </w:r>
      <w:r w:rsidR="00715191" w:rsidRPr="00686BBC">
        <w:rPr>
          <w:sz w:val="20"/>
          <w:szCs w:val="20"/>
          <w:lang w:val="en-GB"/>
        </w:rPr>
        <w:t>scope excluded UNDP support for climate change mitigation. The exclusion of mitigation support, despite its critical importance, recognizes that there are fundamental differences in the drivers for mitigation and adaptation and strategies to address them</w:t>
      </w:r>
      <w:r w:rsidR="00715191">
        <w:rPr>
          <w:sz w:val="20"/>
          <w:szCs w:val="20"/>
          <w:lang w:val="en-GB"/>
        </w:rPr>
        <w:t>.</w:t>
      </w:r>
    </w:p>
    <w:p w14:paraId="5D83F5B5" w14:textId="77777777" w:rsidR="003E60E5" w:rsidRPr="004E5136" w:rsidRDefault="003E60E5" w:rsidP="001914A6">
      <w:pPr>
        <w:pStyle w:val="ListParagraph"/>
        <w:tabs>
          <w:tab w:val="left" w:pos="1350"/>
          <w:tab w:val="left" w:pos="1710"/>
        </w:tabs>
        <w:spacing w:after="120"/>
        <w:ind w:left="1080"/>
        <w:jc w:val="both"/>
        <w:rPr>
          <w:sz w:val="12"/>
          <w:szCs w:val="12"/>
          <w:lang w:val="en-GB"/>
        </w:rPr>
      </w:pPr>
    </w:p>
    <w:p w14:paraId="44754D77" w14:textId="25EDEF1B" w:rsidR="001A6E06" w:rsidRPr="00686BBC" w:rsidRDefault="001A6E06" w:rsidP="001914A6">
      <w:pPr>
        <w:pStyle w:val="ListParagraph"/>
        <w:numPr>
          <w:ilvl w:val="0"/>
          <w:numId w:val="18"/>
        </w:numPr>
        <w:tabs>
          <w:tab w:val="left" w:pos="1350"/>
          <w:tab w:val="left" w:pos="1710"/>
        </w:tabs>
        <w:ind w:left="1080" w:firstLine="0"/>
        <w:jc w:val="both"/>
        <w:rPr>
          <w:sz w:val="20"/>
          <w:szCs w:val="20"/>
          <w:lang w:val="en-GB"/>
        </w:rPr>
      </w:pPr>
      <w:r w:rsidRPr="00686BBC">
        <w:rPr>
          <w:sz w:val="20"/>
          <w:szCs w:val="20"/>
          <w:lang w:val="en-GB"/>
        </w:rPr>
        <w:t>UNDP</w:t>
      </w:r>
      <w:r w:rsidR="00537797" w:rsidRPr="00686BBC">
        <w:rPr>
          <w:sz w:val="20"/>
          <w:szCs w:val="20"/>
          <w:lang w:val="en-GB"/>
        </w:rPr>
        <w:t xml:space="preserve"> </w:t>
      </w:r>
      <w:r w:rsidR="00DC09F4" w:rsidRPr="00686BBC">
        <w:rPr>
          <w:sz w:val="20"/>
          <w:szCs w:val="20"/>
          <w:lang w:val="en-GB"/>
        </w:rPr>
        <w:t xml:space="preserve">welcomes the </w:t>
      </w:r>
      <w:r w:rsidR="00FA79D6">
        <w:rPr>
          <w:sz w:val="20"/>
          <w:szCs w:val="20"/>
          <w:lang w:val="en-GB"/>
        </w:rPr>
        <w:t xml:space="preserve">evaluation’s </w:t>
      </w:r>
      <w:r w:rsidR="00537797" w:rsidRPr="00686BBC">
        <w:rPr>
          <w:sz w:val="20"/>
          <w:szCs w:val="20"/>
          <w:lang w:val="en-GB"/>
        </w:rPr>
        <w:t xml:space="preserve">findings </w:t>
      </w:r>
      <w:r w:rsidR="00557079" w:rsidRPr="00686BBC">
        <w:rPr>
          <w:sz w:val="20"/>
          <w:szCs w:val="20"/>
          <w:lang w:val="en-GB"/>
        </w:rPr>
        <w:t>and recommendations</w:t>
      </w:r>
      <w:r w:rsidR="00377BCD" w:rsidRPr="00686BBC">
        <w:rPr>
          <w:sz w:val="20"/>
          <w:szCs w:val="20"/>
          <w:lang w:val="en-GB"/>
        </w:rPr>
        <w:t xml:space="preserve"> </w:t>
      </w:r>
      <w:r w:rsidR="00FA79D6">
        <w:rPr>
          <w:sz w:val="20"/>
          <w:szCs w:val="20"/>
          <w:lang w:val="en-GB"/>
        </w:rPr>
        <w:t xml:space="preserve">and </w:t>
      </w:r>
      <w:r w:rsidR="00537797" w:rsidRPr="00686BBC">
        <w:rPr>
          <w:sz w:val="20"/>
          <w:szCs w:val="20"/>
          <w:lang w:val="en-GB"/>
        </w:rPr>
        <w:t>provide</w:t>
      </w:r>
      <w:r w:rsidR="00FA79D6">
        <w:rPr>
          <w:sz w:val="20"/>
          <w:szCs w:val="20"/>
          <w:lang w:val="en-GB"/>
        </w:rPr>
        <w:t>s</w:t>
      </w:r>
      <w:r w:rsidR="00537797" w:rsidRPr="00686BBC">
        <w:rPr>
          <w:sz w:val="20"/>
          <w:szCs w:val="20"/>
          <w:lang w:val="en-GB"/>
        </w:rPr>
        <w:t xml:space="preserve"> </w:t>
      </w:r>
      <w:r w:rsidR="56F630A0" w:rsidRPr="00686BBC">
        <w:rPr>
          <w:sz w:val="20"/>
          <w:szCs w:val="20"/>
          <w:lang w:val="en-GB"/>
        </w:rPr>
        <w:t xml:space="preserve">clarification and evidence </w:t>
      </w:r>
      <w:r w:rsidR="00FA79D6">
        <w:rPr>
          <w:sz w:val="20"/>
          <w:szCs w:val="20"/>
          <w:lang w:val="en-GB"/>
        </w:rPr>
        <w:t xml:space="preserve">with </w:t>
      </w:r>
      <w:r w:rsidR="56F630A0" w:rsidRPr="00686BBC">
        <w:rPr>
          <w:sz w:val="20"/>
          <w:szCs w:val="20"/>
          <w:lang w:val="en-GB"/>
        </w:rPr>
        <w:t xml:space="preserve">regard </w:t>
      </w:r>
      <w:r w:rsidR="00FA79D6">
        <w:rPr>
          <w:sz w:val="20"/>
          <w:szCs w:val="20"/>
          <w:lang w:val="en-GB"/>
        </w:rPr>
        <w:t xml:space="preserve">to </w:t>
      </w:r>
      <w:r w:rsidR="56F630A0" w:rsidRPr="00686BBC">
        <w:rPr>
          <w:sz w:val="20"/>
          <w:szCs w:val="20"/>
          <w:lang w:val="en-GB"/>
        </w:rPr>
        <w:t>certain conclusions</w:t>
      </w:r>
      <w:r w:rsidR="00537797" w:rsidRPr="00686BBC">
        <w:rPr>
          <w:sz w:val="20"/>
          <w:szCs w:val="20"/>
          <w:lang w:val="en-GB"/>
        </w:rPr>
        <w:t>. T</w:t>
      </w:r>
      <w:r w:rsidR="3F9630BC" w:rsidRPr="00686BBC">
        <w:rPr>
          <w:sz w:val="20"/>
          <w:szCs w:val="20"/>
          <w:lang w:val="en-GB"/>
        </w:rPr>
        <w:t>he</w:t>
      </w:r>
      <w:r w:rsidR="00557079" w:rsidRPr="00686BBC">
        <w:rPr>
          <w:sz w:val="20"/>
          <w:szCs w:val="20"/>
          <w:lang w:val="en-GB"/>
        </w:rPr>
        <w:t xml:space="preserve"> lessons from the evaluation will </w:t>
      </w:r>
      <w:r w:rsidR="00537797" w:rsidRPr="00686BBC">
        <w:rPr>
          <w:sz w:val="20"/>
          <w:szCs w:val="20"/>
          <w:lang w:val="en-GB"/>
        </w:rPr>
        <w:t xml:space="preserve">inform </w:t>
      </w:r>
      <w:r w:rsidR="00FA79D6">
        <w:rPr>
          <w:sz w:val="20"/>
          <w:szCs w:val="20"/>
          <w:lang w:val="en-GB"/>
        </w:rPr>
        <w:t xml:space="preserve">the </w:t>
      </w:r>
      <w:r w:rsidR="00FA6DEC" w:rsidRPr="00686BBC">
        <w:rPr>
          <w:sz w:val="20"/>
          <w:szCs w:val="20"/>
          <w:lang w:val="en-GB"/>
        </w:rPr>
        <w:t xml:space="preserve">coordinated </w:t>
      </w:r>
      <w:r w:rsidR="00FA79D6">
        <w:rPr>
          <w:sz w:val="20"/>
          <w:szCs w:val="20"/>
          <w:lang w:val="en-GB"/>
        </w:rPr>
        <w:t xml:space="preserve">UNDP </w:t>
      </w:r>
      <w:r w:rsidR="00FA6DEC" w:rsidRPr="00686BBC">
        <w:rPr>
          <w:sz w:val="20"/>
          <w:szCs w:val="20"/>
          <w:lang w:val="en-GB"/>
        </w:rPr>
        <w:t xml:space="preserve">offer </w:t>
      </w:r>
      <w:r w:rsidR="00AC1295" w:rsidRPr="00686BBC">
        <w:rPr>
          <w:sz w:val="20"/>
          <w:szCs w:val="20"/>
          <w:lang w:val="en-GB"/>
        </w:rPr>
        <w:t xml:space="preserve">for </w:t>
      </w:r>
      <w:r w:rsidR="002956E8" w:rsidRPr="00686BBC">
        <w:rPr>
          <w:sz w:val="20"/>
          <w:szCs w:val="20"/>
          <w:lang w:val="en-GB"/>
        </w:rPr>
        <w:t>climate chang</w:t>
      </w:r>
      <w:r w:rsidR="00845A6E" w:rsidRPr="00686BBC">
        <w:rPr>
          <w:sz w:val="20"/>
          <w:szCs w:val="20"/>
          <w:lang w:val="en-GB"/>
        </w:rPr>
        <w:t>e ad</w:t>
      </w:r>
      <w:r w:rsidR="00C84D45" w:rsidRPr="00686BBC">
        <w:rPr>
          <w:sz w:val="20"/>
          <w:szCs w:val="20"/>
          <w:lang w:val="en-GB"/>
        </w:rPr>
        <w:t>aptation</w:t>
      </w:r>
      <w:r w:rsidR="00537797" w:rsidRPr="00686BBC">
        <w:rPr>
          <w:sz w:val="20"/>
          <w:szCs w:val="20"/>
          <w:lang w:val="en-GB"/>
        </w:rPr>
        <w:t xml:space="preserve">. </w:t>
      </w:r>
      <w:r w:rsidR="00BB19AB" w:rsidRPr="00686BBC">
        <w:rPr>
          <w:sz w:val="20"/>
          <w:szCs w:val="20"/>
          <w:lang w:val="en-GB"/>
        </w:rPr>
        <w:t xml:space="preserve"> </w:t>
      </w:r>
      <w:r w:rsidR="00C84D45" w:rsidRPr="00686BBC">
        <w:rPr>
          <w:sz w:val="20"/>
          <w:szCs w:val="20"/>
          <w:lang w:val="en-GB"/>
        </w:rPr>
        <w:t xml:space="preserve"> </w:t>
      </w:r>
      <w:r w:rsidR="00377BCD" w:rsidRPr="00686BBC">
        <w:rPr>
          <w:sz w:val="20"/>
          <w:szCs w:val="20"/>
          <w:lang w:val="en-GB"/>
        </w:rPr>
        <w:t xml:space="preserve"> </w:t>
      </w:r>
      <w:r w:rsidR="00B4108F" w:rsidRPr="00686BBC">
        <w:rPr>
          <w:sz w:val="20"/>
          <w:szCs w:val="20"/>
          <w:lang w:val="en-GB"/>
        </w:rPr>
        <w:t xml:space="preserve"> </w:t>
      </w:r>
      <w:r w:rsidR="00557079" w:rsidRPr="00686BBC">
        <w:rPr>
          <w:sz w:val="20"/>
          <w:szCs w:val="20"/>
          <w:lang w:val="en-GB"/>
        </w:rPr>
        <w:t xml:space="preserve"> </w:t>
      </w:r>
    </w:p>
    <w:p w14:paraId="012B476A" w14:textId="19F21B71" w:rsidR="00027A71" w:rsidRPr="004E5136" w:rsidRDefault="00027A71" w:rsidP="001914A6">
      <w:pPr>
        <w:tabs>
          <w:tab w:val="left" w:pos="1350"/>
        </w:tabs>
        <w:ind w:left="1080"/>
        <w:rPr>
          <w:sz w:val="20"/>
          <w:szCs w:val="20"/>
          <w:lang w:val="en-GB"/>
        </w:rPr>
      </w:pPr>
    </w:p>
    <w:p w14:paraId="2B09825F" w14:textId="2F660536" w:rsidR="00415F16" w:rsidRPr="00686BBC" w:rsidRDefault="00485EFF" w:rsidP="001914A6">
      <w:pPr>
        <w:keepNext/>
        <w:keepLines/>
        <w:tabs>
          <w:tab w:val="left" w:pos="990"/>
          <w:tab w:val="left" w:pos="1350"/>
          <w:tab w:val="left" w:pos="1620"/>
        </w:tabs>
        <w:ind w:left="1080" w:right="-144" w:hanging="450"/>
        <w:outlineLvl w:val="0"/>
        <w:rPr>
          <w:b/>
          <w:sz w:val="28"/>
          <w:szCs w:val="28"/>
          <w:lang w:val="en-GB"/>
        </w:rPr>
      </w:pPr>
      <w:r w:rsidRPr="00686BBC">
        <w:rPr>
          <w:b/>
          <w:bCs/>
          <w:sz w:val="28"/>
          <w:szCs w:val="28"/>
          <w:lang w:val="en-GB"/>
        </w:rPr>
        <w:t>I</w:t>
      </w:r>
      <w:r w:rsidR="00415F16" w:rsidRPr="00686BBC">
        <w:rPr>
          <w:b/>
          <w:bCs/>
          <w:sz w:val="28"/>
          <w:szCs w:val="28"/>
          <w:lang w:val="en-GB"/>
        </w:rPr>
        <w:t>I.</w:t>
      </w:r>
      <w:r w:rsidR="00415F16" w:rsidRPr="00686BBC">
        <w:rPr>
          <w:b/>
          <w:bCs/>
          <w:lang w:val="en-GB"/>
        </w:rPr>
        <w:t xml:space="preserve"> </w:t>
      </w:r>
      <w:r w:rsidR="00415F16" w:rsidRPr="00686BBC">
        <w:rPr>
          <w:b/>
          <w:lang w:val="en-GB"/>
        </w:rPr>
        <w:tab/>
      </w:r>
      <w:r w:rsidR="002E0C4D" w:rsidRPr="00686BBC">
        <w:rPr>
          <w:b/>
          <w:bCs/>
          <w:sz w:val="28"/>
          <w:szCs w:val="28"/>
          <w:lang w:val="en-GB"/>
        </w:rPr>
        <w:t>Climate change and adaptation</w:t>
      </w:r>
      <w:r w:rsidR="2F4E0C35" w:rsidRPr="00686BBC">
        <w:rPr>
          <w:b/>
          <w:bCs/>
          <w:sz w:val="28"/>
          <w:szCs w:val="28"/>
          <w:lang w:val="en-GB"/>
        </w:rPr>
        <w:t xml:space="preserve"> – </w:t>
      </w:r>
      <w:r w:rsidR="00B85534">
        <w:rPr>
          <w:b/>
          <w:bCs/>
          <w:sz w:val="28"/>
          <w:szCs w:val="28"/>
          <w:lang w:val="en-GB"/>
        </w:rPr>
        <w:t>g</w:t>
      </w:r>
      <w:r w:rsidR="2F4E0C35" w:rsidRPr="00686BBC">
        <w:rPr>
          <w:b/>
          <w:bCs/>
          <w:sz w:val="28"/>
          <w:szCs w:val="28"/>
          <w:lang w:val="en-GB"/>
        </w:rPr>
        <w:t xml:space="preserve">lobal </w:t>
      </w:r>
      <w:r w:rsidR="00B85534">
        <w:rPr>
          <w:b/>
          <w:bCs/>
          <w:sz w:val="28"/>
          <w:szCs w:val="28"/>
          <w:lang w:val="en-GB"/>
        </w:rPr>
        <w:t>c</w:t>
      </w:r>
      <w:r w:rsidR="2F4E0C35" w:rsidRPr="00686BBC">
        <w:rPr>
          <w:b/>
          <w:bCs/>
          <w:sz w:val="28"/>
          <w:szCs w:val="28"/>
          <w:lang w:val="en-GB"/>
        </w:rPr>
        <w:t>ontext</w:t>
      </w:r>
    </w:p>
    <w:p w14:paraId="28F71C68" w14:textId="77777777" w:rsidR="00415F16" w:rsidRPr="00686BBC" w:rsidRDefault="00415F16" w:rsidP="001914A6">
      <w:pPr>
        <w:pStyle w:val="NormalWeb"/>
        <w:tabs>
          <w:tab w:val="left" w:pos="1350"/>
          <w:tab w:val="left" w:pos="1620"/>
        </w:tabs>
        <w:spacing w:before="0" w:beforeAutospacing="0" w:after="0" w:afterAutospacing="0"/>
        <w:ind w:left="1080" w:right="-169"/>
        <w:jc w:val="both"/>
        <w:rPr>
          <w:color w:val="0A0A0A"/>
          <w:spacing w:val="8"/>
          <w:sz w:val="20"/>
          <w:szCs w:val="20"/>
          <w:shd w:val="clear" w:color="auto" w:fill="FEFEFE"/>
          <w:lang w:val="en-GB"/>
        </w:rPr>
      </w:pPr>
    </w:p>
    <w:p w14:paraId="457F6C39" w14:textId="306267B1" w:rsidR="003B05A0" w:rsidRPr="00686BBC" w:rsidRDefault="2F4E0C35" w:rsidP="001914A6">
      <w:pPr>
        <w:pStyle w:val="ListParagraph"/>
        <w:numPr>
          <w:ilvl w:val="0"/>
          <w:numId w:val="18"/>
        </w:numPr>
        <w:tabs>
          <w:tab w:val="left" w:pos="1350"/>
          <w:tab w:val="left" w:pos="1710"/>
        </w:tabs>
        <w:ind w:left="1080" w:right="86" w:firstLine="0"/>
        <w:jc w:val="both"/>
        <w:rPr>
          <w:sz w:val="20"/>
          <w:szCs w:val="20"/>
          <w:lang w:val="en-GB"/>
        </w:rPr>
      </w:pPr>
      <w:r w:rsidRPr="00686BBC">
        <w:rPr>
          <w:sz w:val="20"/>
          <w:szCs w:val="20"/>
          <w:lang w:val="en-GB"/>
        </w:rPr>
        <w:t>Adaptation is now increasingly emphasized as a vital element of a long-term global response to address the risks and impacts of climate change occurring now and expected to worsen in the future. Globally, the impact</w:t>
      </w:r>
      <w:r w:rsidR="00B85534">
        <w:rPr>
          <w:sz w:val="20"/>
          <w:szCs w:val="20"/>
          <w:lang w:val="en-GB"/>
        </w:rPr>
        <w:t>s</w:t>
      </w:r>
      <w:r w:rsidRPr="00686BBC">
        <w:rPr>
          <w:sz w:val="20"/>
          <w:szCs w:val="20"/>
          <w:lang w:val="en-GB"/>
        </w:rPr>
        <w:t xml:space="preserve"> of climate change are increasingly evident</w:t>
      </w:r>
      <w:r w:rsidR="00CB6DAF">
        <w:rPr>
          <w:sz w:val="20"/>
          <w:szCs w:val="20"/>
          <w:lang w:val="en-GB"/>
        </w:rPr>
        <w:t xml:space="preserve"> with</w:t>
      </w:r>
      <w:r w:rsidRPr="00686BBC">
        <w:rPr>
          <w:sz w:val="20"/>
          <w:szCs w:val="20"/>
          <w:lang w:val="en-GB"/>
        </w:rPr>
        <w:t xml:space="preserve"> impacts </w:t>
      </w:r>
      <w:r w:rsidR="00CB6DAF">
        <w:rPr>
          <w:sz w:val="20"/>
          <w:szCs w:val="20"/>
          <w:lang w:val="en-GB"/>
        </w:rPr>
        <w:t xml:space="preserve">that </w:t>
      </w:r>
      <w:r w:rsidRPr="00686BBC">
        <w:rPr>
          <w:sz w:val="20"/>
          <w:szCs w:val="20"/>
          <w:lang w:val="en-GB"/>
        </w:rPr>
        <w:t xml:space="preserve">predominantly affect the most vulnerable and poorer segments of populations. Recognizing this, and the need for collective action, the </w:t>
      </w:r>
      <w:r w:rsidR="00AE407D">
        <w:rPr>
          <w:sz w:val="20"/>
          <w:szCs w:val="20"/>
          <w:lang w:val="en-GB"/>
        </w:rPr>
        <w:t xml:space="preserve">conference of the </w:t>
      </w:r>
      <w:r w:rsidRPr="00686BBC">
        <w:rPr>
          <w:sz w:val="20"/>
          <w:szCs w:val="20"/>
          <w:lang w:val="en-GB"/>
        </w:rPr>
        <w:t xml:space="preserve">parties to the </w:t>
      </w:r>
      <w:r w:rsidR="00B85534">
        <w:rPr>
          <w:sz w:val="20"/>
          <w:szCs w:val="20"/>
          <w:lang w:val="en-GB"/>
        </w:rPr>
        <w:t xml:space="preserve">United Nations Framework Convention on Climate Change </w:t>
      </w:r>
      <w:r w:rsidRPr="00686BBC">
        <w:rPr>
          <w:sz w:val="20"/>
          <w:szCs w:val="20"/>
          <w:lang w:val="en-GB"/>
        </w:rPr>
        <w:t xml:space="preserve">and the Paris Agreement are focused on scaling up adaptation action that is </w:t>
      </w:r>
      <w:r w:rsidR="00B85534">
        <w:rPr>
          <w:sz w:val="20"/>
          <w:szCs w:val="20"/>
          <w:lang w:val="en-GB"/>
        </w:rPr>
        <w:t>“</w:t>
      </w:r>
      <w:r w:rsidRPr="00686BBC">
        <w:rPr>
          <w:sz w:val="20"/>
          <w:szCs w:val="20"/>
          <w:lang w:val="en-GB"/>
        </w:rPr>
        <w:t>country-driven, gender-responsive, participatory and fully transparent</w:t>
      </w:r>
      <w:r w:rsidR="00B85534">
        <w:rPr>
          <w:sz w:val="20"/>
          <w:szCs w:val="20"/>
          <w:lang w:val="en-GB"/>
        </w:rPr>
        <w:t>…</w:t>
      </w:r>
      <w:r w:rsidRPr="00686BBC">
        <w:rPr>
          <w:sz w:val="20"/>
          <w:szCs w:val="20"/>
          <w:lang w:val="en-GB"/>
        </w:rPr>
        <w:t>, considering vulnerable groups, communities and ecosystems</w:t>
      </w:r>
      <w:r w:rsidR="00B85534">
        <w:rPr>
          <w:sz w:val="20"/>
          <w:szCs w:val="20"/>
          <w:lang w:val="en-GB"/>
        </w:rPr>
        <w:t>”</w:t>
      </w:r>
      <w:r w:rsidRPr="00686BBC">
        <w:rPr>
          <w:sz w:val="20"/>
          <w:szCs w:val="20"/>
          <w:lang w:val="en-GB"/>
        </w:rPr>
        <w:t xml:space="preserve">. </w:t>
      </w:r>
    </w:p>
    <w:p w14:paraId="0DB108A4" w14:textId="1230D48E" w:rsidR="003B05A0" w:rsidRPr="00686BBC" w:rsidRDefault="7407F708" w:rsidP="001914A6">
      <w:pPr>
        <w:pStyle w:val="ListParagraph"/>
        <w:numPr>
          <w:ilvl w:val="0"/>
          <w:numId w:val="18"/>
        </w:numPr>
        <w:tabs>
          <w:tab w:val="left" w:pos="1350"/>
          <w:tab w:val="left" w:pos="1710"/>
        </w:tabs>
        <w:ind w:left="1080" w:right="86" w:firstLine="0"/>
        <w:jc w:val="both"/>
        <w:rPr>
          <w:sz w:val="20"/>
          <w:szCs w:val="20"/>
          <w:lang w:val="en-GB"/>
        </w:rPr>
      </w:pPr>
      <w:r w:rsidRPr="00686BBC">
        <w:rPr>
          <w:sz w:val="20"/>
          <w:szCs w:val="20"/>
          <w:lang w:val="en-GB"/>
        </w:rPr>
        <w:lastRenderedPageBreak/>
        <w:t xml:space="preserve">The </w:t>
      </w:r>
      <w:r w:rsidR="00030180" w:rsidRPr="00686BBC">
        <w:rPr>
          <w:sz w:val="20"/>
          <w:szCs w:val="20"/>
          <w:lang w:val="en-GB"/>
        </w:rPr>
        <w:t xml:space="preserve">COVID-19 </w:t>
      </w:r>
      <w:r w:rsidRPr="00686BBC">
        <w:rPr>
          <w:sz w:val="20"/>
          <w:szCs w:val="20"/>
          <w:lang w:val="en-GB"/>
        </w:rPr>
        <w:t xml:space="preserve">pandemic has devastated lives, livelihoods and economies, further exacerbating climate vulnerabilities across the globe. By 2030, climate change alone is </w:t>
      </w:r>
      <w:r w:rsidR="0E2537B1" w:rsidRPr="00686BBC">
        <w:rPr>
          <w:sz w:val="20"/>
          <w:szCs w:val="20"/>
          <w:lang w:val="en-GB"/>
        </w:rPr>
        <w:t>projec</w:t>
      </w:r>
      <w:r w:rsidRPr="00686BBC">
        <w:rPr>
          <w:sz w:val="20"/>
          <w:szCs w:val="20"/>
          <w:lang w:val="en-GB"/>
        </w:rPr>
        <w:t>ted to drive an additional 100 million people into poverty, derail</w:t>
      </w:r>
      <w:r w:rsidR="6313E064" w:rsidRPr="00686BBC">
        <w:rPr>
          <w:sz w:val="20"/>
          <w:szCs w:val="20"/>
          <w:lang w:val="en-GB"/>
        </w:rPr>
        <w:t>ing</w:t>
      </w:r>
      <w:r w:rsidRPr="00686BBC">
        <w:rPr>
          <w:sz w:val="20"/>
          <w:szCs w:val="20"/>
          <w:lang w:val="en-GB"/>
        </w:rPr>
        <w:t xml:space="preserve"> efforts to reach the targets outlined in the Paris Agreement and Sustainable Development Goals.</w:t>
      </w:r>
    </w:p>
    <w:p w14:paraId="51287C31" w14:textId="7FC931FE" w:rsidR="003B05A0" w:rsidRPr="004E5136" w:rsidRDefault="2F4E0C35" w:rsidP="001914A6">
      <w:pPr>
        <w:tabs>
          <w:tab w:val="left" w:pos="1350"/>
          <w:tab w:val="left" w:pos="1710"/>
        </w:tabs>
        <w:ind w:left="1080" w:right="86"/>
        <w:jc w:val="both"/>
        <w:rPr>
          <w:sz w:val="12"/>
          <w:szCs w:val="12"/>
          <w:lang w:val="en-GB"/>
        </w:rPr>
      </w:pPr>
      <w:r w:rsidRPr="00686BBC">
        <w:rPr>
          <w:sz w:val="20"/>
          <w:szCs w:val="20"/>
          <w:lang w:val="en-GB"/>
        </w:rPr>
        <w:t xml:space="preserve"> </w:t>
      </w:r>
    </w:p>
    <w:p w14:paraId="424E1EDC" w14:textId="00103DBA" w:rsidR="003B05A0" w:rsidRPr="00686BBC" w:rsidRDefault="00030180" w:rsidP="001914A6">
      <w:pPr>
        <w:pStyle w:val="ListParagraph"/>
        <w:numPr>
          <w:ilvl w:val="0"/>
          <w:numId w:val="18"/>
        </w:numPr>
        <w:tabs>
          <w:tab w:val="left" w:pos="1350"/>
          <w:tab w:val="left" w:pos="1710"/>
        </w:tabs>
        <w:ind w:left="1080" w:right="86" w:firstLine="0"/>
        <w:jc w:val="both"/>
        <w:rPr>
          <w:sz w:val="20"/>
          <w:szCs w:val="20"/>
          <w:lang w:val="en-GB"/>
        </w:rPr>
      </w:pPr>
      <w:r w:rsidRPr="00686BBC">
        <w:rPr>
          <w:sz w:val="20"/>
          <w:szCs w:val="20"/>
          <w:lang w:val="en-GB"/>
        </w:rPr>
        <w:t>Fue</w:t>
      </w:r>
      <w:r w:rsidR="00B85534">
        <w:rPr>
          <w:sz w:val="20"/>
          <w:szCs w:val="20"/>
          <w:lang w:val="en-GB"/>
        </w:rPr>
        <w:t>l</w:t>
      </w:r>
      <w:r w:rsidRPr="00686BBC">
        <w:rPr>
          <w:sz w:val="20"/>
          <w:szCs w:val="20"/>
          <w:lang w:val="en-GB"/>
        </w:rPr>
        <w:t xml:space="preserve">led by </w:t>
      </w:r>
      <w:r w:rsidR="31FEF3BD" w:rsidRPr="00686BBC">
        <w:rPr>
          <w:sz w:val="20"/>
          <w:szCs w:val="20"/>
          <w:lang w:val="en-GB"/>
        </w:rPr>
        <w:t>this urgency, t</w:t>
      </w:r>
      <w:r w:rsidR="73EBC071" w:rsidRPr="00686BBC">
        <w:rPr>
          <w:sz w:val="20"/>
          <w:szCs w:val="20"/>
          <w:lang w:val="en-GB"/>
        </w:rPr>
        <w:t>here is increased political momentum and commitment for adaptation and resilienc</w:t>
      </w:r>
      <w:r w:rsidR="2057C6F7" w:rsidRPr="00686BBC">
        <w:rPr>
          <w:sz w:val="20"/>
          <w:szCs w:val="20"/>
          <w:lang w:val="en-GB"/>
        </w:rPr>
        <w:t>e</w:t>
      </w:r>
      <w:r w:rsidR="00B85534">
        <w:rPr>
          <w:sz w:val="20"/>
          <w:szCs w:val="20"/>
          <w:lang w:val="en-GB"/>
        </w:rPr>
        <w:t>,</w:t>
      </w:r>
      <w:r w:rsidR="2057C6F7" w:rsidRPr="00686BBC">
        <w:rPr>
          <w:sz w:val="20"/>
          <w:szCs w:val="20"/>
          <w:lang w:val="en-GB"/>
        </w:rPr>
        <w:t xml:space="preserve"> and for adaptation to play a key</w:t>
      </w:r>
      <w:r w:rsidR="00B85534">
        <w:rPr>
          <w:sz w:val="20"/>
          <w:szCs w:val="20"/>
          <w:lang w:val="en-GB"/>
        </w:rPr>
        <w:t xml:space="preserve"> and </w:t>
      </w:r>
      <w:r w:rsidR="2057C6F7" w:rsidRPr="00686BBC">
        <w:rPr>
          <w:sz w:val="20"/>
          <w:szCs w:val="20"/>
          <w:lang w:val="en-GB"/>
        </w:rPr>
        <w:t>equal role to mitigation</w:t>
      </w:r>
      <w:r w:rsidR="00B85534">
        <w:rPr>
          <w:sz w:val="20"/>
          <w:szCs w:val="20"/>
          <w:lang w:val="en-GB"/>
        </w:rPr>
        <w:t>,</w:t>
      </w:r>
      <w:r w:rsidR="2057C6F7" w:rsidRPr="00686BBC">
        <w:rPr>
          <w:sz w:val="20"/>
          <w:szCs w:val="20"/>
          <w:lang w:val="en-GB"/>
        </w:rPr>
        <w:t xml:space="preserve"> in a green and resilient recovery</w:t>
      </w:r>
      <w:r w:rsidR="73EBC071" w:rsidRPr="00686BBC">
        <w:rPr>
          <w:sz w:val="20"/>
          <w:szCs w:val="20"/>
          <w:lang w:val="en-GB"/>
        </w:rPr>
        <w:t xml:space="preserve">. Following the </w:t>
      </w:r>
      <w:r w:rsidR="00B85534">
        <w:rPr>
          <w:sz w:val="20"/>
          <w:szCs w:val="20"/>
          <w:lang w:val="en-GB"/>
        </w:rPr>
        <w:t xml:space="preserve">2019 </w:t>
      </w:r>
      <w:r w:rsidR="73EBC071" w:rsidRPr="00686BBC">
        <w:rPr>
          <w:sz w:val="20"/>
          <w:szCs w:val="20"/>
          <w:lang w:val="en-GB"/>
        </w:rPr>
        <w:t>U</w:t>
      </w:r>
      <w:r w:rsidR="00B85534">
        <w:rPr>
          <w:sz w:val="20"/>
          <w:szCs w:val="20"/>
          <w:lang w:val="en-GB"/>
        </w:rPr>
        <w:t xml:space="preserve">nited </w:t>
      </w:r>
      <w:r w:rsidR="73EBC071" w:rsidRPr="00686BBC">
        <w:rPr>
          <w:sz w:val="20"/>
          <w:szCs w:val="20"/>
          <w:lang w:val="en-GB"/>
        </w:rPr>
        <w:t>N</w:t>
      </w:r>
      <w:r w:rsidR="00B85534">
        <w:rPr>
          <w:sz w:val="20"/>
          <w:szCs w:val="20"/>
          <w:lang w:val="en-GB"/>
        </w:rPr>
        <w:t>ations</w:t>
      </w:r>
      <w:r w:rsidR="73EBC071" w:rsidRPr="00686BBC">
        <w:rPr>
          <w:sz w:val="20"/>
          <w:szCs w:val="20"/>
          <w:lang w:val="en-GB"/>
        </w:rPr>
        <w:t xml:space="preserve"> Climate Action Summit, a </w:t>
      </w:r>
      <w:r w:rsidR="00B85534">
        <w:rPr>
          <w:sz w:val="20"/>
          <w:szCs w:val="20"/>
          <w:lang w:val="en-GB"/>
        </w:rPr>
        <w:t>c</w:t>
      </w:r>
      <w:r w:rsidR="73EBC071" w:rsidRPr="00686BBC">
        <w:rPr>
          <w:sz w:val="20"/>
          <w:szCs w:val="20"/>
          <w:lang w:val="en-GB"/>
        </w:rPr>
        <w:t xml:space="preserve">all for </w:t>
      </w:r>
      <w:r w:rsidR="00B85534">
        <w:rPr>
          <w:sz w:val="20"/>
          <w:szCs w:val="20"/>
          <w:lang w:val="en-GB"/>
        </w:rPr>
        <w:t>a</w:t>
      </w:r>
      <w:r w:rsidR="73EBC071" w:rsidRPr="00686BBC">
        <w:rPr>
          <w:sz w:val="20"/>
          <w:szCs w:val="20"/>
          <w:lang w:val="en-GB"/>
        </w:rPr>
        <w:t xml:space="preserve">ction was launched by the </w:t>
      </w:r>
      <w:r w:rsidR="00B85534">
        <w:rPr>
          <w:sz w:val="20"/>
          <w:szCs w:val="20"/>
          <w:lang w:val="en-GB"/>
        </w:rPr>
        <w:t>newly formed A</w:t>
      </w:r>
      <w:r w:rsidR="73EBC071" w:rsidRPr="00686BBC">
        <w:rPr>
          <w:sz w:val="20"/>
          <w:szCs w:val="20"/>
          <w:lang w:val="en-GB"/>
        </w:rPr>
        <w:t xml:space="preserve">daptation </w:t>
      </w:r>
      <w:r w:rsidR="00B85534">
        <w:rPr>
          <w:sz w:val="20"/>
          <w:szCs w:val="20"/>
          <w:lang w:val="en-GB"/>
        </w:rPr>
        <w:t xml:space="preserve">and Resilience Coalition, </w:t>
      </w:r>
      <w:r w:rsidR="73EBC071" w:rsidRPr="00686BBC">
        <w:rPr>
          <w:sz w:val="20"/>
          <w:szCs w:val="20"/>
          <w:lang w:val="en-GB"/>
        </w:rPr>
        <w:t xml:space="preserve">under the leadership of the </w:t>
      </w:r>
      <w:r w:rsidR="00B85534">
        <w:rPr>
          <w:sz w:val="20"/>
          <w:szCs w:val="20"/>
          <w:lang w:val="en-GB"/>
        </w:rPr>
        <w:t xml:space="preserve">Governments of Egypt and the </w:t>
      </w:r>
      <w:r w:rsidR="73EBC071" w:rsidRPr="00686BBC">
        <w:rPr>
          <w:sz w:val="20"/>
          <w:szCs w:val="20"/>
          <w:lang w:val="en-GB"/>
        </w:rPr>
        <w:t>U</w:t>
      </w:r>
      <w:r w:rsidR="00B85534">
        <w:rPr>
          <w:sz w:val="20"/>
          <w:szCs w:val="20"/>
          <w:lang w:val="en-GB"/>
        </w:rPr>
        <w:t xml:space="preserve">nited </w:t>
      </w:r>
      <w:r w:rsidR="73EBC071" w:rsidRPr="00686BBC">
        <w:rPr>
          <w:sz w:val="20"/>
          <w:szCs w:val="20"/>
          <w:lang w:val="en-GB"/>
        </w:rPr>
        <w:t>K</w:t>
      </w:r>
      <w:r w:rsidR="00B85534">
        <w:rPr>
          <w:sz w:val="20"/>
          <w:szCs w:val="20"/>
          <w:lang w:val="en-GB"/>
        </w:rPr>
        <w:t>ingdom</w:t>
      </w:r>
      <w:r w:rsidR="73EBC071" w:rsidRPr="00686BBC">
        <w:rPr>
          <w:sz w:val="20"/>
          <w:szCs w:val="20"/>
          <w:lang w:val="en-GB"/>
        </w:rPr>
        <w:t>, which is now supported by over 118</w:t>
      </w:r>
      <w:r w:rsidR="00B85534">
        <w:rPr>
          <w:sz w:val="20"/>
          <w:szCs w:val="20"/>
          <w:lang w:val="en-GB"/>
        </w:rPr>
        <w:t> </w:t>
      </w:r>
      <w:r w:rsidR="73EBC071" w:rsidRPr="00686BBC">
        <w:rPr>
          <w:sz w:val="20"/>
          <w:szCs w:val="20"/>
          <w:lang w:val="en-GB"/>
        </w:rPr>
        <w:t xml:space="preserve">countries and 86 organizations and institutions. </w:t>
      </w:r>
      <w:r w:rsidR="00B85534">
        <w:rPr>
          <w:sz w:val="20"/>
          <w:szCs w:val="20"/>
          <w:lang w:val="en-GB"/>
        </w:rPr>
        <w:t xml:space="preserve">The </w:t>
      </w:r>
      <w:r w:rsidR="73EBC071" w:rsidRPr="00686BBC">
        <w:rPr>
          <w:sz w:val="20"/>
          <w:szCs w:val="20"/>
          <w:lang w:val="en-GB"/>
        </w:rPr>
        <w:t xml:space="preserve">Global Commission for Adaptation </w:t>
      </w:r>
      <w:r w:rsidRPr="00686BBC">
        <w:rPr>
          <w:sz w:val="20"/>
          <w:szCs w:val="20"/>
          <w:lang w:val="en-GB"/>
        </w:rPr>
        <w:t xml:space="preserve">established </w:t>
      </w:r>
      <w:r w:rsidR="00B85534">
        <w:rPr>
          <w:sz w:val="20"/>
          <w:szCs w:val="20"/>
          <w:lang w:val="en-GB"/>
        </w:rPr>
        <w:t xml:space="preserve">in 2018 </w:t>
      </w:r>
      <w:r w:rsidR="73EBC071" w:rsidRPr="00686BBC">
        <w:rPr>
          <w:sz w:val="20"/>
          <w:szCs w:val="20"/>
          <w:lang w:val="en-GB"/>
        </w:rPr>
        <w:t xml:space="preserve">has declared 2020 </w:t>
      </w:r>
      <w:r w:rsidR="00B85534">
        <w:rPr>
          <w:sz w:val="20"/>
          <w:szCs w:val="20"/>
          <w:lang w:val="en-GB"/>
        </w:rPr>
        <w:t>a y</w:t>
      </w:r>
      <w:r w:rsidR="73EBC071" w:rsidRPr="00686BBC">
        <w:rPr>
          <w:sz w:val="20"/>
          <w:szCs w:val="20"/>
          <w:lang w:val="en-GB"/>
        </w:rPr>
        <w:t xml:space="preserve">ear of </w:t>
      </w:r>
      <w:r w:rsidR="00B85534">
        <w:rPr>
          <w:sz w:val="20"/>
          <w:szCs w:val="20"/>
          <w:lang w:val="en-GB"/>
        </w:rPr>
        <w:t>a</w:t>
      </w:r>
      <w:r w:rsidR="73EBC071" w:rsidRPr="00686BBC">
        <w:rPr>
          <w:sz w:val="20"/>
          <w:szCs w:val="20"/>
          <w:lang w:val="en-GB"/>
        </w:rPr>
        <w:t>ction</w:t>
      </w:r>
      <w:r w:rsidR="00B85534">
        <w:rPr>
          <w:sz w:val="20"/>
          <w:szCs w:val="20"/>
          <w:lang w:val="en-GB"/>
        </w:rPr>
        <w:t>,</w:t>
      </w:r>
      <w:r w:rsidR="73EBC071" w:rsidRPr="00686BBC">
        <w:rPr>
          <w:sz w:val="20"/>
          <w:szCs w:val="20"/>
          <w:lang w:val="en-GB"/>
        </w:rPr>
        <w:t xml:space="preserve"> with concrete partnerships to deliver actions on the ground across key sectors and thematic areas. Progress and results from these actions will be showcased at </w:t>
      </w:r>
      <w:r w:rsidR="4C4D1B1E" w:rsidRPr="00686BBC">
        <w:rPr>
          <w:sz w:val="20"/>
          <w:szCs w:val="20"/>
          <w:lang w:val="en-GB"/>
        </w:rPr>
        <w:t xml:space="preserve">the </w:t>
      </w:r>
      <w:r w:rsidR="73EBC071" w:rsidRPr="00686BBC">
        <w:rPr>
          <w:sz w:val="20"/>
          <w:szCs w:val="20"/>
          <w:lang w:val="en-GB"/>
        </w:rPr>
        <w:t>Climate Adaptation Summit in January 2021</w:t>
      </w:r>
      <w:r w:rsidR="00B85534">
        <w:rPr>
          <w:sz w:val="20"/>
          <w:szCs w:val="20"/>
          <w:lang w:val="en-GB"/>
        </w:rPr>
        <w:t>,</w:t>
      </w:r>
      <w:r w:rsidR="73EBC071" w:rsidRPr="00686BBC">
        <w:rPr>
          <w:sz w:val="20"/>
          <w:szCs w:val="20"/>
          <w:lang w:val="en-GB"/>
        </w:rPr>
        <w:t xml:space="preserve"> hosted by the </w:t>
      </w:r>
      <w:r w:rsidR="00B85534">
        <w:rPr>
          <w:sz w:val="20"/>
          <w:szCs w:val="20"/>
          <w:lang w:val="en-GB"/>
        </w:rPr>
        <w:t>G</w:t>
      </w:r>
      <w:r w:rsidR="73EBC071" w:rsidRPr="00686BBC">
        <w:rPr>
          <w:sz w:val="20"/>
          <w:szCs w:val="20"/>
          <w:lang w:val="en-GB"/>
        </w:rPr>
        <w:t xml:space="preserve">overnment of the Netherlands. </w:t>
      </w:r>
      <w:r w:rsidR="00933991">
        <w:rPr>
          <w:sz w:val="20"/>
          <w:szCs w:val="20"/>
          <w:lang w:val="en-GB"/>
        </w:rPr>
        <w:t xml:space="preserve">The United Kingdom </w:t>
      </w:r>
      <w:r w:rsidR="73EBC071" w:rsidRPr="00686BBC">
        <w:rPr>
          <w:sz w:val="20"/>
          <w:szCs w:val="20"/>
          <w:lang w:val="en-GB"/>
        </w:rPr>
        <w:t xml:space="preserve">presidency </w:t>
      </w:r>
      <w:r w:rsidR="00933991">
        <w:rPr>
          <w:sz w:val="20"/>
          <w:szCs w:val="20"/>
          <w:lang w:val="en-GB"/>
        </w:rPr>
        <w:t>of the 26</w:t>
      </w:r>
      <w:r w:rsidR="00933991" w:rsidRPr="00933991">
        <w:rPr>
          <w:sz w:val="20"/>
          <w:szCs w:val="20"/>
          <w:vertAlign w:val="superscript"/>
          <w:lang w:val="en-GB"/>
        </w:rPr>
        <w:t>th</w:t>
      </w:r>
      <w:r w:rsidR="00933991">
        <w:rPr>
          <w:sz w:val="20"/>
          <w:szCs w:val="20"/>
          <w:lang w:val="en-GB"/>
        </w:rPr>
        <w:t xml:space="preserve"> Conference of the Parties </w:t>
      </w:r>
      <w:r w:rsidR="00AE407D">
        <w:rPr>
          <w:sz w:val="20"/>
          <w:szCs w:val="20"/>
          <w:lang w:val="en-GB"/>
        </w:rPr>
        <w:t xml:space="preserve">to </w:t>
      </w:r>
      <w:r w:rsidR="00933991">
        <w:rPr>
          <w:sz w:val="20"/>
          <w:szCs w:val="20"/>
          <w:lang w:val="en-GB"/>
        </w:rPr>
        <w:t xml:space="preserve">the </w:t>
      </w:r>
      <w:r w:rsidR="00AE407D">
        <w:rPr>
          <w:sz w:val="20"/>
          <w:szCs w:val="20"/>
          <w:lang w:val="en-GB"/>
        </w:rPr>
        <w:t xml:space="preserve">Convention </w:t>
      </w:r>
      <w:r w:rsidR="73EBC071" w:rsidRPr="00686BBC">
        <w:rPr>
          <w:sz w:val="20"/>
          <w:szCs w:val="20"/>
          <w:lang w:val="en-GB"/>
        </w:rPr>
        <w:t>and the U</w:t>
      </w:r>
      <w:r w:rsidR="00933991">
        <w:rPr>
          <w:sz w:val="20"/>
          <w:szCs w:val="20"/>
          <w:lang w:val="en-GB"/>
        </w:rPr>
        <w:t xml:space="preserve">nited </w:t>
      </w:r>
      <w:r w:rsidR="73EBC071" w:rsidRPr="00686BBC">
        <w:rPr>
          <w:sz w:val="20"/>
          <w:szCs w:val="20"/>
          <w:lang w:val="en-GB"/>
        </w:rPr>
        <w:t>N</w:t>
      </w:r>
      <w:r w:rsidR="00933991">
        <w:rPr>
          <w:sz w:val="20"/>
          <w:szCs w:val="20"/>
          <w:lang w:val="en-GB"/>
        </w:rPr>
        <w:t>ations</w:t>
      </w:r>
      <w:r w:rsidR="73EBC071" w:rsidRPr="00686BBC">
        <w:rPr>
          <w:sz w:val="20"/>
          <w:szCs w:val="20"/>
          <w:lang w:val="en-GB"/>
        </w:rPr>
        <w:t xml:space="preserve"> </w:t>
      </w:r>
      <w:r w:rsidR="00933991">
        <w:rPr>
          <w:sz w:val="20"/>
          <w:szCs w:val="20"/>
          <w:lang w:val="en-GB"/>
        </w:rPr>
        <w:t xml:space="preserve">Secretary-General </w:t>
      </w:r>
      <w:r w:rsidR="73EBC071" w:rsidRPr="00686BBC">
        <w:rPr>
          <w:sz w:val="20"/>
          <w:szCs w:val="20"/>
          <w:lang w:val="en-GB"/>
        </w:rPr>
        <w:t xml:space="preserve">placed adaptation and resilience high on the political engagement </w:t>
      </w:r>
      <w:r w:rsidR="00933991">
        <w:rPr>
          <w:sz w:val="20"/>
          <w:szCs w:val="20"/>
          <w:lang w:val="en-GB"/>
        </w:rPr>
        <w:t xml:space="preserve">agenda </w:t>
      </w:r>
      <w:r w:rsidRPr="00686BBC">
        <w:rPr>
          <w:sz w:val="20"/>
          <w:szCs w:val="20"/>
          <w:lang w:val="en-GB"/>
        </w:rPr>
        <w:t xml:space="preserve">at the </w:t>
      </w:r>
      <w:r w:rsidR="73EBC071" w:rsidRPr="00686BBC">
        <w:rPr>
          <w:sz w:val="20"/>
          <w:szCs w:val="20"/>
          <w:lang w:val="en-GB"/>
        </w:rPr>
        <w:t>Climate Ambition Summit held on 12</w:t>
      </w:r>
      <w:r w:rsidR="00AE407D">
        <w:rPr>
          <w:sz w:val="20"/>
          <w:szCs w:val="20"/>
          <w:lang w:val="en-GB"/>
        </w:rPr>
        <w:t> </w:t>
      </w:r>
      <w:r w:rsidR="73EBC071" w:rsidRPr="00686BBC">
        <w:rPr>
          <w:sz w:val="20"/>
          <w:szCs w:val="20"/>
          <w:lang w:val="en-GB"/>
        </w:rPr>
        <w:t xml:space="preserve">December 2020 to commemorate the </w:t>
      </w:r>
      <w:r w:rsidR="00454670">
        <w:rPr>
          <w:sz w:val="20"/>
          <w:szCs w:val="20"/>
          <w:lang w:val="en-GB"/>
        </w:rPr>
        <w:t>five-year</w:t>
      </w:r>
      <w:r w:rsidR="73EBC071" w:rsidRPr="00686BBC">
        <w:rPr>
          <w:sz w:val="20"/>
          <w:szCs w:val="20"/>
          <w:lang w:val="en-GB"/>
        </w:rPr>
        <w:t xml:space="preserve"> anniversary of the Paris Agreement.</w:t>
      </w:r>
      <w:r w:rsidR="55363E05" w:rsidRPr="00686BBC">
        <w:rPr>
          <w:sz w:val="20"/>
          <w:szCs w:val="20"/>
          <w:lang w:val="en-GB"/>
        </w:rPr>
        <w:t xml:space="preserve"> </w:t>
      </w:r>
    </w:p>
    <w:p w14:paraId="311AD9FE" w14:textId="2641E15C" w:rsidR="003B05A0" w:rsidRPr="004E5136" w:rsidRDefault="003B05A0" w:rsidP="001914A6">
      <w:pPr>
        <w:tabs>
          <w:tab w:val="left" w:pos="1350"/>
          <w:tab w:val="left" w:pos="1710"/>
        </w:tabs>
        <w:ind w:left="1080" w:right="86"/>
        <w:jc w:val="both"/>
        <w:rPr>
          <w:sz w:val="12"/>
          <w:szCs w:val="12"/>
          <w:lang w:val="en-GB"/>
        </w:rPr>
      </w:pPr>
    </w:p>
    <w:p w14:paraId="2C7B2C8B" w14:textId="69E73EF3" w:rsidR="003B05A0" w:rsidRPr="00686BBC" w:rsidRDefault="56641249" w:rsidP="001914A6">
      <w:pPr>
        <w:pStyle w:val="ListParagraph"/>
        <w:numPr>
          <w:ilvl w:val="0"/>
          <w:numId w:val="18"/>
        </w:numPr>
        <w:tabs>
          <w:tab w:val="left" w:pos="1350"/>
          <w:tab w:val="left" w:pos="1710"/>
        </w:tabs>
        <w:ind w:left="1080" w:right="86" w:firstLine="0"/>
        <w:jc w:val="both"/>
        <w:rPr>
          <w:sz w:val="20"/>
          <w:szCs w:val="20"/>
          <w:lang w:val="en-GB"/>
        </w:rPr>
      </w:pPr>
      <w:r w:rsidRPr="00686BBC">
        <w:rPr>
          <w:sz w:val="20"/>
          <w:szCs w:val="20"/>
          <w:lang w:val="en-GB"/>
        </w:rPr>
        <w:t>Countries are accelerating their efforts on adaptation planning and implementation at national</w:t>
      </w:r>
      <w:r w:rsidR="08BFFCD5" w:rsidRPr="00686BBC">
        <w:rPr>
          <w:sz w:val="20"/>
          <w:szCs w:val="20"/>
          <w:lang w:val="en-GB"/>
        </w:rPr>
        <w:t>,</w:t>
      </w:r>
      <w:r w:rsidRPr="00686BBC">
        <w:rPr>
          <w:sz w:val="20"/>
          <w:szCs w:val="20"/>
          <w:lang w:val="en-GB"/>
        </w:rPr>
        <w:t xml:space="preserve"> subnational and local levels and gearing up to </w:t>
      </w:r>
      <w:r w:rsidR="24606E26" w:rsidRPr="00686BBC">
        <w:rPr>
          <w:sz w:val="20"/>
          <w:szCs w:val="20"/>
          <w:lang w:val="en-GB"/>
        </w:rPr>
        <w:t xml:space="preserve">enhance and </w:t>
      </w:r>
      <w:r w:rsidRPr="00686BBC">
        <w:rPr>
          <w:sz w:val="20"/>
          <w:szCs w:val="20"/>
          <w:lang w:val="en-GB"/>
        </w:rPr>
        <w:t xml:space="preserve">implement their </w:t>
      </w:r>
      <w:r w:rsidR="00933991">
        <w:rPr>
          <w:sz w:val="20"/>
          <w:szCs w:val="20"/>
          <w:lang w:val="en-GB"/>
        </w:rPr>
        <w:t>n</w:t>
      </w:r>
      <w:r w:rsidRPr="00686BBC">
        <w:rPr>
          <w:sz w:val="20"/>
          <w:szCs w:val="20"/>
          <w:lang w:val="en-GB"/>
        </w:rPr>
        <w:t xml:space="preserve">ationally </w:t>
      </w:r>
      <w:r w:rsidR="00933991">
        <w:rPr>
          <w:sz w:val="20"/>
          <w:szCs w:val="20"/>
          <w:lang w:val="en-GB"/>
        </w:rPr>
        <w:t>d</w:t>
      </w:r>
      <w:r w:rsidRPr="00686BBC">
        <w:rPr>
          <w:sz w:val="20"/>
          <w:szCs w:val="20"/>
          <w:lang w:val="en-GB"/>
        </w:rPr>
        <w:t xml:space="preserve">etermined </w:t>
      </w:r>
      <w:r w:rsidR="00933991">
        <w:rPr>
          <w:sz w:val="20"/>
          <w:szCs w:val="20"/>
          <w:lang w:val="en-GB"/>
        </w:rPr>
        <w:t>c</w:t>
      </w:r>
      <w:r w:rsidRPr="00686BBC">
        <w:rPr>
          <w:sz w:val="20"/>
          <w:szCs w:val="20"/>
          <w:lang w:val="en-GB"/>
        </w:rPr>
        <w:t xml:space="preserve">ontributions (NDCs) that form a key mechanism to embody their adaptation needs and priorities. </w:t>
      </w:r>
      <w:r w:rsidR="3A743ED2" w:rsidRPr="00686BBC">
        <w:rPr>
          <w:sz w:val="20"/>
          <w:szCs w:val="20"/>
          <w:lang w:val="en-GB"/>
        </w:rPr>
        <w:t xml:space="preserve">Ahead of </w:t>
      </w:r>
      <w:r w:rsidR="00AE407D">
        <w:rPr>
          <w:sz w:val="20"/>
          <w:szCs w:val="20"/>
          <w:lang w:val="en-GB"/>
        </w:rPr>
        <w:t>26</w:t>
      </w:r>
      <w:r w:rsidR="00AE407D" w:rsidRPr="00933991">
        <w:rPr>
          <w:sz w:val="20"/>
          <w:szCs w:val="20"/>
          <w:vertAlign w:val="superscript"/>
          <w:lang w:val="en-GB"/>
        </w:rPr>
        <w:t>th</w:t>
      </w:r>
      <w:r w:rsidR="00AE407D">
        <w:rPr>
          <w:sz w:val="20"/>
          <w:szCs w:val="20"/>
          <w:lang w:val="en-GB"/>
        </w:rPr>
        <w:t xml:space="preserve"> Conference of the Parties</w:t>
      </w:r>
      <w:r w:rsidR="3A743ED2" w:rsidRPr="00686BBC">
        <w:rPr>
          <w:sz w:val="20"/>
          <w:szCs w:val="20"/>
          <w:lang w:val="en-GB"/>
        </w:rPr>
        <w:t>, a</w:t>
      </w:r>
      <w:r w:rsidRPr="00686BBC">
        <w:rPr>
          <w:sz w:val="20"/>
          <w:szCs w:val="20"/>
          <w:lang w:val="en-GB"/>
        </w:rPr>
        <w:t xml:space="preserve">s of November 2020, 97 </w:t>
      </w:r>
      <w:r w:rsidR="00933991">
        <w:rPr>
          <w:sz w:val="20"/>
          <w:szCs w:val="20"/>
          <w:lang w:val="en-GB"/>
        </w:rPr>
        <w:t xml:space="preserve">per cent </w:t>
      </w:r>
      <w:r w:rsidRPr="00686BBC">
        <w:rPr>
          <w:sz w:val="20"/>
          <w:szCs w:val="20"/>
          <w:lang w:val="en-GB"/>
        </w:rPr>
        <w:t xml:space="preserve">of countries supported under </w:t>
      </w:r>
      <w:r w:rsidR="00933991">
        <w:rPr>
          <w:sz w:val="20"/>
          <w:szCs w:val="20"/>
          <w:lang w:val="en-GB"/>
        </w:rPr>
        <w:t xml:space="preserve">the </w:t>
      </w:r>
      <w:r w:rsidRPr="00686BBC">
        <w:rPr>
          <w:sz w:val="20"/>
          <w:szCs w:val="20"/>
          <w:lang w:val="en-GB"/>
        </w:rPr>
        <w:t xml:space="preserve">UNDP </w:t>
      </w:r>
      <w:r w:rsidR="00AE407D">
        <w:rPr>
          <w:sz w:val="20"/>
          <w:szCs w:val="20"/>
          <w:lang w:val="en-GB"/>
        </w:rPr>
        <w:t>C</w:t>
      </w:r>
      <w:r w:rsidRPr="00686BBC">
        <w:rPr>
          <w:sz w:val="20"/>
          <w:szCs w:val="20"/>
          <w:lang w:val="en-GB"/>
        </w:rPr>
        <w:t xml:space="preserve">limate </w:t>
      </w:r>
      <w:r w:rsidR="00AE407D">
        <w:rPr>
          <w:sz w:val="20"/>
          <w:szCs w:val="20"/>
          <w:lang w:val="en-GB"/>
        </w:rPr>
        <w:t>P</w:t>
      </w:r>
      <w:r w:rsidRPr="00686BBC">
        <w:rPr>
          <w:sz w:val="20"/>
          <w:szCs w:val="20"/>
          <w:lang w:val="en-GB"/>
        </w:rPr>
        <w:t>romise</w:t>
      </w:r>
      <w:r w:rsidR="00030180" w:rsidRPr="00686BBC">
        <w:rPr>
          <w:rStyle w:val="FootnoteReference"/>
          <w:sz w:val="20"/>
          <w:szCs w:val="20"/>
          <w:lang w:val="en-GB"/>
        </w:rPr>
        <w:footnoteReference w:id="2"/>
      </w:r>
      <w:r w:rsidRPr="00686BBC">
        <w:rPr>
          <w:sz w:val="20"/>
          <w:szCs w:val="20"/>
          <w:lang w:val="en-GB"/>
        </w:rPr>
        <w:t xml:space="preserve"> (115 countries) plan to strengthen </w:t>
      </w:r>
      <w:r w:rsidR="534474B0" w:rsidRPr="00686BBC">
        <w:rPr>
          <w:sz w:val="20"/>
          <w:szCs w:val="20"/>
          <w:lang w:val="en-GB"/>
        </w:rPr>
        <w:t>their</w:t>
      </w:r>
      <w:r w:rsidRPr="00686BBC">
        <w:rPr>
          <w:sz w:val="20"/>
          <w:szCs w:val="20"/>
          <w:lang w:val="en-GB"/>
        </w:rPr>
        <w:t xml:space="preserve"> adaptation goals and measures in their revised NDCs</w:t>
      </w:r>
      <w:r w:rsidR="00933991">
        <w:rPr>
          <w:sz w:val="20"/>
          <w:szCs w:val="20"/>
          <w:lang w:val="en-GB"/>
        </w:rPr>
        <w:t>,</w:t>
      </w:r>
      <w:r w:rsidR="17B0F3FE" w:rsidRPr="00686BBC">
        <w:rPr>
          <w:sz w:val="20"/>
          <w:szCs w:val="20"/>
          <w:lang w:val="en-GB"/>
        </w:rPr>
        <w:t xml:space="preserve"> to be submitted in 2021.</w:t>
      </w:r>
    </w:p>
    <w:p w14:paraId="7BAC1720" w14:textId="6A9634B1" w:rsidR="00C27344" w:rsidRDefault="00234CB2" w:rsidP="00D66C5F">
      <w:pPr>
        <w:pStyle w:val="ListParagraph"/>
        <w:keepNext/>
        <w:keepLines/>
        <w:numPr>
          <w:ilvl w:val="0"/>
          <w:numId w:val="19"/>
        </w:numPr>
        <w:tabs>
          <w:tab w:val="left" w:pos="990"/>
          <w:tab w:val="left" w:pos="1260"/>
        </w:tabs>
        <w:spacing w:after="120"/>
        <w:ind w:left="1440" w:right="-144" w:hanging="540"/>
        <w:outlineLvl w:val="0"/>
        <w:rPr>
          <w:b/>
          <w:sz w:val="28"/>
          <w:szCs w:val="28"/>
          <w:lang w:val="en-GB"/>
        </w:rPr>
      </w:pPr>
      <w:bookmarkStart w:id="1" w:name="_Hlk2504485"/>
      <w:r w:rsidRPr="00686BBC">
        <w:rPr>
          <w:b/>
          <w:sz w:val="28"/>
          <w:szCs w:val="28"/>
          <w:lang w:val="en-GB"/>
        </w:rPr>
        <w:lastRenderedPageBreak/>
        <w:t>UNDP support</w:t>
      </w:r>
      <w:r w:rsidR="00027A71" w:rsidRPr="00686BBC">
        <w:rPr>
          <w:b/>
          <w:sz w:val="28"/>
          <w:szCs w:val="28"/>
          <w:lang w:val="en-GB"/>
        </w:rPr>
        <w:t xml:space="preserve"> </w:t>
      </w:r>
      <w:r w:rsidR="002E0C4D" w:rsidRPr="00686BBC">
        <w:rPr>
          <w:b/>
          <w:sz w:val="28"/>
          <w:szCs w:val="28"/>
          <w:lang w:val="en-GB"/>
        </w:rPr>
        <w:t xml:space="preserve">for </w:t>
      </w:r>
      <w:r w:rsidR="009940AD">
        <w:rPr>
          <w:b/>
          <w:sz w:val="28"/>
          <w:szCs w:val="28"/>
          <w:lang w:val="en-GB"/>
        </w:rPr>
        <w:t>c</w:t>
      </w:r>
      <w:r w:rsidR="002E0C4D" w:rsidRPr="00686BBC">
        <w:rPr>
          <w:b/>
          <w:sz w:val="28"/>
          <w:szCs w:val="28"/>
          <w:lang w:val="en-GB"/>
        </w:rPr>
        <w:t>limate change adaptation</w:t>
      </w:r>
    </w:p>
    <w:p w14:paraId="1F706928" w14:textId="77777777" w:rsidR="00D66C5F" w:rsidRPr="00D66C5F" w:rsidRDefault="00D66C5F" w:rsidP="00D66C5F">
      <w:pPr>
        <w:pStyle w:val="ListParagraph"/>
        <w:keepNext/>
        <w:keepLines/>
        <w:tabs>
          <w:tab w:val="left" w:pos="990"/>
          <w:tab w:val="left" w:pos="1260"/>
        </w:tabs>
        <w:spacing w:after="120"/>
        <w:ind w:left="1440" w:right="-144"/>
        <w:outlineLvl w:val="0"/>
        <w:rPr>
          <w:bCs/>
          <w:sz w:val="20"/>
          <w:szCs w:val="20"/>
          <w:lang w:val="en-GB"/>
        </w:rPr>
      </w:pPr>
    </w:p>
    <w:p w14:paraId="46B3DBCD" w14:textId="2C083776" w:rsidR="00C27344" w:rsidRPr="00686BBC" w:rsidRDefault="003E60E5" w:rsidP="00D66C5F">
      <w:pPr>
        <w:pStyle w:val="ListParagraph"/>
        <w:keepNext/>
        <w:keepLines/>
        <w:numPr>
          <w:ilvl w:val="0"/>
          <w:numId w:val="18"/>
        </w:numPr>
        <w:tabs>
          <w:tab w:val="left" w:pos="1080"/>
          <w:tab w:val="left" w:pos="1350"/>
        </w:tabs>
        <w:ind w:left="1080" w:right="86" w:firstLine="0"/>
        <w:jc w:val="both"/>
        <w:rPr>
          <w:sz w:val="20"/>
          <w:szCs w:val="20"/>
          <w:lang w:val="en-GB"/>
        </w:rPr>
      </w:pPr>
      <w:r w:rsidRPr="00686BBC">
        <w:rPr>
          <w:sz w:val="20"/>
          <w:szCs w:val="20"/>
          <w:lang w:val="en-GB"/>
        </w:rPr>
        <w:t xml:space="preserve">    </w:t>
      </w:r>
      <w:r w:rsidR="376B8699" w:rsidRPr="00686BBC">
        <w:rPr>
          <w:b/>
          <w:bCs/>
          <w:sz w:val="20"/>
          <w:szCs w:val="20"/>
          <w:lang w:val="en-GB"/>
        </w:rPr>
        <w:t xml:space="preserve">UNDP continues to respond to country needs to mainstream adaptation into development strategies and plans, aligned with the broader </w:t>
      </w:r>
      <w:r w:rsidR="009940AD">
        <w:rPr>
          <w:b/>
          <w:bCs/>
          <w:sz w:val="20"/>
          <w:szCs w:val="20"/>
          <w:lang w:val="en-GB"/>
        </w:rPr>
        <w:t xml:space="preserve">Sustainable Development Goals </w:t>
      </w:r>
      <w:r w:rsidR="376B8699" w:rsidRPr="00686BBC">
        <w:rPr>
          <w:b/>
          <w:bCs/>
          <w:sz w:val="20"/>
          <w:szCs w:val="20"/>
          <w:lang w:val="en-GB"/>
        </w:rPr>
        <w:t>agenda</w:t>
      </w:r>
      <w:r w:rsidR="376B8699" w:rsidRPr="00686BBC">
        <w:rPr>
          <w:sz w:val="20"/>
          <w:szCs w:val="20"/>
          <w:lang w:val="en-GB"/>
        </w:rPr>
        <w:t xml:space="preserve">. </w:t>
      </w:r>
      <w:r w:rsidR="118062FF" w:rsidRPr="00686BBC">
        <w:rPr>
          <w:sz w:val="20"/>
          <w:szCs w:val="20"/>
          <w:lang w:val="en-GB"/>
        </w:rPr>
        <w:t xml:space="preserve">In alignment with the </w:t>
      </w:r>
      <w:r w:rsidR="00030180" w:rsidRPr="00686BBC">
        <w:rPr>
          <w:sz w:val="20"/>
          <w:szCs w:val="20"/>
          <w:lang w:val="en-GB"/>
        </w:rPr>
        <w:t>S</w:t>
      </w:r>
      <w:r w:rsidR="118062FF" w:rsidRPr="00686BBC">
        <w:rPr>
          <w:sz w:val="20"/>
          <w:szCs w:val="20"/>
          <w:lang w:val="en-GB"/>
        </w:rPr>
        <w:t xml:space="preserve">trategic </w:t>
      </w:r>
      <w:r w:rsidR="00030180" w:rsidRPr="00686BBC">
        <w:rPr>
          <w:sz w:val="20"/>
          <w:szCs w:val="20"/>
          <w:lang w:val="en-GB"/>
        </w:rPr>
        <w:t>P</w:t>
      </w:r>
      <w:r w:rsidR="118062FF" w:rsidRPr="00686BBC">
        <w:rPr>
          <w:sz w:val="20"/>
          <w:szCs w:val="20"/>
          <w:lang w:val="en-GB"/>
        </w:rPr>
        <w:t>lan</w:t>
      </w:r>
      <w:r w:rsidR="009940AD">
        <w:rPr>
          <w:sz w:val="20"/>
          <w:szCs w:val="20"/>
          <w:lang w:val="en-GB"/>
        </w:rPr>
        <w:t>,</w:t>
      </w:r>
      <w:r w:rsidR="118062FF" w:rsidRPr="00686BBC">
        <w:rPr>
          <w:sz w:val="20"/>
          <w:szCs w:val="20"/>
          <w:lang w:val="en-GB"/>
        </w:rPr>
        <w:t xml:space="preserve"> 2018-202</w:t>
      </w:r>
      <w:r w:rsidR="00030180" w:rsidRPr="00686BBC">
        <w:rPr>
          <w:sz w:val="20"/>
          <w:szCs w:val="20"/>
          <w:lang w:val="en-GB"/>
        </w:rPr>
        <w:t>1</w:t>
      </w:r>
      <w:r w:rsidR="118062FF" w:rsidRPr="00686BBC">
        <w:rPr>
          <w:sz w:val="20"/>
          <w:szCs w:val="20"/>
          <w:lang w:val="en-GB"/>
        </w:rPr>
        <w:t>, UNDP advances country capacities through a whole-of-</w:t>
      </w:r>
      <w:r w:rsidR="272DD739" w:rsidRPr="00686BBC">
        <w:rPr>
          <w:sz w:val="20"/>
          <w:szCs w:val="20"/>
          <w:lang w:val="en-GB"/>
        </w:rPr>
        <w:t xml:space="preserve">society </w:t>
      </w:r>
      <w:r w:rsidR="118062FF" w:rsidRPr="00686BBC">
        <w:rPr>
          <w:sz w:val="20"/>
          <w:szCs w:val="20"/>
          <w:lang w:val="en-GB"/>
        </w:rPr>
        <w:t>approach to climate change adaptation</w:t>
      </w:r>
      <w:r w:rsidR="00CB6DAF">
        <w:rPr>
          <w:sz w:val="20"/>
          <w:szCs w:val="20"/>
          <w:lang w:val="en-GB"/>
        </w:rPr>
        <w:t xml:space="preserve"> and </w:t>
      </w:r>
      <w:r w:rsidR="6603FA89" w:rsidRPr="00686BBC">
        <w:rPr>
          <w:sz w:val="20"/>
          <w:szCs w:val="20"/>
          <w:lang w:val="en-GB"/>
        </w:rPr>
        <w:t xml:space="preserve"> supports climate change adaptation in the context of resilient livelihoods, agriculture and food security, water resources, coastal zone management, ecosystems protection, resilient infrastructure, and climate information/early warnings and aims to advance integrated, cross</w:t>
      </w:r>
      <w:r w:rsidR="009940AD">
        <w:rPr>
          <w:sz w:val="20"/>
          <w:szCs w:val="20"/>
          <w:lang w:val="en-GB"/>
        </w:rPr>
        <w:t>-</w:t>
      </w:r>
      <w:r w:rsidR="6603FA89" w:rsidRPr="00686BBC">
        <w:rPr>
          <w:sz w:val="20"/>
          <w:szCs w:val="20"/>
          <w:lang w:val="en-GB"/>
        </w:rPr>
        <w:t>sectoral solutions across these priority themes.</w:t>
      </w:r>
    </w:p>
    <w:p w14:paraId="0723C8B5" w14:textId="4C26C42D" w:rsidR="00C27344" w:rsidRPr="00D66C5F" w:rsidRDefault="00C27344" w:rsidP="00D66C5F">
      <w:pPr>
        <w:keepNext/>
        <w:keepLines/>
        <w:tabs>
          <w:tab w:val="left" w:pos="1080"/>
          <w:tab w:val="left" w:pos="1350"/>
        </w:tabs>
        <w:ind w:left="1080" w:right="86"/>
        <w:jc w:val="both"/>
        <w:rPr>
          <w:sz w:val="12"/>
          <w:szCs w:val="12"/>
          <w:lang w:val="en-GB"/>
        </w:rPr>
      </w:pPr>
    </w:p>
    <w:p w14:paraId="7552F608" w14:textId="52446B0E" w:rsidR="00C27344" w:rsidRPr="00686BBC" w:rsidRDefault="376B8699" w:rsidP="00D66C5F">
      <w:pPr>
        <w:pStyle w:val="ListParagraph"/>
        <w:keepNext/>
        <w:keepLines/>
        <w:numPr>
          <w:ilvl w:val="0"/>
          <w:numId w:val="18"/>
        </w:numPr>
        <w:tabs>
          <w:tab w:val="left" w:pos="1080"/>
          <w:tab w:val="left" w:pos="1350"/>
        </w:tabs>
        <w:ind w:left="1080" w:right="86" w:firstLine="0"/>
        <w:jc w:val="both"/>
        <w:rPr>
          <w:sz w:val="20"/>
          <w:szCs w:val="20"/>
          <w:lang w:val="en-GB"/>
        </w:rPr>
      </w:pPr>
      <w:r w:rsidRPr="00686BBC">
        <w:rPr>
          <w:b/>
          <w:bCs/>
          <w:sz w:val="20"/>
          <w:szCs w:val="20"/>
          <w:lang w:val="en-GB"/>
        </w:rPr>
        <w:t xml:space="preserve">UNDP has a strong track record in supporting countries and their vulnerable populations </w:t>
      </w:r>
      <w:r w:rsidR="009940AD">
        <w:rPr>
          <w:b/>
          <w:bCs/>
          <w:sz w:val="20"/>
          <w:szCs w:val="20"/>
          <w:lang w:val="en-GB"/>
        </w:rPr>
        <w:t xml:space="preserve">to </w:t>
      </w:r>
      <w:r w:rsidRPr="00686BBC">
        <w:rPr>
          <w:b/>
          <w:bCs/>
          <w:sz w:val="20"/>
          <w:szCs w:val="20"/>
          <w:lang w:val="en-GB"/>
        </w:rPr>
        <w:t>increase their resilience and adaptive capacities and reduce their vulnerabilities to evolving climate change risks and impacts</w:t>
      </w:r>
      <w:r w:rsidRPr="00686BBC">
        <w:rPr>
          <w:sz w:val="20"/>
          <w:szCs w:val="20"/>
          <w:lang w:val="en-GB"/>
        </w:rPr>
        <w:t xml:space="preserve">. </w:t>
      </w:r>
      <w:r w:rsidR="009940AD">
        <w:rPr>
          <w:sz w:val="20"/>
          <w:szCs w:val="20"/>
          <w:lang w:val="en-GB"/>
        </w:rPr>
        <w:t xml:space="preserve">The </w:t>
      </w:r>
      <w:r w:rsidR="28EA3912" w:rsidRPr="00686BBC">
        <w:rPr>
          <w:sz w:val="20"/>
          <w:szCs w:val="20"/>
          <w:lang w:val="en-GB"/>
        </w:rPr>
        <w:t xml:space="preserve">UNDP adaptation portfolio </w:t>
      </w:r>
      <w:r w:rsidR="519F67C8" w:rsidRPr="00686BBC">
        <w:rPr>
          <w:sz w:val="20"/>
          <w:szCs w:val="20"/>
          <w:lang w:val="en-GB"/>
        </w:rPr>
        <w:t xml:space="preserve">(primarily funded through vertical funds) </w:t>
      </w:r>
      <w:r w:rsidR="28EA3912" w:rsidRPr="00686BBC">
        <w:rPr>
          <w:sz w:val="20"/>
          <w:szCs w:val="20"/>
          <w:lang w:val="en-GB"/>
        </w:rPr>
        <w:t xml:space="preserve">supports over 100 countries, mainly </w:t>
      </w:r>
      <w:r w:rsidR="00092B67">
        <w:rPr>
          <w:sz w:val="20"/>
          <w:szCs w:val="20"/>
          <w:lang w:val="en-GB"/>
        </w:rPr>
        <w:t>least developed countries (</w:t>
      </w:r>
      <w:r w:rsidR="28EA3912" w:rsidRPr="00686BBC">
        <w:rPr>
          <w:sz w:val="20"/>
          <w:szCs w:val="20"/>
          <w:lang w:val="en-GB"/>
        </w:rPr>
        <w:t>LDCs</w:t>
      </w:r>
      <w:r w:rsidR="00092B67">
        <w:rPr>
          <w:sz w:val="20"/>
          <w:szCs w:val="20"/>
          <w:lang w:val="en-GB"/>
        </w:rPr>
        <w:t>)</w:t>
      </w:r>
      <w:r w:rsidR="28EA3912" w:rsidRPr="00686BBC">
        <w:rPr>
          <w:sz w:val="20"/>
          <w:szCs w:val="20"/>
          <w:lang w:val="en-GB"/>
        </w:rPr>
        <w:t xml:space="preserve">, </w:t>
      </w:r>
      <w:r w:rsidR="00092B67">
        <w:rPr>
          <w:sz w:val="20"/>
          <w:szCs w:val="20"/>
          <w:lang w:val="en-GB"/>
        </w:rPr>
        <w:t>small-island developing states (</w:t>
      </w:r>
      <w:r w:rsidR="28EA3912" w:rsidRPr="00686BBC">
        <w:rPr>
          <w:sz w:val="20"/>
          <w:szCs w:val="20"/>
          <w:lang w:val="en-GB"/>
        </w:rPr>
        <w:t>SIDS</w:t>
      </w:r>
      <w:r w:rsidR="00092B67">
        <w:rPr>
          <w:sz w:val="20"/>
          <w:szCs w:val="20"/>
          <w:lang w:val="en-GB"/>
        </w:rPr>
        <w:t>)</w:t>
      </w:r>
      <w:r w:rsidR="28EA3912" w:rsidRPr="00686BBC">
        <w:rPr>
          <w:sz w:val="20"/>
          <w:szCs w:val="20"/>
          <w:lang w:val="en-GB"/>
        </w:rPr>
        <w:t xml:space="preserve"> and </w:t>
      </w:r>
      <w:r w:rsidR="00092B67">
        <w:rPr>
          <w:sz w:val="20"/>
          <w:szCs w:val="20"/>
          <w:lang w:val="en-GB"/>
        </w:rPr>
        <w:t>countries in Africa</w:t>
      </w:r>
      <w:r w:rsidR="28EA3912" w:rsidRPr="00686BBC">
        <w:rPr>
          <w:sz w:val="20"/>
          <w:szCs w:val="20"/>
          <w:lang w:val="en-GB"/>
        </w:rPr>
        <w:t xml:space="preserve">, to integrate current and future climate risks and uncertainties into national and subnational development efforts, increase domestic public and private sector resources in climate resilient practices and investments, and codify, generate and disseminate knowledge. </w:t>
      </w:r>
      <w:r w:rsidR="006E2C5A">
        <w:rPr>
          <w:sz w:val="20"/>
          <w:szCs w:val="20"/>
          <w:lang w:val="en-GB"/>
        </w:rPr>
        <w:t xml:space="preserve">The </w:t>
      </w:r>
      <w:r w:rsidR="28EA3912" w:rsidRPr="00686BBC">
        <w:rPr>
          <w:sz w:val="20"/>
          <w:szCs w:val="20"/>
          <w:lang w:val="en-GB"/>
        </w:rPr>
        <w:t xml:space="preserve">UNDP portfolio </w:t>
      </w:r>
      <w:r w:rsidR="006E2C5A">
        <w:rPr>
          <w:sz w:val="20"/>
          <w:szCs w:val="20"/>
          <w:lang w:val="en-GB"/>
        </w:rPr>
        <w:t xml:space="preserve">(with </w:t>
      </w:r>
      <w:r w:rsidR="03FB5254" w:rsidRPr="00686BBC">
        <w:rPr>
          <w:sz w:val="20"/>
          <w:szCs w:val="20"/>
          <w:lang w:val="en-GB"/>
        </w:rPr>
        <w:t>over 1.2</w:t>
      </w:r>
      <w:r w:rsidR="006E2C5A">
        <w:rPr>
          <w:sz w:val="20"/>
          <w:szCs w:val="20"/>
          <w:lang w:val="en-GB"/>
        </w:rPr>
        <w:t xml:space="preserve"> </w:t>
      </w:r>
      <w:r w:rsidR="03FB5254" w:rsidRPr="00686BBC">
        <w:rPr>
          <w:sz w:val="20"/>
          <w:szCs w:val="20"/>
          <w:lang w:val="en-GB"/>
        </w:rPr>
        <w:t>b</w:t>
      </w:r>
      <w:r w:rsidR="006E2C5A">
        <w:rPr>
          <w:sz w:val="20"/>
          <w:szCs w:val="20"/>
          <w:lang w:val="en-GB"/>
        </w:rPr>
        <w:t>illio</w:t>
      </w:r>
      <w:r w:rsidR="03FB5254" w:rsidRPr="00686BBC">
        <w:rPr>
          <w:sz w:val="20"/>
          <w:szCs w:val="20"/>
          <w:lang w:val="en-GB"/>
        </w:rPr>
        <w:t xml:space="preserve">n </w:t>
      </w:r>
      <w:r w:rsidR="006E2C5A">
        <w:rPr>
          <w:sz w:val="20"/>
          <w:szCs w:val="20"/>
          <w:lang w:val="en-GB"/>
        </w:rPr>
        <w:t xml:space="preserve">in </w:t>
      </w:r>
      <w:r w:rsidR="03FB5254" w:rsidRPr="00686BBC">
        <w:rPr>
          <w:sz w:val="20"/>
          <w:szCs w:val="20"/>
          <w:lang w:val="en-GB"/>
        </w:rPr>
        <w:t>projects</w:t>
      </w:r>
      <w:r w:rsidR="006E2C5A">
        <w:rPr>
          <w:sz w:val="20"/>
          <w:szCs w:val="20"/>
          <w:lang w:val="en-GB"/>
        </w:rPr>
        <w:t>)</w:t>
      </w:r>
      <w:r w:rsidR="28EA3912" w:rsidRPr="00686BBC">
        <w:rPr>
          <w:sz w:val="20"/>
          <w:szCs w:val="20"/>
          <w:lang w:val="en-GB"/>
        </w:rPr>
        <w:t xml:space="preserve"> </w:t>
      </w:r>
      <w:r w:rsidR="1436989C" w:rsidRPr="00686BBC">
        <w:rPr>
          <w:sz w:val="20"/>
          <w:szCs w:val="20"/>
          <w:lang w:val="en-GB"/>
        </w:rPr>
        <w:t>ha</w:t>
      </w:r>
      <w:r w:rsidR="006E2C5A">
        <w:rPr>
          <w:sz w:val="20"/>
          <w:szCs w:val="20"/>
          <w:lang w:val="en-GB"/>
        </w:rPr>
        <w:t>s</w:t>
      </w:r>
      <w:r w:rsidR="1436989C" w:rsidRPr="00686BBC">
        <w:rPr>
          <w:sz w:val="20"/>
          <w:szCs w:val="20"/>
          <w:lang w:val="en-GB"/>
        </w:rPr>
        <w:t xml:space="preserve"> directly increased livelihood resilience </w:t>
      </w:r>
      <w:r w:rsidR="006E2C5A">
        <w:rPr>
          <w:sz w:val="20"/>
          <w:szCs w:val="20"/>
          <w:lang w:val="en-GB"/>
        </w:rPr>
        <w:t xml:space="preserve">for </w:t>
      </w:r>
      <w:r w:rsidR="1436989C" w:rsidRPr="00686BBC">
        <w:rPr>
          <w:sz w:val="20"/>
          <w:szCs w:val="20"/>
          <w:lang w:val="en-GB"/>
        </w:rPr>
        <w:t>more than 82 million people, brought over 873,000 h</w:t>
      </w:r>
      <w:r w:rsidR="005651D2">
        <w:rPr>
          <w:sz w:val="20"/>
          <w:szCs w:val="20"/>
          <w:lang w:val="en-GB"/>
        </w:rPr>
        <w:t>ectares</w:t>
      </w:r>
      <w:r w:rsidR="1436989C" w:rsidRPr="00686BBC">
        <w:rPr>
          <w:sz w:val="20"/>
          <w:szCs w:val="20"/>
          <w:lang w:val="en-GB"/>
        </w:rPr>
        <w:t xml:space="preserve"> of agricultural land under resilient practices, enhanced food security for over 6.3</w:t>
      </w:r>
      <w:r w:rsidR="006E2C5A">
        <w:rPr>
          <w:sz w:val="20"/>
          <w:szCs w:val="20"/>
          <w:lang w:val="en-GB"/>
        </w:rPr>
        <w:t> </w:t>
      </w:r>
      <w:r w:rsidR="1436989C" w:rsidRPr="00686BBC">
        <w:rPr>
          <w:sz w:val="20"/>
          <w:szCs w:val="20"/>
          <w:lang w:val="en-GB"/>
        </w:rPr>
        <w:t>million people, improved access to drinking water for 2.3 million people, protected over</w:t>
      </w:r>
      <w:r w:rsidR="04B33637" w:rsidRPr="00686BBC">
        <w:rPr>
          <w:sz w:val="20"/>
          <w:szCs w:val="20"/>
          <w:lang w:val="en-GB"/>
        </w:rPr>
        <w:t xml:space="preserve"> </w:t>
      </w:r>
      <w:r w:rsidR="1436989C" w:rsidRPr="00686BBC">
        <w:rPr>
          <w:sz w:val="20"/>
          <w:szCs w:val="20"/>
          <w:lang w:val="en-GB"/>
        </w:rPr>
        <w:t>16</w:t>
      </w:r>
      <w:r w:rsidR="006E2C5A">
        <w:rPr>
          <w:sz w:val="20"/>
          <w:szCs w:val="20"/>
          <w:lang w:val="en-GB"/>
        </w:rPr>
        <w:t>,</w:t>
      </w:r>
      <w:r w:rsidR="1436989C" w:rsidRPr="00686BBC">
        <w:rPr>
          <w:sz w:val="20"/>
          <w:szCs w:val="20"/>
          <w:lang w:val="en-GB"/>
        </w:rPr>
        <w:t>000</w:t>
      </w:r>
      <w:r w:rsidR="006E2C5A">
        <w:rPr>
          <w:sz w:val="20"/>
          <w:szCs w:val="20"/>
          <w:lang w:val="en-GB"/>
        </w:rPr>
        <w:t xml:space="preserve"> </w:t>
      </w:r>
      <w:r w:rsidR="1436989C" w:rsidRPr="00686BBC">
        <w:rPr>
          <w:sz w:val="20"/>
          <w:szCs w:val="20"/>
          <w:lang w:val="en-GB"/>
        </w:rPr>
        <w:t>k</w:t>
      </w:r>
      <w:r w:rsidR="005651D2">
        <w:rPr>
          <w:sz w:val="20"/>
          <w:szCs w:val="20"/>
          <w:lang w:val="en-GB"/>
        </w:rPr>
        <w:t>ilometr</w:t>
      </w:r>
      <w:r w:rsidR="00BA6B3B">
        <w:rPr>
          <w:sz w:val="20"/>
          <w:szCs w:val="20"/>
          <w:lang w:val="en-GB"/>
        </w:rPr>
        <w:t>e</w:t>
      </w:r>
      <w:r w:rsidR="005651D2">
        <w:rPr>
          <w:sz w:val="20"/>
          <w:szCs w:val="20"/>
          <w:lang w:val="en-GB"/>
        </w:rPr>
        <w:t>s</w:t>
      </w:r>
      <w:r w:rsidR="1436989C" w:rsidRPr="00686BBC">
        <w:rPr>
          <w:sz w:val="20"/>
          <w:szCs w:val="20"/>
          <w:lang w:val="en-GB"/>
        </w:rPr>
        <w:t xml:space="preserve"> of coastline and improved access to early warnings for over 13 million people.</w:t>
      </w:r>
    </w:p>
    <w:p w14:paraId="385267EF" w14:textId="27A74FFF" w:rsidR="00C27344" w:rsidRPr="00D66C5F" w:rsidRDefault="00C27344" w:rsidP="00D66C5F">
      <w:pPr>
        <w:keepNext/>
        <w:keepLines/>
        <w:tabs>
          <w:tab w:val="left" w:pos="1080"/>
          <w:tab w:val="left" w:pos="1350"/>
        </w:tabs>
        <w:ind w:left="1080" w:right="86"/>
        <w:jc w:val="both"/>
        <w:rPr>
          <w:sz w:val="12"/>
          <w:szCs w:val="12"/>
          <w:lang w:val="en-GB"/>
        </w:rPr>
      </w:pPr>
    </w:p>
    <w:p w14:paraId="68C3342F" w14:textId="68CB0FB1" w:rsidR="00C27344" w:rsidRPr="00686BBC" w:rsidRDefault="3226AAC8" w:rsidP="00D66C5F">
      <w:pPr>
        <w:pStyle w:val="ListParagraph"/>
        <w:keepNext/>
        <w:keepLines/>
        <w:numPr>
          <w:ilvl w:val="0"/>
          <w:numId w:val="18"/>
        </w:numPr>
        <w:tabs>
          <w:tab w:val="left" w:pos="1080"/>
          <w:tab w:val="left" w:pos="1350"/>
        </w:tabs>
        <w:ind w:left="1080" w:right="86" w:firstLine="0"/>
        <w:jc w:val="both"/>
        <w:rPr>
          <w:sz w:val="20"/>
          <w:szCs w:val="20"/>
          <w:lang w:val="en-GB"/>
        </w:rPr>
      </w:pPr>
      <w:r w:rsidRPr="00686BBC">
        <w:rPr>
          <w:b/>
          <w:bCs/>
          <w:sz w:val="20"/>
          <w:szCs w:val="20"/>
          <w:lang w:val="en-GB"/>
        </w:rPr>
        <w:t xml:space="preserve">UNDP supports the integration of climate risk into national planning and budgeting processes and strategies through </w:t>
      </w:r>
      <w:r w:rsidR="00CE43CD">
        <w:rPr>
          <w:b/>
          <w:bCs/>
          <w:sz w:val="20"/>
          <w:szCs w:val="20"/>
          <w:lang w:val="en-GB"/>
        </w:rPr>
        <w:t>n</w:t>
      </w:r>
      <w:r w:rsidRPr="00686BBC">
        <w:rPr>
          <w:b/>
          <w:bCs/>
          <w:sz w:val="20"/>
          <w:szCs w:val="20"/>
          <w:lang w:val="en-GB"/>
        </w:rPr>
        <w:t xml:space="preserve">ational </w:t>
      </w:r>
      <w:r w:rsidR="00CE43CD">
        <w:rPr>
          <w:b/>
          <w:bCs/>
          <w:sz w:val="20"/>
          <w:szCs w:val="20"/>
          <w:lang w:val="en-GB"/>
        </w:rPr>
        <w:t>a</w:t>
      </w:r>
      <w:r w:rsidRPr="00686BBC">
        <w:rPr>
          <w:b/>
          <w:bCs/>
          <w:sz w:val="20"/>
          <w:szCs w:val="20"/>
          <w:lang w:val="en-GB"/>
        </w:rPr>
        <w:t xml:space="preserve">daptation </w:t>
      </w:r>
      <w:r w:rsidR="00CE43CD">
        <w:rPr>
          <w:b/>
          <w:bCs/>
          <w:sz w:val="20"/>
          <w:szCs w:val="20"/>
          <w:lang w:val="en-GB"/>
        </w:rPr>
        <w:t>p</w:t>
      </w:r>
      <w:r w:rsidRPr="00686BBC">
        <w:rPr>
          <w:b/>
          <w:bCs/>
          <w:sz w:val="20"/>
          <w:szCs w:val="20"/>
          <w:lang w:val="en-GB"/>
        </w:rPr>
        <w:t xml:space="preserve">lans </w:t>
      </w:r>
      <w:r w:rsidR="45CC662A" w:rsidRPr="00686BBC">
        <w:rPr>
          <w:b/>
          <w:bCs/>
          <w:sz w:val="20"/>
          <w:szCs w:val="20"/>
          <w:lang w:val="en-GB"/>
        </w:rPr>
        <w:t>and enhance</w:t>
      </w:r>
      <w:r w:rsidR="00AE22CD" w:rsidRPr="00686BBC">
        <w:rPr>
          <w:b/>
          <w:bCs/>
          <w:sz w:val="20"/>
          <w:szCs w:val="20"/>
          <w:lang w:val="en-GB"/>
        </w:rPr>
        <w:t>d</w:t>
      </w:r>
      <w:r w:rsidR="45CC662A" w:rsidRPr="00686BBC">
        <w:rPr>
          <w:b/>
          <w:bCs/>
          <w:sz w:val="20"/>
          <w:szCs w:val="20"/>
          <w:lang w:val="en-GB"/>
        </w:rPr>
        <w:t xml:space="preserve"> adaptation targets and priorities through </w:t>
      </w:r>
      <w:r w:rsidR="00AE22CD" w:rsidRPr="00686BBC">
        <w:rPr>
          <w:b/>
          <w:bCs/>
          <w:sz w:val="20"/>
          <w:szCs w:val="20"/>
          <w:lang w:val="en-GB"/>
        </w:rPr>
        <w:t>countrie</w:t>
      </w:r>
      <w:r w:rsidR="00CE43CD">
        <w:rPr>
          <w:b/>
          <w:bCs/>
          <w:sz w:val="20"/>
          <w:szCs w:val="20"/>
          <w:lang w:val="en-GB"/>
        </w:rPr>
        <w:t>s’</w:t>
      </w:r>
      <w:r w:rsidR="45CC662A" w:rsidRPr="00686BBC">
        <w:rPr>
          <w:b/>
          <w:bCs/>
          <w:sz w:val="20"/>
          <w:szCs w:val="20"/>
          <w:lang w:val="en-GB"/>
        </w:rPr>
        <w:t xml:space="preserve"> NDCs.</w:t>
      </w:r>
      <w:r w:rsidRPr="00686BBC">
        <w:rPr>
          <w:sz w:val="20"/>
          <w:szCs w:val="20"/>
          <w:lang w:val="en-GB"/>
        </w:rPr>
        <w:t xml:space="preserve"> This enables countries to align their adaptation planning processes with their national development plans and other existing planning efforts</w:t>
      </w:r>
      <w:r w:rsidR="00AE22CD" w:rsidRPr="00686BBC">
        <w:rPr>
          <w:sz w:val="20"/>
          <w:szCs w:val="20"/>
          <w:lang w:val="en-GB"/>
        </w:rPr>
        <w:t xml:space="preserve">.  </w:t>
      </w:r>
      <w:r w:rsidR="2E8B8AFB" w:rsidRPr="00686BBC">
        <w:rPr>
          <w:sz w:val="20"/>
          <w:szCs w:val="20"/>
          <w:lang w:val="en-GB"/>
        </w:rPr>
        <w:t xml:space="preserve">Since 2008, </w:t>
      </w:r>
      <w:r w:rsidR="483F1C78" w:rsidRPr="00686BBC">
        <w:rPr>
          <w:sz w:val="20"/>
          <w:szCs w:val="20"/>
          <w:lang w:val="en-GB"/>
        </w:rPr>
        <w:t xml:space="preserve">UNDP has supported 75 countries </w:t>
      </w:r>
      <w:r w:rsidR="7BD1811E" w:rsidRPr="00686BBC">
        <w:rPr>
          <w:sz w:val="20"/>
          <w:szCs w:val="20"/>
          <w:lang w:val="en-GB"/>
        </w:rPr>
        <w:t xml:space="preserve">in </w:t>
      </w:r>
      <w:r w:rsidR="483F1C78" w:rsidRPr="00686BBC">
        <w:rPr>
          <w:sz w:val="20"/>
          <w:szCs w:val="20"/>
          <w:lang w:val="en-GB"/>
        </w:rPr>
        <w:t>integrat</w:t>
      </w:r>
      <w:r w:rsidR="20DD3B07" w:rsidRPr="00686BBC">
        <w:rPr>
          <w:sz w:val="20"/>
          <w:szCs w:val="20"/>
          <w:lang w:val="en-GB"/>
        </w:rPr>
        <w:t>ing</w:t>
      </w:r>
      <w:r w:rsidR="483F1C78" w:rsidRPr="00686BBC">
        <w:rPr>
          <w:sz w:val="20"/>
          <w:szCs w:val="20"/>
          <w:lang w:val="en-GB"/>
        </w:rPr>
        <w:t xml:space="preserve"> adaptation into development policy, planning and investments.</w:t>
      </w:r>
    </w:p>
    <w:p w14:paraId="3A86FEF6" w14:textId="4DEB2F0C" w:rsidR="00C27344" w:rsidRPr="00D66C5F" w:rsidRDefault="00C27344" w:rsidP="00D66C5F">
      <w:pPr>
        <w:keepNext/>
        <w:keepLines/>
        <w:tabs>
          <w:tab w:val="left" w:pos="1080"/>
          <w:tab w:val="left" w:pos="1350"/>
        </w:tabs>
        <w:ind w:left="1080" w:right="86"/>
        <w:jc w:val="both"/>
        <w:rPr>
          <w:sz w:val="12"/>
          <w:szCs w:val="12"/>
          <w:lang w:val="en-GB"/>
        </w:rPr>
      </w:pPr>
    </w:p>
    <w:p w14:paraId="1161CEDB" w14:textId="0A073A22" w:rsidR="00D6104D" w:rsidRPr="00686BBC" w:rsidRDefault="376B8699" w:rsidP="00D66C5F">
      <w:pPr>
        <w:pStyle w:val="ListParagraph"/>
        <w:keepNext/>
        <w:keepLines/>
        <w:numPr>
          <w:ilvl w:val="0"/>
          <w:numId w:val="18"/>
        </w:numPr>
        <w:tabs>
          <w:tab w:val="left" w:pos="1080"/>
          <w:tab w:val="left" w:pos="1350"/>
        </w:tabs>
        <w:ind w:left="1080" w:right="86" w:firstLine="0"/>
        <w:jc w:val="both"/>
        <w:rPr>
          <w:sz w:val="20"/>
          <w:szCs w:val="20"/>
          <w:lang w:val="en-GB"/>
        </w:rPr>
      </w:pPr>
      <w:r w:rsidRPr="00686BBC">
        <w:rPr>
          <w:b/>
          <w:bCs/>
          <w:sz w:val="20"/>
          <w:szCs w:val="20"/>
          <w:lang w:val="en-GB"/>
        </w:rPr>
        <w:t>Given the widening gap between available public finance resources and the costs of adaptation, UNDP is increasingly focusing on cataly</w:t>
      </w:r>
      <w:r w:rsidR="00AE22CD" w:rsidRPr="00686BBC">
        <w:rPr>
          <w:b/>
          <w:bCs/>
          <w:sz w:val="20"/>
          <w:szCs w:val="20"/>
          <w:lang w:val="en-GB"/>
        </w:rPr>
        <w:t>tic</w:t>
      </w:r>
      <w:r w:rsidRPr="00686BBC">
        <w:rPr>
          <w:b/>
          <w:bCs/>
          <w:sz w:val="20"/>
          <w:szCs w:val="20"/>
          <w:lang w:val="en-GB"/>
        </w:rPr>
        <w:t xml:space="preserve"> private sector engagement and financing to invest in adaptation actions</w:t>
      </w:r>
      <w:r w:rsidRPr="00686BBC">
        <w:rPr>
          <w:sz w:val="20"/>
          <w:szCs w:val="20"/>
          <w:lang w:val="en-GB"/>
        </w:rPr>
        <w:t>. Partnerships with other U</w:t>
      </w:r>
      <w:r w:rsidR="00CC4E3F">
        <w:rPr>
          <w:sz w:val="20"/>
          <w:szCs w:val="20"/>
          <w:lang w:val="en-GB"/>
        </w:rPr>
        <w:t xml:space="preserve">nited </w:t>
      </w:r>
      <w:r w:rsidRPr="00686BBC">
        <w:rPr>
          <w:sz w:val="20"/>
          <w:szCs w:val="20"/>
          <w:lang w:val="en-GB"/>
        </w:rPr>
        <w:t>N</w:t>
      </w:r>
      <w:r w:rsidR="00CC4E3F">
        <w:rPr>
          <w:sz w:val="20"/>
          <w:szCs w:val="20"/>
          <w:lang w:val="en-GB"/>
        </w:rPr>
        <w:t>ations</w:t>
      </w:r>
      <w:r w:rsidRPr="00686BBC">
        <w:rPr>
          <w:sz w:val="20"/>
          <w:szCs w:val="20"/>
          <w:lang w:val="en-GB"/>
        </w:rPr>
        <w:t xml:space="preserve"> </w:t>
      </w:r>
      <w:r w:rsidR="00CC4E3F">
        <w:rPr>
          <w:sz w:val="20"/>
          <w:szCs w:val="20"/>
          <w:lang w:val="en-GB"/>
        </w:rPr>
        <w:t>organizations</w:t>
      </w:r>
      <w:r w:rsidRPr="00686BBC">
        <w:rPr>
          <w:sz w:val="20"/>
          <w:szCs w:val="20"/>
          <w:lang w:val="en-GB"/>
        </w:rPr>
        <w:t xml:space="preserve">, multilateral development banks, capital providers, and value-chain actors </w:t>
      </w:r>
      <w:r w:rsidR="00637058" w:rsidRPr="00686BBC">
        <w:rPr>
          <w:sz w:val="20"/>
          <w:szCs w:val="20"/>
          <w:lang w:val="en-GB"/>
        </w:rPr>
        <w:t xml:space="preserve">are critical </w:t>
      </w:r>
      <w:r w:rsidRPr="00686BBC">
        <w:rPr>
          <w:sz w:val="20"/>
          <w:szCs w:val="20"/>
          <w:lang w:val="en-GB"/>
        </w:rPr>
        <w:t xml:space="preserve">to scale adaptation action. The interconnectedness of climate change adaptation and development challenges strategically positions UNDP to play </w:t>
      </w:r>
      <w:r w:rsidR="00CC4E3F">
        <w:rPr>
          <w:sz w:val="20"/>
          <w:szCs w:val="20"/>
          <w:lang w:val="en-GB"/>
        </w:rPr>
        <w:t xml:space="preserve">an integrator </w:t>
      </w:r>
      <w:r w:rsidRPr="00686BBC">
        <w:rPr>
          <w:sz w:val="20"/>
          <w:szCs w:val="20"/>
          <w:lang w:val="en-GB"/>
        </w:rPr>
        <w:t>role and strengthen</w:t>
      </w:r>
      <w:r w:rsidR="00637058" w:rsidRPr="00686BBC">
        <w:rPr>
          <w:sz w:val="20"/>
          <w:szCs w:val="20"/>
          <w:lang w:val="en-GB"/>
        </w:rPr>
        <w:t>s</w:t>
      </w:r>
      <w:r w:rsidRPr="00686BBC">
        <w:rPr>
          <w:sz w:val="20"/>
          <w:szCs w:val="20"/>
          <w:lang w:val="en-GB"/>
        </w:rPr>
        <w:t xml:space="preserve"> country systems and capacities to deliver cross-sectoral, integrated approaches to scale-up adaptation.</w:t>
      </w:r>
      <w:r w:rsidR="11451DA1" w:rsidRPr="00686BBC">
        <w:rPr>
          <w:sz w:val="20"/>
          <w:szCs w:val="20"/>
          <w:lang w:val="en-GB"/>
        </w:rPr>
        <w:t xml:space="preserve"> </w:t>
      </w:r>
    </w:p>
    <w:p w14:paraId="0D5A803B" w14:textId="23015B2C" w:rsidR="00D6104D" w:rsidRPr="00D66C5F" w:rsidRDefault="00D6104D" w:rsidP="00D66C5F">
      <w:pPr>
        <w:tabs>
          <w:tab w:val="left" w:pos="1080"/>
          <w:tab w:val="left" w:pos="1350"/>
        </w:tabs>
        <w:ind w:left="1080"/>
        <w:rPr>
          <w:sz w:val="12"/>
          <w:szCs w:val="12"/>
        </w:rPr>
      </w:pPr>
    </w:p>
    <w:p w14:paraId="2F843FFB" w14:textId="1E7A3193" w:rsidR="00CE02E7" w:rsidRPr="00686BBC" w:rsidRDefault="69A62236" w:rsidP="00D66C5F">
      <w:pPr>
        <w:pStyle w:val="ListParagraph"/>
        <w:keepNext/>
        <w:keepLines/>
        <w:numPr>
          <w:ilvl w:val="0"/>
          <w:numId w:val="18"/>
        </w:numPr>
        <w:tabs>
          <w:tab w:val="left" w:pos="1080"/>
          <w:tab w:val="left" w:pos="1350"/>
        </w:tabs>
        <w:ind w:left="1080" w:right="86" w:firstLine="0"/>
        <w:jc w:val="both"/>
        <w:rPr>
          <w:sz w:val="20"/>
          <w:szCs w:val="20"/>
          <w:lang w:val="en-GB"/>
        </w:rPr>
      </w:pPr>
      <w:r w:rsidRPr="00686BBC">
        <w:rPr>
          <w:b/>
          <w:bCs/>
          <w:sz w:val="20"/>
          <w:szCs w:val="20"/>
          <w:lang w:val="en-GB"/>
        </w:rPr>
        <w:t xml:space="preserve">UNDP aims to identify opportunities for investments that will help countries build </w:t>
      </w:r>
      <w:r w:rsidR="00637058" w:rsidRPr="00686BBC">
        <w:rPr>
          <w:b/>
          <w:bCs/>
          <w:sz w:val="20"/>
          <w:szCs w:val="20"/>
          <w:lang w:val="en-GB"/>
        </w:rPr>
        <w:t xml:space="preserve">forward </w:t>
      </w:r>
      <w:r w:rsidRPr="00686BBC">
        <w:rPr>
          <w:b/>
          <w:bCs/>
          <w:sz w:val="20"/>
          <w:szCs w:val="20"/>
          <w:lang w:val="en-GB"/>
        </w:rPr>
        <w:t xml:space="preserve">better </w:t>
      </w:r>
      <w:r w:rsidR="00637058" w:rsidRPr="00686BBC">
        <w:rPr>
          <w:b/>
          <w:bCs/>
          <w:sz w:val="20"/>
          <w:szCs w:val="20"/>
          <w:lang w:val="en-GB"/>
        </w:rPr>
        <w:t xml:space="preserve">for </w:t>
      </w:r>
      <w:r w:rsidRPr="00686BBC">
        <w:rPr>
          <w:b/>
          <w:bCs/>
          <w:sz w:val="20"/>
          <w:szCs w:val="20"/>
          <w:lang w:val="en-GB"/>
        </w:rPr>
        <w:t>a resilient recovery</w:t>
      </w:r>
      <w:r w:rsidRPr="00686BBC">
        <w:rPr>
          <w:sz w:val="20"/>
          <w:szCs w:val="20"/>
          <w:lang w:val="en-GB"/>
        </w:rPr>
        <w:t xml:space="preserve">. To cope with increasing climate risks, </w:t>
      </w:r>
      <w:r w:rsidR="0D7FDE43" w:rsidRPr="00686BBC">
        <w:rPr>
          <w:sz w:val="20"/>
          <w:szCs w:val="20"/>
          <w:lang w:val="en-GB"/>
        </w:rPr>
        <w:t xml:space="preserve">adaptation </w:t>
      </w:r>
      <w:r w:rsidRPr="00686BBC">
        <w:rPr>
          <w:sz w:val="20"/>
          <w:szCs w:val="20"/>
          <w:lang w:val="en-GB"/>
        </w:rPr>
        <w:t xml:space="preserve">investments </w:t>
      </w:r>
      <w:r w:rsidR="7B547F5A" w:rsidRPr="00686BBC">
        <w:rPr>
          <w:sz w:val="20"/>
          <w:szCs w:val="20"/>
          <w:lang w:val="en-GB"/>
        </w:rPr>
        <w:t xml:space="preserve">will be advanced </w:t>
      </w:r>
      <w:r w:rsidRPr="00686BBC">
        <w:rPr>
          <w:sz w:val="20"/>
          <w:szCs w:val="20"/>
          <w:lang w:val="en-GB"/>
        </w:rPr>
        <w:t xml:space="preserve">in: early warnings, early action, and </w:t>
      </w:r>
      <w:r w:rsidR="00637058" w:rsidRPr="00686BBC">
        <w:rPr>
          <w:sz w:val="20"/>
          <w:szCs w:val="20"/>
          <w:lang w:val="en-GB"/>
        </w:rPr>
        <w:t xml:space="preserve">access to </w:t>
      </w:r>
      <w:r w:rsidRPr="00686BBC">
        <w:rPr>
          <w:sz w:val="20"/>
          <w:szCs w:val="20"/>
          <w:lang w:val="en-GB"/>
        </w:rPr>
        <w:t>climate information; sustainable, resilient food/agricultural/water systems; nature-based solutions to protect ecosystems for long-term resilience</w:t>
      </w:r>
      <w:r w:rsidR="00637058" w:rsidRPr="00686BBC">
        <w:rPr>
          <w:sz w:val="20"/>
          <w:szCs w:val="20"/>
          <w:lang w:val="en-GB"/>
        </w:rPr>
        <w:t>;</w:t>
      </w:r>
      <w:r w:rsidRPr="00686BBC">
        <w:rPr>
          <w:sz w:val="20"/>
          <w:szCs w:val="20"/>
          <w:lang w:val="en-GB"/>
        </w:rPr>
        <w:t xml:space="preserve"> urban resilience (urban planning, resilient infrastructure, </w:t>
      </w:r>
      <w:r w:rsidR="003A55D6">
        <w:rPr>
          <w:sz w:val="20"/>
          <w:szCs w:val="20"/>
          <w:lang w:val="en-GB"/>
        </w:rPr>
        <w:t>water, sanitation and hygiene (</w:t>
      </w:r>
      <w:r w:rsidRPr="00686BBC">
        <w:rPr>
          <w:sz w:val="20"/>
          <w:szCs w:val="20"/>
          <w:lang w:val="en-GB"/>
        </w:rPr>
        <w:t>WASH</w:t>
      </w:r>
      <w:r w:rsidR="003A55D6">
        <w:rPr>
          <w:sz w:val="20"/>
          <w:szCs w:val="20"/>
          <w:lang w:val="en-GB"/>
        </w:rPr>
        <w:t>)</w:t>
      </w:r>
      <w:r w:rsidRPr="00686BBC">
        <w:rPr>
          <w:sz w:val="20"/>
          <w:szCs w:val="20"/>
          <w:lang w:val="en-GB"/>
        </w:rPr>
        <w:t xml:space="preserve">/waste management, clean air, energy access) with a focus on </w:t>
      </w:r>
      <w:r w:rsidR="003A55D6">
        <w:rPr>
          <w:sz w:val="20"/>
          <w:szCs w:val="20"/>
          <w:lang w:val="en-GB"/>
        </w:rPr>
        <w:t xml:space="preserve">the </w:t>
      </w:r>
      <w:r w:rsidRPr="00686BBC">
        <w:rPr>
          <w:sz w:val="20"/>
          <w:szCs w:val="20"/>
          <w:lang w:val="en-GB"/>
        </w:rPr>
        <w:t xml:space="preserve">urban poor and </w:t>
      </w:r>
      <w:r w:rsidR="003A55D6">
        <w:rPr>
          <w:sz w:val="20"/>
          <w:szCs w:val="20"/>
          <w:lang w:val="en-GB"/>
        </w:rPr>
        <w:t xml:space="preserve">the </w:t>
      </w:r>
      <w:r w:rsidRPr="00686BBC">
        <w:rPr>
          <w:sz w:val="20"/>
          <w:szCs w:val="20"/>
          <w:lang w:val="en-GB"/>
        </w:rPr>
        <w:t xml:space="preserve">resilience of public systems and infrastructure. </w:t>
      </w:r>
      <w:r w:rsidR="3CB976ED" w:rsidRPr="00686BBC">
        <w:rPr>
          <w:sz w:val="20"/>
          <w:szCs w:val="20"/>
          <w:lang w:val="en-GB"/>
        </w:rPr>
        <w:t xml:space="preserve">Working together with </w:t>
      </w:r>
      <w:r w:rsidR="007756DB">
        <w:rPr>
          <w:sz w:val="20"/>
          <w:szCs w:val="20"/>
          <w:lang w:val="en-GB"/>
        </w:rPr>
        <w:t xml:space="preserve">partners, </w:t>
      </w:r>
      <w:r w:rsidR="04D3F9C6" w:rsidRPr="00686BBC">
        <w:rPr>
          <w:sz w:val="20"/>
          <w:szCs w:val="20"/>
          <w:lang w:val="en-GB"/>
        </w:rPr>
        <w:t>UNDP adaptation efforts will aim</w:t>
      </w:r>
      <w:r w:rsidR="3CB976ED" w:rsidRPr="00686BBC">
        <w:rPr>
          <w:sz w:val="20"/>
          <w:szCs w:val="20"/>
          <w:lang w:val="en-GB"/>
        </w:rPr>
        <w:t xml:space="preserve"> to build lasting resilience for at-risk communities and economies</w:t>
      </w:r>
      <w:r w:rsidR="0D0B7421" w:rsidRPr="00686BBC">
        <w:rPr>
          <w:sz w:val="20"/>
          <w:szCs w:val="20"/>
          <w:lang w:val="en-GB"/>
        </w:rPr>
        <w:t>, contributing to health, food and water security, livelihoods, and jobs.</w:t>
      </w:r>
    </w:p>
    <w:p w14:paraId="47B1E5B7" w14:textId="0F283F26" w:rsidR="00CE02E7" w:rsidRPr="00D66C5F" w:rsidRDefault="00CE02E7" w:rsidP="2F0E46C0">
      <w:pPr>
        <w:pStyle w:val="ListParagraph"/>
        <w:ind w:left="1260" w:right="-144"/>
        <w:outlineLvl w:val="0"/>
        <w:rPr>
          <w:sz w:val="22"/>
          <w:szCs w:val="22"/>
          <w:lang w:val="en-GB"/>
        </w:rPr>
      </w:pPr>
    </w:p>
    <w:bookmarkEnd w:id="1"/>
    <w:p w14:paraId="56C04829" w14:textId="085E5458" w:rsidR="00377E57" w:rsidRPr="00686BBC" w:rsidRDefault="00377E57" w:rsidP="00D66C5F">
      <w:pPr>
        <w:tabs>
          <w:tab w:val="left" w:pos="1080"/>
          <w:tab w:val="left" w:pos="1620"/>
          <w:tab w:val="left" w:pos="1800"/>
        </w:tabs>
        <w:spacing w:after="200" w:line="240" w:lineRule="exact"/>
        <w:ind w:left="1080" w:right="-144" w:hanging="450"/>
        <w:jc w:val="both"/>
        <w:rPr>
          <w:b/>
          <w:sz w:val="28"/>
          <w:szCs w:val="28"/>
          <w:lang w:val="en-GB"/>
        </w:rPr>
      </w:pPr>
      <w:r w:rsidRPr="00686BBC">
        <w:rPr>
          <w:b/>
          <w:sz w:val="28"/>
          <w:szCs w:val="28"/>
          <w:lang w:val="en-GB"/>
        </w:rPr>
        <w:t>I</w:t>
      </w:r>
      <w:r w:rsidR="00080E1A" w:rsidRPr="00686BBC">
        <w:rPr>
          <w:b/>
          <w:sz w:val="28"/>
          <w:szCs w:val="28"/>
          <w:lang w:val="en-GB"/>
        </w:rPr>
        <w:t>V</w:t>
      </w:r>
      <w:r w:rsidRPr="00686BBC">
        <w:rPr>
          <w:b/>
          <w:sz w:val="28"/>
          <w:szCs w:val="28"/>
          <w:lang w:val="en-GB"/>
        </w:rPr>
        <w:t>.</w:t>
      </w:r>
      <w:r w:rsidRPr="00686BBC">
        <w:rPr>
          <w:b/>
          <w:sz w:val="28"/>
          <w:szCs w:val="28"/>
          <w:lang w:val="en-GB"/>
        </w:rPr>
        <w:tab/>
        <w:t>Findings and conclusions of the evaluation</w:t>
      </w:r>
    </w:p>
    <w:p w14:paraId="7D74685C" w14:textId="1072B7F0" w:rsidR="00022939" w:rsidRPr="00686BBC" w:rsidRDefault="00022939" w:rsidP="00D66C5F">
      <w:pPr>
        <w:pStyle w:val="NormalWeb"/>
        <w:numPr>
          <w:ilvl w:val="0"/>
          <w:numId w:val="18"/>
        </w:numPr>
        <w:tabs>
          <w:tab w:val="left" w:pos="1440"/>
        </w:tabs>
        <w:spacing w:before="0" w:beforeAutospacing="0" w:after="120" w:afterAutospacing="0"/>
        <w:ind w:left="1080" w:right="-169" w:firstLine="0"/>
        <w:jc w:val="both"/>
        <w:rPr>
          <w:sz w:val="20"/>
          <w:szCs w:val="20"/>
          <w:lang w:val="en-GB"/>
        </w:rPr>
      </w:pPr>
      <w:r w:rsidRPr="00686BBC">
        <w:rPr>
          <w:b/>
          <w:bCs/>
          <w:sz w:val="20"/>
          <w:szCs w:val="20"/>
          <w:lang w:val="en-GB"/>
        </w:rPr>
        <w:t xml:space="preserve">UNDP welcomes the evaluation’s findings as useful to inform its work </w:t>
      </w:r>
      <w:r w:rsidR="4970ACB1" w:rsidRPr="00686BBC">
        <w:rPr>
          <w:b/>
          <w:bCs/>
          <w:sz w:val="20"/>
          <w:szCs w:val="20"/>
          <w:lang w:val="en-GB"/>
        </w:rPr>
        <w:t>on</w:t>
      </w:r>
      <w:r w:rsidRPr="00686BBC">
        <w:rPr>
          <w:b/>
          <w:bCs/>
          <w:sz w:val="20"/>
          <w:szCs w:val="20"/>
          <w:lang w:val="en-GB"/>
        </w:rPr>
        <w:t xml:space="preserve"> climate change adaptation in </w:t>
      </w:r>
      <w:r w:rsidR="70822B96" w:rsidRPr="00686BBC">
        <w:rPr>
          <w:b/>
          <w:bCs/>
          <w:sz w:val="20"/>
          <w:szCs w:val="20"/>
          <w:lang w:val="en-GB"/>
        </w:rPr>
        <w:t>line with its</w:t>
      </w:r>
      <w:r w:rsidRPr="00686BBC">
        <w:rPr>
          <w:b/>
          <w:bCs/>
          <w:sz w:val="20"/>
          <w:szCs w:val="20"/>
          <w:lang w:val="en-GB"/>
        </w:rPr>
        <w:t xml:space="preserve"> Strategic Plan</w:t>
      </w:r>
      <w:r w:rsidR="009755BC">
        <w:rPr>
          <w:b/>
          <w:bCs/>
          <w:sz w:val="20"/>
          <w:szCs w:val="20"/>
          <w:lang w:val="en-GB"/>
        </w:rPr>
        <w:t>, 2018-2021</w:t>
      </w:r>
      <w:r w:rsidRPr="00686BBC">
        <w:rPr>
          <w:sz w:val="20"/>
          <w:szCs w:val="20"/>
          <w:lang w:val="en-GB"/>
        </w:rPr>
        <w:t>..</w:t>
      </w:r>
      <w:r w:rsidR="67EB412C" w:rsidRPr="00686BBC">
        <w:rPr>
          <w:sz w:val="20"/>
          <w:szCs w:val="20"/>
          <w:lang w:val="en-GB"/>
        </w:rPr>
        <w:t xml:space="preserve"> UNDP notes that its domain expertise across adaptation is extremely strong and </w:t>
      </w:r>
      <w:r w:rsidR="00AE22CD" w:rsidRPr="00686BBC">
        <w:rPr>
          <w:sz w:val="20"/>
          <w:szCs w:val="20"/>
          <w:lang w:val="en-GB"/>
        </w:rPr>
        <w:t xml:space="preserve">it </w:t>
      </w:r>
      <w:r w:rsidR="67EB412C" w:rsidRPr="00686BBC">
        <w:rPr>
          <w:sz w:val="20"/>
          <w:szCs w:val="20"/>
          <w:lang w:val="en-GB"/>
        </w:rPr>
        <w:t xml:space="preserve">has a track record </w:t>
      </w:r>
      <w:r w:rsidR="009755BC">
        <w:rPr>
          <w:sz w:val="20"/>
          <w:szCs w:val="20"/>
          <w:lang w:val="en-GB"/>
        </w:rPr>
        <w:t xml:space="preserve">of </w:t>
      </w:r>
      <w:r w:rsidR="67EB412C" w:rsidRPr="00686BBC">
        <w:rPr>
          <w:sz w:val="20"/>
          <w:szCs w:val="20"/>
          <w:lang w:val="en-GB"/>
        </w:rPr>
        <w:t xml:space="preserve">success </w:t>
      </w:r>
      <w:r w:rsidR="009755BC">
        <w:rPr>
          <w:sz w:val="20"/>
          <w:szCs w:val="20"/>
          <w:lang w:val="en-GB"/>
        </w:rPr>
        <w:t xml:space="preserve">not only </w:t>
      </w:r>
      <w:r w:rsidR="67EB412C" w:rsidRPr="00686BBC">
        <w:rPr>
          <w:sz w:val="20"/>
          <w:szCs w:val="20"/>
          <w:lang w:val="en-GB"/>
        </w:rPr>
        <w:t xml:space="preserve">in programming (combined resources, including co-financing, of about </w:t>
      </w:r>
      <w:r w:rsidR="009755BC">
        <w:rPr>
          <w:sz w:val="20"/>
          <w:szCs w:val="20"/>
          <w:lang w:val="en-GB"/>
        </w:rPr>
        <w:t>$</w:t>
      </w:r>
      <w:r w:rsidR="67EB412C" w:rsidRPr="00686BBC">
        <w:rPr>
          <w:sz w:val="20"/>
          <w:szCs w:val="20"/>
          <w:lang w:val="en-GB"/>
        </w:rPr>
        <w:t xml:space="preserve">4 billion mobilized, supporting over 90 countries) but </w:t>
      </w:r>
      <w:r w:rsidR="009755BC">
        <w:rPr>
          <w:sz w:val="20"/>
          <w:szCs w:val="20"/>
          <w:lang w:val="en-GB"/>
        </w:rPr>
        <w:t xml:space="preserve">in </w:t>
      </w:r>
      <w:r w:rsidR="67EB412C" w:rsidRPr="00686BBC">
        <w:rPr>
          <w:sz w:val="20"/>
          <w:szCs w:val="20"/>
          <w:lang w:val="en-GB"/>
        </w:rPr>
        <w:t xml:space="preserve">providing thought leadership and advancing dialogue and action on adaptation </w:t>
      </w:r>
      <w:r w:rsidR="009755BC">
        <w:rPr>
          <w:sz w:val="20"/>
          <w:szCs w:val="20"/>
          <w:lang w:val="en-GB"/>
        </w:rPr>
        <w:t xml:space="preserve">on </w:t>
      </w:r>
      <w:r w:rsidR="67EB412C" w:rsidRPr="00686BBC">
        <w:rPr>
          <w:sz w:val="20"/>
          <w:szCs w:val="20"/>
          <w:lang w:val="en-GB"/>
        </w:rPr>
        <w:t xml:space="preserve">the global stage. </w:t>
      </w:r>
    </w:p>
    <w:p w14:paraId="6BA118A9" w14:textId="0522451E" w:rsidR="00780390" w:rsidRPr="00686BBC" w:rsidRDefault="7A0874A0" w:rsidP="00D66C5F">
      <w:pPr>
        <w:pStyle w:val="NormalWeb"/>
        <w:numPr>
          <w:ilvl w:val="0"/>
          <w:numId w:val="18"/>
        </w:numPr>
        <w:tabs>
          <w:tab w:val="left" w:pos="1440"/>
        </w:tabs>
        <w:spacing w:before="0" w:beforeAutospacing="0" w:after="120" w:afterAutospacing="0"/>
        <w:ind w:left="1080" w:right="-169" w:firstLine="0"/>
        <w:jc w:val="both"/>
        <w:rPr>
          <w:sz w:val="20"/>
          <w:szCs w:val="20"/>
          <w:lang w:val="en-GB"/>
        </w:rPr>
      </w:pPr>
      <w:r w:rsidRPr="00686BBC">
        <w:rPr>
          <w:b/>
          <w:bCs/>
          <w:sz w:val="20"/>
          <w:szCs w:val="20"/>
          <w:lang w:val="en-GB"/>
        </w:rPr>
        <w:t xml:space="preserve">In this regard, UNDP also highlights </w:t>
      </w:r>
      <w:r w:rsidR="2448C711" w:rsidRPr="00686BBC">
        <w:rPr>
          <w:b/>
          <w:bCs/>
          <w:sz w:val="20"/>
          <w:szCs w:val="20"/>
          <w:lang w:val="en-GB"/>
        </w:rPr>
        <w:t>ongoing efforts to</w:t>
      </w:r>
      <w:r w:rsidR="0042670C" w:rsidRPr="00686BBC">
        <w:rPr>
          <w:sz w:val="20"/>
          <w:szCs w:val="20"/>
          <w:lang w:val="en-GB"/>
        </w:rPr>
        <w:t>:</w:t>
      </w:r>
      <w:r w:rsidR="2448C711" w:rsidRPr="00686BBC">
        <w:rPr>
          <w:sz w:val="20"/>
          <w:szCs w:val="20"/>
          <w:lang w:val="en-GB"/>
        </w:rPr>
        <w:t xml:space="preserve"> </w:t>
      </w:r>
    </w:p>
    <w:p w14:paraId="42FFC228" w14:textId="760BC3F5" w:rsidR="00AC6924" w:rsidRPr="00686BBC" w:rsidRDefault="009755BC" w:rsidP="004E27FF">
      <w:pPr>
        <w:pStyle w:val="NormalWeb"/>
        <w:numPr>
          <w:ilvl w:val="0"/>
          <w:numId w:val="16"/>
        </w:numPr>
        <w:tabs>
          <w:tab w:val="left" w:pos="1440"/>
        </w:tabs>
        <w:spacing w:before="0" w:beforeAutospacing="0" w:after="120" w:afterAutospacing="0"/>
        <w:ind w:left="1080" w:right="-169" w:firstLine="0"/>
        <w:jc w:val="both"/>
        <w:rPr>
          <w:sz w:val="20"/>
          <w:szCs w:val="20"/>
          <w:lang w:val="en-GB"/>
        </w:rPr>
      </w:pPr>
      <w:r>
        <w:rPr>
          <w:sz w:val="20"/>
          <w:szCs w:val="20"/>
          <w:lang w:val="en-GB"/>
        </w:rPr>
        <w:lastRenderedPageBreak/>
        <w:t>a</w:t>
      </w:r>
      <w:r w:rsidR="005C6DA2" w:rsidRPr="00686BBC">
        <w:rPr>
          <w:sz w:val="20"/>
          <w:szCs w:val="20"/>
          <w:lang w:val="en-GB"/>
        </w:rPr>
        <w:t xml:space="preserve">rticulate and communicate </w:t>
      </w:r>
      <w:r w:rsidR="2448C711" w:rsidRPr="00686BBC">
        <w:rPr>
          <w:sz w:val="20"/>
          <w:szCs w:val="20"/>
          <w:lang w:val="en-GB"/>
        </w:rPr>
        <w:t xml:space="preserve">adaptation </w:t>
      </w:r>
      <w:r w:rsidR="00AC6924" w:rsidRPr="00686BBC">
        <w:rPr>
          <w:sz w:val="20"/>
          <w:szCs w:val="20"/>
          <w:lang w:val="en-GB"/>
        </w:rPr>
        <w:t>thematic offers in:</w:t>
      </w:r>
      <w:r w:rsidR="2D5759F8" w:rsidRPr="00686BBC">
        <w:rPr>
          <w:sz w:val="20"/>
          <w:szCs w:val="20"/>
          <w:lang w:val="en-GB"/>
        </w:rPr>
        <w:t xml:space="preserve"> </w:t>
      </w:r>
      <w:hyperlink r:id="rId11" w:history="1">
        <w:r w:rsidR="2D5759F8" w:rsidRPr="009755BC">
          <w:rPr>
            <w:rStyle w:val="Hyperlink"/>
            <w:sz w:val="20"/>
            <w:szCs w:val="20"/>
            <w:lang w:val="en-GB"/>
          </w:rPr>
          <w:t>food and agricultural systems</w:t>
        </w:r>
      </w:hyperlink>
      <w:r>
        <w:rPr>
          <w:sz w:val="20"/>
          <w:szCs w:val="20"/>
          <w:lang w:val="en-GB"/>
        </w:rPr>
        <w:t>,</w:t>
      </w:r>
      <w:r w:rsidR="2D5759F8" w:rsidRPr="00686BBC">
        <w:rPr>
          <w:sz w:val="20"/>
          <w:szCs w:val="20"/>
          <w:lang w:val="en-GB"/>
        </w:rPr>
        <w:t xml:space="preserve"> </w:t>
      </w:r>
      <w:r w:rsidR="00714D05" w:rsidRPr="00686BBC">
        <w:rPr>
          <w:sz w:val="20"/>
          <w:szCs w:val="20"/>
          <w:lang w:val="en-GB"/>
        </w:rPr>
        <w:t xml:space="preserve">coasts and </w:t>
      </w:r>
      <w:r w:rsidR="2D5759F8" w:rsidRPr="00686BBC">
        <w:rPr>
          <w:sz w:val="20"/>
          <w:szCs w:val="20"/>
          <w:lang w:val="en-GB"/>
        </w:rPr>
        <w:t>water</w:t>
      </w:r>
      <w:r>
        <w:rPr>
          <w:sz w:val="20"/>
          <w:szCs w:val="20"/>
          <w:lang w:val="en-GB"/>
        </w:rPr>
        <w:t>,</w:t>
      </w:r>
      <w:r w:rsidR="00AC6924" w:rsidRPr="00686BBC">
        <w:rPr>
          <w:sz w:val="20"/>
          <w:szCs w:val="20"/>
          <w:lang w:val="en-GB"/>
        </w:rPr>
        <w:t xml:space="preserve"> </w:t>
      </w:r>
      <w:hyperlink r:id="rId12" w:history="1">
        <w:r w:rsidR="6619DAE7" w:rsidRPr="009755BC">
          <w:rPr>
            <w:rStyle w:val="Hyperlink"/>
            <w:sz w:val="20"/>
            <w:szCs w:val="20"/>
            <w:lang w:val="en-GB"/>
          </w:rPr>
          <w:t>urban resilience</w:t>
        </w:r>
      </w:hyperlink>
      <w:r>
        <w:rPr>
          <w:sz w:val="20"/>
          <w:szCs w:val="20"/>
          <w:lang w:val="en-GB"/>
        </w:rPr>
        <w:t>,</w:t>
      </w:r>
      <w:r w:rsidR="6619DAE7" w:rsidRPr="00686BBC">
        <w:rPr>
          <w:sz w:val="20"/>
          <w:szCs w:val="20"/>
          <w:lang w:val="en-GB"/>
        </w:rPr>
        <w:t xml:space="preserve"> </w:t>
      </w:r>
      <w:hyperlink r:id="rId13" w:history="1">
        <w:r w:rsidR="2D5759F8" w:rsidRPr="009755BC">
          <w:rPr>
            <w:rStyle w:val="Hyperlink"/>
            <w:sz w:val="20"/>
            <w:szCs w:val="20"/>
            <w:lang w:val="en-GB"/>
          </w:rPr>
          <w:t>nature-based solutions</w:t>
        </w:r>
      </w:hyperlink>
      <w:r>
        <w:rPr>
          <w:sz w:val="20"/>
          <w:szCs w:val="20"/>
          <w:lang w:val="en-GB"/>
        </w:rPr>
        <w:t>,</w:t>
      </w:r>
      <w:r w:rsidR="0CDE69EB" w:rsidRPr="00686BBC">
        <w:rPr>
          <w:sz w:val="20"/>
          <w:szCs w:val="20"/>
          <w:lang w:val="en-GB"/>
        </w:rPr>
        <w:t xml:space="preserve"> </w:t>
      </w:r>
      <w:hyperlink r:id="rId14" w:history="1">
        <w:r w:rsidR="00AC6924" w:rsidRPr="009755BC">
          <w:rPr>
            <w:rStyle w:val="Hyperlink"/>
            <w:sz w:val="20"/>
            <w:szCs w:val="20"/>
            <w:lang w:val="en-GB"/>
          </w:rPr>
          <w:t>climate information and early warning systems</w:t>
        </w:r>
      </w:hyperlink>
      <w:r>
        <w:rPr>
          <w:sz w:val="20"/>
          <w:szCs w:val="20"/>
          <w:lang w:val="en-GB"/>
        </w:rPr>
        <w:t>,</w:t>
      </w:r>
      <w:r w:rsidR="00AC6924" w:rsidRPr="00686BBC">
        <w:rPr>
          <w:sz w:val="20"/>
          <w:szCs w:val="20"/>
          <w:lang w:val="en-GB"/>
        </w:rPr>
        <w:t xml:space="preserve"> </w:t>
      </w:r>
      <w:r w:rsidR="002A68B8" w:rsidRPr="00686BBC">
        <w:rPr>
          <w:sz w:val="20"/>
          <w:szCs w:val="20"/>
          <w:lang w:val="en-GB"/>
        </w:rPr>
        <w:t xml:space="preserve">and </w:t>
      </w:r>
      <w:r w:rsidR="00D802B1" w:rsidRPr="00686BBC">
        <w:rPr>
          <w:sz w:val="20"/>
          <w:szCs w:val="20"/>
          <w:lang w:val="en-GB"/>
        </w:rPr>
        <w:t>national adaptation planning</w:t>
      </w:r>
      <w:r w:rsidR="008F23DB" w:rsidRPr="00686BBC">
        <w:rPr>
          <w:sz w:val="20"/>
          <w:szCs w:val="20"/>
          <w:lang w:val="en-GB"/>
        </w:rPr>
        <w:t>;</w:t>
      </w:r>
    </w:p>
    <w:p w14:paraId="302E08F2" w14:textId="52D85780" w:rsidR="0098569C" w:rsidRPr="00686BBC" w:rsidRDefault="00441FCA" w:rsidP="004E27FF">
      <w:pPr>
        <w:pStyle w:val="NormalWeb"/>
        <w:numPr>
          <w:ilvl w:val="0"/>
          <w:numId w:val="16"/>
        </w:numPr>
        <w:tabs>
          <w:tab w:val="left" w:pos="1440"/>
        </w:tabs>
        <w:spacing w:before="0" w:beforeAutospacing="0" w:after="120" w:afterAutospacing="0"/>
        <w:ind w:left="1080" w:right="-169" w:firstLine="0"/>
        <w:jc w:val="both"/>
        <w:rPr>
          <w:sz w:val="20"/>
          <w:szCs w:val="20"/>
          <w:lang w:val="en-GB"/>
        </w:rPr>
      </w:pPr>
      <w:r w:rsidRPr="00686BBC">
        <w:rPr>
          <w:sz w:val="20"/>
          <w:szCs w:val="20"/>
          <w:lang w:val="en-GB"/>
        </w:rPr>
        <w:t xml:space="preserve">strengthen </w:t>
      </w:r>
      <w:r w:rsidR="72E707AF" w:rsidRPr="00686BBC">
        <w:rPr>
          <w:sz w:val="20"/>
          <w:szCs w:val="20"/>
          <w:lang w:val="en-GB"/>
        </w:rPr>
        <w:t>partnerships across the U</w:t>
      </w:r>
      <w:r w:rsidR="009755BC">
        <w:rPr>
          <w:sz w:val="20"/>
          <w:szCs w:val="20"/>
          <w:lang w:val="en-GB"/>
        </w:rPr>
        <w:t xml:space="preserve">nited </w:t>
      </w:r>
      <w:r w:rsidR="72E707AF" w:rsidRPr="00686BBC">
        <w:rPr>
          <w:sz w:val="20"/>
          <w:szCs w:val="20"/>
          <w:lang w:val="en-GB"/>
        </w:rPr>
        <w:t>N</w:t>
      </w:r>
      <w:r w:rsidR="009755BC">
        <w:rPr>
          <w:sz w:val="20"/>
          <w:szCs w:val="20"/>
          <w:lang w:val="en-GB"/>
        </w:rPr>
        <w:t>ations</w:t>
      </w:r>
      <w:r w:rsidR="72E707AF" w:rsidRPr="00686BBC">
        <w:rPr>
          <w:sz w:val="20"/>
          <w:szCs w:val="20"/>
          <w:lang w:val="en-GB"/>
        </w:rPr>
        <w:t xml:space="preserve"> system</w:t>
      </w:r>
      <w:r w:rsidR="5E05732A" w:rsidRPr="00686BBC">
        <w:rPr>
          <w:sz w:val="20"/>
          <w:szCs w:val="20"/>
          <w:lang w:val="en-GB"/>
        </w:rPr>
        <w:t xml:space="preserve"> and </w:t>
      </w:r>
      <w:r w:rsidR="009755BC">
        <w:rPr>
          <w:sz w:val="20"/>
          <w:szCs w:val="20"/>
          <w:lang w:val="en-GB"/>
        </w:rPr>
        <w:t xml:space="preserve">multilateral development banks </w:t>
      </w:r>
      <w:r w:rsidR="009755BC" w:rsidRPr="00686BBC">
        <w:rPr>
          <w:sz w:val="20"/>
          <w:szCs w:val="20"/>
          <w:lang w:val="en-GB"/>
        </w:rPr>
        <w:t xml:space="preserve"> </w:t>
      </w:r>
      <w:r w:rsidR="72E707AF" w:rsidRPr="00686BBC">
        <w:rPr>
          <w:sz w:val="20"/>
          <w:szCs w:val="20"/>
          <w:lang w:val="en-GB"/>
        </w:rPr>
        <w:t xml:space="preserve">in advancing adaptation action, </w:t>
      </w:r>
      <w:r w:rsidR="009755BC">
        <w:rPr>
          <w:sz w:val="20"/>
          <w:szCs w:val="20"/>
          <w:lang w:val="en-GB"/>
        </w:rPr>
        <w:t xml:space="preserve">as </w:t>
      </w:r>
      <w:r w:rsidR="7E2ECE6F" w:rsidRPr="00686BBC">
        <w:rPr>
          <w:sz w:val="20"/>
          <w:szCs w:val="20"/>
          <w:lang w:val="en-GB"/>
        </w:rPr>
        <w:t>exemplified</w:t>
      </w:r>
      <w:r w:rsidR="009755BC">
        <w:rPr>
          <w:sz w:val="20"/>
          <w:szCs w:val="20"/>
          <w:lang w:val="en-GB"/>
        </w:rPr>
        <w:t xml:space="preserve"> in:</w:t>
      </w:r>
      <w:r w:rsidR="72E707AF" w:rsidRPr="00686BBC">
        <w:rPr>
          <w:sz w:val="20"/>
          <w:szCs w:val="20"/>
          <w:lang w:val="en-GB"/>
        </w:rPr>
        <w:t xml:space="preserve"> </w:t>
      </w:r>
      <w:r w:rsidR="003E60E5" w:rsidRPr="00686BBC">
        <w:rPr>
          <w:sz w:val="20"/>
          <w:szCs w:val="20"/>
          <w:lang w:val="en-GB"/>
        </w:rPr>
        <w:t>(</w:t>
      </w:r>
      <w:proofErr w:type="spellStart"/>
      <w:r w:rsidR="003E60E5" w:rsidRPr="00686BBC">
        <w:rPr>
          <w:sz w:val="20"/>
          <w:szCs w:val="20"/>
          <w:lang w:val="en-GB"/>
        </w:rPr>
        <w:t>i</w:t>
      </w:r>
      <w:proofErr w:type="spellEnd"/>
      <w:r w:rsidR="003E60E5" w:rsidRPr="00686BBC">
        <w:rPr>
          <w:sz w:val="20"/>
          <w:szCs w:val="20"/>
          <w:lang w:val="en-GB"/>
        </w:rPr>
        <w:t xml:space="preserve">) </w:t>
      </w:r>
      <w:r w:rsidR="65ED0D22" w:rsidRPr="00686BBC">
        <w:rPr>
          <w:sz w:val="20"/>
          <w:szCs w:val="20"/>
          <w:lang w:val="en-GB"/>
        </w:rPr>
        <w:t xml:space="preserve">joint programming with </w:t>
      </w:r>
      <w:r w:rsidR="00FF212F">
        <w:rPr>
          <w:sz w:val="20"/>
          <w:szCs w:val="20"/>
          <w:lang w:val="en-GB"/>
        </w:rPr>
        <w:t>the African Development Bank (</w:t>
      </w:r>
      <w:r w:rsidR="00FF212F" w:rsidRPr="00686BBC">
        <w:rPr>
          <w:sz w:val="20"/>
          <w:szCs w:val="20"/>
          <w:lang w:val="en-GB"/>
        </w:rPr>
        <w:t>A</w:t>
      </w:r>
      <w:r w:rsidR="00FF212F">
        <w:rPr>
          <w:sz w:val="20"/>
          <w:szCs w:val="20"/>
          <w:lang w:val="en-GB"/>
        </w:rPr>
        <w:t>DB), the European Investment Bank (</w:t>
      </w:r>
      <w:r w:rsidR="00FF212F" w:rsidRPr="00686BBC">
        <w:rPr>
          <w:sz w:val="20"/>
          <w:szCs w:val="20"/>
          <w:lang w:val="en-GB"/>
        </w:rPr>
        <w:t>EIB</w:t>
      </w:r>
      <w:r w:rsidR="00FF212F">
        <w:rPr>
          <w:sz w:val="20"/>
          <w:szCs w:val="20"/>
          <w:lang w:val="en-GB"/>
        </w:rPr>
        <w:t xml:space="preserve">), </w:t>
      </w:r>
      <w:r w:rsidR="009755BC">
        <w:rPr>
          <w:sz w:val="20"/>
          <w:szCs w:val="20"/>
          <w:lang w:val="en-GB"/>
        </w:rPr>
        <w:t>the Food and Agriculture Organization of the United Nations (</w:t>
      </w:r>
      <w:r w:rsidR="65ED0D22" w:rsidRPr="00686BBC">
        <w:rPr>
          <w:sz w:val="20"/>
          <w:szCs w:val="20"/>
          <w:lang w:val="en-GB"/>
        </w:rPr>
        <w:t>FAO</w:t>
      </w:r>
      <w:r w:rsidR="009755BC">
        <w:rPr>
          <w:sz w:val="20"/>
          <w:szCs w:val="20"/>
          <w:lang w:val="en-GB"/>
        </w:rPr>
        <w:t>)</w:t>
      </w:r>
      <w:r w:rsidR="65ED0D22" w:rsidRPr="00686BBC">
        <w:rPr>
          <w:sz w:val="20"/>
          <w:szCs w:val="20"/>
          <w:lang w:val="en-GB"/>
        </w:rPr>
        <w:t xml:space="preserve">, </w:t>
      </w:r>
      <w:r w:rsidR="00FF212F">
        <w:rPr>
          <w:sz w:val="20"/>
          <w:szCs w:val="20"/>
          <w:lang w:val="en-GB"/>
        </w:rPr>
        <w:t>the United Nations Environment Programme (</w:t>
      </w:r>
      <w:r w:rsidR="00FF212F" w:rsidRPr="00686BBC">
        <w:rPr>
          <w:sz w:val="20"/>
          <w:szCs w:val="20"/>
          <w:lang w:val="en-GB"/>
        </w:rPr>
        <w:t>UNEP</w:t>
      </w:r>
      <w:r w:rsidR="00FF212F">
        <w:rPr>
          <w:sz w:val="20"/>
          <w:szCs w:val="20"/>
          <w:lang w:val="en-GB"/>
        </w:rPr>
        <w:t xml:space="preserve">), </w:t>
      </w:r>
      <w:r w:rsidR="009755BC">
        <w:rPr>
          <w:sz w:val="20"/>
          <w:szCs w:val="20"/>
          <w:lang w:val="en-GB"/>
        </w:rPr>
        <w:t>the United Nations Children’s Fund (</w:t>
      </w:r>
      <w:r w:rsidR="65ED0D22" w:rsidRPr="00686BBC">
        <w:rPr>
          <w:sz w:val="20"/>
          <w:szCs w:val="20"/>
          <w:lang w:val="en-GB"/>
        </w:rPr>
        <w:t>UNICEF</w:t>
      </w:r>
      <w:r w:rsidR="009755BC">
        <w:rPr>
          <w:sz w:val="20"/>
          <w:szCs w:val="20"/>
          <w:lang w:val="en-GB"/>
        </w:rPr>
        <w:t>)</w:t>
      </w:r>
      <w:r w:rsidR="65ED0D22" w:rsidRPr="00686BBC">
        <w:rPr>
          <w:sz w:val="20"/>
          <w:szCs w:val="20"/>
          <w:lang w:val="en-GB"/>
        </w:rPr>
        <w:t xml:space="preserve">, </w:t>
      </w:r>
      <w:r w:rsidR="009755BC">
        <w:rPr>
          <w:sz w:val="20"/>
          <w:szCs w:val="20"/>
          <w:lang w:val="en-GB"/>
        </w:rPr>
        <w:t>the World Food Programme (</w:t>
      </w:r>
      <w:r w:rsidR="65ED0D22" w:rsidRPr="00686BBC">
        <w:rPr>
          <w:sz w:val="20"/>
          <w:szCs w:val="20"/>
          <w:lang w:val="en-GB"/>
        </w:rPr>
        <w:t>WFP</w:t>
      </w:r>
      <w:r w:rsidR="009755BC">
        <w:rPr>
          <w:sz w:val="20"/>
          <w:szCs w:val="20"/>
          <w:lang w:val="en-GB"/>
        </w:rPr>
        <w:t>)</w:t>
      </w:r>
      <w:r w:rsidR="65ED0D22" w:rsidRPr="00686BBC">
        <w:rPr>
          <w:sz w:val="20"/>
          <w:szCs w:val="20"/>
          <w:lang w:val="en-GB"/>
        </w:rPr>
        <w:t>,</w:t>
      </w:r>
      <w:r w:rsidR="00FF212F">
        <w:rPr>
          <w:sz w:val="20"/>
          <w:szCs w:val="20"/>
          <w:lang w:val="en-GB"/>
        </w:rPr>
        <w:t xml:space="preserve"> </w:t>
      </w:r>
      <w:r w:rsidR="009755BC">
        <w:rPr>
          <w:sz w:val="20"/>
          <w:szCs w:val="20"/>
          <w:lang w:val="en-GB"/>
        </w:rPr>
        <w:t xml:space="preserve">the </w:t>
      </w:r>
      <w:r w:rsidR="416FDED6" w:rsidRPr="00686BBC">
        <w:rPr>
          <w:sz w:val="20"/>
          <w:szCs w:val="20"/>
          <w:lang w:val="en-GB"/>
        </w:rPr>
        <w:t xml:space="preserve">World Bank </w:t>
      </w:r>
      <w:r w:rsidR="009755BC">
        <w:rPr>
          <w:sz w:val="20"/>
          <w:szCs w:val="20"/>
          <w:lang w:val="en-GB"/>
        </w:rPr>
        <w:t xml:space="preserve">and </w:t>
      </w:r>
      <w:r w:rsidR="65ED0D22" w:rsidRPr="00686BBC">
        <w:rPr>
          <w:sz w:val="20"/>
          <w:szCs w:val="20"/>
          <w:lang w:val="en-GB"/>
        </w:rPr>
        <w:t>others</w:t>
      </w:r>
      <w:r w:rsidR="00637058" w:rsidRPr="00686BBC">
        <w:rPr>
          <w:sz w:val="20"/>
          <w:szCs w:val="20"/>
          <w:lang w:val="en-GB"/>
        </w:rPr>
        <w:t>;</w:t>
      </w:r>
      <w:r w:rsidR="05A97245" w:rsidRPr="00686BBC">
        <w:rPr>
          <w:sz w:val="20"/>
          <w:szCs w:val="20"/>
          <w:lang w:val="en-GB"/>
        </w:rPr>
        <w:t xml:space="preserve"> and</w:t>
      </w:r>
      <w:r w:rsidR="65ED0D22" w:rsidRPr="00686BBC">
        <w:rPr>
          <w:sz w:val="20"/>
          <w:szCs w:val="20"/>
          <w:lang w:val="en-GB"/>
        </w:rPr>
        <w:t xml:space="preserve"> </w:t>
      </w:r>
      <w:r w:rsidR="003E60E5" w:rsidRPr="00686BBC">
        <w:rPr>
          <w:sz w:val="20"/>
          <w:szCs w:val="20"/>
          <w:lang w:val="en-GB"/>
        </w:rPr>
        <w:t>(ii)</w:t>
      </w:r>
      <w:r w:rsidR="362136FC" w:rsidRPr="00686BBC">
        <w:rPr>
          <w:sz w:val="20"/>
          <w:szCs w:val="20"/>
          <w:lang w:val="en-GB"/>
        </w:rPr>
        <w:t xml:space="preserve"> expand</w:t>
      </w:r>
      <w:r w:rsidR="009755BC">
        <w:rPr>
          <w:sz w:val="20"/>
          <w:szCs w:val="20"/>
          <w:lang w:val="en-GB"/>
        </w:rPr>
        <w:t>ing</w:t>
      </w:r>
      <w:r w:rsidR="362136FC" w:rsidRPr="00686BBC">
        <w:rPr>
          <w:sz w:val="20"/>
          <w:szCs w:val="20"/>
          <w:lang w:val="en-GB"/>
        </w:rPr>
        <w:t xml:space="preserve"> the scope of support to countries </w:t>
      </w:r>
      <w:r w:rsidR="009755BC">
        <w:rPr>
          <w:sz w:val="20"/>
          <w:szCs w:val="20"/>
          <w:lang w:val="en-GB"/>
        </w:rPr>
        <w:t xml:space="preserve">to </w:t>
      </w:r>
      <w:r w:rsidR="362136FC" w:rsidRPr="00686BBC">
        <w:rPr>
          <w:sz w:val="20"/>
          <w:szCs w:val="20"/>
          <w:lang w:val="en-GB"/>
        </w:rPr>
        <w:t>acces</w:t>
      </w:r>
      <w:r w:rsidR="009755BC">
        <w:rPr>
          <w:sz w:val="20"/>
          <w:szCs w:val="20"/>
          <w:lang w:val="en-GB"/>
        </w:rPr>
        <w:t>s</w:t>
      </w:r>
      <w:r w:rsidR="362136FC" w:rsidRPr="00686BBC">
        <w:rPr>
          <w:sz w:val="20"/>
          <w:szCs w:val="20"/>
          <w:lang w:val="en-GB"/>
        </w:rPr>
        <w:t xml:space="preserve"> financ</w:t>
      </w:r>
      <w:r w:rsidR="009755BC">
        <w:rPr>
          <w:sz w:val="20"/>
          <w:szCs w:val="20"/>
          <w:lang w:val="en-GB"/>
        </w:rPr>
        <w:t>ing</w:t>
      </w:r>
      <w:r w:rsidR="362136FC" w:rsidRPr="00686BBC">
        <w:rPr>
          <w:sz w:val="20"/>
          <w:szCs w:val="20"/>
          <w:lang w:val="en-GB"/>
        </w:rPr>
        <w:t xml:space="preserve"> for adaptation beyond vertical funds to </w:t>
      </w:r>
      <w:r w:rsidR="009755BC">
        <w:rPr>
          <w:sz w:val="20"/>
          <w:szCs w:val="20"/>
          <w:lang w:val="en-GB"/>
        </w:rPr>
        <w:t xml:space="preserve">include </w:t>
      </w:r>
      <w:r w:rsidR="362136FC" w:rsidRPr="00686BBC">
        <w:rPr>
          <w:sz w:val="20"/>
          <w:szCs w:val="20"/>
          <w:lang w:val="en-GB"/>
        </w:rPr>
        <w:t xml:space="preserve">bilateral </w:t>
      </w:r>
      <w:r w:rsidR="3F2FC9E3" w:rsidRPr="00686BBC">
        <w:rPr>
          <w:sz w:val="20"/>
          <w:szCs w:val="20"/>
          <w:lang w:val="en-GB"/>
        </w:rPr>
        <w:t xml:space="preserve">resources </w:t>
      </w:r>
      <w:r w:rsidR="009755BC">
        <w:rPr>
          <w:sz w:val="20"/>
          <w:szCs w:val="20"/>
          <w:lang w:val="en-GB"/>
        </w:rPr>
        <w:t>(such as the Swedish International Development Cooperation Agency</w:t>
      </w:r>
      <w:r w:rsidR="362136FC" w:rsidRPr="00686BBC">
        <w:rPr>
          <w:sz w:val="20"/>
          <w:szCs w:val="20"/>
          <w:lang w:val="en-GB"/>
        </w:rPr>
        <w:t xml:space="preserve">, </w:t>
      </w:r>
      <w:r w:rsidR="009755BC">
        <w:rPr>
          <w:sz w:val="20"/>
          <w:szCs w:val="20"/>
          <w:lang w:val="en-GB"/>
        </w:rPr>
        <w:t>the European Commission</w:t>
      </w:r>
      <w:r w:rsidR="362136FC" w:rsidRPr="00686BBC">
        <w:rPr>
          <w:sz w:val="20"/>
          <w:szCs w:val="20"/>
          <w:lang w:val="en-GB"/>
        </w:rPr>
        <w:t xml:space="preserve">, </w:t>
      </w:r>
      <w:r w:rsidR="009755BC">
        <w:rPr>
          <w:sz w:val="20"/>
          <w:szCs w:val="20"/>
          <w:lang w:val="en-GB"/>
        </w:rPr>
        <w:t>the German Federal Ministry for the Environment)</w:t>
      </w:r>
      <w:r w:rsidR="008F23DB" w:rsidRPr="00686BBC">
        <w:rPr>
          <w:sz w:val="20"/>
          <w:szCs w:val="20"/>
          <w:lang w:val="en-GB"/>
        </w:rPr>
        <w:t>;</w:t>
      </w:r>
    </w:p>
    <w:p w14:paraId="79580F88" w14:textId="190F7B8A" w:rsidR="008F23DB" w:rsidRPr="00686BBC" w:rsidRDefault="5EF1653A" w:rsidP="004E27FF">
      <w:pPr>
        <w:pStyle w:val="NormalWeb"/>
        <w:numPr>
          <w:ilvl w:val="0"/>
          <w:numId w:val="16"/>
        </w:numPr>
        <w:tabs>
          <w:tab w:val="left" w:pos="1440"/>
        </w:tabs>
        <w:spacing w:before="0" w:beforeAutospacing="0" w:after="120" w:afterAutospacing="0"/>
        <w:ind w:left="1080" w:right="-169" w:firstLine="0"/>
        <w:jc w:val="both"/>
        <w:rPr>
          <w:sz w:val="20"/>
          <w:szCs w:val="20"/>
          <w:lang w:val="en-GB"/>
        </w:rPr>
      </w:pPr>
      <w:r w:rsidRPr="00686BBC">
        <w:rPr>
          <w:sz w:val="20"/>
          <w:szCs w:val="20"/>
          <w:lang w:val="en-GB"/>
        </w:rPr>
        <w:t xml:space="preserve">design and develop integrated, </w:t>
      </w:r>
      <w:r w:rsidR="768226A0" w:rsidRPr="00686BBC">
        <w:rPr>
          <w:sz w:val="20"/>
          <w:szCs w:val="20"/>
          <w:lang w:val="en-GB"/>
        </w:rPr>
        <w:t xml:space="preserve">high-impact, </w:t>
      </w:r>
      <w:r w:rsidRPr="00686BBC">
        <w:rPr>
          <w:sz w:val="20"/>
          <w:szCs w:val="20"/>
          <w:lang w:val="en-GB"/>
        </w:rPr>
        <w:t>at-scale adaptation projects</w:t>
      </w:r>
      <w:r w:rsidR="0E971A29" w:rsidRPr="00686BBC">
        <w:rPr>
          <w:sz w:val="20"/>
          <w:szCs w:val="20"/>
          <w:lang w:val="en-GB"/>
        </w:rPr>
        <w:t xml:space="preserve"> and programmes </w:t>
      </w:r>
      <w:r w:rsidR="00441FCA" w:rsidRPr="00686BBC">
        <w:rPr>
          <w:sz w:val="20"/>
          <w:szCs w:val="20"/>
          <w:lang w:val="en-GB"/>
        </w:rPr>
        <w:t xml:space="preserve">and </w:t>
      </w:r>
      <w:r w:rsidR="605F20D2" w:rsidRPr="00686BBC">
        <w:rPr>
          <w:sz w:val="20"/>
          <w:szCs w:val="20"/>
          <w:lang w:val="en-GB"/>
        </w:rPr>
        <w:t>l</w:t>
      </w:r>
      <w:r w:rsidR="40AE7D46" w:rsidRPr="00686BBC">
        <w:rPr>
          <w:sz w:val="20"/>
          <w:szCs w:val="20"/>
          <w:lang w:val="en-GB"/>
        </w:rPr>
        <w:t>everag</w:t>
      </w:r>
      <w:r w:rsidR="009755BC">
        <w:rPr>
          <w:sz w:val="20"/>
          <w:szCs w:val="20"/>
          <w:lang w:val="en-GB"/>
        </w:rPr>
        <w:t>e</w:t>
      </w:r>
      <w:r w:rsidR="40AE7D46" w:rsidRPr="00686BBC">
        <w:rPr>
          <w:sz w:val="20"/>
          <w:szCs w:val="20"/>
          <w:lang w:val="en-GB"/>
        </w:rPr>
        <w:t xml:space="preserve"> the strength of </w:t>
      </w:r>
      <w:r w:rsidR="009755BC">
        <w:rPr>
          <w:sz w:val="20"/>
          <w:szCs w:val="20"/>
          <w:lang w:val="en-GB"/>
        </w:rPr>
        <w:t xml:space="preserve">the </w:t>
      </w:r>
      <w:r w:rsidR="40AE7D46" w:rsidRPr="00686BBC">
        <w:rPr>
          <w:sz w:val="20"/>
          <w:szCs w:val="20"/>
          <w:lang w:val="en-GB"/>
        </w:rPr>
        <w:t xml:space="preserve">UNDP Global </w:t>
      </w:r>
      <w:r w:rsidR="00441FCA" w:rsidRPr="00686BBC">
        <w:rPr>
          <w:sz w:val="20"/>
          <w:szCs w:val="20"/>
          <w:lang w:val="en-GB"/>
        </w:rPr>
        <w:t>P</w:t>
      </w:r>
      <w:r w:rsidR="40AE7D46" w:rsidRPr="00686BBC">
        <w:rPr>
          <w:sz w:val="20"/>
          <w:szCs w:val="20"/>
          <w:lang w:val="en-GB"/>
        </w:rPr>
        <w:t>olicy Network</w:t>
      </w:r>
      <w:r w:rsidRPr="00686BBC">
        <w:rPr>
          <w:sz w:val="20"/>
          <w:szCs w:val="20"/>
          <w:lang w:val="en-GB"/>
        </w:rPr>
        <w:t xml:space="preserve"> t</w:t>
      </w:r>
      <w:r w:rsidR="00441FCA" w:rsidRPr="00686BBC">
        <w:rPr>
          <w:sz w:val="20"/>
          <w:szCs w:val="20"/>
          <w:lang w:val="en-GB"/>
        </w:rPr>
        <w:t xml:space="preserve">o </w:t>
      </w:r>
      <w:r w:rsidR="23FCE0D0" w:rsidRPr="00686BBC">
        <w:rPr>
          <w:sz w:val="20"/>
          <w:szCs w:val="20"/>
          <w:lang w:val="en-GB"/>
        </w:rPr>
        <w:t>promote transformative shifts across policy, capaciti</w:t>
      </w:r>
      <w:r w:rsidR="4A0FD0B5" w:rsidRPr="00686BBC">
        <w:rPr>
          <w:sz w:val="20"/>
          <w:szCs w:val="20"/>
          <w:lang w:val="en-GB"/>
        </w:rPr>
        <w:t xml:space="preserve">es and markets for long-term, sustained results; </w:t>
      </w:r>
    </w:p>
    <w:p w14:paraId="27B66397" w14:textId="5129A1A0" w:rsidR="008F23DB" w:rsidRPr="00686BBC" w:rsidRDefault="100F8733" w:rsidP="004E27FF">
      <w:pPr>
        <w:pStyle w:val="NormalWeb"/>
        <w:numPr>
          <w:ilvl w:val="0"/>
          <w:numId w:val="16"/>
        </w:numPr>
        <w:tabs>
          <w:tab w:val="left" w:pos="1440"/>
        </w:tabs>
        <w:spacing w:before="0" w:beforeAutospacing="0" w:after="120" w:afterAutospacing="0"/>
        <w:ind w:left="1080" w:right="-169" w:firstLine="0"/>
        <w:jc w:val="both"/>
        <w:rPr>
          <w:sz w:val="20"/>
          <w:szCs w:val="20"/>
          <w:lang w:val="en-GB"/>
        </w:rPr>
      </w:pPr>
      <w:r w:rsidRPr="00686BBC">
        <w:rPr>
          <w:sz w:val="20"/>
          <w:szCs w:val="20"/>
          <w:lang w:val="en-GB"/>
        </w:rPr>
        <w:t xml:space="preserve">deploy innovative financial and risk instruments to leverage private sector </w:t>
      </w:r>
      <w:r w:rsidR="00AE22CD" w:rsidRPr="00686BBC">
        <w:rPr>
          <w:sz w:val="20"/>
          <w:szCs w:val="20"/>
          <w:lang w:val="en-GB"/>
        </w:rPr>
        <w:t xml:space="preserve">investment </w:t>
      </w:r>
      <w:r w:rsidRPr="00686BBC">
        <w:rPr>
          <w:sz w:val="20"/>
          <w:szCs w:val="20"/>
          <w:lang w:val="en-GB"/>
        </w:rPr>
        <w:t xml:space="preserve">and ensure sustainability of </w:t>
      </w:r>
      <w:r w:rsidR="0FB0E24B" w:rsidRPr="00686BBC">
        <w:rPr>
          <w:sz w:val="20"/>
          <w:szCs w:val="20"/>
          <w:lang w:val="en-GB"/>
        </w:rPr>
        <w:t>interventions</w:t>
      </w:r>
      <w:r w:rsidR="78ECCC13" w:rsidRPr="00686BBC">
        <w:rPr>
          <w:sz w:val="20"/>
          <w:szCs w:val="20"/>
          <w:lang w:val="en-GB"/>
        </w:rPr>
        <w:t xml:space="preserve">; and </w:t>
      </w:r>
    </w:p>
    <w:p w14:paraId="0497DA6E" w14:textId="01054FB6" w:rsidR="00B82C1B" w:rsidRPr="00686BBC" w:rsidRDefault="78ECCC13" w:rsidP="004E27FF">
      <w:pPr>
        <w:pStyle w:val="NormalWeb"/>
        <w:numPr>
          <w:ilvl w:val="0"/>
          <w:numId w:val="16"/>
        </w:numPr>
        <w:tabs>
          <w:tab w:val="left" w:pos="1440"/>
        </w:tabs>
        <w:spacing w:before="0" w:beforeAutospacing="0" w:after="120" w:afterAutospacing="0"/>
        <w:ind w:left="1080" w:right="-169" w:firstLine="0"/>
        <w:jc w:val="both"/>
        <w:rPr>
          <w:sz w:val="20"/>
          <w:szCs w:val="20"/>
          <w:lang w:val="en-GB"/>
        </w:rPr>
      </w:pPr>
      <w:r w:rsidRPr="00686BBC">
        <w:rPr>
          <w:sz w:val="20"/>
          <w:szCs w:val="20"/>
          <w:lang w:val="en-GB"/>
        </w:rPr>
        <w:t xml:space="preserve">invest in systemic evidence-base for learning through strong monitoring and evaluation </w:t>
      </w:r>
      <w:r w:rsidR="22658AA0" w:rsidRPr="00686BBC">
        <w:rPr>
          <w:sz w:val="20"/>
          <w:szCs w:val="20"/>
          <w:lang w:val="en-GB"/>
        </w:rPr>
        <w:t>frameworks</w:t>
      </w:r>
      <w:r w:rsidRPr="00686BBC">
        <w:rPr>
          <w:sz w:val="20"/>
          <w:szCs w:val="20"/>
          <w:lang w:val="en-GB"/>
        </w:rPr>
        <w:t xml:space="preserve"> </w:t>
      </w:r>
      <w:r w:rsidR="5EA5D510" w:rsidRPr="00686BBC">
        <w:rPr>
          <w:sz w:val="20"/>
          <w:szCs w:val="20"/>
          <w:lang w:val="en-GB"/>
        </w:rPr>
        <w:t>at the project level</w:t>
      </w:r>
      <w:r w:rsidR="009755BC">
        <w:rPr>
          <w:sz w:val="20"/>
          <w:szCs w:val="20"/>
          <w:lang w:val="en-GB"/>
        </w:rPr>
        <w:t>,</w:t>
      </w:r>
      <w:r w:rsidR="5EA5D510" w:rsidRPr="00686BBC">
        <w:rPr>
          <w:sz w:val="20"/>
          <w:szCs w:val="20"/>
          <w:lang w:val="en-GB"/>
        </w:rPr>
        <w:t xml:space="preserve"> </w:t>
      </w:r>
      <w:r w:rsidRPr="00686BBC">
        <w:rPr>
          <w:sz w:val="20"/>
          <w:szCs w:val="20"/>
          <w:lang w:val="en-GB"/>
        </w:rPr>
        <w:t>including impact evaluations</w:t>
      </w:r>
      <w:r w:rsidR="1EEA781E" w:rsidRPr="00686BBC">
        <w:rPr>
          <w:sz w:val="20"/>
          <w:szCs w:val="20"/>
          <w:lang w:val="en-GB"/>
        </w:rPr>
        <w:t xml:space="preserve"> and mining and communication of results and lessons at the portfolio</w:t>
      </w:r>
      <w:r w:rsidR="009755BC">
        <w:rPr>
          <w:sz w:val="20"/>
          <w:szCs w:val="20"/>
          <w:lang w:val="en-GB"/>
        </w:rPr>
        <w:t xml:space="preserve"> </w:t>
      </w:r>
      <w:r w:rsidR="1EEA781E" w:rsidRPr="00686BBC">
        <w:rPr>
          <w:sz w:val="20"/>
          <w:szCs w:val="20"/>
          <w:lang w:val="en-GB"/>
        </w:rPr>
        <w:t>level.</w:t>
      </w:r>
    </w:p>
    <w:p w14:paraId="21240CA0" w14:textId="63983E27" w:rsidR="00415213" w:rsidRPr="00686BBC" w:rsidRDefault="00304F0F" w:rsidP="00D66C5F">
      <w:pPr>
        <w:pStyle w:val="NormalWeb"/>
        <w:numPr>
          <w:ilvl w:val="0"/>
          <w:numId w:val="18"/>
        </w:numPr>
        <w:tabs>
          <w:tab w:val="left" w:pos="1440"/>
        </w:tabs>
        <w:spacing w:before="0" w:beforeAutospacing="0" w:after="120" w:afterAutospacing="0"/>
        <w:ind w:left="1080" w:right="-173" w:firstLine="0"/>
        <w:jc w:val="both"/>
        <w:rPr>
          <w:sz w:val="20"/>
          <w:szCs w:val="20"/>
          <w:lang w:val="en-GB"/>
        </w:rPr>
      </w:pPr>
      <w:r w:rsidRPr="00686BBC">
        <w:rPr>
          <w:b/>
          <w:bCs/>
          <w:sz w:val="20"/>
          <w:szCs w:val="20"/>
          <w:lang w:val="en-GB"/>
        </w:rPr>
        <w:t xml:space="preserve">Significant results and impacts have been achieved </w:t>
      </w:r>
      <w:r w:rsidR="007046FB">
        <w:rPr>
          <w:b/>
          <w:bCs/>
          <w:sz w:val="20"/>
          <w:szCs w:val="20"/>
          <w:lang w:val="en-GB"/>
        </w:rPr>
        <w:t xml:space="preserve">between </w:t>
      </w:r>
      <w:r w:rsidR="00415213" w:rsidRPr="00686BBC">
        <w:rPr>
          <w:b/>
          <w:bCs/>
          <w:sz w:val="20"/>
          <w:szCs w:val="20"/>
          <w:lang w:val="en-GB"/>
        </w:rPr>
        <w:t xml:space="preserve">2008 </w:t>
      </w:r>
      <w:r w:rsidR="007046FB">
        <w:rPr>
          <w:b/>
          <w:bCs/>
          <w:sz w:val="20"/>
          <w:szCs w:val="20"/>
          <w:lang w:val="en-GB"/>
        </w:rPr>
        <w:t xml:space="preserve">and </w:t>
      </w:r>
      <w:r w:rsidR="001722DA" w:rsidRPr="00686BBC">
        <w:rPr>
          <w:b/>
          <w:bCs/>
          <w:sz w:val="20"/>
          <w:szCs w:val="20"/>
          <w:lang w:val="en-GB"/>
        </w:rPr>
        <w:t xml:space="preserve">November 2020 </w:t>
      </w:r>
      <w:r w:rsidRPr="00686BBC">
        <w:rPr>
          <w:b/>
          <w:bCs/>
          <w:sz w:val="20"/>
          <w:szCs w:val="20"/>
          <w:lang w:val="en-GB"/>
        </w:rPr>
        <w:t xml:space="preserve">through </w:t>
      </w:r>
      <w:r w:rsidR="007046FB">
        <w:rPr>
          <w:b/>
          <w:bCs/>
          <w:sz w:val="20"/>
          <w:szCs w:val="20"/>
          <w:lang w:val="en-GB"/>
        </w:rPr>
        <w:t xml:space="preserve">the </w:t>
      </w:r>
      <w:r w:rsidRPr="00686BBC">
        <w:rPr>
          <w:b/>
          <w:bCs/>
          <w:sz w:val="20"/>
          <w:szCs w:val="20"/>
          <w:lang w:val="en-GB"/>
        </w:rPr>
        <w:t>UNDP adaptation portfolio</w:t>
      </w:r>
      <w:r w:rsidRPr="00686BBC">
        <w:rPr>
          <w:sz w:val="20"/>
          <w:szCs w:val="20"/>
          <w:lang w:val="en-GB"/>
        </w:rPr>
        <w:t xml:space="preserve">. </w:t>
      </w:r>
      <w:r w:rsidR="00441FCA" w:rsidRPr="00686BBC">
        <w:rPr>
          <w:sz w:val="20"/>
          <w:szCs w:val="20"/>
          <w:lang w:val="en-GB"/>
        </w:rPr>
        <w:t>E</w:t>
      </w:r>
      <w:r w:rsidRPr="00686BBC">
        <w:rPr>
          <w:sz w:val="20"/>
          <w:szCs w:val="20"/>
          <w:lang w:val="en-GB"/>
        </w:rPr>
        <w:t xml:space="preserve">xamples </w:t>
      </w:r>
      <w:r w:rsidR="00983DE6" w:rsidRPr="00686BBC">
        <w:rPr>
          <w:sz w:val="20"/>
          <w:szCs w:val="20"/>
          <w:lang w:val="en-GB"/>
        </w:rPr>
        <w:t xml:space="preserve">of key results and impacts </w:t>
      </w:r>
      <w:r w:rsidRPr="00686BBC">
        <w:rPr>
          <w:sz w:val="20"/>
          <w:szCs w:val="20"/>
          <w:lang w:val="en-GB"/>
        </w:rPr>
        <w:t>include</w:t>
      </w:r>
      <w:r w:rsidR="007046FB">
        <w:rPr>
          <w:sz w:val="20"/>
          <w:szCs w:val="20"/>
          <w:lang w:val="en-GB"/>
        </w:rPr>
        <w:t>:</w:t>
      </w:r>
      <w:r w:rsidRPr="00686BBC">
        <w:rPr>
          <w:sz w:val="20"/>
          <w:szCs w:val="20"/>
          <w:lang w:val="en-GB"/>
        </w:rPr>
        <w:t xml:space="preserve"> </w:t>
      </w:r>
      <w:r w:rsidR="00415213" w:rsidRPr="00686BBC">
        <w:rPr>
          <w:sz w:val="20"/>
          <w:szCs w:val="20"/>
          <w:lang w:val="en-GB"/>
        </w:rPr>
        <w:t>6.3</w:t>
      </w:r>
      <w:r w:rsidR="007046FB">
        <w:rPr>
          <w:sz w:val="20"/>
          <w:szCs w:val="20"/>
          <w:lang w:val="en-GB"/>
        </w:rPr>
        <w:t> </w:t>
      </w:r>
      <w:r w:rsidR="00415213" w:rsidRPr="00686BBC">
        <w:rPr>
          <w:sz w:val="20"/>
          <w:szCs w:val="20"/>
          <w:lang w:val="en-GB"/>
        </w:rPr>
        <w:t xml:space="preserve">million smallholder farmers provided with more resilient agricultural practices; 2.3 million people </w:t>
      </w:r>
      <w:r w:rsidR="007046FB">
        <w:rPr>
          <w:sz w:val="20"/>
          <w:szCs w:val="20"/>
          <w:lang w:val="en-GB"/>
        </w:rPr>
        <w:t>gain</w:t>
      </w:r>
      <w:r w:rsidR="007371EF">
        <w:rPr>
          <w:sz w:val="20"/>
          <w:szCs w:val="20"/>
          <w:lang w:val="en-GB"/>
        </w:rPr>
        <w:t>ed</w:t>
      </w:r>
      <w:r w:rsidR="007046FB">
        <w:rPr>
          <w:sz w:val="20"/>
          <w:szCs w:val="20"/>
          <w:lang w:val="en-GB"/>
        </w:rPr>
        <w:t xml:space="preserve"> </w:t>
      </w:r>
      <w:r w:rsidR="00415213" w:rsidRPr="00686BBC">
        <w:rPr>
          <w:sz w:val="20"/>
          <w:szCs w:val="20"/>
          <w:lang w:val="en-GB"/>
        </w:rPr>
        <w:t xml:space="preserve">increased access to drinking water; $1 billion worth of infrastructure assets protected; 2 million </w:t>
      </w:r>
      <w:r w:rsidR="007371EF">
        <w:rPr>
          <w:sz w:val="20"/>
          <w:szCs w:val="20"/>
          <w:lang w:val="en-GB"/>
        </w:rPr>
        <w:t xml:space="preserve">hectares </w:t>
      </w:r>
      <w:r w:rsidR="00415213" w:rsidRPr="00686BBC">
        <w:rPr>
          <w:sz w:val="20"/>
          <w:szCs w:val="20"/>
          <w:lang w:val="en-GB"/>
        </w:rPr>
        <w:t xml:space="preserve">of land area protected; 45,800 </w:t>
      </w:r>
      <w:r w:rsidR="007371EF">
        <w:rPr>
          <w:sz w:val="20"/>
          <w:szCs w:val="20"/>
          <w:lang w:val="en-GB"/>
        </w:rPr>
        <w:t>hectares</w:t>
      </w:r>
      <w:r w:rsidR="007371EF" w:rsidRPr="00686BBC" w:rsidDel="007371EF">
        <w:rPr>
          <w:sz w:val="20"/>
          <w:szCs w:val="20"/>
          <w:lang w:val="en-GB"/>
        </w:rPr>
        <w:t xml:space="preserve"> </w:t>
      </w:r>
      <w:r w:rsidR="00415213" w:rsidRPr="00686BBC">
        <w:rPr>
          <w:sz w:val="20"/>
          <w:szCs w:val="20"/>
          <w:lang w:val="en-GB"/>
        </w:rPr>
        <w:t xml:space="preserve">of marine area protected; and 873,771 </w:t>
      </w:r>
      <w:r w:rsidR="007371EF">
        <w:rPr>
          <w:sz w:val="20"/>
          <w:szCs w:val="20"/>
          <w:lang w:val="en-GB"/>
        </w:rPr>
        <w:t>hectares</w:t>
      </w:r>
      <w:r w:rsidR="007371EF" w:rsidRPr="00686BBC" w:rsidDel="007371EF">
        <w:rPr>
          <w:sz w:val="20"/>
          <w:szCs w:val="20"/>
          <w:lang w:val="en-GB"/>
        </w:rPr>
        <w:t xml:space="preserve"> </w:t>
      </w:r>
      <w:r w:rsidR="00415213" w:rsidRPr="00686BBC">
        <w:rPr>
          <w:sz w:val="20"/>
          <w:szCs w:val="20"/>
          <w:lang w:val="en-GB"/>
        </w:rPr>
        <w:t xml:space="preserve">of agricultural land protected. </w:t>
      </w:r>
    </w:p>
    <w:p w14:paraId="746CB882" w14:textId="06FCD91A" w:rsidR="005949E0" w:rsidRPr="00686BBC" w:rsidRDefault="00022939" w:rsidP="00D66C5F">
      <w:pPr>
        <w:pStyle w:val="NormalWeb"/>
        <w:numPr>
          <w:ilvl w:val="0"/>
          <w:numId w:val="18"/>
        </w:numPr>
        <w:tabs>
          <w:tab w:val="left" w:pos="1440"/>
        </w:tabs>
        <w:spacing w:before="0" w:beforeAutospacing="0" w:after="120" w:afterAutospacing="0"/>
        <w:ind w:left="1080" w:right="-173" w:firstLine="0"/>
        <w:jc w:val="both"/>
        <w:rPr>
          <w:sz w:val="20"/>
          <w:szCs w:val="20"/>
          <w:lang w:val="en-GB"/>
        </w:rPr>
      </w:pPr>
      <w:r w:rsidRPr="00686BBC">
        <w:rPr>
          <w:b/>
          <w:bCs/>
          <w:sz w:val="20"/>
          <w:szCs w:val="20"/>
          <w:lang w:val="en-GB"/>
        </w:rPr>
        <w:t>UNDP is pleased to note the evaluation’s positive findings in relation to its extensive support and valued contribution to supporting vulnerable countries in building their resilience and adapting to climate change</w:t>
      </w:r>
      <w:r w:rsidRPr="00686BBC">
        <w:rPr>
          <w:sz w:val="20"/>
          <w:szCs w:val="20"/>
          <w:lang w:val="en-GB"/>
        </w:rPr>
        <w:t xml:space="preserve">. UNDP management notes key conclusions: (a) </w:t>
      </w:r>
      <w:r w:rsidR="005949E0" w:rsidRPr="00686BBC">
        <w:rPr>
          <w:sz w:val="20"/>
          <w:szCs w:val="20"/>
          <w:lang w:val="en-GB"/>
        </w:rPr>
        <w:t xml:space="preserve">effectiveness of using UNDP country presence to capture a significant share of increasing adaptation commitments </w:t>
      </w:r>
      <w:r w:rsidR="00770F7D" w:rsidRPr="00686BBC">
        <w:rPr>
          <w:sz w:val="20"/>
          <w:szCs w:val="20"/>
          <w:lang w:val="en-GB"/>
        </w:rPr>
        <w:t>chan</w:t>
      </w:r>
      <w:r w:rsidR="007371EF">
        <w:rPr>
          <w:sz w:val="20"/>
          <w:szCs w:val="20"/>
          <w:lang w:val="en-GB"/>
        </w:rPr>
        <w:t>n</w:t>
      </w:r>
      <w:r w:rsidR="00770F7D" w:rsidRPr="00686BBC">
        <w:rPr>
          <w:sz w:val="20"/>
          <w:szCs w:val="20"/>
          <w:lang w:val="en-GB"/>
        </w:rPr>
        <w:t>e</w:t>
      </w:r>
      <w:r w:rsidR="007371EF">
        <w:rPr>
          <w:sz w:val="20"/>
          <w:szCs w:val="20"/>
          <w:lang w:val="en-GB"/>
        </w:rPr>
        <w:t>l</w:t>
      </w:r>
      <w:r w:rsidR="00770F7D" w:rsidRPr="00686BBC">
        <w:rPr>
          <w:sz w:val="20"/>
          <w:szCs w:val="20"/>
          <w:lang w:val="en-GB"/>
        </w:rPr>
        <w:t>led</w:t>
      </w:r>
      <w:r w:rsidR="005949E0" w:rsidRPr="00686BBC">
        <w:rPr>
          <w:sz w:val="20"/>
          <w:szCs w:val="20"/>
          <w:lang w:val="en-GB"/>
        </w:rPr>
        <w:t xml:space="preserve"> through vertical funds</w:t>
      </w:r>
      <w:r w:rsidR="32E70485" w:rsidRPr="00686BBC">
        <w:rPr>
          <w:sz w:val="20"/>
          <w:szCs w:val="20"/>
          <w:lang w:val="en-GB"/>
        </w:rPr>
        <w:t>;</w:t>
      </w:r>
      <w:r w:rsidR="005949E0" w:rsidRPr="00686BBC">
        <w:rPr>
          <w:sz w:val="20"/>
          <w:szCs w:val="20"/>
          <w:lang w:val="en-GB"/>
        </w:rPr>
        <w:t xml:space="preserve"> </w:t>
      </w:r>
      <w:r w:rsidR="007371EF">
        <w:rPr>
          <w:sz w:val="20"/>
          <w:szCs w:val="20"/>
          <w:lang w:val="en-GB"/>
        </w:rPr>
        <w:t xml:space="preserve">(b) </w:t>
      </w:r>
      <w:r w:rsidR="005949E0" w:rsidRPr="00686BBC">
        <w:rPr>
          <w:sz w:val="20"/>
          <w:szCs w:val="20"/>
          <w:lang w:val="en-GB"/>
        </w:rPr>
        <w:t xml:space="preserve">development of a comprehensive UNDP climate change adaptation service offer that </w:t>
      </w:r>
      <w:r w:rsidR="00637058" w:rsidRPr="00686BBC">
        <w:rPr>
          <w:sz w:val="20"/>
          <w:szCs w:val="20"/>
          <w:lang w:val="en-GB"/>
        </w:rPr>
        <w:t>constit</w:t>
      </w:r>
      <w:r w:rsidR="00C019F6" w:rsidRPr="00686BBC">
        <w:rPr>
          <w:sz w:val="20"/>
          <w:szCs w:val="20"/>
          <w:lang w:val="en-GB"/>
        </w:rPr>
        <w:t>ut</w:t>
      </w:r>
      <w:r w:rsidR="00637058" w:rsidRPr="00686BBC">
        <w:rPr>
          <w:sz w:val="20"/>
          <w:szCs w:val="20"/>
          <w:lang w:val="en-GB"/>
        </w:rPr>
        <w:t xml:space="preserve">es </w:t>
      </w:r>
      <w:r w:rsidR="005949E0" w:rsidRPr="00686BBC">
        <w:rPr>
          <w:sz w:val="20"/>
          <w:szCs w:val="20"/>
          <w:lang w:val="en-GB"/>
        </w:rPr>
        <w:t>a solid platform for providing extensive support across geographic regions and sectors for an accelerated</w:t>
      </w:r>
      <w:r w:rsidR="0042552A">
        <w:rPr>
          <w:sz w:val="20"/>
          <w:szCs w:val="20"/>
          <w:lang w:val="en-GB"/>
        </w:rPr>
        <w:t xml:space="preserve">, </w:t>
      </w:r>
      <w:r w:rsidR="005949E0" w:rsidRPr="00686BBC">
        <w:rPr>
          <w:sz w:val="20"/>
          <w:szCs w:val="20"/>
          <w:lang w:val="en-GB"/>
        </w:rPr>
        <w:t>scaled</w:t>
      </w:r>
      <w:r w:rsidR="0042552A">
        <w:rPr>
          <w:sz w:val="20"/>
          <w:szCs w:val="20"/>
          <w:lang w:val="en-GB"/>
        </w:rPr>
        <w:t>-</w:t>
      </w:r>
      <w:r w:rsidR="005949E0" w:rsidRPr="00686BBC">
        <w:rPr>
          <w:sz w:val="20"/>
          <w:szCs w:val="20"/>
          <w:lang w:val="en-GB"/>
        </w:rPr>
        <w:t xml:space="preserve">up response to climate risk; </w:t>
      </w:r>
      <w:r w:rsidR="007371EF">
        <w:rPr>
          <w:sz w:val="20"/>
          <w:szCs w:val="20"/>
          <w:lang w:val="en-GB"/>
        </w:rPr>
        <w:t>(c)</w:t>
      </w:r>
      <w:r w:rsidR="0042552A">
        <w:rPr>
          <w:sz w:val="20"/>
          <w:szCs w:val="20"/>
          <w:lang w:val="en-GB"/>
        </w:rPr>
        <w:t> </w:t>
      </w:r>
      <w:r w:rsidR="0C5D06ED" w:rsidRPr="00686BBC">
        <w:rPr>
          <w:sz w:val="20"/>
          <w:szCs w:val="20"/>
          <w:lang w:val="en-GB"/>
        </w:rPr>
        <w:t xml:space="preserve">utilization of </w:t>
      </w:r>
      <w:r w:rsidR="007371EF">
        <w:rPr>
          <w:sz w:val="20"/>
          <w:szCs w:val="20"/>
          <w:lang w:val="en-GB"/>
        </w:rPr>
        <w:t xml:space="preserve">UNDP </w:t>
      </w:r>
      <w:r w:rsidR="0C5D06ED" w:rsidRPr="00686BBC">
        <w:rPr>
          <w:sz w:val="20"/>
          <w:szCs w:val="20"/>
          <w:lang w:val="en-GB"/>
        </w:rPr>
        <w:t>global presence to advance normative work and climate action, in cooperation with U</w:t>
      </w:r>
      <w:r w:rsidR="007371EF">
        <w:rPr>
          <w:sz w:val="20"/>
          <w:szCs w:val="20"/>
          <w:lang w:val="en-GB"/>
        </w:rPr>
        <w:t xml:space="preserve">nited </w:t>
      </w:r>
      <w:r w:rsidR="0C5D06ED" w:rsidRPr="00686BBC">
        <w:rPr>
          <w:sz w:val="20"/>
          <w:szCs w:val="20"/>
          <w:lang w:val="en-GB"/>
        </w:rPr>
        <w:t>N</w:t>
      </w:r>
      <w:r w:rsidR="007371EF">
        <w:rPr>
          <w:sz w:val="20"/>
          <w:szCs w:val="20"/>
          <w:lang w:val="en-GB"/>
        </w:rPr>
        <w:t>ations</w:t>
      </w:r>
      <w:r w:rsidR="0C5D06ED" w:rsidRPr="00686BBC">
        <w:rPr>
          <w:sz w:val="20"/>
          <w:szCs w:val="20"/>
          <w:lang w:val="en-GB"/>
        </w:rPr>
        <w:t xml:space="preserve"> actors; </w:t>
      </w:r>
      <w:r w:rsidR="005949E0" w:rsidRPr="00686BBC">
        <w:rPr>
          <w:sz w:val="20"/>
          <w:szCs w:val="20"/>
          <w:lang w:val="en-GB"/>
        </w:rPr>
        <w:t>(</w:t>
      </w:r>
      <w:r w:rsidR="007371EF">
        <w:rPr>
          <w:sz w:val="20"/>
          <w:szCs w:val="20"/>
          <w:lang w:val="en-GB"/>
        </w:rPr>
        <w:t>d</w:t>
      </w:r>
      <w:r w:rsidR="005949E0" w:rsidRPr="00686BBC">
        <w:rPr>
          <w:sz w:val="20"/>
          <w:szCs w:val="20"/>
          <w:lang w:val="en-GB"/>
        </w:rPr>
        <w:t xml:space="preserve">) establishment of a </w:t>
      </w:r>
      <w:r w:rsidRPr="00686BBC">
        <w:rPr>
          <w:sz w:val="20"/>
          <w:szCs w:val="20"/>
          <w:lang w:val="en-GB"/>
        </w:rPr>
        <w:t>considerable body of work and associated expertise in sectors critical for adaptation</w:t>
      </w:r>
      <w:r w:rsidR="00637058" w:rsidRPr="00686BBC">
        <w:rPr>
          <w:sz w:val="20"/>
          <w:szCs w:val="20"/>
          <w:lang w:val="en-GB"/>
        </w:rPr>
        <w:t>,</w:t>
      </w:r>
      <w:r w:rsidRPr="00686BBC">
        <w:rPr>
          <w:sz w:val="20"/>
          <w:szCs w:val="20"/>
          <w:lang w:val="en-GB"/>
        </w:rPr>
        <w:t xml:space="preserve"> including policy mainstreaming, disaster risk reduction, agriculture and food security, environmental protection and ecosystem-based adaptation</w:t>
      </w:r>
      <w:r w:rsidR="0042552A">
        <w:rPr>
          <w:sz w:val="20"/>
          <w:szCs w:val="20"/>
          <w:lang w:val="en-GB"/>
        </w:rPr>
        <w:t>,</w:t>
      </w:r>
      <w:r w:rsidRPr="00686BBC">
        <w:rPr>
          <w:sz w:val="20"/>
          <w:szCs w:val="20"/>
          <w:lang w:val="en-GB"/>
        </w:rPr>
        <w:t xml:space="preserve"> and water and coastal resilience</w:t>
      </w:r>
      <w:r w:rsidR="005949E0" w:rsidRPr="00686BBC">
        <w:rPr>
          <w:sz w:val="20"/>
          <w:szCs w:val="20"/>
          <w:lang w:val="en-GB"/>
        </w:rPr>
        <w:t>; (</w:t>
      </w:r>
      <w:r w:rsidR="007371EF">
        <w:rPr>
          <w:sz w:val="20"/>
          <w:szCs w:val="20"/>
          <w:lang w:val="en-GB"/>
        </w:rPr>
        <w:t>e</w:t>
      </w:r>
      <w:r w:rsidR="005949E0" w:rsidRPr="00686BBC">
        <w:rPr>
          <w:sz w:val="20"/>
          <w:szCs w:val="20"/>
          <w:lang w:val="en-GB"/>
        </w:rPr>
        <w:t xml:space="preserve">) progress </w:t>
      </w:r>
      <w:r w:rsidRPr="00686BBC">
        <w:rPr>
          <w:sz w:val="20"/>
          <w:szCs w:val="20"/>
          <w:lang w:val="en-GB"/>
        </w:rPr>
        <w:t xml:space="preserve">in integrating vertical funds within </w:t>
      </w:r>
      <w:r w:rsidR="007371EF">
        <w:rPr>
          <w:sz w:val="20"/>
          <w:szCs w:val="20"/>
          <w:lang w:val="en-GB"/>
        </w:rPr>
        <w:t xml:space="preserve">the </w:t>
      </w:r>
      <w:r w:rsidRPr="00686BBC">
        <w:rPr>
          <w:sz w:val="20"/>
          <w:szCs w:val="20"/>
          <w:lang w:val="en-GB"/>
        </w:rPr>
        <w:t>UNDP business model</w:t>
      </w:r>
      <w:r w:rsidR="7D8982A7" w:rsidRPr="00686BBC">
        <w:rPr>
          <w:sz w:val="20"/>
          <w:szCs w:val="20"/>
          <w:lang w:val="en-GB"/>
        </w:rPr>
        <w:t>; (</w:t>
      </w:r>
      <w:r w:rsidR="007371EF">
        <w:rPr>
          <w:sz w:val="20"/>
          <w:szCs w:val="20"/>
          <w:lang w:val="en-GB"/>
        </w:rPr>
        <w:t>f</w:t>
      </w:r>
      <w:r w:rsidR="7D8982A7" w:rsidRPr="00686BBC">
        <w:rPr>
          <w:sz w:val="20"/>
          <w:szCs w:val="20"/>
          <w:lang w:val="en-GB"/>
        </w:rPr>
        <w:t xml:space="preserve">) increased </w:t>
      </w:r>
      <w:r w:rsidR="00637058" w:rsidRPr="00686BBC">
        <w:rPr>
          <w:sz w:val="20"/>
          <w:szCs w:val="20"/>
          <w:lang w:val="en-GB"/>
        </w:rPr>
        <w:t>rigor</w:t>
      </w:r>
      <w:r w:rsidR="7D8982A7" w:rsidRPr="00686BBC">
        <w:rPr>
          <w:sz w:val="20"/>
          <w:szCs w:val="20"/>
          <w:lang w:val="en-GB"/>
        </w:rPr>
        <w:t xml:space="preserve"> in incorporating climate science in the design of adaptation projects resourced by vertical funds</w:t>
      </w:r>
      <w:r w:rsidR="2DAC395A" w:rsidRPr="00686BBC">
        <w:rPr>
          <w:sz w:val="20"/>
          <w:szCs w:val="20"/>
          <w:lang w:val="en-GB"/>
        </w:rPr>
        <w:t>; and (</w:t>
      </w:r>
      <w:r w:rsidR="007371EF">
        <w:rPr>
          <w:sz w:val="20"/>
          <w:szCs w:val="20"/>
          <w:lang w:val="en-GB"/>
        </w:rPr>
        <w:t>g</w:t>
      </w:r>
      <w:r w:rsidR="2DAC395A" w:rsidRPr="00686BBC">
        <w:rPr>
          <w:sz w:val="20"/>
          <w:szCs w:val="20"/>
          <w:lang w:val="en-GB"/>
        </w:rPr>
        <w:t>) extensive and valued climate adaptation support to SIDS</w:t>
      </w:r>
      <w:r w:rsidR="005949E0" w:rsidRPr="00686BBC">
        <w:rPr>
          <w:sz w:val="20"/>
          <w:szCs w:val="20"/>
          <w:lang w:val="en-GB"/>
        </w:rPr>
        <w:t>.</w:t>
      </w:r>
    </w:p>
    <w:p w14:paraId="5AD86B8E" w14:textId="41C256AD" w:rsidR="005949E0" w:rsidRPr="00686BBC" w:rsidRDefault="005949E0" w:rsidP="00D66C5F">
      <w:pPr>
        <w:pStyle w:val="NormalWeb"/>
        <w:numPr>
          <w:ilvl w:val="0"/>
          <w:numId w:val="18"/>
        </w:numPr>
        <w:tabs>
          <w:tab w:val="left" w:pos="1440"/>
        </w:tabs>
        <w:spacing w:before="0" w:beforeAutospacing="0" w:after="120" w:afterAutospacing="0"/>
        <w:ind w:left="1080" w:right="-169" w:firstLine="0"/>
        <w:jc w:val="both"/>
        <w:rPr>
          <w:sz w:val="20"/>
          <w:szCs w:val="20"/>
          <w:lang w:val="en-GB"/>
        </w:rPr>
      </w:pPr>
      <w:r w:rsidRPr="00686BBC">
        <w:rPr>
          <w:sz w:val="20"/>
          <w:szCs w:val="20"/>
          <w:lang w:val="en-GB"/>
        </w:rPr>
        <w:t>In relation to the recommendations provided by the evaluation:</w:t>
      </w:r>
    </w:p>
    <w:p w14:paraId="68B79748" w14:textId="4DF4BE7E" w:rsidR="5F0720A7" w:rsidRPr="00686BBC" w:rsidRDefault="005949E0" w:rsidP="004E27FF">
      <w:pPr>
        <w:pStyle w:val="NormalWeb"/>
        <w:numPr>
          <w:ilvl w:val="0"/>
          <w:numId w:val="9"/>
        </w:numPr>
        <w:tabs>
          <w:tab w:val="left" w:pos="1440"/>
          <w:tab w:val="left" w:pos="7470"/>
        </w:tabs>
        <w:spacing w:before="0" w:beforeAutospacing="0" w:after="120" w:afterAutospacing="0"/>
        <w:ind w:left="1080" w:right="-173" w:firstLine="0"/>
        <w:jc w:val="both"/>
        <w:rPr>
          <w:sz w:val="20"/>
          <w:szCs w:val="20"/>
          <w:lang w:val="en-GB"/>
        </w:rPr>
      </w:pPr>
      <w:r w:rsidRPr="00686BBC">
        <w:rPr>
          <w:b/>
          <w:bCs/>
          <w:sz w:val="20"/>
          <w:szCs w:val="20"/>
          <w:lang w:val="en-GB"/>
        </w:rPr>
        <w:t xml:space="preserve">UNDP </w:t>
      </w:r>
      <w:r w:rsidR="005363D7" w:rsidRPr="00686BBC">
        <w:rPr>
          <w:b/>
          <w:bCs/>
          <w:sz w:val="20"/>
          <w:szCs w:val="20"/>
          <w:lang w:val="en-GB"/>
        </w:rPr>
        <w:t>acknowledges</w:t>
      </w:r>
      <w:r w:rsidR="00796AE1" w:rsidRPr="00686BBC">
        <w:rPr>
          <w:b/>
          <w:bCs/>
          <w:sz w:val="20"/>
          <w:szCs w:val="20"/>
          <w:lang w:val="en-GB"/>
        </w:rPr>
        <w:t xml:space="preserve"> recommendation 1</w:t>
      </w:r>
      <w:r w:rsidR="00CC34BF">
        <w:rPr>
          <w:b/>
          <w:bCs/>
          <w:sz w:val="20"/>
          <w:szCs w:val="20"/>
          <w:lang w:val="en-GB"/>
        </w:rPr>
        <w:t>,</w:t>
      </w:r>
      <w:r w:rsidR="00CE02E7" w:rsidRPr="00686BBC">
        <w:rPr>
          <w:b/>
          <w:bCs/>
          <w:sz w:val="20"/>
          <w:szCs w:val="20"/>
          <w:lang w:val="en-GB"/>
        </w:rPr>
        <w:t xml:space="preserve"> which indicates that </w:t>
      </w:r>
      <w:r w:rsidR="0068460E" w:rsidRPr="00686BBC">
        <w:rPr>
          <w:b/>
          <w:bCs/>
          <w:sz w:val="20"/>
          <w:szCs w:val="20"/>
          <w:lang w:val="en-GB"/>
        </w:rPr>
        <w:t xml:space="preserve">UNDP needs to accelerate its attention to mainstreaming consideration of climate risks across its entire development portfolio. </w:t>
      </w:r>
      <w:r w:rsidR="0068460E" w:rsidRPr="00686BBC">
        <w:rPr>
          <w:sz w:val="20"/>
          <w:szCs w:val="20"/>
          <w:lang w:val="en-GB"/>
        </w:rPr>
        <w:t xml:space="preserve">Within the adaptation offer, </w:t>
      </w:r>
      <w:r w:rsidR="1B80DA72" w:rsidRPr="00686BBC">
        <w:rPr>
          <w:sz w:val="20"/>
          <w:szCs w:val="20"/>
          <w:lang w:val="en-GB"/>
        </w:rPr>
        <w:t>UNDP</w:t>
      </w:r>
      <w:r w:rsidR="0068460E" w:rsidRPr="00686BBC">
        <w:rPr>
          <w:sz w:val="20"/>
          <w:szCs w:val="20"/>
          <w:lang w:val="en-GB"/>
        </w:rPr>
        <w:t xml:space="preserve"> </w:t>
      </w:r>
      <w:r w:rsidR="008B2177" w:rsidRPr="00686BBC">
        <w:rPr>
          <w:sz w:val="20"/>
          <w:szCs w:val="20"/>
          <w:lang w:val="en-GB"/>
        </w:rPr>
        <w:t xml:space="preserve">notes it </w:t>
      </w:r>
      <w:r w:rsidR="0068460E" w:rsidRPr="00686BBC">
        <w:rPr>
          <w:sz w:val="20"/>
          <w:szCs w:val="20"/>
          <w:lang w:val="en-GB"/>
        </w:rPr>
        <w:t xml:space="preserve">has applied rigorous analysis of climate risks and </w:t>
      </w:r>
      <w:r w:rsidR="00CC34BF">
        <w:rPr>
          <w:sz w:val="20"/>
          <w:szCs w:val="20"/>
          <w:lang w:val="en-GB"/>
        </w:rPr>
        <w:t xml:space="preserve">its </w:t>
      </w:r>
      <w:r w:rsidR="0068460E" w:rsidRPr="00686BBC">
        <w:rPr>
          <w:sz w:val="20"/>
          <w:szCs w:val="20"/>
          <w:lang w:val="en-GB"/>
        </w:rPr>
        <w:t>interventions are designed based on extensive project-specific feasibility studies backed by robust scientific and field data, climate mode</w:t>
      </w:r>
      <w:r w:rsidR="00CC34BF">
        <w:rPr>
          <w:sz w:val="20"/>
          <w:szCs w:val="20"/>
          <w:lang w:val="en-GB"/>
        </w:rPr>
        <w:t>l</w:t>
      </w:r>
      <w:r w:rsidR="0068460E" w:rsidRPr="00686BBC">
        <w:rPr>
          <w:sz w:val="20"/>
          <w:szCs w:val="20"/>
          <w:lang w:val="en-GB"/>
        </w:rPr>
        <w:t>ling, technical analysis</w:t>
      </w:r>
      <w:r w:rsidR="00CC34BF">
        <w:rPr>
          <w:sz w:val="20"/>
          <w:szCs w:val="20"/>
          <w:lang w:val="en-GB"/>
        </w:rPr>
        <w:t>,</w:t>
      </w:r>
      <w:r w:rsidR="0068460E" w:rsidRPr="00686BBC">
        <w:rPr>
          <w:sz w:val="20"/>
          <w:szCs w:val="20"/>
          <w:lang w:val="en-GB"/>
        </w:rPr>
        <w:t xml:space="preserve"> and detailed climate risk and vulnerability assessments. </w:t>
      </w:r>
      <w:r w:rsidR="00EF3D44" w:rsidRPr="00686BBC">
        <w:rPr>
          <w:sz w:val="20"/>
          <w:szCs w:val="20"/>
          <w:lang w:val="en-GB"/>
        </w:rPr>
        <w:t xml:space="preserve">UNDP notes </w:t>
      </w:r>
      <w:r w:rsidR="0068460E" w:rsidRPr="00686BBC">
        <w:rPr>
          <w:sz w:val="20"/>
          <w:szCs w:val="20"/>
          <w:lang w:val="en-GB"/>
        </w:rPr>
        <w:t>that availability of climate data and model</w:t>
      </w:r>
      <w:r w:rsidR="00CC34BF">
        <w:rPr>
          <w:sz w:val="20"/>
          <w:szCs w:val="20"/>
          <w:lang w:val="en-GB"/>
        </w:rPr>
        <w:t>l</w:t>
      </w:r>
      <w:r w:rsidR="0068460E" w:rsidRPr="00686BBC">
        <w:rPr>
          <w:sz w:val="20"/>
          <w:szCs w:val="20"/>
          <w:lang w:val="en-GB"/>
        </w:rPr>
        <w:t>ing is still nascent in many countries</w:t>
      </w:r>
      <w:r w:rsidR="00CC34BF">
        <w:rPr>
          <w:sz w:val="20"/>
          <w:szCs w:val="20"/>
          <w:lang w:val="en-GB"/>
        </w:rPr>
        <w:t>,</w:t>
      </w:r>
      <w:r w:rsidR="0068460E" w:rsidRPr="00686BBC">
        <w:rPr>
          <w:sz w:val="20"/>
          <w:szCs w:val="20"/>
          <w:lang w:val="en-GB"/>
        </w:rPr>
        <w:t xml:space="preserve"> and UNDP strives to support countries with at least ‘no-regret’ options and at best ‘risk-informed’ designs</w:t>
      </w:r>
      <w:r w:rsidR="00CC34BF">
        <w:rPr>
          <w:sz w:val="20"/>
          <w:szCs w:val="20"/>
          <w:lang w:val="en-GB"/>
        </w:rPr>
        <w:t>,</w:t>
      </w:r>
      <w:r w:rsidR="0068460E" w:rsidRPr="00686BBC">
        <w:rPr>
          <w:sz w:val="20"/>
          <w:szCs w:val="20"/>
          <w:lang w:val="en-GB"/>
        </w:rPr>
        <w:t xml:space="preserve"> along with capacity for adaptive management</w:t>
      </w:r>
      <w:r w:rsidR="00CC34BF">
        <w:rPr>
          <w:sz w:val="20"/>
          <w:szCs w:val="20"/>
          <w:lang w:val="en-GB"/>
        </w:rPr>
        <w:t>,</w:t>
      </w:r>
      <w:r w:rsidR="0068460E" w:rsidRPr="00686BBC">
        <w:rPr>
          <w:sz w:val="20"/>
          <w:szCs w:val="20"/>
          <w:lang w:val="en-GB"/>
        </w:rPr>
        <w:t xml:space="preserve"> as climate risks evolve. </w:t>
      </w:r>
      <w:r w:rsidR="00171C1A" w:rsidRPr="00686BBC">
        <w:rPr>
          <w:sz w:val="20"/>
          <w:szCs w:val="20"/>
          <w:lang w:val="en-GB"/>
        </w:rPr>
        <w:t xml:space="preserve">For application across the entire development portfolio, UNDP is pleased to advise that climate assessment and climate-risk screening are essential parts of </w:t>
      </w:r>
      <w:r w:rsidR="00CC34BF">
        <w:rPr>
          <w:sz w:val="20"/>
          <w:szCs w:val="20"/>
          <w:lang w:val="en-GB"/>
        </w:rPr>
        <w:t xml:space="preserve">its </w:t>
      </w:r>
      <w:r w:rsidR="00171C1A" w:rsidRPr="00686BBC">
        <w:rPr>
          <w:sz w:val="20"/>
          <w:szCs w:val="20"/>
          <w:lang w:val="en-GB"/>
        </w:rPr>
        <w:t xml:space="preserve">updated </w:t>
      </w:r>
      <w:r w:rsidR="00CC34BF">
        <w:rPr>
          <w:sz w:val="20"/>
          <w:szCs w:val="20"/>
          <w:lang w:val="en-GB"/>
        </w:rPr>
        <w:t>s</w:t>
      </w:r>
      <w:r w:rsidR="00171C1A" w:rsidRPr="00686BBC">
        <w:rPr>
          <w:sz w:val="20"/>
          <w:szCs w:val="20"/>
          <w:lang w:val="en-GB"/>
        </w:rPr>
        <w:t xml:space="preserve">ocial and </w:t>
      </w:r>
      <w:r w:rsidR="00CC34BF">
        <w:rPr>
          <w:sz w:val="20"/>
          <w:szCs w:val="20"/>
          <w:lang w:val="en-GB"/>
        </w:rPr>
        <w:t>e</w:t>
      </w:r>
      <w:r w:rsidR="00171C1A" w:rsidRPr="00686BBC">
        <w:rPr>
          <w:sz w:val="20"/>
          <w:szCs w:val="20"/>
          <w:lang w:val="en-GB"/>
        </w:rPr>
        <w:t xml:space="preserve">nvironmental </w:t>
      </w:r>
      <w:r w:rsidR="00CC34BF">
        <w:rPr>
          <w:sz w:val="20"/>
          <w:szCs w:val="20"/>
          <w:lang w:val="en-GB"/>
        </w:rPr>
        <w:t>s</w:t>
      </w:r>
      <w:r w:rsidR="00171C1A" w:rsidRPr="00686BBC">
        <w:rPr>
          <w:sz w:val="20"/>
          <w:szCs w:val="20"/>
          <w:lang w:val="en-GB"/>
        </w:rPr>
        <w:t xml:space="preserve">tandards (SES) and </w:t>
      </w:r>
      <w:r w:rsidR="00CC34BF">
        <w:rPr>
          <w:sz w:val="20"/>
          <w:szCs w:val="20"/>
          <w:lang w:val="en-GB"/>
        </w:rPr>
        <w:t>s</w:t>
      </w:r>
      <w:r w:rsidR="00171C1A" w:rsidRPr="00686BBC">
        <w:rPr>
          <w:sz w:val="20"/>
          <w:szCs w:val="20"/>
          <w:lang w:val="en-GB"/>
        </w:rPr>
        <w:t xml:space="preserve">creening </w:t>
      </w:r>
      <w:r w:rsidR="00CC34BF">
        <w:rPr>
          <w:sz w:val="20"/>
          <w:szCs w:val="20"/>
          <w:lang w:val="en-GB"/>
        </w:rPr>
        <w:t>p</w:t>
      </w:r>
      <w:r w:rsidR="00171C1A" w:rsidRPr="00686BBC">
        <w:rPr>
          <w:sz w:val="20"/>
          <w:szCs w:val="20"/>
          <w:lang w:val="en-GB"/>
        </w:rPr>
        <w:t xml:space="preserve">rocedure (SESP), effective </w:t>
      </w:r>
      <w:r w:rsidR="00CC34BF">
        <w:rPr>
          <w:sz w:val="20"/>
          <w:szCs w:val="20"/>
          <w:lang w:val="en-GB"/>
        </w:rPr>
        <w:t xml:space="preserve">1 </w:t>
      </w:r>
      <w:r w:rsidR="00171C1A" w:rsidRPr="00686BBC">
        <w:rPr>
          <w:sz w:val="20"/>
          <w:szCs w:val="20"/>
          <w:lang w:val="en-GB"/>
        </w:rPr>
        <w:t xml:space="preserve">January 2021. </w:t>
      </w:r>
    </w:p>
    <w:p w14:paraId="328286D4" w14:textId="270F5838" w:rsidR="00F670F2" w:rsidRPr="00CC34BF" w:rsidRDefault="00F670F2" w:rsidP="004E27FF">
      <w:pPr>
        <w:pStyle w:val="NormalWeb"/>
        <w:numPr>
          <w:ilvl w:val="0"/>
          <w:numId w:val="9"/>
        </w:numPr>
        <w:tabs>
          <w:tab w:val="left" w:pos="1440"/>
        </w:tabs>
        <w:spacing w:before="0" w:beforeAutospacing="0" w:after="120" w:afterAutospacing="0"/>
        <w:ind w:left="1080" w:right="-144" w:firstLine="0"/>
        <w:jc w:val="both"/>
        <w:rPr>
          <w:sz w:val="20"/>
          <w:szCs w:val="20"/>
          <w:lang w:val="en-GB"/>
        </w:rPr>
      </w:pPr>
      <w:r w:rsidRPr="007915FC">
        <w:rPr>
          <w:b/>
          <w:bCs/>
          <w:sz w:val="20"/>
          <w:szCs w:val="20"/>
          <w:lang w:val="en-GB"/>
        </w:rPr>
        <w:lastRenderedPageBreak/>
        <w:t xml:space="preserve">UNDP takes note of recommendation 2, which identifies </w:t>
      </w:r>
      <w:r w:rsidR="007915FC" w:rsidRPr="007915FC">
        <w:rPr>
          <w:b/>
          <w:bCs/>
          <w:sz w:val="20"/>
          <w:szCs w:val="20"/>
          <w:lang w:val="en-GB"/>
        </w:rPr>
        <w:t xml:space="preserve">that UNDP should </w:t>
      </w:r>
      <w:r w:rsidRPr="007915FC">
        <w:rPr>
          <w:b/>
          <w:bCs/>
          <w:sz w:val="20"/>
          <w:szCs w:val="20"/>
          <w:lang w:val="en-GB"/>
        </w:rPr>
        <w:t xml:space="preserve">establish a system for tracking all investments that have significant climate change objectives, ensuring these are provided with appropriate technical support, oversight and visibility as part of </w:t>
      </w:r>
      <w:r w:rsidR="00CC34BF" w:rsidRPr="007915FC">
        <w:rPr>
          <w:b/>
          <w:bCs/>
          <w:sz w:val="20"/>
          <w:szCs w:val="20"/>
          <w:lang w:val="en-GB"/>
        </w:rPr>
        <w:t xml:space="preserve">the </w:t>
      </w:r>
      <w:r w:rsidRPr="007915FC">
        <w:rPr>
          <w:b/>
          <w:bCs/>
          <w:sz w:val="20"/>
          <w:szCs w:val="20"/>
          <w:lang w:val="en-GB"/>
        </w:rPr>
        <w:t>UNDP adaptation portfolio and as a basis for strengthening internal collaboration</w:t>
      </w:r>
      <w:r w:rsidRPr="00686BBC">
        <w:rPr>
          <w:sz w:val="20"/>
          <w:szCs w:val="20"/>
          <w:lang w:val="en-GB"/>
        </w:rPr>
        <w:t xml:space="preserve">. </w:t>
      </w:r>
      <w:r w:rsidR="00CE1348" w:rsidRPr="00686BBC">
        <w:rPr>
          <w:sz w:val="20"/>
          <w:szCs w:val="20"/>
          <w:lang w:val="en-GB"/>
        </w:rPr>
        <w:t>In 2020, U</w:t>
      </w:r>
      <w:r w:rsidRPr="00686BBC">
        <w:rPr>
          <w:sz w:val="20"/>
          <w:szCs w:val="20"/>
          <w:lang w:val="en-GB"/>
        </w:rPr>
        <w:t xml:space="preserve">NDP conducted </w:t>
      </w:r>
      <w:r w:rsidR="00CE1348" w:rsidRPr="00686BBC">
        <w:rPr>
          <w:sz w:val="20"/>
          <w:szCs w:val="20"/>
          <w:lang w:val="en-GB"/>
        </w:rPr>
        <w:t xml:space="preserve">a </w:t>
      </w:r>
      <w:r w:rsidRPr="00686BBC">
        <w:rPr>
          <w:sz w:val="20"/>
          <w:szCs w:val="20"/>
          <w:lang w:val="en-GB"/>
        </w:rPr>
        <w:t xml:space="preserve">mapping of ongoing projects </w:t>
      </w:r>
      <w:r w:rsidR="00CC4842" w:rsidRPr="00686BBC">
        <w:rPr>
          <w:sz w:val="20"/>
          <w:szCs w:val="20"/>
          <w:lang w:val="en-GB"/>
        </w:rPr>
        <w:t xml:space="preserve">in </w:t>
      </w:r>
      <w:r w:rsidRPr="00686BBC">
        <w:rPr>
          <w:sz w:val="20"/>
          <w:szCs w:val="20"/>
          <w:lang w:val="en-GB"/>
        </w:rPr>
        <w:t>the adaptation portfolio</w:t>
      </w:r>
      <w:r w:rsidR="00CE1348" w:rsidRPr="00686BBC">
        <w:rPr>
          <w:sz w:val="20"/>
          <w:szCs w:val="20"/>
          <w:lang w:val="en-GB"/>
        </w:rPr>
        <w:t xml:space="preserve"> and </w:t>
      </w:r>
      <w:r w:rsidRPr="00686BBC">
        <w:rPr>
          <w:sz w:val="20"/>
          <w:szCs w:val="20"/>
          <w:lang w:val="en-GB"/>
        </w:rPr>
        <w:t xml:space="preserve">incorporated </w:t>
      </w:r>
      <w:r w:rsidR="00CE1348" w:rsidRPr="00686BBC">
        <w:rPr>
          <w:sz w:val="20"/>
          <w:szCs w:val="20"/>
          <w:lang w:val="en-GB"/>
        </w:rPr>
        <w:t xml:space="preserve">this data </w:t>
      </w:r>
      <w:r w:rsidRPr="00686BBC">
        <w:rPr>
          <w:sz w:val="20"/>
          <w:szCs w:val="20"/>
          <w:lang w:val="en-GB"/>
        </w:rPr>
        <w:t xml:space="preserve">in the internal monitoring tool for </w:t>
      </w:r>
      <w:r w:rsidR="00EF3D44" w:rsidRPr="00686BBC">
        <w:rPr>
          <w:sz w:val="20"/>
          <w:szCs w:val="20"/>
          <w:lang w:val="en-GB"/>
        </w:rPr>
        <w:t xml:space="preserve">portfolio analytics, </w:t>
      </w:r>
      <w:r w:rsidRPr="00686BBC">
        <w:rPr>
          <w:sz w:val="20"/>
          <w:szCs w:val="20"/>
          <w:lang w:val="en-GB"/>
        </w:rPr>
        <w:t xml:space="preserve">lessons learning and knowledge management. </w:t>
      </w:r>
      <w:r w:rsidR="00EF3D44" w:rsidRPr="00686BBC">
        <w:rPr>
          <w:sz w:val="20"/>
          <w:szCs w:val="20"/>
          <w:lang w:val="en-GB"/>
        </w:rPr>
        <w:t xml:space="preserve">UNDP will </w:t>
      </w:r>
      <w:r w:rsidR="00CE1348" w:rsidRPr="00686BBC">
        <w:rPr>
          <w:sz w:val="20"/>
          <w:szCs w:val="20"/>
          <w:lang w:val="en-GB"/>
        </w:rPr>
        <w:t xml:space="preserve">further </w:t>
      </w:r>
      <w:r w:rsidR="00EF3D44" w:rsidRPr="00686BBC">
        <w:rPr>
          <w:sz w:val="20"/>
          <w:szCs w:val="20"/>
          <w:lang w:val="en-GB"/>
        </w:rPr>
        <w:t>i</w:t>
      </w:r>
      <w:r w:rsidRPr="00686BBC">
        <w:rPr>
          <w:sz w:val="20"/>
          <w:szCs w:val="20"/>
          <w:lang w:val="en-GB"/>
        </w:rPr>
        <w:t>ntroduc</w:t>
      </w:r>
      <w:r w:rsidR="00EF3D44" w:rsidRPr="00686BBC">
        <w:rPr>
          <w:sz w:val="20"/>
          <w:szCs w:val="20"/>
          <w:lang w:val="en-GB"/>
        </w:rPr>
        <w:t>e</w:t>
      </w:r>
      <w:r w:rsidRPr="00686BBC">
        <w:rPr>
          <w:sz w:val="20"/>
          <w:szCs w:val="20"/>
          <w:lang w:val="en-GB"/>
        </w:rPr>
        <w:t xml:space="preserve"> a robust tracking system that captures projects with significant climate change objectives </w:t>
      </w:r>
      <w:r w:rsidR="00CC34BF">
        <w:rPr>
          <w:sz w:val="20"/>
          <w:szCs w:val="20"/>
          <w:lang w:val="en-GB"/>
        </w:rPr>
        <w:t xml:space="preserve">– in </w:t>
      </w:r>
      <w:r w:rsidRPr="00CC34BF">
        <w:rPr>
          <w:sz w:val="20"/>
          <w:szCs w:val="20"/>
          <w:lang w:val="en-GB"/>
        </w:rPr>
        <w:t xml:space="preserve">both </w:t>
      </w:r>
      <w:r w:rsidR="00CC34BF">
        <w:rPr>
          <w:sz w:val="20"/>
          <w:szCs w:val="20"/>
          <w:lang w:val="en-GB"/>
        </w:rPr>
        <w:t xml:space="preserve">the </w:t>
      </w:r>
      <w:r w:rsidRPr="00CC34BF">
        <w:rPr>
          <w:sz w:val="20"/>
          <w:szCs w:val="20"/>
          <w:lang w:val="en-GB"/>
        </w:rPr>
        <w:t>mitigation and adaptation portfolios</w:t>
      </w:r>
      <w:r w:rsidR="00EF3D44" w:rsidRPr="00CC34BF">
        <w:rPr>
          <w:sz w:val="20"/>
          <w:szCs w:val="20"/>
          <w:lang w:val="en-GB"/>
        </w:rPr>
        <w:t xml:space="preserve">. This will ensure </w:t>
      </w:r>
      <w:r w:rsidRPr="00CC34BF">
        <w:rPr>
          <w:sz w:val="20"/>
          <w:szCs w:val="20"/>
          <w:lang w:val="en-GB"/>
        </w:rPr>
        <w:t xml:space="preserve">that project design and implementation </w:t>
      </w:r>
      <w:r w:rsidR="00EF3D44" w:rsidRPr="00CC34BF">
        <w:rPr>
          <w:sz w:val="20"/>
          <w:szCs w:val="20"/>
          <w:lang w:val="en-GB"/>
        </w:rPr>
        <w:t>for projects with significant clim</w:t>
      </w:r>
      <w:r w:rsidR="00CE1348" w:rsidRPr="00CC34BF">
        <w:rPr>
          <w:sz w:val="20"/>
          <w:szCs w:val="20"/>
          <w:lang w:val="en-GB"/>
        </w:rPr>
        <w:t>at</w:t>
      </w:r>
      <w:r w:rsidR="00EF3D44" w:rsidRPr="00CC34BF">
        <w:rPr>
          <w:sz w:val="20"/>
          <w:szCs w:val="20"/>
          <w:lang w:val="en-GB"/>
        </w:rPr>
        <w:t xml:space="preserve">e change objectives </w:t>
      </w:r>
      <w:r w:rsidRPr="00CC34BF">
        <w:rPr>
          <w:sz w:val="20"/>
          <w:szCs w:val="20"/>
          <w:lang w:val="en-GB"/>
        </w:rPr>
        <w:t>are supported and monitored in a coordinated manner across the organization.</w:t>
      </w:r>
      <w:r w:rsidR="007E1D8A">
        <w:rPr>
          <w:sz w:val="20"/>
          <w:szCs w:val="20"/>
          <w:lang w:val="en-GB"/>
        </w:rPr>
        <w:t xml:space="preserve"> </w:t>
      </w:r>
      <w:r w:rsidR="007E1D8A" w:rsidRPr="007E1D8A">
        <w:rPr>
          <w:sz w:val="20"/>
          <w:szCs w:val="20"/>
          <w:lang w:val="en-GB"/>
        </w:rPr>
        <w:t>These efforts are well aligned with UNDP efforts to promote measurability of climate finance and broader SDG-enabled investments</w:t>
      </w:r>
      <w:r w:rsidR="00644394">
        <w:rPr>
          <w:sz w:val="20"/>
          <w:szCs w:val="20"/>
          <w:lang w:val="en-GB"/>
        </w:rPr>
        <w:t>.</w:t>
      </w:r>
    </w:p>
    <w:p w14:paraId="0DB7D689" w14:textId="4446ABEC" w:rsidR="00F12F44" w:rsidRPr="00686BBC" w:rsidRDefault="00E633DA" w:rsidP="004E27FF">
      <w:pPr>
        <w:pStyle w:val="NormalWeb"/>
        <w:numPr>
          <w:ilvl w:val="0"/>
          <w:numId w:val="9"/>
        </w:numPr>
        <w:tabs>
          <w:tab w:val="left" w:pos="1440"/>
        </w:tabs>
        <w:spacing w:before="0" w:beforeAutospacing="0" w:after="120" w:afterAutospacing="0"/>
        <w:ind w:left="1080" w:right="-173" w:firstLine="0"/>
        <w:jc w:val="both"/>
        <w:rPr>
          <w:sz w:val="20"/>
          <w:szCs w:val="20"/>
          <w:lang w:val="en-GB"/>
        </w:rPr>
      </w:pPr>
      <w:r w:rsidRPr="00686BBC">
        <w:rPr>
          <w:b/>
          <w:bCs/>
          <w:sz w:val="20"/>
          <w:szCs w:val="20"/>
          <w:lang w:val="en-GB"/>
        </w:rPr>
        <w:t xml:space="preserve">UNDP </w:t>
      </w:r>
      <w:r w:rsidR="00EF3D44" w:rsidRPr="00686BBC">
        <w:rPr>
          <w:b/>
          <w:bCs/>
          <w:sz w:val="20"/>
          <w:szCs w:val="20"/>
          <w:lang w:val="en-GB"/>
        </w:rPr>
        <w:t xml:space="preserve">takes </w:t>
      </w:r>
      <w:r w:rsidR="59774BC7" w:rsidRPr="00686BBC">
        <w:rPr>
          <w:b/>
          <w:bCs/>
          <w:sz w:val="20"/>
          <w:szCs w:val="20"/>
          <w:lang w:val="en-GB"/>
        </w:rPr>
        <w:t>note</w:t>
      </w:r>
      <w:r w:rsidR="005363D7" w:rsidRPr="00686BBC">
        <w:rPr>
          <w:b/>
          <w:bCs/>
          <w:sz w:val="20"/>
          <w:szCs w:val="20"/>
          <w:lang w:val="en-GB"/>
        </w:rPr>
        <w:t xml:space="preserve"> recommendation 3, that UNDP should take steps to reduce fragmentation across its climate change adaptation programming</w:t>
      </w:r>
      <w:r w:rsidR="004B2F87">
        <w:rPr>
          <w:b/>
          <w:bCs/>
          <w:sz w:val="20"/>
          <w:szCs w:val="20"/>
          <w:lang w:val="en-GB"/>
        </w:rPr>
        <w:t xml:space="preserve"> </w:t>
      </w:r>
      <w:r w:rsidR="005363D7" w:rsidRPr="00686BBC">
        <w:rPr>
          <w:b/>
          <w:bCs/>
          <w:sz w:val="20"/>
          <w:szCs w:val="20"/>
          <w:lang w:val="en-GB"/>
        </w:rPr>
        <w:t>to more effectively achieve intended benefits at scale</w:t>
      </w:r>
      <w:r w:rsidR="005363D7" w:rsidRPr="00686BBC">
        <w:rPr>
          <w:sz w:val="20"/>
          <w:szCs w:val="20"/>
          <w:lang w:val="en-GB"/>
        </w:rPr>
        <w:t xml:space="preserve">. UNDP </w:t>
      </w:r>
      <w:r w:rsidR="00B85EE6" w:rsidRPr="00686BBC">
        <w:rPr>
          <w:sz w:val="20"/>
          <w:szCs w:val="20"/>
          <w:lang w:val="en-GB"/>
        </w:rPr>
        <w:t>wishes to</w:t>
      </w:r>
      <w:r w:rsidR="005363D7" w:rsidRPr="00686BBC">
        <w:rPr>
          <w:sz w:val="20"/>
          <w:szCs w:val="20"/>
          <w:lang w:val="en-GB"/>
        </w:rPr>
        <w:t xml:space="preserve"> clarify that </w:t>
      </w:r>
      <w:r w:rsidR="008C6DD5">
        <w:rPr>
          <w:sz w:val="20"/>
          <w:szCs w:val="20"/>
          <w:lang w:val="en-GB"/>
        </w:rPr>
        <w:t xml:space="preserve">its </w:t>
      </w:r>
      <w:r w:rsidR="5EDA3D26" w:rsidRPr="00686BBC">
        <w:rPr>
          <w:sz w:val="20"/>
          <w:szCs w:val="20"/>
          <w:lang w:val="en-GB"/>
        </w:rPr>
        <w:t xml:space="preserve">offer on </w:t>
      </w:r>
      <w:r w:rsidR="005363D7" w:rsidRPr="00686BBC">
        <w:rPr>
          <w:sz w:val="20"/>
          <w:szCs w:val="20"/>
          <w:lang w:val="en-GB"/>
        </w:rPr>
        <w:t>adaptation</w:t>
      </w:r>
      <w:r w:rsidR="71080D2D" w:rsidRPr="00686BBC">
        <w:rPr>
          <w:sz w:val="20"/>
          <w:szCs w:val="20"/>
          <w:lang w:val="en-GB"/>
        </w:rPr>
        <w:t xml:space="preserve"> aims to </w:t>
      </w:r>
      <w:r w:rsidR="04AE7FD0" w:rsidRPr="00686BBC">
        <w:rPr>
          <w:sz w:val="20"/>
          <w:szCs w:val="20"/>
          <w:lang w:val="en-GB"/>
        </w:rPr>
        <w:t xml:space="preserve">advance </w:t>
      </w:r>
      <w:r w:rsidR="71080D2D" w:rsidRPr="00686BBC">
        <w:rPr>
          <w:sz w:val="20"/>
          <w:szCs w:val="20"/>
          <w:lang w:val="en-GB"/>
        </w:rPr>
        <w:t xml:space="preserve">adaptation strategies and solutions </w:t>
      </w:r>
      <w:r w:rsidR="306C8528" w:rsidRPr="00686BBC">
        <w:rPr>
          <w:sz w:val="20"/>
          <w:szCs w:val="20"/>
          <w:lang w:val="en-GB"/>
        </w:rPr>
        <w:t>across</w:t>
      </w:r>
      <w:r w:rsidR="71080D2D" w:rsidRPr="00686BBC">
        <w:rPr>
          <w:sz w:val="20"/>
          <w:szCs w:val="20"/>
          <w:lang w:val="en-GB"/>
        </w:rPr>
        <w:t xml:space="preserve"> countries and communities, </w:t>
      </w:r>
      <w:r w:rsidR="00BA6B3B">
        <w:rPr>
          <w:sz w:val="20"/>
          <w:szCs w:val="20"/>
          <w:lang w:val="en-GB"/>
        </w:rPr>
        <w:t xml:space="preserve">irrespective </w:t>
      </w:r>
      <w:r w:rsidR="71080D2D" w:rsidRPr="00686BBC">
        <w:rPr>
          <w:sz w:val="20"/>
          <w:szCs w:val="20"/>
          <w:lang w:val="en-GB"/>
        </w:rPr>
        <w:t xml:space="preserve">of </w:t>
      </w:r>
      <w:r w:rsidR="005363D7" w:rsidRPr="00686BBC">
        <w:rPr>
          <w:sz w:val="20"/>
          <w:szCs w:val="20"/>
          <w:lang w:val="en-GB"/>
        </w:rPr>
        <w:t xml:space="preserve">the </w:t>
      </w:r>
      <w:r w:rsidR="71080D2D" w:rsidRPr="00686BBC">
        <w:rPr>
          <w:sz w:val="20"/>
          <w:szCs w:val="20"/>
          <w:lang w:val="en-GB"/>
        </w:rPr>
        <w:t>funding sources.</w:t>
      </w:r>
      <w:r w:rsidR="005363D7" w:rsidRPr="00686BBC">
        <w:rPr>
          <w:sz w:val="20"/>
          <w:szCs w:val="20"/>
          <w:lang w:val="en-GB"/>
        </w:rPr>
        <w:t xml:space="preserve"> </w:t>
      </w:r>
      <w:r w:rsidR="00E62928" w:rsidRPr="00686BBC">
        <w:rPr>
          <w:sz w:val="20"/>
          <w:szCs w:val="20"/>
          <w:lang w:val="en-GB"/>
        </w:rPr>
        <w:t xml:space="preserve">UNDP also </w:t>
      </w:r>
      <w:r w:rsidR="2F2FF09B" w:rsidRPr="00686BBC">
        <w:rPr>
          <w:sz w:val="20"/>
          <w:szCs w:val="20"/>
          <w:lang w:val="en-GB"/>
        </w:rPr>
        <w:t>underscores</w:t>
      </w:r>
      <w:r w:rsidR="00E62928" w:rsidRPr="00686BBC">
        <w:rPr>
          <w:sz w:val="20"/>
          <w:szCs w:val="20"/>
          <w:lang w:val="en-GB"/>
        </w:rPr>
        <w:t xml:space="preserve"> that adaptation finance, under the UNFCCC mechanism, </w:t>
      </w:r>
      <w:r w:rsidR="008C6DD5">
        <w:rPr>
          <w:sz w:val="20"/>
          <w:szCs w:val="20"/>
          <w:lang w:val="en-GB"/>
        </w:rPr>
        <w:t xml:space="preserve">and </w:t>
      </w:r>
      <w:r w:rsidR="00E62928" w:rsidRPr="00686BBC">
        <w:rPr>
          <w:sz w:val="20"/>
          <w:szCs w:val="20"/>
          <w:lang w:val="en-GB"/>
        </w:rPr>
        <w:t xml:space="preserve">that </w:t>
      </w:r>
      <w:r w:rsidR="0428A105" w:rsidRPr="00686BBC">
        <w:rPr>
          <w:sz w:val="20"/>
          <w:szCs w:val="20"/>
          <w:lang w:val="en-GB"/>
        </w:rPr>
        <w:t>channel</w:t>
      </w:r>
      <w:r w:rsidR="008C6DD5">
        <w:rPr>
          <w:sz w:val="20"/>
          <w:szCs w:val="20"/>
          <w:lang w:val="en-GB"/>
        </w:rPr>
        <w:t>l</w:t>
      </w:r>
      <w:r w:rsidR="0428A105" w:rsidRPr="00686BBC">
        <w:rPr>
          <w:sz w:val="20"/>
          <w:szCs w:val="20"/>
          <w:lang w:val="en-GB"/>
        </w:rPr>
        <w:t>ed</w:t>
      </w:r>
      <w:r w:rsidR="00E62928" w:rsidRPr="00686BBC">
        <w:rPr>
          <w:sz w:val="20"/>
          <w:szCs w:val="20"/>
          <w:lang w:val="en-GB"/>
        </w:rPr>
        <w:t xml:space="preserve"> through bilateral</w:t>
      </w:r>
      <w:r w:rsidR="00EF3D44" w:rsidRPr="00686BBC">
        <w:rPr>
          <w:sz w:val="20"/>
          <w:szCs w:val="20"/>
          <w:lang w:val="en-GB"/>
        </w:rPr>
        <w:t xml:space="preserve"> donors</w:t>
      </w:r>
      <w:r w:rsidR="008C6DD5">
        <w:rPr>
          <w:sz w:val="20"/>
          <w:szCs w:val="20"/>
          <w:lang w:val="en-GB"/>
        </w:rPr>
        <w:t>,</w:t>
      </w:r>
      <w:r w:rsidR="00E62928" w:rsidRPr="00686BBC">
        <w:rPr>
          <w:sz w:val="20"/>
          <w:szCs w:val="20"/>
          <w:lang w:val="en-GB"/>
        </w:rPr>
        <w:t xml:space="preserve"> is </w:t>
      </w:r>
      <w:r w:rsidR="3C747BEF" w:rsidRPr="00686BBC">
        <w:rPr>
          <w:sz w:val="20"/>
          <w:szCs w:val="20"/>
          <w:lang w:val="en-GB"/>
        </w:rPr>
        <w:t xml:space="preserve">primarily short-term and </w:t>
      </w:r>
      <w:proofErr w:type="gramStart"/>
      <w:r w:rsidR="00E62928" w:rsidRPr="00686BBC">
        <w:rPr>
          <w:sz w:val="20"/>
          <w:szCs w:val="20"/>
          <w:lang w:val="en-GB"/>
        </w:rPr>
        <w:t>project-bound</w:t>
      </w:r>
      <w:proofErr w:type="gramEnd"/>
      <w:r w:rsidR="00E62928" w:rsidRPr="00686BBC">
        <w:rPr>
          <w:sz w:val="20"/>
          <w:szCs w:val="20"/>
          <w:lang w:val="en-GB"/>
        </w:rPr>
        <w:t xml:space="preserve">. </w:t>
      </w:r>
      <w:r w:rsidR="00EF3D44" w:rsidRPr="00686BBC">
        <w:rPr>
          <w:sz w:val="20"/>
          <w:szCs w:val="20"/>
          <w:lang w:val="en-GB"/>
        </w:rPr>
        <w:t xml:space="preserve">Nonetheless, </w:t>
      </w:r>
      <w:r w:rsidR="008C6DD5">
        <w:rPr>
          <w:sz w:val="20"/>
          <w:szCs w:val="20"/>
          <w:lang w:val="en-GB"/>
        </w:rPr>
        <w:t xml:space="preserve">in recent </w:t>
      </w:r>
      <w:r w:rsidR="00E62928" w:rsidRPr="00686BBC">
        <w:rPr>
          <w:sz w:val="20"/>
          <w:szCs w:val="20"/>
          <w:lang w:val="en-GB"/>
        </w:rPr>
        <w:t xml:space="preserve">years, </w:t>
      </w:r>
      <w:r w:rsidR="008C6DD5">
        <w:rPr>
          <w:sz w:val="20"/>
          <w:szCs w:val="20"/>
          <w:lang w:val="en-GB"/>
        </w:rPr>
        <w:t xml:space="preserve">the </w:t>
      </w:r>
      <w:r w:rsidR="00E62928" w:rsidRPr="00686BBC">
        <w:rPr>
          <w:sz w:val="20"/>
          <w:szCs w:val="20"/>
          <w:lang w:val="en-GB"/>
        </w:rPr>
        <w:t>UNDP adaptation offer has evolved to support transformative, high</w:t>
      </w:r>
      <w:r w:rsidR="008C6DD5">
        <w:rPr>
          <w:sz w:val="20"/>
          <w:szCs w:val="20"/>
          <w:lang w:val="en-GB"/>
        </w:rPr>
        <w:t>-</w:t>
      </w:r>
      <w:r w:rsidR="00E62928" w:rsidRPr="00686BBC">
        <w:rPr>
          <w:sz w:val="20"/>
          <w:szCs w:val="20"/>
          <w:lang w:val="en-GB"/>
        </w:rPr>
        <w:t xml:space="preserve">impact, at-scale programming by countries and communities. </w:t>
      </w:r>
      <w:r w:rsidR="00CE1348" w:rsidRPr="00686BBC">
        <w:rPr>
          <w:sz w:val="20"/>
          <w:szCs w:val="20"/>
          <w:lang w:val="en-GB"/>
        </w:rPr>
        <w:t>U</w:t>
      </w:r>
      <w:r w:rsidR="369217AD" w:rsidRPr="00686BBC">
        <w:rPr>
          <w:sz w:val="20"/>
          <w:szCs w:val="20"/>
          <w:lang w:val="en-GB"/>
        </w:rPr>
        <w:t>NDP is increasingly building on pilot</w:t>
      </w:r>
      <w:r w:rsidR="008C6DD5">
        <w:rPr>
          <w:sz w:val="20"/>
          <w:szCs w:val="20"/>
          <w:lang w:val="en-GB"/>
        </w:rPr>
        <w:t xml:space="preserve"> </w:t>
      </w:r>
      <w:r w:rsidR="003B7BE6" w:rsidRPr="00686BBC">
        <w:rPr>
          <w:sz w:val="20"/>
          <w:szCs w:val="20"/>
          <w:lang w:val="en-GB"/>
        </w:rPr>
        <w:t xml:space="preserve">projects </w:t>
      </w:r>
      <w:r w:rsidR="00F12F44" w:rsidRPr="00686BBC">
        <w:rPr>
          <w:sz w:val="20"/>
          <w:szCs w:val="20"/>
          <w:lang w:val="en-GB"/>
        </w:rPr>
        <w:t>that</w:t>
      </w:r>
      <w:r w:rsidR="003B7BE6" w:rsidRPr="00686BBC">
        <w:rPr>
          <w:sz w:val="20"/>
          <w:szCs w:val="20"/>
          <w:lang w:val="en-GB"/>
        </w:rPr>
        <w:t xml:space="preserve"> </w:t>
      </w:r>
      <w:r w:rsidR="00C469A0" w:rsidRPr="00686BBC">
        <w:rPr>
          <w:sz w:val="20"/>
          <w:szCs w:val="20"/>
          <w:lang w:val="en-GB"/>
        </w:rPr>
        <w:t>la</w:t>
      </w:r>
      <w:r w:rsidR="008C6DD5">
        <w:rPr>
          <w:sz w:val="20"/>
          <w:szCs w:val="20"/>
          <w:lang w:val="en-GB"/>
        </w:rPr>
        <w:t>id</w:t>
      </w:r>
      <w:r w:rsidR="00C469A0" w:rsidRPr="00686BBC">
        <w:rPr>
          <w:sz w:val="20"/>
          <w:szCs w:val="20"/>
          <w:lang w:val="en-GB"/>
        </w:rPr>
        <w:t xml:space="preserve"> out foundational capacities and generated </w:t>
      </w:r>
      <w:r w:rsidR="008C6DD5">
        <w:rPr>
          <w:sz w:val="20"/>
          <w:szCs w:val="20"/>
          <w:lang w:val="en-GB"/>
        </w:rPr>
        <w:t xml:space="preserve">an </w:t>
      </w:r>
      <w:r w:rsidR="00C469A0" w:rsidRPr="00686BBC">
        <w:rPr>
          <w:sz w:val="20"/>
          <w:szCs w:val="20"/>
          <w:lang w:val="en-GB"/>
        </w:rPr>
        <w:t xml:space="preserve">evidence base for further replication and upscale </w:t>
      </w:r>
      <w:r w:rsidR="07625BC7" w:rsidRPr="00686BBC">
        <w:rPr>
          <w:sz w:val="20"/>
          <w:szCs w:val="20"/>
          <w:lang w:val="en-GB"/>
        </w:rPr>
        <w:t>(</w:t>
      </w:r>
      <w:r w:rsidR="008C6DD5">
        <w:rPr>
          <w:sz w:val="20"/>
          <w:szCs w:val="20"/>
          <w:lang w:val="en-GB"/>
        </w:rPr>
        <w:t xml:space="preserve">for example, </w:t>
      </w:r>
      <w:r w:rsidR="00C469A0" w:rsidRPr="00686BBC">
        <w:rPr>
          <w:sz w:val="20"/>
          <w:szCs w:val="20"/>
          <w:lang w:val="en-GB"/>
        </w:rPr>
        <w:t xml:space="preserve">through </w:t>
      </w:r>
      <w:r w:rsidR="008C6DD5">
        <w:rPr>
          <w:sz w:val="20"/>
          <w:szCs w:val="20"/>
          <w:lang w:val="en-GB"/>
        </w:rPr>
        <w:t xml:space="preserve">the </w:t>
      </w:r>
      <w:r w:rsidR="07625BC7" w:rsidRPr="00686BBC">
        <w:rPr>
          <w:sz w:val="20"/>
          <w:szCs w:val="20"/>
          <w:lang w:val="en-GB"/>
        </w:rPr>
        <w:t>Green Climate Fund</w:t>
      </w:r>
      <w:r w:rsidR="00CE1348" w:rsidRPr="00686BBC">
        <w:rPr>
          <w:sz w:val="20"/>
          <w:szCs w:val="20"/>
          <w:lang w:val="en-GB"/>
        </w:rPr>
        <w:t xml:space="preserve"> </w:t>
      </w:r>
      <w:r w:rsidR="007E55DD" w:rsidRPr="00686BBC">
        <w:rPr>
          <w:sz w:val="20"/>
          <w:szCs w:val="20"/>
          <w:lang w:val="en-GB"/>
        </w:rPr>
        <w:t xml:space="preserve">and </w:t>
      </w:r>
      <w:r w:rsidR="07625BC7" w:rsidRPr="00686BBC">
        <w:rPr>
          <w:sz w:val="20"/>
          <w:szCs w:val="20"/>
          <w:lang w:val="en-GB"/>
        </w:rPr>
        <w:t>leveraged fin</w:t>
      </w:r>
      <w:r w:rsidR="60D26A1D" w:rsidRPr="00686BBC">
        <w:rPr>
          <w:sz w:val="20"/>
          <w:szCs w:val="20"/>
          <w:lang w:val="en-GB"/>
        </w:rPr>
        <w:t>ance).</w:t>
      </w:r>
      <w:r w:rsidR="00F12F44" w:rsidRPr="00686BBC">
        <w:rPr>
          <w:sz w:val="20"/>
          <w:szCs w:val="20"/>
          <w:lang w:val="en-GB"/>
        </w:rPr>
        <w:t xml:space="preserve"> UNDP is exploring regional and programmatic approaches to adaptation, in collaboration with </w:t>
      </w:r>
      <w:r w:rsidR="009D4D90" w:rsidRPr="00686BBC">
        <w:rPr>
          <w:sz w:val="20"/>
          <w:szCs w:val="20"/>
          <w:lang w:val="en-GB"/>
        </w:rPr>
        <w:t>a variety of partners</w:t>
      </w:r>
      <w:r w:rsidR="00B35F67" w:rsidRPr="00686BBC">
        <w:rPr>
          <w:sz w:val="20"/>
          <w:szCs w:val="20"/>
          <w:lang w:val="en-GB"/>
        </w:rPr>
        <w:t>,</w:t>
      </w:r>
      <w:r w:rsidR="009D4D90" w:rsidRPr="00686BBC">
        <w:rPr>
          <w:sz w:val="20"/>
          <w:szCs w:val="20"/>
          <w:lang w:val="en-GB"/>
        </w:rPr>
        <w:t xml:space="preserve"> </w:t>
      </w:r>
      <w:r w:rsidR="008C6DD5">
        <w:rPr>
          <w:sz w:val="20"/>
          <w:szCs w:val="20"/>
          <w:lang w:val="en-GB"/>
        </w:rPr>
        <w:t xml:space="preserve">focused </w:t>
      </w:r>
      <w:r w:rsidR="00F12F44" w:rsidRPr="00686BBC">
        <w:rPr>
          <w:sz w:val="20"/>
          <w:szCs w:val="20"/>
          <w:lang w:val="en-GB"/>
        </w:rPr>
        <w:t>on integrated approaches</w:t>
      </w:r>
      <w:r w:rsidR="00B35F67" w:rsidRPr="00686BBC">
        <w:rPr>
          <w:sz w:val="20"/>
          <w:szCs w:val="20"/>
          <w:lang w:val="en-GB"/>
        </w:rPr>
        <w:t>.</w:t>
      </w:r>
      <w:r w:rsidR="00F12F44" w:rsidRPr="00686BBC">
        <w:rPr>
          <w:sz w:val="20"/>
          <w:szCs w:val="20"/>
          <w:lang w:val="en-GB"/>
        </w:rPr>
        <w:t xml:space="preserve"> For example, </w:t>
      </w:r>
      <w:r w:rsidR="001F3CB8" w:rsidRPr="00686BBC">
        <w:rPr>
          <w:sz w:val="20"/>
          <w:szCs w:val="20"/>
          <w:lang w:val="en-GB"/>
        </w:rPr>
        <w:t>UNDP</w:t>
      </w:r>
      <w:r w:rsidR="00EF3D44" w:rsidRPr="00686BBC">
        <w:rPr>
          <w:sz w:val="20"/>
          <w:szCs w:val="20"/>
          <w:lang w:val="en-GB"/>
        </w:rPr>
        <w:t xml:space="preserve">, in collaboration with </w:t>
      </w:r>
      <w:r w:rsidR="008C6DD5">
        <w:rPr>
          <w:sz w:val="20"/>
          <w:szCs w:val="20"/>
          <w:lang w:val="en-GB"/>
        </w:rPr>
        <w:t xml:space="preserve">the </w:t>
      </w:r>
      <w:r w:rsidR="004140A2" w:rsidRPr="00686BBC">
        <w:rPr>
          <w:sz w:val="20"/>
          <w:szCs w:val="20"/>
          <w:lang w:val="en-GB"/>
        </w:rPr>
        <w:t xml:space="preserve">Global Water Partnership, </w:t>
      </w:r>
      <w:r w:rsidR="001368CD">
        <w:rPr>
          <w:sz w:val="20"/>
          <w:szCs w:val="20"/>
          <w:lang w:val="en-GB"/>
        </w:rPr>
        <w:t>the International Fund for Agricultural Development (</w:t>
      </w:r>
      <w:r w:rsidR="004140A2" w:rsidRPr="00686BBC">
        <w:rPr>
          <w:sz w:val="20"/>
          <w:szCs w:val="20"/>
          <w:lang w:val="en-GB"/>
        </w:rPr>
        <w:t>IFAD</w:t>
      </w:r>
      <w:r w:rsidR="001368CD">
        <w:rPr>
          <w:sz w:val="20"/>
          <w:szCs w:val="20"/>
          <w:lang w:val="en-GB"/>
        </w:rPr>
        <w:t>)</w:t>
      </w:r>
      <w:r w:rsidR="004140A2" w:rsidRPr="00686BBC">
        <w:rPr>
          <w:sz w:val="20"/>
          <w:szCs w:val="20"/>
          <w:lang w:val="en-GB"/>
        </w:rPr>
        <w:t>, and other U</w:t>
      </w:r>
      <w:r w:rsidR="001368CD">
        <w:rPr>
          <w:sz w:val="20"/>
          <w:szCs w:val="20"/>
          <w:lang w:val="en-GB"/>
        </w:rPr>
        <w:t xml:space="preserve">nited </w:t>
      </w:r>
      <w:r w:rsidR="004140A2" w:rsidRPr="00686BBC">
        <w:rPr>
          <w:sz w:val="20"/>
          <w:szCs w:val="20"/>
          <w:lang w:val="en-GB"/>
        </w:rPr>
        <w:t>N</w:t>
      </w:r>
      <w:r w:rsidR="001368CD">
        <w:rPr>
          <w:sz w:val="20"/>
          <w:szCs w:val="20"/>
          <w:lang w:val="en-GB"/>
        </w:rPr>
        <w:t>ations</w:t>
      </w:r>
      <w:r w:rsidR="004140A2" w:rsidRPr="00686BBC">
        <w:rPr>
          <w:sz w:val="20"/>
          <w:szCs w:val="20"/>
          <w:lang w:val="en-GB"/>
        </w:rPr>
        <w:t xml:space="preserve"> </w:t>
      </w:r>
      <w:r w:rsidR="001368CD">
        <w:rPr>
          <w:sz w:val="20"/>
          <w:szCs w:val="20"/>
          <w:lang w:val="en-GB"/>
        </w:rPr>
        <w:t xml:space="preserve">organizations </w:t>
      </w:r>
      <w:r w:rsidR="004140A2" w:rsidRPr="00686BBC">
        <w:rPr>
          <w:sz w:val="20"/>
          <w:szCs w:val="20"/>
          <w:lang w:val="en-GB"/>
        </w:rPr>
        <w:t>(</w:t>
      </w:r>
      <w:r w:rsidR="001368CD">
        <w:rPr>
          <w:sz w:val="20"/>
          <w:szCs w:val="20"/>
          <w:lang w:val="en-GB"/>
        </w:rPr>
        <w:t xml:space="preserve">FAO, </w:t>
      </w:r>
      <w:r w:rsidR="004140A2" w:rsidRPr="00686BBC">
        <w:rPr>
          <w:sz w:val="20"/>
          <w:szCs w:val="20"/>
          <w:lang w:val="en-GB"/>
        </w:rPr>
        <w:t xml:space="preserve">WFP), </w:t>
      </w:r>
      <w:r w:rsidR="001F3CB8" w:rsidRPr="00686BBC">
        <w:rPr>
          <w:sz w:val="20"/>
          <w:szCs w:val="20"/>
          <w:lang w:val="en-GB"/>
        </w:rPr>
        <w:t xml:space="preserve">is </w:t>
      </w:r>
      <w:r w:rsidR="00B870FD" w:rsidRPr="00686BBC">
        <w:rPr>
          <w:sz w:val="20"/>
          <w:szCs w:val="20"/>
          <w:lang w:val="en-GB"/>
        </w:rPr>
        <w:t xml:space="preserve">designing a regional programme in </w:t>
      </w:r>
      <w:r w:rsidR="001368CD">
        <w:rPr>
          <w:sz w:val="20"/>
          <w:szCs w:val="20"/>
          <w:lang w:val="en-GB"/>
        </w:rPr>
        <w:t>s</w:t>
      </w:r>
      <w:r w:rsidR="00B870FD" w:rsidRPr="00686BBC">
        <w:rPr>
          <w:sz w:val="20"/>
          <w:szCs w:val="20"/>
          <w:lang w:val="en-GB"/>
        </w:rPr>
        <w:t>outhern Africa</w:t>
      </w:r>
      <w:r w:rsidR="001368CD">
        <w:rPr>
          <w:sz w:val="20"/>
          <w:szCs w:val="20"/>
          <w:lang w:val="en-GB"/>
        </w:rPr>
        <w:t>,</w:t>
      </w:r>
      <w:r w:rsidR="00B870FD" w:rsidRPr="00686BBC">
        <w:rPr>
          <w:sz w:val="20"/>
          <w:szCs w:val="20"/>
          <w:lang w:val="en-GB"/>
        </w:rPr>
        <w:t xml:space="preserve"> </w:t>
      </w:r>
      <w:r w:rsidR="002F2FB3" w:rsidRPr="00686BBC">
        <w:rPr>
          <w:sz w:val="20"/>
          <w:szCs w:val="20"/>
          <w:lang w:val="en-GB"/>
        </w:rPr>
        <w:t xml:space="preserve">focused on countries within the </w:t>
      </w:r>
      <w:r w:rsidR="001368CD">
        <w:rPr>
          <w:sz w:val="20"/>
          <w:szCs w:val="20"/>
          <w:lang w:val="en-GB"/>
        </w:rPr>
        <w:t>Southern African Development Community</w:t>
      </w:r>
      <w:r w:rsidR="002F2FB3" w:rsidRPr="00686BBC">
        <w:rPr>
          <w:sz w:val="20"/>
          <w:szCs w:val="20"/>
          <w:lang w:val="en-GB"/>
        </w:rPr>
        <w:t>,</w:t>
      </w:r>
      <w:r w:rsidR="00B870FD" w:rsidRPr="00686BBC">
        <w:rPr>
          <w:sz w:val="20"/>
          <w:szCs w:val="20"/>
          <w:lang w:val="en-GB"/>
        </w:rPr>
        <w:t xml:space="preserve"> </w:t>
      </w:r>
      <w:r w:rsidR="00EE41CA" w:rsidRPr="00686BBC">
        <w:rPr>
          <w:sz w:val="20"/>
          <w:szCs w:val="20"/>
          <w:lang w:val="en-GB"/>
        </w:rPr>
        <w:t xml:space="preserve">that </w:t>
      </w:r>
      <w:r w:rsidR="00806AD9" w:rsidRPr="00686BBC">
        <w:rPr>
          <w:sz w:val="20"/>
          <w:szCs w:val="20"/>
          <w:lang w:val="en-GB"/>
        </w:rPr>
        <w:t>aims to enhance and increase the use of sustainable water resources management</w:t>
      </w:r>
      <w:r w:rsidR="001368CD">
        <w:rPr>
          <w:sz w:val="20"/>
          <w:szCs w:val="20"/>
          <w:lang w:val="en-GB"/>
        </w:rPr>
        <w:t xml:space="preserve"> and </w:t>
      </w:r>
      <w:r w:rsidR="00806AD9" w:rsidRPr="00686BBC">
        <w:rPr>
          <w:sz w:val="20"/>
          <w:szCs w:val="20"/>
          <w:lang w:val="en-GB"/>
        </w:rPr>
        <w:t>nature-based approaches to reverse landscape degradation and improve water efficiency and agricultural production</w:t>
      </w:r>
      <w:r w:rsidR="008B2177" w:rsidRPr="00686BBC">
        <w:rPr>
          <w:sz w:val="20"/>
          <w:szCs w:val="20"/>
          <w:lang w:val="en-GB"/>
        </w:rPr>
        <w:t xml:space="preserve">. </w:t>
      </w:r>
      <w:r w:rsidR="004F0DD7" w:rsidRPr="00686BBC">
        <w:rPr>
          <w:sz w:val="20"/>
          <w:szCs w:val="20"/>
          <w:lang w:val="en-GB"/>
        </w:rPr>
        <w:t xml:space="preserve">UNDP is also designing a global programme on </w:t>
      </w:r>
      <w:r w:rsidR="001368CD">
        <w:rPr>
          <w:sz w:val="20"/>
          <w:szCs w:val="20"/>
          <w:lang w:val="en-GB"/>
        </w:rPr>
        <w:t>e</w:t>
      </w:r>
      <w:r w:rsidR="004F0DD7" w:rsidRPr="00686BBC">
        <w:rPr>
          <w:sz w:val="20"/>
          <w:szCs w:val="20"/>
          <w:lang w:val="en-GB"/>
        </w:rPr>
        <w:t xml:space="preserve">nhancing </w:t>
      </w:r>
      <w:proofErr w:type="spellStart"/>
      <w:r w:rsidR="001368CD">
        <w:rPr>
          <w:sz w:val="20"/>
          <w:szCs w:val="20"/>
          <w:lang w:val="en-GB"/>
        </w:rPr>
        <w:t>h</w:t>
      </w:r>
      <w:r w:rsidR="004F0DD7" w:rsidRPr="00686BBC">
        <w:rPr>
          <w:sz w:val="20"/>
          <w:szCs w:val="20"/>
          <w:lang w:val="en-GB"/>
        </w:rPr>
        <w:t>ydromet</w:t>
      </w:r>
      <w:proofErr w:type="spellEnd"/>
      <w:r w:rsidR="004F0DD7" w:rsidRPr="00686BBC">
        <w:rPr>
          <w:sz w:val="20"/>
          <w:szCs w:val="20"/>
          <w:lang w:val="en-GB"/>
        </w:rPr>
        <w:t xml:space="preserve"> </w:t>
      </w:r>
      <w:r w:rsidR="001368CD">
        <w:rPr>
          <w:sz w:val="20"/>
          <w:szCs w:val="20"/>
          <w:lang w:val="en-GB"/>
        </w:rPr>
        <w:t>s</w:t>
      </w:r>
      <w:r w:rsidR="004F0DD7" w:rsidRPr="00686BBC">
        <w:rPr>
          <w:sz w:val="20"/>
          <w:szCs w:val="20"/>
          <w:lang w:val="en-GB"/>
        </w:rPr>
        <w:t xml:space="preserve">ervices for </w:t>
      </w:r>
      <w:r w:rsidR="001368CD">
        <w:rPr>
          <w:sz w:val="20"/>
          <w:szCs w:val="20"/>
          <w:lang w:val="en-GB"/>
        </w:rPr>
        <w:t>r</w:t>
      </w:r>
      <w:r w:rsidR="004F0DD7" w:rsidRPr="00686BBC">
        <w:rPr>
          <w:sz w:val="20"/>
          <w:szCs w:val="20"/>
          <w:lang w:val="en-GB"/>
        </w:rPr>
        <w:t xml:space="preserve">esilient </w:t>
      </w:r>
      <w:r w:rsidR="001368CD">
        <w:rPr>
          <w:sz w:val="20"/>
          <w:szCs w:val="20"/>
          <w:lang w:val="en-GB"/>
        </w:rPr>
        <w:t>d</w:t>
      </w:r>
      <w:r w:rsidR="004F0DD7" w:rsidRPr="00686BBC">
        <w:rPr>
          <w:sz w:val="20"/>
          <w:szCs w:val="20"/>
          <w:lang w:val="en-GB"/>
        </w:rPr>
        <w:t xml:space="preserve">evelopment and </w:t>
      </w:r>
      <w:r w:rsidR="001368CD">
        <w:rPr>
          <w:sz w:val="20"/>
          <w:szCs w:val="20"/>
          <w:lang w:val="en-GB"/>
        </w:rPr>
        <w:t>a</w:t>
      </w:r>
      <w:r w:rsidR="004F0DD7" w:rsidRPr="00686BBC">
        <w:rPr>
          <w:sz w:val="20"/>
          <w:szCs w:val="20"/>
          <w:lang w:val="en-GB"/>
        </w:rPr>
        <w:t xml:space="preserve">daptation </w:t>
      </w:r>
      <w:r w:rsidR="001368CD">
        <w:rPr>
          <w:sz w:val="20"/>
          <w:szCs w:val="20"/>
          <w:lang w:val="en-GB"/>
        </w:rPr>
        <w:t>a</w:t>
      </w:r>
      <w:r w:rsidR="004F0DD7" w:rsidRPr="00686BBC">
        <w:rPr>
          <w:sz w:val="20"/>
          <w:szCs w:val="20"/>
          <w:lang w:val="en-GB"/>
        </w:rPr>
        <w:t xml:space="preserve">ction in </w:t>
      </w:r>
      <w:r w:rsidR="001368CD">
        <w:rPr>
          <w:sz w:val="20"/>
          <w:szCs w:val="20"/>
          <w:lang w:val="en-GB"/>
        </w:rPr>
        <w:t>c</w:t>
      </w:r>
      <w:r w:rsidR="004F0DD7" w:rsidRPr="00686BBC">
        <w:rPr>
          <w:sz w:val="20"/>
          <w:szCs w:val="20"/>
          <w:lang w:val="en-GB"/>
        </w:rPr>
        <w:t xml:space="preserve">limate </w:t>
      </w:r>
      <w:r w:rsidR="001368CD">
        <w:rPr>
          <w:sz w:val="20"/>
          <w:szCs w:val="20"/>
          <w:lang w:val="en-GB"/>
        </w:rPr>
        <w:t>v</w:t>
      </w:r>
      <w:r w:rsidR="004F0DD7" w:rsidRPr="00686BBC">
        <w:rPr>
          <w:sz w:val="20"/>
          <w:szCs w:val="20"/>
          <w:lang w:val="en-GB"/>
        </w:rPr>
        <w:t xml:space="preserve">ulnerable </w:t>
      </w:r>
      <w:r w:rsidR="001368CD">
        <w:rPr>
          <w:sz w:val="20"/>
          <w:szCs w:val="20"/>
          <w:lang w:val="en-GB"/>
        </w:rPr>
        <w:t>c</w:t>
      </w:r>
      <w:r w:rsidR="004F0DD7" w:rsidRPr="00686BBC">
        <w:rPr>
          <w:sz w:val="20"/>
          <w:szCs w:val="20"/>
          <w:lang w:val="en-GB"/>
        </w:rPr>
        <w:t xml:space="preserve">ountries in partnership with </w:t>
      </w:r>
      <w:r w:rsidR="001368CD">
        <w:rPr>
          <w:sz w:val="20"/>
          <w:szCs w:val="20"/>
          <w:lang w:val="en-GB"/>
        </w:rPr>
        <w:t>the World Meteorological Organization (</w:t>
      </w:r>
      <w:r w:rsidR="004F0DD7" w:rsidRPr="00686BBC">
        <w:rPr>
          <w:sz w:val="20"/>
          <w:szCs w:val="20"/>
          <w:lang w:val="en-GB"/>
        </w:rPr>
        <w:t>WMO</w:t>
      </w:r>
      <w:r w:rsidR="001368CD">
        <w:rPr>
          <w:sz w:val="20"/>
          <w:szCs w:val="20"/>
          <w:lang w:val="en-GB"/>
        </w:rPr>
        <w:t>)</w:t>
      </w:r>
      <w:r w:rsidR="004F0DD7" w:rsidRPr="00686BBC">
        <w:rPr>
          <w:sz w:val="20"/>
          <w:szCs w:val="20"/>
          <w:lang w:val="en-GB"/>
        </w:rPr>
        <w:t xml:space="preserve">, Copernicus, </w:t>
      </w:r>
      <w:r w:rsidR="001368CD">
        <w:rPr>
          <w:sz w:val="20"/>
          <w:szCs w:val="20"/>
          <w:lang w:val="en-GB"/>
        </w:rPr>
        <w:t>the United Kingdom Meteorological Office</w:t>
      </w:r>
      <w:r w:rsidR="004F0DD7" w:rsidRPr="00686BBC">
        <w:rPr>
          <w:sz w:val="20"/>
          <w:szCs w:val="20"/>
          <w:lang w:val="en-GB"/>
        </w:rPr>
        <w:t xml:space="preserve">, </w:t>
      </w:r>
      <w:r w:rsidR="001368CD">
        <w:rPr>
          <w:sz w:val="20"/>
          <w:szCs w:val="20"/>
          <w:lang w:val="en-GB"/>
        </w:rPr>
        <w:t xml:space="preserve">the </w:t>
      </w:r>
      <w:r w:rsidR="004F0DD7" w:rsidRPr="00686BBC">
        <w:rPr>
          <w:sz w:val="20"/>
          <w:szCs w:val="20"/>
          <w:lang w:val="en-GB"/>
        </w:rPr>
        <w:t xml:space="preserve">Red Cross, </w:t>
      </w:r>
      <w:r w:rsidR="001368CD">
        <w:rPr>
          <w:sz w:val="20"/>
          <w:szCs w:val="20"/>
          <w:lang w:val="en-GB"/>
        </w:rPr>
        <w:t xml:space="preserve">the </w:t>
      </w:r>
      <w:r w:rsidR="004F0DD7" w:rsidRPr="00686BBC">
        <w:rPr>
          <w:sz w:val="20"/>
          <w:szCs w:val="20"/>
          <w:lang w:val="en-GB"/>
        </w:rPr>
        <w:t xml:space="preserve">Africa </w:t>
      </w:r>
      <w:proofErr w:type="spellStart"/>
      <w:r w:rsidR="004F0DD7" w:rsidRPr="00686BBC">
        <w:rPr>
          <w:sz w:val="20"/>
          <w:szCs w:val="20"/>
          <w:lang w:val="en-GB"/>
        </w:rPr>
        <w:t>Hydromet</w:t>
      </w:r>
      <w:proofErr w:type="spellEnd"/>
      <w:r w:rsidR="004F0DD7" w:rsidRPr="00686BBC">
        <w:rPr>
          <w:sz w:val="20"/>
          <w:szCs w:val="20"/>
          <w:lang w:val="en-GB"/>
        </w:rPr>
        <w:t xml:space="preserve"> Program, academic institutions and private sector </w:t>
      </w:r>
      <w:proofErr w:type="spellStart"/>
      <w:r w:rsidR="004F0DD7" w:rsidRPr="00686BBC">
        <w:rPr>
          <w:sz w:val="20"/>
          <w:szCs w:val="20"/>
          <w:lang w:val="en-GB"/>
        </w:rPr>
        <w:t>hydromet</w:t>
      </w:r>
      <w:proofErr w:type="spellEnd"/>
      <w:r w:rsidR="004F0DD7" w:rsidRPr="00686BBC">
        <w:rPr>
          <w:sz w:val="20"/>
          <w:szCs w:val="20"/>
          <w:lang w:val="en-GB"/>
        </w:rPr>
        <w:t xml:space="preserve"> service providers.</w:t>
      </w:r>
    </w:p>
    <w:p w14:paraId="1E7450D8" w14:textId="44B5AD57" w:rsidR="731980FA" w:rsidRPr="00686BBC" w:rsidRDefault="005363D7" w:rsidP="004E27FF">
      <w:pPr>
        <w:pStyle w:val="NormalWeb"/>
        <w:numPr>
          <w:ilvl w:val="0"/>
          <w:numId w:val="9"/>
        </w:numPr>
        <w:tabs>
          <w:tab w:val="left" w:pos="1440"/>
        </w:tabs>
        <w:spacing w:before="0" w:beforeAutospacing="0" w:after="120" w:afterAutospacing="0"/>
        <w:ind w:left="1080" w:right="-173" w:firstLine="0"/>
        <w:jc w:val="both"/>
        <w:rPr>
          <w:sz w:val="20"/>
          <w:szCs w:val="20"/>
          <w:lang w:val="en-GB"/>
        </w:rPr>
      </w:pPr>
      <w:r w:rsidRPr="00686BBC">
        <w:rPr>
          <w:b/>
          <w:bCs/>
          <w:sz w:val="20"/>
          <w:szCs w:val="20"/>
          <w:lang w:val="en-GB"/>
        </w:rPr>
        <w:t>UNDP takes note of recommendation 4, which indicates that UNDP should improve the technical underpinnings of its adaptation service offer in each sector</w:t>
      </w:r>
      <w:r w:rsidR="00F32092" w:rsidRPr="00686BBC">
        <w:rPr>
          <w:b/>
          <w:bCs/>
          <w:sz w:val="20"/>
          <w:szCs w:val="20"/>
          <w:lang w:val="en-GB"/>
        </w:rPr>
        <w:t xml:space="preserve"> </w:t>
      </w:r>
      <w:r w:rsidR="00F32092" w:rsidRPr="00686BBC">
        <w:rPr>
          <w:sz w:val="20"/>
          <w:szCs w:val="20"/>
          <w:lang w:val="en-GB"/>
        </w:rPr>
        <w:t>(specifically the agriculture and food security sector)</w:t>
      </w:r>
      <w:r w:rsidRPr="00686BBC">
        <w:rPr>
          <w:sz w:val="20"/>
          <w:szCs w:val="20"/>
          <w:lang w:val="en-GB"/>
        </w:rPr>
        <w:t xml:space="preserve">, </w:t>
      </w:r>
      <w:r w:rsidRPr="004B2F87">
        <w:rPr>
          <w:b/>
          <w:bCs/>
          <w:sz w:val="20"/>
          <w:szCs w:val="20"/>
          <w:lang w:val="en-GB"/>
        </w:rPr>
        <w:t>with special attention to strengthening capacities in disaster risk reduction</w:t>
      </w:r>
      <w:r w:rsidR="00FB699D">
        <w:rPr>
          <w:sz w:val="20"/>
          <w:szCs w:val="20"/>
          <w:lang w:val="en-GB"/>
        </w:rPr>
        <w:t xml:space="preserve"> (DRR)</w:t>
      </w:r>
      <w:r w:rsidRPr="00686BBC">
        <w:rPr>
          <w:sz w:val="20"/>
          <w:szCs w:val="20"/>
          <w:lang w:val="en-GB"/>
        </w:rPr>
        <w:t xml:space="preserve">. </w:t>
      </w:r>
      <w:r w:rsidR="00DF300E" w:rsidRPr="00686BBC">
        <w:rPr>
          <w:sz w:val="20"/>
          <w:szCs w:val="20"/>
          <w:lang w:val="en-GB"/>
        </w:rPr>
        <w:t xml:space="preserve">UNDP acknowledges the complementarities and potential for synergies across the </w:t>
      </w:r>
      <w:r w:rsidR="00FB699D">
        <w:rPr>
          <w:sz w:val="20"/>
          <w:szCs w:val="20"/>
          <w:lang w:val="en-GB"/>
        </w:rPr>
        <w:t>climate change adaptation (</w:t>
      </w:r>
      <w:r w:rsidR="00DF300E" w:rsidRPr="00686BBC">
        <w:rPr>
          <w:sz w:val="20"/>
          <w:szCs w:val="20"/>
          <w:lang w:val="en-GB"/>
        </w:rPr>
        <w:t>CCA</w:t>
      </w:r>
      <w:r w:rsidR="00FB699D">
        <w:rPr>
          <w:sz w:val="20"/>
          <w:szCs w:val="20"/>
          <w:lang w:val="en-GB"/>
        </w:rPr>
        <w:t>)</w:t>
      </w:r>
      <w:r w:rsidR="00DF300E" w:rsidRPr="00686BBC">
        <w:rPr>
          <w:sz w:val="20"/>
          <w:szCs w:val="20"/>
          <w:lang w:val="en-GB"/>
        </w:rPr>
        <w:t xml:space="preserve"> and DRR domains. </w:t>
      </w:r>
      <w:r w:rsidR="58320F5F" w:rsidRPr="00686BBC">
        <w:rPr>
          <w:sz w:val="20"/>
          <w:szCs w:val="20"/>
          <w:lang w:val="en-GB"/>
        </w:rPr>
        <w:t xml:space="preserve">UNDP </w:t>
      </w:r>
      <w:r w:rsidR="48CE0282" w:rsidRPr="00686BBC">
        <w:rPr>
          <w:sz w:val="20"/>
          <w:szCs w:val="20"/>
          <w:lang w:val="en-GB"/>
        </w:rPr>
        <w:t>is strengthening collaboration and coordination</w:t>
      </w:r>
      <w:r w:rsidR="3F499E35" w:rsidRPr="00686BBC">
        <w:rPr>
          <w:sz w:val="20"/>
          <w:szCs w:val="20"/>
          <w:lang w:val="en-GB"/>
        </w:rPr>
        <w:t xml:space="preserve"> across </w:t>
      </w:r>
      <w:r w:rsidR="004140A2" w:rsidRPr="00686BBC">
        <w:rPr>
          <w:sz w:val="20"/>
          <w:szCs w:val="20"/>
          <w:lang w:val="en-GB"/>
        </w:rPr>
        <w:t>its</w:t>
      </w:r>
      <w:r w:rsidR="3F499E35" w:rsidRPr="00686BBC">
        <w:rPr>
          <w:sz w:val="20"/>
          <w:szCs w:val="20"/>
          <w:lang w:val="en-GB"/>
        </w:rPr>
        <w:t xml:space="preserve"> DRR and CCA work</w:t>
      </w:r>
      <w:r w:rsidR="30433D94" w:rsidRPr="00686BBC">
        <w:rPr>
          <w:sz w:val="20"/>
          <w:szCs w:val="20"/>
          <w:lang w:val="en-GB"/>
        </w:rPr>
        <w:t xml:space="preserve"> in support of </w:t>
      </w:r>
      <w:r w:rsidR="00FB699D">
        <w:rPr>
          <w:sz w:val="20"/>
          <w:szCs w:val="20"/>
          <w:lang w:val="en-GB"/>
        </w:rPr>
        <w:t xml:space="preserve">the </w:t>
      </w:r>
      <w:r w:rsidR="30433D94" w:rsidRPr="00686BBC">
        <w:rPr>
          <w:sz w:val="20"/>
          <w:szCs w:val="20"/>
          <w:lang w:val="en-GB"/>
        </w:rPr>
        <w:t>shared objective of integrated risk management and vulnerability reduction for greater impact.</w:t>
      </w:r>
      <w:r w:rsidRPr="00686BBC">
        <w:rPr>
          <w:sz w:val="20"/>
          <w:szCs w:val="20"/>
          <w:lang w:val="en-GB"/>
        </w:rPr>
        <w:t xml:space="preserve"> </w:t>
      </w:r>
      <w:r w:rsidR="47E23814" w:rsidRPr="00686BBC">
        <w:rPr>
          <w:sz w:val="20"/>
          <w:szCs w:val="20"/>
          <w:lang w:val="en-GB"/>
        </w:rPr>
        <w:t xml:space="preserve">UNDP DRR work has been </w:t>
      </w:r>
      <w:r w:rsidR="00CC4842" w:rsidRPr="00686BBC">
        <w:rPr>
          <w:sz w:val="20"/>
          <w:szCs w:val="20"/>
          <w:lang w:val="en-GB"/>
        </w:rPr>
        <w:t xml:space="preserve">advancing </w:t>
      </w:r>
      <w:r w:rsidR="47E23814" w:rsidRPr="00686BBC">
        <w:rPr>
          <w:sz w:val="20"/>
          <w:szCs w:val="20"/>
          <w:lang w:val="en-GB"/>
        </w:rPr>
        <w:t>an integrated approach with CCA for several years, for example</w:t>
      </w:r>
      <w:r w:rsidR="00FB699D">
        <w:rPr>
          <w:sz w:val="20"/>
          <w:szCs w:val="20"/>
          <w:lang w:val="en-GB"/>
        </w:rPr>
        <w:t>,</w:t>
      </w:r>
      <w:r w:rsidR="47E23814" w:rsidRPr="00686BBC">
        <w:rPr>
          <w:sz w:val="20"/>
          <w:szCs w:val="20"/>
          <w:lang w:val="en-GB"/>
        </w:rPr>
        <w:t xml:space="preserve"> by promoting </w:t>
      </w:r>
      <w:r w:rsidR="00FB699D">
        <w:rPr>
          <w:sz w:val="20"/>
          <w:szCs w:val="20"/>
          <w:lang w:val="en-GB"/>
        </w:rPr>
        <w:t xml:space="preserve">the </w:t>
      </w:r>
      <w:r w:rsidR="47E23814" w:rsidRPr="00686BBC">
        <w:rPr>
          <w:sz w:val="20"/>
          <w:szCs w:val="20"/>
          <w:lang w:val="en-GB"/>
        </w:rPr>
        <w:t>application of risk information across time scale</w:t>
      </w:r>
      <w:r w:rsidR="00FB699D">
        <w:rPr>
          <w:sz w:val="20"/>
          <w:szCs w:val="20"/>
          <w:lang w:val="en-GB"/>
        </w:rPr>
        <w:t>s</w:t>
      </w:r>
      <w:r w:rsidR="47E23814" w:rsidRPr="00686BBC">
        <w:rPr>
          <w:sz w:val="20"/>
          <w:szCs w:val="20"/>
          <w:lang w:val="en-GB"/>
        </w:rPr>
        <w:t xml:space="preserve"> in risk assessment</w:t>
      </w:r>
      <w:r w:rsidR="004140A2" w:rsidRPr="00686BBC">
        <w:rPr>
          <w:sz w:val="20"/>
          <w:szCs w:val="20"/>
          <w:lang w:val="en-GB"/>
        </w:rPr>
        <w:t xml:space="preserve"> and </w:t>
      </w:r>
      <w:r w:rsidR="47E23814" w:rsidRPr="00686BBC">
        <w:rPr>
          <w:sz w:val="20"/>
          <w:szCs w:val="20"/>
          <w:lang w:val="en-GB"/>
        </w:rPr>
        <w:t>by strengthening the coherence of DRR/CCA policy instruments</w:t>
      </w:r>
      <w:r w:rsidR="004140A2" w:rsidRPr="00686BBC">
        <w:rPr>
          <w:sz w:val="20"/>
          <w:szCs w:val="20"/>
          <w:lang w:val="en-GB"/>
        </w:rPr>
        <w:t xml:space="preserve"> </w:t>
      </w:r>
      <w:r w:rsidR="00FB699D">
        <w:rPr>
          <w:sz w:val="20"/>
          <w:szCs w:val="20"/>
          <w:lang w:val="en-GB"/>
        </w:rPr>
        <w:t xml:space="preserve">and </w:t>
      </w:r>
      <w:r w:rsidR="47E23814" w:rsidRPr="00686BBC">
        <w:rPr>
          <w:sz w:val="20"/>
          <w:szCs w:val="20"/>
          <w:lang w:val="en-GB"/>
        </w:rPr>
        <w:t>fostering institutional coordination arrangements</w:t>
      </w:r>
      <w:r w:rsidR="004140A2" w:rsidRPr="00686BBC">
        <w:rPr>
          <w:sz w:val="20"/>
          <w:szCs w:val="20"/>
          <w:lang w:val="en-GB"/>
        </w:rPr>
        <w:t xml:space="preserve">. </w:t>
      </w:r>
      <w:r w:rsidR="006C6D41" w:rsidRPr="00686BBC">
        <w:rPr>
          <w:sz w:val="20"/>
          <w:szCs w:val="20"/>
          <w:lang w:val="en-GB"/>
        </w:rPr>
        <w:t>F</w:t>
      </w:r>
      <w:r w:rsidR="00DF300E" w:rsidRPr="00686BBC">
        <w:rPr>
          <w:sz w:val="20"/>
          <w:szCs w:val="20"/>
          <w:lang w:val="en-GB"/>
        </w:rPr>
        <w:t xml:space="preserve">or example, </w:t>
      </w:r>
      <w:r w:rsidR="006C6D41" w:rsidRPr="00686BBC">
        <w:rPr>
          <w:sz w:val="20"/>
          <w:szCs w:val="20"/>
          <w:lang w:val="en-GB"/>
        </w:rPr>
        <w:t xml:space="preserve">UNDP has supported </w:t>
      </w:r>
      <w:r w:rsidR="00081AF6" w:rsidRPr="00686BBC">
        <w:rPr>
          <w:sz w:val="20"/>
          <w:szCs w:val="20"/>
          <w:lang w:val="en-GB"/>
        </w:rPr>
        <w:t>risk reduction</w:t>
      </w:r>
      <w:r w:rsidR="008C588B" w:rsidRPr="00686BBC">
        <w:rPr>
          <w:sz w:val="20"/>
          <w:szCs w:val="20"/>
          <w:lang w:val="en-GB"/>
        </w:rPr>
        <w:t xml:space="preserve"> interventions in the context of long</w:t>
      </w:r>
      <w:r w:rsidR="00D01EF2" w:rsidRPr="00686BBC">
        <w:rPr>
          <w:sz w:val="20"/>
          <w:szCs w:val="20"/>
          <w:lang w:val="en-GB"/>
        </w:rPr>
        <w:t>-</w:t>
      </w:r>
      <w:r w:rsidR="008C588B" w:rsidRPr="00686BBC">
        <w:rPr>
          <w:sz w:val="20"/>
          <w:szCs w:val="20"/>
          <w:lang w:val="en-GB"/>
        </w:rPr>
        <w:t>term policy and planning</w:t>
      </w:r>
      <w:r w:rsidR="00FB699D">
        <w:rPr>
          <w:sz w:val="20"/>
          <w:szCs w:val="20"/>
          <w:lang w:val="en-GB"/>
        </w:rPr>
        <w:t>,</w:t>
      </w:r>
      <w:r w:rsidR="00D01EF2" w:rsidRPr="00686BBC">
        <w:rPr>
          <w:sz w:val="20"/>
          <w:szCs w:val="20"/>
          <w:lang w:val="en-GB"/>
        </w:rPr>
        <w:t xml:space="preserve"> with </w:t>
      </w:r>
      <w:r w:rsidR="00FB699D">
        <w:rPr>
          <w:sz w:val="20"/>
          <w:szCs w:val="20"/>
          <w:lang w:val="en-GB"/>
        </w:rPr>
        <w:t xml:space="preserve">more than </w:t>
      </w:r>
      <w:r w:rsidR="6CF13B37" w:rsidRPr="00686BBC">
        <w:rPr>
          <w:sz w:val="20"/>
          <w:szCs w:val="20"/>
          <w:lang w:val="en-GB"/>
        </w:rPr>
        <w:t>50</w:t>
      </w:r>
      <w:r w:rsidR="00FB699D">
        <w:rPr>
          <w:sz w:val="20"/>
          <w:szCs w:val="20"/>
          <w:lang w:val="en-GB"/>
        </w:rPr>
        <w:t xml:space="preserve"> DRR </w:t>
      </w:r>
      <w:r w:rsidR="6CF13B37" w:rsidRPr="00686BBC">
        <w:rPr>
          <w:sz w:val="20"/>
          <w:szCs w:val="20"/>
          <w:lang w:val="en-GB"/>
        </w:rPr>
        <w:t>plans developed at national and subnational levels</w:t>
      </w:r>
      <w:r w:rsidR="252F8A05" w:rsidRPr="00686BBC">
        <w:rPr>
          <w:sz w:val="20"/>
          <w:szCs w:val="20"/>
          <w:lang w:val="en-GB"/>
        </w:rPr>
        <w:t xml:space="preserve"> since 2008</w:t>
      </w:r>
      <w:r w:rsidR="004140A2" w:rsidRPr="00686BBC">
        <w:rPr>
          <w:sz w:val="20"/>
          <w:szCs w:val="20"/>
          <w:lang w:val="en-GB"/>
        </w:rPr>
        <w:t xml:space="preserve">. UNDP is developing a </w:t>
      </w:r>
      <w:r w:rsidR="00FB699D">
        <w:rPr>
          <w:sz w:val="20"/>
          <w:szCs w:val="20"/>
          <w:lang w:val="en-GB"/>
        </w:rPr>
        <w:t>r</w:t>
      </w:r>
      <w:r w:rsidR="0771A9D2" w:rsidRPr="00686BBC">
        <w:rPr>
          <w:sz w:val="20"/>
          <w:szCs w:val="20"/>
          <w:lang w:val="en-GB"/>
        </w:rPr>
        <w:t>isk</w:t>
      </w:r>
      <w:r w:rsidR="00FB699D">
        <w:rPr>
          <w:sz w:val="20"/>
          <w:szCs w:val="20"/>
          <w:lang w:val="en-GB"/>
        </w:rPr>
        <w:t>-i</w:t>
      </w:r>
      <w:r w:rsidR="0771A9D2" w:rsidRPr="00686BBC">
        <w:rPr>
          <w:sz w:val="20"/>
          <w:szCs w:val="20"/>
          <w:lang w:val="en-GB"/>
        </w:rPr>
        <w:t xml:space="preserve">nformed </w:t>
      </w:r>
      <w:r w:rsidR="00FB699D">
        <w:rPr>
          <w:sz w:val="20"/>
          <w:szCs w:val="20"/>
          <w:lang w:val="en-GB"/>
        </w:rPr>
        <w:t>d</w:t>
      </w:r>
      <w:r w:rsidR="0771A9D2" w:rsidRPr="00686BBC">
        <w:rPr>
          <w:sz w:val="20"/>
          <w:szCs w:val="20"/>
          <w:lang w:val="en-GB"/>
        </w:rPr>
        <w:t xml:space="preserve">evelopment </w:t>
      </w:r>
      <w:r w:rsidR="00FB699D">
        <w:rPr>
          <w:sz w:val="20"/>
          <w:szCs w:val="20"/>
          <w:lang w:val="en-GB"/>
        </w:rPr>
        <w:t>o</w:t>
      </w:r>
      <w:r w:rsidR="0771A9D2" w:rsidRPr="00686BBC">
        <w:rPr>
          <w:sz w:val="20"/>
          <w:szCs w:val="20"/>
          <w:lang w:val="en-GB"/>
        </w:rPr>
        <w:t xml:space="preserve">ffer </w:t>
      </w:r>
      <w:r w:rsidR="00FB699D">
        <w:rPr>
          <w:sz w:val="20"/>
          <w:szCs w:val="20"/>
          <w:lang w:val="en-GB"/>
        </w:rPr>
        <w:t xml:space="preserve">that </w:t>
      </w:r>
      <w:r w:rsidR="0771A9D2" w:rsidRPr="00686BBC">
        <w:rPr>
          <w:sz w:val="20"/>
          <w:szCs w:val="20"/>
          <w:lang w:val="en-GB"/>
        </w:rPr>
        <w:t xml:space="preserve">includes </w:t>
      </w:r>
      <w:r w:rsidR="004140A2" w:rsidRPr="00686BBC">
        <w:rPr>
          <w:sz w:val="20"/>
          <w:szCs w:val="20"/>
          <w:lang w:val="en-GB"/>
        </w:rPr>
        <w:t>a</w:t>
      </w:r>
      <w:r w:rsidR="0771A9D2" w:rsidRPr="00686BBC">
        <w:rPr>
          <w:sz w:val="20"/>
          <w:szCs w:val="20"/>
          <w:lang w:val="en-GB"/>
        </w:rPr>
        <w:t xml:space="preserve"> DRR/CCA </w:t>
      </w:r>
      <w:r w:rsidR="00FB699D">
        <w:rPr>
          <w:sz w:val="20"/>
          <w:szCs w:val="20"/>
          <w:lang w:val="en-GB"/>
        </w:rPr>
        <w:t>m</w:t>
      </w:r>
      <w:r w:rsidR="0771A9D2" w:rsidRPr="00686BBC">
        <w:rPr>
          <w:sz w:val="20"/>
          <w:szCs w:val="20"/>
          <w:lang w:val="en-GB"/>
        </w:rPr>
        <w:t xml:space="preserve">ainstreaming </w:t>
      </w:r>
      <w:r w:rsidR="00FB699D">
        <w:rPr>
          <w:sz w:val="20"/>
          <w:szCs w:val="20"/>
          <w:lang w:val="en-GB"/>
        </w:rPr>
        <w:t>s</w:t>
      </w:r>
      <w:r w:rsidR="0771A9D2" w:rsidRPr="00686BBC">
        <w:rPr>
          <w:sz w:val="20"/>
          <w:szCs w:val="20"/>
          <w:lang w:val="en-GB"/>
        </w:rPr>
        <w:t xml:space="preserve">trategy </w:t>
      </w:r>
      <w:r w:rsidR="00FB699D">
        <w:rPr>
          <w:sz w:val="20"/>
          <w:szCs w:val="20"/>
          <w:lang w:val="en-GB"/>
        </w:rPr>
        <w:t>t</w:t>
      </w:r>
      <w:r w:rsidR="0771A9D2" w:rsidRPr="00686BBC">
        <w:rPr>
          <w:sz w:val="20"/>
          <w:szCs w:val="20"/>
          <w:lang w:val="en-GB"/>
        </w:rPr>
        <w:t xml:space="preserve">ool </w:t>
      </w:r>
      <w:r w:rsidR="004140A2" w:rsidRPr="00686BBC">
        <w:rPr>
          <w:sz w:val="20"/>
          <w:szCs w:val="20"/>
          <w:lang w:val="en-GB"/>
        </w:rPr>
        <w:t xml:space="preserve">to </w:t>
      </w:r>
      <w:r w:rsidR="0771A9D2" w:rsidRPr="00686BBC">
        <w:rPr>
          <w:sz w:val="20"/>
          <w:szCs w:val="20"/>
          <w:lang w:val="en-GB"/>
        </w:rPr>
        <w:t>facilitate better coordination and cohe</w:t>
      </w:r>
      <w:r w:rsidR="00D01EF2" w:rsidRPr="00686BBC">
        <w:rPr>
          <w:sz w:val="20"/>
          <w:szCs w:val="20"/>
          <w:lang w:val="en-GB"/>
        </w:rPr>
        <w:t xml:space="preserve">rence </w:t>
      </w:r>
      <w:r w:rsidR="0771A9D2" w:rsidRPr="00686BBC">
        <w:rPr>
          <w:sz w:val="20"/>
          <w:szCs w:val="20"/>
          <w:lang w:val="en-GB"/>
        </w:rPr>
        <w:t xml:space="preserve">in implementing DRR/CCA considerations in development planning, programming and budgeting. </w:t>
      </w:r>
      <w:r w:rsidR="00A42D2B" w:rsidRPr="00686BBC">
        <w:rPr>
          <w:sz w:val="20"/>
          <w:szCs w:val="20"/>
          <w:lang w:val="en-GB"/>
        </w:rPr>
        <w:t>Examples of this work include the Programme on Climate Information for Resilient Development in Africa and the GCF project in Malawi</w:t>
      </w:r>
      <w:r w:rsidR="00FB699D">
        <w:rPr>
          <w:sz w:val="20"/>
          <w:szCs w:val="20"/>
          <w:lang w:val="en-GB"/>
        </w:rPr>
        <w:t xml:space="preserve">, </w:t>
      </w:r>
      <w:r w:rsidR="00A42D2B" w:rsidRPr="00686BBC">
        <w:rPr>
          <w:sz w:val="20"/>
          <w:szCs w:val="20"/>
          <w:lang w:val="en-GB"/>
        </w:rPr>
        <w:t xml:space="preserve">Scaling-up Early Warning Systems and Use of Climate Information. </w:t>
      </w:r>
      <w:r w:rsidR="00DF300E" w:rsidRPr="00686BBC">
        <w:rPr>
          <w:sz w:val="20"/>
          <w:szCs w:val="20"/>
          <w:lang w:val="en-GB"/>
        </w:rPr>
        <w:t xml:space="preserve">UNDP will further advance this integrated approach </w:t>
      </w:r>
      <w:r w:rsidR="00FB699D">
        <w:rPr>
          <w:sz w:val="20"/>
          <w:szCs w:val="20"/>
          <w:lang w:val="en-GB"/>
        </w:rPr>
        <w:t xml:space="preserve">by </w:t>
      </w:r>
      <w:r w:rsidR="00DF300E" w:rsidRPr="00686BBC">
        <w:rPr>
          <w:sz w:val="20"/>
          <w:szCs w:val="20"/>
          <w:lang w:val="en-GB"/>
        </w:rPr>
        <w:t>s</w:t>
      </w:r>
      <w:r w:rsidRPr="00686BBC">
        <w:rPr>
          <w:sz w:val="20"/>
          <w:szCs w:val="20"/>
          <w:lang w:val="en-GB"/>
        </w:rPr>
        <w:t xml:space="preserve">trengthening observation infrastructure, setting up </w:t>
      </w:r>
      <w:r w:rsidR="00DF300E" w:rsidRPr="00686BBC">
        <w:rPr>
          <w:sz w:val="20"/>
          <w:szCs w:val="20"/>
          <w:lang w:val="en-GB"/>
        </w:rPr>
        <w:t xml:space="preserve">early warning systems, </w:t>
      </w:r>
      <w:r w:rsidR="00FB699D">
        <w:rPr>
          <w:sz w:val="20"/>
          <w:szCs w:val="20"/>
          <w:lang w:val="en-GB"/>
        </w:rPr>
        <w:t xml:space="preserve">implementing </w:t>
      </w:r>
      <w:r w:rsidRPr="00686BBC">
        <w:rPr>
          <w:sz w:val="20"/>
          <w:szCs w:val="20"/>
          <w:lang w:val="en-GB"/>
        </w:rPr>
        <w:t xml:space="preserve">loss and damage accounting, </w:t>
      </w:r>
      <w:r w:rsidR="00DF300E" w:rsidRPr="00686BBC">
        <w:rPr>
          <w:sz w:val="20"/>
          <w:szCs w:val="20"/>
          <w:lang w:val="en-GB"/>
        </w:rPr>
        <w:t xml:space="preserve">building </w:t>
      </w:r>
      <w:r w:rsidRPr="00686BBC">
        <w:rPr>
          <w:sz w:val="20"/>
          <w:szCs w:val="20"/>
          <w:lang w:val="en-GB"/>
        </w:rPr>
        <w:t>technical knowledge and capacities for reiterative climate risk assessments</w:t>
      </w:r>
      <w:r w:rsidR="7B0312BA" w:rsidRPr="00686BBC">
        <w:rPr>
          <w:sz w:val="20"/>
          <w:szCs w:val="20"/>
          <w:lang w:val="en-GB"/>
        </w:rPr>
        <w:t xml:space="preserve">, </w:t>
      </w:r>
      <w:r w:rsidR="4EC5F7DE" w:rsidRPr="00686BBC">
        <w:rPr>
          <w:sz w:val="20"/>
          <w:szCs w:val="20"/>
          <w:lang w:val="en-GB"/>
        </w:rPr>
        <w:t xml:space="preserve">addressing slow-onset climate-induced disasters, </w:t>
      </w:r>
      <w:r w:rsidR="7B0312BA" w:rsidRPr="00686BBC">
        <w:rPr>
          <w:sz w:val="20"/>
          <w:szCs w:val="20"/>
          <w:lang w:val="en-GB"/>
        </w:rPr>
        <w:t>and</w:t>
      </w:r>
      <w:r w:rsidR="7ABB4C05" w:rsidRPr="00686BBC">
        <w:rPr>
          <w:sz w:val="20"/>
          <w:szCs w:val="20"/>
          <w:lang w:val="en-GB"/>
        </w:rPr>
        <w:t xml:space="preserve"> building</w:t>
      </w:r>
      <w:r w:rsidR="7B0312BA" w:rsidRPr="00686BBC">
        <w:rPr>
          <w:sz w:val="20"/>
          <w:szCs w:val="20"/>
          <w:lang w:val="en-GB"/>
        </w:rPr>
        <w:t xml:space="preserve"> capacities for </w:t>
      </w:r>
      <w:r w:rsidR="6CE36408" w:rsidRPr="00686BBC">
        <w:rPr>
          <w:sz w:val="20"/>
          <w:szCs w:val="20"/>
          <w:lang w:val="en-GB"/>
        </w:rPr>
        <w:t>preparedness and</w:t>
      </w:r>
      <w:r w:rsidR="00DF300E" w:rsidRPr="00686BBC">
        <w:rPr>
          <w:sz w:val="20"/>
          <w:szCs w:val="20"/>
          <w:lang w:val="en-GB"/>
        </w:rPr>
        <w:t xml:space="preserve"> </w:t>
      </w:r>
      <w:r w:rsidR="7B0312BA" w:rsidRPr="00686BBC">
        <w:rPr>
          <w:sz w:val="20"/>
          <w:szCs w:val="20"/>
          <w:lang w:val="en-GB"/>
        </w:rPr>
        <w:t>early action</w:t>
      </w:r>
      <w:r w:rsidR="00F32092" w:rsidRPr="00686BBC">
        <w:rPr>
          <w:sz w:val="20"/>
          <w:szCs w:val="20"/>
          <w:lang w:val="en-GB"/>
        </w:rPr>
        <w:t>.</w:t>
      </w:r>
      <w:r w:rsidR="00E05B07" w:rsidRPr="00686BBC">
        <w:rPr>
          <w:sz w:val="20"/>
          <w:szCs w:val="20"/>
          <w:lang w:val="en-GB"/>
        </w:rPr>
        <w:t xml:space="preserve"> </w:t>
      </w:r>
    </w:p>
    <w:p w14:paraId="156BD733" w14:textId="12B81F42" w:rsidR="005363D7" w:rsidRPr="00686BBC" w:rsidRDefault="00192FEA" w:rsidP="004E27FF">
      <w:pPr>
        <w:pStyle w:val="NormalWeb"/>
        <w:tabs>
          <w:tab w:val="left" w:pos="1440"/>
        </w:tabs>
        <w:spacing w:before="0" w:beforeAutospacing="0" w:after="120" w:afterAutospacing="0"/>
        <w:ind w:left="1080" w:right="-173"/>
        <w:jc w:val="both"/>
        <w:rPr>
          <w:sz w:val="20"/>
          <w:szCs w:val="20"/>
          <w:lang w:val="en-GB"/>
        </w:rPr>
      </w:pPr>
      <w:r>
        <w:rPr>
          <w:sz w:val="20"/>
          <w:szCs w:val="20"/>
          <w:lang w:val="en-GB"/>
        </w:rPr>
        <w:t xml:space="preserve">Regarding </w:t>
      </w:r>
      <w:r w:rsidR="005363D7" w:rsidRPr="00686BBC">
        <w:rPr>
          <w:sz w:val="20"/>
          <w:szCs w:val="20"/>
          <w:lang w:val="en-GB"/>
        </w:rPr>
        <w:t xml:space="preserve">the </w:t>
      </w:r>
      <w:r w:rsidR="00F32092" w:rsidRPr="00686BBC">
        <w:rPr>
          <w:sz w:val="20"/>
          <w:szCs w:val="20"/>
          <w:lang w:val="en-GB"/>
        </w:rPr>
        <w:t>need to improve the technical underpinnings of adaptation in each sector, UNDP clarif</w:t>
      </w:r>
      <w:r>
        <w:rPr>
          <w:sz w:val="20"/>
          <w:szCs w:val="20"/>
          <w:lang w:val="en-GB"/>
        </w:rPr>
        <w:t>ies</w:t>
      </w:r>
      <w:r w:rsidR="00F32092" w:rsidRPr="00686BBC">
        <w:rPr>
          <w:sz w:val="20"/>
          <w:szCs w:val="20"/>
          <w:lang w:val="en-GB"/>
        </w:rPr>
        <w:t xml:space="preserve"> that it has strong partnerships with U</w:t>
      </w:r>
      <w:r>
        <w:rPr>
          <w:sz w:val="20"/>
          <w:szCs w:val="20"/>
          <w:lang w:val="en-GB"/>
        </w:rPr>
        <w:t xml:space="preserve">nited </w:t>
      </w:r>
      <w:r w:rsidR="00F32092" w:rsidRPr="00686BBC">
        <w:rPr>
          <w:sz w:val="20"/>
          <w:szCs w:val="20"/>
          <w:lang w:val="en-GB"/>
        </w:rPr>
        <w:t>N</w:t>
      </w:r>
      <w:r>
        <w:rPr>
          <w:sz w:val="20"/>
          <w:szCs w:val="20"/>
          <w:lang w:val="en-GB"/>
        </w:rPr>
        <w:t>ations</w:t>
      </w:r>
      <w:r w:rsidR="00F32092" w:rsidRPr="00686BBC">
        <w:rPr>
          <w:sz w:val="20"/>
          <w:szCs w:val="20"/>
          <w:lang w:val="en-GB"/>
        </w:rPr>
        <w:t xml:space="preserve"> </w:t>
      </w:r>
      <w:r>
        <w:rPr>
          <w:sz w:val="20"/>
          <w:szCs w:val="20"/>
          <w:lang w:val="en-GB"/>
        </w:rPr>
        <w:t xml:space="preserve">organizations, </w:t>
      </w:r>
      <w:r w:rsidR="00F32092" w:rsidRPr="00686BBC">
        <w:rPr>
          <w:sz w:val="20"/>
          <w:szCs w:val="20"/>
          <w:lang w:val="en-GB"/>
        </w:rPr>
        <w:t>including FAO, UNE</w:t>
      </w:r>
      <w:r w:rsidR="00B14487" w:rsidRPr="00686BBC">
        <w:rPr>
          <w:sz w:val="20"/>
          <w:szCs w:val="20"/>
          <w:lang w:val="en-GB"/>
        </w:rPr>
        <w:t>P</w:t>
      </w:r>
      <w:r w:rsidR="00F32092" w:rsidRPr="00686BBC">
        <w:rPr>
          <w:sz w:val="20"/>
          <w:szCs w:val="20"/>
          <w:lang w:val="en-GB"/>
        </w:rPr>
        <w:t xml:space="preserve">, UNICEF, </w:t>
      </w:r>
      <w:r>
        <w:rPr>
          <w:sz w:val="20"/>
          <w:szCs w:val="20"/>
          <w:lang w:val="en-GB"/>
        </w:rPr>
        <w:t>the United Nations Human Settlements Programme</w:t>
      </w:r>
      <w:r w:rsidR="00F32092" w:rsidRPr="00686BBC">
        <w:rPr>
          <w:sz w:val="20"/>
          <w:szCs w:val="20"/>
          <w:lang w:val="en-GB"/>
        </w:rPr>
        <w:t xml:space="preserve">, </w:t>
      </w:r>
      <w:r>
        <w:rPr>
          <w:sz w:val="20"/>
          <w:szCs w:val="20"/>
          <w:lang w:val="en-GB"/>
        </w:rPr>
        <w:t>the International Labour Organization</w:t>
      </w:r>
      <w:r w:rsidR="00F32092" w:rsidRPr="00686BBC">
        <w:rPr>
          <w:sz w:val="20"/>
          <w:szCs w:val="20"/>
          <w:lang w:val="en-GB"/>
        </w:rPr>
        <w:t xml:space="preserve">, WMO, </w:t>
      </w:r>
      <w:r>
        <w:rPr>
          <w:sz w:val="20"/>
          <w:szCs w:val="20"/>
          <w:lang w:val="en-GB"/>
        </w:rPr>
        <w:t xml:space="preserve">the </w:t>
      </w:r>
      <w:r>
        <w:rPr>
          <w:sz w:val="20"/>
          <w:szCs w:val="20"/>
          <w:lang w:val="en-GB"/>
        </w:rPr>
        <w:lastRenderedPageBreak/>
        <w:t>World Health Organization</w:t>
      </w:r>
      <w:r w:rsidR="00F32092" w:rsidRPr="00686BBC">
        <w:rPr>
          <w:sz w:val="20"/>
          <w:szCs w:val="20"/>
          <w:lang w:val="en-GB"/>
        </w:rPr>
        <w:t>, WFP and others</w:t>
      </w:r>
      <w:r>
        <w:rPr>
          <w:sz w:val="20"/>
          <w:szCs w:val="20"/>
          <w:lang w:val="en-GB"/>
        </w:rPr>
        <w:t>,</w:t>
      </w:r>
      <w:r w:rsidR="00F32092" w:rsidRPr="00686BBC">
        <w:rPr>
          <w:sz w:val="20"/>
          <w:szCs w:val="20"/>
          <w:lang w:val="en-GB"/>
        </w:rPr>
        <w:t xml:space="preserve"> </w:t>
      </w:r>
      <w:r>
        <w:rPr>
          <w:sz w:val="20"/>
          <w:szCs w:val="20"/>
          <w:lang w:val="en-GB"/>
        </w:rPr>
        <w:t xml:space="preserve">which </w:t>
      </w:r>
      <w:r w:rsidR="00105BB8" w:rsidRPr="00686BBC">
        <w:rPr>
          <w:sz w:val="20"/>
          <w:szCs w:val="20"/>
          <w:lang w:val="en-GB"/>
        </w:rPr>
        <w:t xml:space="preserve">have enabled UNDP to advance collaborative adaptation actions across all key domains. </w:t>
      </w:r>
      <w:r w:rsidR="005E6E0E" w:rsidRPr="00686BBC">
        <w:rPr>
          <w:sz w:val="20"/>
          <w:szCs w:val="20"/>
          <w:lang w:val="en-GB"/>
        </w:rPr>
        <w:t>For example, within the agriculture and food security domain,</w:t>
      </w:r>
      <w:r w:rsidR="00217C92" w:rsidRPr="00686BBC">
        <w:rPr>
          <w:sz w:val="20"/>
          <w:szCs w:val="20"/>
          <w:lang w:val="en-GB"/>
        </w:rPr>
        <w:t xml:space="preserve"> </w:t>
      </w:r>
      <w:r w:rsidR="00F32092" w:rsidRPr="00686BBC">
        <w:rPr>
          <w:sz w:val="20"/>
          <w:szCs w:val="20"/>
          <w:lang w:val="en-GB"/>
        </w:rPr>
        <w:t xml:space="preserve">UNDP has developed the </w:t>
      </w:r>
      <w:r>
        <w:rPr>
          <w:sz w:val="20"/>
          <w:szCs w:val="20"/>
          <w:lang w:val="en-GB"/>
        </w:rPr>
        <w:t>f</w:t>
      </w:r>
      <w:r w:rsidR="00F32092" w:rsidRPr="00686BBC">
        <w:rPr>
          <w:sz w:val="20"/>
          <w:szCs w:val="20"/>
          <w:lang w:val="en-GB"/>
        </w:rPr>
        <w:t xml:space="preserve">ood and </w:t>
      </w:r>
      <w:r>
        <w:rPr>
          <w:sz w:val="20"/>
          <w:szCs w:val="20"/>
          <w:lang w:val="en-GB"/>
        </w:rPr>
        <w:t>a</w:t>
      </w:r>
      <w:r w:rsidR="00F32092" w:rsidRPr="00686BBC">
        <w:rPr>
          <w:sz w:val="20"/>
          <w:szCs w:val="20"/>
          <w:lang w:val="en-GB"/>
        </w:rPr>
        <w:t xml:space="preserve">griculture </w:t>
      </w:r>
      <w:r>
        <w:rPr>
          <w:sz w:val="20"/>
          <w:szCs w:val="20"/>
          <w:lang w:val="en-GB"/>
        </w:rPr>
        <w:t>c</w:t>
      </w:r>
      <w:r w:rsidR="00F32092" w:rsidRPr="00686BBC">
        <w:rPr>
          <w:sz w:val="20"/>
          <w:szCs w:val="20"/>
          <w:lang w:val="en-GB"/>
        </w:rPr>
        <w:t xml:space="preserve">ommodities </w:t>
      </w:r>
      <w:r>
        <w:rPr>
          <w:sz w:val="20"/>
          <w:szCs w:val="20"/>
          <w:lang w:val="en-GB"/>
        </w:rPr>
        <w:t>s</w:t>
      </w:r>
      <w:r w:rsidRPr="00686BBC">
        <w:rPr>
          <w:sz w:val="20"/>
          <w:szCs w:val="20"/>
          <w:lang w:val="en-GB"/>
        </w:rPr>
        <w:t xml:space="preserve">trategy </w:t>
      </w:r>
      <w:r w:rsidR="00F32092" w:rsidRPr="00686BBC">
        <w:rPr>
          <w:sz w:val="20"/>
          <w:szCs w:val="20"/>
          <w:lang w:val="en-GB"/>
        </w:rPr>
        <w:t xml:space="preserve">(FACS), with </w:t>
      </w:r>
      <w:r>
        <w:rPr>
          <w:sz w:val="20"/>
          <w:szCs w:val="20"/>
          <w:lang w:val="en-GB"/>
        </w:rPr>
        <w:t xml:space="preserve">the </w:t>
      </w:r>
      <w:r w:rsidR="00F32092" w:rsidRPr="00686BBC">
        <w:rPr>
          <w:sz w:val="20"/>
          <w:szCs w:val="20"/>
          <w:lang w:val="en-GB"/>
        </w:rPr>
        <w:t>direct engagement of multiple teams across the Global Policy Network and U</w:t>
      </w:r>
      <w:r>
        <w:rPr>
          <w:sz w:val="20"/>
          <w:szCs w:val="20"/>
          <w:lang w:val="en-GB"/>
        </w:rPr>
        <w:t xml:space="preserve">nited </w:t>
      </w:r>
      <w:r w:rsidR="00F32092" w:rsidRPr="00686BBC">
        <w:rPr>
          <w:sz w:val="20"/>
          <w:szCs w:val="20"/>
          <w:lang w:val="en-GB"/>
        </w:rPr>
        <w:t>N</w:t>
      </w:r>
      <w:r>
        <w:rPr>
          <w:sz w:val="20"/>
          <w:szCs w:val="20"/>
          <w:lang w:val="en-GB"/>
        </w:rPr>
        <w:t>ations</w:t>
      </w:r>
      <w:r w:rsidR="00F32092" w:rsidRPr="00686BBC">
        <w:rPr>
          <w:sz w:val="20"/>
          <w:szCs w:val="20"/>
          <w:lang w:val="en-GB"/>
        </w:rPr>
        <w:t xml:space="preserve"> </w:t>
      </w:r>
      <w:r>
        <w:rPr>
          <w:sz w:val="20"/>
          <w:szCs w:val="20"/>
          <w:lang w:val="en-GB"/>
        </w:rPr>
        <w:t>organizations</w:t>
      </w:r>
      <w:r w:rsidR="00F32092" w:rsidRPr="00686BBC">
        <w:rPr>
          <w:sz w:val="20"/>
          <w:szCs w:val="20"/>
          <w:lang w:val="en-GB"/>
        </w:rPr>
        <w:t xml:space="preserve">. </w:t>
      </w:r>
      <w:r w:rsidR="005363D7" w:rsidRPr="00686BBC">
        <w:rPr>
          <w:sz w:val="20"/>
          <w:szCs w:val="20"/>
          <w:lang w:val="en-GB"/>
        </w:rPr>
        <w:t>UNDP</w:t>
      </w:r>
      <w:r w:rsidR="00F32092" w:rsidRPr="00686BBC">
        <w:rPr>
          <w:sz w:val="20"/>
          <w:szCs w:val="20"/>
          <w:lang w:val="en-GB"/>
        </w:rPr>
        <w:t xml:space="preserve"> further notes that </w:t>
      </w:r>
      <w:r w:rsidR="379B90E2" w:rsidRPr="00686BBC">
        <w:rPr>
          <w:sz w:val="20"/>
          <w:szCs w:val="20"/>
          <w:lang w:val="en-GB"/>
        </w:rPr>
        <w:t>support to</w:t>
      </w:r>
      <w:r w:rsidR="00F32092" w:rsidRPr="00686BBC">
        <w:rPr>
          <w:sz w:val="20"/>
          <w:szCs w:val="20"/>
          <w:lang w:val="en-GB"/>
        </w:rPr>
        <w:t xml:space="preserve"> adaptation within th</w:t>
      </w:r>
      <w:r w:rsidR="3B39CB6E" w:rsidRPr="00686BBC">
        <w:rPr>
          <w:sz w:val="20"/>
          <w:szCs w:val="20"/>
          <w:lang w:val="en-GB"/>
        </w:rPr>
        <w:t>e agriculture/food systems</w:t>
      </w:r>
      <w:r w:rsidR="005363D7" w:rsidRPr="00686BBC">
        <w:rPr>
          <w:sz w:val="20"/>
          <w:szCs w:val="20"/>
          <w:lang w:val="en-GB"/>
        </w:rPr>
        <w:t xml:space="preserve"> </w:t>
      </w:r>
      <w:r w:rsidR="00F32092" w:rsidRPr="00686BBC">
        <w:rPr>
          <w:sz w:val="20"/>
          <w:szCs w:val="20"/>
          <w:lang w:val="en-GB"/>
        </w:rPr>
        <w:t xml:space="preserve">domain </w:t>
      </w:r>
      <w:r w:rsidR="005363D7" w:rsidRPr="00686BBC">
        <w:rPr>
          <w:sz w:val="20"/>
          <w:szCs w:val="20"/>
          <w:lang w:val="en-GB"/>
        </w:rPr>
        <w:t xml:space="preserve">follows globally advocated, country-driven approaches focused on adaptive capacities, climate risk management, resilient technologies/practices, access to finance/markets, </w:t>
      </w:r>
      <w:r>
        <w:rPr>
          <w:sz w:val="20"/>
          <w:szCs w:val="20"/>
          <w:lang w:val="en-GB"/>
        </w:rPr>
        <w:t xml:space="preserve">and </w:t>
      </w:r>
      <w:r w:rsidR="005363D7" w:rsidRPr="00686BBC">
        <w:rPr>
          <w:sz w:val="20"/>
          <w:szCs w:val="20"/>
          <w:lang w:val="en-GB"/>
        </w:rPr>
        <w:t>ag</w:t>
      </w:r>
      <w:r w:rsidR="00F32092" w:rsidRPr="00686BBC">
        <w:rPr>
          <w:sz w:val="20"/>
          <w:szCs w:val="20"/>
          <w:lang w:val="en-GB"/>
        </w:rPr>
        <w:t>riculture/</w:t>
      </w:r>
      <w:r w:rsidR="005363D7" w:rsidRPr="00686BBC">
        <w:rPr>
          <w:sz w:val="20"/>
          <w:szCs w:val="20"/>
          <w:lang w:val="en-GB"/>
        </w:rPr>
        <w:t>water planning incorporating climate risks</w:t>
      </w:r>
      <w:r w:rsidR="00DF300E" w:rsidRPr="00686BBC">
        <w:rPr>
          <w:sz w:val="20"/>
          <w:szCs w:val="20"/>
          <w:lang w:val="en-GB"/>
        </w:rPr>
        <w:t xml:space="preserve">. </w:t>
      </w:r>
      <w:r w:rsidR="005C41DE" w:rsidRPr="00686BBC">
        <w:rPr>
          <w:sz w:val="20"/>
          <w:szCs w:val="20"/>
          <w:lang w:val="en-GB"/>
        </w:rPr>
        <w:t>UNDP note</w:t>
      </w:r>
      <w:r w:rsidR="00DF300E" w:rsidRPr="00686BBC">
        <w:rPr>
          <w:sz w:val="20"/>
          <w:szCs w:val="20"/>
          <w:lang w:val="en-GB"/>
        </w:rPr>
        <w:t>s</w:t>
      </w:r>
      <w:r w:rsidR="005C41DE" w:rsidRPr="00686BBC">
        <w:rPr>
          <w:sz w:val="20"/>
          <w:szCs w:val="20"/>
          <w:lang w:val="en-GB"/>
        </w:rPr>
        <w:t xml:space="preserve"> that </w:t>
      </w:r>
      <w:r w:rsidR="006835DA" w:rsidRPr="00686BBC">
        <w:rPr>
          <w:sz w:val="20"/>
          <w:szCs w:val="20"/>
          <w:lang w:val="en-GB"/>
        </w:rPr>
        <w:t>its</w:t>
      </w:r>
      <w:r w:rsidR="00386E86" w:rsidRPr="00686BBC">
        <w:rPr>
          <w:sz w:val="20"/>
          <w:szCs w:val="20"/>
          <w:lang w:val="en-GB"/>
        </w:rPr>
        <w:t xml:space="preserve"> adaptation support in the agriculture and food security domain </w:t>
      </w:r>
      <w:r w:rsidR="007E1D8A" w:rsidRPr="007E1D8A">
        <w:rPr>
          <w:sz w:val="20"/>
          <w:szCs w:val="20"/>
          <w:lang w:val="en-GB"/>
        </w:rPr>
        <w:t xml:space="preserve">since 2008 </w:t>
      </w:r>
      <w:r w:rsidR="00386E86" w:rsidRPr="00686BBC">
        <w:rPr>
          <w:sz w:val="20"/>
          <w:szCs w:val="20"/>
          <w:lang w:val="en-GB"/>
        </w:rPr>
        <w:t xml:space="preserve">amounts to $717 million </w:t>
      </w:r>
      <w:r w:rsidR="00876B7C" w:rsidRPr="00686BBC">
        <w:rPr>
          <w:sz w:val="20"/>
          <w:szCs w:val="20"/>
          <w:lang w:val="en-GB"/>
        </w:rPr>
        <w:t xml:space="preserve">in </w:t>
      </w:r>
      <w:r w:rsidR="00B14487" w:rsidRPr="00686BBC">
        <w:rPr>
          <w:sz w:val="20"/>
          <w:szCs w:val="20"/>
          <w:lang w:val="en-GB"/>
        </w:rPr>
        <w:t>grant</w:t>
      </w:r>
      <w:r w:rsidR="00876B7C" w:rsidRPr="00686BBC">
        <w:rPr>
          <w:sz w:val="20"/>
          <w:szCs w:val="20"/>
          <w:lang w:val="en-GB"/>
        </w:rPr>
        <w:t>s</w:t>
      </w:r>
      <w:r w:rsidR="00B14487" w:rsidRPr="00686BBC">
        <w:rPr>
          <w:sz w:val="20"/>
          <w:szCs w:val="20"/>
          <w:lang w:val="en-GB"/>
        </w:rPr>
        <w:t xml:space="preserve"> </w:t>
      </w:r>
      <w:r w:rsidR="00386E86" w:rsidRPr="00686BBC">
        <w:rPr>
          <w:sz w:val="20"/>
          <w:szCs w:val="20"/>
          <w:lang w:val="en-GB"/>
        </w:rPr>
        <w:t>and $1.7 billion leveraged in co-financing for projects in 43</w:t>
      </w:r>
      <w:r>
        <w:rPr>
          <w:sz w:val="20"/>
          <w:szCs w:val="20"/>
          <w:lang w:val="en-GB"/>
        </w:rPr>
        <w:t> </w:t>
      </w:r>
      <w:r w:rsidR="00386E86" w:rsidRPr="00686BBC">
        <w:rPr>
          <w:sz w:val="20"/>
          <w:szCs w:val="20"/>
          <w:lang w:val="en-GB"/>
        </w:rPr>
        <w:t>countries</w:t>
      </w:r>
      <w:r>
        <w:rPr>
          <w:sz w:val="20"/>
          <w:szCs w:val="20"/>
          <w:lang w:val="en-GB"/>
        </w:rPr>
        <w:t xml:space="preserve">, </w:t>
      </w:r>
      <w:r w:rsidR="00386E86" w:rsidRPr="00686BBC">
        <w:rPr>
          <w:sz w:val="20"/>
          <w:szCs w:val="20"/>
          <w:lang w:val="en-GB"/>
        </w:rPr>
        <w:t xml:space="preserve">including 27 LDCs and </w:t>
      </w:r>
      <w:r>
        <w:rPr>
          <w:sz w:val="20"/>
          <w:szCs w:val="20"/>
          <w:lang w:val="en-GB"/>
        </w:rPr>
        <w:t xml:space="preserve">seven </w:t>
      </w:r>
      <w:r w:rsidR="00386E86" w:rsidRPr="00686BBC">
        <w:rPr>
          <w:sz w:val="20"/>
          <w:szCs w:val="20"/>
          <w:lang w:val="en-GB"/>
        </w:rPr>
        <w:t>SIDS. Key impacts and results include: 6.3</w:t>
      </w:r>
      <w:r>
        <w:rPr>
          <w:sz w:val="20"/>
          <w:szCs w:val="20"/>
          <w:lang w:val="en-GB"/>
        </w:rPr>
        <w:t> </w:t>
      </w:r>
      <w:r w:rsidR="00386E86" w:rsidRPr="00686BBC">
        <w:rPr>
          <w:sz w:val="20"/>
          <w:szCs w:val="20"/>
          <w:lang w:val="en-GB"/>
        </w:rPr>
        <w:t xml:space="preserve">million smallholder farmers across </w:t>
      </w:r>
      <w:r>
        <w:rPr>
          <w:sz w:val="20"/>
          <w:szCs w:val="20"/>
          <w:lang w:val="en-GB"/>
        </w:rPr>
        <w:t xml:space="preserve">more than </w:t>
      </w:r>
      <w:r w:rsidR="00386E86" w:rsidRPr="00686BBC">
        <w:rPr>
          <w:sz w:val="20"/>
          <w:szCs w:val="20"/>
          <w:lang w:val="en-GB"/>
        </w:rPr>
        <w:t xml:space="preserve">1,100 communities </w:t>
      </w:r>
      <w:r w:rsidR="00B010E2">
        <w:rPr>
          <w:sz w:val="20"/>
          <w:szCs w:val="20"/>
          <w:lang w:val="en-GB"/>
        </w:rPr>
        <w:t xml:space="preserve">have </w:t>
      </w:r>
      <w:r w:rsidR="00386E86" w:rsidRPr="00686BBC">
        <w:rPr>
          <w:sz w:val="20"/>
          <w:szCs w:val="20"/>
          <w:lang w:val="en-GB"/>
        </w:rPr>
        <w:t>benefitted from more resilient agriculture</w:t>
      </w:r>
      <w:r w:rsidR="00B010E2">
        <w:rPr>
          <w:sz w:val="20"/>
          <w:szCs w:val="20"/>
          <w:lang w:val="en-GB"/>
        </w:rPr>
        <w:t>,</w:t>
      </w:r>
      <w:r w:rsidR="00386E86" w:rsidRPr="00686BBC">
        <w:rPr>
          <w:sz w:val="20"/>
          <w:szCs w:val="20"/>
          <w:lang w:val="en-GB"/>
        </w:rPr>
        <w:t xml:space="preserve"> and 873,771 h</w:t>
      </w:r>
      <w:r>
        <w:rPr>
          <w:sz w:val="20"/>
          <w:szCs w:val="20"/>
          <w:lang w:val="en-GB"/>
        </w:rPr>
        <w:t>ectares</w:t>
      </w:r>
      <w:r w:rsidR="00386E86" w:rsidRPr="00686BBC">
        <w:rPr>
          <w:sz w:val="20"/>
          <w:szCs w:val="20"/>
          <w:lang w:val="en-GB"/>
        </w:rPr>
        <w:t xml:space="preserve"> of agricultural land </w:t>
      </w:r>
      <w:r w:rsidR="00B010E2">
        <w:rPr>
          <w:sz w:val="20"/>
          <w:szCs w:val="20"/>
          <w:lang w:val="en-GB"/>
        </w:rPr>
        <w:t xml:space="preserve">are </w:t>
      </w:r>
      <w:r w:rsidR="00386E86" w:rsidRPr="00686BBC">
        <w:rPr>
          <w:sz w:val="20"/>
          <w:szCs w:val="20"/>
          <w:lang w:val="en-GB"/>
        </w:rPr>
        <w:t xml:space="preserve">under improved management. </w:t>
      </w:r>
    </w:p>
    <w:p w14:paraId="78F0DE7F" w14:textId="653ABF9B" w:rsidR="005949E0" w:rsidRPr="00686BBC" w:rsidRDefault="00105BB8" w:rsidP="004E27FF">
      <w:pPr>
        <w:pStyle w:val="NormalWeb"/>
        <w:numPr>
          <w:ilvl w:val="0"/>
          <w:numId w:val="9"/>
        </w:numPr>
        <w:tabs>
          <w:tab w:val="left" w:pos="1440"/>
          <w:tab w:val="left" w:pos="1800"/>
        </w:tabs>
        <w:spacing w:before="0" w:beforeAutospacing="0" w:after="120" w:afterAutospacing="0"/>
        <w:ind w:left="1080" w:right="-173" w:firstLine="0"/>
        <w:jc w:val="both"/>
        <w:rPr>
          <w:sz w:val="20"/>
          <w:szCs w:val="20"/>
          <w:lang w:val="en-GB"/>
        </w:rPr>
      </w:pPr>
      <w:r w:rsidRPr="00686BBC">
        <w:rPr>
          <w:b/>
          <w:bCs/>
          <w:sz w:val="20"/>
          <w:szCs w:val="20"/>
          <w:lang w:val="en-GB"/>
        </w:rPr>
        <w:t>UNDP welcomes recommendation 5</w:t>
      </w:r>
      <w:r w:rsidR="00B010E2">
        <w:rPr>
          <w:b/>
          <w:bCs/>
          <w:sz w:val="20"/>
          <w:szCs w:val="20"/>
          <w:lang w:val="en-GB"/>
        </w:rPr>
        <w:t>,</w:t>
      </w:r>
      <w:r w:rsidRPr="00686BBC">
        <w:rPr>
          <w:b/>
          <w:bCs/>
          <w:sz w:val="20"/>
          <w:szCs w:val="20"/>
          <w:lang w:val="en-GB"/>
        </w:rPr>
        <w:t xml:space="preserve"> which identifies </w:t>
      </w:r>
      <w:r w:rsidR="002D5121">
        <w:rPr>
          <w:b/>
          <w:bCs/>
          <w:sz w:val="20"/>
          <w:szCs w:val="20"/>
          <w:lang w:val="en-GB"/>
        </w:rPr>
        <w:t xml:space="preserve">that UNDP should </w:t>
      </w:r>
      <w:r w:rsidRPr="00686BBC">
        <w:rPr>
          <w:b/>
          <w:bCs/>
          <w:sz w:val="20"/>
          <w:szCs w:val="20"/>
          <w:lang w:val="en-GB"/>
        </w:rPr>
        <w:t xml:space="preserve">expand adaptation support in </w:t>
      </w:r>
      <w:r w:rsidR="00B14487" w:rsidRPr="00686BBC">
        <w:rPr>
          <w:b/>
          <w:bCs/>
          <w:sz w:val="20"/>
          <w:szCs w:val="20"/>
          <w:lang w:val="en-GB"/>
        </w:rPr>
        <w:t>SIDS</w:t>
      </w:r>
      <w:r w:rsidRPr="00686BBC">
        <w:rPr>
          <w:b/>
          <w:bCs/>
          <w:sz w:val="20"/>
          <w:szCs w:val="20"/>
          <w:lang w:val="en-GB"/>
        </w:rPr>
        <w:t>.</w:t>
      </w:r>
      <w:r w:rsidRPr="00686BBC">
        <w:rPr>
          <w:sz w:val="20"/>
          <w:szCs w:val="20"/>
          <w:lang w:val="en-GB"/>
        </w:rPr>
        <w:t xml:space="preserve"> </w:t>
      </w:r>
      <w:r w:rsidR="004F2EDB" w:rsidRPr="00686BBC">
        <w:rPr>
          <w:sz w:val="20"/>
          <w:szCs w:val="20"/>
          <w:lang w:val="en-GB"/>
        </w:rPr>
        <w:t xml:space="preserve">UNDP adaptation support to SIDS </w:t>
      </w:r>
      <w:r w:rsidR="00C530D5" w:rsidRPr="00686BBC">
        <w:rPr>
          <w:sz w:val="20"/>
          <w:szCs w:val="20"/>
          <w:lang w:val="en-GB"/>
        </w:rPr>
        <w:t xml:space="preserve">amounts to $329 million </w:t>
      </w:r>
      <w:r w:rsidR="00B14487" w:rsidRPr="00686BBC">
        <w:rPr>
          <w:sz w:val="20"/>
          <w:szCs w:val="20"/>
          <w:lang w:val="en-GB"/>
        </w:rPr>
        <w:t>in grant funding</w:t>
      </w:r>
      <w:r w:rsidR="00B010E2">
        <w:rPr>
          <w:sz w:val="20"/>
          <w:szCs w:val="20"/>
          <w:lang w:val="en-GB"/>
        </w:rPr>
        <w:t>,</w:t>
      </w:r>
      <w:r w:rsidR="00B14487" w:rsidRPr="00686BBC">
        <w:rPr>
          <w:sz w:val="20"/>
          <w:szCs w:val="20"/>
          <w:lang w:val="en-GB"/>
        </w:rPr>
        <w:t xml:space="preserve"> </w:t>
      </w:r>
      <w:r w:rsidR="00B010E2">
        <w:rPr>
          <w:sz w:val="20"/>
          <w:szCs w:val="20"/>
          <w:lang w:val="en-GB"/>
        </w:rPr>
        <w:t xml:space="preserve">with </w:t>
      </w:r>
      <w:r w:rsidR="00C530D5" w:rsidRPr="00686BBC">
        <w:rPr>
          <w:sz w:val="20"/>
          <w:szCs w:val="20"/>
          <w:lang w:val="en-GB"/>
        </w:rPr>
        <w:t xml:space="preserve">an additional $141 million under development in 18 SIDS. Key impacts </w:t>
      </w:r>
      <w:r w:rsidR="24327CE2" w:rsidRPr="00686BBC">
        <w:rPr>
          <w:sz w:val="20"/>
          <w:szCs w:val="20"/>
          <w:lang w:val="en-GB"/>
        </w:rPr>
        <w:t xml:space="preserve">and </w:t>
      </w:r>
      <w:r w:rsidR="00C530D5" w:rsidRPr="00686BBC">
        <w:rPr>
          <w:sz w:val="20"/>
          <w:szCs w:val="20"/>
          <w:lang w:val="en-GB"/>
        </w:rPr>
        <w:t xml:space="preserve">results </w:t>
      </w:r>
      <w:r w:rsidR="46F020DE" w:rsidRPr="00686BBC">
        <w:rPr>
          <w:sz w:val="20"/>
          <w:szCs w:val="20"/>
          <w:lang w:val="en-GB"/>
        </w:rPr>
        <w:t>include</w:t>
      </w:r>
      <w:r w:rsidR="00C530D5" w:rsidRPr="00686BBC">
        <w:rPr>
          <w:sz w:val="20"/>
          <w:szCs w:val="20"/>
          <w:lang w:val="en-GB"/>
        </w:rPr>
        <w:t>: 7,800 k</w:t>
      </w:r>
      <w:r w:rsidR="00B010E2">
        <w:rPr>
          <w:sz w:val="20"/>
          <w:szCs w:val="20"/>
          <w:lang w:val="en-GB"/>
        </w:rPr>
        <w:t>ilo</w:t>
      </w:r>
      <w:r w:rsidR="00C530D5" w:rsidRPr="00686BBC">
        <w:rPr>
          <w:sz w:val="20"/>
          <w:szCs w:val="20"/>
          <w:lang w:val="en-GB"/>
        </w:rPr>
        <w:t>m</w:t>
      </w:r>
      <w:r w:rsidR="00B010E2">
        <w:rPr>
          <w:sz w:val="20"/>
          <w:szCs w:val="20"/>
          <w:lang w:val="en-GB"/>
        </w:rPr>
        <w:t>etr</w:t>
      </w:r>
      <w:r w:rsidR="001352FD">
        <w:rPr>
          <w:sz w:val="20"/>
          <w:szCs w:val="20"/>
          <w:lang w:val="en-GB"/>
        </w:rPr>
        <w:t>e</w:t>
      </w:r>
      <w:r w:rsidR="00B010E2">
        <w:rPr>
          <w:sz w:val="20"/>
          <w:szCs w:val="20"/>
          <w:lang w:val="en-GB"/>
        </w:rPr>
        <w:t>s</w:t>
      </w:r>
      <w:r w:rsidR="00C530D5" w:rsidRPr="00686BBC">
        <w:rPr>
          <w:sz w:val="20"/>
          <w:szCs w:val="20"/>
          <w:lang w:val="en-GB"/>
        </w:rPr>
        <w:t xml:space="preserve"> of coastline protected; 165,500 people </w:t>
      </w:r>
      <w:r w:rsidR="460F8647" w:rsidRPr="00686BBC">
        <w:rPr>
          <w:sz w:val="20"/>
          <w:szCs w:val="20"/>
          <w:lang w:val="en-GB"/>
        </w:rPr>
        <w:t xml:space="preserve">benefiting from </w:t>
      </w:r>
      <w:r w:rsidR="00C530D5" w:rsidRPr="00686BBC">
        <w:rPr>
          <w:sz w:val="20"/>
          <w:szCs w:val="20"/>
          <w:lang w:val="en-GB"/>
        </w:rPr>
        <w:t xml:space="preserve">increased access to climate information; 124,344 people with increased access to drinking water; and 1.3 million people directly benefitting from more resilient livelihoods. </w:t>
      </w:r>
      <w:r w:rsidR="006C6D41" w:rsidRPr="00686BBC">
        <w:rPr>
          <w:sz w:val="20"/>
          <w:szCs w:val="20"/>
          <w:lang w:val="en-GB"/>
        </w:rPr>
        <w:t>T</w:t>
      </w:r>
      <w:r w:rsidRPr="00686BBC">
        <w:rPr>
          <w:sz w:val="20"/>
          <w:szCs w:val="20"/>
          <w:lang w:val="en-GB"/>
        </w:rPr>
        <w:t xml:space="preserve">hrough its SIDS </w:t>
      </w:r>
      <w:r w:rsidR="001352FD">
        <w:rPr>
          <w:sz w:val="20"/>
          <w:szCs w:val="20"/>
          <w:lang w:val="en-GB"/>
        </w:rPr>
        <w:t>o</w:t>
      </w:r>
      <w:r w:rsidRPr="00686BBC">
        <w:rPr>
          <w:sz w:val="20"/>
          <w:szCs w:val="20"/>
          <w:lang w:val="en-GB"/>
        </w:rPr>
        <w:t xml:space="preserve">ffer, UNDP has committed to expand its support to multipliers that accelerate progress and build on its comparative advantage in enhancing support to SIDS through a combination of </w:t>
      </w:r>
      <w:r w:rsidR="713D576F" w:rsidRPr="00686BBC">
        <w:rPr>
          <w:sz w:val="20"/>
          <w:szCs w:val="20"/>
          <w:lang w:val="en-GB"/>
        </w:rPr>
        <w:t xml:space="preserve">integrated </w:t>
      </w:r>
      <w:r w:rsidRPr="00686BBC">
        <w:rPr>
          <w:sz w:val="20"/>
          <w:szCs w:val="20"/>
          <w:lang w:val="en-GB"/>
        </w:rPr>
        <w:t>action over the next 10 years. These include climate action, developing blue economies</w:t>
      </w:r>
      <w:r w:rsidR="001352FD">
        <w:rPr>
          <w:sz w:val="20"/>
          <w:szCs w:val="20"/>
          <w:lang w:val="en-GB"/>
        </w:rPr>
        <w:t>,</w:t>
      </w:r>
      <w:r w:rsidRPr="00686BBC">
        <w:rPr>
          <w:sz w:val="20"/>
          <w:szCs w:val="20"/>
          <w:lang w:val="en-GB"/>
        </w:rPr>
        <w:t xml:space="preserve"> and promoting digital transformation. </w:t>
      </w:r>
      <w:r w:rsidR="00B14487" w:rsidRPr="00686BBC">
        <w:rPr>
          <w:sz w:val="20"/>
          <w:szCs w:val="20"/>
          <w:lang w:val="en-GB"/>
        </w:rPr>
        <w:t xml:space="preserve">Under the </w:t>
      </w:r>
      <w:r w:rsidR="001352FD">
        <w:rPr>
          <w:sz w:val="20"/>
          <w:szCs w:val="20"/>
          <w:lang w:val="en-GB"/>
        </w:rPr>
        <w:t>c</w:t>
      </w:r>
      <w:r w:rsidR="00B14487" w:rsidRPr="00686BBC">
        <w:rPr>
          <w:sz w:val="20"/>
          <w:szCs w:val="20"/>
          <w:lang w:val="en-GB"/>
        </w:rPr>
        <w:t xml:space="preserve">limate </w:t>
      </w:r>
      <w:r w:rsidR="001352FD">
        <w:rPr>
          <w:sz w:val="20"/>
          <w:szCs w:val="20"/>
          <w:lang w:val="en-GB"/>
        </w:rPr>
        <w:t>a</w:t>
      </w:r>
      <w:r w:rsidR="00B14487" w:rsidRPr="00686BBC">
        <w:rPr>
          <w:sz w:val="20"/>
          <w:szCs w:val="20"/>
          <w:lang w:val="en-GB"/>
        </w:rPr>
        <w:t xml:space="preserve">ction </w:t>
      </w:r>
      <w:r w:rsidRPr="00686BBC">
        <w:rPr>
          <w:sz w:val="20"/>
          <w:szCs w:val="20"/>
          <w:lang w:val="en-GB"/>
        </w:rPr>
        <w:t>pillar</w:t>
      </w:r>
      <w:r w:rsidR="00B14487" w:rsidRPr="00686BBC">
        <w:rPr>
          <w:sz w:val="20"/>
          <w:szCs w:val="20"/>
          <w:lang w:val="en-GB"/>
        </w:rPr>
        <w:t xml:space="preserve">, UNDP </w:t>
      </w:r>
      <w:r w:rsidRPr="00686BBC">
        <w:rPr>
          <w:sz w:val="20"/>
          <w:szCs w:val="20"/>
          <w:lang w:val="en-GB"/>
        </w:rPr>
        <w:t>support</w:t>
      </w:r>
      <w:r w:rsidR="00B14487" w:rsidRPr="00686BBC">
        <w:rPr>
          <w:sz w:val="20"/>
          <w:szCs w:val="20"/>
          <w:lang w:val="en-GB"/>
        </w:rPr>
        <w:t>s</w:t>
      </w:r>
      <w:r w:rsidRPr="00686BBC">
        <w:rPr>
          <w:sz w:val="20"/>
          <w:szCs w:val="20"/>
          <w:lang w:val="en-GB"/>
        </w:rPr>
        <w:t xml:space="preserve"> </w:t>
      </w:r>
      <w:r w:rsidR="001352FD">
        <w:rPr>
          <w:sz w:val="20"/>
          <w:szCs w:val="20"/>
          <w:lang w:val="en-GB"/>
        </w:rPr>
        <w:t xml:space="preserve">governments in </w:t>
      </w:r>
      <w:r w:rsidRPr="00686BBC">
        <w:rPr>
          <w:sz w:val="20"/>
          <w:szCs w:val="20"/>
          <w:lang w:val="en-GB"/>
        </w:rPr>
        <w:t xml:space="preserve">SIDS </w:t>
      </w:r>
      <w:r w:rsidR="001352FD">
        <w:rPr>
          <w:sz w:val="20"/>
          <w:szCs w:val="20"/>
          <w:lang w:val="en-GB"/>
        </w:rPr>
        <w:t xml:space="preserve">to </w:t>
      </w:r>
      <w:r w:rsidR="00B14487" w:rsidRPr="00686BBC">
        <w:rPr>
          <w:sz w:val="20"/>
          <w:szCs w:val="20"/>
          <w:lang w:val="en-GB"/>
        </w:rPr>
        <w:t>enhanc</w:t>
      </w:r>
      <w:r w:rsidR="001352FD">
        <w:rPr>
          <w:sz w:val="20"/>
          <w:szCs w:val="20"/>
          <w:lang w:val="en-GB"/>
        </w:rPr>
        <w:t>e</w:t>
      </w:r>
      <w:r w:rsidR="00B14487" w:rsidRPr="00686BBC">
        <w:rPr>
          <w:sz w:val="20"/>
          <w:szCs w:val="20"/>
          <w:lang w:val="en-GB"/>
        </w:rPr>
        <w:t xml:space="preserve"> climate adaptation by </w:t>
      </w:r>
      <w:r w:rsidRPr="00686BBC">
        <w:rPr>
          <w:sz w:val="20"/>
          <w:szCs w:val="20"/>
          <w:lang w:val="en-GB"/>
        </w:rPr>
        <w:t>incorporating risk reduction and planning for shor</w:t>
      </w:r>
      <w:r w:rsidR="001352FD">
        <w:rPr>
          <w:sz w:val="20"/>
          <w:szCs w:val="20"/>
          <w:lang w:val="en-GB"/>
        </w:rPr>
        <w:t>t</w:t>
      </w:r>
      <w:r w:rsidRPr="00686BBC">
        <w:rPr>
          <w:sz w:val="20"/>
          <w:szCs w:val="20"/>
          <w:lang w:val="en-GB"/>
        </w:rPr>
        <w:t>, medium and long-term risks</w:t>
      </w:r>
      <w:r w:rsidR="001352FD">
        <w:rPr>
          <w:sz w:val="20"/>
          <w:szCs w:val="20"/>
          <w:lang w:val="en-GB"/>
        </w:rPr>
        <w:t>,</w:t>
      </w:r>
      <w:r w:rsidRPr="00686BBC">
        <w:rPr>
          <w:sz w:val="20"/>
          <w:szCs w:val="20"/>
          <w:lang w:val="en-GB"/>
        </w:rPr>
        <w:t xml:space="preserve"> in combination </w:t>
      </w:r>
      <w:r w:rsidR="001352FD">
        <w:rPr>
          <w:sz w:val="20"/>
          <w:szCs w:val="20"/>
          <w:lang w:val="en-GB"/>
        </w:rPr>
        <w:t xml:space="preserve">with </w:t>
      </w:r>
      <w:r w:rsidRPr="00686BBC">
        <w:rPr>
          <w:sz w:val="20"/>
          <w:szCs w:val="20"/>
          <w:lang w:val="en-GB"/>
        </w:rPr>
        <w:t>advanc</w:t>
      </w:r>
      <w:r w:rsidR="001352FD">
        <w:rPr>
          <w:sz w:val="20"/>
          <w:szCs w:val="20"/>
          <w:lang w:val="en-GB"/>
        </w:rPr>
        <w:t>ing</w:t>
      </w:r>
      <w:r w:rsidRPr="00686BBC">
        <w:rPr>
          <w:sz w:val="20"/>
          <w:szCs w:val="20"/>
          <w:lang w:val="en-GB"/>
        </w:rPr>
        <w:t xml:space="preserve"> a whole-of-island and </w:t>
      </w:r>
      <w:r w:rsidR="001352FD">
        <w:rPr>
          <w:sz w:val="20"/>
          <w:szCs w:val="20"/>
          <w:lang w:val="en-GB"/>
        </w:rPr>
        <w:t>r</w:t>
      </w:r>
      <w:r w:rsidRPr="00686BBC">
        <w:rPr>
          <w:sz w:val="20"/>
          <w:szCs w:val="20"/>
          <w:lang w:val="en-GB"/>
        </w:rPr>
        <w:t>idge-to-</w:t>
      </w:r>
      <w:r w:rsidR="001352FD">
        <w:rPr>
          <w:sz w:val="20"/>
          <w:szCs w:val="20"/>
          <w:lang w:val="en-GB"/>
        </w:rPr>
        <w:t>r</w:t>
      </w:r>
      <w:r w:rsidRPr="00686BBC">
        <w:rPr>
          <w:sz w:val="20"/>
          <w:szCs w:val="20"/>
          <w:lang w:val="en-GB"/>
        </w:rPr>
        <w:t xml:space="preserve">eef approach to development planning and policymaking. </w:t>
      </w:r>
      <w:r w:rsidR="061B6797" w:rsidRPr="00686BBC">
        <w:rPr>
          <w:sz w:val="20"/>
          <w:szCs w:val="20"/>
          <w:lang w:val="en-GB"/>
        </w:rPr>
        <w:t>As part of the digital transformation pillar of the integrated SIDS offer, UNDP provid</w:t>
      </w:r>
      <w:r w:rsidR="00D01EF2" w:rsidRPr="00686BBC">
        <w:rPr>
          <w:sz w:val="20"/>
          <w:szCs w:val="20"/>
          <w:lang w:val="en-GB"/>
        </w:rPr>
        <w:t>e</w:t>
      </w:r>
      <w:r w:rsidR="00B14487" w:rsidRPr="00686BBC">
        <w:rPr>
          <w:sz w:val="20"/>
          <w:szCs w:val="20"/>
          <w:lang w:val="en-GB"/>
        </w:rPr>
        <w:t>s</w:t>
      </w:r>
      <w:r w:rsidR="00D01EF2" w:rsidRPr="00686BBC">
        <w:rPr>
          <w:sz w:val="20"/>
          <w:szCs w:val="20"/>
          <w:lang w:val="en-GB"/>
        </w:rPr>
        <w:t xml:space="preserve"> </w:t>
      </w:r>
      <w:r w:rsidR="061B6797" w:rsidRPr="00686BBC">
        <w:rPr>
          <w:sz w:val="20"/>
          <w:szCs w:val="20"/>
          <w:lang w:val="en-GB"/>
        </w:rPr>
        <w:t xml:space="preserve">technical support for the employment of new technologies and </w:t>
      </w:r>
      <w:r w:rsidR="001352FD">
        <w:rPr>
          <w:sz w:val="20"/>
          <w:szCs w:val="20"/>
          <w:lang w:val="en-GB"/>
        </w:rPr>
        <w:t xml:space="preserve">to </w:t>
      </w:r>
      <w:r w:rsidR="061B6797" w:rsidRPr="00686BBC">
        <w:rPr>
          <w:sz w:val="20"/>
          <w:szCs w:val="20"/>
          <w:lang w:val="en-GB"/>
        </w:rPr>
        <w:t>expand access to data to strengthen disaster risk reduction systems.</w:t>
      </w:r>
      <w:r w:rsidR="002C1994" w:rsidRPr="00686BBC">
        <w:rPr>
          <w:sz w:val="20"/>
          <w:szCs w:val="20"/>
          <w:lang w:val="en-GB"/>
        </w:rPr>
        <w:t xml:space="preserve"> For example, </w:t>
      </w:r>
      <w:r w:rsidR="00B73E8E">
        <w:rPr>
          <w:sz w:val="20"/>
          <w:szCs w:val="20"/>
          <w:lang w:val="en-GB"/>
        </w:rPr>
        <w:t>i</w:t>
      </w:r>
      <w:r w:rsidR="002C1994" w:rsidRPr="00686BBC">
        <w:rPr>
          <w:sz w:val="20"/>
          <w:szCs w:val="20"/>
          <w:lang w:val="en-GB"/>
        </w:rPr>
        <w:t xml:space="preserve">n Comoros, one of only two </w:t>
      </w:r>
      <w:r w:rsidR="00CD617C">
        <w:rPr>
          <w:sz w:val="20"/>
          <w:szCs w:val="20"/>
          <w:lang w:val="en-GB"/>
        </w:rPr>
        <w:t xml:space="preserve">African </w:t>
      </w:r>
      <w:r w:rsidR="002C1994" w:rsidRPr="00686BBC">
        <w:rPr>
          <w:sz w:val="20"/>
          <w:szCs w:val="20"/>
          <w:lang w:val="en-GB"/>
        </w:rPr>
        <w:t>LDC</w:t>
      </w:r>
      <w:r w:rsidR="00CD617C">
        <w:rPr>
          <w:sz w:val="20"/>
          <w:szCs w:val="20"/>
          <w:lang w:val="en-GB"/>
        </w:rPr>
        <w:t>-</w:t>
      </w:r>
      <w:r w:rsidR="002C1994" w:rsidRPr="00686BBC">
        <w:rPr>
          <w:sz w:val="20"/>
          <w:szCs w:val="20"/>
          <w:lang w:val="en-GB"/>
        </w:rPr>
        <w:t>SIDS</w:t>
      </w:r>
      <w:r w:rsidR="00CD617C">
        <w:rPr>
          <w:sz w:val="20"/>
          <w:szCs w:val="20"/>
          <w:lang w:val="en-GB"/>
        </w:rPr>
        <w:t>,</w:t>
      </w:r>
      <w:r w:rsidR="002B348F" w:rsidRPr="00686BBC">
        <w:rPr>
          <w:sz w:val="20"/>
          <w:szCs w:val="20"/>
          <w:lang w:val="en-GB"/>
        </w:rPr>
        <w:t xml:space="preserve"> </w:t>
      </w:r>
      <w:r w:rsidR="002C1994" w:rsidRPr="00686BBC">
        <w:rPr>
          <w:sz w:val="20"/>
          <w:szCs w:val="20"/>
          <w:lang w:val="en-GB"/>
        </w:rPr>
        <w:t>a UNDP-GCF project is implementing measures to help the country adapt to increasing extreme climate risks (including droughts, flooding</w:t>
      </w:r>
      <w:r w:rsidR="00CD617C">
        <w:rPr>
          <w:sz w:val="20"/>
          <w:szCs w:val="20"/>
          <w:lang w:val="en-GB"/>
        </w:rPr>
        <w:t>,</w:t>
      </w:r>
      <w:r w:rsidR="002C1994" w:rsidRPr="00686BBC">
        <w:rPr>
          <w:sz w:val="20"/>
          <w:szCs w:val="20"/>
          <w:lang w:val="en-GB"/>
        </w:rPr>
        <w:t xml:space="preserve"> and water quality </w:t>
      </w:r>
      <w:r w:rsidR="00CD617C">
        <w:rPr>
          <w:sz w:val="20"/>
          <w:szCs w:val="20"/>
          <w:lang w:val="en-GB"/>
        </w:rPr>
        <w:t xml:space="preserve">due to </w:t>
      </w:r>
      <w:r w:rsidR="002C1994" w:rsidRPr="00686BBC">
        <w:rPr>
          <w:sz w:val="20"/>
          <w:szCs w:val="20"/>
          <w:lang w:val="en-GB"/>
        </w:rPr>
        <w:t>landslides/erosion) that impact the country’s drinking and irrigation water supply</w:t>
      </w:r>
      <w:r w:rsidR="00A42D2B" w:rsidRPr="00686BBC">
        <w:rPr>
          <w:sz w:val="20"/>
          <w:szCs w:val="20"/>
          <w:lang w:val="en-GB"/>
        </w:rPr>
        <w:t>, benefitting approx</w:t>
      </w:r>
      <w:r w:rsidR="00CD617C">
        <w:rPr>
          <w:sz w:val="20"/>
          <w:szCs w:val="20"/>
          <w:lang w:val="en-GB"/>
        </w:rPr>
        <w:t>imately</w:t>
      </w:r>
      <w:r w:rsidR="00A42D2B" w:rsidRPr="00686BBC">
        <w:rPr>
          <w:sz w:val="20"/>
          <w:szCs w:val="20"/>
          <w:lang w:val="en-GB"/>
        </w:rPr>
        <w:t xml:space="preserve"> </w:t>
      </w:r>
      <w:r w:rsidR="002C1994" w:rsidRPr="00686BBC">
        <w:rPr>
          <w:sz w:val="20"/>
          <w:szCs w:val="20"/>
          <w:lang w:val="en-GB"/>
        </w:rPr>
        <w:t>450,000 people</w:t>
      </w:r>
      <w:r w:rsidR="00A42D2B" w:rsidRPr="00686BBC">
        <w:rPr>
          <w:sz w:val="20"/>
          <w:szCs w:val="20"/>
          <w:lang w:val="en-GB"/>
        </w:rPr>
        <w:t>.</w:t>
      </w:r>
    </w:p>
    <w:p w14:paraId="7A0BABBC" w14:textId="7E42FA8B" w:rsidR="5F0720A7" w:rsidRPr="00686BBC" w:rsidRDefault="00105BB8" w:rsidP="004E27FF">
      <w:pPr>
        <w:pStyle w:val="NormalWeb"/>
        <w:numPr>
          <w:ilvl w:val="0"/>
          <w:numId w:val="9"/>
        </w:numPr>
        <w:tabs>
          <w:tab w:val="left" w:pos="1440"/>
          <w:tab w:val="left" w:pos="1800"/>
        </w:tabs>
        <w:spacing w:before="0" w:beforeAutospacing="0" w:after="120" w:afterAutospacing="0"/>
        <w:ind w:left="1080" w:right="-173" w:firstLine="0"/>
        <w:jc w:val="both"/>
        <w:rPr>
          <w:sz w:val="20"/>
          <w:szCs w:val="20"/>
          <w:lang w:val="en-GB"/>
        </w:rPr>
      </w:pPr>
      <w:r w:rsidRPr="00686BBC">
        <w:rPr>
          <w:b/>
          <w:bCs/>
          <w:sz w:val="20"/>
          <w:szCs w:val="20"/>
          <w:lang w:val="en-GB"/>
        </w:rPr>
        <w:t>UNDP agrees with recommendation 6</w:t>
      </w:r>
      <w:r w:rsidR="00CD617C">
        <w:rPr>
          <w:b/>
          <w:bCs/>
          <w:sz w:val="20"/>
          <w:szCs w:val="20"/>
          <w:lang w:val="en-GB"/>
        </w:rPr>
        <w:t>,</w:t>
      </w:r>
      <w:r w:rsidRPr="00686BBC">
        <w:rPr>
          <w:b/>
          <w:bCs/>
          <w:sz w:val="20"/>
          <w:szCs w:val="20"/>
          <w:lang w:val="en-GB"/>
        </w:rPr>
        <w:t xml:space="preserve"> </w:t>
      </w:r>
      <w:r w:rsidR="00E071C3">
        <w:rPr>
          <w:b/>
          <w:bCs/>
          <w:sz w:val="20"/>
          <w:szCs w:val="20"/>
          <w:lang w:val="en-GB"/>
        </w:rPr>
        <w:t xml:space="preserve">which indicates </w:t>
      </w:r>
      <w:r w:rsidRPr="00686BBC">
        <w:rPr>
          <w:b/>
          <w:bCs/>
          <w:sz w:val="20"/>
          <w:szCs w:val="20"/>
          <w:lang w:val="en-GB"/>
        </w:rPr>
        <w:t>that UNDP should establish clear priorities for private sector engagement on climate change adaptation</w:t>
      </w:r>
      <w:r w:rsidRPr="00686BBC">
        <w:rPr>
          <w:sz w:val="20"/>
          <w:szCs w:val="20"/>
          <w:lang w:val="en-GB"/>
        </w:rPr>
        <w:t>. UNDP has been steadily increasing private sector engagement in adaptation and framing adaptation efforts to support a range of private sector actors</w:t>
      </w:r>
      <w:r w:rsidR="00CD617C">
        <w:rPr>
          <w:sz w:val="20"/>
          <w:szCs w:val="20"/>
          <w:lang w:val="en-GB"/>
        </w:rPr>
        <w:t>,</w:t>
      </w:r>
      <w:r w:rsidRPr="00686BBC">
        <w:rPr>
          <w:sz w:val="20"/>
          <w:szCs w:val="20"/>
          <w:lang w:val="en-GB"/>
        </w:rPr>
        <w:t xml:space="preserve"> including </w:t>
      </w:r>
      <w:r w:rsidR="00CD617C">
        <w:rPr>
          <w:sz w:val="20"/>
          <w:szCs w:val="20"/>
          <w:lang w:val="en-GB"/>
        </w:rPr>
        <w:t>micro, small, and medium enterprises (</w:t>
      </w:r>
      <w:r w:rsidRPr="00686BBC">
        <w:rPr>
          <w:sz w:val="20"/>
          <w:szCs w:val="20"/>
          <w:lang w:val="en-GB"/>
        </w:rPr>
        <w:t>MSMEs</w:t>
      </w:r>
      <w:r w:rsidR="00CD617C">
        <w:rPr>
          <w:sz w:val="20"/>
          <w:szCs w:val="20"/>
          <w:lang w:val="en-GB"/>
        </w:rPr>
        <w:t>)</w:t>
      </w:r>
      <w:r w:rsidRPr="00686BBC">
        <w:rPr>
          <w:sz w:val="20"/>
          <w:szCs w:val="20"/>
          <w:lang w:val="en-GB"/>
        </w:rPr>
        <w:t>, value-chain actors/businesses, and crowding</w:t>
      </w:r>
      <w:r w:rsidR="00CD617C">
        <w:rPr>
          <w:sz w:val="20"/>
          <w:szCs w:val="20"/>
          <w:lang w:val="en-GB"/>
        </w:rPr>
        <w:t>-</w:t>
      </w:r>
      <w:r w:rsidRPr="00686BBC">
        <w:rPr>
          <w:sz w:val="20"/>
          <w:szCs w:val="20"/>
          <w:lang w:val="en-GB"/>
        </w:rPr>
        <w:t>in financial/capital providers</w:t>
      </w:r>
      <w:r w:rsidR="509436AF" w:rsidRPr="00686BBC">
        <w:rPr>
          <w:sz w:val="20"/>
          <w:szCs w:val="20"/>
          <w:lang w:val="en-GB"/>
        </w:rPr>
        <w:t xml:space="preserve">, including </w:t>
      </w:r>
      <w:r w:rsidR="00D01EF2" w:rsidRPr="00686BBC">
        <w:rPr>
          <w:sz w:val="20"/>
          <w:szCs w:val="20"/>
          <w:lang w:val="en-GB"/>
        </w:rPr>
        <w:t xml:space="preserve">in </w:t>
      </w:r>
      <w:r w:rsidR="509436AF" w:rsidRPr="00686BBC">
        <w:rPr>
          <w:sz w:val="20"/>
          <w:szCs w:val="20"/>
          <w:lang w:val="en-GB"/>
        </w:rPr>
        <w:t>insurance and other risk</w:t>
      </w:r>
      <w:r w:rsidR="00CD617C">
        <w:rPr>
          <w:sz w:val="20"/>
          <w:szCs w:val="20"/>
          <w:lang w:val="en-GB"/>
        </w:rPr>
        <w:t>-</w:t>
      </w:r>
      <w:r w:rsidR="509436AF" w:rsidRPr="00686BBC">
        <w:rPr>
          <w:sz w:val="20"/>
          <w:szCs w:val="20"/>
          <w:lang w:val="en-GB"/>
        </w:rPr>
        <w:t>informed financing</w:t>
      </w:r>
      <w:r w:rsidR="00CD617C">
        <w:rPr>
          <w:sz w:val="20"/>
          <w:szCs w:val="20"/>
          <w:lang w:val="en-GB"/>
        </w:rPr>
        <w:t xml:space="preserve"> areas</w:t>
      </w:r>
      <w:r w:rsidR="006835DA" w:rsidRPr="00686BBC">
        <w:rPr>
          <w:sz w:val="20"/>
          <w:szCs w:val="20"/>
          <w:lang w:val="en-GB"/>
        </w:rPr>
        <w:t>.</w:t>
      </w:r>
      <w:r w:rsidRPr="00686BBC">
        <w:rPr>
          <w:sz w:val="20"/>
          <w:szCs w:val="20"/>
          <w:lang w:val="en-GB"/>
        </w:rPr>
        <w:t xml:space="preserve"> UNDP is also developing a structured approach for engaging the private sector in climate change adaptation, informed by a new framework focused on de-risking private sector investments in the adaptation space. UNDP has </w:t>
      </w:r>
      <w:r w:rsidR="5D58E28B" w:rsidRPr="00686BBC">
        <w:rPr>
          <w:sz w:val="20"/>
          <w:szCs w:val="20"/>
          <w:lang w:val="en-GB"/>
        </w:rPr>
        <w:t>accelerated</w:t>
      </w:r>
      <w:r w:rsidR="006C0D18" w:rsidRPr="00686BBC">
        <w:rPr>
          <w:sz w:val="20"/>
          <w:szCs w:val="20"/>
          <w:lang w:val="en-GB"/>
        </w:rPr>
        <w:t xml:space="preserve"> </w:t>
      </w:r>
      <w:r w:rsidR="00CD617C">
        <w:rPr>
          <w:sz w:val="20"/>
          <w:szCs w:val="20"/>
          <w:lang w:val="en-GB"/>
        </w:rPr>
        <w:t xml:space="preserve">its </w:t>
      </w:r>
      <w:r w:rsidR="006C0D18" w:rsidRPr="00686BBC">
        <w:rPr>
          <w:sz w:val="20"/>
          <w:szCs w:val="20"/>
          <w:lang w:val="en-GB"/>
        </w:rPr>
        <w:t xml:space="preserve">support </w:t>
      </w:r>
      <w:r w:rsidR="79C87496" w:rsidRPr="00686BBC">
        <w:rPr>
          <w:sz w:val="20"/>
          <w:szCs w:val="20"/>
          <w:lang w:val="en-GB"/>
        </w:rPr>
        <w:t xml:space="preserve">to </w:t>
      </w:r>
      <w:r w:rsidR="006C0D18" w:rsidRPr="00686BBC">
        <w:rPr>
          <w:sz w:val="20"/>
          <w:szCs w:val="20"/>
          <w:lang w:val="en-GB"/>
        </w:rPr>
        <w:t>market and value-chain development</w:t>
      </w:r>
      <w:r w:rsidR="7241A76E" w:rsidRPr="00686BBC">
        <w:rPr>
          <w:sz w:val="20"/>
          <w:szCs w:val="20"/>
          <w:lang w:val="en-GB"/>
        </w:rPr>
        <w:t>, enterprise development for</w:t>
      </w:r>
      <w:r w:rsidR="006C0D18" w:rsidRPr="00686BBC">
        <w:rPr>
          <w:sz w:val="20"/>
          <w:szCs w:val="20"/>
          <w:lang w:val="en-GB"/>
        </w:rPr>
        <w:t xml:space="preserve"> MSMEs, access to finance</w:t>
      </w:r>
      <w:r w:rsidR="00CD617C">
        <w:rPr>
          <w:sz w:val="20"/>
          <w:szCs w:val="20"/>
          <w:lang w:val="en-GB"/>
        </w:rPr>
        <w:t>,</w:t>
      </w:r>
      <w:r w:rsidR="006C0D18" w:rsidRPr="00686BBC">
        <w:rPr>
          <w:sz w:val="20"/>
          <w:szCs w:val="20"/>
          <w:lang w:val="en-GB"/>
        </w:rPr>
        <w:t xml:space="preserve"> and broader adaptation innovation through innovative toolkits</w:t>
      </w:r>
      <w:r w:rsidR="003C1F86" w:rsidRPr="00686BBC">
        <w:rPr>
          <w:sz w:val="20"/>
          <w:szCs w:val="20"/>
          <w:lang w:val="en-GB"/>
        </w:rPr>
        <w:t xml:space="preserve"> (</w:t>
      </w:r>
      <w:r w:rsidR="001816DA" w:rsidRPr="00686BBC">
        <w:rPr>
          <w:sz w:val="20"/>
          <w:szCs w:val="20"/>
          <w:lang w:val="en-GB"/>
        </w:rPr>
        <w:t xml:space="preserve">for example, the </w:t>
      </w:r>
      <w:hyperlink r:id="rId15">
        <w:r w:rsidR="00C94DC2" w:rsidRPr="00686BBC">
          <w:rPr>
            <w:rStyle w:val="Hyperlink"/>
            <w:sz w:val="20"/>
            <w:szCs w:val="20"/>
            <w:lang w:val="en-GB"/>
          </w:rPr>
          <w:t xml:space="preserve">toolkit for </w:t>
        </w:r>
        <w:r w:rsidR="001816DA" w:rsidRPr="00686BBC">
          <w:rPr>
            <w:rStyle w:val="Hyperlink"/>
            <w:sz w:val="20"/>
            <w:szCs w:val="20"/>
            <w:lang w:val="en-GB"/>
          </w:rPr>
          <w:t>value</w:t>
        </w:r>
        <w:r w:rsidR="00CD617C">
          <w:rPr>
            <w:rStyle w:val="Hyperlink"/>
            <w:sz w:val="20"/>
            <w:szCs w:val="20"/>
            <w:lang w:val="en-GB"/>
          </w:rPr>
          <w:t>-</w:t>
        </w:r>
        <w:r w:rsidR="001816DA" w:rsidRPr="00686BBC">
          <w:rPr>
            <w:rStyle w:val="Hyperlink"/>
            <w:sz w:val="20"/>
            <w:szCs w:val="20"/>
            <w:lang w:val="en-GB"/>
          </w:rPr>
          <w:t>chain analysis and market development</w:t>
        </w:r>
        <w:r w:rsidR="00CD617C">
          <w:rPr>
            <w:rStyle w:val="Hyperlink"/>
            <w:sz w:val="20"/>
            <w:szCs w:val="20"/>
            <w:lang w:val="en-GB"/>
          </w:rPr>
          <w:t>,</w:t>
        </w:r>
        <w:r w:rsidR="001816DA" w:rsidRPr="00686BBC">
          <w:rPr>
            <w:rStyle w:val="Hyperlink"/>
            <w:sz w:val="20"/>
            <w:szCs w:val="20"/>
            <w:lang w:val="en-GB"/>
          </w:rPr>
          <w:t xml:space="preserve"> integrating climate resilience and gender responsiveness</w:t>
        </w:r>
      </w:hyperlink>
      <w:r w:rsidR="003C1F86" w:rsidRPr="00686BBC">
        <w:rPr>
          <w:sz w:val="20"/>
          <w:szCs w:val="20"/>
          <w:lang w:val="en-GB"/>
        </w:rPr>
        <w:t>)</w:t>
      </w:r>
      <w:r w:rsidR="006C0D18" w:rsidRPr="00686BBC">
        <w:rPr>
          <w:sz w:val="20"/>
          <w:szCs w:val="20"/>
          <w:lang w:val="en-GB"/>
        </w:rPr>
        <w:t xml:space="preserve"> and strategies</w:t>
      </w:r>
      <w:r w:rsidR="62121E24" w:rsidRPr="00686BBC">
        <w:rPr>
          <w:sz w:val="20"/>
          <w:szCs w:val="20"/>
          <w:lang w:val="en-GB"/>
        </w:rPr>
        <w:t xml:space="preserve">. </w:t>
      </w:r>
      <w:r w:rsidR="1B821687" w:rsidRPr="00686BBC">
        <w:rPr>
          <w:sz w:val="20"/>
          <w:szCs w:val="20"/>
          <w:lang w:val="en-GB"/>
        </w:rPr>
        <w:t>Furthermore, a flagship initiative on insurance and risk facility is being established as part of the Finance Sector Hub</w:t>
      </w:r>
      <w:r w:rsidR="4B27CB75" w:rsidRPr="00686BBC">
        <w:rPr>
          <w:sz w:val="20"/>
          <w:szCs w:val="20"/>
          <w:lang w:val="en-GB"/>
        </w:rPr>
        <w:t xml:space="preserve"> and underpinned by the tripartite agreement between the German Federal Ministry for Economic Cooperation and Development and the Insurance Development Forum. The </w:t>
      </w:r>
      <w:r w:rsidR="00CD617C">
        <w:rPr>
          <w:sz w:val="20"/>
          <w:szCs w:val="20"/>
          <w:lang w:val="en-GB"/>
        </w:rPr>
        <w:t>f</w:t>
      </w:r>
      <w:r w:rsidR="1B821687" w:rsidRPr="00686BBC">
        <w:rPr>
          <w:sz w:val="20"/>
          <w:szCs w:val="20"/>
          <w:lang w:val="en-GB"/>
        </w:rPr>
        <w:t xml:space="preserve">acility will provide a one-stop shop for UNDP </w:t>
      </w:r>
      <w:r w:rsidR="00CD617C">
        <w:rPr>
          <w:sz w:val="20"/>
          <w:szCs w:val="20"/>
          <w:lang w:val="en-GB"/>
        </w:rPr>
        <w:t>c</w:t>
      </w:r>
      <w:r w:rsidR="1B821687" w:rsidRPr="00686BBC">
        <w:rPr>
          <w:sz w:val="20"/>
          <w:szCs w:val="20"/>
          <w:lang w:val="en-GB"/>
        </w:rPr>
        <w:t xml:space="preserve">ountry </w:t>
      </w:r>
      <w:r w:rsidR="00CD617C">
        <w:rPr>
          <w:sz w:val="20"/>
          <w:szCs w:val="20"/>
          <w:lang w:val="en-GB"/>
        </w:rPr>
        <w:t>o</w:t>
      </w:r>
      <w:r w:rsidR="1B821687" w:rsidRPr="00686BBC">
        <w:rPr>
          <w:sz w:val="20"/>
          <w:szCs w:val="20"/>
          <w:lang w:val="en-GB"/>
        </w:rPr>
        <w:t>ffices, programme countries</w:t>
      </w:r>
      <w:r w:rsidR="00CD617C">
        <w:rPr>
          <w:sz w:val="20"/>
          <w:szCs w:val="20"/>
          <w:lang w:val="en-GB"/>
        </w:rPr>
        <w:t>,</w:t>
      </w:r>
      <w:r w:rsidR="1B821687" w:rsidRPr="00686BBC">
        <w:rPr>
          <w:sz w:val="20"/>
          <w:szCs w:val="20"/>
          <w:lang w:val="en-GB"/>
        </w:rPr>
        <w:t xml:space="preserve"> and partners for all issues related to insurance and risk finance.</w:t>
      </w:r>
    </w:p>
    <w:p w14:paraId="11CD2785" w14:textId="09EB4F0B" w:rsidR="001F70B1" w:rsidRPr="00686BBC" w:rsidRDefault="006C0D18" w:rsidP="004E27FF">
      <w:pPr>
        <w:pStyle w:val="NormalWeb"/>
        <w:numPr>
          <w:ilvl w:val="0"/>
          <w:numId w:val="9"/>
        </w:numPr>
        <w:tabs>
          <w:tab w:val="left" w:pos="1440"/>
          <w:tab w:val="left" w:pos="1800"/>
        </w:tabs>
        <w:spacing w:before="0" w:beforeAutospacing="0" w:after="120" w:afterAutospacing="0"/>
        <w:ind w:left="1080" w:right="-173" w:firstLine="0"/>
        <w:jc w:val="both"/>
        <w:rPr>
          <w:sz w:val="20"/>
          <w:szCs w:val="20"/>
          <w:lang w:val="en-GB"/>
        </w:rPr>
      </w:pPr>
      <w:r w:rsidRPr="00686BBC">
        <w:rPr>
          <w:b/>
          <w:bCs/>
          <w:sz w:val="20"/>
          <w:szCs w:val="20"/>
          <w:lang w:val="en-GB"/>
        </w:rPr>
        <w:t xml:space="preserve">UNDP </w:t>
      </w:r>
      <w:r w:rsidR="00AA2FE2" w:rsidRPr="00686BBC">
        <w:rPr>
          <w:b/>
          <w:bCs/>
          <w:sz w:val="20"/>
          <w:szCs w:val="20"/>
          <w:lang w:val="en-GB"/>
        </w:rPr>
        <w:t>takes note of</w:t>
      </w:r>
      <w:r w:rsidRPr="00686BBC">
        <w:rPr>
          <w:b/>
          <w:bCs/>
          <w:sz w:val="20"/>
          <w:szCs w:val="20"/>
          <w:lang w:val="en-GB"/>
        </w:rPr>
        <w:t xml:space="preserve"> recommendation 7</w:t>
      </w:r>
      <w:r w:rsidR="00CD617C">
        <w:rPr>
          <w:b/>
          <w:bCs/>
          <w:sz w:val="20"/>
          <w:szCs w:val="20"/>
          <w:lang w:val="en-GB"/>
        </w:rPr>
        <w:t>,</w:t>
      </w:r>
      <w:r w:rsidRPr="00686BBC">
        <w:rPr>
          <w:b/>
          <w:bCs/>
          <w:sz w:val="20"/>
          <w:szCs w:val="20"/>
          <w:lang w:val="en-GB"/>
        </w:rPr>
        <w:t xml:space="preserve"> which indicates that UNDP should strengthen the gender equality dimensions of its policy and capacity</w:t>
      </w:r>
      <w:r w:rsidR="00CD617C">
        <w:rPr>
          <w:b/>
          <w:bCs/>
          <w:sz w:val="20"/>
          <w:szCs w:val="20"/>
          <w:lang w:val="en-GB"/>
        </w:rPr>
        <w:t>-</w:t>
      </w:r>
      <w:r w:rsidRPr="00686BBC">
        <w:rPr>
          <w:b/>
          <w:bCs/>
          <w:sz w:val="20"/>
          <w:szCs w:val="20"/>
          <w:lang w:val="en-GB"/>
        </w:rPr>
        <w:t>related support in adaptation-related programming.</w:t>
      </w:r>
      <w:r w:rsidRPr="00686BBC">
        <w:rPr>
          <w:sz w:val="20"/>
          <w:szCs w:val="20"/>
          <w:lang w:val="en-GB"/>
        </w:rPr>
        <w:t xml:space="preserve"> </w:t>
      </w:r>
      <w:r w:rsidR="00BD555C" w:rsidRPr="00686BBC">
        <w:rPr>
          <w:sz w:val="20"/>
          <w:szCs w:val="20"/>
          <w:lang w:val="en-GB"/>
        </w:rPr>
        <w:t xml:space="preserve">In doing so, </w:t>
      </w:r>
      <w:r w:rsidRPr="00686BBC">
        <w:rPr>
          <w:sz w:val="20"/>
          <w:szCs w:val="20"/>
          <w:lang w:val="en-GB"/>
        </w:rPr>
        <w:t xml:space="preserve">UNDP </w:t>
      </w:r>
      <w:r w:rsidR="079934FC" w:rsidRPr="00686BBC">
        <w:rPr>
          <w:sz w:val="20"/>
          <w:szCs w:val="20"/>
          <w:lang w:val="en-GB"/>
        </w:rPr>
        <w:t>highlight</w:t>
      </w:r>
      <w:r w:rsidR="00CD617C">
        <w:rPr>
          <w:sz w:val="20"/>
          <w:szCs w:val="20"/>
          <w:lang w:val="en-GB"/>
        </w:rPr>
        <w:t>s</w:t>
      </w:r>
      <w:r w:rsidRPr="00686BBC">
        <w:rPr>
          <w:sz w:val="20"/>
          <w:szCs w:val="20"/>
          <w:lang w:val="en-GB"/>
        </w:rPr>
        <w:t xml:space="preserve"> the strong progress and </w:t>
      </w:r>
      <w:r w:rsidR="16E6AF2E" w:rsidRPr="00686BBC">
        <w:rPr>
          <w:sz w:val="20"/>
          <w:szCs w:val="20"/>
          <w:lang w:val="en-GB"/>
        </w:rPr>
        <w:t>robust</w:t>
      </w:r>
      <w:r w:rsidRPr="00686BBC">
        <w:rPr>
          <w:sz w:val="20"/>
          <w:szCs w:val="20"/>
          <w:lang w:val="en-GB"/>
        </w:rPr>
        <w:t xml:space="preserve"> results in advancing gender equality and women’s empowerment through its adaptation-related programming. As noted in the evaluation, UNDP focus on gender equality </w:t>
      </w:r>
      <w:r w:rsidR="00CD617C">
        <w:rPr>
          <w:sz w:val="20"/>
          <w:szCs w:val="20"/>
          <w:lang w:val="en-GB"/>
        </w:rPr>
        <w:t>(</w:t>
      </w:r>
      <w:r w:rsidRPr="00686BBC">
        <w:rPr>
          <w:sz w:val="20"/>
          <w:szCs w:val="20"/>
          <w:lang w:val="en-GB"/>
        </w:rPr>
        <w:t>in investments marked as having an adaptation objective</w:t>
      </w:r>
      <w:r w:rsidR="00CD617C">
        <w:rPr>
          <w:sz w:val="20"/>
          <w:szCs w:val="20"/>
          <w:lang w:val="en-GB"/>
        </w:rPr>
        <w:t>)</w:t>
      </w:r>
      <w:r w:rsidRPr="00686BBC">
        <w:rPr>
          <w:sz w:val="20"/>
          <w:szCs w:val="20"/>
          <w:lang w:val="en-GB"/>
        </w:rPr>
        <w:t xml:space="preserve"> is in line with</w:t>
      </w:r>
      <w:r w:rsidR="00CD617C">
        <w:rPr>
          <w:sz w:val="20"/>
          <w:szCs w:val="20"/>
          <w:lang w:val="en-GB"/>
        </w:rPr>
        <w:t>,</w:t>
      </w:r>
      <w:r w:rsidRPr="00686BBC">
        <w:rPr>
          <w:sz w:val="20"/>
          <w:szCs w:val="20"/>
          <w:lang w:val="en-GB"/>
        </w:rPr>
        <w:t xml:space="preserve"> if not better than</w:t>
      </w:r>
      <w:r w:rsidR="00CD617C">
        <w:rPr>
          <w:sz w:val="20"/>
          <w:szCs w:val="20"/>
          <w:lang w:val="en-GB"/>
        </w:rPr>
        <w:t>,</w:t>
      </w:r>
      <w:r w:rsidRPr="00686BBC">
        <w:rPr>
          <w:sz w:val="20"/>
          <w:szCs w:val="20"/>
          <w:lang w:val="en-GB"/>
        </w:rPr>
        <w:t xml:space="preserve"> the </w:t>
      </w:r>
      <w:r w:rsidR="00CD617C">
        <w:rPr>
          <w:sz w:val="20"/>
          <w:szCs w:val="20"/>
          <w:lang w:val="en-GB"/>
        </w:rPr>
        <w:t xml:space="preserve">Organisation for Economic Co-operation and Development </w:t>
      </w:r>
      <w:r w:rsidRPr="00686BBC">
        <w:rPr>
          <w:sz w:val="20"/>
          <w:szCs w:val="20"/>
          <w:lang w:val="en-GB"/>
        </w:rPr>
        <w:t xml:space="preserve">average. </w:t>
      </w:r>
      <w:r w:rsidR="001F70B1" w:rsidRPr="00686BBC">
        <w:rPr>
          <w:sz w:val="20"/>
          <w:szCs w:val="20"/>
          <w:lang w:val="en-GB"/>
        </w:rPr>
        <w:t xml:space="preserve">Currently, 67 </w:t>
      </w:r>
      <w:r w:rsidR="00CD617C">
        <w:rPr>
          <w:sz w:val="20"/>
          <w:szCs w:val="20"/>
          <w:lang w:val="en-GB"/>
        </w:rPr>
        <w:t xml:space="preserve">per cent </w:t>
      </w:r>
      <w:r w:rsidR="001F70B1" w:rsidRPr="00686BBC">
        <w:rPr>
          <w:sz w:val="20"/>
          <w:szCs w:val="20"/>
          <w:lang w:val="en-GB"/>
        </w:rPr>
        <w:t xml:space="preserve">of UNDP expenditures marked as having an adaptation objective have gender as either a significant or </w:t>
      </w:r>
      <w:r w:rsidR="00D229F5" w:rsidRPr="00686BBC">
        <w:rPr>
          <w:sz w:val="20"/>
          <w:szCs w:val="20"/>
          <w:lang w:val="en-GB"/>
        </w:rPr>
        <w:t>principal</w:t>
      </w:r>
      <w:r w:rsidR="001F70B1" w:rsidRPr="00686BBC">
        <w:rPr>
          <w:sz w:val="20"/>
          <w:szCs w:val="20"/>
          <w:lang w:val="en-GB"/>
        </w:rPr>
        <w:t xml:space="preserve"> objective. Within the adaptation portfolio, 84 </w:t>
      </w:r>
      <w:r w:rsidR="00CD617C">
        <w:rPr>
          <w:sz w:val="20"/>
          <w:szCs w:val="20"/>
          <w:lang w:val="en-GB"/>
        </w:rPr>
        <w:t xml:space="preserve">per cent </w:t>
      </w:r>
      <w:r w:rsidR="001F70B1" w:rsidRPr="00686BBC">
        <w:rPr>
          <w:sz w:val="20"/>
          <w:szCs w:val="20"/>
          <w:lang w:val="en-GB"/>
        </w:rPr>
        <w:t xml:space="preserve">of adaptation </w:t>
      </w:r>
      <w:r w:rsidR="001F70B1" w:rsidRPr="00686BBC">
        <w:rPr>
          <w:sz w:val="20"/>
          <w:szCs w:val="20"/>
          <w:lang w:val="en-GB"/>
        </w:rPr>
        <w:lastRenderedPageBreak/>
        <w:t xml:space="preserve">projects directly mainstream gender and advance gender equality. In addition, the current portfolio of projects financed by the environmental vertical funds apply gender analysis and action plan requirements across </w:t>
      </w:r>
      <w:r w:rsidR="00CD617C">
        <w:rPr>
          <w:sz w:val="20"/>
          <w:szCs w:val="20"/>
          <w:lang w:val="en-GB"/>
        </w:rPr>
        <w:t xml:space="preserve">the </w:t>
      </w:r>
      <w:r w:rsidR="001F70B1" w:rsidRPr="00686BBC">
        <w:rPr>
          <w:sz w:val="20"/>
          <w:szCs w:val="20"/>
          <w:lang w:val="en-GB"/>
        </w:rPr>
        <w:t xml:space="preserve">entire portfolio to ensure that gender considerations are included during project design and development stages. </w:t>
      </w:r>
      <w:r w:rsidRPr="00686BBC">
        <w:rPr>
          <w:sz w:val="20"/>
          <w:szCs w:val="20"/>
          <w:lang w:val="en-GB"/>
        </w:rPr>
        <w:t>At global level, UNDP has worked to ensure gender considerations are integrated in key climate finance mechanisms, including in establish</w:t>
      </w:r>
      <w:r w:rsidR="00CD617C">
        <w:rPr>
          <w:sz w:val="20"/>
          <w:szCs w:val="20"/>
          <w:lang w:val="en-GB"/>
        </w:rPr>
        <w:t>ing</w:t>
      </w:r>
      <w:r w:rsidRPr="00686BBC">
        <w:rPr>
          <w:sz w:val="20"/>
          <w:szCs w:val="20"/>
          <w:lang w:val="en-GB"/>
        </w:rPr>
        <w:t xml:space="preserve"> GCF and develop</w:t>
      </w:r>
      <w:r w:rsidR="00CD617C">
        <w:rPr>
          <w:sz w:val="20"/>
          <w:szCs w:val="20"/>
          <w:lang w:val="en-GB"/>
        </w:rPr>
        <w:t>ing</w:t>
      </w:r>
      <w:r w:rsidRPr="00686BBC">
        <w:rPr>
          <w:sz w:val="20"/>
          <w:szCs w:val="20"/>
          <w:lang w:val="en-GB"/>
        </w:rPr>
        <w:t xml:space="preserve"> its initial and subsequent gender policy and action plan</w:t>
      </w:r>
      <w:r w:rsidR="00FA5DC8" w:rsidRPr="00686BBC">
        <w:rPr>
          <w:sz w:val="20"/>
          <w:szCs w:val="20"/>
          <w:lang w:val="en-GB"/>
        </w:rPr>
        <w:t xml:space="preserve">. UNDP </w:t>
      </w:r>
      <w:r w:rsidRPr="00686BBC">
        <w:rPr>
          <w:sz w:val="20"/>
          <w:szCs w:val="20"/>
          <w:lang w:val="en-GB"/>
        </w:rPr>
        <w:t xml:space="preserve">continues to serve in a leadership role in key global partnerships, including the GEF Gender Partnership and the </w:t>
      </w:r>
      <w:r w:rsidR="00CD617C">
        <w:rPr>
          <w:sz w:val="20"/>
          <w:szCs w:val="20"/>
          <w:lang w:val="en-GB"/>
        </w:rPr>
        <w:t xml:space="preserve">United Nations Entity for Gender Equality and the Empowerment of Women (UN-Women) </w:t>
      </w:r>
      <w:r w:rsidR="0066472B" w:rsidRPr="00686BBC">
        <w:rPr>
          <w:sz w:val="20"/>
          <w:szCs w:val="20"/>
          <w:lang w:val="en-GB"/>
        </w:rPr>
        <w:t xml:space="preserve">Generation Equality </w:t>
      </w:r>
      <w:r w:rsidR="00CD617C">
        <w:rPr>
          <w:sz w:val="20"/>
          <w:szCs w:val="20"/>
          <w:lang w:val="en-GB"/>
        </w:rPr>
        <w:t>Forum action c</w:t>
      </w:r>
      <w:r w:rsidR="0066472B" w:rsidRPr="00686BBC">
        <w:rPr>
          <w:sz w:val="20"/>
          <w:szCs w:val="20"/>
          <w:lang w:val="en-GB"/>
        </w:rPr>
        <w:t xml:space="preserve">oalition on </w:t>
      </w:r>
      <w:r w:rsidR="00CD617C">
        <w:rPr>
          <w:sz w:val="20"/>
          <w:szCs w:val="20"/>
          <w:lang w:val="en-GB"/>
        </w:rPr>
        <w:t>f</w:t>
      </w:r>
      <w:r w:rsidR="0066472B" w:rsidRPr="00686BBC">
        <w:rPr>
          <w:sz w:val="20"/>
          <w:szCs w:val="20"/>
          <w:lang w:val="en-GB"/>
        </w:rPr>
        <w:t xml:space="preserve">eminist </w:t>
      </w:r>
      <w:r w:rsidR="00CD617C">
        <w:rPr>
          <w:sz w:val="20"/>
          <w:szCs w:val="20"/>
          <w:lang w:val="en-GB"/>
        </w:rPr>
        <w:t>a</w:t>
      </w:r>
      <w:r w:rsidR="0066472B" w:rsidRPr="00686BBC">
        <w:rPr>
          <w:sz w:val="20"/>
          <w:szCs w:val="20"/>
          <w:lang w:val="en-GB"/>
        </w:rPr>
        <w:t>ction</w:t>
      </w:r>
      <w:r w:rsidRPr="00686BBC">
        <w:rPr>
          <w:sz w:val="20"/>
          <w:szCs w:val="20"/>
          <w:lang w:val="en-GB"/>
        </w:rPr>
        <w:t xml:space="preserve"> for </w:t>
      </w:r>
      <w:r w:rsidR="00CD617C">
        <w:rPr>
          <w:sz w:val="20"/>
          <w:szCs w:val="20"/>
          <w:lang w:val="en-GB"/>
        </w:rPr>
        <w:t>c</w:t>
      </w:r>
      <w:r w:rsidRPr="00686BBC">
        <w:rPr>
          <w:sz w:val="20"/>
          <w:szCs w:val="20"/>
          <w:lang w:val="en-GB"/>
        </w:rPr>
        <w:t xml:space="preserve">limate </w:t>
      </w:r>
      <w:r w:rsidR="00CD617C">
        <w:rPr>
          <w:sz w:val="20"/>
          <w:szCs w:val="20"/>
          <w:lang w:val="en-GB"/>
        </w:rPr>
        <w:t>j</w:t>
      </w:r>
      <w:r w:rsidRPr="00686BBC">
        <w:rPr>
          <w:sz w:val="20"/>
          <w:szCs w:val="20"/>
          <w:lang w:val="en-GB"/>
        </w:rPr>
        <w:t xml:space="preserve">ustice. Project-level results have contributed to gender equality, including supporting women’s economic opportunities in climate-resilient livelihoods, such as through targeting women-led SMEs and women’s collective groups, </w:t>
      </w:r>
      <w:r w:rsidR="00CD617C">
        <w:rPr>
          <w:sz w:val="20"/>
          <w:szCs w:val="20"/>
          <w:lang w:val="en-GB"/>
        </w:rPr>
        <w:t xml:space="preserve">and </w:t>
      </w:r>
      <w:r w:rsidRPr="00686BBC">
        <w:rPr>
          <w:sz w:val="20"/>
          <w:szCs w:val="20"/>
          <w:lang w:val="en-GB"/>
        </w:rPr>
        <w:t>support for women farmers through climate</w:t>
      </w:r>
      <w:r w:rsidR="00CD617C">
        <w:rPr>
          <w:sz w:val="20"/>
          <w:szCs w:val="20"/>
          <w:lang w:val="en-GB"/>
        </w:rPr>
        <w:t>-</w:t>
      </w:r>
      <w:r w:rsidRPr="00686BBC">
        <w:rPr>
          <w:sz w:val="20"/>
          <w:szCs w:val="20"/>
          <w:lang w:val="en-GB"/>
        </w:rPr>
        <w:t>smart agriculture; boosting women’s decision-making and leadership in climate</w:t>
      </w:r>
      <w:r w:rsidR="00CD617C">
        <w:rPr>
          <w:sz w:val="20"/>
          <w:szCs w:val="20"/>
          <w:lang w:val="en-GB"/>
        </w:rPr>
        <w:t>-</w:t>
      </w:r>
      <w:r w:rsidRPr="00686BBC">
        <w:rPr>
          <w:sz w:val="20"/>
          <w:szCs w:val="20"/>
          <w:lang w:val="en-GB"/>
        </w:rPr>
        <w:t>resilient governance, particularly at local level; and supporting gender responsive policies</w:t>
      </w:r>
      <w:r w:rsidR="001F70B1" w:rsidRPr="00686BBC">
        <w:rPr>
          <w:sz w:val="20"/>
          <w:szCs w:val="20"/>
          <w:lang w:val="en-GB"/>
        </w:rPr>
        <w:t xml:space="preserve">. </w:t>
      </w:r>
      <w:r w:rsidR="008249DA" w:rsidRPr="00686BBC">
        <w:rPr>
          <w:sz w:val="20"/>
          <w:szCs w:val="20"/>
          <w:lang w:val="en-GB"/>
        </w:rPr>
        <w:t xml:space="preserve">Examples of this work in </w:t>
      </w:r>
      <w:r w:rsidR="00CD617C">
        <w:rPr>
          <w:sz w:val="20"/>
          <w:szCs w:val="20"/>
          <w:lang w:val="en-GB"/>
        </w:rPr>
        <w:t>include:</w:t>
      </w:r>
      <w:r w:rsidR="008249DA" w:rsidRPr="00686BBC">
        <w:rPr>
          <w:sz w:val="20"/>
          <w:szCs w:val="20"/>
          <w:lang w:val="en-GB"/>
        </w:rPr>
        <w:t xml:space="preserve"> </w:t>
      </w:r>
      <w:hyperlink r:id="rId16" w:history="1">
        <w:r w:rsidR="00CD617C" w:rsidRPr="00CD617C">
          <w:rPr>
            <w:rStyle w:val="Hyperlink"/>
            <w:sz w:val="20"/>
            <w:szCs w:val="20"/>
            <w:lang w:val="en-GB"/>
          </w:rPr>
          <w:t xml:space="preserve">From </w:t>
        </w:r>
        <w:r w:rsidR="008249DA" w:rsidRPr="00CD617C">
          <w:rPr>
            <w:rStyle w:val="Hyperlink"/>
            <w:sz w:val="20"/>
            <w:szCs w:val="20"/>
            <w:lang w:val="en-GB"/>
          </w:rPr>
          <w:t>Word to Action: Projects with Innovative Solutions to Promote Nature Conservation, Climate Action and Gender Equality</w:t>
        </w:r>
      </w:hyperlink>
      <w:r w:rsidR="00CD617C">
        <w:rPr>
          <w:color w:val="000000" w:themeColor="text1"/>
          <w:sz w:val="20"/>
          <w:szCs w:val="20"/>
          <w:lang w:val="en-GB"/>
        </w:rPr>
        <w:t xml:space="preserve"> (Costa Rica)</w:t>
      </w:r>
      <w:r w:rsidR="008249DA" w:rsidRPr="00686BBC">
        <w:rPr>
          <w:sz w:val="20"/>
          <w:szCs w:val="20"/>
          <w:lang w:val="en-GB"/>
        </w:rPr>
        <w:t xml:space="preserve">; </w:t>
      </w:r>
      <w:hyperlink r:id="rId17" w:history="1">
        <w:r w:rsidR="00CC7BCE" w:rsidRPr="00CD617C">
          <w:rPr>
            <w:rStyle w:val="Hyperlink"/>
            <w:sz w:val="20"/>
            <w:szCs w:val="20"/>
            <w:lang w:val="en-GB"/>
          </w:rPr>
          <w:t xml:space="preserve">Enhancing </w:t>
        </w:r>
        <w:r w:rsidR="00CD617C">
          <w:rPr>
            <w:rStyle w:val="Hyperlink"/>
            <w:sz w:val="20"/>
            <w:szCs w:val="20"/>
            <w:lang w:val="en-GB"/>
          </w:rPr>
          <w:t>a</w:t>
        </w:r>
        <w:r w:rsidR="00CC7BCE" w:rsidRPr="00CD617C">
          <w:rPr>
            <w:rStyle w:val="Hyperlink"/>
            <w:sz w:val="20"/>
            <w:szCs w:val="20"/>
            <w:lang w:val="en-GB"/>
          </w:rPr>
          <w:t xml:space="preserve">daptive </w:t>
        </w:r>
        <w:r w:rsidR="00CD617C">
          <w:rPr>
            <w:rStyle w:val="Hyperlink"/>
            <w:sz w:val="20"/>
            <w:szCs w:val="20"/>
            <w:lang w:val="en-GB"/>
          </w:rPr>
          <w:t>c</w:t>
        </w:r>
        <w:r w:rsidR="00CC7BCE" w:rsidRPr="00CD617C">
          <w:rPr>
            <w:rStyle w:val="Hyperlink"/>
            <w:sz w:val="20"/>
            <w:szCs w:val="20"/>
            <w:lang w:val="en-GB"/>
          </w:rPr>
          <w:t>apacities of coastal communities, especially women, to cope with climate change induced salinity</w:t>
        </w:r>
      </w:hyperlink>
      <w:r w:rsidR="00CD617C">
        <w:rPr>
          <w:sz w:val="20"/>
          <w:szCs w:val="20"/>
          <w:lang w:val="en-GB"/>
        </w:rPr>
        <w:t xml:space="preserve"> (Bangladesh)</w:t>
      </w:r>
      <w:r w:rsidR="008249DA" w:rsidRPr="00686BBC">
        <w:rPr>
          <w:sz w:val="20"/>
          <w:szCs w:val="20"/>
          <w:lang w:val="en-GB"/>
        </w:rPr>
        <w:t xml:space="preserve">; </w:t>
      </w:r>
      <w:hyperlink r:id="rId18" w:history="1">
        <w:r w:rsidR="008249DA" w:rsidRPr="00CD617C">
          <w:rPr>
            <w:rStyle w:val="Hyperlink"/>
            <w:sz w:val="20"/>
            <w:szCs w:val="20"/>
            <w:lang w:val="en-GB"/>
          </w:rPr>
          <w:t>DIPECHO II</w:t>
        </w:r>
      </w:hyperlink>
      <w:r w:rsidR="008249DA" w:rsidRPr="00686BBC">
        <w:rPr>
          <w:sz w:val="20"/>
          <w:szCs w:val="20"/>
          <w:lang w:val="en-GB"/>
        </w:rPr>
        <w:t xml:space="preserve"> </w:t>
      </w:r>
      <w:r w:rsidR="00CD617C">
        <w:rPr>
          <w:sz w:val="20"/>
          <w:szCs w:val="20"/>
          <w:lang w:val="en-GB"/>
        </w:rPr>
        <w:t>(</w:t>
      </w:r>
      <w:r w:rsidR="006A3E21">
        <w:rPr>
          <w:sz w:val="20"/>
          <w:szCs w:val="20"/>
          <w:lang w:val="en-GB"/>
        </w:rPr>
        <w:t xml:space="preserve">Latin America and </w:t>
      </w:r>
      <w:r w:rsidR="00CD617C">
        <w:rPr>
          <w:sz w:val="20"/>
          <w:szCs w:val="20"/>
          <w:lang w:val="en-GB"/>
        </w:rPr>
        <w:t xml:space="preserve">the Caribbean), </w:t>
      </w:r>
      <w:r w:rsidR="008249DA" w:rsidRPr="00686BBC">
        <w:rPr>
          <w:sz w:val="20"/>
          <w:szCs w:val="20"/>
          <w:lang w:val="en-GB"/>
        </w:rPr>
        <w:t xml:space="preserve">and </w:t>
      </w:r>
      <w:hyperlink r:id="rId19" w:history="1">
        <w:proofErr w:type="spellStart"/>
        <w:r w:rsidR="008249DA" w:rsidRPr="00CD617C">
          <w:rPr>
            <w:rStyle w:val="Hyperlink"/>
            <w:sz w:val="20"/>
            <w:szCs w:val="20"/>
            <w:lang w:val="en-GB"/>
          </w:rPr>
          <w:t>EnGenDER</w:t>
        </w:r>
        <w:proofErr w:type="spellEnd"/>
      </w:hyperlink>
      <w:r w:rsidR="008249DA" w:rsidRPr="00686BBC">
        <w:rPr>
          <w:sz w:val="20"/>
          <w:szCs w:val="20"/>
          <w:lang w:val="en-GB"/>
        </w:rPr>
        <w:t>.</w:t>
      </w:r>
    </w:p>
    <w:p w14:paraId="00548D17" w14:textId="21886DCB" w:rsidR="002949F2" w:rsidRPr="00686BBC" w:rsidRDefault="006C0D18" w:rsidP="004E27FF">
      <w:pPr>
        <w:pStyle w:val="NormalWeb"/>
        <w:numPr>
          <w:ilvl w:val="0"/>
          <w:numId w:val="9"/>
        </w:numPr>
        <w:tabs>
          <w:tab w:val="left" w:pos="1440"/>
        </w:tabs>
        <w:spacing w:before="0" w:beforeAutospacing="0" w:after="0" w:afterAutospacing="0"/>
        <w:ind w:left="1080" w:right="-173" w:firstLine="0"/>
        <w:jc w:val="both"/>
        <w:rPr>
          <w:color w:val="0A0A0A"/>
          <w:spacing w:val="8"/>
          <w:sz w:val="20"/>
          <w:szCs w:val="20"/>
          <w:shd w:val="clear" w:color="auto" w:fill="FEFEFE"/>
          <w:lang w:val="en-GB"/>
        </w:rPr>
      </w:pPr>
      <w:r w:rsidRPr="00E071C3">
        <w:rPr>
          <w:b/>
          <w:bCs/>
          <w:sz w:val="20"/>
          <w:szCs w:val="20"/>
          <w:lang w:val="en-GB"/>
        </w:rPr>
        <w:t>UNDP takes note of recommendation 8</w:t>
      </w:r>
      <w:r w:rsidR="00937049" w:rsidRPr="00E071C3">
        <w:rPr>
          <w:b/>
          <w:bCs/>
          <w:sz w:val="20"/>
          <w:szCs w:val="20"/>
          <w:lang w:val="en-GB"/>
        </w:rPr>
        <w:t>,</w:t>
      </w:r>
      <w:r w:rsidRPr="00E071C3">
        <w:rPr>
          <w:b/>
          <w:bCs/>
          <w:sz w:val="20"/>
          <w:szCs w:val="20"/>
          <w:lang w:val="en-GB"/>
        </w:rPr>
        <w:t xml:space="preserve"> which identifies </w:t>
      </w:r>
      <w:r w:rsidR="00E071C3" w:rsidRPr="00E071C3">
        <w:rPr>
          <w:b/>
          <w:bCs/>
          <w:sz w:val="20"/>
          <w:szCs w:val="20"/>
          <w:lang w:val="en-GB"/>
        </w:rPr>
        <w:t>that</w:t>
      </w:r>
      <w:r w:rsidR="00E071C3">
        <w:rPr>
          <w:b/>
          <w:bCs/>
          <w:sz w:val="20"/>
          <w:szCs w:val="20"/>
          <w:lang w:val="en-GB"/>
        </w:rPr>
        <w:t>,</w:t>
      </w:r>
      <w:r w:rsidR="00E071C3" w:rsidRPr="00E071C3">
        <w:rPr>
          <w:b/>
          <w:bCs/>
          <w:sz w:val="20"/>
          <w:szCs w:val="20"/>
          <w:lang w:val="en-GB"/>
        </w:rPr>
        <w:t xml:space="preserve"> in order to better coordinate across an increasingly complex portfolio of environment projects, including for climate change,</w:t>
      </w:r>
      <w:r w:rsidR="00E071C3" w:rsidRPr="00E071C3">
        <w:rPr>
          <w:sz w:val="20"/>
          <w:szCs w:val="20"/>
          <w:lang w:val="en-GB"/>
        </w:rPr>
        <w:t xml:space="preserve"> </w:t>
      </w:r>
      <w:r w:rsidRPr="00686BBC">
        <w:rPr>
          <w:b/>
          <w:bCs/>
          <w:sz w:val="20"/>
          <w:szCs w:val="20"/>
          <w:lang w:val="en-GB"/>
        </w:rPr>
        <w:t xml:space="preserve">UNDP </w:t>
      </w:r>
      <w:r w:rsidR="00E071C3">
        <w:rPr>
          <w:b/>
          <w:bCs/>
          <w:sz w:val="20"/>
          <w:szCs w:val="20"/>
          <w:lang w:val="en-GB"/>
        </w:rPr>
        <w:t xml:space="preserve">should </w:t>
      </w:r>
      <w:r w:rsidRPr="00686BBC">
        <w:rPr>
          <w:b/>
          <w:bCs/>
          <w:sz w:val="20"/>
          <w:szCs w:val="20"/>
          <w:lang w:val="en-GB"/>
        </w:rPr>
        <w:t xml:space="preserve">take steps to upgrade its information management </w:t>
      </w:r>
      <w:r w:rsidRPr="00E071C3">
        <w:rPr>
          <w:b/>
          <w:bCs/>
          <w:sz w:val="20"/>
          <w:szCs w:val="20"/>
          <w:lang w:val="en-GB"/>
        </w:rPr>
        <w:t>system and avoid running separate/parallel information systems for specific programme portfolios.</w:t>
      </w:r>
      <w:r w:rsidRPr="00686BBC">
        <w:rPr>
          <w:sz w:val="20"/>
          <w:szCs w:val="20"/>
          <w:lang w:val="en-GB"/>
        </w:rPr>
        <w:t xml:space="preserve"> </w:t>
      </w:r>
      <w:r w:rsidR="00817072" w:rsidRPr="00686BBC">
        <w:rPr>
          <w:sz w:val="20"/>
          <w:szCs w:val="20"/>
          <w:lang w:val="en-GB"/>
        </w:rPr>
        <w:t>UNDP note</w:t>
      </w:r>
      <w:r w:rsidR="00937049">
        <w:rPr>
          <w:sz w:val="20"/>
          <w:szCs w:val="20"/>
          <w:lang w:val="en-GB"/>
        </w:rPr>
        <w:t>s</w:t>
      </w:r>
      <w:r w:rsidR="00817072" w:rsidRPr="00686BBC">
        <w:rPr>
          <w:sz w:val="20"/>
          <w:szCs w:val="20"/>
          <w:lang w:val="en-GB"/>
        </w:rPr>
        <w:t xml:space="preserve"> that the project information management system (PIMS+) is specifically designed to monitor oversight services required by </w:t>
      </w:r>
      <w:r w:rsidR="00937049">
        <w:rPr>
          <w:sz w:val="20"/>
          <w:szCs w:val="20"/>
          <w:lang w:val="en-GB"/>
        </w:rPr>
        <w:t>v</w:t>
      </w:r>
      <w:r w:rsidR="00817072" w:rsidRPr="00686BBC">
        <w:rPr>
          <w:sz w:val="20"/>
          <w:szCs w:val="20"/>
          <w:lang w:val="en-GB"/>
        </w:rPr>
        <w:t xml:space="preserve">ertical </w:t>
      </w:r>
      <w:r w:rsidR="00937049">
        <w:rPr>
          <w:sz w:val="20"/>
          <w:szCs w:val="20"/>
          <w:lang w:val="en-GB"/>
        </w:rPr>
        <w:t>f</w:t>
      </w:r>
      <w:r w:rsidR="00817072" w:rsidRPr="00686BBC">
        <w:rPr>
          <w:sz w:val="20"/>
          <w:szCs w:val="20"/>
          <w:lang w:val="en-GB"/>
        </w:rPr>
        <w:t>unds. While PIMS+ is already linked to Atlas</w:t>
      </w:r>
      <w:r w:rsidR="00320980" w:rsidRPr="00686BBC">
        <w:rPr>
          <w:sz w:val="20"/>
          <w:szCs w:val="20"/>
          <w:lang w:val="en-GB"/>
        </w:rPr>
        <w:t>,</w:t>
      </w:r>
      <w:r w:rsidR="00817072" w:rsidRPr="00686BBC">
        <w:rPr>
          <w:sz w:val="20"/>
          <w:szCs w:val="20"/>
          <w:lang w:val="en-GB"/>
        </w:rPr>
        <w:t xml:space="preserve"> UNDP will take further steps to integrate PIMS+ into </w:t>
      </w:r>
      <w:r w:rsidR="001F70B1" w:rsidRPr="00686BBC">
        <w:rPr>
          <w:sz w:val="20"/>
          <w:szCs w:val="20"/>
          <w:lang w:val="en-GB"/>
        </w:rPr>
        <w:t>its</w:t>
      </w:r>
      <w:r w:rsidR="00817072" w:rsidRPr="00686BBC">
        <w:rPr>
          <w:sz w:val="20"/>
          <w:szCs w:val="20"/>
          <w:lang w:val="en-GB"/>
        </w:rPr>
        <w:t xml:space="preserve"> new cloud-based </w:t>
      </w:r>
      <w:r w:rsidR="00937049">
        <w:rPr>
          <w:sz w:val="20"/>
          <w:szCs w:val="20"/>
          <w:lang w:val="en-GB"/>
        </w:rPr>
        <w:t xml:space="preserve">enterprise resource planning </w:t>
      </w:r>
      <w:r w:rsidR="00817072" w:rsidRPr="00686BBC">
        <w:rPr>
          <w:sz w:val="20"/>
          <w:szCs w:val="20"/>
          <w:lang w:val="en-GB"/>
        </w:rPr>
        <w:t xml:space="preserve">system </w:t>
      </w:r>
      <w:r w:rsidRPr="00686BBC">
        <w:rPr>
          <w:sz w:val="20"/>
          <w:szCs w:val="20"/>
          <w:lang w:val="en-GB"/>
        </w:rPr>
        <w:t>for effective and efficient monitoring and reporting at the project and portfolio levels</w:t>
      </w:r>
      <w:r w:rsidR="007B7FBB" w:rsidRPr="00686BBC">
        <w:rPr>
          <w:sz w:val="20"/>
          <w:szCs w:val="20"/>
          <w:lang w:val="en-GB"/>
        </w:rPr>
        <w:t xml:space="preserve"> while keeping its core functionalities</w:t>
      </w:r>
      <w:r w:rsidR="001F70B1" w:rsidRPr="00686BBC">
        <w:rPr>
          <w:sz w:val="20"/>
          <w:szCs w:val="20"/>
          <w:lang w:val="en-GB"/>
        </w:rPr>
        <w:t xml:space="preserve">.  </w:t>
      </w:r>
    </w:p>
    <w:p w14:paraId="040B1BDE" w14:textId="62C72456" w:rsidR="008806D3" w:rsidRPr="00686BBC" w:rsidRDefault="008806D3" w:rsidP="00D66C5F">
      <w:pPr>
        <w:pStyle w:val="NormalWeb"/>
        <w:tabs>
          <w:tab w:val="left" w:pos="1620"/>
        </w:tabs>
        <w:spacing w:before="0" w:beforeAutospacing="0" w:after="0" w:afterAutospacing="0"/>
        <w:ind w:right="-169"/>
        <w:jc w:val="both"/>
        <w:rPr>
          <w:color w:val="0A0A0A"/>
          <w:spacing w:val="8"/>
          <w:sz w:val="20"/>
          <w:szCs w:val="20"/>
          <w:shd w:val="clear" w:color="auto" w:fill="FEFEFE"/>
          <w:lang w:val="en-GB"/>
        </w:rPr>
      </w:pPr>
    </w:p>
    <w:p w14:paraId="365FCAB6" w14:textId="25AB4A69" w:rsidR="00843DEE" w:rsidRPr="00686BBC" w:rsidRDefault="00843DEE" w:rsidP="00D66C5F">
      <w:pPr>
        <w:pStyle w:val="ListParagraph"/>
        <w:tabs>
          <w:tab w:val="left" w:pos="720"/>
          <w:tab w:val="left" w:pos="1620"/>
        </w:tabs>
        <w:ind w:left="1080" w:right="-144" w:hanging="450"/>
        <w:jc w:val="both"/>
        <w:rPr>
          <w:b/>
          <w:sz w:val="28"/>
          <w:szCs w:val="28"/>
          <w:lang w:val="en-GB"/>
        </w:rPr>
      </w:pPr>
      <w:r w:rsidRPr="00686BBC">
        <w:rPr>
          <w:b/>
          <w:sz w:val="28"/>
          <w:szCs w:val="28"/>
          <w:lang w:val="en-GB"/>
        </w:rPr>
        <w:t>V.</w:t>
      </w:r>
      <w:r w:rsidR="7D033633" w:rsidRPr="00686BBC">
        <w:rPr>
          <w:b/>
          <w:bCs/>
          <w:sz w:val="28"/>
          <w:szCs w:val="28"/>
          <w:lang w:val="en-GB"/>
        </w:rPr>
        <w:t xml:space="preserve"> </w:t>
      </w:r>
      <w:r w:rsidRPr="00686BBC">
        <w:rPr>
          <w:b/>
          <w:sz w:val="28"/>
          <w:szCs w:val="28"/>
          <w:lang w:val="en-GB"/>
        </w:rPr>
        <w:tab/>
        <w:t xml:space="preserve">Future UNDP </w:t>
      </w:r>
      <w:r w:rsidR="00FD6587" w:rsidRPr="00686BBC">
        <w:rPr>
          <w:b/>
          <w:sz w:val="28"/>
          <w:szCs w:val="28"/>
          <w:lang w:val="en-GB"/>
        </w:rPr>
        <w:t>s</w:t>
      </w:r>
      <w:r w:rsidRPr="00686BBC">
        <w:rPr>
          <w:b/>
          <w:sz w:val="28"/>
          <w:szCs w:val="28"/>
          <w:lang w:val="en-GB"/>
        </w:rPr>
        <w:t xml:space="preserve">upport </w:t>
      </w:r>
      <w:r w:rsidR="002E0C4D" w:rsidRPr="00686BBC">
        <w:rPr>
          <w:b/>
          <w:sz w:val="28"/>
          <w:szCs w:val="28"/>
          <w:lang w:val="en-GB"/>
        </w:rPr>
        <w:t xml:space="preserve">for </w:t>
      </w:r>
      <w:r w:rsidR="00937049">
        <w:rPr>
          <w:b/>
          <w:sz w:val="28"/>
          <w:szCs w:val="28"/>
          <w:lang w:val="en-GB"/>
        </w:rPr>
        <w:t>c</w:t>
      </w:r>
      <w:r w:rsidR="002E0C4D" w:rsidRPr="00686BBC">
        <w:rPr>
          <w:b/>
          <w:sz w:val="28"/>
          <w:szCs w:val="28"/>
          <w:lang w:val="en-GB"/>
        </w:rPr>
        <w:t>limate change adaptation</w:t>
      </w:r>
    </w:p>
    <w:p w14:paraId="3E2865BC" w14:textId="77777777" w:rsidR="00770F7D" w:rsidRPr="00686BBC" w:rsidRDefault="00770F7D" w:rsidP="00D66C5F">
      <w:pPr>
        <w:pStyle w:val="NormalWeb"/>
        <w:tabs>
          <w:tab w:val="left" w:pos="1440"/>
        </w:tabs>
        <w:spacing w:before="0" w:beforeAutospacing="0" w:after="0" w:afterAutospacing="0"/>
        <w:ind w:right="-169"/>
        <w:jc w:val="both"/>
        <w:rPr>
          <w:bCs/>
          <w:color w:val="0A0A0A"/>
          <w:spacing w:val="8"/>
          <w:sz w:val="22"/>
          <w:szCs w:val="22"/>
          <w:shd w:val="clear" w:color="auto" w:fill="FEFEFE"/>
          <w:lang w:val="en-GB"/>
        </w:rPr>
      </w:pPr>
    </w:p>
    <w:p w14:paraId="04048BEE" w14:textId="768FCE7F" w:rsidR="005949E0" w:rsidRPr="00686BBC" w:rsidRDefault="00770F7D" w:rsidP="00D66C5F">
      <w:pPr>
        <w:pStyle w:val="NormalWeb"/>
        <w:numPr>
          <w:ilvl w:val="0"/>
          <w:numId w:val="18"/>
        </w:numPr>
        <w:tabs>
          <w:tab w:val="left" w:pos="1440"/>
        </w:tabs>
        <w:spacing w:before="0" w:beforeAutospacing="0" w:after="0" w:afterAutospacing="0"/>
        <w:ind w:left="1080" w:right="-173" w:firstLine="0"/>
        <w:jc w:val="both"/>
        <w:rPr>
          <w:color w:val="0A0A0A"/>
          <w:spacing w:val="8"/>
          <w:sz w:val="20"/>
          <w:szCs w:val="20"/>
          <w:shd w:val="clear" w:color="auto" w:fill="FEFEFE"/>
          <w:lang w:val="en-GB"/>
        </w:rPr>
      </w:pPr>
      <w:r w:rsidRPr="00686BBC">
        <w:rPr>
          <w:b/>
          <w:bCs/>
          <w:color w:val="0A0A0A"/>
          <w:spacing w:val="8"/>
          <w:sz w:val="20"/>
          <w:szCs w:val="20"/>
          <w:shd w:val="clear" w:color="auto" w:fill="FEFEFE"/>
          <w:lang w:val="en-GB"/>
        </w:rPr>
        <w:t>The UNDP adaptation</w:t>
      </w:r>
      <w:r w:rsidR="00796AE1" w:rsidRPr="00686BBC">
        <w:rPr>
          <w:b/>
          <w:bCs/>
          <w:color w:val="0A0A0A"/>
          <w:spacing w:val="8"/>
          <w:sz w:val="20"/>
          <w:szCs w:val="20"/>
          <w:shd w:val="clear" w:color="auto" w:fill="FEFEFE"/>
          <w:lang w:val="en-GB"/>
        </w:rPr>
        <w:t xml:space="preserve"> </w:t>
      </w:r>
      <w:r w:rsidRPr="00686BBC">
        <w:rPr>
          <w:b/>
          <w:bCs/>
          <w:color w:val="0A0A0A"/>
          <w:spacing w:val="8"/>
          <w:sz w:val="20"/>
          <w:szCs w:val="20"/>
          <w:shd w:val="clear" w:color="auto" w:fill="FEFEFE"/>
          <w:lang w:val="en-GB"/>
        </w:rPr>
        <w:t>strategy is centred on designing and developing the next generation of adaptation proposals</w:t>
      </w:r>
      <w:r w:rsidRPr="00686BBC">
        <w:rPr>
          <w:color w:val="0A0A0A"/>
          <w:spacing w:val="8"/>
          <w:sz w:val="20"/>
          <w:szCs w:val="20"/>
          <w:shd w:val="clear" w:color="auto" w:fill="FEFEFE"/>
          <w:lang w:val="en-GB"/>
        </w:rPr>
        <w:t xml:space="preserve"> that</w:t>
      </w:r>
      <w:r w:rsidR="008E0B60">
        <w:rPr>
          <w:color w:val="0A0A0A"/>
          <w:spacing w:val="8"/>
          <w:sz w:val="20"/>
          <w:szCs w:val="20"/>
          <w:shd w:val="clear" w:color="auto" w:fill="FEFEFE"/>
          <w:lang w:val="en-GB"/>
        </w:rPr>
        <w:t>:</w:t>
      </w:r>
      <w:r w:rsidRPr="00686BBC">
        <w:rPr>
          <w:color w:val="0A0A0A"/>
          <w:spacing w:val="8"/>
          <w:sz w:val="20"/>
          <w:szCs w:val="20"/>
          <w:shd w:val="clear" w:color="auto" w:fill="FEFEFE"/>
          <w:lang w:val="en-GB"/>
        </w:rPr>
        <w:t xml:space="preserve"> </w:t>
      </w:r>
      <w:r w:rsidR="008E0B60">
        <w:rPr>
          <w:color w:val="0A0A0A"/>
          <w:spacing w:val="8"/>
          <w:sz w:val="20"/>
          <w:szCs w:val="20"/>
          <w:shd w:val="clear" w:color="auto" w:fill="FEFEFE"/>
          <w:lang w:val="en-GB"/>
        </w:rPr>
        <w:t>(a</w:t>
      </w:r>
      <w:r w:rsidRPr="00686BBC">
        <w:rPr>
          <w:color w:val="0A0A0A"/>
          <w:spacing w:val="8"/>
          <w:sz w:val="20"/>
          <w:szCs w:val="20"/>
          <w:shd w:val="clear" w:color="auto" w:fill="FEFEFE"/>
          <w:lang w:val="en-GB"/>
        </w:rPr>
        <w:t xml:space="preserve">) </w:t>
      </w:r>
      <w:r w:rsidR="001F70B1" w:rsidRPr="00686BBC">
        <w:rPr>
          <w:color w:val="0A0A0A"/>
          <w:spacing w:val="8"/>
          <w:sz w:val="20"/>
          <w:szCs w:val="20"/>
          <w:shd w:val="clear" w:color="auto" w:fill="FEFEFE"/>
          <w:lang w:val="en-GB"/>
        </w:rPr>
        <w:t xml:space="preserve">provide </w:t>
      </w:r>
      <w:r w:rsidRPr="00686BBC">
        <w:rPr>
          <w:color w:val="0A0A0A"/>
          <w:spacing w:val="8"/>
          <w:sz w:val="20"/>
          <w:szCs w:val="20"/>
          <w:shd w:val="clear" w:color="auto" w:fill="FEFEFE"/>
          <w:lang w:val="en-GB"/>
        </w:rPr>
        <w:t>innovative</w:t>
      </w:r>
      <w:r w:rsidR="12196445" w:rsidRPr="00686BBC">
        <w:rPr>
          <w:color w:val="0A0A0A"/>
          <w:sz w:val="20"/>
          <w:szCs w:val="20"/>
          <w:lang w:val="en-GB"/>
        </w:rPr>
        <w:t>, integrated</w:t>
      </w:r>
      <w:r w:rsidRPr="00686BBC">
        <w:rPr>
          <w:color w:val="0A0A0A"/>
          <w:spacing w:val="8"/>
          <w:sz w:val="20"/>
          <w:szCs w:val="20"/>
          <w:shd w:val="clear" w:color="auto" w:fill="FEFEFE"/>
          <w:lang w:val="en-GB"/>
        </w:rPr>
        <w:t xml:space="preserve"> solutions to adaptation that can deliver long-lasting</w:t>
      </w:r>
      <w:r w:rsidR="008E0B60">
        <w:rPr>
          <w:color w:val="0A0A0A"/>
          <w:spacing w:val="8"/>
          <w:sz w:val="20"/>
          <w:szCs w:val="20"/>
          <w:shd w:val="clear" w:color="auto" w:fill="FEFEFE"/>
          <w:lang w:val="en-GB"/>
        </w:rPr>
        <w:t xml:space="preserve">, </w:t>
      </w:r>
      <w:r w:rsidRPr="00686BBC">
        <w:rPr>
          <w:color w:val="0A0A0A"/>
          <w:spacing w:val="8"/>
          <w:sz w:val="20"/>
          <w:szCs w:val="20"/>
          <w:shd w:val="clear" w:color="auto" w:fill="FEFEFE"/>
          <w:lang w:val="en-GB"/>
        </w:rPr>
        <w:t xml:space="preserve">transformative results; </w:t>
      </w:r>
      <w:r w:rsidR="008E0B60">
        <w:rPr>
          <w:color w:val="0A0A0A"/>
          <w:spacing w:val="8"/>
          <w:sz w:val="20"/>
          <w:szCs w:val="20"/>
          <w:shd w:val="clear" w:color="auto" w:fill="FEFEFE"/>
          <w:lang w:val="en-GB"/>
        </w:rPr>
        <w:t>(b</w:t>
      </w:r>
      <w:r w:rsidRPr="00686BBC">
        <w:rPr>
          <w:color w:val="0A0A0A"/>
          <w:spacing w:val="8"/>
          <w:sz w:val="20"/>
          <w:szCs w:val="20"/>
          <w:shd w:val="clear" w:color="auto" w:fill="FEFEFE"/>
          <w:lang w:val="en-GB"/>
        </w:rPr>
        <w:t xml:space="preserve">) utilize existing and new partnerships with </w:t>
      </w:r>
      <w:r w:rsidR="008E0B60">
        <w:rPr>
          <w:color w:val="0A0A0A"/>
          <w:spacing w:val="8"/>
          <w:sz w:val="20"/>
          <w:szCs w:val="20"/>
          <w:shd w:val="clear" w:color="auto" w:fill="FEFEFE"/>
          <w:lang w:val="en-GB"/>
        </w:rPr>
        <w:t xml:space="preserve">the </w:t>
      </w:r>
      <w:r w:rsidRPr="00686BBC">
        <w:rPr>
          <w:color w:val="0A0A0A"/>
          <w:spacing w:val="8"/>
          <w:sz w:val="20"/>
          <w:szCs w:val="20"/>
          <w:shd w:val="clear" w:color="auto" w:fill="FEFEFE"/>
          <w:lang w:val="en-GB"/>
        </w:rPr>
        <w:t>private sector, national development banks, financ</w:t>
      </w:r>
      <w:r w:rsidR="008E0B60">
        <w:rPr>
          <w:color w:val="0A0A0A"/>
          <w:spacing w:val="8"/>
          <w:sz w:val="20"/>
          <w:szCs w:val="20"/>
          <w:shd w:val="clear" w:color="auto" w:fill="FEFEFE"/>
          <w:lang w:val="en-GB"/>
        </w:rPr>
        <w:t>ial</w:t>
      </w:r>
      <w:r w:rsidRPr="00686BBC">
        <w:rPr>
          <w:color w:val="0A0A0A"/>
          <w:spacing w:val="8"/>
          <w:sz w:val="20"/>
          <w:szCs w:val="20"/>
          <w:shd w:val="clear" w:color="auto" w:fill="FEFEFE"/>
          <w:lang w:val="en-GB"/>
        </w:rPr>
        <w:t xml:space="preserve"> institutions, multinational development banks and other U</w:t>
      </w:r>
      <w:r w:rsidR="008E0B60">
        <w:rPr>
          <w:color w:val="0A0A0A"/>
          <w:spacing w:val="8"/>
          <w:sz w:val="20"/>
          <w:szCs w:val="20"/>
          <w:shd w:val="clear" w:color="auto" w:fill="FEFEFE"/>
          <w:lang w:val="en-GB"/>
        </w:rPr>
        <w:t xml:space="preserve">nited </w:t>
      </w:r>
      <w:r w:rsidRPr="00686BBC">
        <w:rPr>
          <w:color w:val="0A0A0A"/>
          <w:spacing w:val="8"/>
          <w:sz w:val="20"/>
          <w:szCs w:val="20"/>
          <w:shd w:val="clear" w:color="auto" w:fill="FEFEFE"/>
          <w:lang w:val="en-GB"/>
        </w:rPr>
        <w:t>N</w:t>
      </w:r>
      <w:r w:rsidR="008E0B60">
        <w:rPr>
          <w:color w:val="0A0A0A"/>
          <w:spacing w:val="8"/>
          <w:sz w:val="20"/>
          <w:szCs w:val="20"/>
          <w:shd w:val="clear" w:color="auto" w:fill="FEFEFE"/>
          <w:lang w:val="en-GB"/>
        </w:rPr>
        <w:t>ations</w:t>
      </w:r>
      <w:r w:rsidRPr="00686BBC">
        <w:rPr>
          <w:color w:val="0A0A0A"/>
          <w:spacing w:val="8"/>
          <w:sz w:val="20"/>
          <w:szCs w:val="20"/>
          <w:shd w:val="clear" w:color="auto" w:fill="FEFEFE"/>
          <w:lang w:val="en-GB"/>
        </w:rPr>
        <w:t xml:space="preserve"> entities;  and </w:t>
      </w:r>
      <w:r w:rsidR="008E0B60">
        <w:rPr>
          <w:color w:val="0A0A0A"/>
          <w:spacing w:val="8"/>
          <w:sz w:val="20"/>
          <w:szCs w:val="20"/>
          <w:shd w:val="clear" w:color="auto" w:fill="FEFEFE"/>
          <w:lang w:val="en-GB"/>
        </w:rPr>
        <w:t>(c</w:t>
      </w:r>
      <w:r w:rsidRPr="00686BBC">
        <w:rPr>
          <w:color w:val="0A0A0A"/>
          <w:spacing w:val="8"/>
          <w:sz w:val="20"/>
          <w:szCs w:val="20"/>
          <w:shd w:val="clear" w:color="auto" w:fill="FEFEFE"/>
          <w:lang w:val="en-GB"/>
        </w:rPr>
        <w:t>) explore options for programmatic approaches.</w:t>
      </w:r>
    </w:p>
    <w:p w14:paraId="4BDEAFD7" w14:textId="05B8D5F0" w:rsidR="00770F7D" w:rsidRPr="00D66C5F" w:rsidRDefault="00770F7D" w:rsidP="00D66C5F">
      <w:pPr>
        <w:pStyle w:val="NormalWeb"/>
        <w:tabs>
          <w:tab w:val="left" w:pos="1440"/>
        </w:tabs>
        <w:spacing w:before="0" w:beforeAutospacing="0" w:after="0" w:afterAutospacing="0"/>
        <w:ind w:left="1080" w:right="-169"/>
        <w:jc w:val="both"/>
        <w:rPr>
          <w:color w:val="0A0A0A"/>
          <w:spacing w:val="8"/>
          <w:sz w:val="12"/>
          <w:szCs w:val="12"/>
          <w:shd w:val="clear" w:color="auto" w:fill="FEFEFE"/>
          <w:lang w:val="en-GB"/>
        </w:rPr>
      </w:pPr>
    </w:p>
    <w:p w14:paraId="05B501BD" w14:textId="34D6E242" w:rsidR="00770F7D" w:rsidRPr="00686BBC" w:rsidRDefault="001F70B1" w:rsidP="00D66C5F">
      <w:pPr>
        <w:pStyle w:val="NormalWeb"/>
        <w:numPr>
          <w:ilvl w:val="0"/>
          <w:numId w:val="18"/>
        </w:numPr>
        <w:tabs>
          <w:tab w:val="left" w:pos="1440"/>
        </w:tabs>
        <w:spacing w:before="0" w:beforeAutospacing="0" w:after="0" w:afterAutospacing="0"/>
        <w:ind w:left="1080" w:right="-169" w:firstLine="0"/>
        <w:jc w:val="both"/>
        <w:rPr>
          <w:color w:val="0A0A0A"/>
          <w:sz w:val="20"/>
          <w:szCs w:val="20"/>
          <w:lang w:val="en-GB"/>
        </w:rPr>
      </w:pPr>
      <w:r w:rsidRPr="00686BBC">
        <w:rPr>
          <w:b/>
          <w:bCs/>
          <w:color w:val="0A0A0A"/>
          <w:spacing w:val="8"/>
          <w:sz w:val="20"/>
          <w:szCs w:val="20"/>
          <w:shd w:val="clear" w:color="auto" w:fill="FEFEFE"/>
          <w:lang w:val="en-GB"/>
        </w:rPr>
        <w:t>T</w:t>
      </w:r>
      <w:r w:rsidR="00770F7D" w:rsidRPr="00686BBC">
        <w:rPr>
          <w:b/>
          <w:bCs/>
          <w:color w:val="0A0A0A"/>
          <w:spacing w:val="8"/>
          <w:sz w:val="20"/>
          <w:szCs w:val="20"/>
          <w:shd w:val="clear" w:color="auto" w:fill="FEFEFE"/>
          <w:lang w:val="en-GB"/>
        </w:rPr>
        <w:t xml:space="preserve">he adaptation pipeline for the next few years will </w:t>
      </w:r>
      <w:r w:rsidRPr="00686BBC">
        <w:rPr>
          <w:b/>
          <w:bCs/>
          <w:color w:val="0A0A0A"/>
          <w:spacing w:val="8"/>
          <w:sz w:val="20"/>
          <w:szCs w:val="20"/>
          <w:shd w:val="clear" w:color="auto" w:fill="FEFEFE"/>
          <w:lang w:val="en-GB"/>
        </w:rPr>
        <w:t xml:space="preserve">drive </w:t>
      </w:r>
      <w:r w:rsidR="00770F7D" w:rsidRPr="00686BBC">
        <w:rPr>
          <w:b/>
          <w:bCs/>
          <w:color w:val="0A0A0A"/>
          <w:spacing w:val="8"/>
          <w:sz w:val="20"/>
          <w:szCs w:val="20"/>
          <w:shd w:val="clear" w:color="auto" w:fill="FEFEFE"/>
          <w:lang w:val="en-GB"/>
        </w:rPr>
        <w:t>a</w:t>
      </w:r>
      <w:r w:rsidR="00770F7D" w:rsidRPr="00686BBC">
        <w:rPr>
          <w:color w:val="0A0A0A"/>
          <w:spacing w:val="8"/>
          <w:sz w:val="20"/>
          <w:szCs w:val="20"/>
          <w:shd w:val="clear" w:color="auto" w:fill="FEFEFE"/>
          <w:lang w:val="en-GB"/>
        </w:rPr>
        <w:t xml:space="preserve"> </w:t>
      </w:r>
      <w:r w:rsidR="00770F7D" w:rsidRPr="00686BBC">
        <w:rPr>
          <w:b/>
          <w:color w:val="0A0A0A"/>
          <w:spacing w:val="8"/>
          <w:sz w:val="20"/>
          <w:szCs w:val="20"/>
          <w:shd w:val="clear" w:color="auto" w:fill="FEFEFE"/>
          <w:lang w:val="en-GB"/>
        </w:rPr>
        <w:t>diverse geographic and thematic focus</w:t>
      </w:r>
      <w:r w:rsidR="00770F7D" w:rsidRPr="00686BBC">
        <w:rPr>
          <w:color w:val="0A0A0A"/>
          <w:spacing w:val="8"/>
          <w:sz w:val="20"/>
          <w:szCs w:val="20"/>
          <w:shd w:val="clear" w:color="auto" w:fill="FEFEFE"/>
          <w:lang w:val="en-GB"/>
        </w:rPr>
        <w:t xml:space="preserve"> in the following areas: climate information and early warning systems, water resource and coastal management, flood management, improved practices for climate resilient agriculture, and mainstreaming adaptation into national frameworks and strategies.</w:t>
      </w:r>
      <w:r w:rsidR="26FAF8CA" w:rsidRPr="00686BBC">
        <w:rPr>
          <w:color w:val="0A0A0A"/>
          <w:sz w:val="20"/>
          <w:szCs w:val="20"/>
          <w:lang w:val="en-GB"/>
        </w:rPr>
        <w:t xml:space="preserve"> UNDP adaptation work will also focus on integrated solutions and </w:t>
      </w:r>
      <w:r w:rsidR="008E0B60">
        <w:rPr>
          <w:color w:val="0A0A0A"/>
          <w:sz w:val="20"/>
          <w:szCs w:val="20"/>
          <w:lang w:val="en-GB"/>
        </w:rPr>
        <w:t xml:space="preserve">nexus </w:t>
      </w:r>
      <w:r w:rsidR="26FAF8CA" w:rsidRPr="00686BBC">
        <w:rPr>
          <w:color w:val="0A0A0A"/>
          <w:sz w:val="20"/>
          <w:szCs w:val="20"/>
          <w:lang w:val="en-GB"/>
        </w:rPr>
        <w:t xml:space="preserve">areas to advance development action through climate action. </w:t>
      </w:r>
      <w:r w:rsidR="008E0B60">
        <w:rPr>
          <w:color w:val="0A0A0A"/>
          <w:sz w:val="20"/>
          <w:szCs w:val="20"/>
          <w:lang w:val="en-GB"/>
        </w:rPr>
        <w:t xml:space="preserve">It will feature a </w:t>
      </w:r>
      <w:r w:rsidR="3E1CF186" w:rsidRPr="00686BBC">
        <w:rPr>
          <w:color w:val="0A0A0A"/>
          <w:sz w:val="20"/>
          <w:szCs w:val="20"/>
          <w:lang w:val="en-GB"/>
        </w:rPr>
        <w:t xml:space="preserve">coherent, </w:t>
      </w:r>
      <w:r w:rsidR="26FAF8CA" w:rsidRPr="00686BBC">
        <w:rPr>
          <w:color w:val="0A0A0A"/>
          <w:sz w:val="20"/>
          <w:szCs w:val="20"/>
          <w:lang w:val="en-GB"/>
        </w:rPr>
        <w:t>integrat</w:t>
      </w:r>
      <w:r w:rsidR="0EED35A0" w:rsidRPr="00686BBC">
        <w:rPr>
          <w:color w:val="0A0A0A"/>
          <w:sz w:val="20"/>
          <w:szCs w:val="20"/>
          <w:lang w:val="en-GB"/>
        </w:rPr>
        <w:t>ed offer</w:t>
      </w:r>
      <w:r w:rsidR="26FAF8CA" w:rsidRPr="00686BBC">
        <w:rPr>
          <w:color w:val="0A0A0A"/>
          <w:sz w:val="20"/>
          <w:szCs w:val="20"/>
          <w:lang w:val="en-GB"/>
        </w:rPr>
        <w:t xml:space="preserve"> across </w:t>
      </w:r>
      <w:r w:rsidR="008E0B60">
        <w:rPr>
          <w:color w:val="0A0A0A"/>
          <w:sz w:val="20"/>
          <w:szCs w:val="20"/>
          <w:lang w:val="en-GB"/>
        </w:rPr>
        <w:t xml:space="preserve">DRR </w:t>
      </w:r>
      <w:r w:rsidR="26FAF8CA" w:rsidRPr="00686BBC">
        <w:rPr>
          <w:color w:val="0A0A0A"/>
          <w:sz w:val="20"/>
          <w:szCs w:val="20"/>
          <w:lang w:val="en-GB"/>
        </w:rPr>
        <w:t>and a</w:t>
      </w:r>
      <w:r w:rsidR="3749905E" w:rsidRPr="00686BBC">
        <w:rPr>
          <w:color w:val="0A0A0A"/>
          <w:sz w:val="20"/>
          <w:szCs w:val="20"/>
          <w:lang w:val="en-GB"/>
        </w:rPr>
        <w:t>dapta</w:t>
      </w:r>
      <w:r w:rsidR="3C7EA4BE" w:rsidRPr="00686BBC">
        <w:rPr>
          <w:color w:val="0A0A0A"/>
          <w:sz w:val="20"/>
          <w:szCs w:val="20"/>
          <w:lang w:val="en-GB"/>
        </w:rPr>
        <w:t>tion</w:t>
      </w:r>
      <w:r w:rsidR="008E0B60">
        <w:rPr>
          <w:color w:val="0A0A0A"/>
          <w:sz w:val="20"/>
          <w:szCs w:val="20"/>
          <w:lang w:val="en-GB"/>
        </w:rPr>
        <w:t>;</w:t>
      </w:r>
      <w:r w:rsidR="3C7EA4BE" w:rsidRPr="00686BBC">
        <w:rPr>
          <w:color w:val="0A0A0A"/>
          <w:sz w:val="20"/>
          <w:szCs w:val="20"/>
          <w:lang w:val="en-GB"/>
        </w:rPr>
        <w:t xml:space="preserve"> cross-cutting solutions across mitigation and adaptation</w:t>
      </w:r>
      <w:r w:rsidR="008E0B60">
        <w:rPr>
          <w:color w:val="0A0A0A"/>
          <w:sz w:val="20"/>
          <w:szCs w:val="20"/>
          <w:lang w:val="en-GB"/>
        </w:rPr>
        <w:t>;</w:t>
      </w:r>
      <w:r w:rsidR="3C7EA4BE" w:rsidRPr="00686BBC">
        <w:rPr>
          <w:color w:val="0A0A0A"/>
          <w:sz w:val="20"/>
          <w:szCs w:val="20"/>
          <w:lang w:val="en-GB"/>
        </w:rPr>
        <w:t xml:space="preserve"> system-level</w:t>
      </w:r>
      <w:r w:rsidR="008E0B60">
        <w:rPr>
          <w:color w:val="0A0A0A"/>
          <w:sz w:val="20"/>
          <w:szCs w:val="20"/>
          <w:lang w:val="en-GB"/>
        </w:rPr>
        <w:t xml:space="preserve">, </w:t>
      </w:r>
      <w:r w:rsidR="3C7EA4BE" w:rsidRPr="00686BBC">
        <w:rPr>
          <w:color w:val="0A0A0A"/>
          <w:sz w:val="20"/>
          <w:szCs w:val="20"/>
          <w:lang w:val="en-GB"/>
        </w:rPr>
        <w:t xml:space="preserve">holistic approaches to sustainable and resilient </w:t>
      </w:r>
      <w:r w:rsidR="7123E356" w:rsidRPr="00686BBC">
        <w:rPr>
          <w:color w:val="0A0A0A"/>
          <w:sz w:val="20"/>
          <w:szCs w:val="20"/>
          <w:lang w:val="en-GB"/>
        </w:rPr>
        <w:t>agriculture and</w:t>
      </w:r>
      <w:r w:rsidR="2E998F21" w:rsidRPr="00686BBC">
        <w:rPr>
          <w:color w:val="0A0A0A"/>
          <w:sz w:val="20"/>
          <w:szCs w:val="20"/>
          <w:lang w:val="en-GB"/>
        </w:rPr>
        <w:t xml:space="preserve"> food systems</w:t>
      </w:r>
      <w:r w:rsidR="008E0B60">
        <w:rPr>
          <w:color w:val="0A0A0A"/>
          <w:sz w:val="20"/>
          <w:szCs w:val="20"/>
          <w:lang w:val="en-GB"/>
        </w:rPr>
        <w:t>;</w:t>
      </w:r>
      <w:r w:rsidR="2EA1025F" w:rsidRPr="00686BBC">
        <w:rPr>
          <w:color w:val="0A0A0A"/>
          <w:sz w:val="20"/>
          <w:szCs w:val="20"/>
          <w:lang w:val="en-GB"/>
        </w:rPr>
        <w:t xml:space="preserve"> </w:t>
      </w:r>
      <w:r w:rsidR="008E0B60">
        <w:rPr>
          <w:color w:val="0A0A0A"/>
          <w:sz w:val="20"/>
          <w:szCs w:val="20"/>
          <w:lang w:val="en-GB"/>
        </w:rPr>
        <w:t xml:space="preserve">and </w:t>
      </w:r>
      <w:r w:rsidR="750CEF1D" w:rsidRPr="00686BBC">
        <w:rPr>
          <w:color w:val="0A0A0A"/>
          <w:sz w:val="20"/>
          <w:szCs w:val="20"/>
          <w:lang w:val="en-GB"/>
        </w:rPr>
        <w:t>integrated water resource management</w:t>
      </w:r>
      <w:r w:rsidR="00320980" w:rsidRPr="00686BBC">
        <w:rPr>
          <w:color w:val="0A0A0A"/>
          <w:sz w:val="20"/>
          <w:szCs w:val="20"/>
          <w:lang w:val="en-GB"/>
        </w:rPr>
        <w:t>.</w:t>
      </w:r>
    </w:p>
    <w:p w14:paraId="261797E8" w14:textId="4335ED14" w:rsidR="00770F7D" w:rsidRPr="00D66C5F" w:rsidRDefault="00770F7D" w:rsidP="00D66C5F">
      <w:pPr>
        <w:pStyle w:val="NormalWeb"/>
        <w:tabs>
          <w:tab w:val="left" w:pos="1620"/>
        </w:tabs>
        <w:spacing w:before="0" w:beforeAutospacing="0" w:after="0" w:afterAutospacing="0"/>
        <w:ind w:left="1080" w:right="-169"/>
        <w:jc w:val="both"/>
        <w:rPr>
          <w:color w:val="0A0A0A"/>
          <w:sz w:val="12"/>
          <w:szCs w:val="12"/>
          <w:lang w:val="en-GB"/>
        </w:rPr>
      </w:pPr>
    </w:p>
    <w:p w14:paraId="150CA90D" w14:textId="1E347806" w:rsidR="00770F7D" w:rsidRPr="00686BBC" w:rsidRDefault="5873D66B" w:rsidP="00D66C5F">
      <w:pPr>
        <w:pStyle w:val="NormalWeb"/>
        <w:numPr>
          <w:ilvl w:val="0"/>
          <w:numId w:val="18"/>
        </w:numPr>
        <w:tabs>
          <w:tab w:val="left" w:pos="1440"/>
        </w:tabs>
        <w:spacing w:before="0" w:beforeAutospacing="0" w:after="120" w:afterAutospacing="0"/>
        <w:ind w:left="1080" w:right="-173" w:firstLine="0"/>
        <w:jc w:val="both"/>
        <w:rPr>
          <w:color w:val="0A0A0A"/>
          <w:sz w:val="20"/>
          <w:szCs w:val="20"/>
          <w:lang w:val="en-GB"/>
        </w:rPr>
      </w:pPr>
      <w:r w:rsidRPr="00686BBC">
        <w:rPr>
          <w:b/>
          <w:bCs/>
          <w:color w:val="0A0A0A"/>
          <w:sz w:val="20"/>
          <w:szCs w:val="20"/>
          <w:lang w:val="en-GB"/>
        </w:rPr>
        <w:t>UNDP is expanding its focus and areas of support towards new emerging themes in adaptation around health, urban resilience, insurance and climate security</w:t>
      </w:r>
      <w:r w:rsidRPr="00686BBC">
        <w:rPr>
          <w:color w:val="0A0A0A"/>
          <w:sz w:val="20"/>
          <w:szCs w:val="20"/>
          <w:lang w:val="en-GB"/>
        </w:rPr>
        <w:t xml:space="preserve">. </w:t>
      </w:r>
      <w:r w:rsidR="00F071A4">
        <w:rPr>
          <w:color w:val="0A0A0A"/>
          <w:sz w:val="20"/>
          <w:szCs w:val="20"/>
          <w:lang w:val="en-GB"/>
        </w:rPr>
        <w:t>U</w:t>
      </w:r>
      <w:r w:rsidRPr="00686BBC">
        <w:rPr>
          <w:color w:val="0A0A0A"/>
          <w:sz w:val="20"/>
          <w:szCs w:val="20"/>
          <w:lang w:val="en-GB"/>
        </w:rPr>
        <w:t xml:space="preserve">nder urban resilience, UNDP </w:t>
      </w:r>
      <w:r w:rsidR="0099077D" w:rsidRPr="00686BBC">
        <w:rPr>
          <w:color w:val="0A0A0A"/>
          <w:sz w:val="20"/>
          <w:szCs w:val="20"/>
          <w:lang w:val="en-GB"/>
        </w:rPr>
        <w:t xml:space="preserve">is </w:t>
      </w:r>
      <w:r w:rsidRPr="00686BBC">
        <w:rPr>
          <w:color w:val="0A0A0A"/>
          <w:sz w:val="20"/>
          <w:szCs w:val="20"/>
          <w:lang w:val="en-GB"/>
        </w:rPr>
        <w:t>advanc</w:t>
      </w:r>
      <w:r w:rsidR="0099077D" w:rsidRPr="00686BBC">
        <w:rPr>
          <w:color w:val="0A0A0A"/>
          <w:sz w:val="20"/>
          <w:szCs w:val="20"/>
          <w:lang w:val="en-GB"/>
        </w:rPr>
        <w:t>ing</w:t>
      </w:r>
      <w:r w:rsidRPr="00686BBC">
        <w:rPr>
          <w:color w:val="0A0A0A"/>
          <w:sz w:val="20"/>
          <w:szCs w:val="20"/>
          <w:lang w:val="en-GB"/>
        </w:rPr>
        <w:t xml:space="preserve"> an integrated approach to reducing climate risk in cities </w:t>
      </w:r>
      <w:r w:rsidR="00F071A4">
        <w:rPr>
          <w:color w:val="0A0A0A"/>
          <w:sz w:val="20"/>
          <w:szCs w:val="20"/>
          <w:lang w:val="en-GB"/>
        </w:rPr>
        <w:t xml:space="preserve">by </w:t>
      </w:r>
      <w:r w:rsidRPr="00686BBC">
        <w:rPr>
          <w:color w:val="0A0A0A"/>
          <w:sz w:val="20"/>
          <w:szCs w:val="20"/>
          <w:lang w:val="en-GB"/>
        </w:rPr>
        <w:t xml:space="preserve">enhancing low-carbon, climate resilient development, building the enabling environment for climate-risk informed urban planning and policy, driving investment into adaptation in cities, and accelerating and scaling urban resilience action in ways that leave no one behind. UNDP is working </w:t>
      </w:r>
      <w:r w:rsidR="00B73E8E">
        <w:rPr>
          <w:color w:val="0A0A0A"/>
          <w:sz w:val="20"/>
          <w:szCs w:val="20"/>
          <w:lang w:val="en-GB"/>
        </w:rPr>
        <w:t>w</w:t>
      </w:r>
      <w:r w:rsidRPr="00686BBC">
        <w:rPr>
          <w:color w:val="0A0A0A"/>
          <w:sz w:val="20"/>
          <w:szCs w:val="20"/>
          <w:lang w:val="en-GB"/>
        </w:rPr>
        <w:t>ith coastal cities in Africa to help some of the world’s fastest-growing urban areas address the risks of sea</w:t>
      </w:r>
      <w:r w:rsidR="00F071A4">
        <w:rPr>
          <w:color w:val="0A0A0A"/>
          <w:sz w:val="20"/>
          <w:szCs w:val="20"/>
          <w:lang w:val="en-GB"/>
        </w:rPr>
        <w:t>-</w:t>
      </w:r>
      <w:r w:rsidRPr="00686BBC">
        <w:rPr>
          <w:color w:val="0A0A0A"/>
          <w:sz w:val="20"/>
          <w:szCs w:val="20"/>
          <w:lang w:val="en-GB"/>
        </w:rPr>
        <w:t xml:space="preserve">level rise, flooding and persistent drought </w:t>
      </w:r>
      <w:r w:rsidR="00F071A4">
        <w:rPr>
          <w:color w:val="0A0A0A"/>
          <w:sz w:val="20"/>
          <w:szCs w:val="20"/>
          <w:lang w:val="en-GB"/>
        </w:rPr>
        <w:t xml:space="preserve">by </w:t>
      </w:r>
      <w:r w:rsidRPr="00686BBC">
        <w:rPr>
          <w:color w:val="0A0A0A"/>
          <w:sz w:val="20"/>
          <w:szCs w:val="20"/>
          <w:lang w:val="en-GB"/>
        </w:rPr>
        <w:t xml:space="preserve">building climate-resilient infrastructure, livelihoods and local economies. </w:t>
      </w:r>
      <w:r w:rsidR="004C6631" w:rsidRPr="004C6631">
        <w:rPr>
          <w:color w:val="0A0A0A"/>
          <w:sz w:val="20"/>
          <w:szCs w:val="20"/>
          <w:lang w:val="en-GB"/>
        </w:rPr>
        <w:t xml:space="preserve">Recently, </w:t>
      </w:r>
      <w:r w:rsidR="00BA6B3B">
        <w:rPr>
          <w:color w:val="0A0A0A"/>
          <w:sz w:val="20"/>
          <w:szCs w:val="20"/>
          <w:lang w:val="en-GB"/>
        </w:rPr>
        <w:t xml:space="preserve">UNDP </w:t>
      </w:r>
      <w:r w:rsidR="004C6631" w:rsidRPr="004C6631">
        <w:rPr>
          <w:color w:val="0A0A0A"/>
          <w:sz w:val="20"/>
          <w:szCs w:val="20"/>
          <w:lang w:val="en-GB"/>
        </w:rPr>
        <w:t>adaptation support has expanded in conflict</w:t>
      </w:r>
      <w:r w:rsidR="00BA6B3B">
        <w:rPr>
          <w:color w:val="0A0A0A"/>
          <w:sz w:val="20"/>
          <w:szCs w:val="20"/>
          <w:lang w:val="en-GB"/>
        </w:rPr>
        <w:t>-</w:t>
      </w:r>
      <w:r w:rsidR="004C6631" w:rsidRPr="004C6631">
        <w:rPr>
          <w:color w:val="0A0A0A"/>
          <w:sz w:val="20"/>
          <w:szCs w:val="20"/>
          <w:lang w:val="en-GB"/>
        </w:rPr>
        <w:t>affected and fragile states</w:t>
      </w:r>
      <w:r w:rsidR="00BA6B3B">
        <w:rPr>
          <w:color w:val="0A0A0A"/>
          <w:sz w:val="20"/>
          <w:szCs w:val="20"/>
          <w:lang w:val="en-GB"/>
        </w:rPr>
        <w:t>,</w:t>
      </w:r>
      <w:r w:rsidR="004C6631" w:rsidRPr="004C6631">
        <w:rPr>
          <w:color w:val="0A0A0A"/>
          <w:sz w:val="20"/>
          <w:szCs w:val="20"/>
          <w:lang w:val="en-GB"/>
        </w:rPr>
        <w:t xml:space="preserve"> </w:t>
      </w:r>
      <w:r w:rsidR="00BA6B3B">
        <w:rPr>
          <w:color w:val="0A0A0A"/>
          <w:sz w:val="20"/>
          <w:szCs w:val="20"/>
          <w:lang w:val="en-GB"/>
        </w:rPr>
        <w:t xml:space="preserve">such as the Democratic Republic of the Congo, Mali, </w:t>
      </w:r>
      <w:r w:rsidR="004C6631" w:rsidRPr="004C6631">
        <w:rPr>
          <w:color w:val="0A0A0A"/>
          <w:sz w:val="20"/>
          <w:szCs w:val="20"/>
          <w:lang w:val="en-GB"/>
        </w:rPr>
        <w:t>Somalia</w:t>
      </w:r>
      <w:r w:rsidR="00BA6B3B">
        <w:rPr>
          <w:color w:val="0A0A0A"/>
          <w:sz w:val="20"/>
          <w:szCs w:val="20"/>
          <w:lang w:val="en-GB"/>
        </w:rPr>
        <w:t xml:space="preserve"> and </w:t>
      </w:r>
      <w:r w:rsidR="004C6631" w:rsidRPr="004C6631">
        <w:rPr>
          <w:color w:val="0A0A0A"/>
          <w:sz w:val="20"/>
          <w:szCs w:val="20"/>
          <w:lang w:val="en-GB"/>
        </w:rPr>
        <w:t>Sudan</w:t>
      </w:r>
      <w:r w:rsidR="00BA6B3B">
        <w:rPr>
          <w:color w:val="0A0A0A"/>
          <w:sz w:val="20"/>
          <w:szCs w:val="20"/>
          <w:lang w:val="en-GB"/>
        </w:rPr>
        <w:t xml:space="preserve">, </w:t>
      </w:r>
      <w:r w:rsidR="004C6631" w:rsidRPr="004C6631">
        <w:rPr>
          <w:color w:val="0A0A0A"/>
          <w:sz w:val="20"/>
          <w:szCs w:val="20"/>
          <w:lang w:val="en-GB"/>
        </w:rPr>
        <w:t xml:space="preserve">with targeted efforts </w:t>
      </w:r>
      <w:r w:rsidR="00BA6B3B">
        <w:rPr>
          <w:color w:val="0A0A0A"/>
          <w:sz w:val="20"/>
          <w:szCs w:val="20"/>
          <w:lang w:val="en-GB"/>
        </w:rPr>
        <w:t xml:space="preserve">that address </w:t>
      </w:r>
      <w:r w:rsidR="004C6631" w:rsidRPr="004C6631">
        <w:rPr>
          <w:color w:val="0A0A0A"/>
          <w:sz w:val="20"/>
          <w:szCs w:val="20"/>
          <w:lang w:val="en-GB"/>
        </w:rPr>
        <w:t xml:space="preserve">climate security issues. </w:t>
      </w:r>
      <w:r w:rsidR="00BA6B3B">
        <w:rPr>
          <w:color w:val="0A0A0A"/>
          <w:sz w:val="20"/>
          <w:szCs w:val="20"/>
          <w:lang w:val="en-GB"/>
        </w:rPr>
        <w:t xml:space="preserve">UNDP also </w:t>
      </w:r>
      <w:r w:rsidR="00BA6B3B">
        <w:rPr>
          <w:color w:val="0A0A0A"/>
          <w:sz w:val="20"/>
          <w:szCs w:val="20"/>
          <w:lang w:val="en-GB"/>
        </w:rPr>
        <w:lastRenderedPageBreak/>
        <w:t>supports c</w:t>
      </w:r>
      <w:r w:rsidR="004C6631" w:rsidRPr="004C6631">
        <w:rPr>
          <w:color w:val="0A0A0A"/>
          <w:sz w:val="20"/>
          <w:szCs w:val="20"/>
          <w:lang w:val="en-GB"/>
        </w:rPr>
        <w:t>limate</w:t>
      </w:r>
      <w:r w:rsidR="00BA6B3B">
        <w:rPr>
          <w:color w:val="0A0A0A"/>
          <w:sz w:val="20"/>
          <w:szCs w:val="20"/>
          <w:lang w:val="en-GB"/>
        </w:rPr>
        <w:t>-</w:t>
      </w:r>
      <w:r w:rsidR="004C6631" w:rsidRPr="004C6631">
        <w:rPr>
          <w:color w:val="0A0A0A"/>
          <w:sz w:val="20"/>
          <w:szCs w:val="20"/>
          <w:lang w:val="en-GB"/>
        </w:rPr>
        <w:t xml:space="preserve">sensitive approaches in </w:t>
      </w:r>
      <w:r w:rsidR="00BA6B3B">
        <w:rPr>
          <w:color w:val="0A0A0A"/>
          <w:sz w:val="20"/>
          <w:szCs w:val="20"/>
          <w:lang w:val="en-GB"/>
        </w:rPr>
        <w:t xml:space="preserve">the </w:t>
      </w:r>
      <w:r w:rsidR="004C6631" w:rsidRPr="004C6631">
        <w:rPr>
          <w:color w:val="0A0A0A"/>
          <w:sz w:val="20"/>
          <w:szCs w:val="20"/>
          <w:lang w:val="en-GB"/>
        </w:rPr>
        <w:t>areas of food and water security and ecosystems</w:t>
      </w:r>
      <w:r w:rsidR="00BA6B3B">
        <w:rPr>
          <w:color w:val="0A0A0A"/>
          <w:sz w:val="20"/>
          <w:szCs w:val="20"/>
          <w:lang w:val="en-GB"/>
        </w:rPr>
        <w:t xml:space="preserve">, </w:t>
      </w:r>
      <w:r w:rsidR="004C6631" w:rsidRPr="004C6631">
        <w:rPr>
          <w:color w:val="0A0A0A"/>
          <w:sz w:val="20"/>
          <w:szCs w:val="20"/>
          <w:lang w:val="en-GB"/>
        </w:rPr>
        <w:t xml:space="preserve">as these </w:t>
      </w:r>
      <w:r w:rsidR="00BA6B3B">
        <w:rPr>
          <w:color w:val="0A0A0A"/>
          <w:sz w:val="20"/>
          <w:szCs w:val="20"/>
          <w:lang w:val="en-GB"/>
        </w:rPr>
        <w:t xml:space="preserve">are </w:t>
      </w:r>
      <w:r w:rsidR="004C6631" w:rsidRPr="004C6631">
        <w:rPr>
          <w:color w:val="0A0A0A"/>
          <w:sz w:val="20"/>
          <w:szCs w:val="20"/>
          <w:lang w:val="en-GB"/>
        </w:rPr>
        <w:t xml:space="preserve">often </w:t>
      </w:r>
      <w:r w:rsidR="00BA6B3B">
        <w:rPr>
          <w:color w:val="0A0A0A"/>
          <w:sz w:val="20"/>
          <w:szCs w:val="20"/>
          <w:lang w:val="en-GB"/>
        </w:rPr>
        <w:t xml:space="preserve">generators of </w:t>
      </w:r>
      <w:r w:rsidR="004C6631" w:rsidRPr="004C6631">
        <w:rPr>
          <w:color w:val="0A0A0A"/>
          <w:sz w:val="20"/>
          <w:szCs w:val="20"/>
          <w:lang w:val="en-GB"/>
        </w:rPr>
        <w:t>intra and intercommunity tensions..</w:t>
      </w:r>
    </w:p>
    <w:p w14:paraId="33923D51" w14:textId="22F3EEC4" w:rsidR="005D44FA" w:rsidRPr="00686BBC" w:rsidRDefault="63A1E7C2" w:rsidP="00D66C5F">
      <w:pPr>
        <w:pStyle w:val="NormalWeb"/>
        <w:numPr>
          <w:ilvl w:val="0"/>
          <w:numId w:val="18"/>
        </w:numPr>
        <w:tabs>
          <w:tab w:val="left" w:pos="1440"/>
        </w:tabs>
        <w:spacing w:before="0" w:beforeAutospacing="0" w:after="120" w:afterAutospacing="0"/>
        <w:ind w:left="1080" w:right="-173" w:firstLine="0"/>
        <w:jc w:val="both"/>
        <w:rPr>
          <w:color w:val="0A0A0A"/>
          <w:sz w:val="20"/>
          <w:szCs w:val="20"/>
          <w:lang w:val="en-GB"/>
        </w:rPr>
      </w:pPr>
      <w:r w:rsidRPr="00686BBC">
        <w:rPr>
          <w:b/>
          <w:bCs/>
          <w:color w:val="0A0A0A"/>
          <w:sz w:val="20"/>
          <w:szCs w:val="20"/>
          <w:lang w:val="en-GB"/>
        </w:rPr>
        <w:t xml:space="preserve">Transformative approaches </w:t>
      </w:r>
      <w:r w:rsidR="00434742">
        <w:rPr>
          <w:b/>
          <w:bCs/>
          <w:color w:val="0A0A0A"/>
          <w:sz w:val="20"/>
          <w:szCs w:val="20"/>
          <w:lang w:val="en-GB"/>
        </w:rPr>
        <w:t xml:space="preserve">must include </w:t>
      </w:r>
      <w:r w:rsidRPr="00686BBC">
        <w:rPr>
          <w:b/>
          <w:bCs/>
          <w:color w:val="0A0A0A"/>
          <w:sz w:val="20"/>
          <w:szCs w:val="20"/>
          <w:lang w:val="en-GB"/>
        </w:rPr>
        <w:t>support to enabling environment</w:t>
      </w:r>
      <w:r w:rsidR="00434742">
        <w:rPr>
          <w:b/>
          <w:bCs/>
          <w:color w:val="0A0A0A"/>
          <w:sz w:val="20"/>
          <w:szCs w:val="20"/>
          <w:lang w:val="en-GB"/>
        </w:rPr>
        <w:t>s</w:t>
      </w:r>
      <w:r w:rsidR="1725369D" w:rsidRPr="00686BBC">
        <w:rPr>
          <w:b/>
          <w:bCs/>
          <w:color w:val="0A0A0A"/>
          <w:sz w:val="20"/>
          <w:szCs w:val="20"/>
          <w:lang w:val="en-GB"/>
        </w:rPr>
        <w:t xml:space="preserve"> (policies, regulations, markets), </w:t>
      </w:r>
      <w:r w:rsidRPr="00686BBC">
        <w:rPr>
          <w:b/>
          <w:bCs/>
          <w:color w:val="0A0A0A"/>
          <w:sz w:val="20"/>
          <w:szCs w:val="20"/>
          <w:lang w:val="en-GB"/>
        </w:rPr>
        <w:t>governance, addre</w:t>
      </w:r>
      <w:r w:rsidR="7E1E5F87" w:rsidRPr="00686BBC">
        <w:rPr>
          <w:b/>
          <w:bCs/>
          <w:color w:val="0A0A0A"/>
          <w:sz w:val="20"/>
          <w:szCs w:val="20"/>
          <w:lang w:val="en-GB"/>
        </w:rPr>
        <w:t>ssing structural inequities, and ensuring gender-responsiveness and inclusion.</w:t>
      </w:r>
      <w:r w:rsidR="7E1E5F87" w:rsidRPr="00686BBC">
        <w:rPr>
          <w:color w:val="0A0A0A"/>
          <w:sz w:val="20"/>
          <w:szCs w:val="20"/>
          <w:lang w:val="en-GB"/>
        </w:rPr>
        <w:t xml:space="preserve">  Given </w:t>
      </w:r>
      <w:r w:rsidR="4853C63C" w:rsidRPr="00686BBC">
        <w:rPr>
          <w:color w:val="0A0A0A"/>
          <w:sz w:val="20"/>
          <w:szCs w:val="20"/>
          <w:lang w:val="en-GB"/>
        </w:rPr>
        <w:t>that</w:t>
      </w:r>
      <w:r w:rsidR="7E1E5F87" w:rsidRPr="00686BBC">
        <w:rPr>
          <w:color w:val="0A0A0A"/>
          <w:sz w:val="20"/>
          <w:szCs w:val="20"/>
          <w:lang w:val="en-GB"/>
        </w:rPr>
        <w:t xml:space="preserve"> adaptation finance is </w:t>
      </w:r>
      <w:r w:rsidR="27A39B49" w:rsidRPr="00686BBC">
        <w:rPr>
          <w:color w:val="0A0A0A"/>
          <w:sz w:val="20"/>
          <w:szCs w:val="20"/>
          <w:lang w:val="en-GB"/>
        </w:rPr>
        <w:t>earmarked</w:t>
      </w:r>
      <w:r w:rsidR="7E1E5F87" w:rsidRPr="00686BBC">
        <w:rPr>
          <w:color w:val="0A0A0A"/>
          <w:sz w:val="20"/>
          <w:szCs w:val="20"/>
          <w:lang w:val="en-GB"/>
        </w:rPr>
        <w:t xml:space="preserve"> </w:t>
      </w:r>
      <w:r w:rsidR="27A39B49" w:rsidRPr="00686BBC">
        <w:rPr>
          <w:color w:val="0A0A0A"/>
          <w:sz w:val="20"/>
          <w:szCs w:val="20"/>
          <w:lang w:val="en-GB"/>
        </w:rPr>
        <w:t>to strictly</w:t>
      </w:r>
      <w:r w:rsidR="581B7C0A" w:rsidRPr="00686BBC">
        <w:rPr>
          <w:color w:val="0A0A0A"/>
          <w:sz w:val="20"/>
          <w:szCs w:val="20"/>
          <w:lang w:val="en-GB"/>
        </w:rPr>
        <w:t xml:space="preserve"> </w:t>
      </w:r>
      <w:r w:rsidR="624217CF" w:rsidRPr="00686BBC">
        <w:rPr>
          <w:color w:val="0A0A0A"/>
          <w:sz w:val="20"/>
          <w:szCs w:val="20"/>
          <w:lang w:val="en-GB"/>
        </w:rPr>
        <w:t xml:space="preserve">address </w:t>
      </w:r>
      <w:r w:rsidR="581B7C0A" w:rsidRPr="00686BBC">
        <w:rPr>
          <w:color w:val="0A0A0A"/>
          <w:sz w:val="20"/>
          <w:szCs w:val="20"/>
          <w:lang w:val="en-GB"/>
        </w:rPr>
        <w:t>climate risks and impacts, leveraging public and private finance is critical to address</w:t>
      </w:r>
      <w:r w:rsidR="00434742">
        <w:rPr>
          <w:color w:val="0A0A0A"/>
          <w:sz w:val="20"/>
          <w:szCs w:val="20"/>
          <w:lang w:val="en-GB"/>
        </w:rPr>
        <w:t>ing</w:t>
      </w:r>
      <w:r w:rsidR="581B7C0A" w:rsidRPr="00686BBC">
        <w:rPr>
          <w:color w:val="0A0A0A"/>
          <w:sz w:val="20"/>
          <w:szCs w:val="20"/>
          <w:lang w:val="en-GB"/>
        </w:rPr>
        <w:t xml:space="preserve"> structural bar</w:t>
      </w:r>
      <w:r w:rsidR="17AF5B83" w:rsidRPr="00686BBC">
        <w:rPr>
          <w:color w:val="0A0A0A"/>
          <w:sz w:val="20"/>
          <w:szCs w:val="20"/>
          <w:lang w:val="en-GB"/>
        </w:rPr>
        <w:t>riers that exacerbate vulnerabilities to climate change</w:t>
      </w:r>
      <w:r w:rsidR="024DA151" w:rsidRPr="00686BBC">
        <w:rPr>
          <w:color w:val="0A0A0A"/>
          <w:sz w:val="20"/>
          <w:szCs w:val="20"/>
          <w:lang w:val="en-GB"/>
        </w:rPr>
        <w:t>.</w:t>
      </w:r>
      <w:r w:rsidR="42EAD6CC" w:rsidRPr="00686BBC">
        <w:rPr>
          <w:color w:val="0A0A0A"/>
          <w:sz w:val="20"/>
          <w:szCs w:val="20"/>
          <w:lang w:val="en-GB"/>
        </w:rPr>
        <w:t xml:space="preserve"> UNDP </w:t>
      </w:r>
      <w:r w:rsidR="0099077D" w:rsidRPr="00686BBC">
        <w:rPr>
          <w:color w:val="0A0A0A"/>
          <w:sz w:val="20"/>
          <w:szCs w:val="20"/>
          <w:lang w:val="en-GB"/>
        </w:rPr>
        <w:t>thematic</w:t>
      </w:r>
      <w:r w:rsidR="42EAD6CC" w:rsidRPr="00686BBC">
        <w:rPr>
          <w:color w:val="0A0A0A"/>
          <w:sz w:val="20"/>
          <w:szCs w:val="20"/>
          <w:lang w:val="en-GB"/>
        </w:rPr>
        <w:t>, financial and policy specialists have come together to design new, innovative</w:t>
      </w:r>
      <w:r w:rsidR="0DCCFB94" w:rsidRPr="00686BBC">
        <w:rPr>
          <w:color w:val="0A0A0A"/>
          <w:sz w:val="20"/>
          <w:szCs w:val="20"/>
          <w:lang w:val="en-GB"/>
        </w:rPr>
        <w:t>, gender</w:t>
      </w:r>
      <w:r w:rsidR="00434742">
        <w:rPr>
          <w:color w:val="0A0A0A"/>
          <w:sz w:val="20"/>
          <w:szCs w:val="20"/>
          <w:lang w:val="en-GB"/>
        </w:rPr>
        <w:t>-</w:t>
      </w:r>
      <w:r w:rsidR="0DCCFB94" w:rsidRPr="00686BBC">
        <w:rPr>
          <w:color w:val="0A0A0A"/>
          <w:sz w:val="20"/>
          <w:szCs w:val="20"/>
          <w:lang w:val="en-GB"/>
        </w:rPr>
        <w:t>responsive, inclusive</w:t>
      </w:r>
      <w:r w:rsidR="00434742">
        <w:rPr>
          <w:color w:val="0A0A0A"/>
          <w:sz w:val="20"/>
          <w:szCs w:val="20"/>
          <w:lang w:val="en-GB"/>
        </w:rPr>
        <w:t>,</w:t>
      </w:r>
      <w:r w:rsidR="42EAD6CC" w:rsidRPr="00686BBC">
        <w:rPr>
          <w:color w:val="0A0A0A"/>
          <w:sz w:val="20"/>
          <w:szCs w:val="20"/>
          <w:lang w:val="en-GB"/>
        </w:rPr>
        <w:t xml:space="preserve"> paradigm</w:t>
      </w:r>
      <w:r w:rsidR="00434742">
        <w:rPr>
          <w:color w:val="0A0A0A"/>
          <w:sz w:val="20"/>
          <w:szCs w:val="20"/>
          <w:lang w:val="en-GB"/>
        </w:rPr>
        <w:t>-</w:t>
      </w:r>
      <w:r w:rsidR="42EAD6CC" w:rsidRPr="00686BBC">
        <w:rPr>
          <w:color w:val="0A0A0A"/>
          <w:sz w:val="20"/>
          <w:szCs w:val="20"/>
          <w:lang w:val="en-GB"/>
        </w:rPr>
        <w:t>shifting adaptation solutions tailored to country needs. These NextGen proposals include elements of blended finance, access to markets and finance, private and public partnerships, and financial sustainability and viability.</w:t>
      </w:r>
      <w:r w:rsidR="004C6631">
        <w:rPr>
          <w:color w:val="0A0A0A"/>
          <w:sz w:val="20"/>
          <w:szCs w:val="20"/>
          <w:lang w:val="en-GB"/>
        </w:rPr>
        <w:t xml:space="preserve"> </w:t>
      </w:r>
      <w:r w:rsidR="004C6631" w:rsidRPr="004C6631">
        <w:rPr>
          <w:color w:val="0A0A0A"/>
          <w:sz w:val="20"/>
          <w:szCs w:val="20"/>
          <w:lang w:val="en-GB"/>
        </w:rPr>
        <w:t xml:space="preserve">These efforts can leverage UNDP expertise and assistance to advance </w:t>
      </w:r>
      <w:r w:rsidR="00BA6B3B">
        <w:rPr>
          <w:color w:val="0A0A0A"/>
          <w:sz w:val="20"/>
          <w:szCs w:val="20"/>
          <w:lang w:val="en-GB"/>
        </w:rPr>
        <w:t>i</w:t>
      </w:r>
      <w:r w:rsidR="004C6631" w:rsidRPr="004C6631">
        <w:rPr>
          <w:color w:val="0A0A0A"/>
          <w:sz w:val="20"/>
          <w:szCs w:val="20"/>
          <w:lang w:val="en-GB"/>
        </w:rPr>
        <w:t xml:space="preserve">ntegrated </w:t>
      </w:r>
      <w:r w:rsidR="00BA6B3B">
        <w:rPr>
          <w:color w:val="0A0A0A"/>
          <w:sz w:val="20"/>
          <w:szCs w:val="20"/>
          <w:lang w:val="en-GB"/>
        </w:rPr>
        <w:t>n</w:t>
      </w:r>
      <w:r w:rsidR="004C6631" w:rsidRPr="004C6631">
        <w:rPr>
          <w:color w:val="0A0A0A"/>
          <w:sz w:val="20"/>
          <w:szCs w:val="20"/>
          <w:lang w:val="en-GB"/>
        </w:rPr>
        <w:t xml:space="preserve">ational </w:t>
      </w:r>
      <w:r w:rsidR="00BA6B3B">
        <w:rPr>
          <w:color w:val="0A0A0A"/>
          <w:sz w:val="20"/>
          <w:szCs w:val="20"/>
          <w:lang w:val="en-GB"/>
        </w:rPr>
        <w:t>f</w:t>
      </w:r>
      <w:r w:rsidR="004C6631" w:rsidRPr="004C6631">
        <w:rPr>
          <w:color w:val="0A0A0A"/>
          <w:sz w:val="20"/>
          <w:szCs w:val="20"/>
          <w:lang w:val="en-GB"/>
        </w:rPr>
        <w:t xml:space="preserve">inancing </w:t>
      </w:r>
      <w:r w:rsidR="00BA6B3B">
        <w:rPr>
          <w:color w:val="0A0A0A"/>
          <w:sz w:val="20"/>
          <w:szCs w:val="20"/>
          <w:lang w:val="en-GB"/>
        </w:rPr>
        <w:t>f</w:t>
      </w:r>
      <w:r w:rsidR="004C6631" w:rsidRPr="004C6631">
        <w:rPr>
          <w:color w:val="0A0A0A"/>
          <w:sz w:val="20"/>
          <w:szCs w:val="20"/>
          <w:lang w:val="en-GB"/>
        </w:rPr>
        <w:t>rameworks</w:t>
      </w:r>
      <w:r w:rsidR="004C6631">
        <w:rPr>
          <w:color w:val="0A0A0A"/>
          <w:sz w:val="20"/>
          <w:szCs w:val="20"/>
          <w:lang w:val="en-GB"/>
        </w:rPr>
        <w:t>.</w:t>
      </w:r>
    </w:p>
    <w:p w14:paraId="13B58801" w14:textId="5FACF1EF" w:rsidR="00770F7D" w:rsidRPr="00686BBC" w:rsidRDefault="00770F7D" w:rsidP="00D66C5F">
      <w:pPr>
        <w:pStyle w:val="NormalWeb"/>
        <w:numPr>
          <w:ilvl w:val="0"/>
          <w:numId w:val="18"/>
        </w:numPr>
        <w:tabs>
          <w:tab w:val="left" w:pos="1440"/>
        </w:tabs>
        <w:spacing w:before="0" w:beforeAutospacing="0" w:after="120" w:afterAutospacing="0"/>
        <w:ind w:left="1080" w:right="-173" w:firstLine="0"/>
        <w:jc w:val="both"/>
        <w:rPr>
          <w:color w:val="0A0A0A"/>
          <w:sz w:val="20"/>
          <w:szCs w:val="20"/>
          <w:lang w:val="en-GB"/>
        </w:rPr>
      </w:pPr>
      <w:r w:rsidRPr="00686BBC">
        <w:rPr>
          <w:b/>
          <w:bCs/>
          <w:color w:val="0A0A0A"/>
          <w:sz w:val="20"/>
          <w:szCs w:val="20"/>
          <w:lang w:val="en-GB"/>
        </w:rPr>
        <w:t>UNDP is expand</w:t>
      </w:r>
      <w:r w:rsidR="00E46C7E">
        <w:rPr>
          <w:b/>
          <w:bCs/>
          <w:color w:val="0A0A0A"/>
          <w:sz w:val="20"/>
          <w:szCs w:val="20"/>
          <w:lang w:val="en-GB"/>
        </w:rPr>
        <w:t>ing</w:t>
      </w:r>
      <w:r w:rsidRPr="00686BBC">
        <w:rPr>
          <w:b/>
          <w:bCs/>
          <w:color w:val="0A0A0A"/>
          <w:sz w:val="20"/>
          <w:szCs w:val="20"/>
          <w:lang w:val="en-GB"/>
        </w:rPr>
        <w:t xml:space="preserve"> its engagement with a wide range of partners that are pursuing adaptation initiatives or have keen interests in engagement.</w:t>
      </w:r>
      <w:r w:rsidRPr="00686BBC">
        <w:rPr>
          <w:color w:val="0A0A0A"/>
          <w:sz w:val="20"/>
          <w:szCs w:val="20"/>
          <w:lang w:val="en-GB"/>
        </w:rPr>
        <w:t xml:space="preserve"> Strategic agreements and targeted discussions with multilateral development banks, national development banks, private sector entities, U</w:t>
      </w:r>
      <w:r w:rsidR="00E46C7E">
        <w:rPr>
          <w:color w:val="0A0A0A"/>
          <w:sz w:val="20"/>
          <w:szCs w:val="20"/>
          <w:lang w:val="en-GB"/>
        </w:rPr>
        <w:t xml:space="preserve">nited </w:t>
      </w:r>
      <w:r w:rsidRPr="00686BBC">
        <w:rPr>
          <w:color w:val="0A0A0A"/>
          <w:sz w:val="20"/>
          <w:szCs w:val="20"/>
          <w:lang w:val="en-GB"/>
        </w:rPr>
        <w:t>N</w:t>
      </w:r>
      <w:r w:rsidR="00E46C7E">
        <w:rPr>
          <w:color w:val="0A0A0A"/>
          <w:sz w:val="20"/>
          <w:szCs w:val="20"/>
          <w:lang w:val="en-GB"/>
        </w:rPr>
        <w:t>ations</w:t>
      </w:r>
      <w:r w:rsidRPr="00686BBC">
        <w:rPr>
          <w:color w:val="0A0A0A"/>
          <w:sz w:val="20"/>
          <w:szCs w:val="20"/>
          <w:lang w:val="en-GB"/>
        </w:rPr>
        <w:t xml:space="preserve"> </w:t>
      </w:r>
      <w:r w:rsidR="00E46C7E">
        <w:rPr>
          <w:color w:val="0A0A0A"/>
          <w:sz w:val="20"/>
          <w:szCs w:val="20"/>
          <w:lang w:val="en-GB"/>
        </w:rPr>
        <w:t xml:space="preserve">organizations </w:t>
      </w:r>
      <w:r w:rsidRPr="00686BBC">
        <w:rPr>
          <w:color w:val="0A0A0A"/>
          <w:sz w:val="20"/>
          <w:szCs w:val="20"/>
          <w:lang w:val="en-GB"/>
        </w:rPr>
        <w:t xml:space="preserve">and academia are underway to advance partnerships in GCF programming. These partnerships </w:t>
      </w:r>
      <w:r w:rsidR="00E46C7E">
        <w:rPr>
          <w:color w:val="0A0A0A"/>
          <w:sz w:val="20"/>
          <w:szCs w:val="20"/>
          <w:lang w:val="en-GB"/>
        </w:rPr>
        <w:t xml:space="preserve">will be </w:t>
      </w:r>
      <w:r w:rsidRPr="00686BBC">
        <w:rPr>
          <w:color w:val="0A0A0A"/>
          <w:sz w:val="20"/>
          <w:szCs w:val="20"/>
          <w:lang w:val="en-GB"/>
        </w:rPr>
        <w:t xml:space="preserve">embedded as critical components of adaptation proposals, both to fill gaps in the concessional and commercial layers of a climate adaptation project’s capital structure and to provide the required technical support and market linkages for sustainable project impact. </w:t>
      </w:r>
      <w:r w:rsidR="235E894B" w:rsidRPr="00686BBC">
        <w:rPr>
          <w:color w:val="0A0A0A"/>
          <w:sz w:val="20"/>
          <w:szCs w:val="20"/>
          <w:lang w:val="en-GB"/>
        </w:rPr>
        <w:t>Specifically</w:t>
      </w:r>
      <w:r w:rsidRPr="00686BBC">
        <w:rPr>
          <w:color w:val="0A0A0A"/>
          <w:sz w:val="20"/>
          <w:szCs w:val="20"/>
          <w:lang w:val="en-GB"/>
        </w:rPr>
        <w:t xml:space="preserve">, joint initiatives with </w:t>
      </w:r>
      <w:r w:rsidR="00E46C7E" w:rsidRPr="00686BBC">
        <w:rPr>
          <w:color w:val="0A0A0A"/>
          <w:sz w:val="20"/>
          <w:szCs w:val="20"/>
          <w:lang w:val="en-GB"/>
        </w:rPr>
        <w:t>multilateral development banks</w:t>
      </w:r>
      <w:r w:rsidR="00E46C7E" w:rsidRPr="00686BBC" w:rsidDel="00E46C7E">
        <w:rPr>
          <w:color w:val="0A0A0A"/>
          <w:sz w:val="20"/>
          <w:szCs w:val="20"/>
          <w:lang w:val="en-GB"/>
        </w:rPr>
        <w:t xml:space="preserve"> </w:t>
      </w:r>
      <w:r w:rsidRPr="00686BBC">
        <w:rPr>
          <w:color w:val="0A0A0A"/>
          <w:sz w:val="20"/>
          <w:szCs w:val="20"/>
          <w:lang w:val="en-GB"/>
        </w:rPr>
        <w:t>will seek to maximize the comparative advantage of multilateral institutions to explore blended finance opportunities and utilization of complementary financial instruments</w:t>
      </w:r>
      <w:r w:rsidR="00E46C7E">
        <w:rPr>
          <w:color w:val="0A0A0A"/>
          <w:sz w:val="20"/>
          <w:szCs w:val="20"/>
          <w:lang w:val="en-GB"/>
        </w:rPr>
        <w:t>.</w:t>
      </w:r>
      <w:r w:rsidRPr="00686BBC">
        <w:rPr>
          <w:color w:val="0A0A0A"/>
          <w:sz w:val="20"/>
          <w:szCs w:val="20"/>
          <w:lang w:val="en-GB"/>
        </w:rPr>
        <w:t xml:space="preserve"> </w:t>
      </w:r>
      <w:r w:rsidR="00E46C7E">
        <w:rPr>
          <w:color w:val="0A0A0A"/>
          <w:sz w:val="20"/>
          <w:szCs w:val="20"/>
          <w:lang w:val="en-GB"/>
        </w:rPr>
        <w:t>E</w:t>
      </w:r>
      <w:r w:rsidRPr="00686BBC">
        <w:rPr>
          <w:color w:val="0A0A0A"/>
          <w:sz w:val="20"/>
          <w:szCs w:val="20"/>
          <w:lang w:val="en-GB"/>
        </w:rPr>
        <w:t>ngag</w:t>
      </w:r>
      <w:r w:rsidR="00E46C7E">
        <w:rPr>
          <w:color w:val="0A0A0A"/>
          <w:sz w:val="20"/>
          <w:szCs w:val="20"/>
          <w:lang w:val="en-GB"/>
        </w:rPr>
        <w:t xml:space="preserve">ing </w:t>
      </w:r>
      <w:r w:rsidRPr="00686BBC">
        <w:rPr>
          <w:color w:val="0A0A0A"/>
          <w:sz w:val="20"/>
          <w:szCs w:val="20"/>
          <w:lang w:val="en-GB"/>
        </w:rPr>
        <w:t xml:space="preserve">with </w:t>
      </w:r>
      <w:r w:rsidR="00E46C7E">
        <w:rPr>
          <w:color w:val="0A0A0A"/>
          <w:sz w:val="20"/>
          <w:szCs w:val="20"/>
          <w:lang w:val="en-GB"/>
        </w:rPr>
        <w:t xml:space="preserve">national development banks, UNDP </w:t>
      </w:r>
      <w:r w:rsidRPr="00686BBC">
        <w:rPr>
          <w:color w:val="0A0A0A"/>
          <w:sz w:val="20"/>
          <w:szCs w:val="20"/>
          <w:lang w:val="en-GB"/>
        </w:rPr>
        <w:t>will focus on technical assistance and capacity building to unlock or complement new and existing sources of capital directed towards project beneficiaries to support the viability of adaptation solutions that include business models, technologies and financing arrangements involving the private sector</w:t>
      </w:r>
      <w:r w:rsidR="00E46C7E">
        <w:rPr>
          <w:color w:val="0A0A0A"/>
          <w:sz w:val="20"/>
          <w:szCs w:val="20"/>
          <w:lang w:val="en-GB"/>
        </w:rPr>
        <w:t>.</w:t>
      </w:r>
      <w:r w:rsidRPr="00686BBC">
        <w:rPr>
          <w:color w:val="0A0A0A"/>
          <w:sz w:val="20"/>
          <w:szCs w:val="20"/>
          <w:lang w:val="en-GB"/>
        </w:rPr>
        <w:t xml:space="preserve"> </w:t>
      </w:r>
      <w:r w:rsidR="00E46C7E">
        <w:rPr>
          <w:color w:val="0A0A0A"/>
          <w:sz w:val="20"/>
          <w:szCs w:val="20"/>
          <w:lang w:val="en-GB"/>
        </w:rPr>
        <w:t>UNDP p</w:t>
      </w:r>
      <w:r w:rsidRPr="00686BBC">
        <w:rPr>
          <w:color w:val="0A0A0A"/>
          <w:sz w:val="20"/>
          <w:szCs w:val="20"/>
          <w:lang w:val="en-GB"/>
        </w:rPr>
        <w:t>artnerships with private sector entities</w:t>
      </w:r>
      <w:r w:rsidR="00E46C7E">
        <w:rPr>
          <w:color w:val="0A0A0A"/>
          <w:sz w:val="20"/>
          <w:szCs w:val="20"/>
          <w:lang w:val="en-GB"/>
        </w:rPr>
        <w:t xml:space="preserve">, </w:t>
      </w:r>
      <w:r w:rsidRPr="00686BBC">
        <w:rPr>
          <w:color w:val="0A0A0A"/>
          <w:sz w:val="20"/>
          <w:szCs w:val="20"/>
          <w:lang w:val="en-GB"/>
        </w:rPr>
        <w:t>includ</w:t>
      </w:r>
      <w:r w:rsidR="00E46C7E">
        <w:rPr>
          <w:color w:val="0A0A0A"/>
          <w:sz w:val="20"/>
          <w:szCs w:val="20"/>
          <w:lang w:val="en-GB"/>
        </w:rPr>
        <w:t>ing</w:t>
      </w:r>
      <w:r w:rsidRPr="00686BBC">
        <w:rPr>
          <w:color w:val="0A0A0A"/>
          <w:sz w:val="20"/>
          <w:szCs w:val="20"/>
          <w:lang w:val="en-GB"/>
        </w:rPr>
        <w:t xml:space="preserve"> value chain actors, capital providers, investors, corporations and MSMEs</w:t>
      </w:r>
      <w:r w:rsidR="00E46C7E">
        <w:rPr>
          <w:color w:val="0A0A0A"/>
          <w:sz w:val="20"/>
          <w:szCs w:val="20"/>
          <w:lang w:val="en-GB"/>
        </w:rPr>
        <w:t>,</w:t>
      </w:r>
      <w:r w:rsidRPr="00686BBC">
        <w:rPr>
          <w:color w:val="0A0A0A"/>
          <w:sz w:val="20"/>
          <w:szCs w:val="20"/>
          <w:lang w:val="en-GB"/>
        </w:rPr>
        <w:t xml:space="preserve"> will involve initiatives (using policy and financial instruments) to de-risk participation and investment in climate risk management interventions.</w:t>
      </w:r>
    </w:p>
    <w:p w14:paraId="4CFAF26B" w14:textId="04DA3C49" w:rsidR="00770F7D" w:rsidRPr="00686BBC" w:rsidRDefault="00770F7D" w:rsidP="00D66C5F">
      <w:pPr>
        <w:pStyle w:val="NormalWeb"/>
        <w:numPr>
          <w:ilvl w:val="0"/>
          <w:numId w:val="18"/>
        </w:numPr>
        <w:tabs>
          <w:tab w:val="left" w:pos="1440"/>
        </w:tabs>
        <w:spacing w:before="0" w:beforeAutospacing="0" w:after="120" w:afterAutospacing="0"/>
        <w:ind w:left="1080" w:right="-173" w:firstLine="0"/>
        <w:jc w:val="both"/>
        <w:rPr>
          <w:color w:val="0A0A0A"/>
          <w:sz w:val="20"/>
          <w:szCs w:val="20"/>
          <w:lang w:val="en-GB"/>
        </w:rPr>
      </w:pPr>
      <w:r w:rsidRPr="00686BBC">
        <w:rPr>
          <w:b/>
          <w:bCs/>
          <w:color w:val="0A0A0A"/>
          <w:sz w:val="20"/>
          <w:szCs w:val="20"/>
          <w:lang w:val="en-GB"/>
        </w:rPr>
        <w:t xml:space="preserve">UNDP is actively partnering with local private sector and </w:t>
      </w:r>
      <w:r w:rsidR="006277E0">
        <w:rPr>
          <w:b/>
          <w:bCs/>
          <w:color w:val="0A0A0A"/>
          <w:sz w:val="20"/>
          <w:szCs w:val="20"/>
          <w:lang w:val="en-GB"/>
        </w:rPr>
        <w:t>non-governmental (</w:t>
      </w:r>
      <w:r w:rsidRPr="00686BBC">
        <w:rPr>
          <w:b/>
          <w:bCs/>
          <w:color w:val="0A0A0A"/>
          <w:sz w:val="20"/>
          <w:szCs w:val="20"/>
          <w:lang w:val="en-GB"/>
        </w:rPr>
        <w:t>NGOs</w:t>
      </w:r>
      <w:r w:rsidR="006277E0">
        <w:rPr>
          <w:b/>
          <w:bCs/>
          <w:color w:val="0A0A0A"/>
          <w:sz w:val="20"/>
          <w:szCs w:val="20"/>
          <w:lang w:val="en-GB"/>
        </w:rPr>
        <w:t>) and civil society organizations (</w:t>
      </w:r>
      <w:r w:rsidRPr="00686BBC">
        <w:rPr>
          <w:b/>
          <w:bCs/>
          <w:color w:val="0A0A0A"/>
          <w:sz w:val="20"/>
          <w:szCs w:val="20"/>
          <w:lang w:val="en-GB"/>
        </w:rPr>
        <w:t>CSOs</w:t>
      </w:r>
      <w:r w:rsidR="006277E0">
        <w:rPr>
          <w:b/>
          <w:bCs/>
          <w:color w:val="0A0A0A"/>
          <w:sz w:val="20"/>
          <w:szCs w:val="20"/>
          <w:lang w:val="en-GB"/>
        </w:rPr>
        <w:t>)</w:t>
      </w:r>
      <w:r w:rsidRPr="00686BBC">
        <w:rPr>
          <w:b/>
          <w:bCs/>
          <w:color w:val="0A0A0A"/>
          <w:sz w:val="20"/>
          <w:szCs w:val="20"/>
          <w:lang w:val="en-GB"/>
        </w:rPr>
        <w:t xml:space="preserve"> to create a system to encourage and foster locally</w:t>
      </w:r>
      <w:r w:rsidR="006277E0">
        <w:rPr>
          <w:b/>
          <w:bCs/>
          <w:color w:val="0A0A0A"/>
          <w:sz w:val="20"/>
          <w:szCs w:val="20"/>
          <w:lang w:val="en-GB"/>
        </w:rPr>
        <w:t xml:space="preserve"> </w:t>
      </w:r>
      <w:r w:rsidRPr="00686BBC">
        <w:rPr>
          <w:b/>
          <w:bCs/>
          <w:color w:val="0A0A0A"/>
          <w:sz w:val="20"/>
          <w:szCs w:val="20"/>
          <w:lang w:val="en-GB"/>
        </w:rPr>
        <w:t>led adaptation</w:t>
      </w:r>
      <w:r w:rsidRPr="00686BBC">
        <w:rPr>
          <w:color w:val="0A0A0A"/>
          <w:sz w:val="20"/>
          <w:szCs w:val="20"/>
          <w:lang w:val="en-GB"/>
        </w:rPr>
        <w:t>, finding innovative solutions to enhance community resilience with cultur</w:t>
      </w:r>
      <w:r w:rsidR="006277E0">
        <w:rPr>
          <w:color w:val="0A0A0A"/>
          <w:sz w:val="20"/>
          <w:szCs w:val="20"/>
          <w:lang w:val="en-GB"/>
        </w:rPr>
        <w:t>al</w:t>
      </w:r>
      <w:r w:rsidRPr="00686BBC">
        <w:rPr>
          <w:color w:val="0A0A0A"/>
          <w:sz w:val="20"/>
          <w:szCs w:val="20"/>
          <w:lang w:val="en-GB"/>
        </w:rPr>
        <w:t xml:space="preserve"> acceptance and local support. </w:t>
      </w:r>
      <w:r w:rsidR="00320980" w:rsidRPr="00686BBC">
        <w:rPr>
          <w:color w:val="0A0A0A"/>
          <w:sz w:val="20"/>
          <w:szCs w:val="20"/>
          <w:lang w:val="en-GB"/>
        </w:rPr>
        <w:t>P</w:t>
      </w:r>
      <w:r w:rsidRPr="00686BBC">
        <w:rPr>
          <w:color w:val="0A0A0A"/>
          <w:sz w:val="20"/>
          <w:szCs w:val="20"/>
          <w:lang w:val="en-GB"/>
        </w:rPr>
        <w:t>artnerships and strategic agreements with U</w:t>
      </w:r>
      <w:r w:rsidR="006277E0">
        <w:rPr>
          <w:color w:val="0A0A0A"/>
          <w:sz w:val="20"/>
          <w:szCs w:val="20"/>
          <w:lang w:val="en-GB"/>
        </w:rPr>
        <w:t xml:space="preserve">nited </w:t>
      </w:r>
      <w:r w:rsidRPr="00686BBC">
        <w:rPr>
          <w:color w:val="0A0A0A"/>
          <w:sz w:val="20"/>
          <w:szCs w:val="20"/>
          <w:lang w:val="en-GB"/>
        </w:rPr>
        <w:t>N</w:t>
      </w:r>
      <w:r w:rsidR="006277E0">
        <w:rPr>
          <w:color w:val="0A0A0A"/>
          <w:sz w:val="20"/>
          <w:szCs w:val="20"/>
          <w:lang w:val="en-GB"/>
        </w:rPr>
        <w:t>ations</w:t>
      </w:r>
      <w:r w:rsidRPr="00686BBC">
        <w:rPr>
          <w:color w:val="0A0A0A"/>
          <w:sz w:val="20"/>
          <w:szCs w:val="20"/>
          <w:lang w:val="en-GB"/>
        </w:rPr>
        <w:t xml:space="preserve"> </w:t>
      </w:r>
      <w:r w:rsidR="006277E0">
        <w:rPr>
          <w:color w:val="0A0A0A"/>
          <w:sz w:val="20"/>
          <w:szCs w:val="20"/>
          <w:lang w:val="en-GB"/>
        </w:rPr>
        <w:t>entities</w:t>
      </w:r>
      <w:r w:rsidRPr="00686BBC">
        <w:rPr>
          <w:color w:val="0A0A0A"/>
          <w:sz w:val="20"/>
          <w:szCs w:val="20"/>
          <w:lang w:val="en-GB"/>
        </w:rPr>
        <w:t>, including FAO, UNICEF, UNE</w:t>
      </w:r>
      <w:r w:rsidR="0003553D" w:rsidRPr="00686BBC">
        <w:rPr>
          <w:color w:val="0A0A0A"/>
          <w:sz w:val="20"/>
          <w:szCs w:val="20"/>
          <w:lang w:val="en-GB"/>
        </w:rPr>
        <w:t>P</w:t>
      </w:r>
      <w:r w:rsidRPr="00686BBC">
        <w:rPr>
          <w:color w:val="0A0A0A"/>
          <w:sz w:val="20"/>
          <w:szCs w:val="20"/>
          <w:lang w:val="en-GB"/>
        </w:rPr>
        <w:t xml:space="preserve"> and others</w:t>
      </w:r>
      <w:r w:rsidR="006277E0">
        <w:rPr>
          <w:color w:val="0A0A0A"/>
          <w:sz w:val="20"/>
          <w:szCs w:val="20"/>
          <w:lang w:val="en-GB"/>
        </w:rPr>
        <w:t>,</w:t>
      </w:r>
      <w:r w:rsidRPr="00686BBC">
        <w:rPr>
          <w:color w:val="0A0A0A"/>
          <w:sz w:val="20"/>
          <w:szCs w:val="20"/>
          <w:lang w:val="en-GB"/>
        </w:rPr>
        <w:t xml:space="preserve"> are in place and joint programming opportunities are being actively discussed. UNDP is working closely with diverse partners (including </w:t>
      </w:r>
      <w:r w:rsidR="006277E0">
        <w:rPr>
          <w:color w:val="0A0A0A"/>
          <w:sz w:val="20"/>
          <w:szCs w:val="20"/>
          <w:lang w:val="en-GB"/>
        </w:rPr>
        <w:t>the International Federation of Red Cross and Red Crescent Societies</w:t>
      </w:r>
      <w:r w:rsidRPr="00686BBC">
        <w:rPr>
          <w:color w:val="0A0A0A"/>
          <w:sz w:val="20"/>
          <w:szCs w:val="20"/>
          <w:lang w:val="en-GB"/>
        </w:rPr>
        <w:t xml:space="preserve">, </w:t>
      </w:r>
      <w:r w:rsidR="006277E0">
        <w:rPr>
          <w:color w:val="0A0A0A"/>
          <w:sz w:val="20"/>
          <w:szCs w:val="20"/>
          <w:lang w:val="en-GB"/>
        </w:rPr>
        <w:t xml:space="preserve">the </w:t>
      </w:r>
      <w:r w:rsidRPr="00686BBC">
        <w:rPr>
          <w:color w:val="0A0A0A"/>
          <w:sz w:val="20"/>
          <w:szCs w:val="20"/>
          <w:lang w:val="en-GB"/>
        </w:rPr>
        <w:t>Rockefeller Foundation, UN</w:t>
      </w:r>
      <w:r w:rsidR="006277E0">
        <w:rPr>
          <w:color w:val="0A0A0A"/>
          <w:sz w:val="20"/>
          <w:szCs w:val="20"/>
          <w:lang w:val="en-GB"/>
        </w:rPr>
        <w:t>-</w:t>
      </w:r>
      <w:r w:rsidR="006A456C" w:rsidRPr="00686BBC">
        <w:rPr>
          <w:color w:val="0A0A0A"/>
          <w:sz w:val="20"/>
          <w:szCs w:val="20"/>
          <w:lang w:val="en-GB"/>
        </w:rPr>
        <w:t>H</w:t>
      </w:r>
      <w:r w:rsidRPr="00686BBC">
        <w:rPr>
          <w:color w:val="0A0A0A"/>
          <w:sz w:val="20"/>
          <w:szCs w:val="20"/>
          <w:lang w:val="en-GB"/>
        </w:rPr>
        <w:t xml:space="preserve">abitat, </w:t>
      </w:r>
      <w:r w:rsidR="006277E0" w:rsidRPr="00686BBC">
        <w:rPr>
          <w:color w:val="0A0A0A"/>
          <w:sz w:val="20"/>
          <w:szCs w:val="20"/>
          <w:lang w:val="en-GB"/>
        </w:rPr>
        <w:t xml:space="preserve">WMO, </w:t>
      </w:r>
      <w:r w:rsidR="006277E0">
        <w:rPr>
          <w:color w:val="0A0A0A"/>
          <w:sz w:val="20"/>
          <w:szCs w:val="20"/>
          <w:lang w:val="en-GB"/>
        </w:rPr>
        <w:t xml:space="preserve">and other </w:t>
      </w:r>
      <w:r w:rsidRPr="00686BBC">
        <w:rPr>
          <w:color w:val="0A0A0A"/>
          <w:sz w:val="20"/>
          <w:szCs w:val="20"/>
          <w:lang w:val="en-GB"/>
        </w:rPr>
        <w:t>U</w:t>
      </w:r>
      <w:r w:rsidR="006277E0">
        <w:rPr>
          <w:color w:val="0A0A0A"/>
          <w:sz w:val="20"/>
          <w:szCs w:val="20"/>
          <w:lang w:val="en-GB"/>
        </w:rPr>
        <w:t xml:space="preserve">nited </w:t>
      </w:r>
      <w:r w:rsidRPr="00686BBC">
        <w:rPr>
          <w:color w:val="0A0A0A"/>
          <w:sz w:val="20"/>
          <w:szCs w:val="20"/>
          <w:lang w:val="en-GB"/>
        </w:rPr>
        <w:t>N</w:t>
      </w:r>
      <w:r w:rsidR="006277E0">
        <w:rPr>
          <w:color w:val="0A0A0A"/>
          <w:sz w:val="20"/>
          <w:szCs w:val="20"/>
          <w:lang w:val="en-GB"/>
        </w:rPr>
        <w:t>ations</w:t>
      </w:r>
      <w:r w:rsidRPr="00686BBC">
        <w:rPr>
          <w:color w:val="0A0A0A"/>
          <w:sz w:val="20"/>
          <w:szCs w:val="20"/>
          <w:lang w:val="en-GB"/>
        </w:rPr>
        <w:t xml:space="preserve"> </w:t>
      </w:r>
      <w:r w:rsidR="006277E0">
        <w:rPr>
          <w:color w:val="0A0A0A"/>
          <w:sz w:val="20"/>
          <w:szCs w:val="20"/>
          <w:lang w:val="en-GB"/>
        </w:rPr>
        <w:t>entities</w:t>
      </w:r>
      <w:r w:rsidRPr="00686BBC">
        <w:rPr>
          <w:color w:val="0A0A0A"/>
          <w:sz w:val="20"/>
          <w:szCs w:val="20"/>
          <w:lang w:val="en-GB"/>
        </w:rPr>
        <w:t>) on global initiatives</w:t>
      </w:r>
      <w:r w:rsidR="006277E0">
        <w:rPr>
          <w:color w:val="0A0A0A"/>
          <w:sz w:val="20"/>
          <w:szCs w:val="20"/>
          <w:lang w:val="en-GB"/>
        </w:rPr>
        <w:t>,</w:t>
      </w:r>
      <w:r w:rsidRPr="00686BBC">
        <w:rPr>
          <w:color w:val="0A0A0A"/>
          <w:sz w:val="20"/>
          <w:szCs w:val="20"/>
          <w:lang w:val="en-GB"/>
        </w:rPr>
        <w:t xml:space="preserve"> including risk</w:t>
      </w:r>
      <w:r w:rsidR="006277E0">
        <w:rPr>
          <w:color w:val="0A0A0A"/>
          <w:sz w:val="20"/>
          <w:szCs w:val="20"/>
          <w:lang w:val="en-GB"/>
        </w:rPr>
        <w:t>-</w:t>
      </w:r>
      <w:r w:rsidRPr="00686BBC">
        <w:rPr>
          <w:color w:val="0A0A0A"/>
          <w:sz w:val="20"/>
          <w:szCs w:val="20"/>
          <w:lang w:val="en-GB"/>
        </w:rPr>
        <w:t>informed early action partnership</w:t>
      </w:r>
      <w:r w:rsidR="006277E0">
        <w:rPr>
          <w:color w:val="0A0A0A"/>
          <w:sz w:val="20"/>
          <w:szCs w:val="20"/>
          <w:lang w:val="en-GB"/>
        </w:rPr>
        <w:t>s</w:t>
      </w:r>
      <w:r w:rsidRPr="00686BBC">
        <w:rPr>
          <w:color w:val="0A0A0A"/>
          <w:sz w:val="20"/>
          <w:szCs w:val="20"/>
          <w:lang w:val="en-GB"/>
        </w:rPr>
        <w:t xml:space="preserve"> and the </w:t>
      </w:r>
      <w:r w:rsidR="006277E0">
        <w:rPr>
          <w:color w:val="0A0A0A"/>
          <w:sz w:val="20"/>
          <w:szCs w:val="20"/>
          <w:lang w:val="en-GB"/>
        </w:rPr>
        <w:t>G</w:t>
      </w:r>
      <w:r w:rsidRPr="00686BBC">
        <w:rPr>
          <w:color w:val="0A0A0A"/>
          <w:sz w:val="20"/>
          <w:szCs w:val="20"/>
          <w:lang w:val="en-GB"/>
        </w:rPr>
        <w:t xml:space="preserve">lobal </w:t>
      </w:r>
      <w:r w:rsidR="006277E0">
        <w:rPr>
          <w:color w:val="0A0A0A"/>
          <w:sz w:val="20"/>
          <w:szCs w:val="20"/>
          <w:lang w:val="en-GB"/>
        </w:rPr>
        <w:t>C</w:t>
      </w:r>
      <w:r w:rsidRPr="00686BBC">
        <w:rPr>
          <w:color w:val="0A0A0A"/>
          <w:sz w:val="20"/>
          <w:szCs w:val="20"/>
          <w:lang w:val="en-GB"/>
        </w:rPr>
        <w:t xml:space="preserve">ommission on </w:t>
      </w:r>
      <w:r w:rsidR="006277E0">
        <w:rPr>
          <w:color w:val="0A0A0A"/>
          <w:sz w:val="20"/>
          <w:szCs w:val="20"/>
          <w:lang w:val="en-GB"/>
        </w:rPr>
        <w:t>A</w:t>
      </w:r>
      <w:r w:rsidRPr="00686BBC">
        <w:rPr>
          <w:color w:val="0A0A0A"/>
          <w:sz w:val="20"/>
          <w:szCs w:val="20"/>
          <w:lang w:val="en-GB"/>
        </w:rPr>
        <w:t xml:space="preserve">daptation track. </w:t>
      </w:r>
    </w:p>
    <w:p w14:paraId="6B366360" w14:textId="057D1EE2" w:rsidR="2F0E46C0" w:rsidRPr="00686BBC" w:rsidRDefault="00770F7D" w:rsidP="00D66C5F">
      <w:pPr>
        <w:pStyle w:val="NormalWeb"/>
        <w:numPr>
          <w:ilvl w:val="0"/>
          <w:numId w:val="18"/>
        </w:numPr>
        <w:tabs>
          <w:tab w:val="left" w:pos="1440"/>
        </w:tabs>
        <w:spacing w:before="0" w:beforeAutospacing="0" w:after="120" w:afterAutospacing="0"/>
        <w:ind w:left="1080" w:right="-173" w:firstLine="0"/>
        <w:jc w:val="both"/>
        <w:rPr>
          <w:color w:val="0A0A0A"/>
          <w:sz w:val="20"/>
          <w:szCs w:val="20"/>
          <w:lang w:val="en-GB"/>
        </w:rPr>
      </w:pPr>
      <w:r w:rsidRPr="00686BBC">
        <w:rPr>
          <w:b/>
          <w:bCs/>
          <w:color w:val="0A0A0A"/>
          <w:sz w:val="20"/>
          <w:szCs w:val="20"/>
          <w:lang w:val="en-GB"/>
        </w:rPr>
        <w:t xml:space="preserve">UNDP is </w:t>
      </w:r>
      <w:r w:rsidR="006F3185" w:rsidRPr="00686BBC">
        <w:rPr>
          <w:b/>
          <w:bCs/>
          <w:color w:val="0A0A0A"/>
          <w:sz w:val="20"/>
          <w:szCs w:val="20"/>
          <w:lang w:val="en-GB"/>
        </w:rPr>
        <w:t xml:space="preserve">moving to </w:t>
      </w:r>
      <w:r w:rsidRPr="00686BBC">
        <w:rPr>
          <w:b/>
          <w:bCs/>
          <w:color w:val="0A0A0A"/>
          <w:sz w:val="20"/>
          <w:szCs w:val="20"/>
          <w:lang w:val="en-GB"/>
        </w:rPr>
        <w:t>design multi-country programmes for countries with similar climate risks and adaptation needs.</w:t>
      </w:r>
      <w:r w:rsidRPr="00686BBC">
        <w:rPr>
          <w:color w:val="0A0A0A"/>
          <w:sz w:val="20"/>
          <w:szCs w:val="20"/>
          <w:lang w:val="en-GB"/>
        </w:rPr>
        <w:t xml:space="preserve"> </w:t>
      </w:r>
      <w:r w:rsidR="0099077D" w:rsidRPr="00686BBC">
        <w:rPr>
          <w:color w:val="0A0A0A"/>
          <w:sz w:val="20"/>
          <w:szCs w:val="20"/>
          <w:lang w:val="en-GB"/>
        </w:rPr>
        <w:t xml:space="preserve">Potential </w:t>
      </w:r>
      <w:r w:rsidRPr="00686BBC">
        <w:rPr>
          <w:color w:val="0A0A0A"/>
          <w:sz w:val="20"/>
          <w:szCs w:val="20"/>
          <w:lang w:val="en-GB"/>
        </w:rPr>
        <w:t>a</w:t>
      </w:r>
      <w:r w:rsidR="0099077D" w:rsidRPr="00686BBC">
        <w:rPr>
          <w:color w:val="0A0A0A"/>
          <w:sz w:val="20"/>
          <w:szCs w:val="20"/>
          <w:lang w:val="en-GB"/>
        </w:rPr>
        <w:t xml:space="preserve">reas </w:t>
      </w:r>
      <w:r w:rsidR="006277E0">
        <w:rPr>
          <w:color w:val="0A0A0A"/>
          <w:sz w:val="20"/>
          <w:szCs w:val="20"/>
          <w:lang w:val="en-GB"/>
        </w:rPr>
        <w:t xml:space="preserve">fall </w:t>
      </w:r>
      <w:r w:rsidRPr="00686BBC">
        <w:rPr>
          <w:color w:val="0A0A0A"/>
          <w:sz w:val="20"/>
          <w:szCs w:val="20"/>
          <w:lang w:val="en-GB"/>
        </w:rPr>
        <w:t>primarily in climate information and early warning systems, climate resilient agriculture/water/food security, and urban resilience. This programmatic approach will allow UNDP</w:t>
      </w:r>
      <w:r w:rsidR="00320980" w:rsidRPr="00686BBC">
        <w:rPr>
          <w:color w:val="0A0A0A"/>
          <w:sz w:val="20"/>
          <w:szCs w:val="20"/>
          <w:lang w:val="en-GB"/>
        </w:rPr>
        <w:t xml:space="preserve"> to help countries </w:t>
      </w:r>
      <w:r w:rsidRPr="00686BBC">
        <w:rPr>
          <w:color w:val="0A0A0A"/>
          <w:sz w:val="20"/>
          <w:szCs w:val="20"/>
          <w:lang w:val="en-GB"/>
        </w:rPr>
        <w:t>address systematic barriers to adaptive action</w:t>
      </w:r>
      <w:r w:rsidR="006277E0">
        <w:rPr>
          <w:color w:val="0A0A0A"/>
          <w:sz w:val="20"/>
          <w:szCs w:val="20"/>
          <w:lang w:val="en-GB"/>
        </w:rPr>
        <w:t>,</w:t>
      </w:r>
      <w:r w:rsidRPr="00686BBC">
        <w:rPr>
          <w:color w:val="0A0A0A"/>
          <w:sz w:val="20"/>
          <w:szCs w:val="20"/>
          <w:lang w:val="en-GB"/>
        </w:rPr>
        <w:t xml:space="preserve"> beyond </w:t>
      </w:r>
      <w:r w:rsidR="006277E0">
        <w:rPr>
          <w:color w:val="0A0A0A"/>
          <w:sz w:val="20"/>
          <w:szCs w:val="20"/>
          <w:lang w:val="en-GB"/>
        </w:rPr>
        <w:t xml:space="preserve">the </w:t>
      </w:r>
      <w:r w:rsidRPr="00686BBC">
        <w:rPr>
          <w:color w:val="0A0A0A"/>
          <w:sz w:val="20"/>
          <w:szCs w:val="20"/>
          <w:lang w:val="en-GB"/>
        </w:rPr>
        <w:t>national context</w:t>
      </w:r>
      <w:r w:rsidR="006277E0">
        <w:rPr>
          <w:color w:val="0A0A0A"/>
          <w:sz w:val="20"/>
          <w:szCs w:val="20"/>
          <w:lang w:val="en-GB"/>
        </w:rPr>
        <w:t>,</w:t>
      </w:r>
      <w:r w:rsidRPr="00686BBC">
        <w:rPr>
          <w:color w:val="0A0A0A"/>
          <w:sz w:val="20"/>
          <w:szCs w:val="20"/>
          <w:lang w:val="en-GB"/>
        </w:rPr>
        <w:t xml:space="preserve"> </w:t>
      </w:r>
      <w:r w:rsidR="006277E0">
        <w:rPr>
          <w:color w:val="0A0A0A"/>
          <w:sz w:val="20"/>
          <w:szCs w:val="20"/>
          <w:lang w:val="en-GB"/>
        </w:rPr>
        <w:t xml:space="preserve">to </w:t>
      </w:r>
      <w:r w:rsidRPr="00686BBC">
        <w:rPr>
          <w:color w:val="0A0A0A"/>
          <w:sz w:val="20"/>
          <w:szCs w:val="20"/>
          <w:lang w:val="en-GB"/>
        </w:rPr>
        <w:t>increase impact.</w:t>
      </w:r>
      <w:r w:rsidR="0099077D" w:rsidRPr="00686BBC">
        <w:rPr>
          <w:color w:val="0A0A0A"/>
          <w:sz w:val="20"/>
          <w:szCs w:val="20"/>
          <w:lang w:val="en-GB"/>
        </w:rPr>
        <w:t xml:space="preserve"> </w:t>
      </w:r>
      <w:r w:rsidR="00D74618" w:rsidRPr="00686BBC">
        <w:rPr>
          <w:color w:val="0A0A0A"/>
          <w:sz w:val="20"/>
          <w:szCs w:val="20"/>
          <w:lang w:val="en-GB"/>
        </w:rPr>
        <w:t xml:space="preserve">Examples include the </w:t>
      </w:r>
      <w:r w:rsidR="006277E0">
        <w:rPr>
          <w:color w:val="0A0A0A"/>
          <w:sz w:val="20"/>
          <w:szCs w:val="20"/>
          <w:lang w:val="en-GB"/>
        </w:rPr>
        <w:t>c</w:t>
      </w:r>
      <w:r w:rsidR="00D74618" w:rsidRPr="00686BBC">
        <w:rPr>
          <w:color w:val="0A0A0A"/>
          <w:sz w:val="20"/>
          <w:szCs w:val="20"/>
          <w:lang w:val="en-GB"/>
        </w:rPr>
        <w:t xml:space="preserve">limate </w:t>
      </w:r>
      <w:r w:rsidR="006277E0">
        <w:rPr>
          <w:color w:val="0A0A0A"/>
          <w:sz w:val="20"/>
          <w:szCs w:val="20"/>
          <w:lang w:val="en-GB"/>
        </w:rPr>
        <w:t>r</w:t>
      </w:r>
      <w:r w:rsidR="00D74618" w:rsidRPr="00686BBC">
        <w:rPr>
          <w:color w:val="0A0A0A"/>
          <w:sz w:val="20"/>
          <w:szCs w:val="20"/>
          <w:lang w:val="en-GB"/>
        </w:rPr>
        <w:t xml:space="preserve">esilience </w:t>
      </w:r>
      <w:r w:rsidR="006277E0">
        <w:rPr>
          <w:color w:val="0A0A0A"/>
          <w:sz w:val="20"/>
          <w:szCs w:val="20"/>
          <w:lang w:val="en-GB"/>
        </w:rPr>
        <w:t>f</w:t>
      </w:r>
      <w:r w:rsidR="00D74618" w:rsidRPr="00686BBC">
        <w:rPr>
          <w:color w:val="0A0A0A"/>
          <w:sz w:val="20"/>
          <w:szCs w:val="20"/>
          <w:lang w:val="en-GB"/>
        </w:rPr>
        <w:t xml:space="preserve">ood and </w:t>
      </w:r>
      <w:r w:rsidR="006277E0">
        <w:rPr>
          <w:color w:val="0A0A0A"/>
          <w:sz w:val="20"/>
          <w:szCs w:val="20"/>
          <w:lang w:val="en-GB"/>
        </w:rPr>
        <w:t>a</w:t>
      </w:r>
      <w:r w:rsidR="00D74618" w:rsidRPr="00686BBC">
        <w:rPr>
          <w:color w:val="0A0A0A"/>
          <w:sz w:val="20"/>
          <w:szCs w:val="20"/>
          <w:lang w:val="en-GB"/>
        </w:rPr>
        <w:t xml:space="preserve">griculture </w:t>
      </w:r>
      <w:r w:rsidR="006277E0">
        <w:rPr>
          <w:color w:val="0A0A0A"/>
          <w:sz w:val="20"/>
          <w:szCs w:val="20"/>
          <w:lang w:val="en-GB"/>
        </w:rPr>
        <w:t>s</w:t>
      </w:r>
      <w:r w:rsidR="00D74618" w:rsidRPr="00686BBC">
        <w:rPr>
          <w:color w:val="0A0A0A"/>
          <w:sz w:val="20"/>
          <w:szCs w:val="20"/>
          <w:lang w:val="en-GB"/>
        </w:rPr>
        <w:t xml:space="preserve">ystems programme (that builds on </w:t>
      </w:r>
      <w:r w:rsidR="006277E0">
        <w:rPr>
          <w:color w:val="0A0A0A"/>
          <w:sz w:val="20"/>
          <w:szCs w:val="20"/>
          <w:lang w:val="en-GB"/>
        </w:rPr>
        <w:t xml:space="preserve">the </w:t>
      </w:r>
      <w:r w:rsidR="00D74618" w:rsidRPr="00686BBC">
        <w:rPr>
          <w:color w:val="0A0A0A"/>
          <w:sz w:val="20"/>
          <w:szCs w:val="20"/>
          <w:lang w:val="en-GB"/>
        </w:rPr>
        <w:t xml:space="preserve">UNDP </w:t>
      </w:r>
      <w:r w:rsidR="00D0558F">
        <w:rPr>
          <w:color w:val="0A0A0A"/>
          <w:sz w:val="20"/>
          <w:szCs w:val="20"/>
          <w:lang w:val="en-GB"/>
        </w:rPr>
        <w:t xml:space="preserve">FACS </w:t>
      </w:r>
      <w:r w:rsidR="00D74618" w:rsidRPr="00686BBC">
        <w:rPr>
          <w:color w:val="0A0A0A"/>
          <w:sz w:val="20"/>
          <w:szCs w:val="20"/>
          <w:lang w:val="en-GB"/>
        </w:rPr>
        <w:t xml:space="preserve">strategy), the </w:t>
      </w:r>
      <w:r w:rsidR="006277E0">
        <w:rPr>
          <w:color w:val="0A0A0A"/>
          <w:sz w:val="20"/>
          <w:szCs w:val="20"/>
          <w:lang w:val="en-GB"/>
        </w:rPr>
        <w:t>u</w:t>
      </w:r>
      <w:r w:rsidR="00D74618" w:rsidRPr="00686BBC">
        <w:rPr>
          <w:color w:val="0A0A0A"/>
          <w:sz w:val="20"/>
          <w:szCs w:val="20"/>
          <w:lang w:val="en-GB"/>
        </w:rPr>
        <w:t xml:space="preserve">rban </w:t>
      </w:r>
      <w:r w:rsidR="006277E0">
        <w:rPr>
          <w:color w:val="0A0A0A"/>
          <w:sz w:val="20"/>
          <w:szCs w:val="20"/>
          <w:lang w:val="en-GB"/>
        </w:rPr>
        <w:t>r</w:t>
      </w:r>
      <w:r w:rsidR="00D74618" w:rsidRPr="00686BBC">
        <w:rPr>
          <w:color w:val="0A0A0A"/>
          <w:sz w:val="20"/>
          <w:szCs w:val="20"/>
          <w:lang w:val="en-GB"/>
        </w:rPr>
        <w:t xml:space="preserve">esilience programme, and the </w:t>
      </w:r>
      <w:r w:rsidR="006277E0">
        <w:rPr>
          <w:color w:val="0A0A0A"/>
          <w:sz w:val="20"/>
          <w:szCs w:val="20"/>
          <w:lang w:val="en-GB"/>
        </w:rPr>
        <w:t>r</w:t>
      </w:r>
      <w:r w:rsidR="00BD76F7" w:rsidRPr="00686BBC">
        <w:rPr>
          <w:color w:val="0A0A0A"/>
          <w:sz w:val="20"/>
          <w:szCs w:val="20"/>
          <w:lang w:val="en-GB"/>
        </w:rPr>
        <w:t xml:space="preserve">esilience in </w:t>
      </w:r>
      <w:r w:rsidR="006277E0">
        <w:rPr>
          <w:color w:val="0A0A0A"/>
          <w:sz w:val="20"/>
          <w:szCs w:val="20"/>
          <w:lang w:val="en-GB"/>
        </w:rPr>
        <w:t>w</w:t>
      </w:r>
      <w:r w:rsidR="00BD76F7" w:rsidRPr="00686BBC">
        <w:rPr>
          <w:color w:val="0A0A0A"/>
          <w:sz w:val="20"/>
          <w:szCs w:val="20"/>
          <w:lang w:val="en-GB"/>
        </w:rPr>
        <w:t>ater-</w:t>
      </w:r>
      <w:r w:rsidR="006277E0">
        <w:rPr>
          <w:color w:val="0A0A0A"/>
          <w:sz w:val="20"/>
          <w:szCs w:val="20"/>
          <w:lang w:val="en-GB"/>
        </w:rPr>
        <w:t>a</w:t>
      </w:r>
      <w:r w:rsidR="00BD76F7" w:rsidRPr="00686BBC">
        <w:rPr>
          <w:color w:val="0A0A0A"/>
          <w:sz w:val="20"/>
          <w:szCs w:val="20"/>
          <w:lang w:val="en-GB"/>
        </w:rPr>
        <w:t>griculture-</w:t>
      </w:r>
      <w:r w:rsidR="006277E0">
        <w:rPr>
          <w:color w:val="0A0A0A"/>
          <w:sz w:val="20"/>
          <w:szCs w:val="20"/>
          <w:lang w:val="en-GB"/>
        </w:rPr>
        <w:t>f</w:t>
      </w:r>
      <w:r w:rsidR="00BD76F7" w:rsidRPr="00686BBC">
        <w:rPr>
          <w:color w:val="0A0A0A"/>
          <w:sz w:val="20"/>
          <w:szCs w:val="20"/>
          <w:lang w:val="en-GB"/>
        </w:rPr>
        <w:t xml:space="preserve">ood production in </w:t>
      </w:r>
      <w:r w:rsidR="006277E0">
        <w:rPr>
          <w:color w:val="0A0A0A"/>
          <w:sz w:val="20"/>
          <w:szCs w:val="20"/>
          <w:lang w:val="en-GB"/>
        </w:rPr>
        <w:t>s</w:t>
      </w:r>
      <w:r w:rsidR="00BD76F7" w:rsidRPr="00686BBC">
        <w:rPr>
          <w:color w:val="0A0A0A"/>
          <w:sz w:val="20"/>
          <w:szCs w:val="20"/>
          <w:lang w:val="en-GB"/>
        </w:rPr>
        <w:t>outhern Africa</w:t>
      </w:r>
      <w:r w:rsidR="00313FDC">
        <w:rPr>
          <w:color w:val="0A0A0A"/>
          <w:sz w:val="20"/>
          <w:szCs w:val="20"/>
          <w:lang w:val="en-GB"/>
        </w:rPr>
        <w:t xml:space="preserve"> programme</w:t>
      </w:r>
      <w:r w:rsidR="0099077D" w:rsidRPr="00686BBC">
        <w:rPr>
          <w:color w:val="0A0A0A"/>
          <w:sz w:val="20"/>
          <w:szCs w:val="20"/>
          <w:lang w:val="en-GB"/>
        </w:rPr>
        <w:t xml:space="preserve">.  </w:t>
      </w:r>
    </w:p>
    <w:p w14:paraId="34F3FE48" w14:textId="498D6485" w:rsidR="18088971" w:rsidRPr="00686BBC" w:rsidRDefault="18088971" w:rsidP="00D66C5F">
      <w:pPr>
        <w:pStyle w:val="NormalWeb"/>
        <w:numPr>
          <w:ilvl w:val="0"/>
          <w:numId w:val="18"/>
        </w:numPr>
        <w:tabs>
          <w:tab w:val="left" w:pos="1440"/>
        </w:tabs>
        <w:spacing w:before="0" w:beforeAutospacing="0" w:after="120" w:afterAutospacing="0"/>
        <w:ind w:left="1080" w:right="-173" w:firstLine="0"/>
        <w:jc w:val="both"/>
        <w:rPr>
          <w:sz w:val="20"/>
          <w:szCs w:val="20"/>
          <w:lang w:val="en-GB"/>
        </w:rPr>
      </w:pPr>
      <w:r w:rsidRPr="00686BBC">
        <w:rPr>
          <w:b/>
          <w:bCs/>
          <w:color w:val="0A0A0A"/>
          <w:sz w:val="20"/>
          <w:szCs w:val="20"/>
          <w:lang w:val="en-GB"/>
        </w:rPr>
        <w:t xml:space="preserve">UNDP </w:t>
      </w:r>
      <w:r w:rsidR="006F3185" w:rsidRPr="00686BBC">
        <w:rPr>
          <w:b/>
          <w:bCs/>
          <w:color w:val="0A0A0A"/>
          <w:sz w:val="20"/>
          <w:szCs w:val="20"/>
          <w:lang w:val="en-GB"/>
        </w:rPr>
        <w:t>will continue to build on it</w:t>
      </w:r>
      <w:r w:rsidR="0003553D" w:rsidRPr="00686BBC">
        <w:rPr>
          <w:b/>
          <w:bCs/>
          <w:color w:val="0A0A0A"/>
          <w:sz w:val="20"/>
          <w:szCs w:val="20"/>
          <w:lang w:val="en-GB"/>
        </w:rPr>
        <w:t>s</w:t>
      </w:r>
      <w:r w:rsidR="006F3185" w:rsidRPr="00686BBC">
        <w:rPr>
          <w:b/>
          <w:bCs/>
          <w:color w:val="0A0A0A"/>
          <w:sz w:val="20"/>
          <w:szCs w:val="20"/>
          <w:lang w:val="en-GB"/>
        </w:rPr>
        <w:t xml:space="preserve"> contribution to </w:t>
      </w:r>
      <w:r w:rsidR="71EE90CF" w:rsidRPr="00686BBC">
        <w:rPr>
          <w:b/>
          <w:bCs/>
          <w:color w:val="0A0A0A"/>
          <w:sz w:val="20"/>
          <w:szCs w:val="20"/>
          <w:lang w:val="en-GB"/>
        </w:rPr>
        <w:t>advanc</w:t>
      </w:r>
      <w:r w:rsidR="006F3185" w:rsidRPr="00686BBC">
        <w:rPr>
          <w:b/>
          <w:bCs/>
          <w:color w:val="0A0A0A"/>
          <w:sz w:val="20"/>
          <w:szCs w:val="20"/>
          <w:lang w:val="en-GB"/>
        </w:rPr>
        <w:t xml:space="preserve">ing </w:t>
      </w:r>
      <w:r w:rsidRPr="00686BBC">
        <w:rPr>
          <w:b/>
          <w:bCs/>
          <w:color w:val="0A0A0A"/>
          <w:sz w:val="20"/>
          <w:szCs w:val="20"/>
          <w:lang w:val="en-GB"/>
        </w:rPr>
        <w:t>global dialogue and commitments to adaptation, acting as convener and thought leader across key global initiatives and pla</w:t>
      </w:r>
      <w:r w:rsidR="79942FE2" w:rsidRPr="00686BBC">
        <w:rPr>
          <w:b/>
          <w:bCs/>
          <w:color w:val="0A0A0A"/>
          <w:sz w:val="20"/>
          <w:szCs w:val="20"/>
          <w:lang w:val="en-GB"/>
        </w:rPr>
        <w:t>tforms</w:t>
      </w:r>
      <w:r w:rsidR="79942FE2" w:rsidRPr="00686BBC">
        <w:rPr>
          <w:color w:val="0A0A0A"/>
          <w:sz w:val="20"/>
          <w:szCs w:val="20"/>
          <w:lang w:val="en-GB"/>
        </w:rPr>
        <w:t xml:space="preserve">. As the institutional lead for the </w:t>
      </w:r>
      <w:r w:rsidR="00313FDC">
        <w:rPr>
          <w:color w:val="0A0A0A"/>
          <w:sz w:val="20"/>
          <w:szCs w:val="20"/>
          <w:lang w:val="en-GB"/>
        </w:rPr>
        <w:t>a</w:t>
      </w:r>
      <w:r w:rsidR="79942FE2" w:rsidRPr="00686BBC">
        <w:rPr>
          <w:color w:val="0A0A0A"/>
          <w:sz w:val="20"/>
          <w:szCs w:val="20"/>
          <w:lang w:val="en-GB"/>
        </w:rPr>
        <w:t xml:space="preserve">daptation and </w:t>
      </w:r>
      <w:r w:rsidR="00313FDC">
        <w:rPr>
          <w:color w:val="0A0A0A"/>
          <w:sz w:val="20"/>
          <w:szCs w:val="20"/>
          <w:lang w:val="en-GB"/>
        </w:rPr>
        <w:t>r</w:t>
      </w:r>
      <w:r w:rsidR="79942FE2" w:rsidRPr="00686BBC">
        <w:rPr>
          <w:color w:val="0A0A0A"/>
          <w:sz w:val="20"/>
          <w:szCs w:val="20"/>
          <w:lang w:val="en-GB"/>
        </w:rPr>
        <w:t>esilience track of the Climate Action Summit in 2019, UNDP contributed to advancing commitment and key initiatives</w:t>
      </w:r>
      <w:r w:rsidR="00313FDC">
        <w:rPr>
          <w:color w:val="0A0A0A"/>
          <w:sz w:val="20"/>
          <w:szCs w:val="20"/>
          <w:lang w:val="en-GB"/>
        </w:rPr>
        <w:t>,</w:t>
      </w:r>
      <w:r w:rsidR="79942FE2" w:rsidRPr="00686BBC">
        <w:rPr>
          <w:color w:val="0A0A0A"/>
          <w:sz w:val="20"/>
          <w:szCs w:val="20"/>
          <w:lang w:val="en-GB"/>
        </w:rPr>
        <w:t xml:space="preserve"> including the Africa Ada</w:t>
      </w:r>
      <w:r w:rsidR="1124F149" w:rsidRPr="00686BBC">
        <w:rPr>
          <w:color w:val="0A0A0A"/>
          <w:sz w:val="20"/>
          <w:szCs w:val="20"/>
          <w:lang w:val="en-GB"/>
        </w:rPr>
        <w:t xml:space="preserve">ptation Initiative, </w:t>
      </w:r>
      <w:r w:rsidR="00313FDC">
        <w:rPr>
          <w:color w:val="0A0A0A"/>
          <w:sz w:val="20"/>
          <w:szCs w:val="20"/>
          <w:lang w:val="en-GB"/>
        </w:rPr>
        <w:t xml:space="preserve">the </w:t>
      </w:r>
      <w:r w:rsidR="1124F149" w:rsidRPr="00686BBC">
        <w:rPr>
          <w:color w:val="0A0A0A"/>
          <w:sz w:val="20"/>
          <w:szCs w:val="20"/>
          <w:lang w:val="en-GB"/>
        </w:rPr>
        <w:t xml:space="preserve">Risk-informed Early Action Partnership, </w:t>
      </w:r>
      <w:r w:rsidR="006F3185" w:rsidRPr="00686BBC">
        <w:rPr>
          <w:color w:val="0A0A0A"/>
          <w:sz w:val="20"/>
          <w:szCs w:val="20"/>
          <w:lang w:val="en-GB"/>
        </w:rPr>
        <w:t xml:space="preserve">and the </w:t>
      </w:r>
      <w:r w:rsidR="1124F149" w:rsidRPr="00686BBC">
        <w:rPr>
          <w:color w:val="0A0A0A"/>
          <w:sz w:val="20"/>
          <w:szCs w:val="20"/>
          <w:lang w:val="en-GB"/>
        </w:rPr>
        <w:t>Coalition for Climate Resilient Infrastructure</w:t>
      </w:r>
      <w:r w:rsidR="00313FDC">
        <w:rPr>
          <w:color w:val="0A0A0A"/>
          <w:sz w:val="20"/>
          <w:szCs w:val="20"/>
          <w:lang w:val="en-GB"/>
        </w:rPr>
        <w:t xml:space="preserve"> (</w:t>
      </w:r>
      <w:proofErr w:type="spellStart"/>
      <w:r w:rsidR="1124F149" w:rsidRPr="00686BBC">
        <w:rPr>
          <w:color w:val="0A0A0A"/>
          <w:sz w:val="20"/>
          <w:szCs w:val="20"/>
          <w:lang w:val="en-GB"/>
        </w:rPr>
        <w:t>InsuResilience</w:t>
      </w:r>
      <w:proofErr w:type="spellEnd"/>
      <w:r w:rsidR="00313FDC">
        <w:rPr>
          <w:color w:val="0A0A0A"/>
          <w:sz w:val="20"/>
          <w:szCs w:val="20"/>
          <w:lang w:val="en-GB"/>
        </w:rPr>
        <w:t>)</w:t>
      </w:r>
      <w:r w:rsidR="006F3185" w:rsidRPr="00686BBC">
        <w:rPr>
          <w:color w:val="0A0A0A"/>
          <w:sz w:val="20"/>
          <w:szCs w:val="20"/>
          <w:lang w:val="en-GB"/>
        </w:rPr>
        <w:t xml:space="preserve">. </w:t>
      </w:r>
      <w:r w:rsidR="00313FDC">
        <w:rPr>
          <w:color w:val="0A0A0A"/>
          <w:sz w:val="20"/>
          <w:szCs w:val="20"/>
          <w:lang w:val="en-GB"/>
        </w:rPr>
        <w:t>W</w:t>
      </w:r>
      <w:r w:rsidR="178B87AD" w:rsidRPr="00686BBC">
        <w:rPr>
          <w:color w:val="0A0A0A"/>
          <w:sz w:val="20"/>
          <w:szCs w:val="20"/>
          <w:lang w:val="en-GB"/>
        </w:rPr>
        <w:t xml:space="preserve">ith </w:t>
      </w:r>
      <w:r w:rsidR="00313FDC">
        <w:rPr>
          <w:color w:val="0A0A0A"/>
          <w:sz w:val="20"/>
          <w:szCs w:val="20"/>
          <w:lang w:val="en-GB"/>
        </w:rPr>
        <w:t xml:space="preserve">its </w:t>
      </w:r>
      <w:r w:rsidR="178B87AD" w:rsidRPr="00686BBC">
        <w:rPr>
          <w:color w:val="0A0A0A"/>
          <w:sz w:val="20"/>
          <w:szCs w:val="20"/>
          <w:lang w:val="en-GB"/>
        </w:rPr>
        <w:t xml:space="preserve">Administrator one of the </w:t>
      </w:r>
      <w:r w:rsidR="00313FDC">
        <w:rPr>
          <w:color w:val="0A0A0A"/>
          <w:sz w:val="20"/>
          <w:szCs w:val="20"/>
          <w:lang w:val="en-GB"/>
        </w:rPr>
        <w:t>c</w:t>
      </w:r>
      <w:r w:rsidR="178B87AD" w:rsidRPr="00686BBC">
        <w:rPr>
          <w:color w:val="0A0A0A"/>
          <w:sz w:val="20"/>
          <w:szCs w:val="20"/>
          <w:lang w:val="en-GB"/>
        </w:rPr>
        <w:t xml:space="preserve">ommissioners, </w:t>
      </w:r>
      <w:r w:rsidR="00313FDC">
        <w:rPr>
          <w:color w:val="0A0A0A"/>
          <w:sz w:val="20"/>
          <w:szCs w:val="20"/>
          <w:lang w:val="en-GB"/>
        </w:rPr>
        <w:t xml:space="preserve">UNDP </w:t>
      </w:r>
      <w:r w:rsidR="178B87AD" w:rsidRPr="00686BBC">
        <w:rPr>
          <w:color w:val="0A0A0A"/>
          <w:sz w:val="20"/>
          <w:szCs w:val="20"/>
          <w:lang w:val="en-GB"/>
        </w:rPr>
        <w:t>has been a strong partner in the Global Commission on Adaptation, advancing the work of key</w:t>
      </w:r>
      <w:r w:rsidR="006F3185" w:rsidRPr="00686BBC">
        <w:rPr>
          <w:color w:val="0A0A0A"/>
          <w:sz w:val="20"/>
          <w:szCs w:val="20"/>
          <w:lang w:val="en-GB"/>
        </w:rPr>
        <w:t xml:space="preserve"> </w:t>
      </w:r>
      <w:r w:rsidR="178B87AD" w:rsidRPr="00686BBC">
        <w:rPr>
          <w:color w:val="0A0A0A"/>
          <w:sz w:val="20"/>
          <w:szCs w:val="20"/>
          <w:lang w:val="en-GB"/>
        </w:rPr>
        <w:t xml:space="preserve">tracks such as </w:t>
      </w:r>
      <w:r w:rsidR="006F3185" w:rsidRPr="00686BBC">
        <w:rPr>
          <w:color w:val="0A0A0A"/>
          <w:sz w:val="20"/>
          <w:szCs w:val="20"/>
          <w:lang w:val="en-GB"/>
        </w:rPr>
        <w:t>l</w:t>
      </w:r>
      <w:r w:rsidR="178B87AD" w:rsidRPr="00686BBC">
        <w:rPr>
          <w:color w:val="0A0A0A"/>
          <w:sz w:val="20"/>
          <w:szCs w:val="20"/>
          <w:lang w:val="en-GB"/>
        </w:rPr>
        <w:t>ocally</w:t>
      </w:r>
      <w:r w:rsidR="00313FDC">
        <w:rPr>
          <w:color w:val="0A0A0A"/>
          <w:sz w:val="20"/>
          <w:szCs w:val="20"/>
          <w:lang w:val="en-GB"/>
        </w:rPr>
        <w:t xml:space="preserve"> </w:t>
      </w:r>
      <w:r w:rsidR="178B87AD" w:rsidRPr="00686BBC">
        <w:rPr>
          <w:color w:val="0A0A0A"/>
          <w:sz w:val="20"/>
          <w:szCs w:val="20"/>
          <w:lang w:val="en-GB"/>
        </w:rPr>
        <w:t>led action and disaster</w:t>
      </w:r>
      <w:r w:rsidR="00313FDC">
        <w:rPr>
          <w:color w:val="0A0A0A"/>
          <w:sz w:val="20"/>
          <w:szCs w:val="20"/>
          <w:lang w:val="en-GB"/>
        </w:rPr>
        <w:t xml:space="preserve"> prevention</w:t>
      </w:r>
      <w:r w:rsidR="178B87AD" w:rsidRPr="00686BBC">
        <w:rPr>
          <w:color w:val="0A0A0A"/>
          <w:sz w:val="20"/>
          <w:szCs w:val="20"/>
          <w:lang w:val="en-GB"/>
        </w:rPr>
        <w:t>.</w:t>
      </w:r>
      <w:r w:rsidR="006F3185" w:rsidRPr="00686BBC">
        <w:rPr>
          <w:color w:val="0A0A0A"/>
          <w:sz w:val="20"/>
          <w:szCs w:val="20"/>
          <w:lang w:val="en-GB"/>
        </w:rPr>
        <w:t xml:space="preserve"> </w:t>
      </w:r>
      <w:r w:rsidR="2F1C4913" w:rsidRPr="00686BBC">
        <w:rPr>
          <w:color w:val="0A0A0A"/>
          <w:sz w:val="20"/>
          <w:szCs w:val="20"/>
          <w:lang w:val="en-GB"/>
        </w:rPr>
        <w:t>UNDP</w:t>
      </w:r>
      <w:r w:rsidR="006F3185" w:rsidRPr="00686BBC">
        <w:rPr>
          <w:color w:val="0A0A0A"/>
          <w:sz w:val="20"/>
          <w:szCs w:val="20"/>
          <w:lang w:val="en-GB"/>
        </w:rPr>
        <w:t xml:space="preserve"> will</w:t>
      </w:r>
      <w:r w:rsidR="2F1C4913" w:rsidRPr="00686BBC">
        <w:rPr>
          <w:color w:val="0A0A0A"/>
          <w:sz w:val="20"/>
          <w:szCs w:val="20"/>
          <w:lang w:val="en-GB"/>
        </w:rPr>
        <w:t xml:space="preserve"> continue to work </w:t>
      </w:r>
      <w:r w:rsidRPr="00686BBC">
        <w:rPr>
          <w:color w:val="0A0A0A"/>
          <w:sz w:val="20"/>
          <w:szCs w:val="20"/>
          <w:lang w:val="en-GB"/>
        </w:rPr>
        <w:t>closely with the Resilience and Adaptation Coalition and Partners formed at the Climate Action Summit</w:t>
      </w:r>
      <w:r w:rsidR="00313FDC">
        <w:rPr>
          <w:color w:val="0A0A0A"/>
          <w:sz w:val="20"/>
          <w:szCs w:val="20"/>
          <w:lang w:val="en-GB"/>
        </w:rPr>
        <w:t xml:space="preserve"> 2019</w:t>
      </w:r>
      <w:r w:rsidRPr="00686BBC">
        <w:rPr>
          <w:color w:val="0A0A0A"/>
          <w:sz w:val="20"/>
          <w:szCs w:val="20"/>
          <w:lang w:val="en-GB"/>
        </w:rPr>
        <w:t xml:space="preserve">, including with Global Commission on Adaption. </w:t>
      </w:r>
      <w:r w:rsidR="00B6623B" w:rsidRPr="00686BBC">
        <w:rPr>
          <w:color w:val="0A0A0A"/>
          <w:sz w:val="20"/>
          <w:szCs w:val="20"/>
          <w:lang w:val="en-GB"/>
        </w:rPr>
        <w:t>UNDP will support t</w:t>
      </w:r>
      <w:r w:rsidRPr="00686BBC">
        <w:rPr>
          <w:color w:val="0A0A0A"/>
          <w:sz w:val="20"/>
          <w:szCs w:val="20"/>
          <w:lang w:val="en-GB"/>
        </w:rPr>
        <w:t xml:space="preserve">he Climate Adaptation Summit </w:t>
      </w:r>
      <w:r w:rsidR="00313FDC">
        <w:rPr>
          <w:color w:val="0A0A0A"/>
          <w:sz w:val="20"/>
          <w:szCs w:val="20"/>
          <w:lang w:val="en-GB"/>
        </w:rPr>
        <w:t xml:space="preserve">in </w:t>
      </w:r>
      <w:r w:rsidRPr="00686BBC">
        <w:rPr>
          <w:color w:val="0A0A0A"/>
          <w:sz w:val="20"/>
          <w:szCs w:val="20"/>
          <w:lang w:val="en-GB"/>
        </w:rPr>
        <w:t xml:space="preserve">January 2021 by </w:t>
      </w:r>
      <w:r w:rsidRPr="00686BBC">
        <w:rPr>
          <w:color w:val="0A0A0A"/>
          <w:sz w:val="20"/>
          <w:szCs w:val="20"/>
          <w:lang w:val="en-GB"/>
        </w:rPr>
        <w:lastRenderedPageBreak/>
        <w:t>substantially contributing to the framing concept and supporting identification of key champions/frontrunners</w:t>
      </w:r>
      <w:r w:rsidR="0003553D" w:rsidRPr="00686BBC">
        <w:rPr>
          <w:color w:val="0A0A0A"/>
          <w:sz w:val="20"/>
          <w:szCs w:val="20"/>
          <w:lang w:val="en-GB"/>
        </w:rPr>
        <w:t>.</w:t>
      </w:r>
      <w:r w:rsidR="004C6631">
        <w:rPr>
          <w:color w:val="0A0A0A"/>
          <w:sz w:val="20"/>
          <w:szCs w:val="20"/>
          <w:lang w:val="en-GB"/>
        </w:rPr>
        <w:t xml:space="preserve"> </w:t>
      </w:r>
      <w:r w:rsidR="004C6631" w:rsidRPr="004C6631">
        <w:rPr>
          <w:color w:val="0A0A0A"/>
          <w:sz w:val="20"/>
          <w:szCs w:val="20"/>
          <w:lang w:val="en-GB"/>
        </w:rPr>
        <w:t xml:space="preserve">UNDP is also a key partner in the </w:t>
      </w:r>
      <w:r w:rsidR="00F4319D">
        <w:rPr>
          <w:color w:val="0A0A0A"/>
          <w:sz w:val="20"/>
          <w:szCs w:val="20"/>
          <w:lang w:val="en-GB"/>
        </w:rPr>
        <w:t xml:space="preserve">2021 </w:t>
      </w:r>
      <w:r w:rsidR="004C6631" w:rsidRPr="004C6631">
        <w:rPr>
          <w:color w:val="0A0A0A"/>
          <w:sz w:val="20"/>
          <w:szCs w:val="20"/>
          <w:lang w:val="en-GB"/>
        </w:rPr>
        <w:t xml:space="preserve">Food Systems Summit and aims to advance action on food and water security issues through platforms </w:t>
      </w:r>
      <w:r w:rsidR="00F4319D">
        <w:rPr>
          <w:color w:val="0A0A0A"/>
          <w:sz w:val="20"/>
          <w:szCs w:val="20"/>
          <w:lang w:val="en-GB"/>
        </w:rPr>
        <w:t xml:space="preserve">such </w:t>
      </w:r>
      <w:r w:rsidR="004C6631" w:rsidRPr="004C6631">
        <w:rPr>
          <w:color w:val="0A0A0A"/>
          <w:sz w:val="20"/>
          <w:szCs w:val="20"/>
          <w:lang w:val="en-GB"/>
        </w:rPr>
        <w:t>as the Water Conference planned in 2023</w:t>
      </w:r>
      <w:r w:rsidR="004C6631">
        <w:rPr>
          <w:color w:val="0A0A0A"/>
          <w:sz w:val="20"/>
          <w:szCs w:val="20"/>
          <w:lang w:val="en-GB"/>
        </w:rPr>
        <w:t>.</w:t>
      </w:r>
      <w:r w:rsidR="0003553D" w:rsidRPr="00686BBC">
        <w:rPr>
          <w:color w:val="0A0A0A"/>
          <w:sz w:val="20"/>
          <w:szCs w:val="20"/>
          <w:lang w:val="en-GB"/>
        </w:rPr>
        <w:t xml:space="preserve">  </w:t>
      </w:r>
    </w:p>
    <w:p w14:paraId="36B70269" w14:textId="576D54C6" w:rsidR="00770F7D" w:rsidRPr="00D66C5F" w:rsidRDefault="5587FEA8" w:rsidP="00D66C5F">
      <w:pPr>
        <w:pStyle w:val="NormalWeb"/>
        <w:numPr>
          <w:ilvl w:val="0"/>
          <w:numId w:val="18"/>
        </w:numPr>
        <w:tabs>
          <w:tab w:val="left" w:pos="1440"/>
        </w:tabs>
        <w:spacing w:before="0" w:beforeAutospacing="0" w:after="0" w:afterAutospacing="0"/>
        <w:ind w:left="1080" w:right="-169" w:firstLine="0"/>
        <w:jc w:val="both"/>
        <w:rPr>
          <w:color w:val="0A0A0A"/>
          <w:spacing w:val="8"/>
          <w:sz w:val="22"/>
          <w:szCs w:val="22"/>
          <w:shd w:val="clear" w:color="auto" w:fill="FEFEFE"/>
          <w:lang w:val="en-GB"/>
        </w:rPr>
      </w:pPr>
      <w:r w:rsidRPr="00D66C5F">
        <w:rPr>
          <w:color w:val="0A0A0A"/>
          <w:sz w:val="20"/>
          <w:szCs w:val="20"/>
          <w:lang w:val="en-GB"/>
        </w:rPr>
        <w:t xml:space="preserve">UNDP adaptation efforts </w:t>
      </w:r>
      <w:r w:rsidR="00320980" w:rsidRPr="00D66C5F">
        <w:rPr>
          <w:color w:val="0A0A0A"/>
          <w:sz w:val="20"/>
          <w:szCs w:val="20"/>
          <w:lang w:val="en-GB"/>
        </w:rPr>
        <w:t xml:space="preserve">respond to </w:t>
      </w:r>
      <w:r w:rsidR="00F4319D" w:rsidRPr="00D66C5F">
        <w:rPr>
          <w:color w:val="0A0A0A"/>
          <w:sz w:val="20"/>
          <w:szCs w:val="20"/>
          <w:lang w:val="en-GB"/>
        </w:rPr>
        <w:t xml:space="preserve">the </w:t>
      </w:r>
      <w:r w:rsidRPr="00D66C5F">
        <w:rPr>
          <w:color w:val="0A0A0A"/>
          <w:sz w:val="20"/>
          <w:szCs w:val="20"/>
          <w:lang w:val="en-GB"/>
        </w:rPr>
        <w:t>COVID-19 pandemic</w:t>
      </w:r>
      <w:r w:rsidR="004C6631" w:rsidRPr="00D66C5F">
        <w:rPr>
          <w:color w:val="0A0A0A"/>
          <w:sz w:val="20"/>
          <w:szCs w:val="20"/>
          <w:lang w:val="en-GB"/>
        </w:rPr>
        <w:t xml:space="preserve">, anchored in </w:t>
      </w:r>
      <w:r w:rsidR="00F4319D" w:rsidRPr="00D66C5F">
        <w:rPr>
          <w:color w:val="0A0A0A"/>
          <w:sz w:val="20"/>
          <w:szCs w:val="20"/>
          <w:lang w:val="en-GB"/>
        </w:rPr>
        <w:t xml:space="preserve">the </w:t>
      </w:r>
      <w:r w:rsidR="004C6631" w:rsidRPr="00D66C5F">
        <w:rPr>
          <w:color w:val="0A0A0A"/>
          <w:sz w:val="20"/>
          <w:szCs w:val="20"/>
          <w:lang w:val="en-GB"/>
        </w:rPr>
        <w:t>COVID</w:t>
      </w:r>
      <w:r w:rsidR="00F4319D" w:rsidRPr="00D66C5F">
        <w:rPr>
          <w:color w:val="0A0A0A"/>
          <w:sz w:val="20"/>
          <w:szCs w:val="20"/>
          <w:lang w:val="en-GB"/>
        </w:rPr>
        <w:t>-19</w:t>
      </w:r>
      <w:r w:rsidR="00644394" w:rsidRPr="00D66C5F">
        <w:rPr>
          <w:color w:val="0A0A0A"/>
          <w:sz w:val="20"/>
          <w:szCs w:val="20"/>
          <w:lang w:val="en-GB"/>
        </w:rPr>
        <w:t xml:space="preserve"> </w:t>
      </w:r>
      <w:r w:rsidR="004C6631" w:rsidRPr="00D66C5F">
        <w:rPr>
          <w:color w:val="0A0A0A"/>
          <w:sz w:val="20"/>
          <w:szCs w:val="20"/>
          <w:lang w:val="en-GB"/>
        </w:rPr>
        <w:t xml:space="preserve">response </w:t>
      </w:r>
      <w:r w:rsidR="00F4319D" w:rsidRPr="00D66C5F">
        <w:rPr>
          <w:color w:val="0A0A0A"/>
          <w:sz w:val="20"/>
          <w:szCs w:val="20"/>
          <w:lang w:val="en-GB"/>
        </w:rPr>
        <w:t>offer –</w:t>
      </w:r>
      <w:r w:rsidR="00F4319D" w:rsidRPr="00D66C5F">
        <w:rPr>
          <w:sz w:val="20"/>
          <w:szCs w:val="20"/>
          <w:lang w:val="en-GB"/>
        </w:rPr>
        <w:t xml:space="preserve"> </w:t>
      </w:r>
      <w:r w:rsidR="004C6631" w:rsidRPr="00D66C5F">
        <w:rPr>
          <w:color w:val="0A0A0A"/>
          <w:sz w:val="20"/>
          <w:szCs w:val="20"/>
          <w:lang w:val="en-GB"/>
        </w:rPr>
        <w:t>Beyond Recovery: Towards 2030</w:t>
      </w:r>
      <w:r w:rsidR="00F4319D" w:rsidRPr="00D66C5F">
        <w:rPr>
          <w:color w:val="0A0A0A"/>
          <w:sz w:val="20"/>
          <w:szCs w:val="20"/>
          <w:lang w:val="en-GB"/>
        </w:rPr>
        <w:t xml:space="preserve"> –</w:t>
      </w:r>
      <w:r w:rsidR="00F4319D" w:rsidRPr="00D66C5F">
        <w:rPr>
          <w:sz w:val="20"/>
          <w:szCs w:val="20"/>
          <w:lang w:val="en-GB"/>
        </w:rPr>
        <w:t xml:space="preserve"> </w:t>
      </w:r>
      <w:r w:rsidR="004C6631" w:rsidRPr="00D66C5F">
        <w:rPr>
          <w:color w:val="0A0A0A"/>
          <w:sz w:val="20"/>
          <w:szCs w:val="20"/>
          <w:lang w:val="en-GB"/>
        </w:rPr>
        <w:t>and its technical lead role across the U</w:t>
      </w:r>
      <w:r w:rsidR="00F4319D" w:rsidRPr="00D66C5F">
        <w:rPr>
          <w:color w:val="0A0A0A"/>
          <w:sz w:val="20"/>
          <w:szCs w:val="20"/>
          <w:lang w:val="en-GB"/>
        </w:rPr>
        <w:t xml:space="preserve">nited </w:t>
      </w:r>
      <w:r w:rsidR="004C6631" w:rsidRPr="00D66C5F">
        <w:rPr>
          <w:color w:val="0A0A0A"/>
          <w:sz w:val="20"/>
          <w:szCs w:val="20"/>
          <w:lang w:val="en-GB"/>
        </w:rPr>
        <w:t>N</w:t>
      </w:r>
      <w:r w:rsidR="00F4319D" w:rsidRPr="00D66C5F">
        <w:rPr>
          <w:color w:val="0A0A0A"/>
          <w:sz w:val="20"/>
          <w:szCs w:val="20"/>
          <w:lang w:val="en-GB"/>
        </w:rPr>
        <w:t>ations</w:t>
      </w:r>
      <w:r w:rsidR="004C6631" w:rsidRPr="00D66C5F">
        <w:rPr>
          <w:color w:val="0A0A0A"/>
          <w:sz w:val="20"/>
          <w:szCs w:val="20"/>
          <w:lang w:val="en-GB"/>
        </w:rPr>
        <w:t xml:space="preserve"> system supporting countries </w:t>
      </w:r>
      <w:r w:rsidR="00F4319D" w:rsidRPr="00D66C5F">
        <w:rPr>
          <w:color w:val="0A0A0A"/>
          <w:sz w:val="20"/>
          <w:szCs w:val="20"/>
          <w:lang w:val="en-GB"/>
        </w:rPr>
        <w:t>i</w:t>
      </w:r>
      <w:r w:rsidR="004C6631" w:rsidRPr="00D66C5F">
        <w:rPr>
          <w:color w:val="0A0A0A"/>
          <w:sz w:val="20"/>
          <w:szCs w:val="20"/>
          <w:lang w:val="en-GB"/>
        </w:rPr>
        <w:t xml:space="preserve">n developing </w:t>
      </w:r>
      <w:r w:rsidR="00F4319D" w:rsidRPr="00D66C5F">
        <w:rPr>
          <w:color w:val="0A0A0A"/>
          <w:sz w:val="20"/>
          <w:szCs w:val="20"/>
          <w:lang w:val="en-GB"/>
        </w:rPr>
        <w:t>s</w:t>
      </w:r>
      <w:r w:rsidR="004C6631" w:rsidRPr="00D66C5F">
        <w:rPr>
          <w:color w:val="0A0A0A"/>
          <w:sz w:val="20"/>
          <w:szCs w:val="20"/>
          <w:lang w:val="en-GB"/>
        </w:rPr>
        <w:t xml:space="preserve">ocioeconomic </w:t>
      </w:r>
      <w:r w:rsidR="00F4319D" w:rsidRPr="00D66C5F">
        <w:rPr>
          <w:color w:val="0A0A0A"/>
          <w:sz w:val="20"/>
          <w:szCs w:val="20"/>
          <w:lang w:val="en-GB"/>
        </w:rPr>
        <w:t>i</w:t>
      </w:r>
      <w:r w:rsidR="004C6631" w:rsidRPr="00D66C5F">
        <w:rPr>
          <w:color w:val="0A0A0A"/>
          <w:sz w:val="20"/>
          <w:szCs w:val="20"/>
          <w:lang w:val="en-GB"/>
        </w:rPr>
        <w:t xml:space="preserve">mpact </w:t>
      </w:r>
      <w:r w:rsidR="00F4319D" w:rsidRPr="00D66C5F">
        <w:rPr>
          <w:color w:val="0A0A0A"/>
          <w:sz w:val="20"/>
          <w:szCs w:val="20"/>
          <w:lang w:val="en-GB"/>
        </w:rPr>
        <w:t>a</w:t>
      </w:r>
      <w:r w:rsidR="004C6631" w:rsidRPr="00D66C5F">
        <w:rPr>
          <w:color w:val="0A0A0A"/>
          <w:sz w:val="20"/>
          <w:szCs w:val="20"/>
          <w:lang w:val="en-GB"/>
        </w:rPr>
        <w:t xml:space="preserve">ssessments and </w:t>
      </w:r>
      <w:r w:rsidR="00F4319D" w:rsidRPr="00D66C5F">
        <w:rPr>
          <w:color w:val="0A0A0A"/>
          <w:sz w:val="20"/>
          <w:szCs w:val="20"/>
          <w:lang w:val="en-GB"/>
        </w:rPr>
        <w:t>s</w:t>
      </w:r>
      <w:r w:rsidR="004C6631" w:rsidRPr="00D66C5F">
        <w:rPr>
          <w:color w:val="0A0A0A"/>
          <w:sz w:val="20"/>
          <w:szCs w:val="20"/>
          <w:lang w:val="en-GB"/>
        </w:rPr>
        <w:t>ocio</w:t>
      </w:r>
      <w:r w:rsidR="00F4319D" w:rsidRPr="00D66C5F">
        <w:rPr>
          <w:color w:val="0A0A0A"/>
          <w:sz w:val="20"/>
          <w:szCs w:val="20"/>
          <w:lang w:val="en-GB"/>
        </w:rPr>
        <w:t>e</w:t>
      </w:r>
      <w:r w:rsidR="004C6631" w:rsidRPr="00D66C5F">
        <w:rPr>
          <w:color w:val="0A0A0A"/>
          <w:sz w:val="20"/>
          <w:szCs w:val="20"/>
          <w:lang w:val="en-GB"/>
        </w:rPr>
        <w:t xml:space="preserve">conomic </w:t>
      </w:r>
      <w:r w:rsidR="00F4319D" w:rsidRPr="00D66C5F">
        <w:rPr>
          <w:color w:val="0A0A0A"/>
          <w:sz w:val="20"/>
          <w:szCs w:val="20"/>
          <w:lang w:val="en-GB"/>
        </w:rPr>
        <w:t>r</w:t>
      </w:r>
      <w:r w:rsidR="004C6631" w:rsidRPr="00D66C5F">
        <w:rPr>
          <w:color w:val="0A0A0A"/>
          <w:sz w:val="20"/>
          <w:szCs w:val="20"/>
          <w:lang w:val="en-GB"/>
        </w:rPr>
        <w:t xml:space="preserve">esponse </w:t>
      </w:r>
      <w:r w:rsidR="00F4319D" w:rsidRPr="00D66C5F">
        <w:rPr>
          <w:color w:val="0A0A0A"/>
          <w:sz w:val="20"/>
          <w:szCs w:val="20"/>
          <w:lang w:val="en-GB"/>
        </w:rPr>
        <w:t>p</w:t>
      </w:r>
      <w:r w:rsidR="004C6631" w:rsidRPr="00D66C5F">
        <w:rPr>
          <w:color w:val="0A0A0A"/>
          <w:sz w:val="20"/>
          <w:szCs w:val="20"/>
          <w:lang w:val="en-GB"/>
        </w:rPr>
        <w:t xml:space="preserve">lans. </w:t>
      </w:r>
      <w:r w:rsidR="00F4319D" w:rsidRPr="00D66C5F">
        <w:rPr>
          <w:color w:val="0A0A0A"/>
          <w:sz w:val="20"/>
          <w:szCs w:val="20"/>
          <w:lang w:val="en-GB"/>
        </w:rPr>
        <w:t xml:space="preserve">The </w:t>
      </w:r>
      <w:r w:rsidR="004C6631" w:rsidRPr="00D66C5F">
        <w:rPr>
          <w:color w:val="0A0A0A"/>
          <w:sz w:val="20"/>
          <w:szCs w:val="20"/>
          <w:lang w:val="en-GB"/>
        </w:rPr>
        <w:t>UNDP adaptation offer</w:t>
      </w:r>
      <w:r w:rsidRPr="00D66C5F">
        <w:rPr>
          <w:color w:val="0A0A0A"/>
          <w:sz w:val="20"/>
          <w:szCs w:val="20"/>
          <w:lang w:val="en-GB"/>
        </w:rPr>
        <w:t xml:space="preserve"> </w:t>
      </w:r>
      <w:r w:rsidR="00320980" w:rsidRPr="00D66C5F">
        <w:rPr>
          <w:color w:val="0A0A0A"/>
          <w:sz w:val="20"/>
          <w:szCs w:val="20"/>
          <w:lang w:val="en-GB"/>
        </w:rPr>
        <w:t xml:space="preserve">will </w:t>
      </w:r>
      <w:r w:rsidRPr="00D66C5F">
        <w:rPr>
          <w:color w:val="0A0A0A"/>
          <w:sz w:val="20"/>
          <w:szCs w:val="20"/>
          <w:lang w:val="en-GB"/>
        </w:rPr>
        <w:t>contribute to resilient recovery by integrati</w:t>
      </w:r>
      <w:r w:rsidR="00320980" w:rsidRPr="00D66C5F">
        <w:rPr>
          <w:color w:val="0A0A0A"/>
          <w:sz w:val="20"/>
          <w:szCs w:val="20"/>
          <w:lang w:val="en-GB"/>
        </w:rPr>
        <w:t>ng</w:t>
      </w:r>
      <w:r w:rsidRPr="00D66C5F">
        <w:rPr>
          <w:color w:val="0A0A0A"/>
          <w:sz w:val="20"/>
          <w:szCs w:val="20"/>
          <w:lang w:val="en-GB"/>
        </w:rPr>
        <w:t xml:space="preserve"> health risks and impacts in adaptation strategies and policies, strengthening health</w:t>
      </w:r>
      <w:r w:rsidR="00313FDC" w:rsidRPr="00D66C5F">
        <w:rPr>
          <w:color w:val="0A0A0A"/>
          <w:sz w:val="20"/>
          <w:szCs w:val="20"/>
          <w:lang w:val="en-GB"/>
        </w:rPr>
        <w:t>-</w:t>
      </w:r>
      <w:r w:rsidRPr="00D66C5F">
        <w:rPr>
          <w:color w:val="0A0A0A"/>
          <w:sz w:val="20"/>
          <w:szCs w:val="20"/>
          <w:lang w:val="en-GB"/>
        </w:rPr>
        <w:t>care systems</w:t>
      </w:r>
      <w:r w:rsidR="005D44FA" w:rsidRPr="00D66C5F">
        <w:rPr>
          <w:color w:val="0A0A0A"/>
          <w:sz w:val="20"/>
          <w:szCs w:val="20"/>
          <w:lang w:val="en-GB"/>
        </w:rPr>
        <w:t>,</w:t>
      </w:r>
      <w:r w:rsidRPr="00D66C5F">
        <w:rPr>
          <w:color w:val="0A0A0A"/>
          <w:sz w:val="20"/>
          <w:szCs w:val="20"/>
          <w:lang w:val="en-GB"/>
        </w:rPr>
        <w:t xml:space="preserve"> including </w:t>
      </w:r>
      <w:r w:rsidR="00313FDC" w:rsidRPr="00D66C5F">
        <w:rPr>
          <w:color w:val="0A0A0A"/>
          <w:sz w:val="20"/>
          <w:szCs w:val="20"/>
          <w:lang w:val="en-GB"/>
        </w:rPr>
        <w:t xml:space="preserve">through </w:t>
      </w:r>
      <w:r w:rsidRPr="00D66C5F">
        <w:rPr>
          <w:color w:val="0A0A0A"/>
          <w:sz w:val="20"/>
          <w:szCs w:val="20"/>
          <w:lang w:val="en-GB"/>
        </w:rPr>
        <w:t xml:space="preserve">improved climate data and information, </w:t>
      </w:r>
      <w:r w:rsidR="00313FDC" w:rsidRPr="00D66C5F">
        <w:rPr>
          <w:color w:val="0A0A0A"/>
          <w:sz w:val="20"/>
          <w:szCs w:val="20"/>
          <w:lang w:val="en-GB"/>
        </w:rPr>
        <w:t xml:space="preserve">better </w:t>
      </w:r>
      <w:r w:rsidRPr="00D66C5F">
        <w:rPr>
          <w:color w:val="0A0A0A"/>
          <w:sz w:val="20"/>
          <w:szCs w:val="20"/>
          <w:lang w:val="en-GB"/>
        </w:rPr>
        <w:t xml:space="preserve">climate-induced disease surveillance, integration of adaptation and social protection systems, investments into agriculture, food and water security, </w:t>
      </w:r>
      <w:r w:rsidR="00313FDC" w:rsidRPr="00D66C5F">
        <w:rPr>
          <w:color w:val="0A0A0A"/>
          <w:sz w:val="20"/>
          <w:szCs w:val="20"/>
          <w:lang w:val="en-GB"/>
        </w:rPr>
        <w:t xml:space="preserve">bolstering </w:t>
      </w:r>
      <w:r w:rsidRPr="00D66C5F">
        <w:rPr>
          <w:color w:val="0A0A0A"/>
          <w:sz w:val="20"/>
          <w:szCs w:val="20"/>
          <w:lang w:val="en-GB"/>
        </w:rPr>
        <w:t xml:space="preserve">and diversifying livelihoods, </w:t>
      </w:r>
      <w:r w:rsidR="00313FDC" w:rsidRPr="00D66C5F">
        <w:rPr>
          <w:color w:val="0A0A0A"/>
          <w:sz w:val="20"/>
          <w:szCs w:val="20"/>
          <w:lang w:val="en-GB"/>
        </w:rPr>
        <w:t xml:space="preserve">and </w:t>
      </w:r>
      <w:r w:rsidRPr="00D66C5F">
        <w:rPr>
          <w:color w:val="0A0A0A"/>
          <w:sz w:val="20"/>
          <w:szCs w:val="20"/>
          <w:lang w:val="en-GB"/>
        </w:rPr>
        <w:t xml:space="preserve">promoting jobs through ecosystem-based adaptation and nature-based solutions. </w:t>
      </w:r>
      <w:r w:rsidR="00F66BAA" w:rsidRPr="00D66C5F">
        <w:rPr>
          <w:color w:val="0A0A0A"/>
          <w:sz w:val="20"/>
          <w:szCs w:val="20"/>
          <w:lang w:val="en-GB"/>
        </w:rPr>
        <w:t xml:space="preserve">UNDP is working to scale up existing regional and country initiatives and investments in adaptation as an important pillar of green, resilient recovery and building back better – especially for SIDS, LDCs and </w:t>
      </w:r>
      <w:r w:rsidR="00313FDC" w:rsidRPr="00D66C5F">
        <w:rPr>
          <w:color w:val="0A0A0A"/>
          <w:sz w:val="20"/>
          <w:szCs w:val="20"/>
          <w:lang w:val="en-GB"/>
        </w:rPr>
        <w:t xml:space="preserve">the </w:t>
      </w:r>
      <w:r w:rsidR="00F66BAA" w:rsidRPr="00D66C5F">
        <w:rPr>
          <w:color w:val="0A0A0A"/>
          <w:sz w:val="20"/>
          <w:szCs w:val="20"/>
          <w:lang w:val="en-GB"/>
        </w:rPr>
        <w:t xml:space="preserve">Africa region. </w:t>
      </w:r>
    </w:p>
    <w:p w14:paraId="6515C872" w14:textId="77777777" w:rsidR="00843DEE" w:rsidRPr="00686BBC" w:rsidRDefault="00843DEE" w:rsidP="00F85C41">
      <w:pPr>
        <w:pStyle w:val="ListParagraph"/>
        <w:tabs>
          <w:tab w:val="left" w:pos="1620"/>
        </w:tabs>
        <w:ind w:left="1260"/>
        <w:rPr>
          <w:color w:val="0A0A0A"/>
          <w:spacing w:val="8"/>
          <w:sz w:val="20"/>
          <w:szCs w:val="20"/>
          <w:shd w:val="clear" w:color="auto" w:fill="FEFEFE"/>
          <w:lang w:val="en-GB"/>
        </w:rPr>
      </w:pPr>
    </w:p>
    <w:p w14:paraId="35B9E4F3" w14:textId="77777777" w:rsidR="005E77F8" w:rsidRPr="00686BBC" w:rsidRDefault="005E77F8" w:rsidP="00F85C41">
      <w:pPr>
        <w:pStyle w:val="NormalWeb"/>
        <w:tabs>
          <w:tab w:val="left" w:pos="1620"/>
          <w:tab w:val="left" w:pos="9180"/>
        </w:tabs>
        <w:spacing w:before="0" w:beforeAutospacing="0" w:after="0" w:afterAutospacing="0"/>
        <w:ind w:left="1260" w:right="-169"/>
        <w:jc w:val="both"/>
        <w:rPr>
          <w:sz w:val="20"/>
          <w:szCs w:val="20"/>
          <w:lang w:val="en-GB"/>
        </w:rPr>
        <w:sectPr w:rsidR="005E77F8" w:rsidRPr="00686BBC" w:rsidSect="00AE6C34">
          <w:headerReference w:type="even" r:id="rId20"/>
          <w:headerReference w:type="default" r:id="rId21"/>
          <w:footerReference w:type="even" r:id="rId22"/>
          <w:footerReference w:type="default" r:id="rId23"/>
          <w:headerReference w:type="first" r:id="rId24"/>
          <w:endnotePr>
            <w:numFmt w:val="decimal"/>
          </w:endnotePr>
          <w:type w:val="continuous"/>
          <w:pgSz w:w="12240" w:h="15840" w:code="1"/>
          <w:pgMar w:top="1474" w:right="1890" w:bottom="1350" w:left="1134" w:header="540" w:footer="878" w:gutter="0"/>
          <w:cols w:space="720"/>
          <w:noEndnote/>
          <w:titlePg/>
          <w:docGrid w:linePitch="326"/>
        </w:sectPr>
      </w:pPr>
    </w:p>
    <w:p w14:paraId="3638166B" w14:textId="26011CED" w:rsidR="00EB31EA" w:rsidRPr="00686BBC" w:rsidRDefault="00EB31EA" w:rsidP="00D66C5F">
      <w:pPr>
        <w:pStyle w:val="HCh"/>
        <w:ind w:right="-579" w:firstLine="90"/>
        <w:jc w:val="both"/>
        <w:rPr>
          <w:sz w:val="24"/>
          <w:szCs w:val="24"/>
        </w:rPr>
      </w:pPr>
      <w:r w:rsidRPr="00686BBC">
        <w:rPr>
          <w:sz w:val="24"/>
          <w:szCs w:val="24"/>
        </w:rPr>
        <w:lastRenderedPageBreak/>
        <w:t xml:space="preserve"> Annex. Key evaluation recommendations and UNDP management response</w:t>
      </w:r>
    </w:p>
    <w:p w14:paraId="13BF775C" w14:textId="3352ADEF" w:rsidR="00D646A7" w:rsidRPr="00D66C5F" w:rsidRDefault="00D646A7" w:rsidP="00D646A7">
      <w:pPr>
        <w:rPr>
          <w:sz w:val="18"/>
          <w:szCs w:val="18"/>
          <w:lang w:val="en-GB"/>
        </w:rPr>
      </w:pPr>
    </w:p>
    <w:tbl>
      <w:tblPr>
        <w:tblpPr w:leftFromText="180" w:rightFromText="180" w:vertAnchor="text" w:tblpY="1"/>
        <w:tblOverlap w:val="never"/>
        <w:tblW w:w="1304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5034"/>
        <w:gridCol w:w="1885"/>
        <w:gridCol w:w="1621"/>
        <w:gridCol w:w="1170"/>
        <w:gridCol w:w="3335"/>
      </w:tblGrid>
      <w:tr w:rsidR="00D646A7" w:rsidRPr="00686BBC" w14:paraId="215EAD46" w14:textId="77777777" w:rsidTr="004C3877">
        <w:trPr>
          <w:trHeight w:val="1690"/>
        </w:trPr>
        <w:tc>
          <w:tcPr>
            <w:tcW w:w="13045" w:type="dxa"/>
            <w:gridSpan w:val="5"/>
            <w:shd w:val="clear" w:color="auto" w:fill="E6E6E6"/>
          </w:tcPr>
          <w:p w14:paraId="42E374C0" w14:textId="6F3071ED" w:rsidR="00D646A7" w:rsidRPr="00686BBC" w:rsidRDefault="00D646A7" w:rsidP="00022939">
            <w:pPr>
              <w:pStyle w:val="BodyText"/>
              <w:spacing w:before="60" w:after="60"/>
              <w:rPr>
                <w:b/>
                <w:bCs/>
                <w:color w:val="000000" w:themeColor="text1"/>
                <w:sz w:val="20"/>
                <w:szCs w:val="20"/>
                <w:lang w:val="en-GB"/>
              </w:rPr>
            </w:pPr>
            <w:r w:rsidRPr="00686BBC">
              <w:rPr>
                <w:b/>
                <w:bCs/>
                <w:color w:val="000000" w:themeColor="text1"/>
                <w:sz w:val="20"/>
                <w:szCs w:val="20"/>
                <w:lang w:val="en-GB"/>
              </w:rPr>
              <w:t xml:space="preserve">Recommendation </w:t>
            </w:r>
            <w:r w:rsidRPr="00686BBC">
              <w:rPr>
                <w:b/>
                <w:bCs/>
                <w:color w:val="000000" w:themeColor="text1"/>
                <w:sz w:val="20"/>
                <w:szCs w:val="20"/>
                <w:lang w:val="en-GB"/>
              </w:rPr>
              <w:fldChar w:fldCharType="begin"/>
            </w:r>
            <w:r w:rsidRPr="00686BBC">
              <w:rPr>
                <w:b/>
                <w:bCs/>
                <w:color w:val="000000" w:themeColor="text1"/>
                <w:sz w:val="20"/>
                <w:szCs w:val="20"/>
                <w:lang w:val="en-GB"/>
              </w:rPr>
              <w:instrText xml:space="preserve"> SEQ Recommendation \* ARABIC </w:instrText>
            </w:r>
            <w:r w:rsidRPr="00686BBC">
              <w:rPr>
                <w:b/>
                <w:bCs/>
                <w:color w:val="000000" w:themeColor="text1"/>
                <w:sz w:val="20"/>
                <w:szCs w:val="20"/>
                <w:lang w:val="en-GB"/>
              </w:rPr>
              <w:fldChar w:fldCharType="separate"/>
            </w:r>
            <w:r w:rsidRPr="00686BBC">
              <w:rPr>
                <w:b/>
                <w:bCs/>
                <w:noProof/>
                <w:color w:val="000000" w:themeColor="text1"/>
                <w:sz w:val="20"/>
                <w:szCs w:val="20"/>
                <w:lang w:val="en-GB"/>
              </w:rPr>
              <w:t>1</w:t>
            </w:r>
            <w:r w:rsidRPr="00686BBC">
              <w:rPr>
                <w:b/>
                <w:bCs/>
                <w:color w:val="000000" w:themeColor="text1"/>
                <w:sz w:val="20"/>
                <w:szCs w:val="20"/>
                <w:lang w:val="en-GB"/>
              </w:rPr>
              <w:fldChar w:fldCharType="end"/>
            </w:r>
            <w:r w:rsidRPr="00686BBC">
              <w:rPr>
                <w:b/>
                <w:bCs/>
                <w:color w:val="000000" w:themeColor="text1"/>
                <w:sz w:val="20"/>
                <w:szCs w:val="20"/>
                <w:lang w:val="en-GB"/>
              </w:rPr>
              <w:t xml:space="preserve">. </w:t>
            </w:r>
            <w:bookmarkStart w:id="2" w:name="_Hlk54167611"/>
            <w:r w:rsidR="00796AE1" w:rsidRPr="00686BBC">
              <w:rPr>
                <w:b/>
                <w:bCs/>
                <w:color w:val="000000" w:themeColor="text1"/>
                <w:sz w:val="20"/>
                <w:szCs w:val="20"/>
                <w:lang w:val="en-GB"/>
              </w:rPr>
              <w:t xml:space="preserve">UNDP needs to accelerate its attention </w:t>
            </w:r>
            <w:r w:rsidR="006C2DE1">
              <w:rPr>
                <w:b/>
                <w:bCs/>
                <w:color w:val="000000" w:themeColor="text1"/>
                <w:sz w:val="20"/>
                <w:szCs w:val="20"/>
                <w:lang w:val="en-GB"/>
              </w:rPr>
              <w:t xml:space="preserve">to </w:t>
            </w:r>
            <w:r w:rsidR="00796AE1" w:rsidRPr="00686BBC">
              <w:rPr>
                <w:b/>
                <w:bCs/>
                <w:color w:val="000000" w:themeColor="text1"/>
                <w:sz w:val="20"/>
                <w:szCs w:val="20"/>
                <w:lang w:val="en-GB"/>
              </w:rPr>
              <w:t>mainstreaming consideration of climate risks across its entire development portfolio.</w:t>
            </w:r>
          </w:p>
          <w:p w14:paraId="6C3DFEA3" w14:textId="21E48F5C" w:rsidR="005367A7" w:rsidRPr="00686BBC" w:rsidRDefault="00D646A7" w:rsidP="00F873B4">
            <w:pPr>
              <w:pStyle w:val="BodyText"/>
              <w:spacing w:before="60" w:after="60"/>
              <w:jc w:val="both"/>
              <w:rPr>
                <w:b/>
                <w:bCs/>
                <w:sz w:val="20"/>
                <w:szCs w:val="20"/>
                <w:lang w:val="en-GB"/>
              </w:rPr>
            </w:pPr>
            <w:r w:rsidRPr="00686BBC">
              <w:rPr>
                <w:sz w:val="20"/>
                <w:szCs w:val="20"/>
                <w:lang w:val="en-GB"/>
              </w:rPr>
              <w:t>This will require more rigorous application of the UNDP social and environmental safeguards policy, in project formulation and monitoring, and tailored guidance and advice on how to assess and mitigate the risks of climate change and variability in different sectors, with a focus on climate</w:t>
            </w:r>
            <w:r w:rsidR="006D4809">
              <w:rPr>
                <w:sz w:val="20"/>
                <w:szCs w:val="20"/>
                <w:lang w:val="en-GB"/>
              </w:rPr>
              <w:t>-</w:t>
            </w:r>
            <w:r w:rsidRPr="00686BBC">
              <w:rPr>
                <w:sz w:val="20"/>
                <w:szCs w:val="20"/>
                <w:lang w:val="en-GB"/>
              </w:rPr>
              <w:t>exposed sectors. Periodic spot</w:t>
            </w:r>
            <w:r w:rsidR="006D4809">
              <w:rPr>
                <w:sz w:val="20"/>
                <w:szCs w:val="20"/>
                <w:lang w:val="en-GB"/>
              </w:rPr>
              <w:t>-</w:t>
            </w:r>
            <w:r w:rsidRPr="00686BBC">
              <w:rPr>
                <w:sz w:val="20"/>
                <w:szCs w:val="20"/>
                <w:lang w:val="en-GB"/>
              </w:rPr>
              <w:t>check</w:t>
            </w:r>
            <w:r w:rsidR="006D4809">
              <w:rPr>
                <w:sz w:val="20"/>
                <w:szCs w:val="20"/>
                <w:lang w:val="en-GB"/>
              </w:rPr>
              <w:t>s</w:t>
            </w:r>
            <w:r w:rsidRPr="00686BBC">
              <w:rPr>
                <w:sz w:val="20"/>
                <w:szCs w:val="20"/>
                <w:lang w:val="en-GB"/>
              </w:rPr>
              <w:t xml:space="preserve"> of the application of climate risk screening policies would then be in order.</w:t>
            </w:r>
            <w:r w:rsidR="00FA37AB" w:rsidRPr="00686BBC">
              <w:rPr>
                <w:sz w:val="20"/>
                <w:szCs w:val="20"/>
                <w:lang w:val="en-GB"/>
              </w:rPr>
              <w:t xml:space="preserve"> </w:t>
            </w:r>
            <w:bookmarkEnd w:id="2"/>
            <w:r w:rsidR="005367A7" w:rsidRPr="00686BBC">
              <w:rPr>
                <w:sz w:val="20"/>
                <w:szCs w:val="20"/>
                <w:lang w:val="en-GB"/>
              </w:rPr>
              <w:t>This will also require increased clarity in UNDP programmes, based on the scientific evidence, about the magnitude of the medium and long-term risks presented by climate change, and actions required to address them. While outcomes of climate change mitigation efforts will determine the profile of these risks and their consequences, scaled up adaption efforts are required now, even under the most optimistic mitigation scenarios.</w:t>
            </w:r>
          </w:p>
        </w:tc>
      </w:tr>
      <w:tr w:rsidR="00D646A7" w:rsidRPr="00686BBC" w14:paraId="3E380DF4" w14:textId="77777777" w:rsidTr="57BE61B2">
        <w:trPr>
          <w:trHeight w:val="1511"/>
        </w:trPr>
        <w:tc>
          <w:tcPr>
            <w:tcW w:w="13045" w:type="dxa"/>
            <w:gridSpan w:val="5"/>
            <w:shd w:val="clear" w:color="auto" w:fill="F3F3F3"/>
          </w:tcPr>
          <w:p w14:paraId="78E74ECA" w14:textId="716590B3" w:rsidR="008D7E0F" w:rsidRPr="00686BBC" w:rsidRDefault="00D646A7" w:rsidP="008D7E0F">
            <w:pPr>
              <w:tabs>
                <w:tab w:val="left" w:pos="2880"/>
              </w:tabs>
              <w:ind w:right="72"/>
              <w:jc w:val="both"/>
              <w:rPr>
                <w:b/>
                <w:sz w:val="20"/>
                <w:szCs w:val="20"/>
                <w:lang w:val="en-GB"/>
              </w:rPr>
            </w:pPr>
            <w:r w:rsidRPr="00686BBC">
              <w:rPr>
                <w:b/>
                <w:sz w:val="20"/>
                <w:szCs w:val="20"/>
                <w:lang w:val="en-GB"/>
              </w:rPr>
              <w:t>Management response</w:t>
            </w:r>
            <w:r w:rsidR="00D83B83">
              <w:rPr>
                <w:b/>
                <w:sz w:val="20"/>
                <w:szCs w:val="20"/>
                <w:lang w:val="en-GB"/>
              </w:rPr>
              <w:t>:</w:t>
            </w:r>
          </w:p>
          <w:p w14:paraId="4E0344F6" w14:textId="77777777" w:rsidR="008D7E0F" w:rsidRPr="00D66C5F" w:rsidRDefault="008D7E0F" w:rsidP="008D7E0F">
            <w:pPr>
              <w:tabs>
                <w:tab w:val="left" w:pos="2880"/>
              </w:tabs>
              <w:ind w:right="72"/>
              <w:jc w:val="both"/>
              <w:rPr>
                <w:bCs/>
                <w:sz w:val="12"/>
                <w:szCs w:val="12"/>
                <w:lang w:val="en-GB"/>
              </w:rPr>
            </w:pPr>
          </w:p>
          <w:p w14:paraId="5FE5AA42" w14:textId="5D86C83C" w:rsidR="00423BD6" w:rsidRPr="00686BBC" w:rsidRDefault="00AA4B93" w:rsidP="00F873B4">
            <w:pPr>
              <w:jc w:val="both"/>
              <w:rPr>
                <w:color w:val="000000"/>
                <w:sz w:val="20"/>
                <w:szCs w:val="20"/>
                <w:bdr w:val="none" w:sz="0" w:space="0" w:color="auto" w:frame="1"/>
                <w:lang w:val="en-GB"/>
              </w:rPr>
            </w:pPr>
            <w:r w:rsidRPr="00686BBC">
              <w:rPr>
                <w:color w:val="000000"/>
                <w:sz w:val="20"/>
                <w:szCs w:val="20"/>
                <w:bdr w:val="none" w:sz="0" w:space="0" w:color="auto" w:frame="1"/>
                <w:lang w:val="en-GB"/>
              </w:rPr>
              <w:t xml:space="preserve">UNDP accepts the recommendation acknowledging that </w:t>
            </w:r>
            <w:r w:rsidR="006D4809">
              <w:rPr>
                <w:color w:val="000000"/>
                <w:sz w:val="20"/>
                <w:szCs w:val="20"/>
                <w:bdr w:val="none" w:sz="0" w:space="0" w:color="auto" w:frame="1"/>
                <w:lang w:val="en-GB"/>
              </w:rPr>
              <w:t xml:space="preserve">it is important to apply </w:t>
            </w:r>
            <w:r w:rsidRPr="00686BBC">
              <w:rPr>
                <w:color w:val="000000"/>
                <w:sz w:val="20"/>
                <w:szCs w:val="20"/>
                <w:bdr w:val="none" w:sz="0" w:space="0" w:color="auto" w:frame="1"/>
                <w:lang w:val="en-GB"/>
              </w:rPr>
              <w:t>c</w:t>
            </w:r>
            <w:r w:rsidR="00423BD6" w:rsidRPr="00686BBC">
              <w:rPr>
                <w:color w:val="000000"/>
                <w:sz w:val="20"/>
                <w:szCs w:val="20"/>
                <w:bdr w:val="none" w:sz="0" w:space="0" w:color="auto" w:frame="1"/>
                <w:lang w:val="en-GB"/>
              </w:rPr>
              <w:t xml:space="preserve">limate risk-screening to assess climate exposure and design strategies to mitigate risks. </w:t>
            </w:r>
            <w:r w:rsidR="00F873B4" w:rsidRPr="00686BBC">
              <w:rPr>
                <w:color w:val="000000"/>
                <w:sz w:val="20"/>
                <w:szCs w:val="20"/>
                <w:bdr w:val="none" w:sz="0" w:space="0" w:color="auto" w:frame="1"/>
                <w:lang w:val="en-GB"/>
              </w:rPr>
              <w:t xml:space="preserve">UNDP is already undertaking </w:t>
            </w:r>
            <w:r w:rsidR="00423BD6" w:rsidRPr="00686BBC">
              <w:rPr>
                <w:color w:val="000000"/>
                <w:sz w:val="20"/>
                <w:szCs w:val="20"/>
                <w:bdr w:val="none" w:sz="0" w:space="0" w:color="auto" w:frame="1"/>
                <w:lang w:val="en-GB"/>
              </w:rPr>
              <w:t>significant effort</w:t>
            </w:r>
            <w:r w:rsidR="00F873B4" w:rsidRPr="00686BBC">
              <w:rPr>
                <w:color w:val="000000"/>
                <w:sz w:val="20"/>
                <w:szCs w:val="20"/>
                <w:bdr w:val="none" w:sz="0" w:space="0" w:color="auto" w:frame="1"/>
                <w:lang w:val="en-GB"/>
              </w:rPr>
              <w:t>s</w:t>
            </w:r>
            <w:r w:rsidR="00423BD6" w:rsidRPr="00686BBC">
              <w:rPr>
                <w:color w:val="000000"/>
                <w:sz w:val="20"/>
                <w:szCs w:val="20"/>
                <w:bdr w:val="none" w:sz="0" w:space="0" w:color="auto" w:frame="1"/>
                <w:lang w:val="en-GB"/>
              </w:rPr>
              <w:t xml:space="preserve"> to screen such risks. In particular, within the adaptation offer, rigorous analysis of climate risks and interventions </w:t>
            </w:r>
            <w:r w:rsidR="00F873B4" w:rsidRPr="00686BBC">
              <w:rPr>
                <w:color w:val="000000"/>
                <w:sz w:val="20"/>
                <w:szCs w:val="20"/>
                <w:bdr w:val="none" w:sz="0" w:space="0" w:color="auto" w:frame="1"/>
                <w:lang w:val="en-GB"/>
              </w:rPr>
              <w:t xml:space="preserve">has been applied, </w:t>
            </w:r>
            <w:r w:rsidR="00423BD6" w:rsidRPr="00686BBC">
              <w:rPr>
                <w:color w:val="000000"/>
                <w:sz w:val="20"/>
                <w:szCs w:val="20"/>
                <w:bdr w:val="none" w:sz="0" w:space="0" w:color="auto" w:frame="1"/>
                <w:lang w:val="en-GB"/>
              </w:rPr>
              <w:t xml:space="preserve">informed by scientific data, analysis, and detailed climate risk and vulnerability assessments. </w:t>
            </w:r>
            <w:r w:rsidR="00F873B4" w:rsidRPr="00686BBC">
              <w:rPr>
                <w:color w:val="000000"/>
                <w:sz w:val="20"/>
                <w:szCs w:val="20"/>
                <w:bdr w:val="none" w:sz="0" w:space="0" w:color="auto" w:frame="1"/>
                <w:lang w:val="en-GB"/>
              </w:rPr>
              <w:t xml:space="preserve">UNDP notes </w:t>
            </w:r>
            <w:r w:rsidR="00423BD6" w:rsidRPr="00686BBC">
              <w:rPr>
                <w:color w:val="000000"/>
                <w:sz w:val="20"/>
                <w:szCs w:val="20"/>
                <w:bdr w:val="none" w:sz="0" w:space="0" w:color="auto" w:frame="1"/>
                <w:lang w:val="en-GB"/>
              </w:rPr>
              <w:t>that availability of climate data and model</w:t>
            </w:r>
            <w:r w:rsidR="006D4809">
              <w:rPr>
                <w:color w:val="000000"/>
                <w:sz w:val="20"/>
                <w:szCs w:val="20"/>
                <w:bdr w:val="none" w:sz="0" w:space="0" w:color="auto" w:frame="1"/>
                <w:lang w:val="en-GB"/>
              </w:rPr>
              <w:t>l</w:t>
            </w:r>
            <w:r w:rsidR="00423BD6" w:rsidRPr="00686BBC">
              <w:rPr>
                <w:color w:val="000000"/>
                <w:sz w:val="20"/>
                <w:szCs w:val="20"/>
                <w:bdr w:val="none" w:sz="0" w:space="0" w:color="auto" w:frame="1"/>
                <w:lang w:val="en-GB"/>
              </w:rPr>
              <w:t xml:space="preserve">ing </w:t>
            </w:r>
            <w:r w:rsidR="008C0E33" w:rsidRPr="00686BBC">
              <w:rPr>
                <w:color w:val="000000"/>
                <w:sz w:val="20"/>
                <w:szCs w:val="20"/>
                <w:bdr w:val="none" w:sz="0" w:space="0" w:color="auto" w:frame="1"/>
                <w:lang w:val="en-GB"/>
              </w:rPr>
              <w:t>is</w:t>
            </w:r>
            <w:r w:rsidR="00423BD6" w:rsidRPr="00686BBC">
              <w:rPr>
                <w:color w:val="000000"/>
                <w:sz w:val="20"/>
                <w:szCs w:val="20"/>
                <w:bdr w:val="none" w:sz="0" w:space="0" w:color="auto" w:frame="1"/>
                <w:lang w:val="en-GB"/>
              </w:rPr>
              <w:t xml:space="preserve"> still nascent i</w:t>
            </w:r>
            <w:r w:rsidR="008C0E33" w:rsidRPr="00686BBC">
              <w:rPr>
                <w:color w:val="000000"/>
                <w:sz w:val="20"/>
                <w:szCs w:val="20"/>
                <w:bdr w:val="none" w:sz="0" w:space="0" w:color="auto" w:frame="1"/>
                <w:lang w:val="en-GB"/>
              </w:rPr>
              <w:t>n</w:t>
            </w:r>
            <w:r w:rsidR="00423BD6" w:rsidRPr="00686BBC">
              <w:rPr>
                <w:color w:val="000000"/>
                <w:sz w:val="20"/>
                <w:szCs w:val="20"/>
                <w:bdr w:val="none" w:sz="0" w:space="0" w:color="auto" w:frame="1"/>
                <w:lang w:val="en-GB"/>
              </w:rPr>
              <w:t xml:space="preserve"> many countries and UNDP strives to support countries with at least ‘no-regret’ options and at best ‘risk-informed’ designs</w:t>
            </w:r>
            <w:r w:rsidR="006D4809">
              <w:rPr>
                <w:color w:val="000000"/>
                <w:sz w:val="20"/>
                <w:szCs w:val="20"/>
                <w:bdr w:val="none" w:sz="0" w:space="0" w:color="auto" w:frame="1"/>
                <w:lang w:val="en-GB"/>
              </w:rPr>
              <w:t>,</w:t>
            </w:r>
            <w:r w:rsidR="00423BD6" w:rsidRPr="00686BBC">
              <w:rPr>
                <w:color w:val="000000"/>
                <w:sz w:val="20"/>
                <w:szCs w:val="20"/>
                <w:bdr w:val="none" w:sz="0" w:space="0" w:color="auto" w:frame="1"/>
                <w:lang w:val="en-GB"/>
              </w:rPr>
              <w:t xml:space="preserve"> along with capacity for adaptive management as climate risks evolve. </w:t>
            </w:r>
            <w:r w:rsidR="00423BD6" w:rsidRPr="00686BBC">
              <w:rPr>
                <w:sz w:val="20"/>
                <w:szCs w:val="20"/>
                <w:lang w:val="en-GB"/>
              </w:rPr>
              <w:t xml:space="preserve">  </w:t>
            </w:r>
          </w:p>
          <w:p w14:paraId="2C98DDE2" w14:textId="5A9F125F" w:rsidR="0B053CC3" w:rsidRPr="00D66C5F" w:rsidRDefault="0B053CC3" w:rsidP="00F873B4">
            <w:pPr>
              <w:jc w:val="both"/>
              <w:rPr>
                <w:sz w:val="12"/>
                <w:szCs w:val="12"/>
                <w:lang w:val="en-GB"/>
              </w:rPr>
            </w:pPr>
          </w:p>
          <w:p w14:paraId="14EF5FBA" w14:textId="0A0D2BFD" w:rsidR="006D4809" w:rsidRPr="00D66C5F" w:rsidRDefault="376ED707" w:rsidP="00F873B4">
            <w:pPr>
              <w:tabs>
                <w:tab w:val="left" w:pos="2880"/>
              </w:tabs>
              <w:ind w:right="72"/>
              <w:jc w:val="both"/>
              <w:rPr>
                <w:sz w:val="20"/>
                <w:szCs w:val="20"/>
                <w:lang w:val="en-GB"/>
              </w:rPr>
            </w:pPr>
            <w:r w:rsidRPr="00686BBC">
              <w:rPr>
                <w:sz w:val="20"/>
                <w:szCs w:val="20"/>
                <w:lang w:val="en-GB"/>
              </w:rPr>
              <w:t>Climate assessment</w:t>
            </w:r>
            <w:r w:rsidR="3020AD16" w:rsidRPr="00686BBC">
              <w:rPr>
                <w:sz w:val="20"/>
                <w:szCs w:val="20"/>
                <w:lang w:val="en-GB"/>
              </w:rPr>
              <w:t xml:space="preserve"> and climate-risk screening</w:t>
            </w:r>
            <w:r w:rsidRPr="00686BBC">
              <w:rPr>
                <w:sz w:val="20"/>
                <w:szCs w:val="20"/>
                <w:lang w:val="en-GB"/>
              </w:rPr>
              <w:t xml:space="preserve"> a</w:t>
            </w:r>
            <w:r w:rsidR="19F971CA" w:rsidRPr="00686BBC">
              <w:rPr>
                <w:sz w:val="20"/>
                <w:szCs w:val="20"/>
                <w:lang w:val="en-GB"/>
              </w:rPr>
              <w:t>re</w:t>
            </w:r>
            <w:r w:rsidRPr="00686BBC">
              <w:rPr>
                <w:sz w:val="20"/>
                <w:szCs w:val="20"/>
                <w:lang w:val="en-GB"/>
              </w:rPr>
              <w:t xml:space="preserve"> essential part</w:t>
            </w:r>
            <w:r w:rsidR="07CAC1B5" w:rsidRPr="00686BBC">
              <w:rPr>
                <w:sz w:val="20"/>
                <w:szCs w:val="20"/>
                <w:lang w:val="en-GB"/>
              </w:rPr>
              <w:t>s</w:t>
            </w:r>
            <w:r w:rsidRPr="00686BBC">
              <w:rPr>
                <w:sz w:val="20"/>
                <w:szCs w:val="20"/>
                <w:lang w:val="en-GB"/>
              </w:rPr>
              <w:t xml:space="preserve"> of the updated </w:t>
            </w:r>
            <w:r w:rsidR="006D4809">
              <w:rPr>
                <w:sz w:val="20"/>
                <w:szCs w:val="20"/>
                <w:lang w:val="en-GB"/>
              </w:rPr>
              <w:t>s</w:t>
            </w:r>
            <w:r w:rsidRPr="00686BBC">
              <w:rPr>
                <w:sz w:val="20"/>
                <w:szCs w:val="20"/>
                <w:lang w:val="en-GB"/>
              </w:rPr>
              <w:t xml:space="preserve">ocial and </w:t>
            </w:r>
            <w:r w:rsidR="006D4809">
              <w:rPr>
                <w:sz w:val="20"/>
                <w:szCs w:val="20"/>
                <w:lang w:val="en-GB"/>
              </w:rPr>
              <w:t>e</w:t>
            </w:r>
            <w:r w:rsidRPr="00686BBC">
              <w:rPr>
                <w:sz w:val="20"/>
                <w:szCs w:val="20"/>
                <w:lang w:val="en-GB"/>
              </w:rPr>
              <w:t>nvironmental</w:t>
            </w:r>
            <w:r w:rsidR="674A2E1B" w:rsidRPr="00686BBC">
              <w:rPr>
                <w:sz w:val="20"/>
                <w:szCs w:val="20"/>
                <w:lang w:val="en-GB"/>
              </w:rPr>
              <w:t xml:space="preserve"> </w:t>
            </w:r>
            <w:r w:rsidR="006D4809">
              <w:rPr>
                <w:sz w:val="20"/>
                <w:szCs w:val="20"/>
                <w:lang w:val="en-GB"/>
              </w:rPr>
              <w:t>s</w:t>
            </w:r>
            <w:r w:rsidR="674A2E1B" w:rsidRPr="00686BBC">
              <w:rPr>
                <w:sz w:val="20"/>
                <w:szCs w:val="20"/>
                <w:lang w:val="en-GB"/>
              </w:rPr>
              <w:t>tandards (SES) and</w:t>
            </w:r>
            <w:r w:rsidRPr="00686BBC">
              <w:rPr>
                <w:sz w:val="20"/>
                <w:szCs w:val="20"/>
                <w:lang w:val="en-GB"/>
              </w:rPr>
              <w:t xml:space="preserve"> </w:t>
            </w:r>
            <w:r w:rsidR="006D4809">
              <w:rPr>
                <w:sz w:val="20"/>
                <w:szCs w:val="20"/>
                <w:lang w:val="en-GB"/>
              </w:rPr>
              <w:t>s</w:t>
            </w:r>
            <w:r w:rsidRPr="00686BBC">
              <w:rPr>
                <w:sz w:val="20"/>
                <w:szCs w:val="20"/>
                <w:lang w:val="en-GB"/>
              </w:rPr>
              <w:t xml:space="preserve">creening </w:t>
            </w:r>
            <w:r w:rsidR="006D4809">
              <w:rPr>
                <w:sz w:val="20"/>
                <w:szCs w:val="20"/>
                <w:lang w:val="en-GB"/>
              </w:rPr>
              <w:t>p</w:t>
            </w:r>
            <w:r w:rsidRPr="00686BBC">
              <w:rPr>
                <w:sz w:val="20"/>
                <w:szCs w:val="20"/>
                <w:lang w:val="en-GB"/>
              </w:rPr>
              <w:t>rocedure</w:t>
            </w:r>
            <w:r w:rsidR="006D4809">
              <w:rPr>
                <w:sz w:val="20"/>
                <w:szCs w:val="20"/>
                <w:lang w:val="en-GB"/>
              </w:rPr>
              <w:t>s</w:t>
            </w:r>
            <w:r w:rsidRPr="00686BBC">
              <w:rPr>
                <w:sz w:val="20"/>
                <w:szCs w:val="20"/>
                <w:lang w:val="en-GB"/>
              </w:rPr>
              <w:t xml:space="preserve"> (SESP)</w:t>
            </w:r>
            <w:r w:rsidR="5F23E144" w:rsidRPr="00686BBC">
              <w:rPr>
                <w:sz w:val="20"/>
                <w:szCs w:val="20"/>
                <w:lang w:val="en-GB"/>
              </w:rPr>
              <w:t xml:space="preserve">, </w:t>
            </w:r>
            <w:r w:rsidR="00F873B4" w:rsidRPr="00686BBC">
              <w:rPr>
                <w:sz w:val="20"/>
                <w:szCs w:val="20"/>
                <w:lang w:val="en-GB"/>
              </w:rPr>
              <w:t xml:space="preserve">effective </w:t>
            </w:r>
            <w:r w:rsidR="006D4809">
              <w:rPr>
                <w:sz w:val="20"/>
                <w:szCs w:val="20"/>
                <w:lang w:val="en-GB"/>
              </w:rPr>
              <w:t xml:space="preserve">1 </w:t>
            </w:r>
            <w:r w:rsidR="00F873B4" w:rsidRPr="00686BBC">
              <w:rPr>
                <w:sz w:val="20"/>
                <w:szCs w:val="20"/>
                <w:lang w:val="en-GB"/>
              </w:rPr>
              <w:t>Januar</w:t>
            </w:r>
            <w:r w:rsidR="5F23E144" w:rsidRPr="00686BBC">
              <w:rPr>
                <w:sz w:val="20"/>
                <w:szCs w:val="20"/>
                <w:lang w:val="en-GB"/>
              </w:rPr>
              <w:t>y 2021</w:t>
            </w:r>
            <w:r w:rsidR="16D88F82" w:rsidRPr="00686BBC">
              <w:rPr>
                <w:sz w:val="20"/>
                <w:szCs w:val="20"/>
                <w:lang w:val="en-GB"/>
              </w:rPr>
              <w:t>. Both</w:t>
            </w:r>
            <w:r w:rsidRPr="00686BBC">
              <w:rPr>
                <w:sz w:val="20"/>
                <w:szCs w:val="20"/>
                <w:lang w:val="en-GB"/>
              </w:rPr>
              <w:t xml:space="preserve"> </w:t>
            </w:r>
            <w:r w:rsidR="72509BB4" w:rsidRPr="00686BBC">
              <w:rPr>
                <w:sz w:val="20"/>
                <w:szCs w:val="20"/>
                <w:lang w:val="en-GB"/>
              </w:rPr>
              <w:t xml:space="preserve">aim </w:t>
            </w:r>
            <w:r w:rsidRPr="00686BBC">
              <w:rPr>
                <w:sz w:val="20"/>
                <w:szCs w:val="20"/>
                <w:lang w:val="en-GB"/>
              </w:rPr>
              <w:t>at early detection of climate-related risks and impacts</w:t>
            </w:r>
            <w:r w:rsidR="11A8CF2A" w:rsidRPr="00686BBC">
              <w:rPr>
                <w:sz w:val="20"/>
                <w:szCs w:val="20"/>
                <w:lang w:val="en-GB"/>
              </w:rPr>
              <w:t xml:space="preserve"> and finding appropriate mitigation measures if avoidance is not possible</w:t>
            </w:r>
            <w:r w:rsidRPr="00686BBC">
              <w:rPr>
                <w:sz w:val="20"/>
                <w:szCs w:val="20"/>
                <w:lang w:val="en-GB"/>
              </w:rPr>
              <w:t>.</w:t>
            </w:r>
            <w:r w:rsidR="527A570E" w:rsidRPr="00686BBC">
              <w:rPr>
                <w:sz w:val="20"/>
                <w:szCs w:val="20"/>
                <w:lang w:val="en-GB"/>
              </w:rPr>
              <w:t xml:space="preserve"> The scope of</w:t>
            </w:r>
            <w:r w:rsidRPr="00686BBC">
              <w:rPr>
                <w:sz w:val="20"/>
                <w:szCs w:val="20"/>
                <w:lang w:val="en-GB"/>
              </w:rPr>
              <w:t xml:space="preserve"> </w:t>
            </w:r>
            <w:r w:rsidR="006D4809">
              <w:rPr>
                <w:sz w:val="20"/>
                <w:szCs w:val="20"/>
                <w:lang w:val="en-GB"/>
              </w:rPr>
              <w:t>s</w:t>
            </w:r>
            <w:r w:rsidR="466A82EC" w:rsidRPr="00686BBC">
              <w:rPr>
                <w:sz w:val="20"/>
                <w:szCs w:val="20"/>
                <w:lang w:val="en-GB"/>
              </w:rPr>
              <w:t>tandard 3</w:t>
            </w:r>
            <w:r w:rsidR="00F873B4" w:rsidRPr="00686BBC">
              <w:rPr>
                <w:sz w:val="20"/>
                <w:szCs w:val="20"/>
                <w:lang w:val="en-GB"/>
              </w:rPr>
              <w:t xml:space="preserve"> (</w:t>
            </w:r>
            <w:r w:rsidR="006D4809">
              <w:rPr>
                <w:sz w:val="20"/>
                <w:szCs w:val="20"/>
                <w:lang w:val="en-GB"/>
              </w:rPr>
              <w:t>c</w:t>
            </w:r>
            <w:r w:rsidR="00F873B4" w:rsidRPr="00686BBC">
              <w:rPr>
                <w:sz w:val="20"/>
                <w:szCs w:val="20"/>
                <w:lang w:val="en-GB"/>
              </w:rPr>
              <w:t xml:space="preserve">limate </w:t>
            </w:r>
            <w:r w:rsidR="006D4809">
              <w:rPr>
                <w:sz w:val="20"/>
                <w:szCs w:val="20"/>
                <w:lang w:val="en-GB"/>
              </w:rPr>
              <w:t>c</w:t>
            </w:r>
            <w:r w:rsidR="00F873B4" w:rsidRPr="00686BBC">
              <w:rPr>
                <w:sz w:val="20"/>
                <w:szCs w:val="20"/>
                <w:lang w:val="en-GB"/>
              </w:rPr>
              <w:t xml:space="preserve">hange and </w:t>
            </w:r>
            <w:r w:rsidR="006D4809">
              <w:rPr>
                <w:sz w:val="20"/>
                <w:szCs w:val="20"/>
                <w:lang w:val="en-GB"/>
              </w:rPr>
              <w:t>d</w:t>
            </w:r>
            <w:r w:rsidR="00F873B4" w:rsidRPr="00686BBC">
              <w:rPr>
                <w:sz w:val="20"/>
                <w:szCs w:val="20"/>
                <w:lang w:val="en-GB"/>
              </w:rPr>
              <w:t xml:space="preserve">isaster </w:t>
            </w:r>
            <w:r w:rsidR="006D4809">
              <w:rPr>
                <w:sz w:val="20"/>
                <w:szCs w:val="20"/>
                <w:lang w:val="en-GB"/>
              </w:rPr>
              <w:t>r</w:t>
            </w:r>
            <w:r w:rsidR="00F873B4" w:rsidRPr="00686BBC">
              <w:rPr>
                <w:sz w:val="20"/>
                <w:szCs w:val="20"/>
                <w:lang w:val="en-GB"/>
              </w:rPr>
              <w:t>isk)</w:t>
            </w:r>
            <w:r w:rsidR="466A82EC" w:rsidRPr="00686BBC">
              <w:rPr>
                <w:sz w:val="20"/>
                <w:szCs w:val="20"/>
                <w:lang w:val="en-GB"/>
              </w:rPr>
              <w:t xml:space="preserve"> has been </w:t>
            </w:r>
            <w:r w:rsidR="263672EB" w:rsidRPr="00686BBC">
              <w:rPr>
                <w:sz w:val="20"/>
                <w:szCs w:val="20"/>
                <w:lang w:val="en-GB"/>
              </w:rPr>
              <w:t>broadened to allow for better integration of disaster risks and</w:t>
            </w:r>
            <w:r w:rsidR="383C6CD3" w:rsidRPr="00686BBC">
              <w:rPr>
                <w:sz w:val="20"/>
                <w:szCs w:val="20"/>
                <w:lang w:val="en-GB"/>
              </w:rPr>
              <w:t xml:space="preserve"> to</w:t>
            </w:r>
            <w:r w:rsidR="263672EB" w:rsidRPr="00686BBC">
              <w:rPr>
                <w:sz w:val="20"/>
                <w:szCs w:val="20"/>
                <w:lang w:val="en-GB"/>
              </w:rPr>
              <w:t xml:space="preserve"> </w:t>
            </w:r>
            <w:r w:rsidR="0AEE4802" w:rsidRPr="00686BBC">
              <w:rPr>
                <w:sz w:val="20"/>
                <w:szCs w:val="20"/>
                <w:lang w:val="en-GB"/>
              </w:rPr>
              <w:t xml:space="preserve">encompass provisions </w:t>
            </w:r>
            <w:r w:rsidR="4CFFB2BA" w:rsidRPr="00686BBC">
              <w:rPr>
                <w:sz w:val="20"/>
                <w:szCs w:val="20"/>
                <w:lang w:val="en-GB"/>
              </w:rPr>
              <w:t>to respond to</w:t>
            </w:r>
            <w:r w:rsidR="0AEE4802" w:rsidRPr="00686BBC">
              <w:rPr>
                <w:sz w:val="20"/>
                <w:szCs w:val="20"/>
                <w:lang w:val="en-GB"/>
              </w:rPr>
              <w:t xml:space="preserve"> climate-induced impacts. </w:t>
            </w:r>
            <w:r w:rsidR="008F7449">
              <w:rPr>
                <w:sz w:val="20"/>
                <w:szCs w:val="20"/>
                <w:lang w:val="en-GB"/>
              </w:rPr>
              <w:t xml:space="preserve">UNDP is </w:t>
            </w:r>
            <w:r w:rsidR="2F3DFD16" w:rsidRPr="00686BBC">
              <w:rPr>
                <w:sz w:val="20"/>
                <w:szCs w:val="20"/>
                <w:lang w:val="en-GB"/>
              </w:rPr>
              <w:t xml:space="preserve">building a cadre of experts in the </w:t>
            </w:r>
            <w:r w:rsidR="40186E35" w:rsidRPr="00686BBC">
              <w:rPr>
                <w:sz w:val="20"/>
                <w:szCs w:val="20"/>
                <w:lang w:val="en-GB"/>
              </w:rPr>
              <w:t>regional hubs</w:t>
            </w:r>
            <w:r w:rsidR="2F3DFD16" w:rsidRPr="00686BBC">
              <w:rPr>
                <w:sz w:val="20"/>
                <w:szCs w:val="20"/>
                <w:lang w:val="en-GB"/>
              </w:rPr>
              <w:t xml:space="preserve"> to advise on SES </w:t>
            </w:r>
            <w:r w:rsidR="006D4809">
              <w:rPr>
                <w:sz w:val="20"/>
                <w:szCs w:val="20"/>
                <w:lang w:val="en-GB"/>
              </w:rPr>
              <w:t>s</w:t>
            </w:r>
            <w:r w:rsidR="2F3DFD16" w:rsidRPr="00686BBC">
              <w:rPr>
                <w:sz w:val="20"/>
                <w:szCs w:val="20"/>
                <w:lang w:val="en-GB"/>
              </w:rPr>
              <w:t xml:space="preserve">tandard 3 </w:t>
            </w:r>
            <w:r w:rsidR="4D83E4DC" w:rsidRPr="00686BBC">
              <w:rPr>
                <w:sz w:val="20"/>
                <w:szCs w:val="20"/>
                <w:lang w:val="en-GB"/>
              </w:rPr>
              <w:t xml:space="preserve">and </w:t>
            </w:r>
            <w:r w:rsidR="006D4809">
              <w:rPr>
                <w:sz w:val="20"/>
                <w:szCs w:val="20"/>
                <w:lang w:val="en-GB"/>
              </w:rPr>
              <w:t xml:space="preserve">on </w:t>
            </w:r>
            <w:r w:rsidR="4D83E4DC" w:rsidRPr="00686BBC">
              <w:rPr>
                <w:sz w:val="20"/>
                <w:szCs w:val="20"/>
                <w:lang w:val="en-GB"/>
              </w:rPr>
              <w:t>provid</w:t>
            </w:r>
            <w:r w:rsidR="0910354B" w:rsidRPr="00686BBC">
              <w:rPr>
                <w:sz w:val="20"/>
                <w:szCs w:val="20"/>
                <w:lang w:val="en-GB"/>
              </w:rPr>
              <w:t>ing</w:t>
            </w:r>
            <w:r w:rsidR="4D83E4DC" w:rsidRPr="00686BBC">
              <w:rPr>
                <w:sz w:val="20"/>
                <w:szCs w:val="20"/>
                <w:lang w:val="en-GB"/>
              </w:rPr>
              <w:t xml:space="preserve"> training and capacity building on climate-related </w:t>
            </w:r>
            <w:r w:rsidR="50DB00EB" w:rsidRPr="00686BBC">
              <w:rPr>
                <w:sz w:val="20"/>
                <w:szCs w:val="20"/>
                <w:lang w:val="en-GB"/>
              </w:rPr>
              <w:t>topics</w:t>
            </w:r>
            <w:r w:rsidR="7DD8B956" w:rsidRPr="00686BBC">
              <w:rPr>
                <w:sz w:val="20"/>
                <w:szCs w:val="20"/>
                <w:lang w:val="en-GB"/>
              </w:rPr>
              <w:t xml:space="preserve"> to UNDP staff and implementing partners</w:t>
            </w:r>
            <w:r w:rsidR="50DB00EB" w:rsidRPr="00686BBC">
              <w:rPr>
                <w:sz w:val="20"/>
                <w:szCs w:val="20"/>
                <w:lang w:val="en-GB"/>
              </w:rPr>
              <w:t>.</w:t>
            </w:r>
          </w:p>
        </w:tc>
      </w:tr>
      <w:tr w:rsidR="00D646A7" w:rsidRPr="00686BBC" w14:paraId="247CF438" w14:textId="77777777" w:rsidTr="004C3877">
        <w:tc>
          <w:tcPr>
            <w:tcW w:w="5034" w:type="dxa"/>
            <w:vMerge w:val="restart"/>
            <w:shd w:val="clear" w:color="auto" w:fill="F3F3F3"/>
          </w:tcPr>
          <w:p w14:paraId="077C2A01" w14:textId="77777777" w:rsidR="00D646A7" w:rsidRPr="00686BBC" w:rsidRDefault="00D646A7" w:rsidP="00022939">
            <w:pPr>
              <w:tabs>
                <w:tab w:val="left" w:pos="2880"/>
              </w:tabs>
              <w:jc w:val="center"/>
              <w:rPr>
                <w:b/>
                <w:sz w:val="20"/>
                <w:szCs w:val="20"/>
                <w:lang w:val="en-GB"/>
              </w:rPr>
            </w:pPr>
            <w:r w:rsidRPr="00686BBC">
              <w:rPr>
                <w:b/>
                <w:sz w:val="20"/>
                <w:szCs w:val="20"/>
                <w:lang w:val="en-GB"/>
              </w:rPr>
              <w:t>Key action(s)</w:t>
            </w:r>
          </w:p>
        </w:tc>
        <w:tc>
          <w:tcPr>
            <w:tcW w:w="1885" w:type="dxa"/>
            <w:vMerge w:val="restart"/>
            <w:shd w:val="clear" w:color="auto" w:fill="F3F3F3"/>
          </w:tcPr>
          <w:p w14:paraId="41640C1B" w14:textId="77777777" w:rsidR="00D646A7" w:rsidRPr="00686BBC" w:rsidRDefault="00D646A7" w:rsidP="00022939">
            <w:pPr>
              <w:tabs>
                <w:tab w:val="left" w:pos="2880"/>
              </w:tabs>
              <w:rPr>
                <w:b/>
                <w:sz w:val="20"/>
                <w:szCs w:val="20"/>
                <w:lang w:val="en-GB"/>
              </w:rPr>
            </w:pPr>
            <w:r w:rsidRPr="00686BBC">
              <w:rPr>
                <w:b/>
                <w:sz w:val="20"/>
                <w:szCs w:val="20"/>
                <w:lang w:val="en-GB"/>
              </w:rPr>
              <w:t xml:space="preserve"> </w:t>
            </w:r>
            <w:r w:rsidRPr="00686BBC">
              <w:rPr>
                <w:rFonts w:cstheme="minorHAnsi"/>
                <w:b/>
                <w:color w:val="185262"/>
                <w:lang w:val="en-GB"/>
              </w:rPr>
              <w:t xml:space="preserve"> </w:t>
            </w:r>
            <w:r w:rsidRPr="00686BBC">
              <w:rPr>
                <w:b/>
                <w:sz w:val="20"/>
                <w:szCs w:val="20"/>
                <w:lang w:val="en-GB"/>
              </w:rPr>
              <w:t>Completion date</w:t>
            </w:r>
          </w:p>
        </w:tc>
        <w:tc>
          <w:tcPr>
            <w:tcW w:w="1621" w:type="dxa"/>
            <w:vMerge w:val="restart"/>
            <w:shd w:val="clear" w:color="auto" w:fill="F3F3F3"/>
          </w:tcPr>
          <w:p w14:paraId="363133F0" w14:textId="77777777" w:rsidR="00D646A7" w:rsidRPr="00686BBC" w:rsidRDefault="00D646A7" w:rsidP="00022939">
            <w:pPr>
              <w:tabs>
                <w:tab w:val="left" w:pos="2880"/>
              </w:tabs>
              <w:rPr>
                <w:b/>
                <w:sz w:val="20"/>
                <w:szCs w:val="20"/>
                <w:lang w:val="en-GB"/>
              </w:rPr>
            </w:pPr>
            <w:r w:rsidRPr="00686BBC">
              <w:rPr>
                <w:b/>
                <w:sz w:val="20"/>
                <w:szCs w:val="20"/>
                <w:lang w:val="en-GB"/>
              </w:rPr>
              <w:t>Responsible unit(s)</w:t>
            </w:r>
          </w:p>
        </w:tc>
        <w:tc>
          <w:tcPr>
            <w:tcW w:w="4505" w:type="dxa"/>
            <w:gridSpan w:val="2"/>
            <w:shd w:val="clear" w:color="auto" w:fill="F3F3F3"/>
          </w:tcPr>
          <w:p w14:paraId="18A246A5" w14:textId="77777777" w:rsidR="00D646A7" w:rsidRPr="00686BBC" w:rsidRDefault="00D646A7" w:rsidP="00022939">
            <w:pPr>
              <w:tabs>
                <w:tab w:val="left" w:pos="2880"/>
              </w:tabs>
              <w:jc w:val="center"/>
              <w:rPr>
                <w:b/>
                <w:sz w:val="20"/>
                <w:szCs w:val="20"/>
                <w:lang w:val="en-GB"/>
              </w:rPr>
            </w:pPr>
            <w:r w:rsidRPr="00686BBC">
              <w:rPr>
                <w:b/>
                <w:sz w:val="20"/>
                <w:szCs w:val="20"/>
                <w:lang w:val="en-GB"/>
              </w:rPr>
              <w:t>Tracking</w:t>
            </w:r>
          </w:p>
        </w:tc>
      </w:tr>
      <w:tr w:rsidR="00D646A7" w:rsidRPr="00686BBC" w14:paraId="45A8C7BB" w14:textId="77777777" w:rsidTr="004C3877">
        <w:tc>
          <w:tcPr>
            <w:tcW w:w="5034" w:type="dxa"/>
            <w:vMerge/>
          </w:tcPr>
          <w:p w14:paraId="68B1DEBC" w14:textId="77777777" w:rsidR="00D646A7" w:rsidRPr="00686BBC" w:rsidRDefault="00D646A7" w:rsidP="00022939">
            <w:pPr>
              <w:tabs>
                <w:tab w:val="left" w:pos="2880"/>
              </w:tabs>
              <w:rPr>
                <w:b/>
                <w:sz w:val="20"/>
                <w:szCs w:val="20"/>
                <w:lang w:val="en-GB"/>
              </w:rPr>
            </w:pPr>
          </w:p>
        </w:tc>
        <w:tc>
          <w:tcPr>
            <w:tcW w:w="1885" w:type="dxa"/>
            <w:vMerge/>
          </w:tcPr>
          <w:p w14:paraId="0ABABCB3" w14:textId="77777777" w:rsidR="00D646A7" w:rsidRPr="00686BBC" w:rsidRDefault="00D646A7" w:rsidP="00022939">
            <w:pPr>
              <w:tabs>
                <w:tab w:val="left" w:pos="2880"/>
              </w:tabs>
              <w:rPr>
                <w:b/>
                <w:sz w:val="20"/>
                <w:szCs w:val="20"/>
                <w:lang w:val="en-GB"/>
              </w:rPr>
            </w:pPr>
          </w:p>
        </w:tc>
        <w:tc>
          <w:tcPr>
            <w:tcW w:w="1621" w:type="dxa"/>
            <w:vMerge/>
          </w:tcPr>
          <w:p w14:paraId="38E5CFCE" w14:textId="77777777" w:rsidR="00D646A7" w:rsidRPr="00686BBC" w:rsidRDefault="00D646A7" w:rsidP="00022939">
            <w:pPr>
              <w:tabs>
                <w:tab w:val="left" w:pos="2880"/>
              </w:tabs>
              <w:rPr>
                <w:b/>
                <w:sz w:val="20"/>
                <w:szCs w:val="20"/>
                <w:lang w:val="en-GB"/>
              </w:rPr>
            </w:pPr>
          </w:p>
        </w:tc>
        <w:tc>
          <w:tcPr>
            <w:tcW w:w="1170" w:type="dxa"/>
            <w:shd w:val="clear" w:color="auto" w:fill="F2F2F2" w:themeFill="background1" w:themeFillShade="F2"/>
          </w:tcPr>
          <w:p w14:paraId="6361F530" w14:textId="77777777" w:rsidR="00D646A7" w:rsidRPr="00686BBC" w:rsidRDefault="00D646A7" w:rsidP="00022939">
            <w:pPr>
              <w:tabs>
                <w:tab w:val="left" w:pos="2880"/>
              </w:tabs>
              <w:rPr>
                <w:b/>
                <w:sz w:val="20"/>
                <w:szCs w:val="20"/>
                <w:lang w:val="en-GB"/>
              </w:rPr>
            </w:pPr>
            <w:r w:rsidRPr="00686BBC">
              <w:rPr>
                <w:b/>
                <w:sz w:val="20"/>
                <w:szCs w:val="20"/>
                <w:lang w:val="en-GB"/>
              </w:rPr>
              <w:t>Comments</w:t>
            </w:r>
          </w:p>
        </w:tc>
        <w:tc>
          <w:tcPr>
            <w:tcW w:w="3335" w:type="dxa"/>
            <w:shd w:val="clear" w:color="auto" w:fill="F2F2F2" w:themeFill="background1" w:themeFillShade="F2"/>
          </w:tcPr>
          <w:p w14:paraId="40082D18" w14:textId="77777777" w:rsidR="00D646A7" w:rsidRPr="00686BBC" w:rsidRDefault="00D646A7" w:rsidP="00022939">
            <w:pPr>
              <w:tabs>
                <w:tab w:val="left" w:pos="1080"/>
              </w:tabs>
              <w:jc w:val="both"/>
              <w:rPr>
                <w:b/>
                <w:sz w:val="20"/>
                <w:szCs w:val="20"/>
                <w:lang w:val="en-GB"/>
              </w:rPr>
            </w:pPr>
            <w:r w:rsidRPr="00686BBC">
              <w:rPr>
                <w:b/>
                <w:sz w:val="20"/>
                <w:szCs w:val="20"/>
                <w:lang w:val="en-GB"/>
              </w:rPr>
              <w:t>Status</w:t>
            </w:r>
          </w:p>
          <w:p w14:paraId="14B6D8D3" w14:textId="77777777" w:rsidR="00D646A7" w:rsidRPr="00686BBC" w:rsidRDefault="00D646A7" w:rsidP="00022939">
            <w:pPr>
              <w:tabs>
                <w:tab w:val="left" w:pos="2880"/>
              </w:tabs>
              <w:rPr>
                <w:b/>
                <w:sz w:val="20"/>
                <w:szCs w:val="20"/>
                <w:lang w:val="en-GB"/>
              </w:rPr>
            </w:pPr>
            <w:r w:rsidRPr="00686BBC">
              <w:rPr>
                <w:b/>
                <w:sz w:val="20"/>
                <w:szCs w:val="20"/>
                <w:lang w:val="en-GB"/>
              </w:rPr>
              <w:t>(initiated, completed or no due date)</w:t>
            </w:r>
          </w:p>
        </w:tc>
      </w:tr>
      <w:tr w:rsidR="00D646A7" w:rsidRPr="00686BBC" w14:paraId="21C0F9A1" w14:textId="77777777" w:rsidTr="004C3877">
        <w:trPr>
          <w:trHeight w:val="576"/>
        </w:trPr>
        <w:tc>
          <w:tcPr>
            <w:tcW w:w="5034" w:type="dxa"/>
            <w:shd w:val="clear" w:color="auto" w:fill="auto"/>
          </w:tcPr>
          <w:p w14:paraId="10AF0F6F" w14:textId="78B4849E" w:rsidR="006F31B1" w:rsidRPr="00686BBC" w:rsidRDefault="008425B0" w:rsidP="00D66C5F">
            <w:pPr>
              <w:pStyle w:val="Normal0"/>
              <w:numPr>
                <w:ilvl w:val="1"/>
                <w:numId w:val="4"/>
              </w:numPr>
              <w:tabs>
                <w:tab w:val="left" w:pos="2880"/>
              </w:tabs>
              <w:spacing w:before="0" w:after="0" w:line="240" w:lineRule="auto"/>
              <w:contextualSpacing/>
            </w:pPr>
            <w:r w:rsidRPr="00686BBC">
              <w:t xml:space="preserve">Include additional guidance on </w:t>
            </w:r>
            <w:r w:rsidR="006D4809">
              <w:t>c</w:t>
            </w:r>
            <w:r w:rsidRPr="00686BBC">
              <w:t xml:space="preserve">limate </w:t>
            </w:r>
            <w:r w:rsidR="006D4809">
              <w:t>a</w:t>
            </w:r>
            <w:r w:rsidRPr="00686BBC">
              <w:t xml:space="preserve">ssessment       and climate-risk screening in the updated SES </w:t>
            </w:r>
            <w:r w:rsidR="006D4809">
              <w:t>t</w:t>
            </w:r>
            <w:r w:rsidRPr="00686BBC">
              <w:t>oolkit</w:t>
            </w:r>
            <w:r w:rsidR="4802102A" w:rsidRPr="00686BBC">
              <w:t>.</w:t>
            </w:r>
          </w:p>
        </w:tc>
        <w:tc>
          <w:tcPr>
            <w:tcW w:w="1885" w:type="dxa"/>
            <w:shd w:val="clear" w:color="auto" w:fill="auto"/>
          </w:tcPr>
          <w:p w14:paraId="26EFC02F" w14:textId="0FCFB5C6" w:rsidR="00D646A7" w:rsidRPr="00686BBC" w:rsidRDefault="4802102A" w:rsidP="00022939">
            <w:pPr>
              <w:pStyle w:val="Normal0"/>
              <w:spacing w:before="0" w:after="0" w:line="240" w:lineRule="auto"/>
              <w:contextualSpacing/>
            </w:pPr>
            <w:r w:rsidRPr="00686BBC">
              <w:t>Q</w:t>
            </w:r>
            <w:r w:rsidR="008425B0" w:rsidRPr="00686BBC">
              <w:t>4</w:t>
            </w:r>
            <w:r w:rsidRPr="00686BBC">
              <w:t xml:space="preserve"> 202</w:t>
            </w:r>
            <w:r w:rsidR="008425B0" w:rsidRPr="00686BBC">
              <w:t>0</w:t>
            </w:r>
          </w:p>
        </w:tc>
        <w:tc>
          <w:tcPr>
            <w:tcW w:w="1621" w:type="dxa"/>
            <w:shd w:val="clear" w:color="auto" w:fill="auto"/>
          </w:tcPr>
          <w:p w14:paraId="56ACA104" w14:textId="2C783A36" w:rsidR="00D646A7" w:rsidRPr="00686BBC" w:rsidRDefault="4802102A" w:rsidP="00022939">
            <w:pPr>
              <w:pStyle w:val="Normal0"/>
              <w:spacing w:before="0" w:after="0" w:line="240" w:lineRule="auto"/>
              <w:jc w:val="left"/>
            </w:pPr>
            <w:r w:rsidRPr="00686BBC">
              <w:t>BPPS</w:t>
            </w:r>
          </w:p>
        </w:tc>
        <w:tc>
          <w:tcPr>
            <w:tcW w:w="1170" w:type="dxa"/>
            <w:shd w:val="clear" w:color="auto" w:fill="auto"/>
          </w:tcPr>
          <w:p w14:paraId="37A9FD68" w14:textId="77777777" w:rsidR="00D646A7" w:rsidRPr="00686BBC" w:rsidRDefault="00D646A7" w:rsidP="00022939">
            <w:pPr>
              <w:tabs>
                <w:tab w:val="left" w:pos="2880"/>
              </w:tabs>
              <w:contextualSpacing/>
              <w:rPr>
                <w:sz w:val="20"/>
                <w:szCs w:val="20"/>
                <w:lang w:val="en-GB"/>
              </w:rPr>
            </w:pPr>
          </w:p>
        </w:tc>
        <w:tc>
          <w:tcPr>
            <w:tcW w:w="3335" w:type="dxa"/>
            <w:shd w:val="clear" w:color="auto" w:fill="auto"/>
          </w:tcPr>
          <w:p w14:paraId="0F6B484A" w14:textId="790E82F5" w:rsidR="00D646A7" w:rsidRPr="00686BBC" w:rsidRDefault="008425B0" w:rsidP="00022939">
            <w:pPr>
              <w:tabs>
                <w:tab w:val="left" w:pos="2880"/>
              </w:tabs>
              <w:rPr>
                <w:sz w:val="20"/>
                <w:szCs w:val="20"/>
                <w:lang w:val="en-GB"/>
              </w:rPr>
            </w:pPr>
            <w:r w:rsidRPr="00686BBC">
              <w:rPr>
                <w:sz w:val="20"/>
                <w:szCs w:val="20"/>
                <w:lang w:val="en-GB"/>
              </w:rPr>
              <w:t>Completed.</w:t>
            </w:r>
          </w:p>
        </w:tc>
      </w:tr>
      <w:tr w:rsidR="7236C40E" w:rsidRPr="00686BBC" w14:paraId="2B1E7DFA" w14:textId="77777777" w:rsidTr="004C3877">
        <w:trPr>
          <w:trHeight w:val="576"/>
        </w:trPr>
        <w:tc>
          <w:tcPr>
            <w:tcW w:w="5034" w:type="dxa"/>
            <w:shd w:val="clear" w:color="auto" w:fill="auto"/>
          </w:tcPr>
          <w:p w14:paraId="7B157B2A" w14:textId="1A65F10E" w:rsidR="006F31B1" w:rsidRPr="00686BBC" w:rsidRDefault="008425B0" w:rsidP="00D66C5F">
            <w:pPr>
              <w:pStyle w:val="Normal0"/>
              <w:numPr>
                <w:ilvl w:val="1"/>
                <w:numId w:val="4"/>
              </w:numPr>
              <w:spacing w:before="0" w:after="0" w:line="240" w:lineRule="auto"/>
            </w:pPr>
            <w:r w:rsidRPr="00686BBC">
              <w:t xml:space="preserve">Build a cadre of experts on </w:t>
            </w:r>
            <w:r w:rsidR="006D4809">
              <w:t>s</w:t>
            </w:r>
            <w:r w:rsidRPr="00686BBC">
              <w:t>tandard 3 (climate change and disaster risk) in the regional hubs to advise country offices during project preparation and implementation</w:t>
            </w:r>
            <w:r w:rsidR="0B1ACFBA" w:rsidRPr="00686BBC">
              <w:t xml:space="preserve">. </w:t>
            </w:r>
          </w:p>
        </w:tc>
        <w:tc>
          <w:tcPr>
            <w:tcW w:w="1885" w:type="dxa"/>
            <w:shd w:val="clear" w:color="auto" w:fill="auto"/>
          </w:tcPr>
          <w:p w14:paraId="3A4C32F6" w14:textId="0A54537E" w:rsidR="0B1ACFBA" w:rsidRPr="00686BBC" w:rsidRDefault="0B1ACFBA" w:rsidP="008425B0">
            <w:pPr>
              <w:pStyle w:val="Normal0"/>
              <w:spacing w:line="240" w:lineRule="auto"/>
            </w:pPr>
            <w:r w:rsidRPr="00686BBC">
              <w:t>Q</w:t>
            </w:r>
            <w:r w:rsidR="008425B0" w:rsidRPr="00686BBC">
              <w:t>1</w:t>
            </w:r>
            <w:r w:rsidRPr="00686BBC">
              <w:t xml:space="preserve"> 202</w:t>
            </w:r>
            <w:r w:rsidR="008425B0" w:rsidRPr="00686BBC">
              <w:t>1</w:t>
            </w:r>
          </w:p>
        </w:tc>
        <w:tc>
          <w:tcPr>
            <w:tcW w:w="1621" w:type="dxa"/>
            <w:shd w:val="clear" w:color="auto" w:fill="auto"/>
          </w:tcPr>
          <w:p w14:paraId="36599A9C" w14:textId="2449D351" w:rsidR="0B1ACFBA" w:rsidRPr="00686BBC" w:rsidRDefault="0B1ACFBA" w:rsidP="008425B0">
            <w:pPr>
              <w:pStyle w:val="Normal0"/>
              <w:spacing w:line="240" w:lineRule="auto"/>
              <w:jc w:val="left"/>
            </w:pPr>
            <w:r w:rsidRPr="00686BBC">
              <w:t>BPPS</w:t>
            </w:r>
          </w:p>
        </w:tc>
        <w:tc>
          <w:tcPr>
            <w:tcW w:w="1170" w:type="dxa"/>
            <w:shd w:val="clear" w:color="auto" w:fill="auto"/>
          </w:tcPr>
          <w:p w14:paraId="01F275E3" w14:textId="3321AA4B" w:rsidR="7236C40E" w:rsidRPr="00686BBC" w:rsidRDefault="7236C40E" w:rsidP="7236C40E">
            <w:pPr>
              <w:rPr>
                <w:sz w:val="20"/>
                <w:szCs w:val="20"/>
                <w:lang w:val="en-GB"/>
              </w:rPr>
            </w:pPr>
          </w:p>
        </w:tc>
        <w:tc>
          <w:tcPr>
            <w:tcW w:w="3335" w:type="dxa"/>
            <w:shd w:val="clear" w:color="auto" w:fill="auto"/>
          </w:tcPr>
          <w:p w14:paraId="4A36416E" w14:textId="36EE8FC6" w:rsidR="0B1ACFBA" w:rsidRPr="00686BBC" w:rsidRDefault="0B1ACFBA" w:rsidP="7236C40E">
            <w:pPr>
              <w:rPr>
                <w:sz w:val="20"/>
                <w:szCs w:val="20"/>
                <w:lang w:val="en-GB"/>
              </w:rPr>
            </w:pPr>
          </w:p>
        </w:tc>
      </w:tr>
      <w:tr w:rsidR="005367A7" w:rsidRPr="00686BBC" w14:paraId="60DEFC3E" w14:textId="77777777" w:rsidTr="57BE61B2">
        <w:trPr>
          <w:trHeight w:val="1875"/>
        </w:trPr>
        <w:tc>
          <w:tcPr>
            <w:tcW w:w="13045" w:type="dxa"/>
            <w:gridSpan w:val="5"/>
            <w:shd w:val="clear" w:color="auto" w:fill="E6E6E6"/>
          </w:tcPr>
          <w:p w14:paraId="735099BA" w14:textId="1C9A2492" w:rsidR="005367A7" w:rsidRPr="00686BBC" w:rsidRDefault="005367A7" w:rsidP="005367A7">
            <w:pPr>
              <w:pStyle w:val="BodyText"/>
              <w:spacing w:before="60" w:after="60"/>
              <w:rPr>
                <w:b/>
                <w:bCs/>
                <w:sz w:val="20"/>
                <w:szCs w:val="20"/>
                <w:lang w:val="en-GB"/>
              </w:rPr>
            </w:pPr>
            <w:r w:rsidRPr="00686BBC">
              <w:rPr>
                <w:b/>
                <w:bCs/>
                <w:sz w:val="20"/>
                <w:szCs w:val="20"/>
                <w:lang w:val="en-GB"/>
              </w:rPr>
              <w:t xml:space="preserve">Recommendation </w:t>
            </w:r>
            <w:r w:rsidRPr="00686BBC">
              <w:rPr>
                <w:b/>
                <w:bCs/>
                <w:sz w:val="20"/>
                <w:szCs w:val="20"/>
                <w:lang w:val="en-GB"/>
              </w:rPr>
              <w:fldChar w:fldCharType="begin"/>
            </w:r>
            <w:r w:rsidRPr="00686BBC">
              <w:rPr>
                <w:b/>
                <w:bCs/>
                <w:sz w:val="20"/>
                <w:szCs w:val="20"/>
                <w:lang w:val="en-GB"/>
              </w:rPr>
              <w:instrText xml:space="preserve"> SEQ Recommendation \* ARABIC </w:instrText>
            </w:r>
            <w:r w:rsidRPr="00686BBC">
              <w:rPr>
                <w:b/>
                <w:bCs/>
                <w:sz w:val="20"/>
                <w:szCs w:val="20"/>
                <w:lang w:val="en-GB"/>
              </w:rPr>
              <w:fldChar w:fldCharType="separate"/>
            </w:r>
            <w:r w:rsidRPr="00686BBC">
              <w:rPr>
                <w:b/>
                <w:bCs/>
                <w:sz w:val="20"/>
                <w:szCs w:val="20"/>
                <w:lang w:val="en-GB"/>
              </w:rPr>
              <w:t>2</w:t>
            </w:r>
            <w:r w:rsidRPr="00686BBC">
              <w:rPr>
                <w:sz w:val="20"/>
                <w:szCs w:val="20"/>
                <w:lang w:val="en-GB"/>
              </w:rPr>
              <w:fldChar w:fldCharType="end"/>
            </w:r>
            <w:r w:rsidRPr="00686BBC">
              <w:rPr>
                <w:b/>
                <w:bCs/>
                <w:sz w:val="20"/>
                <w:szCs w:val="20"/>
                <w:lang w:val="en-GB"/>
              </w:rPr>
              <w:t xml:space="preserve">. UNDP should establish a system for tracking all investments that have significant climate change objectives, ensuring these are provided with appropriate technical support, oversight and visibility as part of </w:t>
            </w:r>
            <w:r w:rsidR="00F128A8">
              <w:rPr>
                <w:b/>
                <w:bCs/>
                <w:sz w:val="20"/>
                <w:szCs w:val="20"/>
                <w:lang w:val="en-GB"/>
              </w:rPr>
              <w:t xml:space="preserve">the </w:t>
            </w:r>
            <w:r w:rsidRPr="00686BBC">
              <w:rPr>
                <w:b/>
                <w:bCs/>
                <w:sz w:val="20"/>
                <w:szCs w:val="20"/>
                <w:lang w:val="en-GB"/>
              </w:rPr>
              <w:t>UNDP adaptation portfolio and as a basis for strengthening internal collaboration.</w:t>
            </w:r>
          </w:p>
          <w:p w14:paraId="5F65D666" w14:textId="56C8BF4B" w:rsidR="005367A7" w:rsidRPr="00686BBC" w:rsidRDefault="005367A7" w:rsidP="00022939">
            <w:pPr>
              <w:pStyle w:val="Recommendationtext"/>
              <w:spacing w:before="60" w:after="60"/>
              <w:rPr>
                <w:rFonts w:ascii="Times New Roman" w:hAnsi="Times New Roman"/>
                <w:b w:val="0"/>
                <w:bCs w:val="0"/>
                <w:sz w:val="20"/>
                <w:szCs w:val="20"/>
              </w:rPr>
            </w:pPr>
            <w:r w:rsidRPr="00686BBC">
              <w:rPr>
                <w:rFonts w:ascii="Times New Roman" w:hAnsi="Times New Roman"/>
                <w:b w:val="0"/>
                <w:bCs w:val="0"/>
                <w:sz w:val="20"/>
                <w:szCs w:val="20"/>
              </w:rPr>
              <w:t>The objective should be to ensure that all projects that have significant adaptation objectives are supported to integrate the best available methods for incorporating climate science into project design and implementation and are recogni</w:t>
            </w:r>
            <w:r w:rsidR="00F128A8">
              <w:rPr>
                <w:rFonts w:ascii="Times New Roman" w:hAnsi="Times New Roman"/>
                <w:b w:val="0"/>
                <w:bCs w:val="0"/>
                <w:sz w:val="20"/>
                <w:szCs w:val="20"/>
              </w:rPr>
              <w:t>z</w:t>
            </w:r>
            <w:r w:rsidRPr="00686BBC">
              <w:rPr>
                <w:rFonts w:ascii="Times New Roman" w:hAnsi="Times New Roman"/>
                <w:b w:val="0"/>
                <w:bCs w:val="0"/>
                <w:sz w:val="20"/>
                <w:szCs w:val="20"/>
              </w:rPr>
              <w:t>ed as part of a portfolio that cut</w:t>
            </w:r>
            <w:r w:rsidR="00F128A8">
              <w:rPr>
                <w:rFonts w:ascii="Times New Roman" w:hAnsi="Times New Roman"/>
                <w:b w:val="0"/>
                <w:bCs w:val="0"/>
                <w:sz w:val="20"/>
                <w:szCs w:val="20"/>
              </w:rPr>
              <w:t>s</w:t>
            </w:r>
            <w:r w:rsidRPr="00686BBC">
              <w:rPr>
                <w:rFonts w:ascii="Times New Roman" w:hAnsi="Times New Roman"/>
                <w:b w:val="0"/>
                <w:bCs w:val="0"/>
                <w:sz w:val="20"/>
                <w:szCs w:val="20"/>
              </w:rPr>
              <w:t xml:space="preserve"> across a significant proportion of UNDP business. This would also support better coordination between vertical fund programming and other funding streams, as well as continuing efforts to improve coordination among climate and disaster risk reduction personnel across the UNDP policy and crisis bureau</w:t>
            </w:r>
            <w:r w:rsidR="00F128A8">
              <w:rPr>
                <w:rFonts w:ascii="Times New Roman" w:hAnsi="Times New Roman"/>
                <w:b w:val="0"/>
                <w:bCs w:val="0"/>
                <w:sz w:val="20"/>
                <w:szCs w:val="20"/>
              </w:rPr>
              <w:t>x</w:t>
            </w:r>
            <w:r w:rsidRPr="00686BBC">
              <w:rPr>
                <w:rFonts w:ascii="Times New Roman" w:hAnsi="Times New Roman"/>
                <w:b w:val="0"/>
                <w:bCs w:val="0"/>
                <w:sz w:val="20"/>
                <w:szCs w:val="20"/>
              </w:rPr>
              <w:t>.</w:t>
            </w:r>
          </w:p>
        </w:tc>
      </w:tr>
      <w:tr w:rsidR="005367A7" w:rsidRPr="00686BBC" w14:paraId="7BD9DCF3" w14:textId="77777777" w:rsidTr="57BE61B2">
        <w:trPr>
          <w:trHeight w:val="1690"/>
        </w:trPr>
        <w:tc>
          <w:tcPr>
            <w:tcW w:w="13045" w:type="dxa"/>
            <w:gridSpan w:val="5"/>
            <w:shd w:val="clear" w:color="auto" w:fill="E6E6E6"/>
          </w:tcPr>
          <w:p w14:paraId="57068816" w14:textId="606D18F6" w:rsidR="005367A7" w:rsidRPr="00686BBC" w:rsidRDefault="005367A7" w:rsidP="0090400D">
            <w:pPr>
              <w:tabs>
                <w:tab w:val="left" w:pos="2880"/>
              </w:tabs>
              <w:ind w:right="72"/>
              <w:jc w:val="both"/>
              <w:rPr>
                <w:b/>
                <w:sz w:val="20"/>
                <w:szCs w:val="20"/>
                <w:lang w:val="en-GB"/>
              </w:rPr>
            </w:pPr>
            <w:r w:rsidRPr="00686BBC">
              <w:rPr>
                <w:b/>
                <w:sz w:val="20"/>
                <w:szCs w:val="20"/>
                <w:lang w:val="en-GB"/>
              </w:rPr>
              <w:t>Management response</w:t>
            </w:r>
            <w:r w:rsidR="00D83B83">
              <w:rPr>
                <w:b/>
                <w:sz w:val="20"/>
                <w:szCs w:val="20"/>
                <w:lang w:val="en-GB"/>
              </w:rPr>
              <w:t>:</w:t>
            </w:r>
          </w:p>
          <w:p w14:paraId="75A9A883" w14:textId="77777777" w:rsidR="009952AD" w:rsidRPr="00D66C5F" w:rsidRDefault="009952AD" w:rsidP="00540809">
            <w:pPr>
              <w:rPr>
                <w:color w:val="000000"/>
                <w:sz w:val="12"/>
                <w:szCs w:val="12"/>
                <w:lang w:val="en-GB"/>
              </w:rPr>
            </w:pPr>
          </w:p>
          <w:p w14:paraId="63A63F5E" w14:textId="62E76B21" w:rsidR="006F31B1" w:rsidRPr="00D66C5F" w:rsidRDefault="008425B0" w:rsidP="006F31B1">
            <w:pPr>
              <w:pStyle w:val="NormalWeb"/>
              <w:spacing w:before="0" w:beforeAutospacing="0" w:after="0" w:afterAutospacing="0"/>
              <w:ind w:right="173"/>
              <w:jc w:val="both"/>
              <w:rPr>
                <w:sz w:val="20"/>
                <w:szCs w:val="20"/>
                <w:lang w:val="en-GB"/>
              </w:rPr>
            </w:pPr>
            <w:r w:rsidRPr="00686BBC">
              <w:rPr>
                <w:sz w:val="20"/>
                <w:szCs w:val="20"/>
                <w:lang w:val="en-GB"/>
              </w:rPr>
              <w:t xml:space="preserve">UNDP </w:t>
            </w:r>
            <w:r w:rsidR="00AA4B93" w:rsidRPr="00686BBC">
              <w:rPr>
                <w:sz w:val="20"/>
                <w:szCs w:val="20"/>
                <w:lang w:val="en-GB"/>
              </w:rPr>
              <w:t>accepts the recommendation</w:t>
            </w:r>
            <w:r w:rsidR="006F31B1">
              <w:rPr>
                <w:sz w:val="20"/>
                <w:szCs w:val="20"/>
                <w:lang w:val="en-GB"/>
              </w:rPr>
              <w:t>,</w:t>
            </w:r>
            <w:r w:rsidR="00AA4B93" w:rsidRPr="00686BBC">
              <w:rPr>
                <w:sz w:val="20"/>
                <w:szCs w:val="20"/>
                <w:lang w:val="en-GB"/>
              </w:rPr>
              <w:t xml:space="preserve"> noting </w:t>
            </w:r>
            <w:r w:rsidR="006F31B1">
              <w:rPr>
                <w:sz w:val="20"/>
                <w:szCs w:val="20"/>
                <w:lang w:val="en-GB"/>
              </w:rPr>
              <w:t xml:space="preserve">that </w:t>
            </w:r>
            <w:r w:rsidR="00AA4B93" w:rsidRPr="00686BBC">
              <w:rPr>
                <w:sz w:val="20"/>
                <w:szCs w:val="20"/>
                <w:lang w:val="en-GB"/>
              </w:rPr>
              <w:t xml:space="preserve">it </w:t>
            </w:r>
            <w:r w:rsidRPr="00686BBC">
              <w:rPr>
                <w:sz w:val="20"/>
                <w:szCs w:val="20"/>
                <w:lang w:val="en-GB"/>
              </w:rPr>
              <w:t xml:space="preserve">has invested in </w:t>
            </w:r>
            <w:r w:rsidR="00400D78" w:rsidRPr="00686BBC">
              <w:rPr>
                <w:sz w:val="20"/>
                <w:szCs w:val="20"/>
                <w:lang w:val="en-GB"/>
              </w:rPr>
              <w:t>strengthen</w:t>
            </w:r>
            <w:r w:rsidRPr="00686BBC">
              <w:rPr>
                <w:sz w:val="20"/>
                <w:szCs w:val="20"/>
                <w:lang w:val="en-GB"/>
              </w:rPr>
              <w:t xml:space="preserve">ing </w:t>
            </w:r>
            <w:r w:rsidR="00400D78" w:rsidRPr="00686BBC">
              <w:rPr>
                <w:sz w:val="20"/>
                <w:szCs w:val="20"/>
                <w:lang w:val="en-GB"/>
              </w:rPr>
              <w:t>capacity to analy</w:t>
            </w:r>
            <w:r w:rsidR="006F31B1">
              <w:rPr>
                <w:sz w:val="20"/>
                <w:szCs w:val="20"/>
                <w:lang w:val="en-GB"/>
              </w:rPr>
              <w:t>s</w:t>
            </w:r>
            <w:r w:rsidR="00400D78" w:rsidRPr="00686BBC">
              <w:rPr>
                <w:sz w:val="20"/>
                <w:szCs w:val="20"/>
                <w:lang w:val="en-GB"/>
              </w:rPr>
              <w:t xml:space="preserve">e its investments to achieve the objectives of the </w:t>
            </w:r>
            <w:r w:rsidRPr="00686BBC">
              <w:rPr>
                <w:sz w:val="20"/>
                <w:szCs w:val="20"/>
                <w:lang w:val="en-GB"/>
              </w:rPr>
              <w:t>S</w:t>
            </w:r>
            <w:r w:rsidR="00400D78" w:rsidRPr="00686BBC">
              <w:rPr>
                <w:sz w:val="20"/>
                <w:szCs w:val="20"/>
                <w:lang w:val="en-GB"/>
              </w:rPr>
              <w:t xml:space="preserve">trategic </w:t>
            </w:r>
            <w:r w:rsidRPr="00686BBC">
              <w:rPr>
                <w:sz w:val="20"/>
                <w:szCs w:val="20"/>
                <w:lang w:val="en-GB"/>
              </w:rPr>
              <w:t>P</w:t>
            </w:r>
            <w:r w:rsidR="00400D78" w:rsidRPr="00686BBC">
              <w:rPr>
                <w:sz w:val="20"/>
                <w:szCs w:val="20"/>
                <w:lang w:val="en-GB"/>
              </w:rPr>
              <w:t>lan</w:t>
            </w:r>
            <w:r w:rsidR="006F31B1">
              <w:rPr>
                <w:sz w:val="20"/>
                <w:szCs w:val="20"/>
                <w:lang w:val="en-GB"/>
              </w:rPr>
              <w:t xml:space="preserve">, </w:t>
            </w:r>
            <w:r w:rsidR="00400D78" w:rsidRPr="00686BBC">
              <w:rPr>
                <w:sz w:val="20"/>
                <w:szCs w:val="20"/>
                <w:lang w:val="en-GB"/>
              </w:rPr>
              <w:t>2018-2021</w:t>
            </w:r>
            <w:r w:rsidR="006F31B1">
              <w:rPr>
                <w:sz w:val="20"/>
                <w:szCs w:val="20"/>
                <w:lang w:val="en-GB"/>
              </w:rPr>
              <w:t>,</w:t>
            </w:r>
            <w:r w:rsidR="00400D78" w:rsidRPr="00686BBC">
              <w:rPr>
                <w:sz w:val="20"/>
                <w:szCs w:val="20"/>
                <w:lang w:val="en-GB"/>
              </w:rPr>
              <w:t xml:space="preserve"> </w:t>
            </w:r>
            <w:r w:rsidRPr="00686BBC">
              <w:rPr>
                <w:sz w:val="20"/>
                <w:szCs w:val="20"/>
                <w:lang w:val="en-GB"/>
              </w:rPr>
              <w:t xml:space="preserve">through its </w:t>
            </w:r>
            <w:r w:rsidR="00400D78" w:rsidRPr="00686BBC">
              <w:rPr>
                <w:sz w:val="20"/>
                <w:szCs w:val="20"/>
                <w:lang w:val="en-GB"/>
              </w:rPr>
              <w:t>results</w:t>
            </w:r>
            <w:r w:rsidR="006F31B1">
              <w:rPr>
                <w:sz w:val="20"/>
                <w:szCs w:val="20"/>
                <w:lang w:val="en-GB"/>
              </w:rPr>
              <w:t>-</w:t>
            </w:r>
            <w:r w:rsidR="00400D78" w:rsidRPr="00686BBC">
              <w:rPr>
                <w:sz w:val="20"/>
                <w:szCs w:val="20"/>
                <w:lang w:val="en-GB"/>
              </w:rPr>
              <w:t xml:space="preserve">linking platform and </w:t>
            </w:r>
            <w:r w:rsidRPr="00686BBC">
              <w:rPr>
                <w:sz w:val="20"/>
                <w:szCs w:val="20"/>
                <w:lang w:val="en-GB"/>
              </w:rPr>
              <w:t xml:space="preserve">introduction of a </w:t>
            </w:r>
            <w:r w:rsidR="00400D78" w:rsidRPr="00686BBC">
              <w:rPr>
                <w:sz w:val="20"/>
                <w:szCs w:val="20"/>
                <w:lang w:val="en-GB"/>
              </w:rPr>
              <w:t>range of project markers</w:t>
            </w:r>
            <w:r w:rsidRPr="00686BBC">
              <w:rPr>
                <w:sz w:val="20"/>
                <w:szCs w:val="20"/>
                <w:lang w:val="en-GB"/>
              </w:rPr>
              <w:t xml:space="preserve">. </w:t>
            </w:r>
            <w:r w:rsidR="00400D78" w:rsidRPr="00686BBC">
              <w:rPr>
                <w:sz w:val="20"/>
                <w:szCs w:val="20"/>
                <w:lang w:val="en-GB"/>
              </w:rPr>
              <w:t xml:space="preserve">UNDP has </w:t>
            </w:r>
            <w:r w:rsidRPr="00686BBC">
              <w:rPr>
                <w:sz w:val="20"/>
                <w:szCs w:val="20"/>
                <w:lang w:val="en-GB"/>
              </w:rPr>
              <w:t xml:space="preserve">completed a </w:t>
            </w:r>
            <w:r w:rsidR="00400D78" w:rsidRPr="00686BBC">
              <w:rPr>
                <w:sz w:val="20"/>
                <w:szCs w:val="20"/>
                <w:lang w:val="en-GB"/>
              </w:rPr>
              <w:t xml:space="preserve">mapping of ongoing projects </w:t>
            </w:r>
            <w:r w:rsidR="00FA37AB" w:rsidRPr="00686BBC">
              <w:rPr>
                <w:sz w:val="20"/>
                <w:szCs w:val="20"/>
                <w:lang w:val="en-GB"/>
              </w:rPr>
              <w:t>in</w:t>
            </w:r>
            <w:r w:rsidR="00400D78" w:rsidRPr="00686BBC">
              <w:rPr>
                <w:sz w:val="20"/>
                <w:szCs w:val="20"/>
                <w:lang w:val="en-GB"/>
              </w:rPr>
              <w:t xml:space="preserve"> the adaptation portfolio, which was incorporated in the portfolio analysis dashboard, an internal monitoring tool for organi</w:t>
            </w:r>
            <w:r w:rsidR="006F31B1">
              <w:rPr>
                <w:sz w:val="20"/>
                <w:szCs w:val="20"/>
                <w:lang w:val="en-GB"/>
              </w:rPr>
              <w:t>z</w:t>
            </w:r>
            <w:r w:rsidR="00400D78" w:rsidRPr="00686BBC">
              <w:rPr>
                <w:sz w:val="20"/>
                <w:szCs w:val="20"/>
                <w:lang w:val="en-GB"/>
              </w:rPr>
              <w:t xml:space="preserve">ational lessons learning and knowledge management. </w:t>
            </w:r>
            <w:r w:rsidRPr="00686BBC">
              <w:rPr>
                <w:sz w:val="20"/>
                <w:szCs w:val="20"/>
                <w:lang w:val="en-GB"/>
              </w:rPr>
              <w:t>UNDP will utili</w:t>
            </w:r>
            <w:r w:rsidR="006F31B1">
              <w:rPr>
                <w:sz w:val="20"/>
                <w:szCs w:val="20"/>
                <w:lang w:val="en-GB"/>
              </w:rPr>
              <w:t>z</w:t>
            </w:r>
            <w:r w:rsidRPr="00686BBC">
              <w:rPr>
                <w:sz w:val="20"/>
                <w:szCs w:val="20"/>
                <w:lang w:val="en-GB"/>
              </w:rPr>
              <w:t xml:space="preserve">e its project marker or other </w:t>
            </w:r>
            <w:r w:rsidR="00400D78" w:rsidRPr="00686BBC">
              <w:rPr>
                <w:sz w:val="20"/>
                <w:szCs w:val="20"/>
                <w:lang w:val="en-GB"/>
              </w:rPr>
              <w:t>robust tracking system</w:t>
            </w:r>
            <w:r w:rsidR="006F31B1">
              <w:rPr>
                <w:sz w:val="20"/>
                <w:szCs w:val="20"/>
                <w:lang w:val="en-GB"/>
              </w:rPr>
              <w:t>s</w:t>
            </w:r>
            <w:r w:rsidR="00400D78" w:rsidRPr="00686BBC">
              <w:rPr>
                <w:sz w:val="20"/>
                <w:szCs w:val="20"/>
                <w:lang w:val="en-GB"/>
              </w:rPr>
              <w:t xml:space="preserve"> </w:t>
            </w:r>
            <w:r w:rsidRPr="00686BBC">
              <w:rPr>
                <w:sz w:val="20"/>
                <w:szCs w:val="20"/>
                <w:lang w:val="en-GB"/>
              </w:rPr>
              <w:t>to capture</w:t>
            </w:r>
            <w:r w:rsidR="00400D78" w:rsidRPr="00686BBC">
              <w:rPr>
                <w:sz w:val="20"/>
                <w:szCs w:val="20"/>
                <w:lang w:val="en-GB"/>
              </w:rPr>
              <w:t xml:space="preserve"> projects with significant climate change objectives</w:t>
            </w:r>
            <w:r w:rsidRPr="00686BBC">
              <w:rPr>
                <w:sz w:val="20"/>
                <w:szCs w:val="20"/>
                <w:lang w:val="en-GB"/>
              </w:rPr>
              <w:t>. This will ensure</w:t>
            </w:r>
            <w:r w:rsidR="00400D78" w:rsidRPr="00686BBC">
              <w:rPr>
                <w:sz w:val="20"/>
                <w:szCs w:val="20"/>
                <w:lang w:val="en-GB"/>
              </w:rPr>
              <w:t xml:space="preserve"> that project design and implementation </w:t>
            </w:r>
            <w:r w:rsidRPr="00686BBC">
              <w:rPr>
                <w:sz w:val="20"/>
                <w:szCs w:val="20"/>
                <w:lang w:val="en-GB"/>
              </w:rPr>
              <w:t xml:space="preserve">can be effectively </w:t>
            </w:r>
            <w:r w:rsidR="00400D78" w:rsidRPr="00686BBC">
              <w:rPr>
                <w:sz w:val="20"/>
                <w:szCs w:val="20"/>
                <w:lang w:val="en-GB"/>
              </w:rPr>
              <w:t>supported and monitored in a coordinated manner across the organization. It will also enable UNDP to analy</w:t>
            </w:r>
            <w:r w:rsidR="006F31B1">
              <w:rPr>
                <w:sz w:val="20"/>
                <w:szCs w:val="20"/>
                <w:lang w:val="en-GB"/>
              </w:rPr>
              <w:t>s</w:t>
            </w:r>
            <w:r w:rsidR="00400D78" w:rsidRPr="00686BBC">
              <w:rPr>
                <w:sz w:val="20"/>
                <w:szCs w:val="20"/>
                <w:lang w:val="en-GB"/>
              </w:rPr>
              <w:t>e the degree to which climate change objectives cut across UNDP programmes and projects</w:t>
            </w:r>
            <w:r w:rsidR="00F873B4" w:rsidRPr="00686BBC">
              <w:rPr>
                <w:sz w:val="20"/>
                <w:szCs w:val="20"/>
                <w:lang w:val="en-GB"/>
              </w:rPr>
              <w:t xml:space="preserve">.  </w:t>
            </w:r>
          </w:p>
        </w:tc>
      </w:tr>
      <w:tr w:rsidR="005367A7" w:rsidRPr="00686BBC" w14:paraId="596ED2F7" w14:textId="77777777" w:rsidTr="004C3877">
        <w:trPr>
          <w:trHeight w:val="576"/>
        </w:trPr>
        <w:tc>
          <w:tcPr>
            <w:tcW w:w="5034" w:type="dxa"/>
            <w:shd w:val="clear" w:color="auto" w:fill="auto"/>
          </w:tcPr>
          <w:p w14:paraId="3D104E6A" w14:textId="2A94E06D" w:rsidR="006F31B1" w:rsidRPr="00686BBC" w:rsidRDefault="008402EE" w:rsidP="00FA37AB">
            <w:pPr>
              <w:pStyle w:val="Normal0"/>
              <w:tabs>
                <w:tab w:val="left" w:pos="2880"/>
              </w:tabs>
              <w:spacing w:before="0" w:after="0" w:line="240" w:lineRule="auto"/>
              <w:contextualSpacing/>
            </w:pPr>
            <w:r w:rsidRPr="00686BBC">
              <w:t>2.1 Introduce a mechanism to track ongoing and pipeline projects with significant climate change objectives to enable the provision of coordinated technical support and oversight across the organi</w:t>
            </w:r>
            <w:r w:rsidR="006F31B1">
              <w:t>z</w:t>
            </w:r>
            <w:r w:rsidRPr="00686BBC">
              <w:t>ation</w:t>
            </w:r>
            <w:r w:rsidRPr="00686BBC" w:rsidDel="008402EE">
              <w:t xml:space="preserve"> </w:t>
            </w:r>
          </w:p>
        </w:tc>
        <w:tc>
          <w:tcPr>
            <w:tcW w:w="1885" w:type="dxa"/>
            <w:shd w:val="clear" w:color="auto" w:fill="auto"/>
          </w:tcPr>
          <w:p w14:paraId="359D0982" w14:textId="39046691" w:rsidR="005367A7" w:rsidRPr="00686BBC" w:rsidRDefault="002F46A9" w:rsidP="005367A7">
            <w:pPr>
              <w:pStyle w:val="Normal0"/>
              <w:spacing w:before="0" w:after="0" w:line="240" w:lineRule="auto"/>
              <w:contextualSpacing/>
            </w:pPr>
            <w:r w:rsidRPr="00686BBC">
              <w:t>Q</w:t>
            </w:r>
            <w:r w:rsidR="00D47F8E" w:rsidRPr="00686BBC">
              <w:t>2</w:t>
            </w:r>
            <w:r w:rsidRPr="00686BBC">
              <w:t xml:space="preserve"> 202</w:t>
            </w:r>
            <w:r w:rsidR="002752CD" w:rsidRPr="00686BBC">
              <w:t>2</w:t>
            </w:r>
          </w:p>
        </w:tc>
        <w:tc>
          <w:tcPr>
            <w:tcW w:w="1621" w:type="dxa"/>
            <w:shd w:val="clear" w:color="auto" w:fill="auto"/>
          </w:tcPr>
          <w:p w14:paraId="64828143" w14:textId="07E42C97" w:rsidR="005367A7" w:rsidRPr="00686BBC" w:rsidRDefault="00E241CC" w:rsidP="005367A7">
            <w:pPr>
              <w:pStyle w:val="Normal0"/>
              <w:spacing w:before="0" w:after="0" w:line="240" w:lineRule="auto"/>
              <w:jc w:val="left"/>
            </w:pPr>
            <w:r w:rsidRPr="00686BBC">
              <w:t>BPPS</w:t>
            </w:r>
            <w:r w:rsidR="009554FD" w:rsidRPr="00686BBC">
              <w:t xml:space="preserve">, </w:t>
            </w:r>
            <w:r w:rsidR="00E91535" w:rsidRPr="00686BBC">
              <w:t>BMS</w:t>
            </w:r>
          </w:p>
        </w:tc>
        <w:tc>
          <w:tcPr>
            <w:tcW w:w="1170" w:type="dxa"/>
            <w:shd w:val="clear" w:color="auto" w:fill="auto"/>
          </w:tcPr>
          <w:p w14:paraId="7DA5DAA7" w14:textId="7BDB6B3B" w:rsidR="005367A7" w:rsidRPr="00686BBC" w:rsidRDefault="005367A7" w:rsidP="005367A7">
            <w:pPr>
              <w:tabs>
                <w:tab w:val="left" w:pos="2880"/>
              </w:tabs>
              <w:contextualSpacing/>
              <w:rPr>
                <w:sz w:val="20"/>
                <w:szCs w:val="20"/>
                <w:lang w:val="en-GB"/>
              </w:rPr>
            </w:pPr>
          </w:p>
        </w:tc>
        <w:tc>
          <w:tcPr>
            <w:tcW w:w="3335" w:type="dxa"/>
            <w:shd w:val="clear" w:color="auto" w:fill="auto"/>
          </w:tcPr>
          <w:p w14:paraId="5EC22769" w14:textId="77777777" w:rsidR="005367A7" w:rsidRPr="00686BBC" w:rsidRDefault="005367A7" w:rsidP="005367A7">
            <w:pPr>
              <w:tabs>
                <w:tab w:val="left" w:pos="2880"/>
              </w:tabs>
              <w:rPr>
                <w:sz w:val="20"/>
                <w:szCs w:val="20"/>
                <w:lang w:val="en-GB"/>
              </w:rPr>
            </w:pPr>
          </w:p>
        </w:tc>
      </w:tr>
      <w:tr w:rsidR="00D646A7" w:rsidRPr="00686BBC" w14:paraId="6CCEE19A" w14:textId="77777777" w:rsidTr="57BE61B2">
        <w:trPr>
          <w:trHeight w:val="885"/>
        </w:trPr>
        <w:tc>
          <w:tcPr>
            <w:tcW w:w="13045" w:type="dxa"/>
            <w:gridSpan w:val="5"/>
            <w:shd w:val="clear" w:color="auto" w:fill="E6E6E6"/>
          </w:tcPr>
          <w:p w14:paraId="04DCE756" w14:textId="7AF40E79" w:rsidR="005367A7" w:rsidRPr="00686BBC" w:rsidRDefault="00D646A7" w:rsidP="00FA37AB">
            <w:pPr>
              <w:pStyle w:val="Recommendationtext"/>
              <w:spacing w:before="60" w:after="60"/>
              <w:rPr>
                <w:sz w:val="20"/>
                <w:szCs w:val="20"/>
              </w:rPr>
            </w:pPr>
            <w:bookmarkStart w:id="3" w:name="_Hlk54167138"/>
            <w:r w:rsidRPr="00686BBC">
              <w:rPr>
                <w:rFonts w:ascii="Times New Roman" w:hAnsi="Times New Roman"/>
                <w:sz w:val="20"/>
                <w:szCs w:val="20"/>
              </w:rPr>
              <w:t xml:space="preserve">Recommendation </w:t>
            </w:r>
            <w:r w:rsidR="00F873B4" w:rsidRPr="00686BBC">
              <w:rPr>
                <w:rFonts w:ascii="Times New Roman" w:hAnsi="Times New Roman"/>
                <w:sz w:val="20"/>
                <w:szCs w:val="20"/>
              </w:rPr>
              <w:t>3</w:t>
            </w:r>
            <w:r w:rsidRPr="00686BBC">
              <w:rPr>
                <w:rFonts w:ascii="Times New Roman" w:hAnsi="Times New Roman"/>
                <w:sz w:val="20"/>
                <w:szCs w:val="20"/>
              </w:rPr>
              <w:t xml:space="preserve">. UNDP should take steps to reduce fragmentation across its climate change adaptation programming to more effectively achieve intended benefits at scale. </w:t>
            </w:r>
            <w:bookmarkEnd w:id="3"/>
          </w:p>
          <w:p w14:paraId="0E083B12" w14:textId="57473B46" w:rsidR="006F31B1" w:rsidRPr="00686BBC" w:rsidRDefault="005367A7" w:rsidP="004C3877">
            <w:pPr>
              <w:pStyle w:val="BodyText"/>
              <w:spacing w:before="60" w:after="60"/>
              <w:rPr>
                <w:sz w:val="20"/>
                <w:szCs w:val="20"/>
                <w:lang w:val="en-GB"/>
              </w:rPr>
            </w:pPr>
            <w:r w:rsidRPr="00686BBC">
              <w:rPr>
                <w:sz w:val="20"/>
                <w:szCs w:val="20"/>
                <w:lang w:val="en-GB"/>
              </w:rPr>
              <w:t xml:space="preserve">To address fragmentation and more effectively promote realization of intended benefits at scale, UNDP should look for opportunities to establish larger programmes that blend development and adaptation finance, working in concert with multiple partners. Regardless of the scale of finance it brings to bear, UNDP should increase attention to scalability in project selection and design and be more explicit in articulating how benefits will be realized beyond pilot project boundaries. UNDP should </w:t>
            </w:r>
            <w:r w:rsidR="006F31B1">
              <w:rPr>
                <w:sz w:val="20"/>
                <w:szCs w:val="20"/>
                <w:lang w:val="en-GB"/>
              </w:rPr>
              <w:t xml:space="preserve">also </w:t>
            </w:r>
            <w:r w:rsidRPr="00686BBC">
              <w:rPr>
                <w:sz w:val="20"/>
                <w:szCs w:val="20"/>
                <w:lang w:val="en-GB"/>
              </w:rPr>
              <w:t>seek to build on the success of its GEF international waters model, establishing more multi-phase projects working on the same geographic areas and sites, especially in cases where benefits can only be expected to become evident over longer time frames.</w:t>
            </w:r>
          </w:p>
        </w:tc>
      </w:tr>
      <w:tr w:rsidR="00D646A7" w:rsidRPr="00686BBC" w14:paraId="7908E67B" w14:textId="77777777" w:rsidTr="00D83B83">
        <w:trPr>
          <w:trHeight w:val="4203"/>
        </w:trPr>
        <w:tc>
          <w:tcPr>
            <w:tcW w:w="13045" w:type="dxa"/>
            <w:gridSpan w:val="5"/>
            <w:shd w:val="clear" w:color="auto" w:fill="F3F3F3"/>
          </w:tcPr>
          <w:p w14:paraId="57B1B666" w14:textId="546391F9" w:rsidR="00D646A7" w:rsidRPr="00686BBC" w:rsidRDefault="00D646A7" w:rsidP="00022939">
            <w:pPr>
              <w:tabs>
                <w:tab w:val="left" w:pos="2880"/>
              </w:tabs>
              <w:jc w:val="both"/>
              <w:rPr>
                <w:sz w:val="20"/>
                <w:szCs w:val="20"/>
                <w:lang w:val="en-GB"/>
              </w:rPr>
            </w:pPr>
            <w:r w:rsidRPr="00686BBC">
              <w:rPr>
                <w:b/>
                <w:sz w:val="20"/>
                <w:szCs w:val="20"/>
                <w:lang w:val="en-GB"/>
              </w:rPr>
              <w:t>Management response</w:t>
            </w:r>
            <w:r w:rsidR="00D83B83">
              <w:rPr>
                <w:b/>
                <w:sz w:val="20"/>
                <w:szCs w:val="20"/>
                <w:lang w:val="en-GB"/>
              </w:rPr>
              <w:t>:</w:t>
            </w:r>
          </w:p>
          <w:p w14:paraId="53BA1560" w14:textId="77777777" w:rsidR="00D646A7" w:rsidRPr="00D66C5F" w:rsidRDefault="00D646A7" w:rsidP="00022939">
            <w:pPr>
              <w:jc w:val="both"/>
              <w:rPr>
                <w:bCs/>
                <w:sz w:val="12"/>
                <w:szCs w:val="12"/>
                <w:lang w:val="en-GB"/>
              </w:rPr>
            </w:pPr>
          </w:p>
          <w:p w14:paraId="3F1D2339" w14:textId="074BEA04" w:rsidR="00B431B6" w:rsidRPr="00686BBC" w:rsidRDefault="00876B7C" w:rsidP="00F66BAA">
            <w:pPr>
              <w:jc w:val="both"/>
              <w:rPr>
                <w:sz w:val="20"/>
                <w:szCs w:val="20"/>
                <w:lang w:val="en-GB"/>
              </w:rPr>
            </w:pPr>
            <w:r w:rsidRPr="00686BBC">
              <w:rPr>
                <w:sz w:val="20"/>
                <w:szCs w:val="20"/>
                <w:lang w:val="en-GB"/>
              </w:rPr>
              <w:t xml:space="preserve">UNDP accepts the recommendation, noting </w:t>
            </w:r>
            <w:r w:rsidR="006F31B1">
              <w:rPr>
                <w:sz w:val="20"/>
                <w:szCs w:val="20"/>
                <w:lang w:val="en-GB"/>
              </w:rPr>
              <w:t xml:space="preserve">that </w:t>
            </w:r>
            <w:r w:rsidRPr="00686BBC">
              <w:rPr>
                <w:sz w:val="20"/>
                <w:szCs w:val="20"/>
                <w:lang w:val="en-GB"/>
              </w:rPr>
              <w:t xml:space="preserve">this shift is already in progress. </w:t>
            </w:r>
            <w:r w:rsidR="00B431B6" w:rsidRPr="00686BBC">
              <w:rPr>
                <w:sz w:val="20"/>
                <w:szCs w:val="20"/>
                <w:lang w:val="en-GB"/>
              </w:rPr>
              <w:t xml:space="preserve">The </w:t>
            </w:r>
            <w:r w:rsidR="006F31B1">
              <w:rPr>
                <w:sz w:val="20"/>
                <w:szCs w:val="20"/>
                <w:lang w:val="en-GB"/>
              </w:rPr>
              <w:t xml:space="preserve">UNDP </w:t>
            </w:r>
            <w:r w:rsidR="00B431B6" w:rsidRPr="00686BBC">
              <w:rPr>
                <w:sz w:val="20"/>
                <w:szCs w:val="20"/>
                <w:lang w:val="en-GB"/>
              </w:rPr>
              <w:t>adaptation portfolio is consolidated </w:t>
            </w:r>
            <w:r w:rsidR="2632E663" w:rsidRPr="00686BBC">
              <w:rPr>
                <w:sz w:val="20"/>
                <w:szCs w:val="20"/>
                <w:lang w:val="en-GB"/>
              </w:rPr>
              <w:t xml:space="preserve">under </w:t>
            </w:r>
            <w:r w:rsidR="00F66BAA" w:rsidRPr="00686BBC">
              <w:rPr>
                <w:sz w:val="20"/>
                <w:szCs w:val="20"/>
                <w:lang w:val="en-GB"/>
              </w:rPr>
              <w:t>its</w:t>
            </w:r>
            <w:r w:rsidR="2632E663" w:rsidRPr="00686BBC">
              <w:rPr>
                <w:sz w:val="20"/>
                <w:szCs w:val="20"/>
                <w:lang w:val="en-GB"/>
              </w:rPr>
              <w:t xml:space="preserve"> </w:t>
            </w:r>
            <w:r w:rsidR="6DA60799" w:rsidRPr="00686BBC">
              <w:rPr>
                <w:sz w:val="20"/>
                <w:szCs w:val="20"/>
                <w:lang w:val="en-GB"/>
              </w:rPr>
              <w:t>s</w:t>
            </w:r>
            <w:r w:rsidR="00B431B6" w:rsidRPr="00686BBC">
              <w:rPr>
                <w:sz w:val="20"/>
                <w:szCs w:val="20"/>
                <w:lang w:val="en-GB"/>
              </w:rPr>
              <w:t xml:space="preserve">pecific </w:t>
            </w:r>
            <w:hyperlink r:id="rId25" w:history="1">
              <w:r w:rsidR="00B431B6" w:rsidRPr="006F31B1">
                <w:rPr>
                  <w:rStyle w:val="Hyperlink"/>
                  <w:sz w:val="20"/>
                  <w:szCs w:val="20"/>
                  <w:lang w:val="en-GB"/>
                </w:rPr>
                <w:t>CCA offer</w:t>
              </w:r>
            </w:hyperlink>
            <w:r w:rsidR="00F66BAA" w:rsidRPr="00686BBC">
              <w:rPr>
                <w:sz w:val="20"/>
                <w:szCs w:val="20"/>
                <w:lang w:val="en-GB"/>
              </w:rPr>
              <w:t xml:space="preserve">.  </w:t>
            </w:r>
            <w:r w:rsidR="00B431B6" w:rsidRPr="00686BBC">
              <w:rPr>
                <w:sz w:val="20"/>
                <w:szCs w:val="20"/>
                <w:lang w:val="en-GB"/>
              </w:rPr>
              <w:t>The offer reflects the globally accepted definition and application of adaptation strategies and solutions across the key domains</w:t>
            </w:r>
            <w:r w:rsidR="006F31B1">
              <w:rPr>
                <w:sz w:val="20"/>
                <w:szCs w:val="20"/>
                <w:lang w:val="en-GB"/>
              </w:rPr>
              <w:t>,</w:t>
            </w:r>
            <w:r w:rsidR="00B431B6" w:rsidRPr="00686BBC">
              <w:rPr>
                <w:sz w:val="20"/>
                <w:szCs w:val="20"/>
                <w:lang w:val="en-GB"/>
              </w:rPr>
              <w:t xml:space="preserve"> </w:t>
            </w:r>
            <w:r w:rsidR="00041A82" w:rsidRPr="00686BBC">
              <w:rPr>
                <w:sz w:val="20"/>
                <w:szCs w:val="20"/>
                <w:lang w:val="en-GB"/>
              </w:rPr>
              <w:t xml:space="preserve">including </w:t>
            </w:r>
            <w:r w:rsidR="006F31B1">
              <w:rPr>
                <w:sz w:val="20"/>
                <w:szCs w:val="20"/>
                <w:lang w:val="en-GB"/>
              </w:rPr>
              <w:t>a</w:t>
            </w:r>
            <w:r w:rsidR="00B431B6" w:rsidRPr="00686BBC">
              <w:rPr>
                <w:sz w:val="20"/>
                <w:szCs w:val="20"/>
                <w:lang w:val="en-GB"/>
              </w:rPr>
              <w:t>griculture</w:t>
            </w:r>
            <w:r w:rsidR="006F31B1">
              <w:rPr>
                <w:sz w:val="20"/>
                <w:szCs w:val="20"/>
                <w:lang w:val="en-GB"/>
              </w:rPr>
              <w:t>/f</w:t>
            </w:r>
            <w:r w:rsidR="00B431B6" w:rsidRPr="00686BBC">
              <w:rPr>
                <w:sz w:val="20"/>
                <w:szCs w:val="20"/>
                <w:lang w:val="en-GB"/>
              </w:rPr>
              <w:t xml:space="preserve">ood, </w:t>
            </w:r>
            <w:r w:rsidR="006F31B1">
              <w:rPr>
                <w:sz w:val="20"/>
                <w:szCs w:val="20"/>
                <w:lang w:val="en-GB"/>
              </w:rPr>
              <w:t>w</w:t>
            </w:r>
            <w:r w:rsidR="00B431B6" w:rsidRPr="00686BBC">
              <w:rPr>
                <w:sz w:val="20"/>
                <w:szCs w:val="20"/>
                <w:lang w:val="en-GB"/>
              </w:rPr>
              <w:t xml:space="preserve">ater </w:t>
            </w:r>
            <w:r w:rsidR="006F31B1">
              <w:rPr>
                <w:sz w:val="20"/>
                <w:szCs w:val="20"/>
                <w:lang w:val="en-GB"/>
              </w:rPr>
              <w:t>r</w:t>
            </w:r>
            <w:r w:rsidR="00B431B6" w:rsidRPr="00686BBC">
              <w:rPr>
                <w:sz w:val="20"/>
                <w:szCs w:val="20"/>
                <w:lang w:val="en-GB"/>
              </w:rPr>
              <w:t xml:space="preserve">esource </w:t>
            </w:r>
            <w:r w:rsidR="006F31B1">
              <w:rPr>
                <w:sz w:val="20"/>
                <w:szCs w:val="20"/>
                <w:lang w:val="en-GB"/>
              </w:rPr>
              <w:t>m</w:t>
            </w:r>
            <w:r w:rsidR="00B431B6" w:rsidRPr="00686BBC">
              <w:rPr>
                <w:sz w:val="20"/>
                <w:szCs w:val="20"/>
                <w:lang w:val="en-GB"/>
              </w:rPr>
              <w:t xml:space="preserve">anagement, </w:t>
            </w:r>
            <w:r w:rsidR="006F31B1">
              <w:rPr>
                <w:sz w:val="20"/>
                <w:szCs w:val="20"/>
                <w:lang w:val="en-GB"/>
              </w:rPr>
              <w:t>c</w:t>
            </w:r>
            <w:r w:rsidR="00B431B6" w:rsidRPr="00686BBC">
              <w:rPr>
                <w:sz w:val="20"/>
                <w:szCs w:val="20"/>
                <w:lang w:val="en-GB"/>
              </w:rPr>
              <w:t xml:space="preserve">oastal resilience, </w:t>
            </w:r>
            <w:r w:rsidR="006F31B1">
              <w:rPr>
                <w:sz w:val="20"/>
                <w:szCs w:val="20"/>
                <w:lang w:val="en-GB"/>
              </w:rPr>
              <w:t>e</w:t>
            </w:r>
            <w:r w:rsidR="00B431B6" w:rsidRPr="00686BBC">
              <w:rPr>
                <w:sz w:val="20"/>
                <w:szCs w:val="20"/>
                <w:lang w:val="en-GB"/>
              </w:rPr>
              <w:t>cosystem-</w:t>
            </w:r>
            <w:r w:rsidR="006F31B1">
              <w:rPr>
                <w:sz w:val="20"/>
                <w:szCs w:val="20"/>
                <w:lang w:val="en-GB"/>
              </w:rPr>
              <w:t>b</w:t>
            </w:r>
            <w:r w:rsidR="00B431B6" w:rsidRPr="00686BBC">
              <w:rPr>
                <w:sz w:val="20"/>
                <w:szCs w:val="20"/>
                <w:lang w:val="en-GB"/>
              </w:rPr>
              <w:t xml:space="preserve">ased </w:t>
            </w:r>
            <w:r w:rsidR="006F31B1">
              <w:rPr>
                <w:sz w:val="20"/>
                <w:szCs w:val="20"/>
                <w:lang w:val="en-GB"/>
              </w:rPr>
              <w:t>a</w:t>
            </w:r>
            <w:r w:rsidR="00B431B6" w:rsidRPr="00686BBC">
              <w:rPr>
                <w:sz w:val="20"/>
                <w:szCs w:val="20"/>
                <w:lang w:val="en-GB"/>
              </w:rPr>
              <w:t xml:space="preserve">daptation, and </w:t>
            </w:r>
            <w:r w:rsidR="006F31B1">
              <w:rPr>
                <w:sz w:val="20"/>
                <w:szCs w:val="20"/>
                <w:lang w:val="en-GB"/>
              </w:rPr>
              <w:t>c</w:t>
            </w:r>
            <w:r w:rsidR="00B431B6" w:rsidRPr="00686BBC">
              <w:rPr>
                <w:sz w:val="20"/>
                <w:szCs w:val="20"/>
                <w:lang w:val="en-GB"/>
              </w:rPr>
              <w:t xml:space="preserve">limate </w:t>
            </w:r>
            <w:r w:rsidR="006F31B1">
              <w:rPr>
                <w:sz w:val="20"/>
                <w:szCs w:val="20"/>
                <w:lang w:val="en-GB"/>
              </w:rPr>
              <w:t>i</w:t>
            </w:r>
            <w:r w:rsidR="00B431B6" w:rsidRPr="00686BBC">
              <w:rPr>
                <w:sz w:val="20"/>
                <w:szCs w:val="20"/>
                <w:lang w:val="en-GB"/>
              </w:rPr>
              <w:t>nformation/</w:t>
            </w:r>
            <w:r w:rsidR="006F31B1">
              <w:rPr>
                <w:sz w:val="20"/>
                <w:szCs w:val="20"/>
                <w:lang w:val="en-GB"/>
              </w:rPr>
              <w:t>e</w:t>
            </w:r>
            <w:r w:rsidR="00B431B6" w:rsidRPr="00686BBC">
              <w:rPr>
                <w:sz w:val="20"/>
                <w:szCs w:val="20"/>
                <w:lang w:val="en-GB"/>
              </w:rPr>
              <w:t xml:space="preserve">arly </w:t>
            </w:r>
            <w:r w:rsidR="006F31B1">
              <w:rPr>
                <w:sz w:val="20"/>
                <w:szCs w:val="20"/>
                <w:lang w:val="en-GB"/>
              </w:rPr>
              <w:t>w</w:t>
            </w:r>
            <w:r w:rsidR="00B431B6" w:rsidRPr="00686BBC">
              <w:rPr>
                <w:sz w:val="20"/>
                <w:szCs w:val="20"/>
                <w:lang w:val="en-GB"/>
              </w:rPr>
              <w:t xml:space="preserve">arning. Emergent domains include </w:t>
            </w:r>
            <w:r w:rsidR="006F31B1">
              <w:rPr>
                <w:sz w:val="20"/>
                <w:szCs w:val="20"/>
                <w:lang w:val="en-GB"/>
              </w:rPr>
              <w:t>u</w:t>
            </w:r>
            <w:r w:rsidR="00B431B6" w:rsidRPr="00686BBC">
              <w:rPr>
                <w:sz w:val="20"/>
                <w:szCs w:val="20"/>
                <w:lang w:val="en-GB"/>
              </w:rPr>
              <w:t xml:space="preserve">rban </w:t>
            </w:r>
            <w:r w:rsidR="006F31B1">
              <w:rPr>
                <w:sz w:val="20"/>
                <w:szCs w:val="20"/>
                <w:lang w:val="en-GB"/>
              </w:rPr>
              <w:t>r</w:t>
            </w:r>
            <w:r w:rsidR="00B431B6" w:rsidRPr="00686BBC">
              <w:rPr>
                <w:sz w:val="20"/>
                <w:szCs w:val="20"/>
                <w:lang w:val="en-GB"/>
              </w:rPr>
              <w:t xml:space="preserve">esilience, </w:t>
            </w:r>
            <w:r w:rsidR="006F31B1">
              <w:rPr>
                <w:sz w:val="20"/>
                <w:szCs w:val="20"/>
                <w:lang w:val="en-GB"/>
              </w:rPr>
              <w:t>r</w:t>
            </w:r>
            <w:r w:rsidR="00B431B6" w:rsidRPr="00686BBC">
              <w:rPr>
                <w:sz w:val="20"/>
                <w:szCs w:val="20"/>
                <w:lang w:val="en-GB"/>
              </w:rPr>
              <w:t xml:space="preserve">esilient </w:t>
            </w:r>
            <w:r w:rsidR="006F31B1">
              <w:rPr>
                <w:sz w:val="20"/>
                <w:szCs w:val="20"/>
                <w:lang w:val="en-GB"/>
              </w:rPr>
              <w:t>i</w:t>
            </w:r>
            <w:r w:rsidR="00B431B6" w:rsidRPr="00686BBC">
              <w:rPr>
                <w:sz w:val="20"/>
                <w:szCs w:val="20"/>
                <w:lang w:val="en-GB"/>
              </w:rPr>
              <w:t xml:space="preserve">nfrastructure, </w:t>
            </w:r>
            <w:r w:rsidR="006F31B1">
              <w:rPr>
                <w:sz w:val="20"/>
                <w:szCs w:val="20"/>
                <w:lang w:val="en-GB"/>
              </w:rPr>
              <w:t>h</w:t>
            </w:r>
            <w:r w:rsidR="00B431B6" w:rsidRPr="00686BBC">
              <w:rPr>
                <w:sz w:val="20"/>
                <w:szCs w:val="20"/>
                <w:lang w:val="en-GB"/>
              </w:rPr>
              <w:t xml:space="preserve">ealth, and </w:t>
            </w:r>
            <w:r w:rsidR="006F31B1">
              <w:rPr>
                <w:sz w:val="20"/>
                <w:szCs w:val="20"/>
                <w:lang w:val="en-GB"/>
              </w:rPr>
              <w:t>c</w:t>
            </w:r>
            <w:r w:rsidR="00B431B6" w:rsidRPr="00686BBC">
              <w:rPr>
                <w:sz w:val="20"/>
                <w:szCs w:val="20"/>
                <w:lang w:val="en-GB"/>
              </w:rPr>
              <w:t xml:space="preserve">limate </w:t>
            </w:r>
            <w:r w:rsidR="006F31B1">
              <w:rPr>
                <w:sz w:val="20"/>
                <w:szCs w:val="20"/>
                <w:lang w:val="en-GB"/>
              </w:rPr>
              <w:t>s</w:t>
            </w:r>
            <w:r w:rsidR="00B431B6" w:rsidRPr="00686BBC">
              <w:rPr>
                <w:sz w:val="20"/>
                <w:szCs w:val="20"/>
                <w:lang w:val="en-GB"/>
              </w:rPr>
              <w:t>ecurity.</w:t>
            </w:r>
            <w:r w:rsidR="1B9D2BD4" w:rsidRPr="00686BBC">
              <w:rPr>
                <w:sz w:val="20"/>
                <w:szCs w:val="20"/>
                <w:lang w:val="en-GB"/>
              </w:rPr>
              <w:t xml:space="preserve"> </w:t>
            </w:r>
            <w:r w:rsidR="00B431B6" w:rsidRPr="00686BBC">
              <w:rPr>
                <w:sz w:val="20"/>
                <w:szCs w:val="20"/>
                <w:lang w:val="en-GB"/>
              </w:rPr>
              <w:t xml:space="preserve">Moreover, UNDP domain expertise across adaptation is strong and has </w:t>
            </w:r>
            <w:r w:rsidR="006F31B1">
              <w:rPr>
                <w:sz w:val="20"/>
                <w:szCs w:val="20"/>
                <w:lang w:val="en-GB"/>
              </w:rPr>
              <w:t xml:space="preserve">not only </w:t>
            </w:r>
            <w:r w:rsidR="00B431B6" w:rsidRPr="00686BBC">
              <w:rPr>
                <w:sz w:val="20"/>
                <w:szCs w:val="20"/>
                <w:lang w:val="en-GB"/>
              </w:rPr>
              <w:t>a track record of success in programming</w:t>
            </w:r>
            <w:r w:rsidR="00041A82" w:rsidRPr="00686BBC">
              <w:rPr>
                <w:sz w:val="20"/>
                <w:szCs w:val="20"/>
                <w:lang w:val="en-GB"/>
              </w:rPr>
              <w:t xml:space="preserve"> (combined resources, including co-financing, of about </w:t>
            </w:r>
            <w:r w:rsidR="006F31B1">
              <w:rPr>
                <w:sz w:val="20"/>
                <w:szCs w:val="20"/>
                <w:lang w:val="en-GB"/>
              </w:rPr>
              <w:t>$</w:t>
            </w:r>
            <w:r w:rsidR="00041A82" w:rsidRPr="00686BBC">
              <w:rPr>
                <w:sz w:val="20"/>
                <w:szCs w:val="20"/>
                <w:lang w:val="en-GB"/>
              </w:rPr>
              <w:t>4 billion mobilized, supporting over 90 countries)</w:t>
            </w:r>
            <w:r w:rsidR="00B431B6" w:rsidRPr="00686BBC">
              <w:rPr>
                <w:sz w:val="20"/>
                <w:szCs w:val="20"/>
                <w:lang w:val="en-GB"/>
              </w:rPr>
              <w:t xml:space="preserve"> but </w:t>
            </w:r>
            <w:r w:rsidR="006F31B1">
              <w:rPr>
                <w:sz w:val="20"/>
                <w:szCs w:val="20"/>
                <w:lang w:val="en-GB"/>
              </w:rPr>
              <w:t xml:space="preserve">also a </w:t>
            </w:r>
            <w:r w:rsidR="00B431B6" w:rsidRPr="00686BBC">
              <w:rPr>
                <w:sz w:val="20"/>
                <w:szCs w:val="20"/>
                <w:lang w:val="en-GB"/>
              </w:rPr>
              <w:t xml:space="preserve">reputation </w:t>
            </w:r>
            <w:r w:rsidR="006F31B1">
              <w:rPr>
                <w:sz w:val="20"/>
                <w:szCs w:val="20"/>
                <w:lang w:val="en-GB"/>
              </w:rPr>
              <w:t xml:space="preserve">as </w:t>
            </w:r>
            <w:r w:rsidR="00B431B6" w:rsidRPr="00686BBC">
              <w:rPr>
                <w:sz w:val="20"/>
                <w:szCs w:val="20"/>
                <w:lang w:val="en-GB"/>
              </w:rPr>
              <w:t xml:space="preserve">thought leader </w:t>
            </w:r>
            <w:r w:rsidR="006F31B1">
              <w:rPr>
                <w:sz w:val="20"/>
                <w:szCs w:val="20"/>
                <w:lang w:val="en-GB"/>
              </w:rPr>
              <w:t xml:space="preserve">on </w:t>
            </w:r>
            <w:r w:rsidR="00B431B6" w:rsidRPr="00686BBC">
              <w:rPr>
                <w:sz w:val="20"/>
                <w:szCs w:val="20"/>
                <w:lang w:val="en-GB"/>
              </w:rPr>
              <w:t xml:space="preserve">the global stage. </w:t>
            </w:r>
          </w:p>
          <w:p w14:paraId="3C6A94B6" w14:textId="04D0B932" w:rsidR="00B431B6" w:rsidRPr="00D66C5F" w:rsidRDefault="00B431B6" w:rsidP="00F66BAA">
            <w:pPr>
              <w:jc w:val="both"/>
              <w:rPr>
                <w:sz w:val="12"/>
                <w:szCs w:val="12"/>
                <w:lang w:val="en-GB"/>
              </w:rPr>
            </w:pPr>
          </w:p>
          <w:p w14:paraId="0AD6817E" w14:textId="7FA6A6A1" w:rsidR="00D4547E" w:rsidRPr="00686BBC" w:rsidRDefault="00A426E4" w:rsidP="00F66BAA">
            <w:pPr>
              <w:jc w:val="both"/>
              <w:rPr>
                <w:sz w:val="20"/>
                <w:szCs w:val="20"/>
                <w:lang w:val="en-GB"/>
              </w:rPr>
            </w:pPr>
            <w:r w:rsidRPr="00686BBC">
              <w:rPr>
                <w:sz w:val="20"/>
                <w:szCs w:val="20"/>
                <w:lang w:val="en-GB"/>
              </w:rPr>
              <w:t xml:space="preserve">Adaptation finance, under the UNFCCC mechanism, as well as that </w:t>
            </w:r>
            <w:r w:rsidR="009D3B78" w:rsidRPr="00686BBC">
              <w:rPr>
                <w:sz w:val="20"/>
                <w:szCs w:val="20"/>
                <w:lang w:val="en-GB"/>
              </w:rPr>
              <w:t>channe</w:t>
            </w:r>
            <w:r w:rsidR="006F31B1">
              <w:rPr>
                <w:sz w:val="20"/>
                <w:szCs w:val="20"/>
                <w:lang w:val="en-GB"/>
              </w:rPr>
              <w:t>l</w:t>
            </w:r>
            <w:r w:rsidR="009D3B78" w:rsidRPr="00686BBC">
              <w:rPr>
                <w:sz w:val="20"/>
                <w:szCs w:val="20"/>
                <w:lang w:val="en-GB"/>
              </w:rPr>
              <w:t>led</w:t>
            </w:r>
            <w:r w:rsidRPr="00686BBC">
              <w:rPr>
                <w:sz w:val="20"/>
                <w:szCs w:val="20"/>
                <w:lang w:val="en-GB"/>
              </w:rPr>
              <w:t xml:space="preserve"> through bilateral </w:t>
            </w:r>
            <w:r w:rsidR="00F66BAA" w:rsidRPr="00686BBC">
              <w:rPr>
                <w:sz w:val="20"/>
                <w:szCs w:val="20"/>
                <w:lang w:val="en-GB"/>
              </w:rPr>
              <w:t>donors</w:t>
            </w:r>
            <w:r w:rsidR="006F31B1">
              <w:rPr>
                <w:sz w:val="20"/>
                <w:szCs w:val="20"/>
                <w:lang w:val="en-GB"/>
              </w:rPr>
              <w:t>,</w:t>
            </w:r>
            <w:r w:rsidR="00F66BAA" w:rsidRPr="00686BBC">
              <w:rPr>
                <w:sz w:val="20"/>
                <w:szCs w:val="20"/>
                <w:lang w:val="en-GB"/>
              </w:rPr>
              <w:t xml:space="preserve"> </w:t>
            </w:r>
            <w:r w:rsidRPr="00686BBC">
              <w:rPr>
                <w:sz w:val="20"/>
                <w:szCs w:val="20"/>
                <w:lang w:val="en-GB"/>
              </w:rPr>
              <w:t xml:space="preserve">is </w:t>
            </w:r>
            <w:r w:rsidR="4523A9FC" w:rsidRPr="00686BBC">
              <w:rPr>
                <w:sz w:val="20"/>
                <w:szCs w:val="20"/>
                <w:lang w:val="en-GB"/>
              </w:rPr>
              <w:t>primarily</w:t>
            </w:r>
            <w:r w:rsidRPr="00686BBC">
              <w:rPr>
                <w:sz w:val="20"/>
                <w:szCs w:val="20"/>
                <w:lang w:val="en-GB"/>
              </w:rPr>
              <w:t xml:space="preserve"> project-bound. </w:t>
            </w:r>
            <w:r w:rsidR="004E4C2B" w:rsidRPr="00686BBC">
              <w:rPr>
                <w:sz w:val="20"/>
                <w:szCs w:val="20"/>
                <w:lang w:val="en-GB"/>
              </w:rPr>
              <w:t>O</w:t>
            </w:r>
            <w:r w:rsidR="00D57D0C" w:rsidRPr="00686BBC">
              <w:rPr>
                <w:sz w:val="20"/>
                <w:szCs w:val="20"/>
                <w:lang w:val="en-GB"/>
              </w:rPr>
              <w:t xml:space="preserve">ver the last few years, with adaptation finance and related mandates maturing towards scale, </w:t>
            </w:r>
            <w:r w:rsidR="006F31B1">
              <w:rPr>
                <w:sz w:val="20"/>
                <w:szCs w:val="20"/>
                <w:lang w:val="en-GB"/>
              </w:rPr>
              <w:t xml:space="preserve">the </w:t>
            </w:r>
            <w:r w:rsidR="00D57D0C" w:rsidRPr="00686BBC">
              <w:rPr>
                <w:sz w:val="20"/>
                <w:szCs w:val="20"/>
                <w:lang w:val="en-GB"/>
              </w:rPr>
              <w:t>UNDP adaptation offer has evolved to support transformative, high</w:t>
            </w:r>
            <w:r w:rsidR="006F31B1">
              <w:rPr>
                <w:sz w:val="20"/>
                <w:szCs w:val="20"/>
                <w:lang w:val="en-GB"/>
              </w:rPr>
              <w:t>-</w:t>
            </w:r>
            <w:r w:rsidR="00D57D0C" w:rsidRPr="00686BBC">
              <w:rPr>
                <w:sz w:val="20"/>
                <w:szCs w:val="20"/>
                <w:lang w:val="en-GB"/>
              </w:rPr>
              <w:t xml:space="preserve">impact, at-scale programming by countries and communities. Since 2015, there has been a deepening of </w:t>
            </w:r>
            <w:r w:rsidR="006F31B1">
              <w:rPr>
                <w:sz w:val="20"/>
                <w:szCs w:val="20"/>
                <w:lang w:val="en-GB"/>
              </w:rPr>
              <w:t xml:space="preserve">the </w:t>
            </w:r>
            <w:r w:rsidR="00D57D0C" w:rsidRPr="00686BBC">
              <w:rPr>
                <w:sz w:val="20"/>
                <w:szCs w:val="20"/>
                <w:lang w:val="en-GB"/>
              </w:rPr>
              <w:t>adaptation portfolio</w:t>
            </w:r>
            <w:r w:rsidR="006F31B1">
              <w:rPr>
                <w:sz w:val="20"/>
                <w:szCs w:val="20"/>
                <w:lang w:val="en-GB"/>
              </w:rPr>
              <w:t>’s</w:t>
            </w:r>
            <w:r w:rsidR="00D57D0C" w:rsidRPr="00686BBC">
              <w:rPr>
                <w:sz w:val="20"/>
                <w:szCs w:val="20"/>
                <w:lang w:val="en-GB"/>
              </w:rPr>
              <w:t xml:space="preserve"> scope, scale up/replication, paradigm shift and transformation. UNDP is increasingly building on pilot</w:t>
            </w:r>
            <w:r w:rsidR="006F31B1">
              <w:rPr>
                <w:sz w:val="20"/>
                <w:szCs w:val="20"/>
                <w:lang w:val="en-GB"/>
              </w:rPr>
              <w:t xml:space="preserve"> </w:t>
            </w:r>
            <w:r w:rsidR="00D57D0C" w:rsidRPr="00686BBC">
              <w:rPr>
                <w:sz w:val="20"/>
                <w:szCs w:val="20"/>
                <w:lang w:val="en-GB"/>
              </w:rPr>
              <w:t xml:space="preserve">projects that laid out foundational capacities and generated </w:t>
            </w:r>
            <w:r w:rsidR="006F31B1">
              <w:rPr>
                <w:sz w:val="20"/>
                <w:szCs w:val="20"/>
                <w:lang w:val="en-GB"/>
              </w:rPr>
              <w:t xml:space="preserve">an </w:t>
            </w:r>
            <w:r w:rsidR="00D57D0C" w:rsidRPr="00686BBC">
              <w:rPr>
                <w:sz w:val="20"/>
                <w:szCs w:val="20"/>
                <w:lang w:val="en-GB"/>
              </w:rPr>
              <w:t xml:space="preserve">evidence base for further replication and upscale (through </w:t>
            </w:r>
            <w:r w:rsidR="006F31B1">
              <w:rPr>
                <w:sz w:val="20"/>
                <w:szCs w:val="20"/>
                <w:lang w:val="en-GB"/>
              </w:rPr>
              <w:t>GCF</w:t>
            </w:r>
            <w:r w:rsidR="00D57D0C" w:rsidRPr="00686BBC">
              <w:rPr>
                <w:sz w:val="20"/>
                <w:szCs w:val="20"/>
                <w:lang w:val="en-GB"/>
              </w:rPr>
              <w:t xml:space="preserve"> and leveraged finance). </w:t>
            </w:r>
          </w:p>
          <w:p w14:paraId="44671225" w14:textId="77777777" w:rsidR="00D4547E" w:rsidRPr="00D66C5F" w:rsidRDefault="00D4547E" w:rsidP="00F66BAA">
            <w:pPr>
              <w:jc w:val="both"/>
              <w:rPr>
                <w:sz w:val="12"/>
                <w:szCs w:val="12"/>
                <w:lang w:val="en-GB"/>
              </w:rPr>
            </w:pPr>
          </w:p>
          <w:p w14:paraId="57AF3ECB" w14:textId="3BC67A59" w:rsidR="006F31B1" w:rsidRPr="00D66C5F" w:rsidRDefault="001D6401" w:rsidP="00FA37AB">
            <w:pPr>
              <w:jc w:val="both"/>
              <w:rPr>
                <w:sz w:val="20"/>
                <w:szCs w:val="20"/>
                <w:lang w:val="en-GB"/>
              </w:rPr>
            </w:pPr>
            <w:r w:rsidRPr="00686BBC">
              <w:rPr>
                <w:sz w:val="20"/>
                <w:szCs w:val="20"/>
                <w:lang w:val="en-GB"/>
              </w:rPr>
              <w:t>UNDP has partnerships across the U</w:t>
            </w:r>
            <w:r w:rsidR="006F31B1">
              <w:rPr>
                <w:sz w:val="20"/>
                <w:szCs w:val="20"/>
                <w:lang w:val="en-GB"/>
              </w:rPr>
              <w:t xml:space="preserve">nited </w:t>
            </w:r>
            <w:r w:rsidRPr="00686BBC">
              <w:rPr>
                <w:sz w:val="20"/>
                <w:szCs w:val="20"/>
                <w:lang w:val="en-GB"/>
              </w:rPr>
              <w:t>N</w:t>
            </w:r>
            <w:r w:rsidR="006F31B1">
              <w:rPr>
                <w:sz w:val="20"/>
                <w:szCs w:val="20"/>
                <w:lang w:val="en-GB"/>
              </w:rPr>
              <w:t>ations</w:t>
            </w:r>
            <w:r w:rsidRPr="00686BBC">
              <w:rPr>
                <w:sz w:val="20"/>
                <w:szCs w:val="20"/>
                <w:lang w:val="en-GB"/>
              </w:rPr>
              <w:t xml:space="preserve"> system and </w:t>
            </w:r>
            <w:r w:rsidR="006F31B1">
              <w:rPr>
                <w:sz w:val="20"/>
                <w:szCs w:val="20"/>
                <w:lang w:val="en-GB"/>
              </w:rPr>
              <w:t xml:space="preserve">with multilateral development banks </w:t>
            </w:r>
            <w:r w:rsidR="00EB5376" w:rsidRPr="00686BBC">
              <w:rPr>
                <w:sz w:val="20"/>
                <w:szCs w:val="20"/>
                <w:lang w:val="en-GB"/>
              </w:rPr>
              <w:t xml:space="preserve">and is working together with </w:t>
            </w:r>
            <w:r w:rsidR="006F31B1">
              <w:rPr>
                <w:sz w:val="20"/>
                <w:szCs w:val="20"/>
                <w:lang w:val="en-GB"/>
              </w:rPr>
              <w:t xml:space="preserve">them </w:t>
            </w:r>
            <w:r w:rsidR="00EB5376" w:rsidRPr="00686BBC">
              <w:rPr>
                <w:sz w:val="20"/>
                <w:szCs w:val="20"/>
                <w:lang w:val="en-GB"/>
              </w:rPr>
              <w:t>to</w:t>
            </w:r>
            <w:r w:rsidRPr="00686BBC">
              <w:rPr>
                <w:sz w:val="20"/>
                <w:szCs w:val="20"/>
                <w:lang w:val="en-GB"/>
              </w:rPr>
              <w:t xml:space="preserve"> advanc</w:t>
            </w:r>
            <w:r w:rsidR="00EB5376" w:rsidRPr="00686BBC">
              <w:rPr>
                <w:sz w:val="20"/>
                <w:szCs w:val="20"/>
                <w:lang w:val="en-GB"/>
              </w:rPr>
              <w:t>e</w:t>
            </w:r>
            <w:r w:rsidRPr="00686BBC">
              <w:rPr>
                <w:sz w:val="20"/>
                <w:szCs w:val="20"/>
                <w:lang w:val="en-GB"/>
              </w:rPr>
              <w:t xml:space="preserve"> adaptation action, exemplified by joint programming with </w:t>
            </w:r>
            <w:r w:rsidR="006F31B1">
              <w:rPr>
                <w:sz w:val="20"/>
                <w:szCs w:val="20"/>
                <w:lang w:val="en-GB"/>
              </w:rPr>
              <w:t xml:space="preserve">ADB, EIB, </w:t>
            </w:r>
            <w:r w:rsidRPr="00686BBC">
              <w:rPr>
                <w:sz w:val="20"/>
                <w:szCs w:val="20"/>
                <w:lang w:val="en-GB"/>
              </w:rPr>
              <w:t xml:space="preserve">FAO, </w:t>
            </w:r>
            <w:r w:rsidR="006F31B1">
              <w:rPr>
                <w:sz w:val="20"/>
                <w:szCs w:val="20"/>
                <w:lang w:val="en-GB"/>
              </w:rPr>
              <w:t xml:space="preserve">UNEP, </w:t>
            </w:r>
            <w:r w:rsidRPr="00686BBC">
              <w:rPr>
                <w:sz w:val="20"/>
                <w:szCs w:val="20"/>
                <w:lang w:val="en-GB"/>
              </w:rPr>
              <w:t xml:space="preserve">UNICEF, WFP, </w:t>
            </w:r>
            <w:r w:rsidR="006F31B1">
              <w:rPr>
                <w:sz w:val="20"/>
                <w:szCs w:val="20"/>
                <w:lang w:val="en-GB"/>
              </w:rPr>
              <w:t xml:space="preserve">and the </w:t>
            </w:r>
            <w:r w:rsidRPr="00686BBC">
              <w:rPr>
                <w:sz w:val="20"/>
                <w:szCs w:val="20"/>
                <w:lang w:val="en-GB"/>
              </w:rPr>
              <w:t>World Bank, among others</w:t>
            </w:r>
            <w:r w:rsidR="00EB5376" w:rsidRPr="00686BBC">
              <w:rPr>
                <w:sz w:val="20"/>
                <w:szCs w:val="20"/>
                <w:lang w:val="en-GB"/>
              </w:rPr>
              <w:t>.</w:t>
            </w:r>
            <w:r w:rsidRPr="00686BBC">
              <w:rPr>
                <w:sz w:val="20"/>
                <w:szCs w:val="20"/>
                <w:lang w:val="en-GB"/>
              </w:rPr>
              <w:t xml:space="preserve"> </w:t>
            </w:r>
            <w:r w:rsidR="00853623" w:rsidRPr="00686BBC">
              <w:rPr>
                <w:sz w:val="20"/>
                <w:szCs w:val="20"/>
                <w:lang w:val="en-GB"/>
              </w:rPr>
              <w:t xml:space="preserve">Furthermore, </w:t>
            </w:r>
            <w:r w:rsidR="00D4547E" w:rsidRPr="00686BBC">
              <w:rPr>
                <w:sz w:val="20"/>
                <w:szCs w:val="20"/>
                <w:lang w:val="en-GB"/>
              </w:rPr>
              <w:t xml:space="preserve">UNDP is exploring regional and programmatic approaches to adaptation, in collaboration with a variety of partners, with strong emphasis on integrated approaches to deliver on </w:t>
            </w:r>
            <w:r w:rsidR="006F31B1">
              <w:rPr>
                <w:sz w:val="20"/>
                <w:szCs w:val="20"/>
                <w:lang w:val="en-GB"/>
              </w:rPr>
              <w:t xml:space="preserve">the Sustainable Development Goals </w:t>
            </w:r>
            <w:r w:rsidR="00D4547E" w:rsidRPr="00686BBC">
              <w:rPr>
                <w:sz w:val="20"/>
                <w:szCs w:val="20"/>
                <w:lang w:val="en-GB"/>
              </w:rPr>
              <w:t xml:space="preserve">through adaptation action. </w:t>
            </w:r>
          </w:p>
        </w:tc>
      </w:tr>
      <w:tr w:rsidR="00D646A7" w:rsidRPr="00686BBC" w14:paraId="4CB7BFBF" w14:textId="77777777" w:rsidTr="004C3877">
        <w:trPr>
          <w:trHeight w:val="315"/>
        </w:trPr>
        <w:tc>
          <w:tcPr>
            <w:tcW w:w="5034" w:type="dxa"/>
            <w:shd w:val="clear" w:color="auto" w:fill="auto"/>
          </w:tcPr>
          <w:p w14:paraId="6CE969DC" w14:textId="0875B1DA" w:rsidR="00C42515" w:rsidRPr="00686BBC" w:rsidRDefault="004C6631" w:rsidP="00FA37AB">
            <w:pPr>
              <w:pStyle w:val="Normal0"/>
              <w:tabs>
                <w:tab w:val="left" w:pos="4740"/>
              </w:tabs>
              <w:spacing w:before="0" w:after="0" w:line="240" w:lineRule="auto"/>
              <w:contextualSpacing/>
            </w:pPr>
            <w:r>
              <w:t>3.1</w:t>
            </w:r>
            <w:r w:rsidR="00EC6899" w:rsidRPr="00686BBC">
              <w:t xml:space="preserve"> </w:t>
            </w:r>
            <w:r w:rsidR="00A426E4" w:rsidRPr="00686BBC">
              <w:t>Develop regional and programmatic approaches for integated solutions</w:t>
            </w:r>
            <w:r w:rsidR="00035891" w:rsidRPr="00686BBC">
              <w:t xml:space="preserve"> o</w:t>
            </w:r>
            <w:r w:rsidR="00CF469A" w:rsidRPr="00686BBC">
              <w:t>n adaptation</w:t>
            </w:r>
          </w:p>
        </w:tc>
        <w:tc>
          <w:tcPr>
            <w:tcW w:w="1885" w:type="dxa"/>
            <w:shd w:val="clear" w:color="auto" w:fill="auto"/>
          </w:tcPr>
          <w:p w14:paraId="518F182E" w14:textId="7D008E4F" w:rsidR="00D646A7" w:rsidRPr="00686BBC" w:rsidRDefault="00035891" w:rsidP="00022939">
            <w:pPr>
              <w:pStyle w:val="Normal0"/>
              <w:tabs>
                <w:tab w:val="left" w:pos="1668"/>
              </w:tabs>
              <w:spacing w:before="0" w:after="0" w:line="240" w:lineRule="auto"/>
              <w:contextualSpacing/>
            </w:pPr>
            <w:r w:rsidRPr="00686BBC">
              <w:t>Q4 2022</w:t>
            </w:r>
          </w:p>
        </w:tc>
        <w:tc>
          <w:tcPr>
            <w:tcW w:w="1621" w:type="dxa"/>
            <w:shd w:val="clear" w:color="auto" w:fill="auto"/>
          </w:tcPr>
          <w:p w14:paraId="799F6EE7" w14:textId="5D8F3BB6" w:rsidR="00D646A7" w:rsidRPr="00686BBC" w:rsidRDefault="00377274" w:rsidP="00022939">
            <w:pPr>
              <w:pStyle w:val="Normal0"/>
              <w:tabs>
                <w:tab w:val="left" w:pos="2880"/>
              </w:tabs>
              <w:spacing w:before="0" w:after="0" w:line="240" w:lineRule="auto"/>
              <w:contextualSpacing/>
              <w:jc w:val="left"/>
            </w:pPr>
            <w:r w:rsidRPr="00686BBC">
              <w:t>BPPS</w:t>
            </w:r>
          </w:p>
        </w:tc>
        <w:tc>
          <w:tcPr>
            <w:tcW w:w="1170" w:type="dxa"/>
            <w:shd w:val="clear" w:color="auto" w:fill="auto"/>
          </w:tcPr>
          <w:p w14:paraId="746E9E15" w14:textId="77777777" w:rsidR="00D646A7" w:rsidRPr="00686BBC" w:rsidRDefault="00D646A7" w:rsidP="00022939">
            <w:pPr>
              <w:pStyle w:val="Normal0"/>
              <w:tabs>
                <w:tab w:val="left" w:pos="1236"/>
              </w:tabs>
              <w:spacing w:before="0" w:after="0" w:line="240" w:lineRule="auto"/>
              <w:contextualSpacing/>
            </w:pPr>
          </w:p>
        </w:tc>
        <w:tc>
          <w:tcPr>
            <w:tcW w:w="3335" w:type="dxa"/>
            <w:shd w:val="clear" w:color="auto" w:fill="auto"/>
          </w:tcPr>
          <w:p w14:paraId="52B389BB" w14:textId="77777777" w:rsidR="00D646A7" w:rsidRPr="00686BBC" w:rsidRDefault="00D646A7" w:rsidP="00022939">
            <w:pPr>
              <w:contextualSpacing/>
              <w:rPr>
                <w:rFonts w:eastAsia="Calibri"/>
                <w:noProof/>
                <w:spacing w:val="4"/>
                <w:w w:val="103"/>
                <w:kern w:val="14"/>
                <w:sz w:val="20"/>
                <w:szCs w:val="20"/>
                <w:lang w:val="en-GB"/>
              </w:rPr>
            </w:pPr>
          </w:p>
        </w:tc>
      </w:tr>
      <w:tr w:rsidR="00D646A7" w:rsidRPr="00686BBC" w14:paraId="57AF372F" w14:textId="77777777" w:rsidTr="004C3877">
        <w:trPr>
          <w:trHeight w:val="576"/>
        </w:trPr>
        <w:tc>
          <w:tcPr>
            <w:tcW w:w="5034" w:type="dxa"/>
            <w:shd w:val="clear" w:color="auto" w:fill="auto"/>
          </w:tcPr>
          <w:p w14:paraId="4043E30B" w14:textId="0A4B1C40" w:rsidR="00D646A7" w:rsidRPr="00686BBC" w:rsidRDefault="004C6631" w:rsidP="00FA37AB">
            <w:pPr>
              <w:pStyle w:val="Normal0"/>
              <w:tabs>
                <w:tab w:val="left" w:pos="4812"/>
              </w:tabs>
              <w:spacing w:before="0" w:after="0" w:line="240" w:lineRule="auto"/>
              <w:contextualSpacing/>
            </w:pPr>
            <w:r>
              <w:t>3.2</w:t>
            </w:r>
            <w:r w:rsidR="00A426E4" w:rsidRPr="00686BBC">
              <w:t xml:space="preserve"> </w:t>
            </w:r>
            <w:r w:rsidR="449906D7" w:rsidRPr="00686BBC">
              <w:t xml:space="preserve"> Consolidate and communicate adaptation offers in key domains (ag</w:t>
            </w:r>
            <w:r w:rsidR="00C42515">
              <w:t>riculture</w:t>
            </w:r>
            <w:r w:rsidR="449906D7" w:rsidRPr="00686BBC">
              <w:t xml:space="preserve">, food, water, ecoystsems) </w:t>
            </w:r>
          </w:p>
        </w:tc>
        <w:tc>
          <w:tcPr>
            <w:tcW w:w="1885" w:type="dxa"/>
            <w:shd w:val="clear" w:color="auto" w:fill="auto"/>
          </w:tcPr>
          <w:p w14:paraId="076A02FA" w14:textId="7ECD084E" w:rsidR="00D646A7" w:rsidRPr="00686BBC" w:rsidRDefault="449906D7" w:rsidP="00022939">
            <w:pPr>
              <w:pStyle w:val="Normal0"/>
              <w:tabs>
                <w:tab w:val="left" w:pos="1668"/>
              </w:tabs>
              <w:spacing w:before="0" w:after="0" w:line="240" w:lineRule="auto"/>
              <w:contextualSpacing/>
            </w:pPr>
            <w:r w:rsidRPr="00686BBC">
              <w:t>Q4 2021</w:t>
            </w:r>
          </w:p>
        </w:tc>
        <w:tc>
          <w:tcPr>
            <w:tcW w:w="1621" w:type="dxa"/>
            <w:shd w:val="clear" w:color="auto" w:fill="auto"/>
          </w:tcPr>
          <w:p w14:paraId="0900EC78" w14:textId="2236ACF8" w:rsidR="00D646A7" w:rsidRPr="00686BBC" w:rsidRDefault="449906D7" w:rsidP="00022939">
            <w:pPr>
              <w:pStyle w:val="Normal0"/>
              <w:tabs>
                <w:tab w:val="left" w:pos="2880"/>
              </w:tabs>
              <w:spacing w:before="0" w:after="0" w:line="240" w:lineRule="auto"/>
              <w:contextualSpacing/>
            </w:pPr>
            <w:r w:rsidRPr="00686BBC">
              <w:t>BPPS</w:t>
            </w:r>
          </w:p>
        </w:tc>
        <w:tc>
          <w:tcPr>
            <w:tcW w:w="1170" w:type="dxa"/>
            <w:shd w:val="clear" w:color="auto" w:fill="auto"/>
          </w:tcPr>
          <w:p w14:paraId="037C5B30" w14:textId="77777777" w:rsidR="00D646A7" w:rsidRPr="00686BBC" w:rsidRDefault="00D646A7" w:rsidP="00022939">
            <w:pPr>
              <w:pStyle w:val="Normal0"/>
              <w:tabs>
                <w:tab w:val="left" w:pos="1308"/>
              </w:tabs>
              <w:spacing w:before="0" w:after="0" w:line="240" w:lineRule="auto"/>
              <w:contextualSpacing/>
            </w:pPr>
          </w:p>
        </w:tc>
        <w:tc>
          <w:tcPr>
            <w:tcW w:w="3335" w:type="dxa"/>
            <w:shd w:val="clear" w:color="auto" w:fill="auto"/>
          </w:tcPr>
          <w:p w14:paraId="54C2FEA1" w14:textId="77777777" w:rsidR="00D646A7" w:rsidRPr="00686BBC" w:rsidRDefault="00D646A7" w:rsidP="00022939">
            <w:pPr>
              <w:pStyle w:val="Normal0"/>
              <w:tabs>
                <w:tab w:val="left" w:pos="2040"/>
              </w:tabs>
              <w:spacing w:before="0" w:after="0" w:line="240" w:lineRule="auto"/>
              <w:contextualSpacing/>
            </w:pPr>
          </w:p>
        </w:tc>
      </w:tr>
      <w:tr w:rsidR="00D646A7" w:rsidRPr="00686BBC" w14:paraId="5CDA7344" w14:textId="77777777" w:rsidTr="57BE61B2">
        <w:trPr>
          <w:trHeight w:val="525"/>
        </w:trPr>
        <w:tc>
          <w:tcPr>
            <w:tcW w:w="13045" w:type="dxa"/>
            <w:gridSpan w:val="5"/>
            <w:shd w:val="clear" w:color="auto" w:fill="E6E6E6"/>
          </w:tcPr>
          <w:p w14:paraId="26DDD8D3" w14:textId="64D74783" w:rsidR="00D646A7" w:rsidRPr="00686BBC" w:rsidRDefault="00D646A7" w:rsidP="00022939">
            <w:pPr>
              <w:pStyle w:val="Recommendationtext"/>
              <w:spacing w:before="60" w:after="60"/>
              <w:rPr>
                <w:rFonts w:ascii="Times New Roman" w:hAnsi="Times New Roman"/>
                <w:sz w:val="20"/>
                <w:szCs w:val="20"/>
              </w:rPr>
            </w:pPr>
            <w:r w:rsidRPr="00686BBC">
              <w:rPr>
                <w:rFonts w:ascii="Times New Roman" w:hAnsi="Times New Roman"/>
                <w:sz w:val="20"/>
                <w:szCs w:val="20"/>
              </w:rPr>
              <w:t xml:space="preserve">Recommendation </w:t>
            </w:r>
            <w:r w:rsidR="00EC6899" w:rsidRPr="00686BBC">
              <w:rPr>
                <w:rFonts w:ascii="Times New Roman" w:hAnsi="Times New Roman"/>
                <w:sz w:val="20"/>
                <w:szCs w:val="20"/>
              </w:rPr>
              <w:t>4.</w:t>
            </w:r>
            <w:r w:rsidRPr="00686BBC">
              <w:rPr>
                <w:rFonts w:ascii="Times New Roman" w:hAnsi="Times New Roman"/>
                <w:sz w:val="20"/>
                <w:szCs w:val="20"/>
              </w:rPr>
              <w:t xml:space="preserve"> UNDP should improve the technical underpinnings of its adaptation service offer in each sector, with special attention </w:t>
            </w:r>
            <w:r w:rsidR="006C2DE1">
              <w:rPr>
                <w:rFonts w:ascii="Times New Roman" w:hAnsi="Times New Roman"/>
                <w:sz w:val="20"/>
                <w:szCs w:val="20"/>
              </w:rPr>
              <w:t xml:space="preserve">given </w:t>
            </w:r>
            <w:r w:rsidRPr="00686BBC">
              <w:rPr>
                <w:rFonts w:ascii="Times New Roman" w:hAnsi="Times New Roman"/>
                <w:sz w:val="20"/>
                <w:szCs w:val="20"/>
              </w:rPr>
              <w:t>to strengthening capacities in disaster risk reduction.</w:t>
            </w:r>
            <w:r w:rsidR="00FA37AB" w:rsidRPr="00686BBC" w:rsidDel="00FA37AB">
              <w:rPr>
                <w:rFonts w:ascii="Times New Roman" w:hAnsi="Times New Roman"/>
                <w:sz w:val="20"/>
                <w:szCs w:val="20"/>
              </w:rPr>
              <w:t xml:space="preserve"> </w:t>
            </w:r>
          </w:p>
          <w:p w14:paraId="08116B35" w14:textId="09CAA326" w:rsidR="00D646A7" w:rsidRPr="00686BBC" w:rsidRDefault="00D646A7" w:rsidP="004C3877">
            <w:pPr>
              <w:pStyle w:val="BodyText"/>
              <w:rPr>
                <w:sz w:val="20"/>
                <w:szCs w:val="20"/>
                <w:lang w:val="en-GB"/>
              </w:rPr>
            </w:pPr>
            <w:r w:rsidRPr="00686BBC">
              <w:rPr>
                <w:sz w:val="20"/>
                <w:szCs w:val="20"/>
                <w:lang w:val="en-GB"/>
              </w:rPr>
              <w:t xml:space="preserve">Given the importance of </w:t>
            </w:r>
            <w:r w:rsidR="00C42515">
              <w:rPr>
                <w:sz w:val="20"/>
                <w:szCs w:val="20"/>
                <w:lang w:val="en-GB"/>
              </w:rPr>
              <w:t xml:space="preserve">DRR </w:t>
            </w:r>
            <w:r w:rsidRPr="00686BBC">
              <w:rPr>
                <w:sz w:val="20"/>
                <w:szCs w:val="20"/>
                <w:lang w:val="en-GB"/>
              </w:rPr>
              <w:t xml:space="preserve">for adaptation efforts, steps should be taken to strengthen UNDP capabilities in this area, </w:t>
            </w:r>
            <w:r w:rsidR="00CB227E" w:rsidRPr="00686BBC">
              <w:rPr>
                <w:sz w:val="20"/>
                <w:szCs w:val="20"/>
                <w:lang w:val="en-GB"/>
              </w:rPr>
              <w:t>capitalizing</w:t>
            </w:r>
            <w:r w:rsidRPr="00686BBC">
              <w:rPr>
                <w:sz w:val="20"/>
                <w:szCs w:val="20"/>
                <w:lang w:val="en-GB"/>
              </w:rPr>
              <w:t xml:space="preserve"> on the growing allocation of </w:t>
            </w:r>
            <w:r w:rsidR="00C42515">
              <w:rPr>
                <w:sz w:val="20"/>
                <w:szCs w:val="20"/>
                <w:lang w:val="en-GB"/>
              </w:rPr>
              <w:t xml:space="preserve">official development assistance to </w:t>
            </w:r>
            <w:r w:rsidRPr="00686BBC">
              <w:rPr>
                <w:sz w:val="20"/>
                <w:szCs w:val="20"/>
                <w:lang w:val="en-GB"/>
              </w:rPr>
              <w:t xml:space="preserve">DRR associated </w:t>
            </w:r>
            <w:r w:rsidR="00C42515">
              <w:rPr>
                <w:sz w:val="20"/>
                <w:szCs w:val="20"/>
                <w:lang w:val="en-GB"/>
              </w:rPr>
              <w:t xml:space="preserve">with </w:t>
            </w:r>
            <w:r w:rsidRPr="00686BBC">
              <w:rPr>
                <w:sz w:val="20"/>
                <w:szCs w:val="20"/>
                <w:lang w:val="en-GB"/>
              </w:rPr>
              <w:t>climate change adaptation.</w:t>
            </w:r>
            <w:r w:rsidR="004C3877" w:rsidRPr="00686BBC" w:rsidDel="004C3877">
              <w:rPr>
                <w:sz w:val="20"/>
                <w:szCs w:val="20"/>
                <w:lang w:val="en-GB"/>
              </w:rPr>
              <w:t xml:space="preserve"> </w:t>
            </w:r>
          </w:p>
          <w:p w14:paraId="4C3F6EEC" w14:textId="25B2BE82" w:rsidR="00056E0B" w:rsidRPr="00686BBC" w:rsidRDefault="00D646A7" w:rsidP="004C3877">
            <w:pPr>
              <w:pStyle w:val="Normal0"/>
              <w:suppressAutoHyphens w:val="0"/>
              <w:spacing w:before="0" w:line="240" w:lineRule="auto"/>
              <w:ind w:left="-18" w:right="86"/>
            </w:pPr>
            <w:r w:rsidRPr="00686BBC">
              <w:t>The need for concerted efforts to address climate change and associated extreme weather risk has been well integrated into UNDP programming on water governance and UNDP global efforts to protect biodiversity</w:t>
            </w:r>
            <w:r w:rsidR="00C42515">
              <w:t xml:space="preserve">, </w:t>
            </w:r>
            <w:r w:rsidRPr="00686BBC">
              <w:t>prevent deforestation</w:t>
            </w:r>
            <w:r w:rsidR="00C42515">
              <w:t>,</w:t>
            </w:r>
            <w:r w:rsidRPr="00686BBC">
              <w:t xml:space="preserve"> </w:t>
            </w:r>
            <w:r w:rsidR="00C42515">
              <w:t xml:space="preserve">and </w:t>
            </w:r>
            <w:r w:rsidRPr="00686BBC">
              <w:t>reinforce climate adaptation objectives. With respect to agriculture and food security, a clearly articulated set of UNDP program</w:t>
            </w:r>
            <w:r w:rsidR="00C42515">
              <w:t>me</w:t>
            </w:r>
            <w:r w:rsidRPr="00686BBC">
              <w:t xml:space="preserve"> objectives and guidelines would help bring greater strategic coherence to the </w:t>
            </w:r>
            <w:r w:rsidR="00C42515">
              <w:t xml:space="preserve">organization </w:t>
            </w:r>
            <w:r w:rsidRPr="00686BBC">
              <w:t>and its regional and country offices</w:t>
            </w:r>
            <w:r w:rsidR="00C42515">
              <w:t>,</w:t>
            </w:r>
            <w:r w:rsidRPr="00686BBC">
              <w:t xml:space="preserve"> given </w:t>
            </w:r>
            <w:r w:rsidR="00C42515">
              <w:t xml:space="preserve">its </w:t>
            </w:r>
            <w:r w:rsidRPr="00686BBC">
              <w:t xml:space="preserve">comparative advantages. Opportunities include </w:t>
            </w:r>
            <w:r w:rsidR="00056E0B" w:rsidRPr="00686BBC">
              <w:t>i</w:t>
            </w:r>
            <w:r w:rsidRPr="00686BBC">
              <w:t xml:space="preserve">ncreasing coordination with </w:t>
            </w:r>
            <w:r w:rsidR="00C42515" w:rsidRPr="00686BBC">
              <w:t xml:space="preserve"> U</w:t>
            </w:r>
            <w:r w:rsidR="00C42515">
              <w:t xml:space="preserve">nited </w:t>
            </w:r>
            <w:r w:rsidR="00C42515" w:rsidRPr="00686BBC">
              <w:t>N</w:t>
            </w:r>
            <w:r w:rsidR="00C42515">
              <w:t>ations</w:t>
            </w:r>
            <w:r w:rsidR="00C42515" w:rsidRPr="00686BBC">
              <w:t xml:space="preserve"> </w:t>
            </w:r>
            <w:r w:rsidRPr="00686BBC">
              <w:t xml:space="preserve">specialized </w:t>
            </w:r>
            <w:r w:rsidR="00C42515">
              <w:t xml:space="preserve">agencies </w:t>
            </w:r>
            <w:r w:rsidRPr="00686BBC">
              <w:t>and non-U</w:t>
            </w:r>
            <w:r w:rsidR="00C42515">
              <w:t xml:space="preserve">nited </w:t>
            </w:r>
            <w:r w:rsidRPr="00686BBC">
              <w:t>N</w:t>
            </w:r>
            <w:r w:rsidR="00C42515">
              <w:t>ations</w:t>
            </w:r>
            <w:r w:rsidRPr="00686BBC">
              <w:t xml:space="preserve"> agricultural organizations to help governments design adaptation solutions and facilitating multistakeholder collaborations to generate more transformative innovations for adaptation.</w:t>
            </w:r>
            <w:r w:rsidR="004C3877" w:rsidRPr="00686BBC" w:rsidDel="004C3877">
              <w:t xml:space="preserve"> </w:t>
            </w:r>
          </w:p>
          <w:p w14:paraId="7B2BDD6C" w14:textId="3A3763E8" w:rsidR="005367A7" w:rsidRPr="00686BBC" w:rsidRDefault="005367A7" w:rsidP="004C3877">
            <w:pPr>
              <w:pStyle w:val="Recommendationtext"/>
              <w:spacing w:before="0" w:after="120"/>
            </w:pPr>
            <w:r w:rsidRPr="00686BBC">
              <w:rPr>
                <w:rFonts w:ascii="Times New Roman" w:hAnsi="Times New Roman"/>
                <w:b w:val="0"/>
                <w:bCs w:val="0"/>
                <w:sz w:val="20"/>
                <w:szCs w:val="20"/>
              </w:rPr>
              <w:t>UNDP should seek to increase the rigour of its evaluation techniques across its adaptation portfolio, capitali</w:t>
            </w:r>
            <w:r w:rsidR="00C42515">
              <w:rPr>
                <w:rFonts w:ascii="Times New Roman" w:hAnsi="Times New Roman"/>
                <w:b w:val="0"/>
                <w:bCs w:val="0"/>
                <w:sz w:val="20"/>
                <w:szCs w:val="20"/>
              </w:rPr>
              <w:t>z</w:t>
            </w:r>
            <w:r w:rsidRPr="00686BBC">
              <w:rPr>
                <w:rFonts w:ascii="Times New Roman" w:hAnsi="Times New Roman"/>
                <w:b w:val="0"/>
                <w:bCs w:val="0"/>
                <w:sz w:val="20"/>
                <w:szCs w:val="20"/>
              </w:rPr>
              <w:t xml:space="preserve">ing on lessons </w:t>
            </w:r>
            <w:r w:rsidR="00C42515">
              <w:rPr>
                <w:rFonts w:ascii="Times New Roman" w:hAnsi="Times New Roman"/>
                <w:b w:val="0"/>
                <w:bCs w:val="0"/>
                <w:sz w:val="20"/>
                <w:szCs w:val="20"/>
              </w:rPr>
              <w:t xml:space="preserve">in </w:t>
            </w:r>
            <w:r w:rsidRPr="00686BBC">
              <w:rPr>
                <w:rFonts w:ascii="Times New Roman" w:hAnsi="Times New Roman"/>
                <w:b w:val="0"/>
                <w:bCs w:val="0"/>
                <w:sz w:val="20"/>
                <w:szCs w:val="20"/>
              </w:rPr>
              <w:t>appl</w:t>
            </w:r>
            <w:r w:rsidR="00C42515">
              <w:rPr>
                <w:rFonts w:ascii="Times New Roman" w:hAnsi="Times New Roman"/>
                <w:b w:val="0"/>
                <w:bCs w:val="0"/>
                <w:sz w:val="20"/>
                <w:szCs w:val="20"/>
              </w:rPr>
              <w:t xml:space="preserve">ying </w:t>
            </w:r>
            <w:r w:rsidRPr="00686BBC">
              <w:rPr>
                <w:rFonts w:ascii="Times New Roman" w:hAnsi="Times New Roman"/>
                <w:b w:val="0"/>
                <w:bCs w:val="0"/>
                <w:sz w:val="20"/>
                <w:szCs w:val="20"/>
              </w:rPr>
              <w:t>impact evaluation techniques in its portfolio of recently established UNDP GCF projects.</w:t>
            </w:r>
            <w:r w:rsidR="0004066E" w:rsidRPr="00686BBC">
              <w:rPr>
                <w:rFonts w:ascii="Times New Roman" w:hAnsi="Times New Roman"/>
                <w:b w:val="0"/>
                <w:bCs w:val="0"/>
                <w:sz w:val="20"/>
                <w:szCs w:val="20"/>
              </w:rPr>
              <w:t xml:space="preserve"> </w:t>
            </w:r>
            <w:r w:rsidRPr="00686BBC">
              <w:rPr>
                <w:rFonts w:ascii="Times New Roman" w:hAnsi="Times New Roman"/>
                <w:b w:val="0"/>
                <w:bCs w:val="0"/>
                <w:sz w:val="20"/>
                <w:szCs w:val="20"/>
              </w:rPr>
              <w:t xml:space="preserve">UNDP should seek to systematize engagements with academic institutions at the global and regional levels to strengthen scientific underpinnings </w:t>
            </w:r>
            <w:r w:rsidR="00C42515">
              <w:rPr>
                <w:rFonts w:ascii="Times New Roman" w:hAnsi="Times New Roman"/>
                <w:b w:val="0"/>
                <w:bCs w:val="0"/>
                <w:sz w:val="20"/>
                <w:szCs w:val="20"/>
              </w:rPr>
              <w:t xml:space="preserve">when </w:t>
            </w:r>
            <w:r w:rsidRPr="00686BBC">
              <w:rPr>
                <w:rFonts w:ascii="Times New Roman" w:hAnsi="Times New Roman"/>
                <w:b w:val="0"/>
                <w:bCs w:val="0"/>
                <w:sz w:val="20"/>
                <w:szCs w:val="20"/>
              </w:rPr>
              <w:t>consider</w:t>
            </w:r>
            <w:r w:rsidR="00C42515">
              <w:rPr>
                <w:rFonts w:ascii="Times New Roman" w:hAnsi="Times New Roman"/>
                <w:b w:val="0"/>
                <w:bCs w:val="0"/>
                <w:sz w:val="20"/>
                <w:szCs w:val="20"/>
              </w:rPr>
              <w:t xml:space="preserve">ing </w:t>
            </w:r>
            <w:r w:rsidRPr="00686BBC">
              <w:rPr>
                <w:rFonts w:ascii="Times New Roman" w:hAnsi="Times New Roman"/>
                <w:b w:val="0"/>
                <w:bCs w:val="0"/>
                <w:sz w:val="20"/>
                <w:szCs w:val="20"/>
              </w:rPr>
              <w:t xml:space="preserve">climate risk in the design, implementation and evaluation of UNDP projects and </w:t>
            </w:r>
            <w:r w:rsidR="00C42515">
              <w:rPr>
                <w:rFonts w:ascii="Times New Roman" w:hAnsi="Times New Roman"/>
                <w:b w:val="0"/>
                <w:bCs w:val="0"/>
                <w:sz w:val="20"/>
                <w:szCs w:val="20"/>
              </w:rPr>
              <w:t xml:space="preserve">when </w:t>
            </w:r>
            <w:r w:rsidRPr="00686BBC">
              <w:rPr>
                <w:rFonts w:ascii="Times New Roman" w:hAnsi="Times New Roman"/>
                <w:b w:val="0"/>
                <w:bCs w:val="0"/>
                <w:sz w:val="20"/>
                <w:szCs w:val="20"/>
              </w:rPr>
              <w:t>providing iterative feedback on how to strengthen them.</w:t>
            </w:r>
            <w:r w:rsidR="004C3877" w:rsidRPr="00686BBC" w:rsidDel="004C3877">
              <w:t xml:space="preserve"> </w:t>
            </w:r>
          </w:p>
        </w:tc>
      </w:tr>
      <w:tr w:rsidR="00D646A7" w:rsidRPr="00686BBC" w14:paraId="51D44B94" w14:textId="77777777" w:rsidTr="57BE61B2">
        <w:trPr>
          <w:trHeight w:val="1248"/>
        </w:trPr>
        <w:tc>
          <w:tcPr>
            <w:tcW w:w="13045" w:type="dxa"/>
            <w:gridSpan w:val="5"/>
            <w:shd w:val="clear" w:color="auto" w:fill="F2F2F2" w:themeFill="background1" w:themeFillShade="F2"/>
          </w:tcPr>
          <w:p w14:paraId="4384DB6F" w14:textId="477419A9" w:rsidR="00D646A7" w:rsidRPr="00686BBC" w:rsidRDefault="00D646A7" w:rsidP="00022939">
            <w:pPr>
              <w:tabs>
                <w:tab w:val="left" w:pos="2880"/>
              </w:tabs>
              <w:jc w:val="both"/>
              <w:rPr>
                <w:b/>
                <w:sz w:val="20"/>
                <w:szCs w:val="20"/>
                <w:lang w:val="en-GB"/>
              </w:rPr>
            </w:pPr>
            <w:r w:rsidRPr="00686BBC">
              <w:rPr>
                <w:b/>
                <w:sz w:val="20"/>
                <w:szCs w:val="20"/>
                <w:lang w:val="en-GB"/>
              </w:rPr>
              <w:t>Management respons</w:t>
            </w:r>
            <w:r w:rsidR="000C5AE1">
              <w:rPr>
                <w:b/>
                <w:sz w:val="20"/>
                <w:szCs w:val="20"/>
                <w:lang w:val="en-GB"/>
              </w:rPr>
              <w:t>e</w:t>
            </w:r>
            <w:r w:rsidR="00D83B83">
              <w:rPr>
                <w:b/>
                <w:sz w:val="20"/>
                <w:szCs w:val="20"/>
                <w:lang w:val="en-GB"/>
              </w:rPr>
              <w:t>:</w:t>
            </w:r>
          </w:p>
          <w:p w14:paraId="3CD36051" w14:textId="77777777" w:rsidR="00B431B6" w:rsidRPr="00D66C5F" w:rsidRDefault="00B431B6" w:rsidP="00022939">
            <w:pPr>
              <w:jc w:val="both"/>
              <w:rPr>
                <w:sz w:val="12"/>
                <w:szCs w:val="12"/>
                <w:lang w:val="en-GB"/>
              </w:rPr>
            </w:pPr>
          </w:p>
          <w:p w14:paraId="06DBF1D7" w14:textId="30E79EE4" w:rsidR="002D0C8B" w:rsidRPr="00686BBC" w:rsidRDefault="00EC6899" w:rsidP="00080E1A">
            <w:pPr>
              <w:jc w:val="both"/>
              <w:rPr>
                <w:sz w:val="20"/>
                <w:szCs w:val="20"/>
                <w:lang w:val="en-GB"/>
              </w:rPr>
            </w:pPr>
            <w:r w:rsidRPr="00686BBC">
              <w:rPr>
                <w:sz w:val="20"/>
                <w:szCs w:val="20"/>
                <w:lang w:val="en-GB"/>
              </w:rPr>
              <w:t xml:space="preserve">UNDP </w:t>
            </w:r>
            <w:r w:rsidR="00876B7C" w:rsidRPr="00686BBC">
              <w:rPr>
                <w:sz w:val="20"/>
                <w:szCs w:val="20"/>
                <w:lang w:val="en-GB"/>
              </w:rPr>
              <w:t xml:space="preserve">partially accepts the recommendation and </w:t>
            </w:r>
            <w:r w:rsidRPr="00686BBC">
              <w:rPr>
                <w:sz w:val="20"/>
                <w:szCs w:val="20"/>
                <w:lang w:val="en-GB"/>
              </w:rPr>
              <w:t xml:space="preserve">recognizes the </w:t>
            </w:r>
            <w:r w:rsidR="00ED6A0A" w:rsidRPr="00686BBC">
              <w:rPr>
                <w:sz w:val="20"/>
                <w:szCs w:val="20"/>
                <w:lang w:val="en-GB"/>
              </w:rPr>
              <w:t>complementarities and potential for synergies across the CCA and DRR domains</w:t>
            </w:r>
            <w:r w:rsidR="00876B7C" w:rsidRPr="00686BBC">
              <w:rPr>
                <w:sz w:val="20"/>
                <w:szCs w:val="20"/>
                <w:lang w:val="en-GB"/>
              </w:rPr>
              <w:t>. A</w:t>
            </w:r>
            <w:r w:rsidR="723CC965" w:rsidRPr="00686BBC">
              <w:rPr>
                <w:sz w:val="20"/>
                <w:szCs w:val="20"/>
                <w:lang w:val="en-GB"/>
              </w:rPr>
              <w:t xml:space="preserve"> coherent</w:t>
            </w:r>
            <w:r w:rsidR="000C5AE1">
              <w:rPr>
                <w:sz w:val="20"/>
                <w:szCs w:val="20"/>
                <w:lang w:val="en-GB"/>
              </w:rPr>
              <w:t xml:space="preserve">, joint </w:t>
            </w:r>
            <w:r w:rsidR="723CC965" w:rsidRPr="00686BBC">
              <w:rPr>
                <w:sz w:val="20"/>
                <w:szCs w:val="20"/>
                <w:lang w:val="en-GB"/>
              </w:rPr>
              <w:t xml:space="preserve">effort is being advanced to ensure UNDP DRR and CCA </w:t>
            </w:r>
            <w:r w:rsidR="000C5AE1">
              <w:rPr>
                <w:sz w:val="20"/>
                <w:szCs w:val="20"/>
                <w:lang w:val="en-GB"/>
              </w:rPr>
              <w:t xml:space="preserve">work </w:t>
            </w:r>
            <w:r w:rsidR="723CC965" w:rsidRPr="00686BBC">
              <w:rPr>
                <w:sz w:val="20"/>
                <w:szCs w:val="20"/>
                <w:lang w:val="en-GB"/>
              </w:rPr>
              <w:t>complement each other in support of a shared objective of integrated risk management and vulnerability reduction for greater impact.</w:t>
            </w:r>
            <w:r w:rsidR="00ED6A0A" w:rsidRPr="00686BBC">
              <w:rPr>
                <w:sz w:val="20"/>
                <w:szCs w:val="20"/>
                <w:lang w:val="en-GB"/>
              </w:rPr>
              <w:t xml:space="preserve"> </w:t>
            </w:r>
            <w:r w:rsidR="0D32DFF5" w:rsidRPr="00686BBC">
              <w:rPr>
                <w:sz w:val="20"/>
                <w:szCs w:val="20"/>
                <w:lang w:val="en-GB"/>
              </w:rPr>
              <w:t xml:space="preserve">These efforts will build on existing joint efforts related to </w:t>
            </w:r>
            <w:r w:rsidR="7B8BB32E" w:rsidRPr="00686BBC">
              <w:rPr>
                <w:sz w:val="20"/>
                <w:szCs w:val="20"/>
                <w:lang w:val="en-GB"/>
              </w:rPr>
              <w:t xml:space="preserve">the application of risk information across </w:t>
            </w:r>
            <w:proofErr w:type="gramStart"/>
            <w:r w:rsidR="7B8BB32E" w:rsidRPr="00686BBC">
              <w:rPr>
                <w:sz w:val="20"/>
                <w:szCs w:val="20"/>
                <w:lang w:val="en-GB"/>
              </w:rPr>
              <w:t>time</w:t>
            </w:r>
            <w:r w:rsidR="000C5AE1">
              <w:rPr>
                <w:sz w:val="20"/>
                <w:szCs w:val="20"/>
                <w:lang w:val="en-GB"/>
              </w:rPr>
              <w:t>-</w:t>
            </w:r>
            <w:r w:rsidR="7B8BB32E" w:rsidRPr="00686BBC">
              <w:rPr>
                <w:sz w:val="20"/>
                <w:szCs w:val="20"/>
                <w:lang w:val="en-GB"/>
              </w:rPr>
              <w:t>scale</w:t>
            </w:r>
            <w:r w:rsidR="000C5AE1">
              <w:rPr>
                <w:sz w:val="20"/>
                <w:szCs w:val="20"/>
                <w:lang w:val="en-GB"/>
              </w:rPr>
              <w:t>s</w:t>
            </w:r>
            <w:proofErr w:type="gramEnd"/>
            <w:r w:rsidR="7B8BB32E" w:rsidRPr="00686BBC">
              <w:rPr>
                <w:sz w:val="20"/>
                <w:szCs w:val="20"/>
                <w:lang w:val="en-GB"/>
              </w:rPr>
              <w:t xml:space="preserve"> in risk assessments, loss and damage accounting, early action and early warning, strengthening the coherence of DRR/CCA policy instruments, </w:t>
            </w:r>
            <w:r w:rsidRPr="00686BBC">
              <w:rPr>
                <w:sz w:val="20"/>
                <w:szCs w:val="20"/>
                <w:lang w:val="en-GB"/>
              </w:rPr>
              <w:t xml:space="preserve">and </w:t>
            </w:r>
            <w:r w:rsidR="7B8BB32E" w:rsidRPr="00686BBC">
              <w:rPr>
                <w:sz w:val="20"/>
                <w:szCs w:val="20"/>
                <w:lang w:val="en-GB"/>
              </w:rPr>
              <w:t>fostering institutional coordination arrangements</w:t>
            </w:r>
            <w:r w:rsidRPr="00686BBC">
              <w:rPr>
                <w:sz w:val="20"/>
                <w:szCs w:val="20"/>
                <w:lang w:val="en-GB"/>
              </w:rPr>
              <w:t xml:space="preserve">. </w:t>
            </w:r>
            <w:r w:rsidR="000C5AE1">
              <w:rPr>
                <w:sz w:val="20"/>
                <w:szCs w:val="20"/>
                <w:lang w:val="en-GB"/>
              </w:rPr>
              <w:t>E</w:t>
            </w:r>
            <w:r w:rsidR="4088F5AA" w:rsidRPr="00686BBC">
              <w:rPr>
                <w:sz w:val="20"/>
                <w:szCs w:val="20"/>
                <w:lang w:val="en-GB"/>
              </w:rPr>
              <w:t xml:space="preserve">merging work on </w:t>
            </w:r>
            <w:r w:rsidR="000C5AE1">
              <w:rPr>
                <w:sz w:val="20"/>
                <w:szCs w:val="20"/>
                <w:lang w:val="en-GB"/>
              </w:rPr>
              <w:t>its r</w:t>
            </w:r>
            <w:r w:rsidR="4088F5AA" w:rsidRPr="00686BBC">
              <w:rPr>
                <w:sz w:val="20"/>
                <w:szCs w:val="20"/>
                <w:lang w:val="en-GB"/>
              </w:rPr>
              <w:t>isk</w:t>
            </w:r>
            <w:r w:rsidR="000C5AE1">
              <w:rPr>
                <w:sz w:val="20"/>
                <w:szCs w:val="20"/>
                <w:lang w:val="en-GB"/>
              </w:rPr>
              <w:t>-i</w:t>
            </w:r>
            <w:r w:rsidR="4088F5AA" w:rsidRPr="00686BBC">
              <w:rPr>
                <w:sz w:val="20"/>
                <w:szCs w:val="20"/>
                <w:lang w:val="en-GB"/>
              </w:rPr>
              <w:t xml:space="preserve">nformed </w:t>
            </w:r>
            <w:r w:rsidR="000C5AE1">
              <w:rPr>
                <w:sz w:val="20"/>
                <w:szCs w:val="20"/>
                <w:lang w:val="en-GB"/>
              </w:rPr>
              <w:t>d</w:t>
            </w:r>
            <w:r w:rsidR="4088F5AA" w:rsidRPr="00686BBC">
              <w:rPr>
                <w:sz w:val="20"/>
                <w:szCs w:val="20"/>
                <w:lang w:val="en-GB"/>
              </w:rPr>
              <w:t xml:space="preserve">evelopment </w:t>
            </w:r>
            <w:r w:rsidR="000C5AE1">
              <w:rPr>
                <w:sz w:val="20"/>
                <w:szCs w:val="20"/>
                <w:lang w:val="en-GB"/>
              </w:rPr>
              <w:t>o</w:t>
            </w:r>
            <w:r w:rsidR="4088F5AA" w:rsidRPr="00686BBC">
              <w:rPr>
                <w:sz w:val="20"/>
                <w:szCs w:val="20"/>
                <w:lang w:val="en-GB"/>
              </w:rPr>
              <w:t>ffer</w:t>
            </w:r>
            <w:r w:rsidR="000C5AE1">
              <w:rPr>
                <w:sz w:val="20"/>
                <w:szCs w:val="20"/>
                <w:lang w:val="en-GB"/>
              </w:rPr>
              <w:t>,</w:t>
            </w:r>
            <w:r w:rsidR="4088F5AA" w:rsidRPr="00686BBC">
              <w:rPr>
                <w:sz w:val="20"/>
                <w:szCs w:val="20"/>
                <w:lang w:val="en-GB"/>
              </w:rPr>
              <w:t xml:space="preserve"> which includes the DRR/CCA </w:t>
            </w:r>
            <w:r w:rsidR="000C5AE1">
              <w:rPr>
                <w:sz w:val="20"/>
                <w:szCs w:val="20"/>
                <w:lang w:val="en-GB"/>
              </w:rPr>
              <w:t>m</w:t>
            </w:r>
            <w:r w:rsidR="4088F5AA" w:rsidRPr="00686BBC">
              <w:rPr>
                <w:sz w:val="20"/>
                <w:szCs w:val="20"/>
                <w:lang w:val="en-GB"/>
              </w:rPr>
              <w:t xml:space="preserve">ainstreaming </w:t>
            </w:r>
            <w:r w:rsidR="000C5AE1">
              <w:rPr>
                <w:sz w:val="20"/>
                <w:szCs w:val="20"/>
                <w:lang w:val="en-GB"/>
              </w:rPr>
              <w:t>s</w:t>
            </w:r>
            <w:r w:rsidR="4088F5AA" w:rsidRPr="00686BBC">
              <w:rPr>
                <w:sz w:val="20"/>
                <w:szCs w:val="20"/>
                <w:lang w:val="en-GB"/>
              </w:rPr>
              <w:t xml:space="preserve">trategy </w:t>
            </w:r>
            <w:r w:rsidR="000C5AE1">
              <w:rPr>
                <w:sz w:val="20"/>
                <w:szCs w:val="20"/>
                <w:lang w:val="en-GB"/>
              </w:rPr>
              <w:t>t</w:t>
            </w:r>
            <w:r w:rsidR="4088F5AA" w:rsidRPr="00686BBC">
              <w:rPr>
                <w:sz w:val="20"/>
                <w:szCs w:val="20"/>
                <w:lang w:val="en-GB"/>
              </w:rPr>
              <w:t>ool</w:t>
            </w:r>
            <w:r w:rsidR="000C5AE1">
              <w:rPr>
                <w:sz w:val="20"/>
                <w:szCs w:val="20"/>
                <w:lang w:val="en-GB"/>
              </w:rPr>
              <w:t>,</w:t>
            </w:r>
            <w:r w:rsidR="4088F5AA" w:rsidRPr="00686BBC">
              <w:rPr>
                <w:sz w:val="20"/>
                <w:szCs w:val="20"/>
                <w:lang w:val="en-GB"/>
              </w:rPr>
              <w:t xml:space="preserve"> </w:t>
            </w:r>
            <w:r w:rsidR="006C6D41" w:rsidRPr="00686BBC">
              <w:rPr>
                <w:sz w:val="20"/>
                <w:szCs w:val="20"/>
                <w:lang w:val="en-GB"/>
              </w:rPr>
              <w:t>w</w:t>
            </w:r>
            <w:r w:rsidR="4088F5AA" w:rsidRPr="00686BBC">
              <w:rPr>
                <w:sz w:val="20"/>
                <w:szCs w:val="20"/>
                <w:lang w:val="en-GB"/>
              </w:rPr>
              <w:t xml:space="preserve">ill facilitate better coordination and cohesiveness in implementing DRR/CCA considerations in development planning, programming and budgeting. </w:t>
            </w:r>
            <w:r w:rsidR="3CC91AB0" w:rsidRPr="00686BBC">
              <w:rPr>
                <w:rFonts w:eastAsia="Calibri"/>
                <w:sz w:val="20"/>
                <w:szCs w:val="20"/>
                <w:lang w:val="en-GB"/>
              </w:rPr>
              <w:t xml:space="preserve">UNDP </w:t>
            </w:r>
            <w:r w:rsidR="000A3AA4" w:rsidRPr="00686BBC">
              <w:rPr>
                <w:rFonts w:eastAsia="Calibri"/>
                <w:sz w:val="20"/>
                <w:szCs w:val="20"/>
                <w:lang w:val="en-GB"/>
              </w:rPr>
              <w:t xml:space="preserve">will also </w:t>
            </w:r>
            <w:r w:rsidR="59A6F018" w:rsidRPr="00686BBC">
              <w:rPr>
                <w:rFonts w:eastAsia="Calibri"/>
                <w:sz w:val="20"/>
                <w:szCs w:val="20"/>
                <w:lang w:val="en-GB"/>
              </w:rPr>
              <w:t>develo</w:t>
            </w:r>
            <w:r w:rsidR="72CE35A4" w:rsidRPr="00686BBC">
              <w:rPr>
                <w:rFonts w:eastAsia="Calibri"/>
                <w:sz w:val="20"/>
                <w:szCs w:val="20"/>
                <w:lang w:val="en-GB"/>
              </w:rPr>
              <w:t>p</w:t>
            </w:r>
            <w:r w:rsidR="000A3AA4" w:rsidRPr="00686BBC">
              <w:rPr>
                <w:rFonts w:eastAsia="Calibri"/>
                <w:sz w:val="20"/>
                <w:szCs w:val="20"/>
                <w:lang w:val="en-GB"/>
              </w:rPr>
              <w:t xml:space="preserve"> </w:t>
            </w:r>
            <w:r w:rsidR="59A6F018" w:rsidRPr="00686BBC">
              <w:rPr>
                <w:rFonts w:eastAsia="Calibri"/>
                <w:sz w:val="20"/>
                <w:szCs w:val="20"/>
                <w:lang w:val="en-GB"/>
              </w:rPr>
              <w:t xml:space="preserve">a </w:t>
            </w:r>
            <w:r w:rsidR="000C5AE1">
              <w:rPr>
                <w:rFonts w:eastAsia="Calibri"/>
                <w:sz w:val="20"/>
                <w:szCs w:val="20"/>
                <w:lang w:val="en-GB"/>
              </w:rPr>
              <w:t>r</w:t>
            </w:r>
            <w:r w:rsidR="59A6F018" w:rsidRPr="00686BBC">
              <w:rPr>
                <w:rFonts w:eastAsia="Calibri"/>
                <w:sz w:val="20"/>
                <w:szCs w:val="20"/>
                <w:lang w:val="en-GB"/>
              </w:rPr>
              <w:t xml:space="preserve">esilient </w:t>
            </w:r>
            <w:r w:rsidR="000C5AE1">
              <w:rPr>
                <w:rFonts w:eastAsia="Calibri"/>
                <w:sz w:val="20"/>
                <w:szCs w:val="20"/>
                <w:lang w:val="en-GB"/>
              </w:rPr>
              <w:t>r</w:t>
            </w:r>
            <w:r w:rsidR="59A6F018" w:rsidRPr="00686BBC">
              <w:rPr>
                <w:rFonts w:eastAsia="Calibri"/>
                <w:sz w:val="20"/>
                <w:szCs w:val="20"/>
                <w:lang w:val="en-GB"/>
              </w:rPr>
              <w:t xml:space="preserve">ecovery </w:t>
            </w:r>
            <w:r w:rsidR="000C5AE1">
              <w:rPr>
                <w:rFonts w:eastAsia="Calibri"/>
                <w:sz w:val="20"/>
                <w:szCs w:val="20"/>
                <w:lang w:val="en-GB"/>
              </w:rPr>
              <w:t>o</w:t>
            </w:r>
            <w:r w:rsidR="59A6F018" w:rsidRPr="00686BBC">
              <w:rPr>
                <w:rFonts w:eastAsia="Calibri"/>
                <w:sz w:val="20"/>
                <w:szCs w:val="20"/>
                <w:lang w:val="en-GB"/>
              </w:rPr>
              <w:t xml:space="preserve">ffer </w:t>
            </w:r>
            <w:r w:rsidR="7B6DFFE1" w:rsidRPr="00686BBC">
              <w:rPr>
                <w:rFonts w:eastAsia="Calibri"/>
                <w:sz w:val="20"/>
                <w:szCs w:val="20"/>
                <w:lang w:val="en-GB"/>
              </w:rPr>
              <w:t xml:space="preserve">as part of its </w:t>
            </w:r>
            <w:r w:rsidR="000C5AE1">
              <w:rPr>
                <w:rFonts w:eastAsia="Calibri"/>
                <w:sz w:val="20"/>
                <w:szCs w:val="20"/>
                <w:lang w:val="en-GB"/>
              </w:rPr>
              <w:t xml:space="preserve">DRR </w:t>
            </w:r>
            <w:r w:rsidR="7B6DFFE1" w:rsidRPr="00686BBC">
              <w:rPr>
                <w:rFonts w:eastAsia="Calibri"/>
                <w:sz w:val="20"/>
                <w:szCs w:val="20"/>
                <w:lang w:val="en-GB"/>
              </w:rPr>
              <w:t>portfolio</w:t>
            </w:r>
            <w:r w:rsidR="000A3AA4" w:rsidRPr="00686BBC">
              <w:rPr>
                <w:rFonts w:eastAsia="Calibri"/>
                <w:sz w:val="20"/>
                <w:szCs w:val="20"/>
                <w:lang w:val="en-GB"/>
              </w:rPr>
              <w:t xml:space="preserve"> </w:t>
            </w:r>
            <w:r w:rsidR="5EC6099B" w:rsidRPr="00686BBC">
              <w:rPr>
                <w:rFonts w:eastAsia="Calibri"/>
                <w:sz w:val="20"/>
                <w:szCs w:val="20"/>
                <w:lang w:val="en-GB"/>
              </w:rPr>
              <w:t xml:space="preserve">that will </w:t>
            </w:r>
            <w:r w:rsidR="59A6F018" w:rsidRPr="00686BBC">
              <w:rPr>
                <w:rFonts w:eastAsia="Calibri"/>
                <w:sz w:val="20"/>
                <w:szCs w:val="20"/>
                <w:lang w:val="en-GB"/>
              </w:rPr>
              <w:t xml:space="preserve">integrate considerations around </w:t>
            </w:r>
            <w:r w:rsidR="000C5AE1">
              <w:rPr>
                <w:rFonts w:eastAsia="Calibri"/>
                <w:sz w:val="20"/>
                <w:szCs w:val="20"/>
                <w:lang w:val="en-GB"/>
              </w:rPr>
              <w:t>c</w:t>
            </w:r>
            <w:r w:rsidR="59A6F018" w:rsidRPr="00686BBC">
              <w:rPr>
                <w:rFonts w:eastAsia="Calibri"/>
                <w:sz w:val="20"/>
                <w:szCs w:val="20"/>
                <w:lang w:val="en-GB"/>
              </w:rPr>
              <w:t xml:space="preserve">limate </w:t>
            </w:r>
            <w:r w:rsidR="000C5AE1">
              <w:rPr>
                <w:rFonts w:eastAsia="Calibri"/>
                <w:sz w:val="20"/>
                <w:szCs w:val="20"/>
                <w:lang w:val="en-GB"/>
              </w:rPr>
              <w:t>m</w:t>
            </w:r>
            <w:r w:rsidR="59A6F018" w:rsidRPr="00686BBC">
              <w:rPr>
                <w:rFonts w:eastAsia="Calibri"/>
                <w:sz w:val="20"/>
                <w:szCs w:val="20"/>
                <w:lang w:val="en-GB"/>
              </w:rPr>
              <w:t xml:space="preserve">itigation and </w:t>
            </w:r>
            <w:r w:rsidR="000C5AE1">
              <w:rPr>
                <w:rFonts w:eastAsia="Calibri"/>
                <w:sz w:val="20"/>
                <w:szCs w:val="20"/>
                <w:lang w:val="en-GB"/>
              </w:rPr>
              <w:t>a</w:t>
            </w:r>
            <w:r w:rsidR="59A6F018" w:rsidRPr="00686BBC">
              <w:rPr>
                <w:rFonts w:eastAsia="Calibri"/>
                <w:sz w:val="20"/>
                <w:szCs w:val="20"/>
                <w:lang w:val="en-GB"/>
              </w:rPr>
              <w:t xml:space="preserve">daptation within </w:t>
            </w:r>
            <w:r w:rsidR="000C5AE1">
              <w:rPr>
                <w:rFonts w:eastAsia="Calibri"/>
                <w:sz w:val="20"/>
                <w:szCs w:val="20"/>
                <w:lang w:val="en-GB"/>
              </w:rPr>
              <w:t>c</w:t>
            </w:r>
            <w:r w:rsidR="1C7937D5" w:rsidRPr="00686BBC">
              <w:rPr>
                <w:rFonts w:eastAsia="Calibri"/>
                <w:sz w:val="20"/>
                <w:szCs w:val="20"/>
                <w:lang w:val="en-GB"/>
              </w:rPr>
              <w:t xml:space="preserve">ountry </w:t>
            </w:r>
            <w:r w:rsidR="000C5AE1">
              <w:rPr>
                <w:rFonts w:eastAsia="Calibri"/>
                <w:sz w:val="20"/>
                <w:szCs w:val="20"/>
                <w:lang w:val="en-GB"/>
              </w:rPr>
              <w:t>o</w:t>
            </w:r>
            <w:r w:rsidR="1C7937D5" w:rsidRPr="00686BBC">
              <w:rPr>
                <w:rFonts w:eastAsia="Calibri"/>
                <w:sz w:val="20"/>
                <w:szCs w:val="20"/>
                <w:lang w:val="en-GB"/>
              </w:rPr>
              <w:t>ffices</w:t>
            </w:r>
            <w:r w:rsidR="6E032479" w:rsidRPr="00686BBC">
              <w:rPr>
                <w:rFonts w:eastAsia="Calibri"/>
                <w:sz w:val="20"/>
                <w:szCs w:val="20"/>
                <w:lang w:val="en-GB"/>
              </w:rPr>
              <w:t>’</w:t>
            </w:r>
            <w:r w:rsidR="1C7937D5" w:rsidRPr="00686BBC">
              <w:rPr>
                <w:rFonts w:eastAsia="Calibri"/>
                <w:sz w:val="20"/>
                <w:szCs w:val="20"/>
                <w:lang w:val="en-GB"/>
              </w:rPr>
              <w:t xml:space="preserve"> support to affected </w:t>
            </w:r>
            <w:r w:rsidR="000C5AE1">
              <w:rPr>
                <w:rFonts w:eastAsia="Calibri"/>
                <w:sz w:val="20"/>
                <w:szCs w:val="20"/>
                <w:lang w:val="en-GB"/>
              </w:rPr>
              <w:t>g</w:t>
            </w:r>
            <w:r w:rsidR="1C7937D5" w:rsidRPr="00686BBC">
              <w:rPr>
                <w:rFonts w:eastAsia="Calibri"/>
                <w:sz w:val="20"/>
                <w:szCs w:val="20"/>
                <w:lang w:val="en-GB"/>
              </w:rPr>
              <w:t>overnment</w:t>
            </w:r>
            <w:r w:rsidR="000C5AE1">
              <w:rPr>
                <w:rFonts w:eastAsia="Calibri"/>
                <w:sz w:val="20"/>
                <w:szCs w:val="20"/>
                <w:lang w:val="en-GB"/>
              </w:rPr>
              <w:t>s’</w:t>
            </w:r>
            <w:r w:rsidR="1C7937D5" w:rsidRPr="00686BBC">
              <w:rPr>
                <w:rFonts w:eastAsia="Calibri"/>
                <w:sz w:val="20"/>
                <w:szCs w:val="20"/>
                <w:lang w:val="en-GB"/>
              </w:rPr>
              <w:t xml:space="preserve"> efforts</w:t>
            </w:r>
            <w:r w:rsidR="59A6F018" w:rsidRPr="00686BBC">
              <w:rPr>
                <w:rFonts w:eastAsia="Calibri"/>
                <w:sz w:val="20"/>
                <w:szCs w:val="20"/>
                <w:lang w:val="en-GB"/>
              </w:rPr>
              <w:t xml:space="preserve"> to build back better, smarter and greener.</w:t>
            </w:r>
          </w:p>
          <w:p w14:paraId="39888AD8" w14:textId="5F5BB2E2" w:rsidR="43309D9E" w:rsidRPr="00D66C5F" w:rsidRDefault="43309D9E" w:rsidP="43309D9E">
            <w:pPr>
              <w:rPr>
                <w:sz w:val="12"/>
                <w:szCs w:val="12"/>
                <w:lang w:val="en-GB"/>
              </w:rPr>
            </w:pPr>
          </w:p>
          <w:p w14:paraId="3F57251C" w14:textId="74E3D480" w:rsidR="00B431B6" w:rsidRPr="00686BBC" w:rsidRDefault="000A3AA4" w:rsidP="000A3AA4">
            <w:pPr>
              <w:jc w:val="both"/>
              <w:rPr>
                <w:sz w:val="20"/>
                <w:szCs w:val="20"/>
                <w:lang w:val="en-GB"/>
              </w:rPr>
            </w:pPr>
            <w:r w:rsidRPr="00686BBC">
              <w:rPr>
                <w:sz w:val="20"/>
                <w:szCs w:val="20"/>
                <w:lang w:val="en-GB"/>
              </w:rPr>
              <w:t xml:space="preserve">In relation to the recommendation that </w:t>
            </w:r>
            <w:r w:rsidR="00B431B6" w:rsidRPr="00686BBC">
              <w:rPr>
                <w:sz w:val="20"/>
                <w:szCs w:val="20"/>
                <w:lang w:val="en-GB"/>
              </w:rPr>
              <w:t xml:space="preserve">UNDP </w:t>
            </w:r>
            <w:r w:rsidRPr="00686BBC">
              <w:rPr>
                <w:sz w:val="20"/>
                <w:szCs w:val="20"/>
                <w:lang w:val="en-GB"/>
              </w:rPr>
              <w:t xml:space="preserve">develop clearly articulated </w:t>
            </w:r>
            <w:r w:rsidR="00B431B6" w:rsidRPr="00686BBC">
              <w:rPr>
                <w:sz w:val="20"/>
                <w:szCs w:val="20"/>
                <w:lang w:val="en-GB"/>
              </w:rPr>
              <w:t>program</w:t>
            </w:r>
            <w:r w:rsidRPr="00686BBC">
              <w:rPr>
                <w:sz w:val="20"/>
                <w:szCs w:val="20"/>
                <w:lang w:val="en-GB"/>
              </w:rPr>
              <w:t>me</w:t>
            </w:r>
            <w:r w:rsidR="00B431B6" w:rsidRPr="00686BBC">
              <w:rPr>
                <w:sz w:val="20"/>
                <w:szCs w:val="20"/>
                <w:lang w:val="en-GB"/>
              </w:rPr>
              <w:t xml:space="preserve"> objectives and guidelines for agriculture and food security, UNDP</w:t>
            </w:r>
            <w:r w:rsidRPr="00686BBC">
              <w:rPr>
                <w:sz w:val="20"/>
                <w:szCs w:val="20"/>
                <w:lang w:val="en-GB"/>
              </w:rPr>
              <w:t xml:space="preserve"> considers that its climate change adaptation programmes in agriculture and food security fol</w:t>
            </w:r>
            <w:r w:rsidR="00B431B6" w:rsidRPr="00686BBC">
              <w:rPr>
                <w:sz w:val="20"/>
                <w:szCs w:val="20"/>
                <w:lang w:val="en-GB"/>
              </w:rPr>
              <w:t>low globally advocated, country-driven approaches focused on adaptive capacities, climate risk management, resilient technologies/practices, access to finance/markets,</w:t>
            </w:r>
            <w:r w:rsidRPr="00686BBC">
              <w:rPr>
                <w:sz w:val="20"/>
                <w:szCs w:val="20"/>
                <w:lang w:val="en-GB"/>
              </w:rPr>
              <w:t xml:space="preserve"> and </w:t>
            </w:r>
            <w:r w:rsidR="00B431B6" w:rsidRPr="00686BBC">
              <w:rPr>
                <w:sz w:val="20"/>
                <w:szCs w:val="20"/>
                <w:lang w:val="en-GB"/>
              </w:rPr>
              <w:t>planning incorporating climate risks</w:t>
            </w:r>
            <w:r w:rsidRPr="00686BBC">
              <w:rPr>
                <w:sz w:val="20"/>
                <w:szCs w:val="20"/>
                <w:lang w:val="en-GB"/>
              </w:rPr>
              <w:t xml:space="preserve">. </w:t>
            </w:r>
            <w:r w:rsidR="000C5AE1">
              <w:rPr>
                <w:sz w:val="20"/>
                <w:szCs w:val="20"/>
                <w:lang w:val="en-GB"/>
              </w:rPr>
              <w:t xml:space="preserve">The </w:t>
            </w:r>
            <w:r w:rsidR="00B431B6" w:rsidRPr="00686BBC">
              <w:rPr>
                <w:sz w:val="20"/>
                <w:szCs w:val="20"/>
                <w:lang w:val="en-GB"/>
              </w:rPr>
              <w:t xml:space="preserve">UNDP approach to </w:t>
            </w:r>
            <w:r w:rsidR="002D0C8B" w:rsidRPr="00686BBC">
              <w:rPr>
                <w:sz w:val="20"/>
                <w:szCs w:val="20"/>
                <w:lang w:val="en-GB"/>
              </w:rPr>
              <w:t>agriculture/food security</w:t>
            </w:r>
            <w:r w:rsidR="00B431B6" w:rsidRPr="00686BBC">
              <w:rPr>
                <w:sz w:val="20"/>
                <w:szCs w:val="20"/>
                <w:lang w:val="en-GB"/>
              </w:rPr>
              <w:t xml:space="preserve"> explicitly targets the most vulnerable smallholder producers, subsistent farmers, herders and fishers. It takes </w:t>
            </w:r>
            <w:r w:rsidRPr="00686BBC">
              <w:rPr>
                <w:sz w:val="20"/>
                <w:szCs w:val="20"/>
                <w:lang w:val="en-GB"/>
              </w:rPr>
              <w:t xml:space="preserve">a </w:t>
            </w:r>
            <w:r w:rsidR="00B431B6" w:rsidRPr="00686BBC">
              <w:rPr>
                <w:sz w:val="20"/>
                <w:szCs w:val="20"/>
                <w:lang w:val="en-GB"/>
              </w:rPr>
              <w:t>food system</w:t>
            </w:r>
            <w:r w:rsidR="000C5AE1">
              <w:rPr>
                <w:sz w:val="20"/>
                <w:szCs w:val="20"/>
                <w:lang w:val="en-GB"/>
              </w:rPr>
              <w:t xml:space="preserve">, </w:t>
            </w:r>
            <w:r w:rsidR="00B431B6" w:rsidRPr="00686BBC">
              <w:rPr>
                <w:sz w:val="20"/>
                <w:szCs w:val="20"/>
                <w:lang w:val="en-GB"/>
              </w:rPr>
              <w:t xml:space="preserve">farm-to-fork approach </w:t>
            </w:r>
            <w:r w:rsidRPr="00686BBC">
              <w:rPr>
                <w:sz w:val="20"/>
                <w:szCs w:val="20"/>
                <w:lang w:val="en-GB"/>
              </w:rPr>
              <w:t>to help a</w:t>
            </w:r>
            <w:r w:rsidR="00B431B6" w:rsidRPr="00686BBC">
              <w:rPr>
                <w:sz w:val="20"/>
                <w:szCs w:val="20"/>
                <w:lang w:val="en-GB"/>
              </w:rPr>
              <w:t>chiev</w:t>
            </w:r>
            <w:r w:rsidRPr="00686BBC">
              <w:rPr>
                <w:sz w:val="20"/>
                <w:szCs w:val="20"/>
                <w:lang w:val="en-GB"/>
              </w:rPr>
              <w:t>e</w:t>
            </w:r>
            <w:r w:rsidR="00B431B6" w:rsidRPr="00686BBC">
              <w:rPr>
                <w:sz w:val="20"/>
                <w:szCs w:val="20"/>
                <w:lang w:val="en-GB"/>
              </w:rPr>
              <w:t xml:space="preserve"> food and nutrition security in the face of climate change and reduc</w:t>
            </w:r>
            <w:r w:rsidRPr="00686BBC">
              <w:rPr>
                <w:sz w:val="20"/>
                <w:szCs w:val="20"/>
                <w:lang w:val="en-GB"/>
              </w:rPr>
              <w:t>e</w:t>
            </w:r>
            <w:r w:rsidR="00B431B6" w:rsidRPr="00686BBC">
              <w:rPr>
                <w:sz w:val="20"/>
                <w:szCs w:val="20"/>
                <w:lang w:val="en-GB"/>
              </w:rPr>
              <w:t xml:space="preserve"> risks of losses across all stages of complex food systems. </w:t>
            </w:r>
            <w:r w:rsidRPr="00686BBC">
              <w:rPr>
                <w:sz w:val="20"/>
                <w:szCs w:val="20"/>
                <w:lang w:val="en-GB"/>
              </w:rPr>
              <w:t xml:space="preserve">UNDP supports </w:t>
            </w:r>
            <w:r w:rsidR="00B431B6" w:rsidRPr="00686BBC">
              <w:rPr>
                <w:sz w:val="20"/>
                <w:szCs w:val="20"/>
                <w:lang w:val="en-GB"/>
              </w:rPr>
              <w:t>cross</w:t>
            </w:r>
            <w:r w:rsidR="000C5AE1">
              <w:rPr>
                <w:sz w:val="20"/>
                <w:szCs w:val="20"/>
                <w:lang w:val="en-GB"/>
              </w:rPr>
              <w:t>-</w:t>
            </w:r>
            <w:r w:rsidR="00B431B6" w:rsidRPr="00686BBC">
              <w:rPr>
                <w:sz w:val="20"/>
                <w:szCs w:val="20"/>
                <w:lang w:val="en-GB"/>
              </w:rPr>
              <w:t>sectoral work (beyond the ministries of agriculture and sectoral actors) and a whole</w:t>
            </w:r>
            <w:r w:rsidR="000C5AE1">
              <w:rPr>
                <w:sz w:val="20"/>
                <w:szCs w:val="20"/>
                <w:lang w:val="en-GB"/>
              </w:rPr>
              <w:t>-</w:t>
            </w:r>
            <w:r w:rsidR="00B431B6" w:rsidRPr="00686BBC">
              <w:rPr>
                <w:sz w:val="20"/>
                <w:szCs w:val="20"/>
                <w:lang w:val="en-GB"/>
              </w:rPr>
              <w:t>of</w:t>
            </w:r>
            <w:r w:rsidR="000C5AE1">
              <w:rPr>
                <w:sz w:val="20"/>
                <w:szCs w:val="20"/>
                <w:lang w:val="en-GB"/>
              </w:rPr>
              <w:t>-</w:t>
            </w:r>
            <w:r w:rsidR="00B431B6" w:rsidRPr="00686BBC">
              <w:rPr>
                <w:sz w:val="20"/>
                <w:szCs w:val="20"/>
                <w:lang w:val="en-GB"/>
              </w:rPr>
              <w:t>government approach both horizontally and vertically (linking national actors and national and local</w:t>
            </w:r>
            <w:r w:rsidR="000C5AE1">
              <w:rPr>
                <w:sz w:val="20"/>
                <w:szCs w:val="20"/>
                <w:lang w:val="en-GB"/>
              </w:rPr>
              <w:t xml:space="preserve"> actors</w:t>
            </w:r>
            <w:r w:rsidR="00B431B6" w:rsidRPr="00686BBC">
              <w:rPr>
                <w:sz w:val="20"/>
                <w:szCs w:val="20"/>
                <w:lang w:val="en-GB"/>
              </w:rPr>
              <w:t xml:space="preserve">). </w:t>
            </w:r>
            <w:r w:rsidR="002D0C8B" w:rsidRPr="00686BBC">
              <w:rPr>
                <w:sz w:val="20"/>
                <w:szCs w:val="20"/>
                <w:lang w:val="en-GB"/>
              </w:rPr>
              <w:t xml:space="preserve">UNDP has strong partnerships with FAO, </w:t>
            </w:r>
            <w:r w:rsidR="000C5AE1">
              <w:rPr>
                <w:sz w:val="20"/>
                <w:szCs w:val="20"/>
                <w:lang w:val="en-GB"/>
              </w:rPr>
              <w:t xml:space="preserve">IFAD, </w:t>
            </w:r>
            <w:r w:rsidR="002D0C8B" w:rsidRPr="00686BBC">
              <w:rPr>
                <w:sz w:val="20"/>
                <w:szCs w:val="20"/>
                <w:lang w:val="en-GB"/>
              </w:rPr>
              <w:t>UNE</w:t>
            </w:r>
            <w:r w:rsidR="0004066E" w:rsidRPr="00686BBC">
              <w:rPr>
                <w:sz w:val="20"/>
                <w:szCs w:val="20"/>
                <w:lang w:val="en-GB"/>
              </w:rPr>
              <w:t>P</w:t>
            </w:r>
            <w:r w:rsidR="002D0C8B" w:rsidRPr="00686BBC">
              <w:rPr>
                <w:sz w:val="20"/>
                <w:szCs w:val="20"/>
                <w:lang w:val="en-GB"/>
              </w:rPr>
              <w:t xml:space="preserve">, WFP and others to advance collaborative adaptation action across </w:t>
            </w:r>
            <w:r w:rsidR="2BA030C7" w:rsidRPr="00686BBC">
              <w:rPr>
                <w:sz w:val="20"/>
                <w:szCs w:val="20"/>
                <w:lang w:val="en-GB"/>
              </w:rPr>
              <w:t>this domain</w:t>
            </w:r>
            <w:r w:rsidR="000C5AE1">
              <w:rPr>
                <w:sz w:val="20"/>
                <w:szCs w:val="20"/>
                <w:lang w:val="en-GB"/>
              </w:rPr>
              <w:t>.</w:t>
            </w:r>
          </w:p>
          <w:p w14:paraId="4402B62C" w14:textId="5B5AF0CA" w:rsidR="00087E20" w:rsidRPr="00D66C5F" w:rsidRDefault="00087E20" w:rsidP="00B431B6">
            <w:pPr>
              <w:pStyle w:val="CommentText"/>
              <w:rPr>
                <w:sz w:val="12"/>
                <w:szCs w:val="12"/>
                <w:lang w:val="en-GB"/>
              </w:rPr>
            </w:pPr>
          </w:p>
          <w:p w14:paraId="5AE30218" w14:textId="4A7978E1" w:rsidR="002440B8" w:rsidRPr="00686BBC" w:rsidRDefault="006C6D41" w:rsidP="00D66C5F">
            <w:pPr>
              <w:pStyle w:val="CommentText"/>
              <w:jc w:val="both"/>
              <w:rPr>
                <w:lang w:val="en-GB"/>
              </w:rPr>
            </w:pPr>
            <w:r w:rsidRPr="00686BBC">
              <w:rPr>
                <w:lang w:val="en-GB"/>
              </w:rPr>
              <w:t>U</w:t>
            </w:r>
            <w:r w:rsidR="65E8EAC5" w:rsidRPr="00686BBC">
              <w:rPr>
                <w:lang w:val="en-GB"/>
              </w:rPr>
              <w:t xml:space="preserve">NDP will continue to expand </w:t>
            </w:r>
            <w:r w:rsidR="000C5AE1">
              <w:rPr>
                <w:lang w:val="en-GB"/>
              </w:rPr>
              <w:t xml:space="preserve">its </w:t>
            </w:r>
            <w:r w:rsidR="65E8EAC5" w:rsidRPr="00686BBC">
              <w:rPr>
                <w:lang w:val="en-GB"/>
              </w:rPr>
              <w:t>impact evaluation efforts initiated under the GCF portfolio</w:t>
            </w:r>
            <w:r w:rsidR="000C5AE1">
              <w:rPr>
                <w:lang w:val="en-GB"/>
              </w:rPr>
              <w:t>,</w:t>
            </w:r>
            <w:r w:rsidR="76A5C597" w:rsidRPr="00686BBC">
              <w:rPr>
                <w:lang w:val="en-GB"/>
              </w:rPr>
              <w:t xml:space="preserve"> </w:t>
            </w:r>
            <w:r w:rsidR="00F66BAA" w:rsidRPr="00686BBC">
              <w:rPr>
                <w:lang w:val="en-GB"/>
              </w:rPr>
              <w:t>including in</w:t>
            </w:r>
            <w:r w:rsidR="3DBF4134" w:rsidRPr="00686BBC">
              <w:rPr>
                <w:lang w:val="en-GB"/>
              </w:rPr>
              <w:t xml:space="preserve"> </w:t>
            </w:r>
            <w:r w:rsidR="65E8EAC5" w:rsidRPr="00686BBC">
              <w:rPr>
                <w:lang w:val="en-GB"/>
              </w:rPr>
              <w:t>collaboration with academic institution</w:t>
            </w:r>
            <w:r w:rsidR="3DBF4134" w:rsidRPr="00686BBC">
              <w:rPr>
                <w:lang w:val="en-GB"/>
              </w:rPr>
              <w:t xml:space="preserve">s, </w:t>
            </w:r>
            <w:r w:rsidR="65E8EAC5" w:rsidRPr="00686BBC">
              <w:rPr>
                <w:lang w:val="en-GB"/>
              </w:rPr>
              <w:t>highlight</w:t>
            </w:r>
            <w:r w:rsidR="3DBF4134" w:rsidRPr="00686BBC">
              <w:rPr>
                <w:lang w:val="en-GB"/>
              </w:rPr>
              <w:t>ing</w:t>
            </w:r>
            <w:r w:rsidR="65E8EAC5" w:rsidRPr="00686BBC">
              <w:rPr>
                <w:lang w:val="en-GB"/>
              </w:rPr>
              <w:t xml:space="preserve"> recent efforts in collaboration with Columbia</w:t>
            </w:r>
            <w:r w:rsidR="000C5AE1">
              <w:rPr>
                <w:lang w:val="en-GB"/>
              </w:rPr>
              <w:t xml:space="preserve"> University</w:t>
            </w:r>
            <w:r w:rsidR="65E8EAC5" w:rsidRPr="00686BBC">
              <w:rPr>
                <w:lang w:val="en-GB"/>
              </w:rPr>
              <w:t>, Tufts</w:t>
            </w:r>
            <w:r w:rsidR="000C5AE1">
              <w:rPr>
                <w:lang w:val="en-GB"/>
              </w:rPr>
              <w:t xml:space="preserve"> University</w:t>
            </w:r>
            <w:r w:rsidR="65E8EAC5" w:rsidRPr="00686BBC">
              <w:rPr>
                <w:lang w:val="en-GB"/>
              </w:rPr>
              <w:t xml:space="preserve">, </w:t>
            </w:r>
            <w:r w:rsidR="000C5AE1">
              <w:rPr>
                <w:lang w:val="en-GB"/>
              </w:rPr>
              <w:t xml:space="preserve">the </w:t>
            </w:r>
            <w:r w:rsidR="3682B3A1" w:rsidRPr="00686BBC">
              <w:rPr>
                <w:lang w:val="en-GB"/>
              </w:rPr>
              <w:t xml:space="preserve">University of Cantabria </w:t>
            </w:r>
            <w:r w:rsidR="00983DE6" w:rsidRPr="00686BBC">
              <w:rPr>
                <w:lang w:val="en-GB"/>
              </w:rPr>
              <w:t xml:space="preserve">and </w:t>
            </w:r>
            <w:r w:rsidR="407E40EE" w:rsidRPr="00686BBC">
              <w:rPr>
                <w:lang w:val="en-GB"/>
              </w:rPr>
              <w:t>others.</w:t>
            </w:r>
            <w:r w:rsidR="004C3877" w:rsidRPr="00686BBC" w:rsidDel="004C3877">
              <w:rPr>
                <w:lang w:val="en-GB"/>
              </w:rPr>
              <w:t xml:space="preserve"> </w:t>
            </w:r>
          </w:p>
        </w:tc>
      </w:tr>
      <w:tr w:rsidR="00D646A7" w:rsidRPr="00686BBC" w14:paraId="55C231C1" w14:textId="77777777" w:rsidTr="004C3877">
        <w:trPr>
          <w:trHeight w:val="576"/>
        </w:trPr>
        <w:tc>
          <w:tcPr>
            <w:tcW w:w="5034" w:type="dxa"/>
            <w:shd w:val="clear" w:color="auto" w:fill="auto"/>
          </w:tcPr>
          <w:p w14:paraId="70802CF5" w14:textId="2ED82CC1" w:rsidR="00E20D9B" w:rsidRPr="00686BBC" w:rsidRDefault="008C47DF" w:rsidP="00D66C5F">
            <w:pPr>
              <w:tabs>
                <w:tab w:val="left" w:pos="4812"/>
              </w:tabs>
              <w:ind w:left="342" w:hanging="360"/>
              <w:rPr>
                <w:sz w:val="20"/>
                <w:szCs w:val="20"/>
                <w:lang w:val="en-GB"/>
              </w:rPr>
            </w:pPr>
            <w:r>
              <w:rPr>
                <w:sz w:val="20"/>
                <w:szCs w:val="20"/>
                <w:lang w:val="en-GB"/>
              </w:rPr>
              <w:t xml:space="preserve">4.1 </w:t>
            </w:r>
            <w:r w:rsidR="004C3877" w:rsidRPr="00686BBC">
              <w:rPr>
                <w:sz w:val="20"/>
                <w:szCs w:val="20"/>
                <w:lang w:val="en-GB"/>
              </w:rPr>
              <w:t>Articulat</w:t>
            </w:r>
            <w:r w:rsidR="00E20D9B">
              <w:rPr>
                <w:sz w:val="20"/>
                <w:szCs w:val="20"/>
                <w:lang w:val="en-GB"/>
              </w:rPr>
              <w:t>e</w:t>
            </w:r>
            <w:r w:rsidR="004C3877" w:rsidRPr="00686BBC">
              <w:rPr>
                <w:sz w:val="20"/>
                <w:szCs w:val="20"/>
                <w:lang w:val="en-GB"/>
              </w:rPr>
              <w:t xml:space="preserve"> a </w:t>
            </w:r>
            <w:r w:rsidR="00E20D9B">
              <w:rPr>
                <w:sz w:val="20"/>
                <w:szCs w:val="20"/>
                <w:lang w:val="en-GB"/>
              </w:rPr>
              <w:t>r</w:t>
            </w:r>
            <w:r w:rsidR="004C3877" w:rsidRPr="00686BBC">
              <w:rPr>
                <w:sz w:val="20"/>
                <w:szCs w:val="20"/>
                <w:lang w:val="en-GB"/>
              </w:rPr>
              <w:t xml:space="preserve">esilient </w:t>
            </w:r>
            <w:r w:rsidR="00E20D9B">
              <w:rPr>
                <w:sz w:val="20"/>
                <w:szCs w:val="20"/>
                <w:lang w:val="en-GB"/>
              </w:rPr>
              <w:t>r</w:t>
            </w:r>
            <w:r w:rsidR="004C3877" w:rsidRPr="00686BBC">
              <w:rPr>
                <w:sz w:val="20"/>
                <w:szCs w:val="20"/>
                <w:lang w:val="en-GB"/>
              </w:rPr>
              <w:t xml:space="preserve">ecovery offer under DRR </w:t>
            </w:r>
            <w:r w:rsidR="00E20D9B">
              <w:rPr>
                <w:sz w:val="20"/>
                <w:szCs w:val="20"/>
                <w:lang w:val="en-GB"/>
              </w:rPr>
              <w:t xml:space="preserve">that </w:t>
            </w:r>
            <w:r w:rsidR="004C3877" w:rsidRPr="00686BBC">
              <w:rPr>
                <w:sz w:val="20"/>
                <w:szCs w:val="20"/>
                <w:lang w:val="en-GB"/>
              </w:rPr>
              <w:t>integrate</w:t>
            </w:r>
            <w:r w:rsidR="00E20D9B">
              <w:rPr>
                <w:sz w:val="20"/>
                <w:szCs w:val="20"/>
                <w:lang w:val="en-GB"/>
              </w:rPr>
              <w:t>s</w:t>
            </w:r>
            <w:r w:rsidR="004C3877" w:rsidRPr="00686BBC">
              <w:rPr>
                <w:sz w:val="20"/>
                <w:szCs w:val="20"/>
                <w:lang w:val="en-GB"/>
              </w:rPr>
              <w:t xml:space="preserve"> green and adaptive considerations, linked to UNDP </w:t>
            </w:r>
            <w:r w:rsidR="00E20D9B">
              <w:rPr>
                <w:sz w:val="20"/>
                <w:szCs w:val="20"/>
                <w:lang w:val="en-GB"/>
              </w:rPr>
              <w:t>c</w:t>
            </w:r>
            <w:r w:rsidR="004C3877" w:rsidRPr="00686BBC">
              <w:rPr>
                <w:sz w:val="20"/>
                <w:szCs w:val="20"/>
                <w:lang w:val="en-GB"/>
              </w:rPr>
              <w:t xml:space="preserve">limate </w:t>
            </w:r>
            <w:r w:rsidR="00E20D9B">
              <w:rPr>
                <w:sz w:val="20"/>
                <w:szCs w:val="20"/>
                <w:lang w:val="en-GB"/>
              </w:rPr>
              <w:t>c</w:t>
            </w:r>
            <w:r w:rsidR="004C3877" w:rsidRPr="00686BBC">
              <w:rPr>
                <w:sz w:val="20"/>
                <w:szCs w:val="20"/>
                <w:lang w:val="en-GB"/>
              </w:rPr>
              <w:t xml:space="preserve">hange </w:t>
            </w:r>
            <w:r w:rsidR="00E20D9B">
              <w:rPr>
                <w:sz w:val="20"/>
                <w:szCs w:val="20"/>
                <w:lang w:val="en-GB"/>
              </w:rPr>
              <w:t>a</w:t>
            </w:r>
            <w:r w:rsidR="004C3877" w:rsidRPr="00686BBC">
              <w:rPr>
                <w:sz w:val="20"/>
                <w:szCs w:val="20"/>
                <w:lang w:val="en-GB"/>
              </w:rPr>
              <w:t xml:space="preserve">daptation </w:t>
            </w:r>
            <w:r w:rsidR="00E20D9B">
              <w:rPr>
                <w:sz w:val="20"/>
                <w:szCs w:val="20"/>
                <w:lang w:val="en-GB"/>
              </w:rPr>
              <w:t>o</w:t>
            </w:r>
            <w:r w:rsidR="004C3877" w:rsidRPr="00686BBC">
              <w:rPr>
                <w:sz w:val="20"/>
                <w:szCs w:val="20"/>
                <w:lang w:val="en-GB"/>
              </w:rPr>
              <w:t xml:space="preserve">ffer. </w:t>
            </w:r>
          </w:p>
        </w:tc>
        <w:tc>
          <w:tcPr>
            <w:tcW w:w="1885" w:type="dxa"/>
            <w:shd w:val="clear" w:color="auto" w:fill="auto"/>
          </w:tcPr>
          <w:p w14:paraId="0049A5A6" w14:textId="0EA791B4" w:rsidR="00D646A7" w:rsidRPr="00686BBC" w:rsidRDefault="00377274" w:rsidP="00022939">
            <w:pPr>
              <w:pStyle w:val="Normal0"/>
              <w:spacing w:before="0" w:after="0" w:line="240" w:lineRule="auto"/>
            </w:pPr>
            <w:r w:rsidRPr="00686BBC">
              <w:t>Q2 2021</w:t>
            </w:r>
          </w:p>
        </w:tc>
        <w:tc>
          <w:tcPr>
            <w:tcW w:w="1621" w:type="dxa"/>
            <w:shd w:val="clear" w:color="auto" w:fill="auto"/>
          </w:tcPr>
          <w:p w14:paraId="2464817C" w14:textId="6749DB15" w:rsidR="00D646A7" w:rsidRPr="00686BBC" w:rsidRDefault="00377274" w:rsidP="00022939">
            <w:pPr>
              <w:pStyle w:val="Normal0"/>
              <w:spacing w:before="0" w:after="0" w:line="240" w:lineRule="auto"/>
              <w:jc w:val="left"/>
            </w:pPr>
            <w:r w:rsidRPr="00686BBC">
              <w:t>CB</w:t>
            </w:r>
            <w:r w:rsidR="000A3AA4" w:rsidRPr="00686BBC">
              <w:t>/BPPS</w:t>
            </w:r>
          </w:p>
        </w:tc>
        <w:tc>
          <w:tcPr>
            <w:tcW w:w="1170" w:type="dxa"/>
            <w:shd w:val="clear" w:color="auto" w:fill="auto"/>
          </w:tcPr>
          <w:p w14:paraId="3EC84405" w14:textId="77777777" w:rsidR="00D646A7" w:rsidRPr="00686BBC" w:rsidRDefault="00D646A7" w:rsidP="00022939">
            <w:pPr>
              <w:pStyle w:val="Normal0"/>
              <w:spacing w:before="0" w:after="0" w:line="240" w:lineRule="auto"/>
              <w:ind w:left="66"/>
            </w:pPr>
          </w:p>
        </w:tc>
        <w:tc>
          <w:tcPr>
            <w:tcW w:w="3335" w:type="dxa"/>
            <w:shd w:val="clear" w:color="auto" w:fill="auto"/>
          </w:tcPr>
          <w:p w14:paraId="23E6511B" w14:textId="790BC825" w:rsidR="00D646A7" w:rsidRPr="00686BBC" w:rsidRDefault="2AEA6A59" w:rsidP="00022939">
            <w:pPr>
              <w:pStyle w:val="Normal0"/>
              <w:spacing w:before="0" w:after="0" w:line="240" w:lineRule="auto"/>
              <w:ind w:left="72"/>
            </w:pPr>
            <w:r w:rsidRPr="00686BBC">
              <w:t>Initiated November 2020</w:t>
            </w:r>
          </w:p>
        </w:tc>
      </w:tr>
      <w:tr w:rsidR="00D646A7" w:rsidRPr="00686BBC" w14:paraId="04E2E08B" w14:textId="77777777" w:rsidTr="004C3877">
        <w:trPr>
          <w:trHeight w:val="306"/>
        </w:trPr>
        <w:tc>
          <w:tcPr>
            <w:tcW w:w="5034" w:type="dxa"/>
            <w:shd w:val="clear" w:color="auto" w:fill="auto"/>
          </w:tcPr>
          <w:p w14:paraId="15FB94C1" w14:textId="0319A5C1" w:rsidR="00E20D9B" w:rsidRPr="00D66C5F" w:rsidRDefault="008C47DF" w:rsidP="00D66C5F">
            <w:pPr>
              <w:pStyle w:val="Normal0"/>
              <w:spacing w:before="0" w:after="0" w:line="240" w:lineRule="auto"/>
              <w:ind w:left="342" w:hanging="360"/>
              <w:rPr>
                <w:rFonts w:eastAsia="Times New Roman"/>
                <w:noProof w:val="0"/>
                <w:spacing w:val="0"/>
                <w:w w:val="100"/>
                <w:kern w:val="0"/>
              </w:rPr>
            </w:pPr>
            <w:r>
              <w:t xml:space="preserve">4.2 </w:t>
            </w:r>
            <w:r w:rsidR="00ED6A0A" w:rsidRPr="00686BBC">
              <w:rPr>
                <w:rFonts w:eastAsia="Times New Roman"/>
                <w:noProof w:val="0"/>
                <w:spacing w:val="0"/>
                <w:w w:val="100"/>
                <w:kern w:val="0"/>
              </w:rPr>
              <w:t xml:space="preserve">Design </w:t>
            </w:r>
            <w:r w:rsidR="00377274" w:rsidRPr="00686BBC">
              <w:rPr>
                <w:rFonts w:eastAsia="Times New Roman"/>
                <w:noProof w:val="0"/>
                <w:spacing w:val="0"/>
                <w:w w:val="100"/>
                <w:kern w:val="0"/>
              </w:rPr>
              <w:t xml:space="preserve">joint </w:t>
            </w:r>
            <w:r w:rsidR="550BDFAA" w:rsidRPr="00686BBC">
              <w:rPr>
                <w:rFonts w:eastAsia="Times New Roman"/>
                <w:noProof w:val="0"/>
                <w:spacing w:val="0"/>
                <w:w w:val="100"/>
                <w:kern w:val="0"/>
              </w:rPr>
              <w:t xml:space="preserve">programming and normative guidance </w:t>
            </w:r>
            <w:r w:rsidR="00E20D9B">
              <w:rPr>
                <w:rFonts w:eastAsia="Times New Roman"/>
                <w:noProof w:val="0"/>
                <w:spacing w:val="0"/>
                <w:w w:val="100"/>
                <w:kern w:val="0"/>
              </w:rPr>
              <w:t xml:space="preserve">for </w:t>
            </w:r>
            <w:r w:rsidR="00377274" w:rsidRPr="00686BBC">
              <w:rPr>
                <w:rFonts w:eastAsia="Times New Roman"/>
                <w:noProof w:val="0"/>
                <w:spacing w:val="0"/>
                <w:w w:val="100"/>
                <w:kern w:val="0"/>
              </w:rPr>
              <w:t>DRR/CCA projects</w:t>
            </w:r>
          </w:p>
        </w:tc>
        <w:tc>
          <w:tcPr>
            <w:tcW w:w="1885" w:type="dxa"/>
            <w:shd w:val="clear" w:color="auto" w:fill="auto"/>
          </w:tcPr>
          <w:p w14:paraId="6F866935" w14:textId="258A6A90" w:rsidR="00D646A7" w:rsidRPr="00686BBC" w:rsidRDefault="00377274" w:rsidP="00022939">
            <w:pPr>
              <w:pStyle w:val="Normal0"/>
              <w:spacing w:before="0" w:after="0" w:line="240" w:lineRule="auto"/>
            </w:pPr>
            <w:r w:rsidRPr="00686BBC">
              <w:t>Q2 2022</w:t>
            </w:r>
          </w:p>
        </w:tc>
        <w:tc>
          <w:tcPr>
            <w:tcW w:w="1621" w:type="dxa"/>
            <w:shd w:val="clear" w:color="auto" w:fill="auto"/>
          </w:tcPr>
          <w:p w14:paraId="127EFFD5" w14:textId="0C0A9EC6" w:rsidR="00D646A7" w:rsidRPr="00686BBC" w:rsidRDefault="00377274" w:rsidP="00022939">
            <w:pPr>
              <w:pStyle w:val="Normal0"/>
              <w:spacing w:before="0" w:after="0" w:line="240" w:lineRule="auto"/>
              <w:jc w:val="left"/>
            </w:pPr>
            <w:r w:rsidRPr="00686BBC">
              <w:t>BPPS/CB</w:t>
            </w:r>
          </w:p>
        </w:tc>
        <w:tc>
          <w:tcPr>
            <w:tcW w:w="1170" w:type="dxa"/>
            <w:shd w:val="clear" w:color="auto" w:fill="auto"/>
          </w:tcPr>
          <w:p w14:paraId="2D293F4F" w14:textId="77777777" w:rsidR="00D646A7" w:rsidRPr="00686BBC" w:rsidRDefault="00D646A7" w:rsidP="00022939">
            <w:pPr>
              <w:pStyle w:val="Normal0"/>
              <w:spacing w:before="0" w:after="0" w:line="240" w:lineRule="auto"/>
            </w:pPr>
          </w:p>
        </w:tc>
        <w:tc>
          <w:tcPr>
            <w:tcW w:w="3335" w:type="dxa"/>
            <w:shd w:val="clear" w:color="auto" w:fill="auto"/>
          </w:tcPr>
          <w:p w14:paraId="226E84A1" w14:textId="77777777" w:rsidR="00D646A7" w:rsidRPr="00686BBC" w:rsidRDefault="00D646A7" w:rsidP="00022939">
            <w:pPr>
              <w:pStyle w:val="Normal0"/>
              <w:spacing w:before="0" w:after="0" w:line="240" w:lineRule="auto"/>
              <w:ind w:left="72"/>
            </w:pPr>
          </w:p>
        </w:tc>
      </w:tr>
      <w:tr w:rsidR="00D646A7" w:rsidRPr="00686BBC" w14:paraId="525A722D" w14:textId="77777777" w:rsidTr="004C3877">
        <w:trPr>
          <w:trHeight w:val="576"/>
        </w:trPr>
        <w:tc>
          <w:tcPr>
            <w:tcW w:w="5034" w:type="dxa"/>
            <w:shd w:val="clear" w:color="auto" w:fill="auto"/>
          </w:tcPr>
          <w:p w14:paraId="0ECCF5FD" w14:textId="5E7D05F3" w:rsidR="00E20D9B" w:rsidRPr="00D66C5F" w:rsidRDefault="008C47DF" w:rsidP="00D66C5F">
            <w:pPr>
              <w:pStyle w:val="Normal0"/>
              <w:spacing w:before="0" w:after="0" w:line="240" w:lineRule="auto"/>
              <w:ind w:left="342" w:hanging="360"/>
              <w:rPr>
                <w:rFonts w:eastAsia="Times New Roman"/>
                <w:noProof w:val="0"/>
                <w:spacing w:val="0"/>
                <w:w w:val="100"/>
                <w:kern w:val="0"/>
              </w:rPr>
            </w:pPr>
            <w:r>
              <w:t xml:space="preserve">4.3 </w:t>
            </w:r>
            <w:r w:rsidR="29085269" w:rsidRPr="00686BBC">
              <w:rPr>
                <w:rFonts w:eastAsia="Times New Roman"/>
                <w:noProof w:val="0"/>
                <w:spacing w:val="0"/>
                <w:w w:val="100"/>
                <w:kern w:val="0"/>
              </w:rPr>
              <w:t xml:space="preserve">Design </w:t>
            </w:r>
            <w:r w:rsidR="00C43E1D" w:rsidRPr="00686BBC">
              <w:rPr>
                <w:rFonts w:eastAsia="Times New Roman"/>
                <w:noProof w:val="0"/>
                <w:spacing w:val="0"/>
                <w:w w:val="100"/>
                <w:kern w:val="0"/>
              </w:rPr>
              <w:t xml:space="preserve">programmatic </w:t>
            </w:r>
            <w:r w:rsidR="1133B5C3" w:rsidRPr="00686BBC">
              <w:rPr>
                <w:rFonts w:eastAsia="Times New Roman"/>
                <w:noProof w:val="0"/>
                <w:spacing w:val="0"/>
                <w:w w:val="100"/>
                <w:kern w:val="0"/>
              </w:rPr>
              <w:t>investment</w:t>
            </w:r>
            <w:r w:rsidR="00E20D9B">
              <w:rPr>
                <w:rFonts w:eastAsia="Times New Roman"/>
                <w:noProof w:val="0"/>
                <w:spacing w:val="0"/>
                <w:w w:val="100"/>
                <w:kern w:val="0"/>
              </w:rPr>
              <w:t>s</w:t>
            </w:r>
            <w:r w:rsidR="00C43E1D" w:rsidRPr="00686BBC">
              <w:rPr>
                <w:rFonts w:eastAsia="Times New Roman"/>
                <w:noProof w:val="0"/>
                <w:spacing w:val="0"/>
                <w:w w:val="100"/>
                <w:kern w:val="0"/>
              </w:rPr>
              <w:t xml:space="preserve"> for agriculture/food security in collaboration with other partners</w:t>
            </w:r>
            <w:r w:rsidR="3CF367C4" w:rsidRPr="00686BBC">
              <w:rPr>
                <w:rFonts w:eastAsia="Times New Roman"/>
                <w:noProof w:val="0"/>
                <w:spacing w:val="0"/>
                <w:w w:val="100"/>
                <w:kern w:val="0"/>
              </w:rPr>
              <w:t>, incl</w:t>
            </w:r>
            <w:r w:rsidR="0004066E" w:rsidRPr="00686BBC">
              <w:rPr>
                <w:rFonts w:eastAsia="Times New Roman"/>
                <w:noProof w:val="0"/>
                <w:spacing w:val="0"/>
                <w:w w:val="100"/>
                <w:kern w:val="0"/>
              </w:rPr>
              <w:t xml:space="preserve">uding </w:t>
            </w:r>
            <w:r w:rsidR="3CF367C4" w:rsidRPr="00686BBC">
              <w:rPr>
                <w:rFonts w:eastAsia="Times New Roman"/>
                <w:noProof w:val="0"/>
                <w:spacing w:val="0"/>
                <w:w w:val="100"/>
                <w:kern w:val="0"/>
              </w:rPr>
              <w:t>U</w:t>
            </w:r>
            <w:r w:rsidR="00E20D9B">
              <w:rPr>
                <w:rFonts w:eastAsia="Times New Roman"/>
                <w:noProof w:val="0"/>
                <w:spacing w:val="0"/>
                <w:w w:val="100"/>
                <w:kern w:val="0"/>
              </w:rPr>
              <w:t xml:space="preserve">nited Nations </w:t>
            </w:r>
            <w:r w:rsidR="3CF367C4" w:rsidRPr="00686BBC">
              <w:rPr>
                <w:rFonts w:eastAsia="Times New Roman"/>
                <w:noProof w:val="0"/>
                <w:spacing w:val="0"/>
                <w:w w:val="100"/>
                <w:kern w:val="0"/>
              </w:rPr>
              <w:t>system</w:t>
            </w:r>
            <w:r w:rsidR="0004066E" w:rsidRPr="00686BBC">
              <w:rPr>
                <w:rFonts w:eastAsia="Times New Roman"/>
                <w:noProof w:val="0"/>
                <w:spacing w:val="0"/>
                <w:w w:val="100"/>
                <w:kern w:val="0"/>
              </w:rPr>
              <w:t xml:space="preserve"> </w:t>
            </w:r>
            <w:r w:rsidR="00E20D9B">
              <w:rPr>
                <w:rFonts w:eastAsia="Times New Roman"/>
                <w:noProof w:val="0"/>
                <w:spacing w:val="0"/>
                <w:w w:val="100"/>
                <w:kern w:val="0"/>
              </w:rPr>
              <w:t>organizations</w:t>
            </w:r>
          </w:p>
        </w:tc>
        <w:tc>
          <w:tcPr>
            <w:tcW w:w="1885" w:type="dxa"/>
            <w:shd w:val="clear" w:color="auto" w:fill="auto"/>
          </w:tcPr>
          <w:p w14:paraId="680594F1" w14:textId="07D33D09" w:rsidR="00D646A7" w:rsidRPr="00686BBC" w:rsidRDefault="6733BA34" w:rsidP="00022939">
            <w:pPr>
              <w:pStyle w:val="Normal0"/>
              <w:spacing w:before="0" w:after="0" w:line="240" w:lineRule="auto"/>
            </w:pPr>
            <w:r w:rsidRPr="00686BBC">
              <w:t>Q2 2022</w:t>
            </w:r>
          </w:p>
        </w:tc>
        <w:tc>
          <w:tcPr>
            <w:tcW w:w="1621" w:type="dxa"/>
            <w:shd w:val="clear" w:color="auto" w:fill="auto"/>
          </w:tcPr>
          <w:p w14:paraId="392FDDEF" w14:textId="2B52D33D" w:rsidR="00D646A7" w:rsidRPr="00686BBC" w:rsidRDefault="0004066E" w:rsidP="00022939">
            <w:pPr>
              <w:pStyle w:val="Normal0"/>
              <w:spacing w:before="0" w:after="0" w:line="240" w:lineRule="auto"/>
              <w:jc w:val="left"/>
            </w:pPr>
            <w:r w:rsidRPr="00686BBC">
              <w:t>BPPS</w:t>
            </w:r>
          </w:p>
        </w:tc>
        <w:tc>
          <w:tcPr>
            <w:tcW w:w="1170" w:type="dxa"/>
            <w:shd w:val="clear" w:color="auto" w:fill="auto"/>
          </w:tcPr>
          <w:p w14:paraId="7C61E161" w14:textId="77777777" w:rsidR="00D646A7" w:rsidRPr="00686BBC" w:rsidRDefault="00D646A7" w:rsidP="00022939">
            <w:pPr>
              <w:pStyle w:val="Normal0"/>
              <w:spacing w:before="0" w:after="0" w:line="240" w:lineRule="auto"/>
              <w:ind w:left="66"/>
            </w:pPr>
          </w:p>
        </w:tc>
        <w:tc>
          <w:tcPr>
            <w:tcW w:w="3335" w:type="dxa"/>
            <w:shd w:val="clear" w:color="auto" w:fill="auto"/>
          </w:tcPr>
          <w:p w14:paraId="521031FC" w14:textId="77777777" w:rsidR="00D646A7" w:rsidRPr="00686BBC" w:rsidRDefault="00D646A7" w:rsidP="00022939">
            <w:pPr>
              <w:pStyle w:val="Normal0"/>
              <w:spacing w:before="0" w:after="0" w:line="240" w:lineRule="auto"/>
            </w:pPr>
          </w:p>
        </w:tc>
      </w:tr>
      <w:tr w:rsidR="00D646A7" w:rsidRPr="00686BBC" w14:paraId="5A413C2E" w14:textId="77777777" w:rsidTr="00D66C5F">
        <w:trPr>
          <w:trHeight w:val="65"/>
        </w:trPr>
        <w:tc>
          <w:tcPr>
            <w:tcW w:w="13045" w:type="dxa"/>
            <w:gridSpan w:val="5"/>
            <w:tcBorders>
              <w:bottom w:val="single" w:sz="6" w:space="0" w:color="auto"/>
            </w:tcBorders>
            <w:shd w:val="clear" w:color="auto" w:fill="E6E6E6"/>
          </w:tcPr>
          <w:p w14:paraId="5AD5303B" w14:textId="17907D52" w:rsidR="00D646A7" w:rsidRPr="00686BBC" w:rsidRDefault="00D646A7" w:rsidP="00022939">
            <w:pPr>
              <w:pStyle w:val="BodyText"/>
              <w:spacing w:before="60" w:after="60"/>
              <w:rPr>
                <w:sz w:val="20"/>
                <w:szCs w:val="20"/>
                <w:lang w:val="en-GB"/>
              </w:rPr>
            </w:pPr>
            <w:r w:rsidRPr="00686BBC">
              <w:rPr>
                <w:b/>
                <w:bCs/>
                <w:sz w:val="20"/>
                <w:szCs w:val="20"/>
                <w:lang w:val="en-GB"/>
              </w:rPr>
              <w:t xml:space="preserve">Recommendation </w:t>
            </w:r>
            <w:r w:rsidR="005363D7" w:rsidRPr="00686BBC">
              <w:rPr>
                <w:b/>
                <w:bCs/>
                <w:sz w:val="20"/>
                <w:szCs w:val="20"/>
                <w:lang w:val="en-GB"/>
              </w:rPr>
              <w:t>5</w:t>
            </w:r>
            <w:r w:rsidRPr="00686BBC">
              <w:rPr>
                <w:b/>
                <w:bCs/>
                <w:sz w:val="20"/>
                <w:szCs w:val="20"/>
                <w:lang w:val="en-GB"/>
              </w:rPr>
              <w:t xml:space="preserve">. </w:t>
            </w:r>
            <w:bookmarkStart w:id="4" w:name="_Hlk54167237"/>
            <w:r w:rsidRPr="00686BBC">
              <w:rPr>
                <w:b/>
                <w:bCs/>
                <w:sz w:val="20"/>
                <w:szCs w:val="20"/>
                <w:lang w:val="en-GB"/>
              </w:rPr>
              <w:t xml:space="preserve"> UNDP should expand its adaptation support in small island developing states</w:t>
            </w:r>
            <w:bookmarkEnd w:id="4"/>
            <w:r w:rsidR="00CA735D">
              <w:rPr>
                <w:b/>
                <w:bCs/>
                <w:sz w:val="20"/>
                <w:szCs w:val="20"/>
                <w:lang w:val="en-GB"/>
              </w:rPr>
              <w:t>.</w:t>
            </w:r>
          </w:p>
          <w:p w14:paraId="342D5CC5" w14:textId="54E72684" w:rsidR="00D646A7" w:rsidRPr="00686BBC" w:rsidRDefault="00D646A7" w:rsidP="00022939">
            <w:pPr>
              <w:pStyle w:val="BodyText"/>
              <w:spacing w:before="60" w:after="60"/>
              <w:rPr>
                <w:sz w:val="20"/>
                <w:szCs w:val="20"/>
                <w:lang w:val="en-GB"/>
              </w:rPr>
            </w:pPr>
            <w:r w:rsidRPr="00686BBC">
              <w:rPr>
                <w:sz w:val="20"/>
                <w:szCs w:val="20"/>
                <w:lang w:val="en-GB"/>
              </w:rPr>
              <w:t xml:space="preserve">Recognizing the specific vulnerabilities and high costs of operating in SIDS, UNDP should </w:t>
            </w:r>
            <w:r w:rsidR="00CB227E" w:rsidRPr="00686BBC">
              <w:rPr>
                <w:sz w:val="20"/>
                <w:szCs w:val="20"/>
                <w:lang w:val="en-GB"/>
              </w:rPr>
              <w:t>prioritize</w:t>
            </w:r>
            <w:r w:rsidRPr="00686BBC">
              <w:rPr>
                <w:sz w:val="20"/>
                <w:szCs w:val="20"/>
                <w:lang w:val="en-GB"/>
              </w:rPr>
              <w:t xml:space="preserve"> its climate change adaptation support to these countries. This should include giving priority to SIDS in the allocation of existing flexible funding mechanisms; amending resource allocation policy to enable increased core resource allocation for SIDS</w:t>
            </w:r>
            <w:r w:rsidR="007A2E8A">
              <w:rPr>
                <w:sz w:val="20"/>
                <w:szCs w:val="20"/>
                <w:lang w:val="en-GB"/>
              </w:rPr>
              <w:t>;</w:t>
            </w:r>
            <w:r w:rsidRPr="00686BBC">
              <w:rPr>
                <w:sz w:val="20"/>
                <w:szCs w:val="20"/>
                <w:lang w:val="en-GB"/>
              </w:rPr>
              <w:t xml:space="preserve"> and revising the policy governing funding of differentiated physical presence to reduce expectations about SIDS local office contributions. Such measures are important both in recognition of existing vulnerabilities</w:t>
            </w:r>
            <w:r w:rsidR="007A2E8A">
              <w:rPr>
                <w:sz w:val="20"/>
                <w:szCs w:val="20"/>
                <w:lang w:val="en-GB"/>
              </w:rPr>
              <w:t xml:space="preserve"> and </w:t>
            </w:r>
            <w:r w:rsidRPr="00686BBC">
              <w:rPr>
                <w:sz w:val="20"/>
                <w:szCs w:val="20"/>
                <w:lang w:val="en-GB"/>
              </w:rPr>
              <w:t>in anticipation of growing vulnerabilities</w:t>
            </w:r>
            <w:r w:rsidR="007A2E8A">
              <w:rPr>
                <w:sz w:val="20"/>
                <w:szCs w:val="20"/>
                <w:lang w:val="en-GB"/>
              </w:rPr>
              <w:t>,</w:t>
            </w:r>
            <w:r w:rsidRPr="00686BBC">
              <w:rPr>
                <w:sz w:val="20"/>
                <w:szCs w:val="20"/>
                <w:lang w:val="en-GB"/>
              </w:rPr>
              <w:t xml:space="preserve"> given the risks posed by global warming. </w:t>
            </w:r>
          </w:p>
          <w:p w14:paraId="4B4CBED1" w14:textId="30F43F9B" w:rsidR="009F1CFD" w:rsidRPr="00D66C5F" w:rsidRDefault="00D646A7" w:rsidP="004C3877">
            <w:pPr>
              <w:pStyle w:val="BodyText"/>
              <w:spacing w:before="60" w:after="60"/>
              <w:rPr>
                <w:sz w:val="20"/>
                <w:szCs w:val="20"/>
                <w:lang w:val="en-GB"/>
              </w:rPr>
            </w:pPr>
            <w:r w:rsidRPr="00686BBC">
              <w:rPr>
                <w:sz w:val="20"/>
                <w:szCs w:val="20"/>
                <w:lang w:val="en-GB"/>
              </w:rPr>
              <w:t>Action taken on these fronts would be consistent with Executive Board</w:t>
            </w:r>
            <w:r w:rsidR="007A2E8A">
              <w:rPr>
                <w:sz w:val="20"/>
                <w:szCs w:val="20"/>
                <w:lang w:val="en-GB"/>
              </w:rPr>
              <w:t xml:space="preserve"> decision 2020/15 on </w:t>
            </w:r>
            <w:r w:rsidRPr="00686BBC">
              <w:rPr>
                <w:sz w:val="20"/>
                <w:szCs w:val="20"/>
                <w:lang w:val="en-GB"/>
              </w:rPr>
              <w:t xml:space="preserve">the </w:t>
            </w:r>
            <w:r w:rsidR="007A2E8A">
              <w:rPr>
                <w:sz w:val="20"/>
                <w:szCs w:val="20"/>
                <w:lang w:val="en-GB"/>
              </w:rPr>
              <w:t>evaluation of UNDP development cooperation in m</w:t>
            </w:r>
            <w:r w:rsidRPr="00686BBC">
              <w:rPr>
                <w:sz w:val="20"/>
                <w:szCs w:val="20"/>
                <w:lang w:val="en-GB"/>
              </w:rPr>
              <w:t xml:space="preserve">iddle </w:t>
            </w:r>
            <w:r w:rsidR="007A2E8A">
              <w:rPr>
                <w:sz w:val="20"/>
                <w:szCs w:val="20"/>
                <w:lang w:val="en-GB"/>
              </w:rPr>
              <w:t>i</w:t>
            </w:r>
            <w:r w:rsidRPr="00686BBC">
              <w:rPr>
                <w:sz w:val="20"/>
                <w:szCs w:val="20"/>
                <w:lang w:val="en-GB"/>
              </w:rPr>
              <w:t xml:space="preserve">ncome </w:t>
            </w:r>
            <w:r w:rsidR="007A2E8A">
              <w:rPr>
                <w:sz w:val="20"/>
                <w:szCs w:val="20"/>
                <w:lang w:val="en-GB"/>
              </w:rPr>
              <w:t>c</w:t>
            </w:r>
            <w:r w:rsidRPr="00686BBC">
              <w:rPr>
                <w:sz w:val="20"/>
                <w:szCs w:val="20"/>
                <w:lang w:val="en-GB"/>
              </w:rPr>
              <w:t xml:space="preserve">ountries </w:t>
            </w:r>
            <w:r w:rsidR="007A2E8A">
              <w:rPr>
                <w:sz w:val="20"/>
                <w:szCs w:val="20"/>
                <w:lang w:val="en-GB"/>
              </w:rPr>
              <w:t>(DP/2020/21) conducted by IEO</w:t>
            </w:r>
            <w:r w:rsidRPr="00686BBC">
              <w:rPr>
                <w:sz w:val="20"/>
                <w:szCs w:val="20"/>
                <w:lang w:val="en-GB"/>
              </w:rPr>
              <w:t xml:space="preserve"> and in line with the views of the Secretary</w:t>
            </w:r>
            <w:r w:rsidR="007A2E8A">
              <w:rPr>
                <w:sz w:val="20"/>
                <w:szCs w:val="20"/>
                <w:lang w:val="en-GB"/>
              </w:rPr>
              <w:t>-</w:t>
            </w:r>
            <w:r w:rsidRPr="00686BBC">
              <w:rPr>
                <w:sz w:val="20"/>
                <w:szCs w:val="20"/>
                <w:lang w:val="en-GB"/>
              </w:rPr>
              <w:t xml:space="preserve">General in </w:t>
            </w:r>
            <w:r w:rsidR="007A2E8A">
              <w:rPr>
                <w:sz w:val="20"/>
                <w:szCs w:val="20"/>
                <w:lang w:val="en-GB"/>
              </w:rPr>
              <w:t xml:space="preserve">his report on </w:t>
            </w:r>
            <w:r w:rsidRPr="00686BBC">
              <w:rPr>
                <w:sz w:val="20"/>
                <w:szCs w:val="20"/>
                <w:lang w:val="en-GB"/>
              </w:rPr>
              <w:t xml:space="preserve">the </w:t>
            </w:r>
            <w:r w:rsidR="007A2E8A">
              <w:rPr>
                <w:sz w:val="20"/>
                <w:szCs w:val="20"/>
                <w:lang w:val="en-GB"/>
              </w:rPr>
              <w:t>implementation of General Assembly resolution 71/243 on the q</w:t>
            </w:r>
            <w:r w:rsidRPr="00686BBC">
              <w:rPr>
                <w:sz w:val="20"/>
                <w:szCs w:val="20"/>
                <w:lang w:val="en-GB"/>
              </w:rPr>
              <w:t xml:space="preserve">uadrennial </w:t>
            </w:r>
            <w:r w:rsidR="007A2E8A">
              <w:rPr>
                <w:sz w:val="20"/>
                <w:szCs w:val="20"/>
                <w:lang w:val="en-GB"/>
              </w:rPr>
              <w:t>c</w:t>
            </w:r>
            <w:r w:rsidRPr="00686BBC">
              <w:rPr>
                <w:sz w:val="20"/>
                <w:szCs w:val="20"/>
                <w:lang w:val="en-GB"/>
              </w:rPr>
              <w:t xml:space="preserve">omprehensive </w:t>
            </w:r>
            <w:r w:rsidR="007A2E8A">
              <w:rPr>
                <w:sz w:val="20"/>
                <w:szCs w:val="20"/>
                <w:lang w:val="en-GB"/>
              </w:rPr>
              <w:t>p</w:t>
            </w:r>
            <w:r w:rsidRPr="00686BBC">
              <w:rPr>
                <w:sz w:val="20"/>
                <w:szCs w:val="20"/>
                <w:lang w:val="en-GB"/>
              </w:rPr>
              <w:t xml:space="preserve">olicy </w:t>
            </w:r>
            <w:r w:rsidR="007A2E8A">
              <w:rPr>
                <w:sz w:val="20"/>
                <w:szCs w:val="20"/>
                <w:lang w:val="en-GB"/>
              </w:rPr>
              <w:t>r</w:t>
            </w:r>
            <w:r w:rsidRPr="00686BBC">
              <w:rPr>
                <w:sz w:val="20"/>
                <w:szCs w:val="20"/>
                <w:lang w:val="en-GB"/>
              </w:rPr>
              <w:t xml:space="preserve">eview of </w:t>
            </w:r>
            <w:r w:rsidR="007A2E8A">
              <w:rPr>
                <w:sz w:val="20"/>
                <w:szCs w:val="20"/>
                <w:lang w:val="en-GB"/>
              </w:rPr>
              <w:t xml:space="preserve">operational activities for development of </w:t>
            </w:r>
            <w:r w:rsidRPr="00686BBC">
              <w:rPr>
                <w:sz w:val="20"/>
                <w:szCs w:val="20"/>
                <w:lang w:val="en-GB"/>
              </w:rPr>
              <w:t>the U</w:t>
            </w:r>
            <w:r w:rsidR="007A2E8A">
              <w:rPr>
                <w:sz w:val="20"/>
                <w:szCs w:val="20"/>
                <w:lang w:val="en-GB"/>
              </w:rPr>
              <w:t xml:space="preserve">nited </w:t>
            </w:r>
            <w:r w:rsidRPr="00686BBC">
              <w:rPr>
                <w:sz w:val="20"/>
                <w:szCs w:val="20"/>
                <w:lang w:val="en-GB"/>
              </w:rPr>
              <w:t>N</w:t>
            </w:r>
            <w:r w:rsidR="007A2E8A">
              <w:rPr>
                <w:sz w:val="20"/>
                <w:szCs w:val="20"/>
                <w:lang w:val="en-GB"/>
              </w:rPr>
              <w:t>ations</w:t>
            </w:r>
            <w:r w:rsidRPr="00686BBC">
              <w:rPr>
                <w:sz w:val="20"/>
                <w:szCs w:val="20"/>
                <w:lang w:val="en-GB"/>
              </w:rPr>
              <w:t xml:space="preserve"> system</w:t>
            </w:r>
            <w:r w:rsidR="007A2E8A">
              <w:rPr>
                <w:sz w:val="20"/>
                <w:szCs w:val="20"/>
                <w:lang w:val="en-GB"/>
              </w:rPr>
              <w:t xml:space="preserve"> (A/75/79-E/2020/55)</w:t>
            </w:r>
            <w:r w:rsidRPr="00686BBC">
              <w:rPr>
                <w:sz w:val="20"/>
                <w:szCs w:val="20"/>
                <w:lang w:val="en-GB"/>
              </w:rPr>
              <w:t xml:space="preserve"> that the U</w:t>
            </w:r>
            <w:r w:rsidR="007A2E8A">
              <w:rPr>
                <w:sz w:val="20"/>
                <w:szCs w:val="20"/>
                <w:lang w:val="en-GB"/>
              </w:rPr>
              <w:t xml:space="preserve">nited </w:t>
            </w:r>
            <w:r w:rsidRPr="00686BBC">
              <w:rPr>
                <w:sz w:val="20"/>
                <w:szCs w:val="20"/>
                <w:lang w:val="en-GB"/>
              </w:rPr>
              <w:t>N</w:t>
            </w:r>
            <w:r w:rsidR="007A2E8A">
              <w:rPr>
                <w:sz w:val="20"/>
                <w:szCs w:val="20"/>
                <w:lang w:val="en-GB"/>
              </w:rPr>
              <w:t>ations</w:t>
            </w:r>
            <w:r w:rsidRPr="00686BBC">
              <w:rPr>
                <w:sz w:val="20"/>
                <w:szCs w:val="20"/>
                <w:lang w:val="en-GB"/>
              </w:rPr>
              <w:t xml:space="preserve"> development system should explore new multidimensional ways of assessing country needs that go beyond country typology and national income and take into account vulnerability aspects.  </w:t>
            </w:r>
          </w:p>
        </w:tc>
      </w:tr>
      <w:tr w:rsidR="00D646A7" w:rsidRPr="00686BBC" w14:paraId="074FE09E" w14:textId="77777777" w:rsidTr="00D66C5F">
        <w:trPr>
          <w:trHeight w:val="1158"/>
        </w:trPr>
        <w:tc>
          <w:tcPr>
            <w:tcW w:w="13045" w:type="dxa"/>
            <w:gridSpan w:val="5"/>
            <w:tcBorders>
              <w:top w:val="single" w:sz="6" w:space="0" w:color="auto"/>
              <w:bottom w:val="single" w:sz="6" w:space="0" w:color="auto"/>
            </w:tcBorders>
            <w:shd w:val="clear" w:color="auto" w:fill="E7E6E6" w:themeFill="background2"/>
          </w:tcPr>
          <w:p w14:paraId="13AE8BE7" w14:textId="4C093C17" w:rsidR="00D646A7" w:rsidRPr="00686BBC" w:rsidRDefault="00D646A7" w:rsidP="00022939">
            <w:pPr>
              <w:tabs>
                <w:tab w:val="left" w:pos="2880"/>
              </w:tabs>
              <w:jc w:val="both"/>
              <w:rPr>
                <w:sz w:val="20"/>
                <w:szCs w:val="20"/>
                <w:lang w:val="en-GB"/>
              </w:rPr>
            </w:pPr>
            <w:r w:rsidRPr="00686BBC">
              <w:rPr>
                <w:b/>
                <w:sz w:val="20"/>
                <w:szCs w:val="20"/>
                <w:lang w:val="en-GB"/>
              </w:rPr>
              <w:t>Management response</w:t>
            </w:r>
            <w:r w:rsidR="00D83B83">
              <w:rPr>
                <w:b/>
                <w:sz w:val="20"/>
                <w:szCs w:val="20"/>
                <w:lang w:val="en-GB"/>
              </w:rPr>
              <w:t>:</w:t>
            </w:r>
          </w:p>
          <w:p w14:paraId="6323E1FC" w14:textId="77777777" w:rsidR="00D646A7" w:rsidRPr="00D66C5F" w:rsidRDefault="00D646A7" w:rsidP="001D5EBD">
            <w:pPr>
              <w:pStyle w:val="paragraph"/>
              <w:tabs>
                <w:tab w:val="left" w:pos="2880"/>
              </w:tabs>
              <w:spacing w:before="0" w:beforeAutospacing="0" w:after="0" w:afterAutospacing="0"/>
              <w:jc w:val="both"/>
              <w:textAlignment w:val="baseline"/>
              <w:rPr>
                <w:sz w:val="12"/>
                <w:szCs w:val="12"/>
                <w:lang w:val="en-GB"/>
              </w:rPr>
            </w:pPr>
          </w:p>
          <w:p w14:paraId="414D1DD7" w14:textId="1083AAF5" w:rsidR="001D5EBD" w:rsidRPr="00686BBC" w:rsidRDefault="001D5EBD" w:rsidP="0051242B">
            <w:pPr>
              <w:pStyle w:val="CommentText"/>
              <w:rPr>
                <w:color w:val="000000" w:themeColor="text1"/>
                <w:lang w:val="en-GB"/>
              </w:rPr>
            </w:pPr>
            <w:r w:rsidRPr="00686BBC">
              <w:rPr>
                <w:color w:val="000000" w:themeColor="text1"/>
                <w:lang w:val="en-GB"/>
              </w:rPr>
              <w:t xml:space="preserve">UNDP </w:t>
            </w:r>
            <w:r w:rsidR="00876B7C" w:rsidRPr="00686BBC">
              <w:rPr>
                <w:color w:val="000000" w:themeColor="text1"/>
                <w:lang w:val="en-GB"/>
              </w:rPr>
              <w:t xml:space="preserve">accepts the recommendation and </w:t>
            </w:r>
            <w:r w:rsidRPr="00686BBC">
              <w:rPr>
                <w:color w:val="000000" w:themeColor="text1"/>
                <w:lang w:val="en-GB"/>
              </w:rPr>
              <w:t xml:space="preserve">recognizes the special challenges of SIDS alongside the real potential to turn the most pressing challenges into opportunities </w:t>
            </w:r>
            <w:r w:rsidR="007A2E8A">
              <w:rPr>
                <w:color w:val="000000" w:themeColor="text1"/>
                <w:lang w:val="en-GB"/>
              </w:rPr>
              <w:t xml:space="preserve">and </w:t>
            </w:r>
            <w:r w:rsidRPr="00686BBC">
              <w:rPr>
                <w:color w:val="000000" w:themeColor="text1"/>
                <w:lang w:val="en-GB"/>
              </w:rPr>
              <w:t xml:space="preserve">SIDS’ collective commitment towards transformational change and global action. Through its SIDS </w:t>
            </w:r>
            <w:r w:rsidR="007A2E8A">
              <w:rPr>
                <w:color w:val="000000" w:themeColor="text1"/>
                <w:lang w:val="en-GB"/>
              </w:rPr>
              <w:t>o</w:t>
            </w:r>
            <w:r w:rsidRPr="00686BBC">
              <w:rPr>
                <w:color w:val="000000" w:themeColor="text1"/>
                <w:lang w:val="en-GB"/>
              </w:rPr>
              <w:t>ffer, UNDP ha</w:t>
            </w:r>
            <w:r w:rsidR="0004066E" w:rsidRPr="00686BBC">
              <w:rPr>
                <w:color w:val="000000" w:themeColor="text1"/>
                <w:lang w:val="en-GB"/>
              </w:rPr>
              <w:t>s</w:t>
            </w:r>
            <w:r w:rsidRPr="00686BBC">
              <w:rPr>
                <w:color w:val="000000" w:themeColor="text1"/>
                <w:lang w:val="en-GB"/>
              </w:rPr>
              <w:t xml:space="preserve"> committed to expand its support to multipliers that accelerate progress and build on its comparative advantage in enhancing support to SIDS through a combination of </w:t>
            </w:r>
            <w:r w:rsidR="745ED158" w:rsidRPr="00686BBC">
              <w:rPr>
                <w:color w:val="000000" w:themeColor="text1"/>
                <w:lang w:val="en-GB"/>
              </w:rPr>
              <w:t xml:space="preserve">integrated </w:t>
            </w:r>
            <w:r w:rsidRPr="00686BBC">
              <w:rPr>
                <w:color w:val="000000" w:themeColor="text1"/>
                <w:lang w:val="en-GB"/>
              </w:rPr>
              <w:t>action over the next 10 years. These include climate action, developing blue economies</w:t>
            </w:r>
            <w:r w:rsidR="007A2E8A">
              <w:rPr>
                <w:color w:val="000000" w:themeColor="text1"/>
                <w:lang w:val="en-GB"/>
              </w:rPr>
              <w:t>,</w:t>
            </w:r>
            <w:r w:rsidRPr="00686BBC">
              <w:rPr>
                <w:color w:val="000000" w:themeColor="text1"/>
                <w:lang w:val="en-GB"/>
              </w:rPr>
              <w:t xml:space="preserve"> and promoting digital transformation. Th</w:t>
            </w:r>
            <w:r w:rsidR="007A2E8A">
              <w:rPr>
                <w:color w:val="000000" w:themeColor="text1"/>
                <w:lang w:val="en-GB"/>
              </w:rPr>
              <w:t>is c</w:t>
            </w:r>
            <w:r w:rsidRPr="00686BBC">
              <w:rPr>
                <w:color w:val="000000" w:themeColor="text1"/>
                <w:lang w:val="en-GB"/>
              </w:rPr>
              <w:t xml:space="preserve">limate </w:t>
            </w:r>
            <w:r w:rsidR="007A2E8A">
              <w:rPr>
                <w:color w:val="000000" w:themeColor="text1"/>
                <w:lang w:val="en-GB"/>
              </w:rPr>
              <w:t>a</w:t>
            </w:r>
            <w:r w:rsidRPr="00686BBC">
              <w:rPr>
                <w:color w:val="000000" w:themeColor="text1"/>
                <w:lang w:val="en-GB"/>
              </w:rPr>
              <w:t xml:space="preserve">ction </w:t>
            </w:r>
            <w:r w:rsidR="007A2E8A">
              <w:rPr>
                <w:color w:val="000000" w:themeColor="text1"/>
                <w:lang w:val="en-GB"/>
              </w:rPr>
              <w:t xml:space="preserve">pillar </w:t>
            </w:r>
            <w:r w:rsidRPr="00686BBC">
              <w:rPr>
                <w:color w:val="000000" w:themeColor="text1"/>
                <w:lang w:val="en-GB"/>
              </w:rPr>
              <w:t xml:space="preserve">particularly enhances climate change adaptation and resilience support to SIDS governments </w:t>
            </w:r>
            <w:r w:rsidR="007A2E8A">
              <w:rPr>
                <w:color w:val="000000" w:themeColor="text1"/>
                <w:lang w:val="en-GB"/>
              </w:rPr>
              <w:t xml:space="preserve">by </w:t>
            </w:r>
            <w:r w:rsidRPr="00686BBC">
              <w:rPr>
                <w:color w:val="000000" w:themeColor="text1"/>
                <w:lang w:val="en-GB"/>
              </w:rPr>
              <w:t xml:space="preserve">incorporating risk reduction and planning for short, medium and long-term risks in combination with </w:t>
            </w:r>
            <w:r w:rsidR="007A2E8A">
              <w:rPr>
                <w:color w:val="000000" w:themeColor="text1"/>
                <w:lang w:val="en-GB"/>
              </w:rPr>
              <w:t xml:space="preserve">the </w:t>
            </w:r>
            <w:r w:rsidRPr="00686BBC">
              <w:rPr>
                <w:color w:val="000000" w:themeColor="text1"/>
                <w:lang w:val="en-GB"/>
              </w:rPr>
              <w:t>advancement of a whole-of-island</w:t>
            </w:r>
            <w:r w:rsidR="007A2E8A">
              <w:rPr>
                <w:color w:val="000000" w:themeColor="text1"/>
                <w:lang w:val="en-GB"/>
              </w:rPr>
              <w:t xml:space="preserve"> and r</w:t>
            </w:r>
            <w:r w:rsidRPr="00686BBC">
              <w:rPr>
                <w:color w:val="000000" w:themeColor="text1"/>
                <w:lang w:val="en-GB"/>
              </w:rPr>
              <w:t>idge-to</w:t>
            </w:r>
            <w:r w:rsidR="007A2E8A">
              <w:rPr>
                <w:color w:val="000000" w:themeColor="text1"/>
                <w:lang w:val="en-GB"/>
              </w:rPr>
              <w:t>-r</w:t>
            </w:r>
            <w:r w:rsidRPr="00686BBC">
              <w:rPr>
                <w:color w:val="000000" w:themeColor="text1"/>
                <w:lang w:val="en-GB"/>
              </w:rPr>
              <w:t xml:space="preserve">eef approaches to development planning and </w:t>
            </w:r>
            <w:proofErr w:type="gramStart"/>
            <w:r w:rsidRPr="00686BBC">
              <w:rPr>
                <w:color w:val="000000" w:themeColor="text1"/>
                <w:lang w:val="en-GB"/>
              </w:rPr>
              <w:t>policy</w:t>
            </w:r>
            <w:r w:rsidR="007A2E8A">
              <w:rPr>
                <w:color w:val="000000" w:themeColor="text1"/>
                <w:lang w:val="en-GB"/>
              </w:rPr>
              <w:t>-</w:t>
            </w:r>
            <w:r w:rsidRPr="00686BBC">
              <w:rPr>
                <w:color w:val="000000" w:themeColor="text1"/>
                <w:lang w:val="en-GB"/>
              </w:rPr>
              <w:t>making</w:t>
            </w:r>
            <w:proofErr w:type="gramEnd"/>
            <w:r w:rsidRPr="00686BBC">
              <w:rPr>
                <w:color w:val="000000" w:themeColor="text1"/>
                <w:lang w:val="en-GB"/>
              </w:rPr>
              <w:t xml:space="preserve">. </w:t>
            </w:r>
          </w:p>
          <w:p w14:paraId="3444E03D" w14:textId="358CA7A9" w:rsidR="00903316" w:rsidRPr="00D66C5F" w:rsidRDefault="00903316" w:rsidP="001D5EBD">
            <w:pPr>
              <w:pStyle w:val="CommentText"/>
              <w:rPr>
                <w:color w:val="000000" w:themeColor="text1"/>
                <w:sz w:val="12"/>
                <w:szCs w:val="12"/>
                <w:lang w:val="en-GB"/>
              </w:rPr>
            </w:pPr>
          </w:p>
          <w:p w14:paraId="2A39D291" w14:textId="3BAB7B34" w:rsidR="001D5EBD" w:rsidRPr="00D66C5F" w:rsidRDefault="00DA2D55" w:rsidP="00DA2D55">
            <w:pPr>
              <w:pStyle w:val="CommentText"/>
              <w:rPr>
                <w:color w:val="000000" w:themeColor="text1"/>
                <w:lang w:val="en-GB"/>
              </w:rPr>
            </w:pPr>
            <w:r w:rsidRPr="00686BBC">
              <w:rPr>
                <w:color w:val="000000" w:themeColor="text1"/>
                <w:lang w:val="en-GB"/>
              </w:rPr>
              <w:t>In relation to the recommendation that UNDP should consider increas</w:t>
            </w:r>
            <w:r w:rsidR="007A2E8A">
              <w:rPr>
                <w:color w:val="000000" w:themeColor="text1"/>
                <w:lang w:val="en-GB"/>
              </w:rPr>
              <w:t>ing</w:t>
            </w:r>
            <w:r w:rsidRPr="00686BBC">
              <w:rPr>
                <w:color w:val="000000" w:themeColor="text1"/>
                <w:lang w:val="en-GB"/>
              </w:rPr>
              <w:t xml:space="preserve"> regular resource allocations and revising </w:t>
            </w:r>
            <w:r w:rsidR="007A2E8A">
              <w:rPr>
                <w:color w:val="000000" w:themeColor="text1"/>
                <w:lang w:val="en-GB"/>
              </w:rPr>
              <w:t xml:space="preserve">its </w:t>
            </w:r>
            <w:r w:rsidRPr="00686BBC">
              <w:rPr>
                <w:color w:val="000000" w:themeColor="text1"/>
                <w:lang w:val="en-GB"/>
              </w:rPr>
              <w:t xml:space="preserve">policy governing funding of differentiated physical presence </w:t>
            </w:r>
            <w:r w:rsidR="007A2E8A">
              <w:rPr>
                <w:color w:val="000000" w:themeColor="text1"/>
                <w:lang w:val="en-GB"/>
              </w:rPr>
              <w:t>(</w:t>
            </w:r>
            <w:r w:rsidRPr="00686BBC">
              <w:rPr>
                <w:color w:val="000000" w:themeColor="text1"/>
                <w:lang w:val="en-GB"/>
              </w:rPr>
              <w:t>to reduce expectations about SIDS local office contributions</w:t>
            </w:r>
            <w:r w:rsidR="007A2E8A">
              <w:rPr>
                <w:color w:val="000000" w:themeColor="text1"/>
                <w:lang w:val="en-GB"/>
              </w:rPr>
              <w:t>)</w:t>
            </w:r>
            <w:r w:rsidRPr="00686BBC">
              <w:rPr>
                <w:color w:val="000000" w:themeColor="text1"/>
                <w:lang w:val="en-GB"/>
              </w:rPr>
              <w:t xml:space="preserve">, UNDP notes that, in line with the management response </w:t>
            </w:r>
            <w:r w:rsidR="007A2E8A">
              <w:rPr>
                <w:lang w:val="en-GB"/>
              </w:rPr>
              <w:t xml:space="preserve">to </w:t>
            </w:r>
            <w:r w:rsidR="007A2E8A" w:rsidRPr="00686BBC">
              <w:rPr>
                <w:lang w:val="en-GB"/>
              </w:rPr>
              <w:t xml:space="preserve">the </w:t>
            </w:r>
            <w:r w:rsidR="007A2E8A">
              <w:rPr>
                <w:lang w:val="en-GB"/>
              </w:rPr>
              <w:t>evaluation of UNDP development cooperation in m</w:t>
            </w:r>
            <w:r w:rsidR="007A2E8A" w:rsidRPr="00686BBC">
              <w:rPr>
                <w:lang w:val="en-GB"/>
              </w:rPr>
              <w:t xml:space="preserve">iddle </w:t>
            </w:r>
            <w:r w:rsidR="007A2E8A">
              <w:rPr>
                <w:lang w:val="en-GB"/>
              </w:rPr>
              <w:t>i</w:t>
            </w:r>
            <w:r w:rsidR="007A2E8A" w:rsidRPr="00686BBC">
              <w:rPr>
                <w:lang w:val="en-GB"/>
              </w:rPr>
              <w:t xml:space="preserve">ncome </w:t>
            </w:r>
            <w:r w:rsidR="007A2E8A">
              <w:rPr>
                <w:lang w:val="en-GB"/>
              </w:rPr>
              <w:t>c</w:t>
            </w:r>
            <w:r w:rsidR="007A2E8A" w:rsidRPr="00686BBC">
              <w:rPr>
                <w:lang w:val="en-GB"/>
              </w:rPr>
              <w:t xml:space="preserve">ountries </w:t>
            </w:r>
            <w:r w:rsidR="007A2E8A">
              <w:rPr>
                <w:lang w:val="en-GB"/>
              </w:rPr>
              <w:t>(DP/2020/22)</w:t>
            </w:r>
            <w:r w:rsidRPr="00686BBC">
              <w:rPr>
                <w:color w:val="000000" w:themeColor="text1"/>
                <w:lang w:val="en-GB"/>
              </w:rPr>
              <w:t xml:space="preserve">, these are decisions for the Executive Board </w:t>
            </w:r>
            <w:r w:rsidR="007A2E8A">
              <w:rPr>
                <w:color w:val="000000" w:themeColor="text1"/>
                <w:lang w:val="en-GB"/>
              </w:rPr>
              <w:t xml:space="preserve">to take; </w:t>
            </w:r>
            <w:r w:rsidRPr="00686BBC">
              <w:rPr>
                <w:color w:val="000000" w:themeColor="text1"/>
                <w:lang w:val="en-GB"/>
              </w:rPr>
              <w:t xml:space="preserve">UNDP will factor these elements into its engagement with the Executive Board on the </w:t>
            </w:r>
            <w:r w:rsidR="007A2E8A">
              <w:rPr>
                <w:color w:val="000000" w:themeColor="text1"/>
                <w:lang w:val="en-GB"/>
              </w:rPr>
              <w:t>i</w:t>
            </w:r>
            <w:r w:rsidRPr="00686BBC">
              <w:rPr>
                <w:color w:val="000000" w:themeColor="text1"/>
                <w:lang w:val="en-GB"/>
              </w:rPr>
              <w:t xml:space="preserve">ntegrated resources plan and </w:t>
            </w:r>
            <w:r w:rsidR="007A2E8A">
              <w:rPr>
                <w:color w:val="000000" w:themeColor="text1"/>
                <w:lang w:val="en-GB"/>
              </w:rPr>
              <w:t>i</w:t>
            </w:r>
            <w:r w:rsidRPr="00686BBC">
              <w:rPr>
                <w:color w:val="000000" w:themeColor="text1"/>
                <w:lang w:val="en-GB"/>
              </w:rPr>
              <w:t xml:space="preserve">ntegrated </w:t>
            </w:r>
            <w:r w:rsidR="007A2E8A">
              <w:rPr>
                <w:color w:val="000000" w:themeColor="text1"/>
                <w:lang w:val="en-GB"/>
              </w:rPr>
              <w:t>b</w:t>
            </w:r>
            <w:r w:rsidRPr="00686BBC">
              <w:rPr>
                <w:color w:val="000000" w:themeColor="text1"/>
                <w:lang w:val="en-GB"/>
              </w:rPr>
              <w:t>udget</w:t>
            </w:r>
            <w:r w:rsidR="007A2E8A">
              <w:rPr>
                <w:color w:val="000000" w:themeColor="text1"/>
                <w:lang w:val="en-GB"/>
              </w:rPr>
              <w:t xml:space="preserve">, </w:t>
            </w:r>
            <w:r w:rsidR="007A2E8A" w:rsidRPr="00686BBC">
              <w:rPr>
                <w:color w:val="000000" w:themeColor="text1"/>
                <w:lang w:val="en-GB"/>
              </w:rPr>
              <w:t>2022-2025</w:t>
            </w:r>
            <w:r w:rsidR="007A2E8A">
              <w:rPr>
                <w:color w:val="000000" w:themeColor="text1"/>
                <w:lang w:val="en-GB"/>
              </w:rPr>
              <w:t xml:space="preserve">, </w:t>
            </w:r>
            <w:r w:rsidR="00772FF8" w:rsidRPr="00686BBC">
              <w:rPr>
                <w:color w:val="000000" w:themeColor="text1"/>
                <w:lang w:val="en-GB"/>
              </w:rPr>
              <w:t xml:space="preserve">and its </w:t>
            </w:r>
            <w:r w:rsidR="007A2E8A">
              <w:rPr>
                <w:color w:val="000000" w:themeColor="text1"/>
                <w:lang w:val="en-GB"/>
              </w:rPr>
              <w:t>m</w:t>
            </w:r>
            <w:r w:rsidR="00772FF8" w:rsidRPr="00686BBC">
              <w:rPr>
                <w:color w:val="000000" w:themeColor="text1"/>
                <w:lang w:val="en-GB"/>
              </w:rPr>
              <w:t xml:space="preserve">id-term </w:t>
            </w:r>
            <w:r w:rsidR="007A2E8A">
              <w:rPr>
                <w:color w:val="000000" w:themeColor="text1"/>
                <w:lang w:val="en-GB"/>
              </w:rPr>
              <w:t>r</w:t>
            </w:r>
            <w:r w:rsidR="00772FF8" w:rsidRPr="00686BBC">
              <w:rPr>
                <w:color w:val="000000" w:themeColor="text1"/>
                <w:lang w:val="en-GB"/>
              </w:rPr>
              <w:t>eview.</w:t>
            </w:r>
          </w:p>
        </w:tc>
      </w:tr>
      <w:tr w:rsidR="00D646A7" w:rsidRPr="00686BBC" w14:paraId="0EA1CDDA" w14:textId="77777777" w:rsidTr="00D66C5F">
        <w:trPr>
          <w:trHeight w:val="576"/>
        </w:trPr>
        <w:tc>
          <w:tcPr>
            <w:tcW w:w="5034" w:type="dxa"/>
            <w:tcBorders>
              <w:top w:val="single" w:sz="6" w:space="0" w:color="auto"/>
            </w:tcBorders>
            <w:shd w:val="clear" w:color="auto" w:fill="auto"/>
          </w:tcPr>
          <w:p w14:paraId="5B42B016" w14:textId="724476A1" w:rsidR="007A2E8A" w:rsidRPr="00686BBC" w:rsidRDefault="008C47DF" w:rsidP="00D66C5F">
            <w:pPr>
              <w:pStyle w:val="Normal0"/>
              <w:spacing w:before="0" w:after="0" w:line="240" w:lineRule="auto"/>
              <w:ind w:left="-18"/>
            </w:pPr>
            <w:r>
              <w:t>5.1</w:t>
            </w:r>
            <w:r w:rsidR="004C3877" w:rsidRPr="00686BBC">
              <w:t xml:space="preserve"> </w:t>
            </w:r>
            <w:r w:rsidR="00ED6A0A" w:rsidRPr="00686BBC">
              <w:t xml:space="preserve">Support design and implementation of </w:t>
            </w:r>
            <w:r w:rsidR="5581D8B2" w:rsidRPr="00686BBC">
              <w:t xml:space="preserve"> at least </w:t>
            </w:r>
            <w:r w:rsidR="007A2E8A">
              <w:t>five (</w:t>
            </w:r>
            <w:r w:rsidR="5581D8B2" w:rsidRPr="00686BBC">
              <w:t>5</w:t>
            </w:r>
            <w:r w:rsidR="007A2E8A">
              <w:t>) </w:t>
            </w:r>
            <w:r w:rsidR="00377274" w:rsidRPr="00686BBC">
              <w:t xml:space="preserve">adaptation </w:t>
            </w:r>
            <w:r w:rsidR="00ED6A0A" w:rsidRPr="00686BBC">
              <w:t>projects focusing on SIDS by mobilizing public and private sector finance</w:t>
            </w:r>
          </w:p>
        </w:tc>
        <w:tc>
          <w:tcPr>
            <w:tcW w:w="1885" w:type="dxa"/>
            <w:tcBorders>
              <w:top w:val="single" w:sz="6" w:space="0" w:color="auto"/>
            </w:tcBorders>
            <w:shd w:val="clear" w:color="auto" w:fill="auto"/>
          </w:tcPr>
          <w:p w14:paraId="286A3048" w14:textId="1ACBE838" w:rsidR="00D646A7" w:rsidRPr="00686BBC" w:rsidRDefault="00377274" w:rsidP="00022939">
            <w:pPr>
              <w:pStyle w:val="Normal0"/>
              <w:spacing w:before="0" w:after="0" w:line="240" w:lineRule="auto"/>
            </w:pPr>
            <w:r w:rsidRPr="00686BBC">
              <w:t>Q4 202</w:t>
            </w:r>
            <w:r w:rsidR="2B772868" w:rsidRPr="00686BBC">
              <w:t>2</w:t>
            </w:r>
          </w:p>
        </w:tc>
        <w:tc>
          <w:tcPr>
            <w:tcW w:w="1621" w:type="dxa"/>
            <w:tcBorders>
              <w:top w:val="single" w:sz="6" w:space="0" w:color="auto"/>
            </w:tcBorders>
            <w:shd w:val="clear" w:color="auto" w:fill="auto"/>
          </w:tcPr>
          <w:p w14:paraId="0CCB1067" w14:textId="1FDBD89F" w:rsidR="00D646A7" w:rsidRPr="00686BBC" w:rsidRDefault="00377274" w:rsidP="00022939">
            <w:pPr>
              <w:pStyle w:val="Normal0"/>
              <w:spacing w:before="0" w:after="0" w:line="240" w:lineRule="auto"/>
              <w:jc w:val="left"/>
            </w:pPr>
            <w:r w:rsidRPr="00686BBC">
              <w:t>BPPS</w:t>
            </w:r>
          </w:p>
        </w:tc>
        <w:tc>
          <w:tcPr>
            <w:tcW w:w="1170" w:type="dxa"/>
            <w:tcBorders>
              <w:top w:val="single" w:sz="6" w:space="0" w:color="auto"/>
            </w:tcBorders>
            <w:shd w:val="clear" w:color="auto" w:fill="auto"/>
          </w:tcPr>
          <w:p w14:paraId="6540F584" w14:textId="77777777" w:rsidR="00D646A7" w:rsidRPr="00686BBC" w:rsidRDefault="00D646A7" w:rsidP="00022939">
            <w:pPr>
              <w:pStyle w:val="Normal0"/>
              <w:spacing w:before="0" w:after="0" w:line="240" w:lineRule="auto"/>
            </w:pPr>
          </w:p>
        </w:tc>
        <w:tc>
          <w:tcPr>
            <w:tcW w:w="3335" w:type="dxa"/>
            <w:tcBorders>
              <w:top w:val="single" w:sz="6" w:space="0" w:color="auto"/>
            </w:tcBorders>
            <w:shd w:val="clear" w:color="auto" w:fill="auto"/>
          </w:tcPr>
          <w:p w14:paraId="0817A857" w14:textId="77777777" w:rsidR="00D646A7" w:rsidRPr="00686BBC" w:rsidRDefault="00D646A7" w:rsidP="00022939">
            <w:pPr>
              <w:pStyle w:val="Normal0"/>
              <w:spacing w:before="0" w:after="0" w:line="240" w:lineRule="auto"/>
              <w:ind w:left="-18"/>
            </w:pPr>
          </w:p>
        </w:tc>
      </w:tr>
      <w:tr w:rsidR="00D646A7" w:rsidRPr="00686BBC" w14:paraId="78CAA71F" w14:textId="77777777" w:rsidTr="00D66C5F">
        <w:trPr>
          <w:trHeight w:val="612"/>
        </w:trPr>
        <w:tc>
          <w:tcPr>
            <w:tcW w:w="13045" w:type="dxa"/>
            <w:gridSpan w:val="5"/>
            <w:shd w:val="clear" w:color="auto" w:fill="E6E6E6"/>
          </w:tcPr>
          <w:p w14:paraId="693E5B03" w14:textId="602F2F78" w:rsidR="00D646A7" w:rsidRPr="00686BBC" w:rsidRDefault="00D646A7" w:rsidP="00022939">
            <w:pPr>
              <w:pStyle w:val="BodyText"/>
              <w:spacing w:before="60" w:after="60"/>
              <w:rPr>
                <w:sz w:val="20"/>
                <w:szCs w:val="20"/>
                <w:lang w:val="en-GB"/>
              </w:rPr>
            </w:pPr>
            <w:r w:rsidRPr="00686BBC">
              <w:rPr>
                <w:b/>
                <w:bCs/>
                <w:sz w:val="20"/>
                <w:szCs w:val="20"/>
                <w:lang w:val="en-GB"/>
              </w:rPr>
              <w:t xml:space="preserve">Recommendation </w:t>
            </w:r>
            <w:r w:rsidR="005363D7" w:rsidRPr="00686BBC">
              <w:rPr>
                <w:b/>
                <w:bCs/>
                <w:sz w:val="20"/>
                <w:szCs w:val="20"/>
                <w:lang w:val="en-GB"/>
              </w:rPr>
              <w:t>6</w:t>
            </w:r>
            <w:r w:rsidRPr="00686BBC">
              <w:rPr>
                <w:b/>
                <w:bCs/>
                <w:sz w:val="20"/>
                <w:szCs w:val="20"/>
                <w:lang w:val="en-GB"/>
              </w:rPr>
              <w:t>: UNDP should establish clear priorities</w:t>
            </w:r>
            <w:r w:rsidR="0004066E" w:rsidRPr="00686BBC">
              <w:rPr>
                <w:b/>
                <w:bCs/>
                <w:sz w:val="20"/>
                <w:szCs w:val="20"/>
                <w:lang w:val="en-GB"/>
              </w:rPr>
              <w:t xml:space="preserve"> for </w:t>
            </w:r>
            <w:r w:rsidRPr="00686BBC">
              <w:rPr>
                <w:b/>
                <w:bCs/>
                <w:sz w:val="20"/>
                <w:szCs w:val="20"/>
                <w:lang w:val="en-GB"/>
              </w:rPr>
              <w:t>private sector engagement on climate change adaptation.</w:t>
            </w:r>
          </w:p>
          <w:p w14:paraId="18365E41" w14:textId="5443D94B" w:rsidR="005367A7" w:rsidRPr="00686BBC" w:rsidRDefault="00D646A7" w:rsidP="00D66C5F">
            <w:pPr>
              <w:pStyle w:val="BodyText"/>
              <w:spacing w:before="60" w:after="0"/>
              <w:rPr>
                <w:sz w:val="20"/>
                <w:szCs w:val="20"/>
                <w:lang w:val="en-GB"/>
              </w:rPr>
            </w:pPr>
            <w:r w:rsidRPr="00686BBC">
              <w:rPr>
                <w:sz w:val="20"/>
                <w:szCs w:val="20"/>
                <w:lang w:val="en-GB"/>
              </w:rPr>
              <w:t xml:space="preserve">Private sector engagement and scaling up private finance has a critical role to play in adaptation, and UNDP can benefit from a </w:t>
            </w:r>
            <w:r w:rsidR="00CB227E" w:rsidRPr="00686BBC">
              <w:rPr>
                <w:sz w:val="20"/>
                <w:szCs w:val="20"/>
                <w:lang w:val="en-GB"/>
              </w:rPr>
              <w:t>prioritized</w:t>
            </w:r>
            <w:r w:rsidRPr="00686BBC">
              <w:rPr>
                <w:sz w:val="20"/>
                <w:szCs w:val="20"/>
                <w:lang w:val="en-GB"/>
              </w:rPr>
              <w:t xml:space="preserve"> strategy for strengthening its engagement in the area. Deepening engagement with the private sector will require significant investment, strong </w:t>
            </w:r>
            <w:r w:rsidR="00CB227E" w:rsidRPr="00686BBC">
              <w:rPr>
                <w:sz w:val="20"/>
                <w:szCs w:val="20"/>
                <w:lang w:val="en-GB"/>
              </w:rPr>
              <w:t>prioritization</w:t>
            </w:r>
            <w:r w:rsidRPr="00686BBC">
              <w:rPr>
                <w:sz w:val="20"/>
                <w:szCs w:val="20"/>
                <w:lang w:val="en-GB"/>
              </w:rPr>
              <w:t>, careful choices</w:t>
            </w:r>
            <w:r w:rsidR="00CA735D">
              <w:rPr>
                <w:sz w:val="20"/>
                <w:szCs w:val="20"/>
                <w:lang w:val="en-GB"/>
              </w:rPr>
              <w:t>,</w:t>
            </w:r>
            <w:r w:rsidRPr="00686BBC">
              <w:rPr>
                <w:sz w:val="20"/>
                <w:szCs w:val="20"/>
                <w:lang w:val="en-GB"/>
              </w:rPr>
              <w:t xml:space="preserve"> and clear metrics to assess impact.</w:t>
            </w:r>
            <w:r w:rsidRPr="00686BBC">
              <w:rPr>
                <w:rStyle w:val="FootnoteReference"/>
                <w:sz w:val="20"/>
                <w:szCs w:val="20"/>
                <w:lang w:val="en-GB"/>
              </w:rPr>
              <w:footnoteReference w:id="3"/>
            </w:r>
            <w:r w:rsidRPr="00686BBC">
              <w:rPr>
                <w:sz w:val="20"/>
                <w:szCs w:val="20"/>
                <w:lang w:val="en-GB"/>
              </w:rPr>
              <w:t xml:space="preserve"> Limitations in the availability of technical and financial resources implies the need to focus on a limited number of priorities, which can be addressed well</w:t>
            </w:r>
            <w:r w:rsidR="00CA735D">
              <w:rPr>
                <w:sz w:val="20"/>
                <w:szCs w:val="20"/>
                <w:lang w:val="en-GB"/>
              </w:rPr>
              <w:t>,</w:t>
            </w:r>
            <w:r w:rsidRPr="00686BBC">
              <w:rPr>
                <w:sz w:val="20"/>
                <w:szCs w:val="20"/>
                <w:lang w:val="en-GB"/>
              </w:rPr>
              <w:t xml:space="preserve"> and provide the basis for progressive expansion. </w:t>
            </w:r>
          </w:p>
        </w:tc>
      </w:tr>
      <w:tr w:rsidR="00D646A7" w:rsidRPr="00686BBC" w14:paraId="55EC3271" w14:textId="77777777" w:rsidTr="57BE61B2">
        <w:trPr>
          <w:trHeight w:val="1248"/>
        </w:trPr>
        <w:tc>
          <w:tcPr>
            <w:tcW w:w="13045" w:type="dxa"/>
            <w:gridSpan w:val="5"/>
            <w:shd w:val="clear" w:color="auto" w:fill="F3F3F3"/>
          </w:tcPr>
          <w:p w14:paraId="117A435B" w14:textId="531133A1" w:rsidR="00D646A7" w:rsidRPr="00686BBC" w:rsidRDefault="00D646A7" w:rsidP="00022939">
            <w:pPr>
              <w:tabs>
                <w:tab w:val="left" w:pos="2880"/>
              </w:tabs>
              <w:jc w:val="both"/>
              <w:rPr>
                <w:b/>
                <w:sz w:val="20"/>
                <w:szCs w:val="20"/>
                <w:lang w:val="en-GB"/>
              </w:rPr>
            </w:pPr>
            <w:r w:rsidRPr="00686BBC">
              <w:rPr>
                <w:b/>
                <w:sz w:val="20"/>
                <w:szCs w:val="20"/>
                <w:lang w:val="en-GB"/>
              </w:rPr>
              <w:t>Management response</w:t>
            </w:r>
            <w:r w:rsidR="00D83B83">
              <w:rPr>
                <w:b/>
                <w:sz w:val="20"/>
                <w:szCs w:val="20"/>
                <w:lang w:val="en-GB"/>
              </w:rPr>
              <w:t>:</w:t>
            </w:r>
          </w:p>
          <w:p w14:paraId="5FFD084C" w14:textId="77777777" w:rsidR="00D646A7" w:rsidRPr="00D66C5F" w:rsidRDefault="00D646A7" w:rsidP="00022939">
            <w:pPr>
              <w:rPr>
                <w:sz w:val="12"/>
                <w:szCs w:val="12"/>
                <w:lang w:val="en-GB"/>
              </w:rPr>
            </w:pPr>
            <w:r w:rsidRPr="00686BBC">
              <w:rPr>
                <w:sz w:val="20"/>
                <w:szCs w:val="20"/>
                <w:lang w:val="en-GB"/>
              </w:rPr>
              <w:t xml:space="preserve"> </w:t>
            </w:r>
          </w:p>
          <w:p w14:paraId="4D785FF5" w14:textId="18CDFC2A" w:rsidR="001D5EBD" w:rsidRPr="00686BBC" w:rsidRDefault="005F4883" w:rsidP="00EE41B2">
            <w:pPr>
              <w:pStyle w:val="CommentText"/>
              <w:rPr>
                <w:lang w:val="en-GB"/>
              </w:rPr>
            </w:pPr>
            <w:r w:rsidRPr="00686BBC">
              <w:rPr>
                <w:lang w:val="en-GB"/>
              </w:rPr>
              <w:t xml:space="preserve">UNDP </w:t>
            </w:r>
            <w:r w:rsidR="00876B7C" w:rsidRPr="00686BBC">
              <w:rPr>
                <w:lang w:val="en-GB"/>
              </w:rPr>
              <w:t>accepts the recommendation</w:t>
            </w:r>
            <w:r w:rsidR="005F05F8">
              <w:rPr>
                <w:lang w:val="en-GB"/>
              </w:rPr>
              <w:t>,</w:t>
            </w:r>
            <w:r w:rsidR="00876B7C" w:rsidRPr="00686BBC">
              <w:rPr>
                <w:lang w:val="en-GB"/>
              </w:rPr>
              <w:t xml:space="preserve"> noting that it </w:t>
            </w:r>
            <w:r w:rsidRPr="00686BBC">
              <w:rPr>
                <w:lang w:val="en-GB"/>
              </w:rPr>
              <w:t xml:space="preserve">has </w:t>
            </w:r>
            <w:r w:rsidR="009967E4" w:rsidRPr="00686BBC">
              <w:rPr>
                <w:lang w:val="en-GB"/>
              </w:rPr>
              <w:t>been steadily increasing</w:t>
            </w:r>
            <w:r w:rsidR="0053589B" w:rsidRPr="00686BBC">
              <w:rPr>
                <w:lang w:val="en-GB"/>
              </w:rPr>
              <w:t xml:space="preserve"> private sector engagement in adaptation and</w:t>
            </w:r>
            <w:r w:rsidR="003F1F87" w:rsidRPr="00686BBC">
              <w:rPr>
                <w:lang w:val="en-GB"/>
              </w:rPr>
              <w:t xml:space="preserve"> </w:t>
            </w:r>
            <w:r w:rsidRPr="00686BBC">
              <w:rPr>
                <w:lang w:val="en-GB"/>
              </w:rPr>
              <w:t xml:space="preserve">framing </w:t>
            </w:r>
            <w:r w:rsidR="005F05F8">
              <w:rPr>
                <w:lang w:val="en-GB"/>
              </w:rPr>
              <w:t xml:space="preserve">its </w:t>
            </w:r>
            <w:r w:rsidR="003F1F87" w:rsidRPr="00686BBC">
              <w:rPr>
                <w:lang w:val="en-GB"/>
              </w:rPr>
              <w:t>adaptation efforts</w:t>
            </w:r>
            <w:r w:rsidRPr="00686BBC">
              <w:rPr>
                <w:lang w:val="en-GB"/>
              </w:rPr>
              <w:t xml:space="preserve"> to support </w:t>
            </w:r>
            <w:r w:rsidR="003F1F87" w:rsidRPr="00686BBC">
              <w:rPr>
                <w:lang w:val="en-GB"/>
              </w:rPr>
              <w:t>a range of private sector actors</w:t>
            </w:r>
            <w:r w:rsidR="005F05F8">
              <w:rPr>
                <w:lang w:val="en-GB"/>
              </w:rPr>
              <w:t>,</w:t>
            </w:r>
            <w:r w:rsidR="003F1F87" w:rsidRPr="00686BBC">
              <w:rPr>
                <w:lang w:val="en-GB"/>
              </w:rPr>
              <w:t xml:space="preserve"> including </w:t>
            </w:r>
            <w:r w:rsidRPr="00686BBC">
              <w:rPr>
                <w:lang w:val="en-GB"/>
              </w:rPr>
              <w:t>MSMEs, value-chain actors/businesses, and crowding</w:t>
            </w:r>
            <w:r w:rsidR="005F05F8">
              <w:rPr>
                <w:lang w:val="en-GB"/>
              </w:rPr>
              <w:t>-</w:t>
            </w:r>
            <w:r w:rsidRPr="00686BBC">
              <w:rPr>
                <w:lang w:val="en-GB"/>
              </w:rPr>
              <w:t>in financial/capital providers</w:t>
            </w:r>
            <w:r w:rsidR="005F05F8">
              <w:rPr>
                <w:lang w:val="en-GB"/>
              </w:rPr>
              <w:t>,</w:t>
            </w:r>
            <w:r w:rsidR="7A7797E9" w:rsidRPr="00686BBC">
              <w:rPr>
                <w:lang w:val="en-GB"/>
              </w:rPr>
              <w:t xml:space="preserve"> including around insurance and other areas of risk informed financing</w:t>
            </w:r>
            <w:r w:rsidRPr="00686BBC">
              <w:rPr>
                <w:lang w:val="en-GB"/>
              </w:rPr>
              <w:t xml:space="preserve">. </w:t>
            </w:r>
            <w:r w:rsidR="001D5EBD" w:rsidRPr="00686BBC">
              <w:rPr>
                <w:lang w:val="en-GB"/>
              </w:rPr>
              <w:t xml:space="preserve">UNDP has </w:t>
            </w:r>
            <w:r w:rsidR="003F0A67" w:rsidRPr="00686BBC">
              <w:rPr>
                <w:lang w:val="en-GB"/>
              </w:rPr>
              <w:t>also been developing a</w:t>
            </w:r>
            <w:r w:rsidR="001D5EBD" w:rsidRPr="00686BBC">
              <w:rPr>
                <w:lang w:val="en-GB"/>
              </w:rPr>
              <w:t xml:space="preserve"> structured approach for engaging the private sector in climate change adaptation, informed by a new framework focused on de-risking private sector investments in the adaptation space.. </w:t>
            </w:r>
          </w:p>
          <w:p w14:paraId="7FE55D59" w14:textId="14EFF407" w:rsidR="001D5EBD" w:rsidRPr="00D66C5F" w:rsidRDefault="001D5EBD" w:rsidP="00EE41B2">
            <w:pPr>
              <w:pStyle w:val="CommentText"/>
              <w:rPr>
                <w:sz w:val="12"/>
                <w:szCs w:val="12"/>
                <w:lang w:val="en-GB"/>
              </w:rPr>
            </w:pPr>
          </w:p>
          <w:p w14:paraId="764C818E" w14:textId="524DBB3A" w:rsidR="001D5EBD" w:rsidRPr="00686BBC" w:rsidRDefault="00EE41B2" w:rsidP="00EE41B2">
            <w:pPr>
              <w:pStyle w:val="CommentText"/>
              <w:rPr>
                <w:lang w:val="en-GB"/>
              </w:rPr>
            </w:pPr>
            <w:r w:rsidRPr="00686BBC">
              <w:rPr>
                <w:lang w:val="en-GB"/>
              </w:rPr>
              <w:t xml:space="preserve">UNDP has launched a </w:t>
            </w:r>
            <w:r w:rsidR="001905D8" w:rsidRPr="00686BBC">
              <w:rPr>
                <w:lang w:val="en-GB"/>
              </w:rPr>
              <w:t xml:space="preserve">flagship project (jointly with FAO) </w:t>
            </w:r>
            <w:r w:rsidR="005F05F8">
              <w:rPr>
                <w:lang w:val="en-GB"/>
              </w:rPr>
              <w:t xml:space="preserve">to develop a </w:t>
            </w:r>
            <w:r w:rsidR="001905D8" w:rsidRPr="00686BBC">
              <w:rPr>
                <w:lang w:val="en-GB"/>
              </w:rPr>
              <w:t>climate risk-informed, gender</w:t>
            </w:r>
            <w:r w:rsidR="005F05F8">
              <w:rPr>
                <w:lang w:val="en-GB"/>
              </w:rPr>
              <w:t>-</w:t>
            </w:r>
            <w:r w:rsidR="001905D8" w:rsidRPr="00686BBC">
              <w:rPr>
                <w:lang w:val="en-GB"/>
              </w:rPr>
              <w:t xml:space="preserve">sensitive value-chain development toolkit to support market and value-chain development in the agriculture and food sector. UNDP has also been </w:t>
            </w:r>
            <w:r w:rsidR="003F1178" w:rsidRPr="00686BBC">
              <w:rPr>
                <w:lang w:val="en-GB"/>
              </w:rPr>
              <w:t xml:space="preserve">advancing support to </w:t>
            </w:r>
            <w:r w:rsidR="008A3663" w:rsidRPr="00686BBC">
              <w:rPr>
                <w:lang w:val="en-GB"/>
              </w:rPr>
              <w:t>MSMEs</w:t>
            </w:r>
            <w:r w:rsidR="003F1178" w:rsidRPr="00686BBC">
              <w:rPr>
                <w:lang w:val="en-GB"/>
              </w:rPr>
              <w:t xml:space="preserve">, access to finance, and broader adaptation innovation </w:t>
            </w:r>
            <w:r w:rsidR="00AB65FC" w:rsidRPr="00686BBC">
              <w:rPr>
                <w:lang w:val="en-GB"/>
              </w:rPr>
              <w:t xml:space="preserve">through its portfolio support on water access and resource management, </w:t>
            </w:r>
            <w:r w:rsidR="00B0065E" w:rsidRPr="00686BBC">
              <w:rPr>
                <w:lang w:val="en-GB"/>
              </w:rPr>
              <w:t>agriculture and food systems, ecosystem-based adaptation,</w:t>
            </w:r>
            <w:r w:rsidR="005F05F8">
              <w:rPr>
                <w:lang w:val="en-GB"/>
              </w:rPr>
              <w:t xml:space="preserve"> among others,</w:t>
            </w:r>
            <w:r w:rsidR="00B0065E" w:rsidRPr="00686BBC">
              <w:rPr>
                <w:lang w:val="en-GB"/>
              </w:rPr>
              <w:t xml:space="preserve"> focusing on livelihoods and enterprise development.</w:t>
            </w:r>
            <w:r w:rsidR="479EAB9A" w:rsidRPr="00686BBC">
              <w:rPr>
                <w:lang w:val="en-GB"/>
              </w:rPr>
              <w:t xml:space="preserve"> UNDP FAC</w:t>
            </w:r>
            <w:r w:rsidR="005F05F8">
              <w:rPr>
                <w:lang w:val="en-GB"/>
              </w:rPr>
              <w:t xml:space="preserve">S </w:t>
            </w:r>
            <w:r w:rsidR="479EAB9A" w:rsidRPr="00686BBC">
              <w:rPr>
                <w:lang w:val="en-GB"/>
              </w:rPr>
              <w:t xml:space="preserve">has </w:t>
            </w:r>
            <w:r w:rsidR="005F05F8">
              <w:rPr>
                <w:lang w:val="en-GB"/>
              </w:rPr>
              <w:t xml:space="preserve">likewise </w:t>
            </w:r>
            <w:r w:rsidR="479EAB9A" w:rsidRPr="00686BBC">
              <w:rPr>
                <w:lang w:val="en-GB"/>
              </w:rPr>
              <w:t>prioritized greater engagement with the private sector in the agricultural sectors</w:t>
            </w:r>
            <w:r w:rsidR="005F05F8">
              <w:rPr>
                <w:lang w:val="en-GB"/>
              </w:rPr>
              <w:t>,</w:t>
            </w:r>
            <w:r w:rsidR="479EAB9A" w:rsidRPr="00686BBC">
              <w:rPr>
                <w:lang w:val="en-GB"/>
              </w:rPr>
              <w:t xml:space="preserve"> including on adaptation.</w:t>
            </w:r>
          </w:p>
          <w:p w14:paraId="099621C5" w14:textId="11C884B2" w:rsidR="3EE96F04" w:rsidRPr="00D66C5F" w:rsidRDefault="3EE96F04" w:rsidP="3EE96F04">
            <w:pPr>
              <w:pStyle w:val="CommentText"/>
              <w:rPr>
                <w:sz w:val="12"/>
                <w:szCs w:val="12"/>
                <w:lang w:val="en-GB"/>
              </w:rPr>
            </w:pPr>
          </w:p>
          <w:p w14:paraId="0CEC86D6" w14:textId="2E8F94E6" w:rsidR="7801B92E" w:rsidRPr="00686BBC" w:rsidRDefault="7801B92E" w:rsidP="3EE96F04">
            <w:pPr>
              <w:pStyle w:val="CommentText"/>
              <w:rPr>
                <w:lang w:val="en-GB"/>
              </w:rPr>
            </w:pPr>
            <w:r w:rsidRPr="00686BBC">
              <w:rPr>
                <w:lang w:val="en-GB"/>
              </w:rPr>
              <w:t>UNDP aims to deliver risk finance solutions</w:t>
            </w:r>
            <w:r w:rsidR="005F05F8">
              <w:rPr>
                <w:lang w:val="en-GB"/>
              </w:rPr>
              <w:t>,</w:t>
            </w:r>
            <w:r w:rsidRPr="00686BBC">
              <w:rPr>
                <w:lang w:val="en-GB"/>
              </w:rPr>
              <w:t xml:space="preserve"> including insu</w:t>
            </w:r>
            <w:r w:rsidR="369BE9A4" w:rsidRPr="00686BBC">
              <w:rPr>
                <w:lang w:val="en-GB"/>
              </w:rPr>
              <w:t>rance to vulnerable countries and communities</w:t>
            </w:r>
            <w:r w:rsidR="005F05F8">
              <w:rPr>
                <w:lang w:val="en-GB"/>
              </w:rPr>
              <w:t>,</w:t>
            </w:r>
            <w:r w:rsidR="369BE9A4" w:rsidRPr="00686BBC">
              <w:rPr>
                <w:lang w:val="en-GB"/>
              </w:rPr>
              <w:t xml:space="preserve"> </w:t>
            </w:r>
            <w:r w:rsidRPr="00686BBC">
              <w:rPr>
                <w:lang w:val="en-GB"/>
              </w:rPr>
              <w:t xml:space="preserve">and align and leverage the work of </w:t>
            </w:r>
            <w:r w:rsidR="005F05F8">
              <w:rPr>
                <w:lang w:val="en-GB"/>
              </w:rPr>
              <w:t xml:space="preserve">its </w:t>
            </w:r>
            <w:r w:rsidR="252DE362" w:rsidRPr="00686BBC">
              <w:rPr>
                <w:lang w:val="en-GB"/>
              </w:rPr>
              <w:t>insurance and risk f</w:t>
            </w:r>
            <w:r w:rsidRPr="00686BBC">
              <w:rPr>
                <w:lang w:val="en-GB"/>
              </w:rPr>
              <w:t>acility</w:t>
            </w:r>
            <w:r w:rsidR="005F05F8">
              <w:rPr>
                <w:lang w:val="en-GB"/>
              </w:rPr>
              <w:t xml:space="preserve"> (</w:t>
            </w:r>
            <w:r w:rsidR="3A0BF389" w:rsidRPr="00686BBC">
              <w:rPr>
                <w:lang w:val="en-GB"/>
              </w:rPr>
              <w:t xml:space="preserve">being set up as part of </w:t>
            </w:r>
            <w:r w:rsidR="005F05F8">
              <w:rPr>
                <w:lang w:val="en-GB"/>
              </w:rPr>
              <w:t xml:space="preserve">the </w:t>
            </w:r>
            <w:r w:rsidR="3A0BF389" w:rsidRPr="00686BBC">
              <w:rPr>
                <w:lang w:val="en-GB"/>
              </w:rPr>
              <w:t>UNDP Finance Sector Hub</w:t>
            </w:r>
            <w:r w:rsidR="005F05F8">
              <w:rPr>
                <w:lang w:val="en-GB"/>
              </w:rPr>
              <w:t xml:space="preserve">) </w:t>
            </w:r>
            <w:r w:rsidRPr="00686BBC">
              <w:rPr>
                <w:lang w:val="en-GB"/>
              </w:rPr>
              <w:t xml:space="preserve">with </w:t>
            </w:r>
            <w:r w:rsidR="005F05F8">
              <w:rPr>
                <w:lang w:val="en-GB"/>
              </w:rPr>
              <w:t xml:space="preserve">its </w:t>
            </w:r>
            <w:r w:rsidRPr="00686BBC">
              <w:rPr>
                <w:lang w:val="en-GB"/>
              </w:rPr>
              <w:t>adaptation</w:t>
            </w:r>
            <w:r w:rsidR="005F05F8">
              <w:rPr>
                <w:lang w:val="en-GB"/>
              </w:rPr>
              <w:t xml:space="preserve">-related </w:t>
            </w:r>
            <w:r w:rsidRPr="00686BBC">
              <w:rPr>
                <w:lang w:val="en-GB"/>
              </w:rPr>
              <w:t>work.</w:t>
            </w:r>
          </w:p>
          <w:p w14:paraId="2D57B31B" w14:textId="7BA1095C" w:rsidR="3EE96F04" w:rsidRPr="00D66C5F" w:rsidRDefault="3EE96F04" w:rsidP="3EE96F04">
            <w:pPr>
              <w:pStyle w:val="CommentText"/>
              <w:rPr>
                <w:sz w:val="12"/>
                <w:szCs w:val="12"/>
                <w:lang w:val="en-GB"/>
              </w:rPr>
            </w:pPr>
          </w:p>
          <w:p w14:paraId="1A76AD89" w14:textId="1FE7DB5E" w:rsidR="005F05F8" w:rsidRPr="00686BBC" w:rsidRDefault="32F63D99" w:rsidP="005F4883">
            <w:pPr>
              <w:pStyle w:val="CommentText"/>
              <w:rPr>
                <w:lang w:val="en-GB"/>
              </w:rPr>
            </w:pPr>
            <w:r w:rsidRPr="00686BBC">
              <w:rPr>
                <w:lang w:val="en-GB"/>
              </w:rPr>
              <w:t>UNDP will continue to accelerate private sector engagement in its adaptation work and scale up innovative approaches</w:t>
            </w:r>
            <w:r w:rsidR="005F05F8">
              <w:rPr>
                <w:lang w:val="en-GB"/>
              </w:rPr>
              <w:t>,</w:t>
            </w:r>
            <w:r w:rsidRPr="00686BBC">
              <w:rPr>
                <w:lang w:val="en-GB"/>
              </w:rPr>
              <w:t xml:space="preserve"> including through the deployment and use of recently updated policies such as on-granting, performance-based payment</w:t>
            </w:r>
            <w:r w:rsidR="0F5CD86F" w:rsidRPr="00686BBC">
              <w:rPr>
                <w:lang w:val="en-GB"/>
              </w:rPr>
              <w:t xml:space="preserve">, </w:t>
            </w:r>
            <w:r w:rsidRPr="00686BBC">
              <w:rPr>
                <w:lang w:val="en-GB"/>
              </w:rPr>
              <w:t>and guarantee polic</w:t>
            </w:r>
            <w:r w:rsidR="347F388D" w:rsidRPr="00686BBC">
              <w:rPr>
                <w:lang w:val="en-GB"/>
              </w:rPr>
              <w:t>ies</w:t>
            </w:r>
            <w:r w:rsidRPr="00686BBC">
              <w:rPr>
                <w:lang w:val="en-GB"/>
              </w:rPr>
              <w:t>.</w:t>
            </w:r>
          </w:p>
        </w:tc>
      </w:tr>
      <w:tr w:rsidR="00D646A7" w:rsidRPr="00686BBC" w14:paraId="600970A8" w14:textId="77777777" w:rsidTr="004C3877">
        <w:trPr>
          <w:trHeight w:val="576"/>
        </w:trPr>
        <w:tc>
          <w:tcPr>
            <w:tcW w:w="5034" w:type="dxa"/>
            <w:shd w:val="clear" w:color="auto" w:fill="auto"/>
          </w:tcPr>
          <w:p w14:paraId="261C9A69" w14:textId="124C375B" w:rsidR="005F05F8" w:rsidRPr="00686BBC" w:rsidRDefault="008C47DF" w:rsidP="00D66C5F">
            <w:pPr>
              <w:ind w:left="331" w:hanging="360"/>
              <w:rPr>
                <w:sz w:val="20"/>
                <w:szCs w:val="20"/>
                <w:lang w:val="en-GB"/>
              </w:rPr>
            </w:pPr>
            <w:r>
              <w:rPr>
                <w:sz w:val="20"/>
                <w:szCs w:val="20"/>
                <w:lang w:val="en-GB"/>
              </w:rPr>
              <w:t>6.1</w:t>
            </w:r>
            <w:r w:rsidR="001E1D27" w:rsidRPr="00686BBC">
              <w:rPr>
                <w:sz w:val="20"/>
                <w:szCs w:val="20"/>
                <w:lang w:val="en-GB"/>
              </w:rPr>
              <w:t xml:space="preserve"> </w:t>
            </w:r>
            <w:r w:rsidR="36DC4086" w:rsidRPr="00686BBC">
              <w:rPr>
                <w:sz w:val="20"/>
                <w:szCs w:val="20"/>
                <w:lang w:val="en-GB"/>
              </w:rPr>
              <w:t xml:space="preserve"> Refine the climate change adaptation strategy for private sector engagement</w:t>
            </w:r>
            <w:r w:rsidR="005F05F8">
              <w:rPr>
                <w:sz w:val="20"/>
                <w:szCs w:val="20"/>
                <w:lang w:val="en-GB"/>
              </w:rPr>
              <w:t>,</w:t>
            </w:r>
            <w:r w:rsidR="36DC4086" w:rsidRPr="00686BBC">
              <w:rPr>
                <w:sz w:val="20"/>
                <w:szCs w:val="20"/>
                <w:lang w:val="en-GB"/>
              </w:rPr>
              <w:t xml:space="preserve"> including deepening engagement </w:t>
            </w:r>
            <w:r w:rsidR="005F05F8">
              <w:rPr>
                <w:sz w:val="20"/>
                <w:szCs w:val="20"/>
                <w:lang w:val="en-GB"/>
              </w:rPr>
              <w:t>i</w:t>
            </w:r>
            <w:r w:rsidR="36DC4086" w:rsidRPr="00686BBC">
              <w:rPr>
                <w:sz w:val="20"/>
                <w:szCs w:val="20"/>
                <w:lang w:val="en-GB"/>
              </w:rPr>
              <w:t>n private sector financing for adaptation</w:t>
            </w:r>
          </w:p>
        </w:tc>
        <w:tc>
          <w:tcPr>
            <w:tcW w:w="1885" w:type="dxa"/>
            <w:shd w:val="clear" w:color="auto" w:fill="auto"/>
          </w:tcPr>
          <w:p w14:paraId="325C678A" w14:textId="6FFE4E19" w:rsidR="00D646A7" w:rsidRPr="00686BBC" w:rsidRDefault="003F2CD3" w:rsidP="00022939">
            <w:pPr>
              <w:pStyle w:val="Normal0"/>
              <w:spacing w:before="0" w:after="0" w:line="240" w:lineRule="auto"/>
              <w:ind w:firstLine="8"/>
            </w:pPr>
            <w:r w:rsidRPr="00686BBC">
              <w:t>Q2 202</w:t>
            </w:r>
            <w:r w:rsidR="00CC7E16" w:rsidRPr="00686BBC">
              <w:t>1</w:t>
            </w:r>
          </w:p>
        </w:tc>
        <w:tc>
          <w:tcPr>
            <w:tcW w:w="1621" w:type="dxa"/>
            <w:shd w:val="clear" w:color="auto" w:fill="auto"/>
          </w:tcPr>
          <w:p w14:paraId="1DFCF838" w14:textId="4F38D828" w:rsidR="00D646A7" w:rsidRPr="00686BBC" w:rsidRDefault="003F2CD3" w:rsidP="00022939">
            <w:pPr>
              <w:pStyle w:val="Normal0"/>
              <w:spacing w:before="0" w:after="0" w:line="240" w:lineRule="auto"/>
              <w:ind w:firstLine="8"/>
              <w:jc w:val="left"/>
            </w:pPr>
            <w:r w:rsidRPr="00686BBC">
              <w:t>BPPS</w:t>
            </w:r>
          </w:p>
        </w:tc>
        <w:tc>
          <w:tcPr>
            <w:tcW w:w="1170" w:type="dxa"/>
            <w:shd w:val="clear" w:color="auto" w:fill="auto"/>
          </w:tcPr>
          <w:p w14:paraId="0CCB4314" w14:textId="77777777" w:rsidR="00D646A7" w:rsidRPr="00686BBC" w:rsidRDefault="00D646A7" w:rsidP="00022939">
            <w:pPr>
              <w:pStyle w:val="Normal0"/>
              <w:spacing w:before="0" w:after="0" w:line="240" w:lineRule="auto"/>
            </w:pPr>
          </w:p>
        </w:tc>
        <w:tc>
          <w:tcPr>
            <w:tcW w:w="3335" w:type="dxa"/>
            <w:shd w:val="clear" w:color="auto" w:fill="auto"/>
          </w:tcPr>
          <w:p w14:paraId="6CD91BB9" w14:textId="77777777" w:rsidR="00D646A7" w:rsidRPr="00686BBC" w:rsidRDefault="00D646A7" w:rsidP="00022939">
            <w:pPr>
              <w:pStyle w:val="Normal0"/>
              <w:spacing w:before="0" w:after="0" w:line="240" w:lineRule="auto"/>
              <w:ind w:left="72"/>
            </w:pPr>
          </w:p>
        </w:tc>
      </w:tr>
      <w:tr w:rsidR="00D646A7" w:rsidRPr="00686BBC" w14:paraId="7E3E3F59" w14:textId="77777777" w:rsidTr="004C3877">
        <w:trPr>
          <w:trHeight w:val="576"/>
        </w:trPr>
        <w:tc>
          <w:tcPr>
            <w:tcW w:w="5034" w:type="dxa"/>
            <w:shd w:val="clear" w:color="auto" w:fill="auto"/>
          </w:tcPr>
          <w:p w14:paraId="6533BEF6" w14:textId="3C53362C" w:rsidR="00D646A7" w:rsidRPr="00686BBC" w:rsidRDefault="008C47DF" w:rsidP="004C3877">
            <w:pPr>
              <w:pStyle w:val="Normal0"/>
              <w:spacing w:before="0" w:after="0" w:line="240" w:lineRule="auto"/>
              <w:ind w:left="331" w:hanging="360"/>
            </w:pPr>
            <w:r>
              <w:t>6.2</w:t>
            </w:r>
            <w:r w:rsidR="001E1D27" w:rsidRPr="00686BBC">
              <w:t xml:space="preserve"> Scale up support for MSMEs/community-scale organizations to promote enterprise development</w:t>
            </w:r>
          </w:p>
        </w:tc>
        <w:tc>
          <w:tcPr>
            <w:tcW w:w="1885" w:type="dxa"/>
            <w:shd w:val="clear" w:color="auto" w:fill="auto"/>
          </w:tcPr>
          <w:p w14:paraId="0D31CCB8" w14:textId="3017B0F3" w:rsidR="00D646A7" w:rsidRPr="00686BBC" w:rsidRDefault="003F2CD3" w:rsidP="00022939">
            <w:pPr>
              <w:pStyle w:val="Normal0"/>
              <w:spacing w:before="0" w:after="0" w:line="240" w:lineRule="auto"/>
              <w:ind w:firstLine="8"/>
            </w:pPr>
            <w:r w:rsidRPr="00686BBC">
              <w:t>Q</w:t>
            </w:r>
            <w:r w:rsidR="00CC7E16" w:rsidRPr="00686BBC">
              <w:t>4</w:t>
            </w:r>
            <w:r w:rsidRPr="00686BBC">
              <w:t xml:space="preserve"> 202</w:t>
            </w:r>
            <w:r w:rsidR="00CC7E16" w:rsidRPr="00686BBC">
              <w:t>1</w:t>
            </w:r>
          </w:p>
        </w:tc>
        <w:tc>
          <w:tcPr>
            <w:tcW w:w="1621" w:type="dxa"/>
            <w:shd w:val="clear" w:color="auto" w:fill="auto"/>
          </w:tcPr>
          <w:p w14:paraId="4A877128" w14:textId="4AA10249" w:rsidR="00D646A7" w:rsidRPr="00686BBC" w:rsidRDefault="003F2CD3" w:rsidP="00022939">
            <w:pPr>
              <w:pStyle w:val="Normal0"/>
              <w:spacing w:before="0" w:after="0" w:line="240" w:lineRule="auto"/>
              <w:ind w:firstLine="8"/>
              <w:jc w:val="left"/>
            </w:pPr>
            <w:r w:rsidRPr="00686BBC">
              <w:t>BPPS</w:t>
            </w:r>
          </w:p>
        </w:tc>
        <w:tc>
          <w:tcPr>
            <w:tcW w:w="1170" w:type="dxa"/>
            <w:shd w:val="clear" w:color="auto" w:fill="auto"/>
          </w:tcPr>
          <w:p w14:paraId="490CDBDB" w14:textId="77777777" w:rsidR="00D646A7" w:rsidRPr="00686BBC" w:rsidRDefault="00D646A7" w:rsidP="00022939">
            <w:pPr>
              <w:pStyle w:val="Normal0"/>
              <w:spacing w:before="0" w:after="0" w:line="240" w:lineRule="auto"/>
              <w:ind w:left="66"/>
            </w:pPr>
          </w:p>
        </w:tc>
        <w:tc>
          <w:tcPr>
            <w:tcW w:w="3335" w:type="dxa"/>
            <w:shd w:val="clear" w:color="auto" w:fill="auto"/>
          </w:tcPr>
          <w:p w14:paraId="0D5B2F9D" w14:textId="77777777" w:rsidR="00D646A7" w:rsidRPr="00686BBC" w:rsidRDefault="00D646A7" w:rsidP="00022939">
            <w:pPr>
              <w:pStyle w:val="Normal0"/>
              <w:spacing w:before="0" w:after="0" w:line="240" w:lineRule="auto"/>
              <w:ind w:left="72"/>
            </w:pPr>
          </w:p>
        </w:tc>
      </w:tr>
      <w:tr w:rsidR="00D646A7" w:rsidRPr="00686BBC" w14:paraId="70410436" w14:textId="77777777" w:rsidTr="004C3877">
        <w:trPr>
          <w:trHeight w:val="576"/>
        </w:trPr>
        <w:tc>
          <w:tcPr>
            <w:tcW w:w="5034" w:type="dxa"/>
            <w:shd w:val="clear" w:color="auto" w:fill="auto"/>
          </w:tcPr>
          <w:p w14:paraId="351124B5" w14:textId="11750DA8" w:rsidR="005F05F8" w:rsidRPr="00686BBC" w:rsidRDefault="008C47DF" w:rsidP="00D66C5F">
            <w:pPr>
              <w:pStyle w:val="Normal0"/>
              <w:spacing w:before="0" w:after="0" w:line="240" w:lineRule="auto"/>
              <w:ind w:left="331" w:hanging="360"/>
            </w:pPr>
            <w:r>
              <w:t>6.3</w:t>
            </w:r>
            <w:r w:rsidR="005F05F8">
              <w:t xml:space="preserve"> Develop r</w:t>
            </w:r>
            <w:r w:rsidR="6155B97A" w:rsidRPr="00686BBC">
              <w:t xml:space="preserve">isk finance and </w:t>
            </w:r>
            <w:r w:rsidR="005F05F8">
              <w:t>i</w:t>
            </w:r>
            <w:r w:rsidR="6155B97A" w:rsidRPr="00686BBC">
              <w:t>nsurance for both standalone and integrated initiatives as part of an expanded adaptation engagement with the private sector</w:t>
            </w:r>
          </w:p>
        </w:tc>
        <w:tc>
          <w:tcPr>
            <w:tcW w:w="1885" w:type="dxa"/>
            <w:shd w:val="clear" w:color="auto" w:fill="auto"/>
          </w:tcPr>
          <w:p w14:paraId="6DB9F277" w14:textId="2C7611FC" w:rsidR="00D646A7" w:rsidRPr="00686BBC" w:rsidRDefault="6155B97A" w:rsidP="00022939">
            <w:pPr>
              <w:pStyle w:val="Normal0"/>
              <w:spacing w:before="0" w:after="0" w:line="240" w:lineRule="auto"/>
              <w:ind w:firstLine="8"/>
            </w:pPr>
            <w:r w:rsidRPr="00686BBC">
              <w:t>Q4 2021</w:t>
            </w:r>
          </w:p>
        </w:tc>
        <w:tc>
          <w:tcPr>
            <w:tcW w:w="1621" w:type="dxa"/>
            <w:shd w:val="clear" w:color="auto" w:fill="auto"/>
          </w:tcPr>
          <w:p w14:paraId="1197C0B6" w14:textId="530E395D" w:rsidR="00D646A7" w:rsidRPr="00686BBC" w:rsidRDefault="6155B97A" w:rsidP="00022939">
            <w:pPr>
              <w:pStyle w:val="Normal0"/>
              <w:spacing w:before="0" w:after="0" w:line="240" w:lineRule="auto"/>
              <w:ind w:firstLine="8"/>
              <w:jc w:val="left"/>
            </w:pPr>
            <w:r w:rsidRPr="00686BBC">
              <w:t>BPPS</w:t>
            </w:r>
          </w:p>
        </w:tc>
        <w:tc>
          <w:tcPr>
            <w:tcW w:w="1170" w:type="dxa"/>
            <w:shd w:val="clear" w:color="auto" w:fill="auto"/>
          </w:tcPr>
          <w:p w14:paraId="05C8B4CD" w14:textId="77777777" w:rsidR="00D646A7" w:rsidRPr="00686BBC" w:rsidRDefault="00D646A7" w:rsidP="00022939">
            <w:pPr>
              <w:pStyle w:val="Normal0"/>
              <w:spacing w:before="0" w:after="0" w:line="240" w:lineRule="auto"/>
              <w:ind w:left="66"/>
            </w:pPr>
          </w:p>
        </w:tc>
        <w:tc>
          <w:tcPr>
            <w:tcW w:w="3335" w:type="dxa"/>
            <w:shd w:val="clear" w:color="auto" w:fill="auto"/>
          </w:tcPr>
          <w:p w14:paraId="7FCCD62A" w14:textId="77777777" w:rsidR="00D646A7" w:rsidRPr="00686BBC" w:rsidRDefault="00D646A7" w:rsidP="00022939">
            <w:pPr>
              <w:pStyle w:val="Normal0"/>
              <w:spacing w:before="0" w:after="0" w:line="240" w:lineRule="auto"/>
            </w:pPr>
          </w:p>
        </w:tc>
      </w:tr>
      <w:tr w:rsidR="00D646A7" w:rsidRPr="00686BBC" w14:paraId="0B93584D" w14:textId="77777777" w:rsidTr="004C3877">
        <w:trPr>
          <w:trHeight w:val="1512"/>
        </w:trPr>
        <w:tc>
          <w:tcPr>
            <w:tcW w:w="13045" w:type="dxa"/>
            <w:gridSpan w:val="5"/>
            <w:shd w:val="clear" w:color="auto" w:fill="E6E6E6"/>
          </w:tcPr>
          <w:p w14:paraId="32AD041F" w14:textId="784DB913" w:rsidR="00D646A7" w:rsidRPr="00686BBC" w:rsidRDefault="00D646A7" w:rsidP="00022939">
            <w:pPr>
              <w:pStyle w:val="BodyText"/>
              <w:spacing w:before="60" w:after="60"/>
              <w:rPr>
                <w:sz w:val="20"/>
                <w:szCs w:val="20"/>
                <w:lang w:val="en-GB"/>
              </w:rPr>
            </w:pPr>
            <w:r w:rsidRPr="00686BBC">
              <w:rPr>
                <w:b/>
                <w:bCs/>
                <w:sz w:val="20"/>
                <w:szCs w:val="20"/>
                <w:lang w:val="en-GB"/>
              </w:rPr>
              <w:t xml:space="preserve">Recommendation </w:t>
            </w:r>
            <w:r w:rsidR="005363D7" w:rsidRPr="00686BBC">
              <w:rPr>
                <w:b/>
                <w:bCs/>
                <w:sz w:val="20"/>
                <w:szCs w:val="20"/>
                <w:lang w:val="en-GB"/>
              </w:rPr>
              <w:t>7</w:t>
            </w:r>
            <w:r w:rsidRPr="00686BBC">
              <w:rPr>
                <w:b/>
                <w:bCs/>
                <w:sz w:val="20"/>
                <w:szCs w:val="20"/>
                <w:lang w:val="en-GB"/>
              </w:rPr>
              <w:t>. UNDP should strengthen the gender equality dimensions of its policy and capacity</w:t>
            </w:r>
            <w:r w:rsidR="005F05F8">
              <w:rPr>
                <w:b/>
                <w:bCs/>
                <w:sz w:val="20"/>
                <w:szCs w:val="20"/>
                <w:lang w:val="en-GB"/>
              </w:rPr>
              <w:t>-</w:t>
            </w:r>
            <w:r w:rsidRPr="00686BBC">
              <w:rPr>
                <w:b/>
                <w:bCs/>
                <w:sz w:val="20"/>
                <w:szCs w:val="20"/>
                <w:lang w:val="en-GB"/>
              </w:rPr>
              <w:t>related support in adaptation-related programming.</w:t>
            </w:r>
          </w:p>
          <w:p w14:paraId="3283F679" w14:textId="796814E9" w:rsidR="005F05F8" w:rsidRPr="00686BBC" w:rsidRDefault="00D646A7" w:rsidP="004C3877">
            <w:pPr>
              <w:pStyle w:val="BodyText"/>
              <w:spacing w:before="60" w:after="60"/>
              <w:rPr>
                <w:sz w:val="20"/>
                <w:szCs w:val="20"/>
                <w:lang w:val="en-GB"/>
              </w:rPr>
            </w:pPr>
            <w:r w:rsidRPr="00686BBC">
              <w:rPr>
                <w:sz w:val="20"/>
                <w:szCs w:val="20"/>
                <w:lang w:val="en-GB"/>
              </w:rPr>
              <w:t>Attention to strengthening gender mainstreaming should focus on weaknesses in policy and capacity</w:t>
            </w:r>
            <w:r w:rsidR="005F05F8">
              <w:rPr>
                <w:sz w:val="20"/>
                <w:szCs w:val="20"/>
                <w:lang w:val="en-GB"/>
              </w:rPr>
              <w:t>-</w:t>
            </w:r>
            <w:r w:rsidRPr="00686BBC">
              <w:rPr>
                <w:sz w:val="20"/>
                <w:szCs w:val="20"/>
                <w:lang w:val="en-GB"/>
              </w:rPr>
              <w:t>related support in the environmental protection portfolio. Practical</w:t>
            </w:r>
            <w:r w:rsidR="005F05F8">
              <w:rPr>
                <w:sz w:val="20"/>
                <w:szCs w:val="20"/>
                <w:lang w:val="en-GB"/>
              </w:rPr>
              <w:t xml:space="preserve">, </w:t>
            </w:r>
            <w:r w:rsidRPr="00686BBC">
              <w:rPr>
                <w:sz w:val="20"/>
                <w:szCs w:val="20"/>
                <w:lang w:val="en-GB"/>
              </w:rPr>
              <w:t>well-researched objectives should be established in adaptation programming to improve gender equality results. Adopting context-sensitive gender approaches and strengthening the resilience of women to negative impacts of climate change on ecosystems are crucial to the success of environmental programming.</w:t>
            </w:r>
          </w:p>
        </w:tc>
      </w:tr>
      <w:tr w:rsidR="00D646A7" w:rsidRPr="00686BBC" w14:paraId="7F631887" w14:textId="77777777" w:rsidTr="00D66C5F">
        <w:trPr>
          <w:trHeight w:val="3132"/>
        </w:trPr>
        <w:tc>
          <w:tcPr>
            <w:tcW w:w="13045" w:type="dxa"/>
            <w:gridSpan w:val="5"/>
            <w:shd w:val="clear" w:color="auto" w:fill="F3F3F3"/>
          </w:tcPr>
          <w:p w14:paraId="2EAF3B5E" w14:textId="55F67E54" w:rsidR="00D646A7" w:rsidRPr="00686BBC" w:rsidRDefault="00D646A7" w:rsidP="00022939">
            <w:pPr>
              <w:tabs>
                <w:tab w:val="left" w:pos="2880"/>
              </w:tabs>
              <w:jc w:val="both"/>
              <w:rPr>
                <w:b/>
                <w:sz w:val="20"/>
                <w:szCs w:val="20"/>
                <w:lang w:val="en-GB"/>
              </w:rPr>
            </w:pPr>
            <w:r w:rsidRPr="00686BBC">
              <w:rPr>
                <w:b/>
                <w:sz w:val="20"/>
                <w:szCs w:val="20"/>
                <w:lang w:val="en-GB"/>
              </w:rPr>
              <w:t>Management response</w:t>
            </w:r>
            <w:r w:rsidR="00D83B83">
              <w:rPr>
                <w:b/>
                <w:sz w:val="20"/>
                <w:szCs w:val="20"/>
                <w:lang w:val="en-GB"/>
              </w:rPr>
              <w:t>:</w:t>
            </w:r>
          </w:p>
          <w:p w14:paraId="2E620E08" w14:textId="2EA4A2F5" w:rsidR="006C0D18" w:rsidRPr="00D66C5F" w:rsidRDefault="006C0D18" w:rsidP="005F05F8">
            <w:pPr>
              <w:rPr>
                <w:color w:val="000000"/>
                <w:sz w:val="12"/>
                <w:szCs w:val="12"/>
                <w:lang w:val="en-GB"/>
              </w:rPr>
            </w:pPr>
          </w:p>
          <w:p w14:paraId="2EADB381" w14:textId="2D6F1B1D" w:rsidR="001D5EBD" w:rsidRPr="00686BBC" w:rsidRDefault="001D5EBD" w:rsidP="002949F2">
            <w:pPr>
              <w:jc w:val="both"/>
              <w:rPr>
                <w:color w:val="000000" w:themeColor="text1"/>
                <w:sz w:val="20"/>
                <w:szCs w:val="20"/>
                <w:lang w:val="en-GB"/>
              </w:rPr>
            </w:pPr>
            <w:r w:rsidRPr="00686BBC">
              <w:rPr>
                <w:color w:val="000000" w:themeColor="text1"/>
                <w:sz w:val="20"/>
                <w:szCs w:val="20"/>
                <w:lang w:val="en-GB"/>
              </w:rPr>
              <w:t xml:space="preserve">UNDP </w:t>
            </w:r>
            <w:r w:rsidR="00876B7C" w:rsidRPr="00686BBC">
              <w:rPr>
                <w:color w:val="000000" w:themeColor="text1"/>
                <w:sz w:val="20"/>
                <w:szCs w:val="20"/>
                <w:lang w:val="en-GB"/>
              </w:rPr>
              <w:t xml:space="preserve">accepts the recommendation and notes that it </w:t>
            </w:r>
            <w:r w:rsidRPr="00686BBC">
              <w:rPr>
                <w:color w:val="000000" w:themeColor="text1"/>
                <w:sz w:val="20"/>
                <w:szCs w:val="20"/>
                <w:lang w:val="en-GB"/>
              </w:rPr>
              <w:t>has made strong progress and built solid results in advancing gender equality and women’s empowerment through its adaptation-related programming</w:t>
            </w:r>
            <w:r w:rsidR="00CF529D" w:rsidRPr="00686BBC">
              <w:rPr>
                <w:color w:val="000000" w:themeColor="text1"/>
                <w:sz w:val="20"/>
                <w:szCs w:val="20"/>
                <w:lang w:val="en-GB"/>
              </w:rPr>
              <w:t xml:space="preserve"> </w:t>
            </w:r>
            <w:r w:rsidR="006F260A" w:rsidRPr="00686BBC">
              <w:rPr>
                <w:color w:val="000000" w:themeColor="text1"/>
                <w:sz w:val="20"/>
                <w:szCs w:val="20"/>
                <w:lang w:val="en-GB"/>
              </w:rPr>
              <w:t>and</w:t>
            </w:r>
            <w:r w:rsidR="00CF529D" w:rsidRPr="00686BBC">
              <w:rPr>
                <w:color w:val="000000" w:themeColor="text1"/>
                <w:sz w:val="20"/>
                <w:szCs w:val="20"/>
                <w:lang w:val="en-GB"/>
              </w:rPr>
              <w:t xml:space="preserve"> will continue to strengthen efforts. </w:t>
            </w:r>
            <w:r w:rsidR="005F05F8">
              <w:rPr>
                <w:color w:val="000000" w:themeColor="text1"/>
                <w:sz w:val="20"/>
                <w:szCs w:val="20"/>
                <w:lang w:val="en-GB"/>
              </w:rPr>
              <w:t xml:space="preserve">The </w:t>
            </w:r>
            <w:r w:rsidRPr="00686BBC">
              <w:rPr>
                <w:color w:val="000000" w:themeColor="text1"/>
                <w:sz w:val="20"/>
                <w:szCs w:val="20"/>
                <w:lang w:val="en-GB"/>
              </w:rPr>
              <w:t xml:space="preserve">current </w:t>
            </w:r>
            <w:r w:rsidR="005F05F8">
              <w:rPr>
                <w:color w:val="000000" w:themeColor="text1"/>
                <w:sz w:val="20"/>
                <w:szCs w:val="20"/>
                <w:lang w:val="en-GB"/>
              </w:rPr>
              <w:t xml:space="preserve">UNDP </w:t>
            </w:r>
            <w:r w:rsidRPr="00686BBC">
              <w:rPr>
                <w:color w:val="000000" w:themeColor="text1"/>
                <w:sz w:val="20"/>
                <w:szCs w:val="20"/>
                <w:lang w:val="en-GB"/>
              </w:rPr>
              <w:t>portfolio of projects financed by the environmental vertical funds appl</w:t>
            </w:r>
            <w:r w:rsidR="005F05F8">
              <w:rPr>
                <w:color w:val="000000" w:themeColor="text1"/>
                <w:sz w:val="20"/>
                <w:szCs w:val="20"/>
                <w:lang w:val="en-GB"/>
              </w:rPr>
              <w:t>ies</w:t>
            </w:r>
            <w:r w:rsidRPr="00686BBC">
              <w:rPr>
                <w:color w:val="000000" w:themeColor="text1"/>
                <w:sz w:val="20"/>
                <w:szCs w:val="20"/>
                <w:lang w:val="en-GB"/>
              </w:rPr>
              <w:t xml:space="preserve"> gender analysis and action plan requirements across </w:t>
            </w:r>
            <w:r w:rsidR="00643E41" w:rsidRPr="00686BBC">
              <w:rPr>
                <w:color w:val="000000" w:themeColor="text1"/>
                <w:sz w:val="20"/>
                <w:szCs w:val="20"/>
                <w:lang w:val="en-GB"/>
              </w:rPr>
              <w:t xml:space="preserve">the </w:t>
            </w:r>
            <w:r w:rsidRPr="00686BBC">
              <w:rPr>
                <w:color w:val="000000" w:themeColor="text1"/>
                <w:sz w:val="20"/>
                <w:szCs w:val="20"/>
                <w:lang w:val="en-GB"/>
              </w:rPr>
              <w:t>entire portfolio to ensure that gender considerations are included during project design and development stages. UNDP has developed specific guidance and templates for ensuring a consistent approach to developing project-level gender analysis and action plans and ensures full compliance with these requirements, including use of specialized gender expertise to develop context-specific approaches to deliver gender equality results through its work</w:t>
            </w:r>
            <w:r w:rsidR="001E1D27" w:rsidRPr="00686BBC">
              <w:rPr>
                <w:color w:val="000000" w:themeColor="text1"/>
                <w:sz w:val="20"/>
                <w:szCs w:val="20"/>
                <w:lang w:val="en-GB"/>
              </w:rPr>
              <w:t>.</w:t>
            </w:r>
          </w:p>
          <w:p w14:paraId="1385643C" w14:textId="314F9E37" w:rsidR="00D646A7" w:rsidRPr="00686BBC" w:rsidRDefault="002949F2" w:rsidP="00D66C5F">
            <w:pPr>
              <w:pStyle w:val="NormalWeb"/>
              <w:tabs>
                <w:tab w:val="left" w:pos="1620"/>
              </w:tabs>
              <w:spacing w:before="120" w:beforeAutospacing="0" w:after="0" w:afterAutospacing="0"/>
              <w:ind w:right="78"/>
              <w:jc w:val="both"/>
              <w:rPr>
                <w:lang w:val="en-GB"/>
              </w:rPr>
            </w:pPr>
            <w:r w:rsidRPr="00686BBC">
              <w:rPr>
                <w:sz w:val="22"/>
                <w:szCs w:val="22"/>
                <w:lang w:val="en-GB"/>
              </w:rPr>
              <w:t xml:space="preserve">UNDP </w:t>
            </w:r>
            <w:r w:rsidRPr="00686BBC">
              <w:rPr>
                <w:sz w:val="20"/>
                <w:szCs w:val="20"/>
                <w:lang w:val="en-GB"/>
              </w:rPr>
              <w:t xml:space="preserve">will continue to </w:t>
            </w:r>
            <w:r w:rsidR="00643E41" w:rsidRPr="00686BBC">
              <w:rPr>
                <w:sz w:val="20"/>
                <w:szCs w:val="20"/>
                <w:lang w:val="en-GB"/>
              </w:rPr>
              <w:t>enhance</w:t>
            </w:r>
            <w:r w:rsidRPr="00686BBC">
              <w:rPr>
                <w:sz w:val="20"/>
                <w:szCs w:val="20"/>
                <w:lang w:val="en-GB"/>
              </w:rPr>
              <w:t xml:space="preserve"> gender mainstreaming approaches </w:t>
            </w:r>
            <w:r w:rsidR="005F05F8">
              <w:rPr>
                <w:sz w:val="20"/>
                <w:szCs w:val="20"/>
                <w:lang w:val="en-GB"/>
              </w:rPr>
              <w:t xml:space="preserve">for </w:t>
            </w:r>
            <w:r w:rsidRPr="00686BBC">
              <w:rPr>
                <w:sz w:val="20"/>
                <w:szCs w:val="20"/>
                <w:lang w:val="en-GB"/>
              </w:rPr>
              <w:t>the current and emerging pipeline of adaptation projects and ensure that project-level gender analysis and action plans are fully compliant with requirements, including use of specialized gender expertise to develop context-specific approaches to deliver gender equality results through its work. UNDP will continue to: (</w:t>
            </w:r>
            <w:r w:rsidR="005F05F8">
              <w:rPr>
                <w:sz w:val="20"/>
                <w:szCs w:val="20"/>
                <w:lang w:val="en-GB"/>
              </w:rPr>
              <w:t>a</w:t>
            </w:r>
            <w:r w:rsidRPr="00686BBC">
              <w:rPr>
                <w:sz w:val="20"/>
                <w:szCs w:val="20"/>
                <w:lang w:val="en-GB"/>
              </w:rPr>
              <w:t>) build on the gender and adaptation work it has conducted</w:t>
            </w:r>
            <w:r w:rsidR="005F05F8">
              <w:rPr>
                <w:sz w:val="20"/>
                <w:szCs w:val="20"/>
                <w:lang w:val="en-GB"/>
              </w:rPr>
              <w:t>;</w:t>
            </w:r>
            <w:r w:rsidRPr="00686BBC">
              <w:rPr>
                <w:sz w:val="20"/>
                <w:szCs w:val="20"/>
                <w:lang w:val="en-GB"/>
              </w:rPr>
              <w:t xml:space="preserve"> (</w:t>
            </w:r>
            <w:r w:rsidR="005F05F8">
              <w:rPr>
                <w:sz w:val="20"/>
                <w:szCs w:val="20"/>
                <w:lang w:val="en-GB"/>
              </w:rPr>
              <w:t>b</w:t>
            </w:r>
            <w:r w:rsidRPr="00686BBC">
              <w:rPr>
                <w:sz w:val="20"/>
                <w:szCs w:val="20"/>
                <w:lang w:val="en-GB"/>
              </w:rPr>
              <w:t>) increase the use of methodologies and tools developed</w:t>
            </w:r>
            <w:r w:rsidR="005F05F8">
              <w:rPr>
                <w:sz w:val="20"/>
                <w:szCs w:val="20"/>
                <w:lang w:val="en-GB"/>
              </w:rPr>
              <w:t>;</w:t>
            </w:r>
            <w:r w:rsidRPr="00686BBC">
              <w:rPr>
                <w:sz w:val="20"/>
                <w:szCs w:val="20"/>
                <w:lang w:val="en-GB"/>
              </w:rPr>
              <w:t xml:space="preserve"> (</w:t>
            </w:r>
            <w:r w:rsidR="005F05F8">
              <w:rPr>
                <w:sz w:val="20"/>
                <w:szCs w:val="20"/>
                <w:lang w:val="en-GB"/>
              </w:rPr>
              <w:t>c</w:t>
            </w:r>
            <w:r w:rsidRPr="00686BBC">
              <w:rPr>
                <w:sz w:val="20"/>
                <w:szCs w:val="20"/>
                <w:lang w:val="en-GB"/>
              </w:rPr>
              <w:t>) increase gender capacities across adaptation interventions</w:t>
            </w:r>
            <w:r w:rsidR="005F05F8">
              <w:rPr>
                <w:sz w:val="20"/>
                <w:szCs w:val="20"/>
                <w:lang w:val="en-GB"/>
              </w:rPr>
              <w:t>;</w:t>
            </w:r>
            <w:r w:rsidRPr="00686BBC">
              <w:rPr>
                <w:sz w:val="20"/>
                <w:szCs w:val="20"/>
                <w:lang w:val="en-GB"/>
              </w:rPr>
              <w:t xml:space="preserve"> and (</w:t>
            </w:r>
            <w:r w:rsidR="005F05F8">
              <w:rPr>
                <w:sz w:val="20"/>
                <w:szCs w:val="20"/>
                <w:lang w:val="en-GB"/>
              </w:rPr>
              <w:t>d</w:t>
            </w:r>
            <w:r w:rsidRPr="00686BBC">
              <w:rPr>
                <w:sz w:val="20"/>
                <w:szCs w:val="20"/>
                <w:lang w:val="en-GB"/>
              </w:rPr>
              <w:t>) document and report how adaptation projects promote gender equality and women’s empowerment.</w:t>
            </w:r>
            <w:r w:rsidR="00D646A7" w:rsidRPr="00686BBC">
              <w:rPr>
                <w:lang w:val="en-GB"/>
              </w:rPr>
              <w:t xml:space="preserve"> </w:t>
            </w:r>
          </w:p>
        </w:tc>
      </w:tr>
      <w:tr w:rsidR="00D646A7" w:rsidRPr="00686BBC" w14:paraId="6CEBC280" w14:textId="77777777" w:rsidTr="004C3877">
        <w:trPr>
          <w:trHeight w:val="480"/>
        </w:trPr>
        <w:tc>
          <w:tcPr>
            <w:tcW w:w="5034" w:type="dxa"/>
            <w:shd w:val="clear" w:color="auto" w:fill="auto"/>
          </w:tcPr>
          <w:p w14:paraId="7C30E91C" w14:textId="799CAD63" w:rsidR="005F05F8" w:rsidRPr="00686BBC" w:rsidRDefault="008C47DF" w:rsidP="00D66C5F">
            <w:pPr>
              <w:ind w:left="330" w:hanging="360"/>
              <w:rPr>
                <w:sz w:val="20"/>
                <w:szCs w:val="20"/>
                <w:lang w:val="en-GB"/>
              </w:rPr>
            </w:pPr>
            <w:r>
              <w:rPr>
                <w:sz w:val="20"/>
                <w:szCs w:val="20"/>
                <w:lang w:val="en-GB"/>
              </w:rPr>
              <w:t>7.1</w:t>
            </w:r>
            <w:r w:rsidR="006F260A" w:rsidRPr="00686BBC">
              <w:rPr>
                <w:color w:val="000000" w:themeColor="text1"/>
                <w:sz w:val="20"/>
                <w:szCs w:val="20"/>
                <w:lang w:val="en-GB"/>
              </w:rPr>
              <w:t xml:space="preserve"> </w:t>
            </w:r>
            <w:r w:rsidR="1EFD6EAB" w:rsidRPr="00686BBC">
              <w:rPr>
                <w:sz w:val="20"/>
                <w:szCs w:val="20"/>
                <w:lang w:val="en-GB"/>
              </w:rPr>
              <w:t xml:space="preserve">Continue to refine gender-responsive approaches to </w:t>
            </w:r>
            <w:r w:rsidR="005F05F8">
              <w:rPr>
                <w:sz w:val="20"/>
                <w:szCs w:val="20"/>
                <w:lang w:val="en-GB"/>
              </w:rPr>
              <w:t xml:space="preserve">the </w:t>
            </w:r>
            <w:r w:rsidR="1EFD6EAB" w:rsidRPr="00686BBC">
              <w:rPr>
                <w:sz w:val="20"/>
                <w:szCs w:val="20"/>
                <w:lang w:val="en-GB"/>
              </w:rPr>
              <w:t>UNDP adaptation policy and programming in the context of develop</w:t>
            </w:r>
            <w:r w:rsidR="005F05F8">
              <w:rPr>
                <w:sz w:val="20"/>
                <w:szCs w:val="20"/>
                <w:lang w:val="en-GB"/>
              </w:rPr>
              <w:t>ing</w:t>
            </w:r>
            <w:r w:rsidR="1EFD6EAB" w:rsidRPr="00686BBC">
              <w:rPr>
                <w:sz w:val="20"/>
                <w:szCs w:val="20"/>
                <w:lang w:val="en-GB"/>
              </w:rPr>
              <w:t xml:space="preserve"> </w:t>
            </w:r>
            <w:r w:rsidR="005F05F8">
              <w:rPr>
                <w:sz w:val="20"/>
                <w:szCs w:val="20"/>
                <w:lang w:val="en-GB"/>
              </w:rPr>
              <w:t xml:space="preserve">its </w:t>
            </w:r>
            <w:r w:rsidR="1EFD6EAB" w:rsidRPr="00686BBC">
              <w:rPr>
                <w:sz w:val="20"/>
                <w:szCs w:val="20"/>
                <w:lang w:val="en-GB"/>
              </w:rPr>
              <w:t xml:space="preserve">next </w:t>
            </w:r>
            <w:r w:rsidR="005F05F8">
              <w:rPr>
                <w:sz w:val="20"/>
                <w:szCs w:val="20"/>
                <w:lang w:val="en-GB"/>
              </w:rPr>
              <w:t>g</w:t>
            </w:r>
            <w:r w:rsidR="1EFD6EAB" w:rsidRPr="00686BBC">
              <w:rPr>
                <w:sz w:val="20"/>
                <w:szCs w:val="20"/>
                <w:lang w:val="en-GB"/>
              </w:rPr>
              <w:t xml:space="preserve">ender </w:t>
            </w:r>
            <w:r w:rsidR="005F05F8">
              <w:rPr>
                <w:sz w:val="20"/>
                <w:szCs w:val="20"/>
                <w:lang w:val="en-GB"/>
              </w:rPr>
              <w:t>e</w:t>
            </w:r>
            <w:r w:rsidR="1EFD6EAB" w:rsidRPr="00686BBC">
              <w:rPr>
                <w:sz w:val="20"/>
                <w:szCs w:val="20"/>
                <w:lang w:val="en-GB"/>
              </w:rPr>
              <w:t xml:space="preserve">quality </w:t>
            </w:r>
            <w:r w:rsidR="005F05F8">
              <w:rPr>
                <w:sz w:val="20"/>
                <w:szCs w:val="20"/>
                <w:lang w:val="en-GB"/>
              </w:rPr>
              <w:t>s</w:t>
            </w:r>
            <w:r w:rsidR="1EFD6EAB" w:rsidRPr="00686BBC">
              <w:rPr>
                <w:sz w:val="20"/>
                <w:szCs w:val="20"/>
                <w:lang w:val="en-GB"/>
              </w:rPr>
              <w:t>trategy.</w:t>
            </w:r>
          </w:p>
        </w:tc>
        <w:tc>
          <w:tcPr>
            <w:tcW w:w="1885" w:type="dxa"/>
            <w:shd w:val="clear" w:color="auto" w:fill="auto"/>
          </w:tcPr>
          <w:p w14:paraId="7B6BC1F1" w14:textId="24AE6BFF" w:rsidR="00D646A7" w:rsidRPr="00686BBC" w:rsidRDefault="00C258A0" w:rsidP="00022939">
            <w:pPr>
              <w:pStyle w:val="Normal0"/>
              <w:spacing w:before="0" w:after="0" w:line="240" w:lineRule="auto"/>
              <w:ind w:firstLine="8"/>
            </w:pPr>
            <w:r w:rsidRPr="00686BBC">
              <w:t>Q4 2022</w:t>
            </w:r>
          </w:p>
        </w:tc>
        <w:tc>
          <w:tcPr>
            <w:tcW w:w="1621" w:type="dxa"/>
            <w:shd w:val="clear" w:color="auto" w:fill="auto"/>
          </w:tcPr>
          <w:p w14:paraId="6FFC349B" w14:textId="120EC2AF" w:rsidR="00D646A7" w:rsidRPr="00686BBC" w:rsidRDefault="00C258A0" w:rsidP="00022939">
            <w:pPr>
              <w:pStyle w:val="Normal0"/>
              <w:spacing w:before="0" w:after="0" w:line="240" w:lineRule="auto"/>
              <w:jc w:val="left"/>
            </w:pPr>
            <w:r w:rsidRPr="00686BBC">
              <w:t>BPPS</w:t>
            </w:r>
          </w:p>
        </w:tc>
        <w:tc>
          <w:tcPr>
            <w:tcW w:w="1170" w:type="dxa"/>
            <w:shd w:val="clear" w:color="auto" w:fill="auto"/>
          </w:tcPr>
          <w:p w14:paraId="397B1A77" w14:textId="77777777" w:rsidR="00D646A7" w:rsidRPr="00686BBC" w:rsidRDefault="00D646A7" w:rsidP="00022939">
            <w:pPr>
              <w:pStyle w:val="Normal0"/>
              <w:spacing w:before="0" w:after="0" w:line="240" w:lineRule="auto"/>
              <w:ind w:left="-24"/>
            </w:pPr>
          </w:p>
        </w:tc>
        <w:tc>
          <w:tcPr>
            <w:tcW w:w="3335" w:type="dxa"/>
            <w:shd w:val="clear" w:color="auto" w:fill="auto"/>
          </w:tcPr>
          <w:p w14:paraId="42B32052" w14:textId="77777777" w:rsidR="00D646A7" w:rsidRPr="00686BBC" w:rsidRDefault="00D646A7" w:rsidP="00022939">
            <w:pPr>
              <w:pStyle w:val="Normal0"/>
              <w:spacing w:before="0" w:after="0" w:line="240" w:lineRule="auto"/>
              <w:ind w:left="72"/>
            </w:pPr>
          </w:p>
        </w:tc>
      </w:tr>
      <w:tr w:rsidR="00D646A7" w:rsidRPr="00686BBC" w14:paraId="1CDA8806" w14:textId="77777777" w:rsidTr="004C3877">
        <w:trPr>
          <w:trHeight w:val="516"/>
        </w:trPr>
        <w:tc>
          <w:tcPr>
            <w:tcW w:w="5034" w:type="dxa"/>
            <w:shd w:val="clear" w:color="auto" w:fill="auto"/>
          </w:tcPr>
          <w:p w14:paraId="2B91AB1A" w14:textId="13C4C015" w:rsidR="005F05F8" w:rsidRPr="00686BBC" w:rsidRDefault="008C47DF" w:rsidP="00D66C5F">
            <w:pPr>
              <w:ind w:left="330" w:hanging="360"/>
              <w:rPr>
                <w:sz w:val="20"/>
                <w:szCs w:val="20"/>
                <w:lang w:val="en-GB"/>
              </w:rPr>
            </w:pPr>
            <w:r>
              <w:rPr>
                <w:sz w:val="20"/>
                <w:szCs w:val="20"/>
                <w:lang w:val="en-GB"/>
              </w:rPr>
              <w:t>7.2</w:t>
            </w:r>
            <w:r w:rsidR="0F2A5263" w:rsidRPr="00686BBC">
              <w:rPr>
                <w:sz w:val="20"/>
                <w:szCs w:val="20"/>
                <w:lang w:val="en-GB"/>
              </w:rPr>
              <w:t xml:space="preserve"> </w:t>
            </w:r>
            <w:r w:rsidR="005F05F8">
              <w:rPr>
                <w:sz w:val="20"/>
                <w:szCs w:val="20"/>
                <w:lang w:val="en-GB"/>
              </w:rPr>
              <w:t xml:space="preserve">  </w:t>
            </w:r>
            <w:r w:rsidR="0F2A5263" w:rsidRPr="00686BBC">
              <w:rPr>
                <w:sz w:val="20"/>
                <w:szCs w:val="20"/>
                <w:lang w:val="en-GB"/>
              </w:rPr>
              <w:t>Increase visibility and promote the use of gender, climate change and adaptation methodologies and tools developed</w:t>
            </w:r>
          </w:p>
        </w:tc>
        <w:tc>
          <w:tcPr>
            <w:tcW w:w="1885" w:type="dxa"/>
            <w:shd w:val="clear" w:color="auto" w:fill="auto"/>
          </w:tcPr>
          <w:p w14:paraId="0E5DCF01" w14:textId="1D302CFA" w:rsidR="00D646A7" w:rsidRPr="00686BBC" w:rsidRDefault="00CF529D" w:rsidP="00022939">
            <w:pPr>
              <w:pStyle w:val="Normal0"/>
              <w:spacing w:before="0" w:after="0" w:line="240" w:lineRule="auto"/>
              <w:ind w:firstLine="8"/>
            </w:pPr>
            <w:r w:rsidRPr="00686BBC">
              <w:t>Q4 2021</w:t>
            </w:r>
          </w:p>
        </w:tc>
        <w:tc>
          <w:tcPr>
            <w:tcW w:w="1621" w:type="dxa"/>
            <w:shd w:val="clear" w:color="auto" w:fill="auto"/>
          </w:tcPr>
          <w:p w14:paraId="3FDB0293" w14:textId="626164E4" w:rsidR="00D646A7" w:rsidRPr="00686BBC" w:rsidRDefault="00CF529D" w:rsidP="00022939">
            <w:pPr>
              <w:pStyle w:val="Normal0"/>
              <w:spacing w:before="0" w:after="0" w:line="240" w:lineRule="auto"/>
              <w:jc w:val="left"/>
            </w:pPr>
            <w:r w:rsidRPr="00686BBC">
              <w:t>BPPS</w:t>
            </w:r>
          </w:p>
        </w:tc>
        <w:tc>
          <w:tcPr>
            <w:tcW w:w="1170" w:type="dxa"/>
            <w:shd w:val="clear" w:color="auto" w:fill="auto"/>
          </w:tcPr>
          <w:p w14:paraId="4FFE977F" w14:textId="77777777" w:rsidR="00D646A7" w:rsidRPr="00686BBC" w:rsidRDefault="00D646A7" w:rsidP="00022939">
            <w:pPr>
              <w:pStyle w:val="Normal0"/>
              <w:spacing w:before="0" w:after="0" w:line="240" w:lineRule="auto"/>
            </w:pPr>
          </w:p>
        </w:tc>
        <w:tc>
          <w:tcPr>
            <w:tcW w:w="3335" w:type="dxa"/>
            <w:shd w:val="clear" w:color="auto" w:fill="auto"/>
          </w:tcPr>
          <w:p w14:paraId="7506B1A9" w14:textId="77777777" w:rsidR="00D646A7" w:rsidRPr="00686BBC" w:rsidRDefault="00D646A7" w:rsidP="00022939">
            <w:pPr>
              <w:pStyle w:val="Normal0"/>
              <w:spacing w:before="0" w:after="0" w:line="240" w:lineRule="auto"/>
            </w:pPr>
          </w:p>
        </w:tc>
      </w:tr>
      <w:tr w:rsidR="00D646A7" w:rsidRPr="00686BBC" w14:paraId="061EA0DD" w14:textId="77777777" w:rsidTr="57BE61B2">
        <w:trPr>
          <w:trHeight w:val="534"/>
        </w:trPr>
        <w:tc>
          <w:tcPr>
            <w:tcW w:w="13045" w:type="dxa"/>
            <w:gridSpan w:val="5"/>
            <w:shd w:val="clear" w:color="auto" w:fill="D9D9D9" w:themeFill="background1" w:themeFillShade="D9"/>
          </w:tcPr>
          <w:p w14:paraId="3D807C6D" w14:textId="3E20BF38" w:rsidR="00D646A7" w:rsidRPr="00686BBC" w:rsidRDefault="00D646A7" w:rsidP="00597173">
            <w:pPr>
              <w:pStyle w:val="Recommendationtext"/>
              <w:spacing w:before="0"/>
              <w:rPr>
                <w:rFonts w:ascii="Times New Roman" w:hAnsi="Times New Roman"/>
                <w:sz w:val="20"/>
                <w:szCs w:val="20"/>
              </w:rPr>
            </w:pPr>
            <w:bookmarkStart w:id="5" w:name="_Hlk54167468"/>
            <w:r w:rsidRPr="00686BBC">
              <w:rPr>
                <w:rFonts w:ascii="Times New Roman" w:hAnsi="Times New Roman"/>
                <w:sz w:val="20"/>
                <w:szCs w:val="20"/>
              </w:rPr>
              <w:t xml:space="preserve">Recommendation </w:t>
            </w:r>
            <w:r w:rsidR="005363D7" w:rsidRPr="00686BBC">
              <w:rPr>
                <w:rFonts w:ascii="Times New Roman" w:hAnsi="Times New Roman"/>
                <w:sz w:val="20"/>
                <w:szCs w:val="20"/>
              </w:rPr>
              <w:t>8</w:t>
            </w:r>
            <w:r w:rsidRPr="00686BBC">
              <w:rPr>
                <w:rFonts w:ascii="Times New Roman" w:hAnsi="Times New Roman"/>
                <w:sz w:val="20"/>
                <w:szCs w:val="20"/>
              </w:rPr>
              <w:t>. To better coordinate across an increasingly complex portfolio of environment projects, including for climate change, UNDP should take steps to upgrade its information management system and avoid running separate/parallel information systems for specific programme portfolios.</w:t>
            </w:r>
          </w:p>
          <w:bookmarkEnd w:id="5"/>
          <w:p w14:paraId="05324388" w14:textId="77777777" w:rsidR="00D646A7" w:rsidRPr="00D66C5F" w:rsidRDefault="00D646A7" w:rsidP="00597173">
            <w:pPr>
              <w:pStyle w:val="BodyText"/>
              <w:spacing w:after="0"/>
              <w:rPr>
                <w:sz w:val="12"/>
                <w:szCs w:val="12"/>
                <w:lang w:val="en-GB"/>
              </w:rPr>
            </w:pPr>
          </w:p>
          <w:p w14:paraId="74557B64" w14:textId="7555A3E7" w:rsidR="00D646A7" w:rsidRPr="00686BBC" w:rsidRDefault="00D646A7" w:rsidP="00597173">
            <w:pPr>
              <w:pStyle w:val="BodyText"/>
              <w:spacing w:after="0"/>
              <w:rPr>
                <w:sz w:val="20"/>
                <w:szCs w:val="20"/>
                <w:lang w:val="en-GB"/>
              </w:rPr>
            </w:pPr>
            <w:r w:rsidRPr="00686BBC">
              <w:rPr>
                <w:sz w:val="20"/>
                <w:szCs w:val="20"/>
                <w:lang w:val="en-GB"/>
              </w:rPr>
              <w:t xml:space="preserve">The development of a separate information system for the GEF portfolio highlights deficiencies in </w:t>
            </w:r>
            <w:r w:rsidR="005F05F8">
              <w:rPr>
                <w:sz w:val="20"/>
                <w:szCs w:val="20"/>
                <w:lang w:val="en-GB"/>
              </w:rPr>
              <w:t xml:space="preserve">the </w:t>
            </w:r>
            <w:r w:rsidRPr="00686BBC">
              <w:rPr>
                <w:sz w:val="20"/>
                <w:szCs w:val="20"/>
                <w:lang w:val="en-GB"/>
              </w:rPr>
              <w:t xml:space="preserve">mainstream </w:t>
            </w:r>
            <w:r w:rsidR="005F05F8">
              <w:rPr>
                <w:sz w:val="20"/>
                <w:szCs w:val="20"/>
                <w:lang w:val="en-GB"/>
              </w:rPr>
              <w:t xml:space="preserve">UNDP </w:t>
            </w:r>
            <w:r w:rsidRPr="00686BBC">
              <w:rPr>
                <w:sz w:val="20"/>
                <w:szCs w:val="20"/>
                <w:lang w:val="en-GB"/>
              </w:rPr>
              <w:t xml:space="preserve">project management system and suggests that the solution is not to dissolve PIMS but rather </w:t>
            </w:r>
            <w:r w:rsidR="005F05F8">
              <w:rPr>
                <w:sz w:val="20"/>
                <w:szCs w:val="20"/>
                <w:lang w:val="en-GB"/>
              </w:rPr>
              <w:t xml:space="preserve">to </w:t>
            </w:r>
            <w:r w:rsidRPr="00686BBC">
              <w:rPr>
                <w:sz w:val="20"/>
                <w:szCs w:val="20"/>
                <w:lang w:val="en-GB"/>
              </w:rPr>
              <w:t>raise the capabilities of the corporate information system. Two separate project management systems that serve essentially the same purposes is not an efficient use of UNDP resources. It also reinforces continuation of parallel business models, which potentially undermines the objective of better integrating vertical fund finance within UNDP operations.</w:t>
            </w:r>
          </w:p>
          <w:p w14:paraId="0E6B9402" w14:textId="77777777" w:rsidR="00D646A7" w:rsidRPr="00D66C5F" w:rsidRDefault="00D646A7" w:rsidP="00597173">
            <w:pPr>
              <w:pStyle w:val="BodyText"/>
              <w:spacing w:after="0"/>
              <w:rPr>
                <w:sz w:val="12"/>
                <w:szCs w:val="12"/>
                <w:lang w:val="en-GB"/>
              </w:rPr>
            </w:pPr>
          </w:p>
          <w:p w14:paraId="5019BAC3" w14:textId="333F472A" w:rsidR="005F05F8" w:rsidRPr="00686BBC" w:rsidRDefault="00D646A7" w:rsidP="00597173">
            <w:pPr>
              <w:pStyle w:val="BodyText"/>
              <w:spacing w:after="0"/>
              <w:rPr>
                <w:sz w:val="20"/>
                <w:szCs w:val="20"/>
                <w:lang w:val="en-GB"/>
              </w:rPr>
            </w:pPr>
            <w:r w:rsidRPr="00686BBC">
              <w:rPr>
                <w:sz w:val="20"/>
                <w:szCs w:val="20"/>
                <w:lang w:val="en-GB"/>
              </w:rPr>
              <w:t>Other potential efficiencies could be gained by increasing the efficiency of mechanisms for tracking and aggregating results across its portfolio. This will contribute to addressing a broader challenge with current UNDP systems, which is ensuring requirements are kept simple, in order to ensure there is space for more adaptive</w:t>
            </w:r>
            <w:r w:rsidR="005F05F8">
              <w:rPr>
                <w:sz w:val="20"/>
                <w:szCs w:val="20"/>
                <w:lang w:val="en-GB"/>
              </w:rPr>
              <w:t xml:space="preserve">, </w:t>
            </w:r>
            <w:r w:rsidRPr="00686BBC">
              <w:rPr>
                <w:sz w:val="20"/>
                <w:szCs w:val="20"/>
                <w:lang w:val="en-GB"/>
              </w:rPr>
              <w:t xml:space="preserve">flexible approaches to managing and accounting for results. Currently, reflecting vertical fund and internal requirements, there </w:t>
            </w:r>
            <w:r w:rsidR="005F05F8">
              <w:rPr>
                <w:sz w:val="20"/>
                <w:szCs w:val="20"/>
                <w:lang w:val="en-GB"/>
              </w:rPr>
              <w:t xml:space="preserve">is </w:t>
            </w:r>
            <w:r w:rsidRPr="00686BBC">
              <w:rPr>
                <w:sz w:val="20"/>
                <w:szCs w:val="20"/>
                <w:lang w:val="en-GB"/>
              </w:rPr>
              <w:t xml:space="preserve">a large number of indicators </w:t>
            </w:r>
            <w:r w:rsidR="005F05F8">
              <w:rPr>
                <w:sz w:val="20"/>
                <w:szCs w:val="20"/>
                <w:lang w:val="en-GB"/>
              </w:rPr>
              <w:t xml:space="preserve">on which </w:t>
            </w:r>
            <w:r w:rsidRPr="00686BBC">
              <w:rPr>
                <w:sz w:val="20"/>
                <w:szCs w:val="20"/>
                <w:lang w:val="en-GB"/>
              </w:rPr>
              <w:t>UNDP is obliged to collect data.</w:t>
            </w:r>
            <w:r w:rsidRPr="00686BBC">
              <w:rPr>
                <w:rStyle w:val="FootnoteReference"/>
                <w:sz w:val="20"/>
                <w:szCs w:val="20"/>
                <w:lang w:val="en-GB"/>
              </w:rPr>
              <w:footnoteReference w:id="4"/>
            </w:r>
            <w:r w:rsidRPr="00686BBC">
              <w:rPr>
                <w:sz w:val="20"/>
                <w:szCs w:val="20"/>
                <w:lang w:val="en-GB"/>
              </w:rPr>
              <w:t xml:space="preserve"> To the extent there is flexibility, UNDP should focus on prioritizing its core information requirements to minimize the reporting burden for staff on the ground, focus</w:t>
            </w:r>
            <w:r w:rsidR="005F05F8">
              <w:rPr>
                <w:sz w:val="20"/>
                <w:szCs w:val="20"/>
                <w:lang w:val="en-GB"/>
              </w:rPr>
              <w:t>ing</w:t>
            </w:r>
            <w:r w:rsidRPr="00686BBC">
              <w:rPr>
                <w:sz w:val="20"/>
                <w:szCs w:val="20"/>
                <w:lang w:val="en-GB"/>
              </w:rPr>
              <w:t xml:space="preserve"> on those indicators that best capture the value of its adaptation work.</w:t>
            </w:r>
          </w:p>
        </w:tc>
      </w:tr>
      <w:tr w:rsidR="00D646A7" w:rsidRPr="00686BBC" w14:paraId="20A468A9" w14:textId="77777777" w:rsidTr="00D66C5F">
        <w:trPr>
          <w:trHeight w:val="2682"/>
        </w:trPr>
        <w:tc>
          <w:tcPr>
            <w:tcW w:w="13045" w:type="dxa"/>
            <w:gridSpan w:val="5"/>
            <w:shd w:val="clear" w:color="auto" w:fill="F2F2F2" w:themeFill="background1" w:themeFillShade="F2"/>
          </w:tcPr>
          <w:p w14:paraId="600DDF7A" w14:textId="77777777" w:rsidR="00D646A7" w:rsidRPr="00686BBC" w:rsidRDefault="00D646A7" w:rsidP="00022939">
            <w:pPr>
              <w:tabs>
                <w:tab w:val="left" w:pos="2880"/>
              </w:tabs>
              <w:jc w:val="both"/>
              <w:rPr>
                <w:b/>
                <w:sz w:val="20"/>
                <w:szCs w:val="20"/>
                <w:lang w:val="en-GB"/>
              </w:rPr>
            </w:pPr>
            <w:r w:rsidRPr="00686BBC">
              <w:rPr>
                <w:b/>
                <w:sz w:val="20"/>
                <w:szCs w:val="20"/>
                <w:lang w:val="en-GB"/>
              </w:rPr>
              <w:t>Management response:</w:t>
            </w:r>
            <w:r w:rsidRPr="00686BBC">
              <w:rPr>
                <w:sz w:val="20"/>
                <w:szCs w:val="20"/>
                <w:lang w:val="en-GB"/>
              </w:rPr>
              <w:t xml:space="preserve"> </w:t>
            </w:r>
          </w:p>
          <w:p w14:paraId="04DB476B" w14:textId="50866FE9" w:rsidR="002650EC" w:rsidRPr="00D66C5F" w:rsidRDefault="002650EC" w:rsidP="002650EC">
            <w:pPr>
              <w:autoSpaceDE w:val="0"/>
              <w:autoSpaceDN w:val="0"/>
              <w:adjustRightInd w:val="0"/>
              <w:rPr>
                <w:rFonts w:eastAsiaTheme="minorHAnsi"/>
                <w:color w:val="000000" w:themeColor="text1"/>
                <w:sz w:val="12"/>
                <w:szCs w:val="12"/>
                <w:u w:color="353535"/>
                <w:lang w:val="en-GB"/>
              </w:rPr>
            </w:pPr>
          </w:p>
          <w:p w14:paraId="7581D59E" w14:textId="798FD357" w:rsidR="00F92FCF" w:rsidRPr="00686BBC" w:rsidRDefault="00876B7C" w:rsidP="006F260A">
            <w:pPr>
              <w:pStyle w:val="Normal0"/>
              <w:spacing w:before="0" w:line="240" w:lineRule="auto"/>
            </w:pPr>
            <w:r w:rsidRPr="00686BBC">
              <w:t xml:space="preserve">UNDP partially accepts the recommendation. </w:t>
            </w:r>
            <w:r w:rsidR="00F92FCF" w:rsidRPr="00686BBC">
              <w:t xml:space="preserve">While Atlas is an ERP system for project implementation and financial and human resource management, PIMS+ is a project cycle management portal for </w:t>
            </w:r>
            <w:r w:rsidR="003820C8">
              <w:t>v</w:t>
            </w:r>
            <w:r w:rsidR="00F92FCF" w:rsidRPr="00686BBC">
              <w:t xml:space="preserve">ertical </w:t>
            </w:r>
            <w:r w:rsidR="003820C8">
              <w:t>f</w:t>
            </w:r>
            <w:r w:rsidR="00F92FCF" w:rsidRPr="00686BBC">
              <w:t>und</w:t>
            </w:r>
            <w:r w:rsidR="003820C8">
              <w:t>-</w:t>
            </w:r>
            <w:r w:rsidR="00F92FCF" w:rsidRPr="00686BBC">
              <w:t>financed projects, covering the project design phase (outside of Atlas) enabling users to aggregate portfolio data, store donor specific documents and data</w:t>
            </w:r>
            <w:r w:rsidR="003820C8">
              <w:t>,</w:t>
            </w:r>
            <w:r w:rsidR="00F92FCF" w:rsidRPr="00686BBC">
              <w:t xml:space="preserve"> and interact with external vertical fund portals responding to specific donor reporting requirements. </w:t>
            </w:r>
            <w:r w:rsidR="003820C8">
              <w:t>E</w:t>
            </w:r>
            <w:r w:rsidR="00F92FCF" w:rsidRPr="00686BBC">
              <w:t xml:space="preserve">ach system serves distinct purposes. As UNDP is migrating the existing Atlas </w:t>
            </w:r>
            <w:r w:rsidR="003820C8">
              <w:t xml:space="preserve">platform </w:t>
            </w:r>
            <w:r w:rsidR="00F92FCF" w:rsidRPr="00686BBC">
              <w:t xml:space="preserve">to a new ERP cloud system, </w:t>
            </w:r>
            <w:r w:rsidR="00CF529D" w:rsidRPr="00686BBC">
              <w:t xml:space="preserve">UNDP </w:t>
            </w:r>
            <w:r w:rsidR="00F92FCF" w:rsidRPr="00686BBC">
              <w:t xml:space="preserve">will take the opportunity to further </w:t>
            </w:r>
            <w:r w:rsidR="00CF529D" w:rsidRPr="00686BBC">
              <w:t xml:space="preserve">align </w:t>
            </w:r>
            <w:r w:rsidR="00F92FCF" w:rsidRPr="00686BBC">
              <w:t xml:space="preserve">data points between the two systems and explore opportunities for further integration. </w:t>
            </w:r>
          </w:p>
          <w:p w14:paraId="0F433712" w14:textId="39EF682C" w:rsidR="00F92FCF" w:rsidRPr="00686BBC" w:rsidRDefault="00F92FCF" w:rsidP="00CC7E16">
            <w:pPr>
              <w:pStyle w:val="Normal0"/>
              <w:spacing w:before="0" w:after="0" w:line="240" w:lineRule="auto"/>
            </w:pPr>
            <w:r w:rsidRPr="00686BBC">
              <w:t xml:space="preserve">UNDP is in the process of developing </w:t>
            </w:r>
            <w:r w:rsidR="003820C8">
              <w:t xml:space="preserve">its </w:t>
            </w:r>
            <w:r w:rsidR="00CF529D" w:rsidRPr="00686BBC">
              <w:t>S</w:t>
            </w:r>
            <w:r w:rsidRPr="00686BBC">
              <w:t xml:space="preserve">trategic </w:t>
            </w:r>
            <w:r w:rsidR="00CF529D" w:rsidRPr="00686BBC">
              <w:t>P</w:t>
            </w:r>
            <w:r w:rsidRPr="00686BBC">
              <w:t>lan</w:t>
            </w:r>
            <w:r w:rsidR="003820C8">
              <w:t xml:space="preserve">, </w:t>
            </w:r>
            <w:r w:rsidRPr="00686BBC">
              <w:t xml:space="preserve">2022-2025 </w:t>
            </w:r>
            <w:r w:rsidR="00643E41" w:rsidRPr="00686BBC">
              <w:t>and</w:t>
            </w:r>
            <w:r w:rsidR="00DA08F4">
              <w:t>,</w:t>
            </w:r>
            <w:r w:rsidR="00643E41" w:rsidRPr="00686BBC">
              <w:t xml:space="preserve"> </w:t>
            </w:r>
            <w:r w:rsidR="00DA08F4">
              <w:t xml:space="preserve">in </w:t>
            </w:r>
            <w:r w:rsidR="00643E41" w:rsidRPr="00686BBC">
              <w:t xml:space="preserve">designing the </w:t>
            </w:r>
            <w:r w:rsidR="00DA08F4">
              <w:t>accompanying i</w:t>
            </w:r>
            <w:r w:rsidRPr="00686BBC">
              <w:t xml:space="preserve">ntegrated </w:t>
            </w:r>
            <w:r w:rsidR="00DA08F4">
              <w:t>r</w:t>
            </w:r>
            <w:r w:rsidRPr="00686BBC">
              <w:t xml:space="preserve">esults and </w:t>
            </w:r>
            <w:r w:rsidR="00DA08F4">
              <w:t>r</w:t>
            </w:r>
            <w:r w:rsidRPr="00686BBC">
              <w:t xml:space="preserve">esources </w:t>
            </w:r>
            <w:r w:rsidR="00DA08F4">
              <w:t>f</w:t>
            </w:r>
            <w:r w:rsidRPr="00686BBC">
              <w:t>ramework (IRRF)</w:t>
            </w:r>
            <w:r w:rsidR="00DA08F4">
              <w:t xml:space="preserve">, </w:t>
            </w:r>
            <w:r w:rsidRPr="00686BBC">
              <w:t>with performance indicators at outcome and output levels</w:t>
            </w:r>
            <w:r w:rsidR="00643E41" w:rsidRPr="00686BBC">
              <w:t>, U</w:t>
            </w:r>
            <w:r w:rsidRPr="00686BBC">
              <w:t>NDP will carefully review existing indicators in the current IRRF</w:t>
            </w:r>
            <w:r w:rsidR="00DA08F4">
              <w:t xml:space="preserve">, </w:t>
            </w:r>
            <w:r w:rsidRPr="00686BBC">
              <w:t xml:space="preserve">2018-2021, </w:t>
            </w:r>
            <w:r w:rsidR="00DA08F4">
              <w:t xml:space="preserve">the </w:t>
            </w:r>
            <w:r w:rsidRPr="00686BBC">
              <w:t>CCA portfolio</w:t>
            </w:r>
            <w:r w:rsidR="00DA08F4">
              <w:t>,</w:t>
            </w:r>
            <w:r w:rsidRPr="00686BBC">
              <w:t xml:space="preserve"> </w:t>
            </w:r>
            <w:r w:rsidR="00DA08F4">
              <w:t xml:space="preserve">and </w:t>
            </w:r>
            <w:r w:rsidRPr="00686BBC">
              <w:t>those in country programme documents and projects</w:t>
            </w:r>
            <w:r w:rsidR="00643E41" w:rsidRPr="00686BBC">
              <w:t xml:space="preserve">, </w:t>
            </w:r>
            <w:r w:rsidRPr="00686BBC">
              <w:t xml:space="preserve">to identify a small set of indicators that best capture the objectives of </w:t>
            </w:r>
            <w:r w:rsidR="00DA08F4">
              <w:t xml:space="preserve">the </w:t>
            </w:r>
            <w:r w:rsidRPr="00686BBC">
              <w:t>UNDP adaptation portfolio to minimize reporting burden for staff on the ground.</w:t>
            </w:r>
          </w:p>
        </w:tc>
      </w:tr>
      <w:tr w:rsidR="00D646A7" w:rsidRPr="00686BBC" w14:paraId="03F5902A" w14:textId="77777777" w:rsidTr="004C3877">
        <w:trPr>
          <w:trHeight w:val="534"/>
        </w:trPr>
        <w:tc>
          <w:tcPr>
            <w:tcW w:w="5034" w:type="dxa"/>
            <w:shd w:val="clear" w:color="auto" w:fill="auto"/>
          </w:tcPr>
          <w:p w14:paraId="50C3CAFF" w14:textId="384FCA52" w:rsidR="00DA08F4" w:rsidRPr="00686BBC" w:rsidRDefault="00385F35" w:rsidP="00D66C5F">
            <w:pPr>
              <w:ind w:left="330" w:hanging="360"/>
              <w:rPr>
                <w:sz w:val="20"/>
                <w:szCs w:val="20"/>
                <w:lang w:val="en-GB"/>
              </w:rPr>
            </w:pPr>
            <w:r w:rsidRPr="00686BBC">
              <w:rPr>
                <w:sz w:val="20"/>
                <w:szCs w:val="20"/>
                <w:lang w:val="en-GB"/>
              </w:rPr>
              <w:t xml:space="preserve">8.1 </w:t>
            </w:r>
            <w:r w:rsidR="00DA08F4">
              <w:rPr>
                <w:sz w:val="20"/>
                <w:szCs w:val="20"/>
                <w:lang w:val="en-GB"/>
              </w:rPr>
              <w:t xml:space="preserve"> </w:t>
            </w:r>
            <w:r w:rsidR="008C47DF">
              <w:rPr>
                <w:sz w:val="20"/>
                <w:szCs w:val="20"/>
                <w:lang w:val="en-GB"/>
              </w:rPr>
              <w:t>Improve i</w:t>
            </w:r>
            <w:r w:rsidRPr="00686BBC">
              <w:rPr>
                <w:sz w:val="20"/>
                <w:szCs w:val="20"/>
                <w:lang w:val="en-GB"/>
              </w:rPr>
              <w:t>ntegrat</w:t>
            </w:r>
            <w:r w:rsidR="008C47DF">
              <w:rPr>
                <w:sz w:val="20"/>
                <w:szCs w:val="20"/>
                <w:lang w:val="en-GB"/>
              </w:rPr>
              <w:t>ion</w:t>
            </w:r>
            <w:r w:rsidR="00DA08F4">
              <w:rPr>
                <w:sz w:val="20"/>
                <w:szCs w:val="20"/>
                <w:lang w:val="en-GB"/>
              </w:rPr>
              <w:t xml:space="preserve"> </w:t>
            </w:r>
            <w:r w:rsidRPr="00686BBC">
              <w:rPr>
                <w:sz w:val="20"/>
                <w:szCs w:val="20"/>
                <w:lang w:val="en-GB"/>
              </w:rPr>
              <w:t xml:space="preserve">PIMS+ data </w:t>
            </w:r>
            <w:r w:rsidR="008C47DF">
              <w:rPr>
                <w:sz w:val="20"/>
                <w:szCs w:val="20"/>
                <w:lang w:val="en-GB"/>
              </w:rPr>
              <w:t xml:space="preserve">with the next generation ERP platform to improve consistency of </w:t>
            </w:r>
            <w:r w:rsidR="00DA08F4">
              <w:rPr>
                <w:sz w:val="20"/>
                <w:szCs w:val="20"/>
                <w:lang w:val="en-GB"/>
              </w:rPr>
              <w:t xml:space="preserve"> </w:t>
            </w:r>
            <w:r w:rsidRPr="00686BBC">
              <w:rPr>
                <w:sz w:val="20"/>
                <w:szCs w:val="20"/>
                <w:lang w:val="en-GB"/>
              </w:rPr>
              <w:t>the corporate data architecture, with dashboards that show key portfolio performance and results along different service lines</w:t>
            </w:r>
            <w:r w:rsidRPr="00686BBC" w:rsidDel="00385F35">
              <w:rPr>
                <w:sz w:val="20"/>
                <w:szCs w:val="20"/>
                <w:lang w:val="en-GB"/>
              </w:rPr>
              <w:t xml:space="preserve"> </w:t>
            </w:r>
          </w:p>
        </w:tc>
        <w:tc>
          <w:tcPr>
            <w:tcW w:w="1885" w:type="dxa"/>
            <w:shd w:val="clear" w:color="auto" w:fill="auto"/>
          </w:tcPr>
          <w:p w14:paraId="024F7E2B" w14:textId="04A42235" w:rsidR="00D646A7" w:rsidRPr="00686BBC" w:rsidRDefault="00E33E73" w:rsidP="00022939">
            <w:pPr>
              <w:pStyle w:val="Normal0"/>
              <w:spacing w:before="0" w:after="0" w:line="240" w:lineRule="auto"/>
              <w:ind w:firstLine="8"/>
            </w:pPr>
            <w:r w:rsidRPr="00686BBC">
              <w:t>Q1 202</w:t>
            </w:r>
            <w:r w:rsidR="00772FF8" w:rsidRPr="00686BBC">
              <w:t>2</w:t>
            </w:r>
          </w:p>
        </w:tc>
        <w:tc>
          <w:tcPr>
            <w:tcW w:w="1621" w:type="dxa"/>
            <w:shd w:val="clear" w:color="auto" w:fill="auto"/>
          </w:tcPr>
          <w:p w14:paraId="3EA7EFD1" w14:textId="015571A7" w:rsidR="00D646A7" w:rsidRPr="00686BBC" w:rsidRDefault="00E33E73" w:rsidP="00022939">
            <w:pPr>
              <w:pStyle w:val="Normal0"/>
              <w:spacing w:before="0" w:after="0" w:line="240" w:lineRule="auto"/>
              <w:jc w:val="left"/>
            </w:pPr>
            <w:r w:rsidRPr="00686BBC">
              <w:t>BPPS</w:t>
            </w:r>
            <w:r w:rsidR="00E30F27" w:rsidRPr="00686BBC">
              <w:t>/BMS</w:t>
            </w:r>
          </w:p>
        </w:tc>
        <w:tc>
          <w:tcPr>
            <w:tcW w:w="1170" w:type="dxa"/>
            <w:shd w:val="clear" w:color="auto" w:fill="auto"/>
          </w:tcPr>
          <w:p w14:paraId="4BA8079C" w14:textId="77777777" w:rsidR="00D646A7" w:rsidRPr="00686BBC" w:rsidRDefault="00D646A7" w:rsidP="00022939">
            <w:pPr>
              <w:pStyle w:val="Normal0"/>
              <w:spacing w:before="0" w:after="0" w:line="240" w:lineRule="auto"/>
            </w:pPr>
          </w:p>
        </w:tc>
        <w:tc>
          <w:tcPr>
            <w:tcW w:w="3335" w:type="dxa"/>
            <w:shd w:val="clear" w:color="auto" w:fill="auto"/>
          </w:tcPr>
          <w:p w14:paraId="0838BE9F" w14:textId="77777777" w:rsidR="00D646A7" w:rsidRPr="00686BBC" w:rsidRDefault="00D646A7" w:rsidP="00022939">
            <w:pPr>
              <w:pStyle w:val="Normal0"/>
              <w:spacing w:before="0" w:after="0" w:line="240" w:lineRule="auto"/>
              <w:ind w:left="72"/>
            </w:pPr>
          </w:p>
        </w:tc>
      </w:tr>
      <w:tr w:rsidR="00D646A7" w:rsidRPr="00686BBC" w14:paraId="4E69A93A" w14:textId="77777777" w:rsidTr="004C3877">
        <w:trPr>
          <w:trHeight w:val="534"/>
        </w:trPr>
        <w:tc>
          <w:tcPr>
            <w:tcW w:w="5034" w:type="dxa"/>
            <w:shd w:val="clear" w:color="auto" w:fill="auto"/>
          </w:tcPr>
          <w:p w14:paraId="7EA849C9" w14:textId="2F72980E" w:rsidR="00DA08F4" w:rsidRPr="00686BBC" w:rsidRDefault="0097696E" w:rsidP="00D66C5F">
            <w:pPr>
              <w:ind w:left="330" w:hanging="360"/>
              <w:rPr>
                <w:sz w:val="20"/>
                <w:szCs w:val="20"/>
                <w:lang w:val="en-GB"/>
              </w:rPr>
            </w:pPr>
            <w:r w:rsidRPr="00686BBC">
              <w:rPr>
                <w:sz w:val="20"/>
                <w:szCs w:val="20"/>
                <w:lang w:val="en-GB"/>
              </w:rPr>
              <w:t xml:space="preserve">8.2 </w:t>
            </w:r>
            <w:r w:rsidR="00DA08F4">
              <w:rPr>
                <w:sz w:val="20"/>
                <w:szCs w:val="20"/>
                <w:lang w:val="en-GB"/>
              </w:rPr>
              <w:t xml:space="preserve">  </w:t>
            </w:r>
            <w:r w:rsidRPr="00686BBC">
              <w:rPr>
                <w:sz w:val="20"/>
                <w:szCs w:val="20"/>
                <w:lang w:val="en-GB"/>
              </w:rPr>
              <w:t>Introduce a small number of indicators in the IRRF</w:t>
            </w:r>
            <w:r w:rsidR="00DA08F4">
              <w:rPr>
                <w:sz w:val="20"/>
                <w:szCs w:val="20"/>
                <w:lang w:val="en-GB"/>
              </w:rPr>
              <w:t>,</w:t>
            </w:r>
            <w:r w:rsidRPr="00686BBC">
              <w:rPr>
                <w:sz w:val="20"/>
                <w:szCs w:val="20"/>
                <w:lang w:val="en-GB"/>
              </w:rPr>
              <w:t xml:space="preserve"> 2022-2025</w:t>
            </w:r>
            <w:r w:rsidR="00DA08F4">
              <w:rPr>
                <w:sz w:val="20"/>
                <w:szCs w:val="20"/>
                <w:lang w:val="en-GB"/>
              </w:rPr>
              <w:t>,</w:t>
            </w:r>
            <w:r w:rsidRPr="00686BBC">
              <w:rPr>
                <w:sz w:val="20"/>
                <w:szCs w:val="20"/>
                <w:lang w:val="en-GB"/>
              </w:rPr>
              <w:t xml:space="preserve"> that best capture the objectives of UNDP climate change adaptation work.</w:t>
            </w:r>
          </w:p>
        </w:tc>
        <w:tc>
          <w:tcPr>
            <w:tcW w:w="1885" w:type="dxa"/>
            <w:shd w:val="clear" w:color="auto" w:fill="auto"/>
          </w:tcPr>
          <w:p w14:paraId="19239C82" w14:textId="69D4AFED" w:rsidR="00D646A7" w:rsidRPr="00686BBC" w:rsidRDefault="0048775B" w:rsidP="00022939">
            <w:pPr>
              <w:pStyle w:val="Normal0"/>
              <w:spacing w:before="0" w:after="0" w:line="240" w:lineRule="auto"/>
              <w:ind w:firstLine="8"/>
            </w:pPr>
            <w:r w:rsidRPr="00686BBC">
              <w:t>Q3 2021</w:t>
            </w:r>
          </w:p>
        </w:tc>
        <w:tc>
          <w:tcPr>
            <w:tcW w:w="1621" w:type="dxa"/>
            <w:shd w:val="clear" w:color="auto" w:fill="auto"/>
          </w:tcPr>
          <w:p w14:paraId="0637DDB4" w14:textId="503A3A0A" w:rsidR="00D646A7" w:rsidRPr="00686BBC" w:rsidRDefault="0048775B" w:rsidP="00022939">
            <w:pPr>
              <w:pStyle w:val="Normal0"/>
              <w:spacing w:before="0" w:after="0" w:line="240" w:lineRule="auto"/>
              <w:jc w:val="left"/>
            </w:pPr>
            <w:r w:rsidRPr="00686BBC">
              <w:t>BPPS</w:t>
            </w:r>
          </w:p>
        </w:tc>
        <w:tc>
          <w:tcPr>
            <w:tcW w:w="1170" w:type="dxa"/>
            <w:shd w:val="clear" w:color="auto" w:fill="auto"/>
          </w:tcPr>
          <w:p w14:paraId="2840F7E4" w14:textId="77777777" w:rsidR="00D646A7" w:rsidRPr="00686BBC" w:rsidRDefault="00D646A7" w:rsidP="00022939">
            <w:pPr>
              <w:pStyle w:val="Normal0"/>
              <w:spacing w:before="0" w:after="0" w:line="240" w:lineRule="auto"/>
            </w:pPr>
          </w:p>
        </w:tc>
        <w:tc>
          <w:tcPr>
            <w:tcW w:w="3335" w:type="dxa"/>
            <w:shd w:val="clear" w:color="auto" w:fill="auto"/>
          </w:tcPr>
          <w:p w14:paraId="5F72B3D4" w14:textId="77777777" w:rsidR="00D646A7" w:rsidRPr="00686BBC" w:rsidRDefault="00D646A7" w:rsidP="00022939">
            <w:pPr>
              <w:pStyle w:val="Normal0"/>
              <w:spacing w:before="0" w:after="0" w:line="240" w:lineRule="auto"/>
              <w:ind w:left="72"/>
            </w:pPr>
          </w:p>
        </w:tc>
      </w:tr>
    </w:tbl>
    <w:p w14:paraId="4ADEF903" w14:textId="5C5B3E15" w:rsidR="00830E09" w:rsidRDefault="00830E09" w:rsidP="00644394">
      <w:pPr>
        <w:jc w:val="center"/>
        <w:rPr>
          <w:sz w:val="20"/>
          <w:szCs w:val="20"/>
          <w:lang w:val="en-GB"/>
        </w:rPr>
      </w:pPr>
    </w:p>
    <w:p w14:paraId="33698CD0" w14:textId="2CA14AE4" w:rsidR="00060966" w:rsidRPr="00686BBC" w:rsidRDefault="00060966" w:rsidP="00644394">
      <w:pPr>
        <w:jc w:val="center"/>
        <w:rPr>
          <w:sz w:val="20"/>
          <w:szCs w:val="20"/>
          <w:lang w:val="en-GB"/>
        </w:rPr>
      </w:pPr>
      <w:r w:rsidRPr="00060966">
        <w:rPr>
          <w:rFonts w:eastAsia="Calibri"/>
          <w:noProof/>
          <w:spacing w:val="4"/>
          <w:w w:val="103"/>
          <w:kern w:val="14"/>
          <w:sz w:val="20"/>
          <w:szCs w:val="20"/>
          <w:lang w:val="en-GB"/>
        </w:rPr>
        <w:drawing>
          <wp:inline distT="0" distB="0" distL="0" distR="0" wp14:anchorId="42C2DFB3" wp14:editId="490CABD2">
            <wp:extent cx="920750" cy="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060966" w:rsidRPr="00686BBC" w:rsidSect="00AE1DA9">
      <w:headerReference w:type="even" r:id="rId27"/>
      <w:headerReference w:type="default" r:id="rId28"/>
      <w:footerReference w:type="even" r:id="rId29"/>
      <w:footerReference w:type="default" r:id="rId30"/>
      <w:headerReference w:type="first" r:id="rId31"/>
      <w:footerReference w:type="first" r:id="rId32"/>
      <w:pgSz w:w="15840" w:h="12240" w:orient="landscape" w:code="1"/>
      <w:pgMar w:top="864" w:right="1469" w:bottom="720" w:left="1469" w:header="547" w:footer="103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2F99A" w14:textId="77777777" w:rsidR="00500048" w:rsidRDefault="00500048">
      <w:r>
        <w:separator/>
      </w:r>
    </w:p>
  </w:endnote>
  <w:endnote w:type="continuationSeparator" w:id="0">
    <w:p w14:paraId="34959E4B" w14:textId="77777777" w:rsidR="00500048" w:rsidRDefault="00500048">
      <w:r>
        <w:continuationSeparator/>
      </w:r>
    </w:p>
  </w:endnote>
  <w:endnote w:type="continuationNotice" w:id="1">
    <w:p w14:paraId="267C30A0" w14:textId="77777777" w:rsidR="00500048" w:rsidRDefault="005000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Adobe Caslon Pro">
    <w:altName w:val="Times New Roman"/>
    <w:panose1 w:val="00000000000000000000"/>
    <w:charset w:val="00"/>
    <w:family w:val="roman"/>
    <w:notTrueType/>
    <w:pitch w:val="default"/>
    <w:sig w:usb0="00000003" w:usb1="00000000" w:usb2="00000000" w:usb3="00000000" w:csb0="00000001" w:csb1="00000000"/>
  </w:font>
  <w:font w:name="Myriad Pro">
    <w:panose1 w:val="00000000000000000000"/>
    <w:charset w:val="00"/>
    <w:family w:val="swiss"/>
    <w:notTrueType/>
    <w:pitch w:val="variable"/>
    <w:sig w:usb0="A00002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oboto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C157D" w14:textId="77777777" w:rsidR="0044787D" w:rsidRPr="002979FA" w:rsidRDefault="0044787D" w:rsidP="00966FE4">
    <w:pPr>
      <w:pStyle w:val="Footer"/>
      <w:ind w:firstLine="900"/>
      <w:rPr>
        <w:b/>
        <w:sz w:val="17"/>
        <w:szCs w:val="17"/>
      </w:rPr>
    </w:pPr>
    <w:r w:rsidRPr="002979FA">
      <w:rPr>
        <w:b/>
        <w:sz w:val="17"/>
        <w:szCs w:val="17"/>
      </w:rPr>
      <w:fldChar w:fldCharType="begin"/>
    </w:r>
    <w:r w:rsidRPr="002979FA">
      <w:rPr>
        <w:b/>
        <w:sz w:val="17"/>
        <w:szCs w:val="17"/>
      </w:rPr>
      <w:instrText xml:space="preserve"> PAGE   \* MERGEFORMAT </w:instrText>
    </w:r>
    <w:r w:rsidRPr="002979FA">
      <w:rPr>
        <w:b/>
        <w:sz w:val="17"/>
        <w:szCs w:val="17"/>
      </w:rPr>
      <w:fldChar w:fldCharType="separate"/>
    </w:r>
    <w:r>
      <w:rPr>
        <w:b/>
        <w:noProof/>
        <w:sz w:val="17"/>
        <w:szCs w:val="17"/>
      </w:rPr>
      <w:t>16</w:t>
    </w:r>
    <w:r w:rsidRPr="002979FA">
      <w:rPr>
        <w:b/>
        <w:noProof/>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1B946" w14:textId="77777777" w:rsidR="0044787D" w:rsidRPr="00F22912" w:rsidRDefault="0044787D" w:rsidP="00C735BB">
    <w:pPr>
      <w:pStyle w:val="Footer"/>
      <w:tabs>
        <w:tab w:val="clear" w:pos="8640"/>
        <w:tab w:val="left" w:pos="9000"/>
      </w:tabs>
      <w:ind w:right="-418"/>
      <w:jc w:val="right"/>
      <w:rPr>
        <w:b/>
        <w:sz w:val="17"/>
        <w:szCs w:val="17"/>
      </w:rPr>
    </w:pPr>
    <w:r w:rsidRPr="00F22912">
      <w:rPr>
        <w:b/>
        <w:sz w:val="17"/>
        <w:szCs w:val="17"/>
      </w:rPr>
      <w:fldChar w:fldCharType="begin"/>
    </w:r>
    <w:r w:rsidRPr="00F22912">
      <w:rPr>
        <w:b/>
        <w:sz w:val="17"/>
        <w:szCs w:val="17"/>
      </w:rPr>
      <w:instrText xml:space="preserve"> PAGE   \* MERGEFORMAT </w:instrText>
    </w:r>
    <w:r w:rsidRPr="00F22912">
      <w:rPr>
        <w:b/>
        <w:sz w:val="17"/>
        <w:szCs w:val="17"/>
      </w:rPr>
      <w:fldChar w:fldCharType="separate"/>
    </w:r>
    <w:r>
      <w:rPr>
        <w:b/>
        <w:noProof/>
        <w:sz w:val="17"/>
        <w:szCs w:val="17"/>
      </w:rPr>
      <w:t>11</w:t>
    </w:r>
    <w:r w:rsidRPr="00F22912">
      <w:rPr>
        <w:b/>
        <w:noProof/>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C975B" w14:textId="77777777" w:rsidR="0044787D" w:rsidRPr="002979FA" w:rsidRDefault="0044787D" w:rsidP="00C735BB">
    <w:pPr>
      <w:pStyle w:val="Footer"/>
      <w:rPr>
        <w:b/>
        <w:sz w:val="17"/>
        <w:szCs w:val="17"/>
      </w:rPr>
    </w:pPr>
    <w:r w:rsidRPr="002979FA">
      <w:rPr>
        <w:b/>
        <w:sz w:val="17"/>
        <w:szCs w:val="17"/>
      </w:rPr>
      <w:fldChar w:fldCharType="begin"/>
    </w:r>
    <w:r w:rsidRPr="002979FA">
      <w:rPr>
        <w:b/>
        <w:sz w:val="17"/>
        <w:szCs w:val="17"/>
      </w:rPr>
      <w:instrText xml:space="preserve"> PAGE   \* MERGEFORMAT </w:instrText>
    </w:r>
    <w:r w:rsidRPr="002979FA">
      <w:rPr>
        <w:b/>
        <w:sz w:val="17"/>
        <w:szCs w:val="17"/>
      </w:rPr>
      <w:fldChar w:fldCharType="separate"/>
    </w:r>
    <w:r>
      <w:rPr>
        <w:b/>
        <w:noProof/>
        <w:sz w:val="17"/>
        <w:szCs w:val="17"/>
      </w:rPr>
      <w:t>16</w:t>
    </w:r>
    <w:r w:rsidRPr="002979FA">
      <w:rPr>
        <w:b/>
        <w:noProof/>
        <w:sz w:val="17"/>
        <w:szCs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162B3" w14:textId="77777777" w:rsidR="00D66C5F" w:rsidRPr="00F22912" w:rsidRDefault="00D66C5F" w:rsidP="00D66C5F">
    <w:pPr>
      <w:pStyle w:val="Footer"/>
      <w:tabs>
        <w:tab w:val="clear" w:pos="8640"/>
        <w:tab w:val="left" w:pos="9000"/>
      </w:tabs>
      <w:ind w:right="-148"/>
      <w:jc w:val="right"/>
      <w:rPr>
        <w:b/>
        <w:sz w:val="17"/>
        <w:szCs w:val="17"/>
      </w:rPr>
    </w:pPr>
    <w:r w:rsidRPr="00F22912">
      <w:rPr>
        <w:b/>
        <w:sz w:val="17"/>
        <w:szCs w:val="17"/>
      </w:rPr>
      <w:fldChar w:fldCharType="begin"/>
    </w:r>
    <w:r w:rsidRPr="00F22912">
      <w:rPr>
        <w:b/>
        <w:sz w:val="17"/>
        <w:szCs w:val="17"/>
      </w:rPr>
      <w:instrText xml:space="preserve"> PAGE   \* MERGEFORMAT </w:instrText>
    </w:r>
    <w:r w:rsidRPr="00F22912">
      <w:rPr>
        <w:b/>
        <w:sz w:val="17"/>
        <w:szCs w:val="17"/>
      </w:rPr>
      <w:fldChar w:fldCharType="separate"/>
    </w:r>
    <w:r>
      <w:rPr>
        <w:b/>
        <w:noProof/>
        <w:sz w:val="17"/>
        <w:szCs w:val="17"/>
      </w:rPr>
      <w:t>11</w:t>
    </w:r>
    <w:r w:rsidRPr="00F22912">
      <w:rPr>
        <w:b/>
        <w:noProof/>
        <w:sz w:val="17"/>
        <w:szCs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5461170"/>
      <w:docPartObj>
        <w:docPartGallery w:val="Page Numbers (Bottom of Page)"/>
        <w:docPartUnique/>
      </w:docPartObj>
    </w:sdtPr>
    <w:sdtEndPr>
      <w:rPr>
        <w:b/>
        <w:bCs/>
        <w:noProof/>
        <w:sz w:val="17"/>
        <w:szCs w:val="17"/>
      </w:rPr>
    </w:sdtEndPr>
    <w:sdtContent>
      <w:p w14:paraId="5A87AC22" w14:textId="5B22E709" w:rsidR="0044787D" w:rsidRPr="00966FE4" w:rsidRDefault="0044787D">
        <w:pPr>
          <w:pStyle w:val="Footer"/>
          <w:rPr>
            <w:b/>
            <w:bCs/>
            <w:sz w:val="17"/>
            <w:szCs w:val="17"/>
          </w:rPr>
        </w:pPr>
        <w:r w:rsidRPr="00966FE4">
          <w:rPr>
            <w:b/>
            <w:bCs/>
            <w:sz w:val="17"/>
            <w:szCs w:val="17"/>
          </w:rPr>
          <w:fldChar w:fldCharType="begin"/>
        </w:r>
        <w:r w:rsidRPr="00966FE4">
          <w:rPr>
            <w:b/>
            <w:bCs/>
            <w:sz w:val="17"/>
            <w:szCs w:val="17"/>
          </w:rPr>
          <w:instrText xml:space="preserve"> PAGE   \* MERGEFORMAT </w:instrText>
        </w:r>
        <w:r w:rsidRPr="00966FE4">
          <w:rPr>
            <w:b/>
            <w:bCs/>
            <w:sz w:val="17"/>
            <w:szCs w:val="17"/>
          </w:rPr>
          <w:fldChar w:fldCharType="separate"/>
        </w:r>
        <w:r w:rsidRPr="00966FE4">
          <w:rPr>
            <w:b/>
            <w:bCs/>
            <w:noProof/>
            <w:sz w:val="17"/>
            <w:szCs w:val="17"/>
          </w:rPr>
          <w:t>2</w:t>
        </w:r>
        <w:r w:rsidRPr="00966FE4">
          <w:rPr>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64E8C" w14:textId="77777777" w:rsidR="00500048" w:rsidRDefault="00500048">
      <w:r>
        <w:separator/>
      </w:r>
    </w:p>
  </w:footnote>
  <w:footnote w:type="continuationSeparator" w:id="0">
    <w:p w14:paraId="764A6A47" w14:textId="77777777" w:rsidR="00500048" w:rsidRDefault="00500048">
      <w:r>
        <w:continuationSeparator/>
      </w:r>
    </w:p>
  </w:footnote>
  <w:footnote w:type="continuationNotice" w:id="1">
    <w:p w14:paraId="57AE0738" w14:textId="77777777" w:rsidR="00500048" w:rsidRDefault="00500048"/>
  </w:footnote>
  <w:footnote w:id="2">
    <w:p w14:paraId="5F91BF5E" w14:textId="706DC9D0" w:rsidR="0044787D" w:rsidRPr="0050711E" w:rsidRDefault="0044787D">
      <w:pPr>
        <w:pStyle w:val="FootnoteText"/>
        <w:rPr>
          <w:rFonts w:asciiTheme="majorBidi" w:hAnsiTheme="majorBidi" w:cstheme="majorBidi"/>
          <w:sz w:val="16"/>
          <w:szCs w:val="16"/>
        </w:rPr>
      </w:pPr>
      <w:r w:rsidRPr="0050711E">
        <w:rPr>
          <w:rStyle w:val="FootnoteReference"/>
          <w:rFonts w:asciiTheme="majorBidi" w:hAnsiTheme="majorBidi" w:cstheme="majorBidi"/>
          <w:sz w:val="16"/>
          <w:szCs w:val="16"/>
        </w:rPr>
        <w:footnoteRef/>
      </w:r>
      <w:r w:rsidRPr="0050711E">
        <w:rPr>
          <w:rFonts w:asciiTheme="majorBidi" w:hAnsiTheme="majorBidi" w:cstheme="majorBidi"/>
          <w:sz w:val="16"/>
          <w:szCs w:val="16"/>
        </w:rPr>
        <w:t xml:space="preserve"> </w:t>
      </w:r>
      <w:r w:rsidRPr="0050711E">
        <w:rPr>
          <w:rFonts w:asciiTheme="majorBidi" w:eastAsia="Calibri" w:hAnsiTheme="majorBidi" w:cstheme="majorBidi"/>
          <w:sz w:val="16"/>
          <w:szCs w:val="16"/>
        </w:rPr>
        <w:t>The Climate Promise, launched by UNDP and supported by over 35 partners, is the largest</w:t>
      </w:r>
      <w:r>
        <w:rPr>
          <w:rFonts w:asciiTheme="majorBidi" w:eastAsia="Calibri" w:hAnsiTheme="majorBidi" w:cstheme="majorBidi"/>
          <w:sz w:val="16"/>
          <w:szCs w:val="16"/>
        </w:rPr>
        <w:t xml:space="preserve">, </w:t>
      </w:r>
      <w:r w:rsidRPr="0050711E">
        <w:rPr>
          <w:rFonts w:asciiTheme="majorBidi" w:eastAsia="Calibri" w:hAnsiTheme="majorBidi" w:cstheme="majorBidi"/>
          <w:sz w:val="16"/>
          <w:szCs w:val="16"/>
        </w:rPr>
        <w:t xml:space="preserve">most ambitious offer to </w:t>
      </w:r>
      <w:r>
        <w:rPr>
          <w:rFonts w:asciiTheme="majorBidi" w:eastAsia="Calibri" w:hAnsiTheme="majorBidi" w:cstheme="majorBidi"/>
          <w:sz w:val="16"/>
          <w:szCs w:val="16"/>
        </w:rPr>
        <w:t xml:space="preserve">help </w:t>
      </w:r>
      <w:r w:rsidRPr="0050711E">
        <w:rPr>
          <w:rFonts w:asciiTheme="majorBidi" w:eastAsia="Calibri" w:hAnsiTheme="majorBidi" w:cstheme="majorBidi"/>
          <w:sz w:val="16"/>
          <w:szCs w:val="16"/>
        </w:rPr>
        <w:t xml:space="preserve">governments enhance their climate pledges. As of November 2020, UNDP is supporting 115 countries, including 37 </w:t>
      </w:r>
      <w:r>
        <w:rPr>
          <w:rFonts w:asciiTheme="majorBidi" w:eastAsia="Calibri" w:hAnsiTheme="majorBidi" w:cstheme="majorBidi"/>
          <w:sz w:val="16"/>
          <w:szCs w:val="16"/>
        </w:rPr>
        <w:t>LDCs</w:t>
      </w:r>
      <w:r w:rsidRPr="0050711E">
        <w:rPr>
          <w:rFonts w:asciiTheme="majorBidi" w:eastAsia="Calibri" w:hAnsiTheme="majorBidi" w:cstheme="majorBidi"/>
          <w:sz w:val="16"/>
          <w:szCs w:val="16"/>
        </w:rPr>
        <w:t xml:space="preserve">; 28 </w:t>
      </w:r>
      <w:r>
        <w:rPr>
          <w:rFonts w:asciiTheme="majorBidi" w:eastAsia="Calibri" w:hAnsiTheme="majorBidi" w:cstheme="majorBidi"/>
          <w:sz w:val="16"/>
          <w:szCs w:val="16"/>
        </w:rPr>
        <w:t>SIDS</w:t>
      </w:r>
      <w:r w:rsidRPr="0050711E">
        <w:rPr>
          <w:rFonts w:asciiTheme="majorBidi" w:eastAsia="Calibri" w:hAnsiTheme="majorBidi" w:cstheme="majorBidi"/>
          <w:sz w:val="16"/>
          <w:szCs w:val="16"/>
        </w:rPr>
        <w:t>; 42 fragile states and 14</w:t>
      </w:r>
      <w:r>
        <w:rPr>
          <w:rFonts w:asciiTheme="majorBidi" w:eastAsia="Calibri" w:hAnsiTheme="majorBidi" w:cstheme="majorBidi"/>
          <w:sz w:val="16"/>
          <w:szCs w:val="16"/>
        </w:rPr>
        <w:t> </w:t>
      </w:r>
      <w:r w:rsidRPr="0050711E">
        <w:rPr>
          <w:rFonts w:asciiTheme="majorBidi" w:eastAsia="Calibri" w:hAnsiTheme="majorBidi" w:cstheme="majorBidi"/>
          <w:sz w:val="16"/>
          <w:szCs w:val="16"/>
        </w:rPr>
        <w:t>higher emitters.</w:t>
      </w:r>
    </w:p>
  </w:footnote>
  <w:footnote w:id="3">
    <w:p w14:paraId="66B71806" w14:textId="53801D54" w:rsidR="0044787D" w:rsidRPr="0050711E" w:rsidRDefault="0044787D" w:rsidP="00D646A7">
      <w:pPr>
        <w:pStyle w:val="FootnoteText"/>
        <w:rPr>
          <w:rFonts w:asciiTheme="majorBidi" w:hAnsiTheme="majorBidi" w:cstheme="majorBidi"/>
          <w:sz w:val="16"/>
          <w:szCs w:val="16"/>
        </w:rPr>
      </w:pPr>
      <w:r w:rsidRPr="0050711E">
        <w:rPr>
          <w:rStyle w:val="FootnoteReference"/>
          <w:rFonts w:asciiTheme="majorBidi" w:hAnsiTheme="majorBidi" w:cstheme="majorBidi"/>
          <w:sz w:val="16"/>
          <w:szCs w:val="16"/>
        </w:rPr>
        <w:footnoteRef/>
      </w:r>
      <w:r w:rsidRPr="0050711E">
        <w:rPr>
          <w:rFonts w:asciiTheme="majorBidi" w:hAnsiTheme="majorBidi" w:cstheme="majorBidi"/>
          <w:sz w:val="16"/>
          <w:szCs w:val="16"/>
        </w:rPr>
        <w:t xml:space="preserve"> </w:t>
      </w:r>
      <w:r>
        <w:rPr>
          <w:rFonts w:asciiTheme="majorBidi" w:hAnsiTheme="majorBidi" w:cstheme="majorBidi"/>
          <w:sz w:val="16"/>
          <w:szCs w:val="16"/>
        </w:rPr>
        <w:t xml:space="preserve">See </w:t>
      </w:r>
      <w:hyperlink r:id="rId1" w:history="1">
        <w:r w:rsidRPr="005F05F8">
          <w:rPr>
            <w:rStyle w:val="Hyperlink"/>
            <w:rFonts w:asciiTheme="majorBidi" w:hAnsiTheme="majorBidi" w:cstheme="majorBidi"/>
            <w:sz w:val="16"/>
            <w:szCs w:val="16"/>
          </w:rPr>
          <w:t>impact assessment</w:t>
        </w:r>
      </w:hyperlink>
      <w:r>
        <w:rPr>
          <w:rFonts w:asciiTheme="majorBidi" w:hAnsiTheme="majorBidi" w:cstheme="majorBidi"/>
          <w:sz w:val="16"/>
          <w:szCs w:val="16"/>
        </w:rPr>
        <w:t>.</w:t>
      </w:r>
    </w:p>
  </w:footnote>
  <w:footnote w:id="4">
    <w:p w14:paraId="19218DE7" w14:textId="6B3F1BFC" w:rsidR="0044787D" w:rsidRPr="0050711E" w:rsidRDefault="0044787D" w:rsidP="00D646A7">
      <w:pPr>
        <w:pStyle w:val="FootnoteText"/>
        <w:rPr>
          <w:rFonts w:asciiTheme="majorBidi" w:hAnsiTheme="majorBidi" w:cstheme="majorBidi"/>
          <w:sz w:val="16"/>
          <w:szCs w:val="16"/>
          <w:lang w:val="en-GB"/>
        </w:rPr>
      </w:pPr>
      <w:r w:rsidRPr="0050711E">
        <w:rPr>
          <w:rStyle w:val="FootnoteReference"/>
          <w:rFonts w:asciiTheme="majorBidi" w:hAnsiTheme="majorBidi" w:cstheme="majorBidi"/>
          <w:sz w:val="16"/>
          <w:szCs w:val="16"/>
          <w:lang w:val="en-GB"/>
        </w:rPr>
        <w:footnoteRef/>
      </w:r>
      <w:r w:rsidRPr="0050711E">
        <w:rPr>
          <w:rFonts w:asciiTheme="majorBidi" w:hAnsiTheme="majorBidi" w:cstheme="majorBidi"/>
          <w:sz w:val="16"/>
          <w:szCs w:val="16"/>
          <w:lang w:val="en-GB"/>
        </w:rPr>
        <w:t xml:space="preserve"> </w:t>
      </w:r>
      <w:r>
        <w:rPr>
          <w:rFonts w:asciiTheme="majorBidi" w:hAnsiTheme="majorBidi" w:cstheme="majorBidi"/>
          <w:sz w:val="16"/>
          <w:szCs w:val="16"/>
          <w:lang w:val="en-GB"/>
        </w:rPr>
        <w:t xml:space="preserve">The </w:t>
      </w:r>
      <w:r w:rsidRPr="0050711E">
        <w:rPr>
          <w:rFonts w:asciiTheme="majorBidi" w:hAnsiTheme="majorBidi" w:cstheme="majorBidi"/>
          <w:sz w:val="16"/>
          <w:szCs w:val="16"/>
          <w:lang w:val="en-GB"/>
        </w:rPr>
        <w:t xml:space="preserve">UNDP </w:t>
      </w:r>
      <w:r>
        <w:rPr>
          <w:rFonts w:asciiTheme="majorBidi" w:hAnsiTheme="majorBidi" w:cstheme="majorBidi"/>
          <w:sz w:val="16"/>
          <w:szCs w:val="16"/>
          <w:lang w:val="en-GB"/>
        </w:rPr>
        <w:t xml:space="preserve">integrated results and resources framework, 2018-2021, </w:t>
      </w:r>
      <w:r w:rsidRPr="0050711E">
        <w:rPr>
          <w:rFonts w:asciiTheme="majorBidi" w:hAnsiTheme="majorBidi" w:cstheme="majorBidi"/>
          <w:sz w:val="16"/>
          <w:szCs w:val="16"/>
          <w:lang w:val="en-GB"/>
        </w:rPr>
        <w:t>contains 13 indicators that are directly relevant to climate change adaptation results. The UNDP CCA team has developed a set of 18</w:t>
      </w:r>
      <w:r>
        <w:rPr>
          <w:rFonts w:asciiTheme="majorBidi" w:hAnsiTheme="majorBidi" w:cstheme="majorBidi"/>
          <w:sz w:val="16"/>
          <w:szCs w:val="16"/>
          <w:lang w:val="en-GB"/>
        </w:rPr>
        <w:t> </w:t>
      </w:r>
      <w:r w:rsidRPr="0050711E">
        <w:rPr>
          <w:rFonts w:asciiTheme="majorBidi" w:hAnsiTheme="majorBidi" w:cstheme="majorBidi"/>
          <w:sz w:val="16"/>
          <w:szCs w:val="16"/>
          <w:lang w:val="en-GB"/>
        </w:rPr>
        <w:t xml:space="preserve">indicators to standardize collection of aggregate results across the CCA portfolio, with some limited overlap with IRRF indicators. A myriad </w:t>
      </w:r>
      <w:r>
        <w:rPr>
          <w:rFonts w:asciiTheme="majorBidi" w:hAnsiTheme="majorBidi" w:cstheme="majorBidi"/>
          <w:sz w:val="16"/>
          <w:szCs w:val="16"/>
          <w:lang w:val="en-GB"/>
        </w:rPr>
        <w:t xml:space="preserve">number </w:t>
      </w:r>
      <w:r w:rsidRPr="0050711E">
        <w:rPr>
          <w:rFonts w:asciiTheme="majorBidi" w:hAnsiTheme="majorBidi" w:cstheme="majorBidi"/>
          <w:sz w:val="16"/>
          <w:szCs w:val="16"/>
          <w:lang w:val="en-GB"/>
        </w:rPr>
        <w:t xml:space="preserve">of non-standard country level indicators </w:t>
      </w:r>
      <w:r>
        <w:rPr>
          <w:rFonts w:asciiTheme="majorBidi" w:hAnsiTheme="majorBidi" w:cstheme="majorBidi"/>
          <w:sz w:val="16"/>
          <w:szCs w:val="16"/>
          <w:lang w:val="en-GB"/>
        </w:rPr>
        <w:t xml:space="preserve">is </w:t>
      </w:r>
      <w:r w:rsidRPr="0050711E">
        <w:rPr>
          <w:rFonts w:asciiTheme="majorBidi" w:hAnsiTheme="majorBidi" w:cstheme="majorBidi"/>
          <w:sz w:val="16"/>
          <w:szCs w:val="16"/>
          <w:lang w:val="en-GB"/>
        </w:rPr>
        <w:t>also used by country programmes as part of country</w:t>
      </w:r>
      <w:r>
        <w:rPr>
          <w:rFonts w:asciiTheme="majorBidi" w:hAnsiTheme="majorBidi" w:cstheme="majorBidi"/>
          <w:sz w:val="16"/>
          <w:szCs w:val="16"/>
          <w:lang w:val="en-GB"/>
        </w:rPr>
        <w:t>-</w:t>
      </w:r>
      <w:r w:rsidRPr="0050711E">
        <w:rPr>
          <w:rFonts w:asciiTheme="majorBidi" w:hAnsiTheme="majorBidi" w:cstheme="majorBidi"/>
          <w:sz w:val="16"/>
          <w:szCs w:val="16"/>
          <w:lang w:val="en-GB"/>
        </w:rPr>
        <w:t>level results frameworks, a significant proportion of which have limited relevance or utility.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0" w:type="dxa"/>
      <w:tblInd w:w="54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4792"/>
    </w:tblGrid>
    <w:tr w:rsidR="0044787D" w:rsidRPr="00D34852" w14:paraId="6302693D" w14:textId="77777777" w:rsidTr="004E5136">
      <w:trPr>
        <w:trHeight w:hRule="exact" w:val="864"/>
      </w:trPr>
      <w:tc>
        <w:tcPr>
          <w:tcW w:w="4838" w:type="dxa"/>
          <w:tcBorders>
            <w:bottom w:val="single" w:sz="4" w:space="0" w:color="auto"/>
          </w:tcBorders>
          <w:vAlign w:val="bottom"/>
        </w:tcPr>
        <w:p w14:paraId="31EE2F56" w14:textId="0D57EF90" w:rsidR="0044787D" w:rsidRPr="00D34852" w:rsidRDefault="0044787D" w:rsidP="00D34852">
          <w:pPr>
            <w:widowControl w:val="0"/>
            <w:tabs>
              <w:tab w:val="center" w:pos="4320"/>
              <w:tab w:val="right" w:pos="8640"/>
            </w:tabs>
            <w:spacing w:after="80"/>
            <w:ind w:left="-1838" w:firstLine="1838"/>
            <w:rPr>
              <w:b/>
              <w:sz w:val="17"/>
              <w:szCs w:val="17"/>
            </w:rPr>
          </w:pPr>
          <w:r w:rsidRPr="00D34852">
            <w:rPr>
              <w:b/>
              <w:sz w:val="17"/>
              <w:szCs w:val="17"/>
            </w:rPr>
            <w:t>DP/20</w:t>
          </w:r>
          <w:r>
            <w:rPr>
              <w:b/>
              <w:sz w:val="17"/>
              <w:szCs w:val="17"/>
            </w:rPr>
            <w:t>21</w:t>
          </w:r>
          <w:r w:rsidRPr="00D34852">
            <w:rPr>
              <w:b/>
              <w:sz w:val="17"/>
              <w:szCs w:val="17"/>
            </w:rPr>
            <w:t>/</w:t>
          </w:r>
          <w:r>
            <w:rPr>
              <w:b/>
              <w:sz w:val="17"/>
              <w:szCs w:val="17"/>
            </w:rPr>
            <w:t>7</w:t>
          </w:r>
        </w:p>
      </w:tc>
      <w:tc>
        <w:tcPr>
          <w:tcW w:w="4792" w:type="dxa"/>
          <w:tcBorders>
            <w:bottom w:val="single" w:sz="4" w:space="0" w:color="auto"/>
          </w:tcBorders>
          <w:vAlign w:val="bottom"/>
        </w:tcPr>
        <w:p w14:paraId="199ACEF6" w14:textId="77777777" w:rsidR="0044787D" w:rsidRPr="00D34852" w:rsidRDefault="0044787D" w:rsidP="00D34852">
          <w:pPr>
            <w:widowControl w:val="0"/>
            <w:tabs>
              <w:tab w:val="center" w:pos="4320"/>
              <w:tab w:val="right" w:pos="8640"/>
            </w:tabs>
            <w:rPr>
              <w:sz w:val="17"/>
              <w:szCs w:val="17"/>
            </w:rPr>
          </w:pPr>
        </w:p>
      </w:tc>
    </w:tr>
  </w:tbl>
  <w:p w14:paraId="67BC2772" w14:textId="77777777" w:rsidR="0044787D" w:rsidRPr="00D34852" w:rsidRDefault="0044787D">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Ind w:w="36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4522"/>
    </w:tblGrid>
    <w:tr w:rsidR="0044787D" w:rsidRPr="00D34852" w14:paraId="69F94E9F" w14:textId="77777777" w:rsidTr="004E5136">
      <w:trPr>
        <w:trHeight w:hRule="exact" w:val="864"/>
      </w:trPr>
      <w:tc>
        <w:tcPr>
          <w:tcW w:w="4838" w:type="dxa"/>
          <w:tcBorders>
            <w:bottom w:val="single" w:sz="4" w:space="0" w:color="auto"/>
          </w:tcBorders>
          <w:vAlign w:val="bottom"/>
        </w:tcPr>
        <w:p w14:paraId="766EAEB4" w14:textId="77777777" w:rsidR="0044787D" w:rsidRPr="00D34852" w:rsidRDefault="0044787D" w:rsidP="00D34852">
          <w:pPr>
            <w:widowControl w:val="0"/>
            <w:tabs>
              <w:tab w:val="center" w:pos="4320"/>
              <w:tab w:val="right" w:pos="8640"/>
            </w:tabs>
            <w:spacing w:after="80"/>
            <w:rPr>
              <w:b/>
              <w:sz w:val="17"/>
              <w:szCs w:val="17"/>
            </w:rPr>
          </w:pPr>
        </w:p>
      </w:tc>
      <w:tc>
        <w:tcPr>
          <w:tcW w:w="4522" w:type="dxa"/>
          <w:tcBorders>
            <w:bottom w:val="single" w:sz="4" w:space="0" w:color="auto"/>
          </w:tcBorders>
          <w:vAlign w:val="bottom"/>
        </w:tcPr>
        <w:p w14:paraId="0F311B84" w14:textId="5D7C341A" w:rsidR="0044787D" w:rsidRPr="00D34852" w:rsidRDefault="0044787D" w:rsidP="00D34852">
          <w:pPr>
            <w:widowControl w:val="0"/>
            <w:tabs>
              <w:tab w:val="center" w:pos="4320"/>
              <w:tab w:val="right" w:pos="8640"/>
            </w:tabs>
            <w:spacing w:after="60"/>
            <w:jc w:val="right"/>
            <w:rPr>
              <w:sz w:val="17"/>
              <w:szCs w:val="17"/>
            </w:rPr>
          </w:pPr>
          <w:r w:rsidRPr="00D34852">
            <w:rPr>
              <w:b/>
              <w:sz w:val="17"/>
              <w:szCs w:val="17"/>
            </w:rPr>
            <w:t>DP/20</w:t>
          </w:r>
          <w:r>
            <w:rPr>
              <w:b/>
              <w:sz w:val="17"/>
              <w:szCs w:val="17"/>
            </w:rPr>
            <w:t>21</w:t>
          </w:r>
          <w:r w:rsidRPr="00D34852">
            <w:rPr>
              <w:b/>
              <w:sz w:val="17"/>
              <w:szCs w:val="17"/>
            </w:rPr>
            <w:t>/</w:t>
          </w:r>
          <w:r>
            <w:rPr>
              <w:b/>
              <w:sz w:val="17"/>
              <w:szCs w:val="17"/>
            </w:rPr>
            <w:t>7</w:t>
          </w:r>
        </w:p>
      </w:tc>
    </w:tr>
  </w:tbl>
  <w:p w14:paraId="5B5D7CA1" w14:textId="77777777" w:rsidR="0044787D" w:rsidRPr="00D34852" w:rsidRDefault="0044787D">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4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2801"/>
    </w:tblGrid>
    <w:tr w:rsidR="0044787D" w:rsidRPr="00EF73E0" w14:paraId="31967B4B" w14:textId="77777777" w:rsidTr="0044787D">
      <w:trPr>
        <w:trHeight w:hRule="exact" w:val="864"/>
      </w:trPr>
      <w:tc>
        <w:tcPr>
          <w:tcW w:w="1267" w:type="dxa"/>
          <w:vAlign w:val="bottom"/>
        </w:tcPr>
        <w:p w14:paraId="525CFE8D" w14:textId="77777777" w:rsidR="0044787D" w:rsidRPr="00EF73E0" w:rsidRDefault="0044787D" w:rsidP="00EF73E0">
          <w:pPr>
            <w:tabs>
              <w:tab w:val="center" w:pos="4320"/>
              <w:tab w:val="right" w:pos="8640"/>
            </w:tabs>
            <w:spacing w:after="120"/>
            <w:rPr>
              <w:noProof/>
              <w:sz w:val="17"/>
              <w:szCs w:val="20"/>
            </w:rPr>
          </w:pPr>
        </w:p>
      </w:tc>
      <w:tc>
        <w:tcPr>
          <w:tcW w:w="1872" w:type="dxa"/>
          <w:vAlign w:val="bottom"/>
        </w:tcPr>
        <w:p w14:paraId="549E50B9" w14:textId="77777777" w:rsidR="0044787D" w:rsidRPr="00EF73E0" w:rsidRDefault="0044787D" w:rsidP="00EF73E0">
          <w:pPr>
            <w:keepNext/>
            <w:keepLines/>
            <w:suppressAutoHyphens/>
            <w:spacing w:after="80" w:line="300" w:lineRule="exact"/>
            <w:outlineLvl w:val="0"/>
            <w:rPr>
              <w:spacing w:val="2"/>
              <w:w w:val="96"/>
              <w:kern w:val="14"/>
              <w:sz w:val="28"/>
              <w:szCs w:val="20"/>
              <w:lang w:val="en-GB"/>
            </w:rPr>
          </w:pPr>
          <w:r w:rsidRPr="00EF73E0">
            <w:rPr>
              <w:spacing w:val="2"/>
              <w:w w:val="96"/>
              <w:kern w:val="14"/>
              <w:sz w:val="28"/>
              <w:szCs w:val="20"/>
              <w:lang w:val="en-GB"/>
            </w:rPr>
            <w:t>United Nations</w:t>
          </w:r>
        </w:p>
      </w:tc>
      <w:tc>
        <w:tcPr>
          <w:tcW w:w="245" w:type="dxa"/>
          <w:vAlign w:val="bottom"/>
        </w:tcPr>
        <w:p w14:paraId="588B9974" w14:textId="77777777" w:rsidR="0044787D" w:rsidRPr="00EF73E0" w:rsidRDefault="0044787D" w:rsidP="00EF73E0">
          <w:pPr>
            <w:tabs>
              <w:tab w:val="center" w:pos="4320"/>
              <w:tab w:val="right" w:pos="8640"/>
            </w:tabs>
            <w:spacing w:after="120"/>
            <w:rPr>
              <w:noProof/>
              <w:sz w:val="17"/>
              <w:szCs w:val="20"/>
            </w:rPr>
          </w:pPr>
        </w:p>
      </w:tc>
      <w:tc>
        <w:tcPr>
          <w:tcW w:w="6156" w:type="dxa"/>
          <w:gridSpan w:val="3"/>
          <w:vAlign w:val="bottom"/>
        </w:tcPr>
        <w:p w14:paraId="7E8AE595" w14:textId="07950441" w:rsidR="0044787D" w:rsidRPr="00EF73E0" w:rsidRDefault="0044787D" w:rsidP="00EF73E0">
          <w:pPr>
            <w:spacing w:after="80"/>
            <w:jc w:val="right"/>
            <w:rPr>
              <w:position w:val="-4"/>
            </w:rPr>
          </w:pPr>
          <w:r w:rsidRPr="00EF73E0">
            <w:rPr>
              <w:position w:val="-4"/>
              <w:sz w:val="40"/>
            </w:rPr>
            <w:t>DP</w:t>
          </w:r>
          <w:r w:rsidRPr="00EF73E0">
            <w:rPr>
              <w:position w:val="-4"/>
            </w:rPr>
            <w:t>/</w:t>
          </w:r>
          <w:r w:rsidRPr="00EF73E0">
            <w:rPr>
              <w:position w:val="-4"/>
              <w:sz w:val="20"/>
            </w:rPr>
            <w:t>2021/</w:t>
          </w:r>
          <w:r>
            <w:rPr>
              <w:position w:val="-4"/>
              <w:sz w:val="20"/>
            </w:rPr>
            <w:t>7</w:t>
          </w:r>
        </w:p>
      </w:tc>
    </w:tr>
    <w:tr w:rsidR="0044787D" w:rsidRPr="00EF73E0" w14:paraId="312F652B" w14:textId="77777777" w:rsidTr="0044787D">
      <w:trPr>
        <w:trHeight w:hRule="exact" w:val="2654"/>
      </w:trPr>
      <w:tc>
        <w:tcPr>
          <w:tcW w:w="1267" w:type="dxa"/>
          <w:tcBorders>
            <w:top w:val="single" w:sz="4" w:space="0" w:color="auto"/>
            <w:bottom w:val="single" w:sz="4" w:space="0" w:color="auto"/>
          </w:tcBorders>
        </w:tcPr>
        <w:p w14:paraId="7504B0F4" w14:textId="77777777" w:rsidR="0044787D" w:rsidRPr="00EF73E0" w:rsidRDefault="0044787D" w:rsidP="00EF73E0">
          <w:pPr>
            <w:tabs>
              <w:tab w:val="center" w:pos="4320"/>
              <w:tab w:val="right" w:pos="8640"/>
            </w:tabs>
            <w:spacing w:before="109"/>
            <w:rPr>
              <w:noProof/>
              <w:sz w:val="17"/>
              <w:szCs w:val="20"/>
            </w:rPr>
          </w:pPr>
          <w:r w:rsidRPr="00EF73E0">
            <w:rPr>
              <w:noProof/>
              <w:sz w:val="17"/>
              <w:szCs w:val="20"/>
            </w:rPr>
            <w:t xml:space="preserve"> </w:t>
          </w:r>
          <w:r w:rsidRPr="00EF73E0">
            <w:rPr>
              <w:noProof/>
              <w:sz w:val="17"/>
              <w:szCs w:val="20"/>
            </w:rPr>
            <w:drawing>
              <wp:inline distT="0" distB="0" distL="0" distR="0" wp14:anchorId="0248E071" wp14:editId="40D6FCE8">
                <wp:extent cx="708660" cy="594360"/>
                <wp:effectExtent l="0" t="0" r="0" b="0"/>
                <wp:docPr id="4" name="Picture 9"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594360"/>
                        </a:xfrm>
                        <a:prstGeom prst="rect">
                          <a:avLst/>
                        </a:prstGeom>
                        <a:noFill/>
                        <a:ln>
                          <a:noFill/>
                        </a:ln>
                      </pic:spPr>
                    </pic:pic>
                  </a:graphicData>
                </a:graphic>
              </wp:inline>
            </w:drawing>
          </w:r>
        </w:p>
        <w:p w14:paraId="50057022" w14:textId="77777777" w:rsidR="0044787D" w:rsidRPr="00EF73E0" w:rsidRDefault="0044787D" w:rsidP="00EF73E0">
          <w:pPr>
            <w:tabs>
              <w:tab w:val="center" w:pos="4320"/>
              <w:tab w:val="right" w:pos="8640"/>
            </w:tabs>
            <w:spacing w:before="109"/>
            <w:rPr>
              <w:noProof/>
              <w:sz w:val="17"/>
              <w:szCs w:val="20"/>
            </w:rPr>
          </w:pPr>
        </w:p>
      </w:tc>
      <w:tc>
        <w:tcPr>
          <w:tcW w:w="5227" w:type="dxa"/>
          <w:gridSpan w:val="3"/>
          <w:tcBorders>
            <w:top w:val="single" w:sz="4" w:space="0" w:color="auto"/>
            <w:bottom w:val="single" w:sz="4" w:space="0" w:color="auto"/>
          </w:tcBorders>
        </w:tcPr>
        <w:p w14:paraId="7BABACFA" w14:textId="77777777" w:rsidR="0044787D" w:rsidRPr="00EF73E0" w:rsidRDefault="0044787D" w:rsidP="00EF73E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pacing w:val="-4"/>
              <w:w w:val="98"/>
              <w:kern w:val="14"/>
              <w:sz w:val="34"/>
              <w:lang w:val="en-GB"/>
            </w:rPr>
          </w:pPr>
          <w:r w:rsidRPr="00EF73E0">
            <w:rPr>
              <w:b/>
              <w:sz w:val="34"/>
            </w:rPr>
            <w:t>Executive Board of the</w:t>
          </w:r>
          <w:r w:rsidRPr="00EF73E0">
            <w:rPr>
              <w:b/>
              <w:sz w:val="34"/>
            </w:rPr>
            <w:br/>
            <w:t>United Nations Development</w:t>
          </w:r>
          <w:r w:rsidRPr="00EF73E0">
            <w:rPr>
              <w:b/>
              <w:sz w:val="34"/>
            </w:rPr>
            <w:br/>
            <w:t>Programme, the United Nations Population Fund and the United Nations Office for Project Services</w:t>
          </w:r>
        </w:p>
        <w:p w14:paraId="0417F0DB" w14:textId="77777777" w:rsidR="0044787D" w:rsidRPr="00EF73E0" w:rsidRDefault="0044787D" w:rsidP="00EF73E0">
          <w:pPr>
            <w:keepNext/>
            <w:keepLines/>
            <w:tabs>
              <w:tab w:val="right" w:leader="dot" w:pos="360"/>
            </w:tabs>
            <w:suppressAutoHyphens/>
            <w:spacing w:before="109" w:line="330" w:lineRule="exact"/>
            <w:outlineLvl w:val="0"/>
            <w:rPr>
              <w:b/>
              <w:spacing w:val="-4"/>
              <w:w w:val="98"/>
              <w:kern w:val="14"/>
              <w:sz w:val="34"/>
              <w:szCs w:val="20"/>
              <w:lang w:val="en-GB"/>
            </w:rPr>
          </w:pPr>
        </w:p>
      </w:tc>
      <w:tc>
        <w:tcPr>
          <w:tcW w:w="245" w:type="dxa"/>
          <w:tcBorders>
            <w:top w:val="single" w:sz="4" w:space="0" w:color="auto"/>
            <w:bottom w:val="single" w:sz="4" w:space="0" w:color="auto"/>
          </w:tcBorders>
        </w:tcPr>
        <w:p w14:paraId="257FA2C1" w14:textId="77777777" w:rsidR="0044787D" w:rsidRPr="00EF73E0" w:rsidRDefault="0044787D" w:rsidP="00EF73E0">
          <w:pPr>
            <w:tabs>
              <w:tab w:val="center" w:pos="4320"/>
              <w:tab w:val="right" w:pos="8640"/>
            </w:tabs>
            <w:spacing w:before="109"/>
            <w:rPr>
              <w:noProof/>
              <w:sz w:val="17"/>
              <w:szCs w:val="20"/>
            </w:rPr>
          </w:pPr>
        </w:p>
      </w:tc>
      <w:tc>
        <w:tcPr>
          <w:tcW w:w="2801" w:type="dxa"/>
          <w:tcBorders>
            <w:top w:val="single" w:sz="4" w:space="0" w:color="auto"/>
            <w:bottom w:val="single" w:sz="4" w:space="0" w:color="auto"/>
          </w:tcBorders>
        </w:tcPr>
        <w:p w14:paraId="2C938B80" w14:textId="77777777" w:rsidR="0044787D" w:rsidRPr="00EF73E0" w:rsidRDefault="0044787D" w:rsidP="00EF73E0">
          <w:pPr>
            <w:spacing w:before="240"/>
            <w:rPr>
              <w:sz w:val="20"/>
            </w:rPr>
          </w:pPr>
          <w:r w:rsidRPr="00EF73E0">
            <w:rPr>
              <w:sz w:val="20"/>
            </w:rPr>
            <w:t>Distr.: General</w:t>
          </w:r>
        </w:p>
        <w:p w14:paraId="335B689F" w14:textId="77777777" w:rsidR="0044787D" w:rsidRPr="00EF73E0" w:rsidRDefault="0044787D" w:rsidP="00EF73E0">
          <w:pPr>
            <w:rPr>
              <w:sz w:val="20"/>
            </w:rPr>
          </w:pPr>
          <w:r w:rsidRPr="00EF73E0">
            <w:rPr>
              <w:sz w:val="20"/>
            </w:rPr>
            <w:t>15 January 2021</w:t>
          </w:r>
        </w:p>
        <w:p w14:paraId="54C95B4D" w14:textId="77777777" w:rsidR="0044787D" w:rsidRPr="00EF73E0" w:rsidRDefault="0044787D" w:rsidP="00EF73E0">
          <w:pPr>
            <w:rPr>
              <w:sz w:val="20"/>
            </w:rPr>
          </w:pPr>
        </w:p>
        <w:p w14:paraId="4BC07403" w14:textId="77777777" w:rsidR="0044787D" w:rsidRPr="00EF73E0" w:rsidRDefault="0044787D" w:rsidP="00EF73E0">
          <w:r w:rsidRPr="00EF73E0">
            <w:rPr>
              <w:sz w:val="20"/>
            </w:rPr>
            <w:t>Original: English</w:t>
          </w:r>
        </w:p>
      </w:tc>
    </w:tr>
  </w:tbl>
  <w:p w14:paraId="0E9FE26E" w14:textId="77777777" w:rsidR="0044787D" w:rsidRDefault="0044787D" w:rsidP="00EF4A33">
    <w:pPr>
      <w:pStyle w:val="Header"/>
      <w:ind w:right="-1209"/>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32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482"/>
    </w:tblGrid>
    <w:tr w:rsidR="0044787D" w:rsidRPr="00D34852" w14:paraId="77386A22" w14:textId="77777777" w:rsidTr="006F1BC0">
      <w:trPr>
        <w:trHeight w:hRule="exact" w:val="864"/>
      </w:trPr>
      <w:tc>
        <w:tcPr>
          <w:tcW w:w="4838" w:type="dxa"/>
          <w:tcBorders>
            <w:bottom w:val="single" w:sz="4" w:space="0" w:color="auto"/>
          </w:tcBorders>
          <w:vAlign w:val="bottom"/>
        </w:tcPr>
        <w:p w14:paraId="6F09B641" w14:textId="5EFD62C8" w:rsidR="0044787D" w:rsidRPr="00D34852" w:rsidRDefault="0044787D" w:rsidP="0086781D">
          <w:pPr>
            <w:widowControl w:val="0"/>
            <w:tabs>
              <w:tab w:val="center" w:pos="4320"/>
              <w:tab w:val="right" w:pos="8640"/>
            </w:tabs>
            <w:spacing w:after="80"/>
            <w:ind w:left="-1838" w:firstLine="1838"/>
            <w:rPr>
              <w:b/>
              <w:sz w:val="17"/>
              <w:szCs w:val="17"/>
            </w:rPr>
          </w:pPr>
          <w:r w:rsidRPr="00C735BB">
            <w:rPr>
              <w:b/>
              <w:sz w:val="17"/>
              <w:szCs w:val="17"/>
            </w:rPr>
            <w:t>DP/202</w:t>
          </w:r>
          <w:r w:rsidR="00060966">
            <w:rPr>
              <w:b/>
              <w:sz w:val="17"/>
              <w:szCs w:val="17"/>
            </w:rPr>
            <w:t>1</w:t>
          </w:r>
          <w:r w:rsidRPr="00C735BB">
            <w:rPr>
              <w:b/>
              <w:sz w:val="17"/>
              <w:szCs w:val="17"/>
            </w:rPr>
            <w:t>/</w:t>
          </w:r>
          <w:r w:rsidR="00060966">
            <w:rPr>
              <w:b/>
              <w:sz w:val="17"/>
              <w:szCs w:val="17"/>
            </w:rPr>
            <w:t>7</w:t>
          </w:r>
        </w:p>
      </w:tc>
      <w:tc>
        <w:tcPr>
          <w:tcW w:w="8482" w:type="dxa"/>
          <w:tcBorders>
            <w:bottom w:val="single" w:sz="4" w:space="0" w:color="auto"/>
          </w:tcBorders>
          <w:vAlign w:val="bottom"/>
        </w:tcPr>
        <w:p w14:paraId="62A1E0C2" w14:textId="77777777" w:rsidR="0044787D" w:rsidRPr="00D34852" w:rsidRDefault="0044787D" w:rsidP="00D34852">
          <w:pPr>
            <w:widowControl w:val="0"/>
            <w:tabs>
              <w:tab w:val="center" w:pos="4320"/>
              <w:tab w:val="right" w:pos="8640"/>
            </w:tabs>
            <w:rPr>
              <w:sz w:val="17"/>
              <w:szCs w:val="17"/>
            </w:rPr>
          </w:pPr>
        </w:p>
      </w:tc>
    </w:tr>
  </w:tbl>
  <w:p w14:paraId="4A4C9DA0" w14:textId="77777777" w:rsidR="0044787D" w:rsidRPr="00D34852" w:rsidRDefault="0044787D">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05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12"/>
    </w:tblGrid>
    <w:tr w:rsidR="0044787D" w:rsidRPr="00C735BB" w14:paraId="0611884D" w14:textId="77777777" w:rsidTr="00D66C5F">
      <w:trPr>
        <w:trHeight w:hRule="exact" w:val="864"/>
      </w:trPr>
      <w:tc>
        <w:tcPr>
          <w:tcW w:w="4838" w:type="dxa"/>
          <w:tcBorders>
            <w:bottom w:val="single" w:sz="4" w:space="0" w:color="auto"/>
          </w:tcBorders>
          <w:vAlign w:val="bottom"/>
        </w:tcPr>
        <w:p w14:paraId="4683776E" w14:textId="77777777" w:rsidR="0044787D" w:rsidRPr="00D34852" w:rsidRDefault="0044787D" w:rsidP="00D34852">
          <w:pPr>
            <w:widowControl w:val="0"/>
            <w:tabs>
              <w:tab w:val="center" w:pos="4320"/>
              <w:tab w:val="right" w:pos="8640"/>
            </w:tabs>
            <w:spacing w:after="80"/>
            <w:rPr>
              <w:b/>
              <w:sz w:val="17"/>
              <w:szCs w:val="17"/>
            </w:rPr>
          </w:pPr>
        </w:p>
      </w:tc>
      <w:tc>
        <w:tcPr>
          <w:tcW w:w="8212" w:type="dxa"/>
          <w:tcBorders>
            <w:bottom w:val="single" w:sz="4" w:space="0" w:color="auto"/>
          </w:tcBorders>
          <w:vAlign w:val="bottom"/>
        </w:tcPr>
        <w:p w14:paraId="3C899B24" w14:textId="49F944B9" w:rsidR="0044787D" w:rsidRPr="00C735BB" w:rsidRDefault="0044787D" w:rsidP="00D34852">
          <w:pPr>
            <w:widowControl w:val="0"/>
            <w:tabs>
              <w:tab w:val="center" w:pos="4320"/>
              <w:tab w:val="right" w:pos="8640"/>
            </w:tabs>
            <w:spacing w:after="60"/>
            <w:jc w:val="right"/>
            <w:rPr>
              <w:sz w:val="17"/>
              <w:szCs w:val="17"/>
            </w:rPr>
          </w:pPr>
          <w:r w:rsidRPr="00C735BB">
            <w:rPr>
              <w:b/>
              <w:sz w:val="17"/>
              <w:szCs w:val="17"/>
            </w:rPr>
            <w:t>DP/202</w:t>
          </w:r>
          <w:r w:rsidR="00D66C5F">
            <w:rPr>
              <w:b/>
              <w:sz w:val="17"/>
              <w:szCs w:val="17"/>
            </w:rPr>
            <w:t>1</w:t>
          </w:r>
          <w:r w:rsidRPr="00C735BB">
            <w:rPr>
              <w:b/>
              <w:sz w:val="17"/>
              <w:szCs w:val="17"/>
            </w:rPr>
            <w:t>/</w:t>
          </w:r>
          <w:r w:rsidR="00D66C5F">
            <w:rPr>
              <w:b/>
              <w:sz w:val="17"/>
              <w:szCs w:val="17"/>
            </w:rPr>
            <w:t>7</w:t>
          </w:r>
        </w:p>
      </w:tc>
    </w:tr>
  </w:tbl>
  <w:p w14:paraId="69A6ABBD" w14:textId="77777777" w:rsidR="0044787D" w:rsidRPr="00D34852" w:rsidRDefault="0044787D">
    <w:pPr>
      <w:pStyle w:val="Heade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05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12"/>
    </w:tblGrid>
    <w:tr w:rsidR="0044787D" w:rsidRPr="00C735BB" w14:paraId="74E86CF4" w14:textId="77777777" w:rsidTr="00D66C5F">
      <w:trPr>
        <w:trHeight w:hRule="exact" w:val="864"/>
      </w:trPr>
      <w:tc>
        <w:tcPr>
          <w:tcW w:w="4838" w:type="dxa"/>
          <w:tcBorders>
            <w:bottom w:val="single" w:sz="4" w:space="0" w:color="auto"/>
          </w:tcBorders>
          <w:vAlign w:val="bottom"/>
        </w:tcPr>
        <w:p w14:paraId="021BA9C7" w14:textId="6E7DD9D4" w:rsidR="0044787D" w:rsidRPr="00D34852" w:rsidRDefault="0044787D" w:rsidP="006F1BC0">
          <w:pPr>
            <w:widowControl w:val="0"/>
            <w:tabs>
              <w:tab w:val="center" w:pos="4320"/>
              <w:tab w:val="right" w:pos="8640"/>
            </w:tabs>
            <w:spacing w:after="80"/>
            <w:rPr>
              <w:b/>
              <w:sz w:val="17"/>
              <w:szCs w:val="17"/>
            </w:rPr>
          </w:pPr>
          <w:r w:rsidRPr="00C735BB">
            <w:rPr>
              <w:b/>
              <w:sz w:val="17"/>
              <w:szCs w:val="17"/>
            </w:rPr>
            <w:t>DP/202</w:t>
          </w:r>
          <w:r w:rsidR="00D66C5F">
            <w:rPr>
              <w:b/>
              <w:sz w:val="17"/>
              <w:szCs w:val="17"/>
            </w:rPr>
            <w:t>1</w:t>
          </w:r>
          <w:r w:rsidRPr="00C735BB">
            <w:rPr>
              <w:b/>
              <w:sz w:val="17"/>
              <w:szCs w:val="17"/>
            </w:rPr>
            <w:t>/</w:t>
          </w:r>
          <w:r w:rsidR="00D66C5F">
            <w:rPr>
              <w:b/>
              <w:sz w:val="17"/>
              <w:szCs w:val="17"/>
            </w:rPr>
            <w:t>7</w:t>
          </w:r>
        </w:p>
      </w:tc>
      <w:tc>
        <w:tcPr>
          <w:tcW w:w="8212" w:type="dxa"/>
          <w:tcBorders>
            <w:bottom w:val="single" w:sz="4" w:space="0" w:color="auto"/>
          </w:tcBorders>
          <w:vAlign w:val="bottom"/>
        </w:tcPr>
        <w:p w14:paraId="7A4CF1E2" w14:textId="0000690A" w:rsidR="0044787D" w:rsidRPr="00C735BB" w:rsidRDefault="0044787D" w:rsidP="006F1BC0">
          <w:pPr>
            <w:widowControl w:val="0"/>
            <w:tabs>
              <w:tab w:val="center" w:pos="4320"/>
              <w:tab w:val="right" w:pos="8640"/>
            </w:tabs>
            <w:spacing w:after="60"/>
            <w:jc w:val="right"/>
            <w:rPr>
              <w:sz w:val="17"/>
              <w:szCs w:val="17"/>
            </w:rPr>
          </w:pPr>
        </w:p>
      </w:tc>
    </w:tr>
  </w:tbl>
  <w:p w14:paraId="07F783B4" w14:textId="77777777" w:rsidR="0044787D" w:rsidRDefault="0044787D" w:rsidP="00EF4A33">
    <w:pPr>
      <w:pStyle w:val="Header"/>
      <w:ind w:right="-1209"/>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34A5"/>
    <w:multiLevelType w:val="hybridMultilevel"/>
    <w:tmpl w:val="CDE07F56"/>
    <w:lvl w:ilvl="0" w:tplc="7FFC54DE">
      <w:start w:val="1"/>
      <w:numFmt w:val="bullet"/>
      <w:lvlText w:val="·"/>
      <w:lvlJc w:val="left"/>
      <w:pPr>
        <w:ind w:left="720" w:hanging="360"/>
      </w:pPr>
      <w:rPr>
        <w:rFonts w:ascii="Symbol" w:hAnsi="Symbol" w:hint="default"/>
      </w:rPr>
    </w:lvl>
    <w:lvl w:ilvl="1" w:tplc="62EA221C">
      <w:start w:val="1"/>
      <w:numFmt w:val="bullet"/>
      <w:lvlText w:val="o"/>
      <w:lvlJc w:val="left"/>
      <w:pPr>
        <w:ind w:left="1440" w:hanging="360"/>
      </w:pPr>
      <w:rPr>
        <w:rFonts w:ascii="Courier New" w:hAnsi="Courier New" w:hint="default"/>
      </w:rPr>
    </w:lvl>
    <w:lvl w:ilvl="2" w:tplc="EBAAA0AA">
      <w:start w:val="1"/>
      <w:numFmt w:val="bullet"/>
      <w:lvlText w:val=""/>
      <w:lvlJc w:val="left"/>
      <w:pPr>
        <w:ind w:left="2160" w:hanging="360"/>
      </w:pPr>
      <w:rPr>
        <w:rFonts w:ascii="Wingdings" w:hAnsi="Wingdings" w:hint="default"/>
      </w:rPr>
    </w:lvl>
    <w:lvl w:ilvl="3" w:tplc="26E8FA94">
      <w:start w:val="1"/>
      <w:numFmt w:val="bullet"/>
      <w:lvlText w:val=""/>
      <w:lvlJc w:val="left"/>
      <w:pPr>
        <w:ind w:left="2880" w:hanging="360"/>
      </w:pPr>
      <w:rPr>
        <w:rFonts w:ascii="Symbol" w:hAnsi="Symbol" w:hint="default"/>
      </w:rPr>
    </w:lvl>
    <w:lvl w:ilvl="4" w:tplc="91726484">
      <w:start w:val="1"/>
      <w:numFmt w:val="bullet"/>
      <w:lvlText w:val="o"/>
      <w:lvlJc w:val="left"/>
      <w:pPr>
        <w:ind w:left="3600" w:hanging="360"/>
      </w:pPr>
      <w:rPr>
        <w:rFonts w:ascii="Courier New" w:hAnsi="Courier New" w:hint="default"/>
      </w:rPr>
    </w:lvl>
    <w:lvl w:ilvl="5" w:tplc="7D828B90">
      <w:start w:val="1"/>
      <w:numFmt w:val="bullet"/>
      <w:lvlText w:val=""/>
      <w:lvlJc w:val="left"/>
      <w:pPr>
        <w:ind w:left="4320" w:hanging="360"/>
      </w:pPr>
      <w:rPr>
        <w:rFonts w:ascii="Wingdings" w:hAnsi="Wingdings" w:hint="default"/>
      </w:rPr>
    </w:lvl>
    <w:lvl w:ilvl="6" w:tplc="7F78807A">
      <w:start w:val="1"/>
      <w:numFmt w:val="bullet"/>
      <w:lvlText w:val=""/>
      <w:lvlJc w:val="left"/>
      <w:pPr>
        <w:ind w:left="5040" w:hanging="360"/>
      </w:pPr>
      <w:rPr>
        <w:rFonts w:ascii="Symbol" w:hAnsi="Symbol" w:hint="default"/>
      </w:rPr>
    </w:lvl>
    <w:lvl w:ilvl="7" w:tplc="3EF6F43C">
      <w:start w:val="1"/>
      <w:numFmt w:val="bullet"/>
      <w:lvlText w:val="o"/>
      <w:lvlJc w:val="left"/>
      <w:pPr>
        <w:ind w:left="5760" w:hanging="360"/>
      </w:pPr>
      <w:rPr>
        <w:rFonts w:ascii="Courier New" w:hAnsi="Courier New" w:hint="default"/>
      </w:rPr>
    </w:lvl>
    <w:lvl w:ilvl="8" w:tplc="37B0E4FE">
      <w:start w:val="1"/>
      <w:numFmt w:val="bullet"/>
      <w:lvlText w:val=""/>
      <w:lvlJc w:val="left"/>
      <w:pPr>
        <w:ind w:left="6480" w:hanging="360"/>
      </w:pPr>
      <w:rPr>
        <w:rFonts w:ascii="Wingdings" w:hAnsi="Wingdings" w:hint="default"/>
      </w:rPr>
    </w:lvl>
  </w:abstractNum>
  <w:abstractNum w:abstractNumId="1" w15:restartNumberingAfterBreak="0">
    <w:nsid w:val="095A7E11"/>
    <w:multiLevelType w:val="hybridMultilevel"/>
    <w:tmpl w:val="A33A51F6"/>
    <w:lvl w:ilvl="0" w:tplc="BE92A0EC">
      <w:start w:val="1"/>
      <w:numFmt w:val="decimal"/>
      <w:pStyle w:val="normal2"/>
      <w:lvlText w:val="%1."/>
      <w:lvlJc w:val="left"/>
      <w:pPr>
        <w:ind w:left="1440" w:hanging="360"/>
      </w:pPr>
      <w:rPr>
        <w:rFonts w:hint="default"/>
        <w:b w:val="0"/>
        <w:i w:val="0"/>
        <w:sz w:val="20"/>
        <w:szCs w:val="20"/>
      </w:rPr>
    </w:lvl>
    <w:lvl w:ilvl="1" w:tplc="04090019">
      <w:start w:val="1"/>
      <w:numFmt w:val="lowerLetter"/>
      <w:lvlText w:val="%2."/>
      <w:lvlJc w:val="left"/>
      <w:pPr>
        <w:ind w:left="-186" w:hanging="360"/>
      </w:pPr>
    </w:lvl>
    <w:lvl w:ilvl="2" w:tplc="0409001B">
      <w:start w:val="1"/>
      <w:numFmt w:val="lowerRoman"/>
      <w:lvlText w:val="%3."/>
      <w:lvlJc w:val="right"/>
      <w:pPr>
        <w:ind w:left="534" w:hanging="180"/>
      </w:pPr>
    </w:lvl>
    <w:lvl w:ilvl="3" w:tplc="1C4E3580">
      <w:start w:val="2"/>
      <w:numFmt w:val="upperRoman"/>
      <w:lvlText w:val="%4."/>
      <w:lvlJc w:val="left"/>
      <w:pPr>
        <w:tabs>
          <w:tab w:val="num" w:pos="1614"/>
        </w:tabs>
        <w:ind w:left="1614" w:hanging="720"/>
      </w:pPr>
      <w:rPr>
        <w:rFonts w:hint="default"/>
      </w:rPr>
    </w:lvl>
    <w:lvl w:ilvl="4" w:tplc="04090019" w:tentative="1">
      <w:start w:val="1"/>
      <w:numFmt w:val="lowerLetter"/>
      <w:lvlText w:val="%5."/>
      <w:lvlJc w:val="left"/>
      <w:pPr>
        <w:ind w:left="1974" w:hanging="360"/>
      </w:pPr>
    </w:lvl>
    <w:lvl w:ilvl="5" w:tplc="0409001B" w:tentative="1">
      <w:start w:val="1"/>
      <w:numFmt w:val="lowerRoman"/>
      <w:lvlText w:val="%6."/>
      <w:lvlJc w:val="right"/>
      <w:pPr>
        <w:ind w:left="2694" w:hanging="180"/>
      </w:pPr>
    </w:lvl>
    <w:lvl w:ilvl="6" w:tplc="0409000F" w:tentative="1">
      <w:start w:val="1"/>
      <w:numFmt w:val="decimal"/>
      <w:lvlText w:val="%7."/>
      <w:lvlJc w:val="left"/>
      <w:pPr>
        <w:ind w:left="3414" w:hanging="360"/>
      </w:pPr>
    </w:lvl>
    <w:lvl w:ilvl="7" w:tplc="04090019" w:tentative="1">
      <w:start w:val="1"/>
      <w:numFmt w:val="lowerLetter"/>
      <w:lvlText w:val="%8."/>
      <w:lvlJc w:val="left"/>
      <w:pPr>
        <w:ind w:left="4134" w:hanging="360"/>
      </w:pPr>
    </w:lvl>
    <w:lvl w:ilvl="8" w:tplc="0409001B" w:tentative="1">
      <w:start w:val="1"/>
      <w:numFmt w:val="lowerRoman"/>
      <w:lvlText w:val="%9."/>
      <w:lvlJc w:val="right"/>
      <w:pPr>
        <w:ind w:left="4854" w:hanging="180"/>
      </w:pPr>
    </w:lvl>
  </w:abstractNum>
  <w:abstractNum w:abstractNumId="2" w15:restartNumberingAfterBreak="0">
    <w:nsid w:val="16197CD7"/>
    <w:multiLevelType w:val="hybridMultilevel"/>
    <w:tmpl w:val="1B3C4636"/>
    <w:lvl w:ilvl="0" w:tplc="EF62241A">
      <w:start w:val="1"/>
      <w:numFmt w:val="bullet"/>
      <w:pStyle w:val="bulletnormal"/>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3B7D1F"/>
    <w:multiLevelType w:val="hybridMultilevel"/>
    <w:tmpl w:val="4AFE3F98"/>
    <w:lvl w:ilvl="0" w:tplc="A218FDCA">
      <w:start w:val="1"/>
      <w:numFmt w:val="lowerLetter"/>
      <w:lvlText w:val="(%1)"/>
      <w:lvlJc w:val="left"/>
      <w:pPr>
        <w:ind w:left="144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1FA078DD"/>
    <w:multiLevelType w:val="hybridMultilevel"/>
    <w:tmpl w:val="8D8CD5EE"/>
    <w:lvl w:ilvl="0" w:tplc="015466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F12C7"/>
    <w:multiLevelType w:val="hybridMultilevel"/>
    <w:tmpl w:val="A5702E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B55453"/>
    <w:multiLevelType w:val="hybridMultilevel"/>
    <w:tmpl w:val="608A2526"/>
    <w:lvl w:ilvl="0" w:tplc="7FD445A6">
      <w:start w:val="1"/>
      <w:numFmt w:val="bullet"/>
      <w:lvlText w:val=""/>
      <w:lvlJc w:val="left"/>
      <w:pPr>
        <w:ind w:left="720" w:hanging="360"/>
      </w:pPr>
      <w:rPr>
        <w:rFonts w:ascii="Symbol" w:hAnsi="Symbol" w:hint="default"/>
      </w:rPr>
    </w:lvl>
    <w:lvl w:ilvl="1" w:tplc="82B0F82A">
      <w:start w:val="1"/>
      <w:numFmt w:val="bullet"/>
      <w:lvlText w:val=""/>
      <w:lvlJc w:val="left"/>
      <w:pPr>
        <w:ind w:left="1440" w:hanging="360"/>
      </w:pPr>
      <w:rPr>
        <w:rFonts w:ascii="Symbol" w:hAnsi="Symbol" w:hint="default"/>
      </w:rPr>
    </w:lvl>
    <w:lvl w:ilvl="2" w:tplc="FD881212">
      <w:start w:val="1"/>
      <w:numFmt w:val="bullet"/>
      <w:lvlText w:val=""/>
      <w:lvlJc w:val="left"/>
      <w:pPr>
        <w:ind w:left="2160" w:hanging="360"/>
      </w:pPr>
      <w:rPr>
        <w:rFonts w:ascii="Wingdings" w:hAnsi="Wingdings" w:hint="default"/>
      </w:rPr>
    </w:lvl>
    <w:lvl w:ilvl="3" w:tplc="991AFD80">
      <w:start w:val="1"/>
      <w:numFmt w:val="bullet"/>
      <w:lvlText w:val=""/>
      <w:lvlJc w:val="left"/>
      <w:pPr>
        <w:ind w:left="2880" w:hanging="360"/>
      </w:pPr>
      <w:rPr>
        <w:rFonts w:ascii="Symbol" w:hAnsi="Symbol" w:hint="default"/>
      </w:rPr>
    </w:lvl>
    <w:lvl w:ilvl="4" w:tplc="B1D84F30">
      <w:start w:val="1"/>
      <w:numFmt w:val="bullet"/>
      <w:lvlText w:val="o"/>
      <w:lvlJc w:val="left"/>
      <w:pPr>
        <w:ind w:left="3600" w:hanging="360"/>
      </w:pPr>
      <w:rPr>
        <w:rFonts w:ascii="Courier New" w:hAnsi="Courier New" w:hint="default"/>
      </w:rPr>
    </w:lvl>
    <w:lvl w:ilvl="5" w:tplc="72DCDFCE">
      <w:start w:val="1"/>
      <w:numFmt w:val="bullet"/>
      <w:lvlText w:val=""/>
      <w:lvlJc w:val="left"/>
      <w:pPr>
        <w:ind w:left="4320" w:hanging="360"/>
      </w:pPr>
      <w:rPr>
        <w:rFonts w:ascii="Wingdings" w:hAnsi="Wingdings" w:hint="default"/>
      </w:rPr>
    </w:lvl>
    <w:lvl w:ilvl="6" w:tplc="645802E0">
      <w:start w:val="1"/>
      <w:numFmt w:val="bullet"/>
      <w:lvlText w:val=""/>
      <w:lvlJc w:val="left"/>
      <w:pPr>
        <w:ind w:left="5040" w:hanging="360"/>
      </w:pPr>
      <w:rPr>
        <w:rFonts w:ascii="Symbol" w:hAnsi="Symbol" w:hint="default"/>
      </w:rPr>
    </w:lvl>
    <w:lvl w:ilvl="7" w:tplc="C3F07C88">
      <w:start w:val="1"/>
      <w:numFmt w:val="bullet"/>
      <w:lvlText w:val="o"/>
      <w:lvlJc w:val="left"/>
      <w:pPr>
        <w:ind w:left="5760" w:hanging="360"/>
      </w:pPr>
      <w:rPr>
        <w:rFonts w:ascii="Courier New" w:hAnsi="Courier New" w:hint="default"/>
      </w:rPr>
    </w:lvl>
    <w:lvl w:ilvl="8" w:tplc="C9267474">
      <w:start w:val="1"/>
      <w:numFmt w:val="bullet"/>
      <w:lvlText w:val=""/>
      <w:lvlJc w:val="left"/>
      <w:pPr>
        <w:ind w:left="6480" w:hanging="360"/>
      </w:pPr>
      <w:rPr>
        <w:rFonts w:ascii="Wingdings" w:hAnsi="Wingdings" w:hint="default"/>
      </w:rPr>
    </w:lvl>
  </w:abstractNum>
  <w:abstractNum w:abstractNumId="7" w15:restartNumberingAfterBreak="0">
    <w:nsid w:val="36B20915"/>
    <w:multiLevelType w:val="hybridMultilevel"/>
    <w:tmpl w:val="45588BE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452C5F54"/>
    <w:multiLevelType w:val="hybridMultilevel"/>
    <w:tmpl w:val="A490DC36"/>
    <w:lvl w:ilvl="0" w:tplc="C53C07DA">
      <w:start w:val="1"/>
      <w:numFmt w:val="decimal"/>
      <w:lvlText w:val="%1."/>
      <w:lvlJc w:val="left"/>
      <w:pPr>
        <w:ind w:left="1440" w:hanging="360"/>
      </w:pPr>
      <w:rPr>
        <w:sz w:val="20"/>
        <w:szCs w:val="20"/>
      </w:rPr>
    </w:lvl>
    <w:lvl w:ilvl="1" w:tplc="1326143C">
      <w:start w:val="1"/>
      <w:numFmt w:val="lowerLetter"/>
      <w:lvlText w:val="%2."/>
      <w:lvlJc w:val="left"/>
      <w:pPr>
        <w:ind w:left="2160" w:hanging="360"/>
      </w:pPr>
    </w:lvl>
    <w:lvl w:ilvl="2" w:tplc="92C64DE8">
      <w:start w:val="1"/>
      <w:numFmt w:val="lowerRoman"/>
      <w:lvlText w:val="%3."/>
      <w:lvlJc w:val="right"/>
      <w:pPr>
        <w:ind w:left="2880" w:hanging="180"/>
      </w:pPr>
    </w:lvl>
    <w:lvl w:ilvl="3" w:tplc="0F2C51D6">
      <w:start w:val="1"/>
      <w:numFmt w:val="decimal"/>
      <w:lvlText w:val="%4."/>
      <w:lvlJc w:val="left"/>
      <w:pPr>
        <w:ind w:left="3600" w:hanging="360"/>
      </w:pPr>
    </w:lvl>
    <w:lvl w:ilvl="4" w:tplc="013A7302">
      <w:start w:val="1"/>
      <w:numFmt w:val="lowerLetter"/>
      <w:lvlText w:val="%5."/>
      <w:lvlJc w:val="left"/>
      <w:pPr>
        <w:ind w:left="4320" w:hanging="360"/>
      </w:pPr>
    </w:lvl>
    <w:lvl w:ilvl="5" w:tplc="B38A2FBC">
      <w:start w:val="1"/>
      <w:numFmt w:val="lowerRoman"/>
      <w:lvlText w:val="%6."/>
      <w:lvlJc w:val="right"/>
      <w:pPr>
        <w:ind w:left="5040" w:hanging="180"/>
      </w:pPr>
    </w:lvl>
    <w:lvl w:ilvl="6" w:tplc="8C565102">
      <w:start w:val="1"/>
      <w:numFmt w:val="decimal"/>
      <w:lvlText w:val="%7."/>
      <w:lvlJc w:val="left"/>
      <w:pPr>
        <w:ind w:left="5760" w:hanging="360"/>
      </w:pPr>
    </w:lvl>
    <w:lvl w:ilvl="7" w:tplc="2B8E4634">
      <w:start w:val="1"/>
      <w:numFmt w:val="lowerLetter"/>
      <w:lvlText w:val="%8."/>
      <w:lvlJc w:val="left"/>
      <w:pPr>
        <w:ind w:left="6480" w:hanging="360"/>
      </w:pPr>
    </w:lvl>
    <w:lvl w:ilvl="8" w:tplc="B776B99A">
      <w:start w:val="1"/>
      <w:numFmt w:val="lowerRoman"/>
      <w:lvlText w:val="%9."/>
      <w:lvlJc w:val="right"/>
      <w:pPr>
        <w:ind w:left="7200" w:hanging="180"/>
      </w:pPr>
    </w:lvl>
  </w:abstractNum>
  <w:abstractNum w:abstractNumId="9" w15:restartNumberingAfterBreak="0">
    <w:nsid w:val="530709F8"/>
    <w:multiLevelType w:val="hybridMultilevel"/>
    <w:tmpl w:val="4E765E02"/>
    <w:lvl w:ilvl="0" w:tplc="EC2014CC">
      <w:start w:val="1"/>
      <w:numFmt w:val="lowerLetter"/>
      <w:lvlText w:val="(%1)"/>
      <w:lvlJc w:val="left"/>
      <w:pPr>
        <w:ind w:left="1980" w:hanging="360"/>
      </w:pPr>
      <w:rPr>
        <w:rFonts w:ascii="Times New Roman" w:eastAsia="Times New Roman" w:hAnsi="Times New Roman" w:cs="Times New Roman"/>
      </w:rPr>
    </w:lvl>
    <w:lvl w:ilvl="1" w:tplc="04090001">
      <w:start w:val="1"/>
      <w:numFmt w:val="bullet"/>
      <w:lvlText w:val=""/>
      <w:lvlJc w:val="left"/>
      <w:pPr>
        <w:ind w:left="2700" w:hanging="360"/>
      </w:pPr>
      <w:rPr>
        <w:rFonts w:ascii="Symbol" w:hAnsi="Symbol"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5A6515FF"/>
    <w:multiLevelType w:val="hybridMultilevel"/>
    <w:tmpl w:val="56A2D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B940E4"/>
    <w:multiLevelType w:val="hybridMultilevel"/>
    <w:tmpl w:val="4986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56473F"/>
    <w:multiLevelType w:val="hybridMultilevel"/>
    <w:tmpl w:val="FD30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937A35"/>
    <w:multiLevelType w:val="multilevel"/>
    <w:tmpl w:val="BDF60FF2"/>
    <w:lvl w:ilvl="0">
      <w:start w:val="1"/>
      <w:numFmt w:val="lowerLetter"/>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14" w15:restartNumberingAfterBreak="0">
    <w:nsid w:val="700A0AE8"/>
    <w:multiLevelType w:val="hybridMultilevel"/>
    <w:tmpl w:val="4E3CB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5063A52"/>
    <w:multiLevelType w:val="hybridMultilevel"/>
    <w:tmpl w:val="4E765E02"/>
    <w:lvl w:ilvl="0" w:tplc="EC2014CC">
      <w:start w:val="1"/>
      <w:numFmt w:val="lowerLetter"/>
      <w:lvlText w:val="(%1)"/>
      <w:lvlJc w:val="left"/>
      <w:pPr>
        <w:ind w:left="1980" w:hanging="360"/>
      </w:pPr>
      <w:rPr>
        <w:rFonts w:ascii="Times New Roman" w:eastAsia="Times New Roman" w:hAnsi="Times New Roman" w:cs="Times New Roman"/>
      </w:rPr>
    </w:lvl>
    <w:lvl w:ilvl="1" w:tplc="04090001">
      <w:start w:val="1"/>
      <w:numFmt w:val="bullet"/>
      <w:lvlText w:val=""/>
      <w:lvlJc w:val="left"/>
      <w:pPr>
        <w:ind w:left="2700" w:hanging="360"/>
      </w:pPr>
      <w:rPr>
        <w:rFonts w:ascii="Symbol" w:hAnsi="Symbol"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769915A1"/>
    <w:multiLevelType w:val="hybridMultilevel"/>
    <w:tmpl w:val="6C0EB970"/>
    <w:lvl w:ilvl="0" w:tplc="8B7228A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77211124"/>
    <w:multiLevelType w:val="hybridMultilevel"/>
    <w:tmpl w:val="C4ACB3B4"/>
    <w:lvl w:ilvl="0" w:tplc="FFFFFFFF">
      <w:start w:val="1"/>
      <w:numFmt w:val="decimal"/>
      <w:lvlText w:val="%1."/>
      <w:lvlJc w:val="left"/>
      <w:pPr>
        <w:ind w:left="1590" w:hanging="360"/>
      </w:p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8" w15:restartNumberingAfterBreak="0">
    <w:nsid w:val="77C63E22"/>
    <w:multiLevelType w:val="multilevel"/>
    <w:tmpl w:val="67EEAACE"/>
    <w:lvl w:ilvl="0">
      <w:start w:val="1"/>
      <w:numFmt w:val="decimal"/>
      <w:lvlText w:val="%1"/>
      <w:lvlJc w:val="left"/>
      <w:pPr>
        <w:ind w:left="468" w:hanging="468"/>
      </w:pPr>
      <w:rPr>
        <w:rFonts w:eastAsia="Times New Roman" w:hint="default"/>
      </w:rPr>
    </w:lvl>
    <w:lvl w:ilvl="1">
      <w:start w:val="1"/>
      <w:numFmt w:val="decimal"/>
      <w:lvlText w:val="%1.%2"/>
      <w:lvlJc w:val="left"/>
      <w:pPr>
        <w:ind w:left="468" w:hanging="468"/>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9" w15:restartNumberingAfterBreak="0">
    <w:nsid w:val="781B74BA"/>
    <w:multiLevelType w:val="hybridMultilevel"/>
    <w:tmpl w:val="7DE64604"/>
    <w:lvl w:ilvl="0" w:tplc="03BE0838">
      <w:numFmt w:val="bullet"/>
      <w:lvlText w:val=""/>
      <w:lvlJc w:val="left"/>
      <w:pPr>
        <w:ind w:left="720" w:hanging="360"/>
      </w:pPr>
      <w:rPr>
        <w:rFonts w:ascii="Symbol" w:eastAsia="DengXi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88715B1"/>
    <w:multiLevelType w:val="hybridMultilevel"/>
    <w:tmpl w:val="BC966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0F6EA3"/>
    <w:multiLevelType w:val="hybridMultilevel"/>
    <w:tmpl w:val="56A2D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20739D"/>
    <w:multiLevelType w:val="hybridMultilevel"/>
    <w:tmpl w:val="D6DEA5F2"/>
    <w:lvl w:ilvl="0" w:tplc="BEA4129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7"/>
  </w:num>
  <w:num w:numId="4">
    <w:abstractNumId w:val="18"/>
  </w:num>
  <w:num w:numId="5">
    <w:abstractNumId w:val="4"/>
  </w:num>
  <w:num w:numId="6">
    <w:abstractNumId w:val="20"/>
  </w:num>
  <w:num w:numId="7">
    <w:abstractNumId w:val="5"/>
  </w:num>
  <w:num w:numId="8">
    <w:abstractNumId w:val="7"/>
  </w:num>
  <w:num w:numId="9">
    <w:abstractNumId w:val="9"/>
  </w:num>
  <w:num w:numId="10">
    <w:abstractNumId w:val="10"/>
  </w:num>
  <w:num w:numId="11">
    <w:abstractNumId w:val="12"/>
  </w:num>
  <w:num w:numId="12">
    <w:abstractNumId w:val="21"/>
  </w:num>
  <w:num w:numId="13">
    <w:abstractNumId w:val="11"/>
  </w:num>
  <w:num w:numId="14">
    <w:abstractNumId w:val="6"/>
  </w:num>
  <w:num w:numId="15">
    <w:abstractNumId w:val="0"/>
  </w:num>
  <w:num w:numId="16">
    <w:abstractNumId w:val="3"/>
  </w:num>
  <w:num w:numId="17">
    <w:abstractNumId w:val="16"/>
  </w:num>
  <w:num w:numId="18">
    <w:abstractNumId w:val="8"/>
  </w:num>
  <w:num w:numId="19">
    <w:abstractNumId w:val="22"/>
  </w:num>
  <w:num w:numId="20">
    <w:abstractNumId w:val="15"/>
  </w:num>
  <w:num w:numId="21">
    <w:abstractNumId w:val="19"/>
  </w:num>
  <w:num w:numId="22">
    <w:abstractNumId w:val="14"/>
  </w:num>
  <w:num w:numId="2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0NjM3sbQwsDQxMDBU0lEKTi0uzszPAykwrAUAUP9xAiwAAAA="/>
    <w:docVar w:name="Barcode" w:val="*1906518*"/>
    <w:docVar w:name="jobn" w:val="19-06518 (E)"/>
    <w:docVar w:name="JobNo" w:val="1906518E"/>
    <w:docVar w:name="ODSRefJobNo" w:val="1911396E"/>
    <w:docVar w:name="sss1" w:val="DP/2019/17"/>
    <w:docVar w:name="sss2" w:val="-"/>
  </w:docVars>
  <w:rsids>
    <w:rsidRoot w:val="00F206D9"/>
    <w:rsid w:val="0000002D"/>
    <w:rsid w:val="0000053B"/>
    <w:rsid w:val="0000056C"/>
    <w:rsid w:val="00000D28"/>
    <w:rsid w:val="00000D2E"/>
    <w:rsid w:val="00000D55"/>
    <w:rsid w:val="00000E95"/>
    <w:rsid w:val="00000EAA"/>
    <w:rsid w:val="00001187"/>
    <w:rsid w:val="00001207"/>
    <w:rsid w:val="00001271"/>
    <w:rsid w:val="0000129D"/>
    <w:rsid w:val="00001434"/>
    <w:rsid w:val="00001903"/>
    <w:rsid w:val="0000197F"/>
    <w:rsid w:val="000023D2"/>
    <w:rsid w:val="0000246D"/>
    <w:rsid w:val="0000277B"/>
    <w:rsid w:val="0000294C"/>
    <w:rsid w:val="0000359C"/>
    <w:rsid w:val="00003790"/>
    <w:rsid w:val="000037D9"/>
    <w:rsid w:val="00003807"/>
    <w:rsid w:val="00003CC2"/>
    <w:rsid w:val="000046D8"/>
    <w:rsid w:val="0000503B"/>
    <w:rsid w:val="000053E1"/>
    <w:rsid w:val="00005527"/>
    <w:rsid w:val="00005544"/>
    <w:rsid w:val="00005980"/>
    <w:rsid w:val="00005DA4"/>
    <w:rsid w:val="00006016"/>
    <w:rsid w:val="00006ABD"/>
    <w:rsid w:val="00007232"/>
    <w:rsid w:val="00007AD0"/>
    <w:rsid w:val="00007B62"/>
    <w:rsid w:val="00010491"/>
    <w:rsid w:val="00010993"/>
    <w:rsid w:val="000109DD"/>
    <w:rsid w:val="00010BE3"/>
    <w:rsid w:val="00010D1B"/>
    <w:rsid w:val="00010D58"/>
    <w:rsid w:val="00010EA6"/>
    <w:rsid w:val="00011288"/>
    <w:rsid w:val="000115A9"/>
    <w:rsid w:val="00011853"/>
    <w:rsid w:val="00011A90"/>
    <w:rsid w:val="00011CD5"/>
    <w:rsid w:val="00011E88"/>
    <w:rsid w:val="00012A22"/>
    <w:rsid w:val="00012D7D"/>
    <w:rsid w:val="00012ED5"/>
    <w:rsid w:val="00013182"/>
    <w:rsid w:val="0001326A"/>
    <w:rsid w:val="000132BE"/>
    <w:rsid w:val="0001359E"/>
    <w:rsid w:val="0001362C"/>
    <w:rsid w:val="000139F6"/>
    <w:rsid w:val="00014636"/>
    <w:rsid w:val="000149FE"/>
    <w:rsid w:val="00014B22"/>
    <w:rsid w:val="00014B3D"/>
    <w:rsid w:val="00014F17"/>
    <w:rsid w:val="00015F73"/>
    <w:rsid w:val="00016027"/>
    <w:rsid w:val="00016455"/>
    <w:rsid w:val="00016507"/>
    <w:rsid w:val="000167A0"/>
    <w:rsid w:val="00016AE4"/>
    <w:rsid w:val="00016DB2"/>
    <w:rsid w:val="000170F8"/>
    <w:rsid w:val="00017553"/>
    <w:rsid w:val="0001796D"/>
    <w:rsid w:val="00017D63"/>
    <w:rsid w:val="000200C6"/>
    <w:rsid w:val="0002023D"/>
    <w:rsid w:val="000202C2"/>
    <w:rsid w:val="00020626"/>
    <w:rsid w:val="00020684"/>
    <w:rsid w:val="000207A7"/>
    <w:rsid w:val="00020821"/>
    <w:rsid w:val="00020C4F"/>
    <w:rsid w:val="00020DA0"/>
    <w:rsid w:val="00021617"/>
    <w:rsid w:val="000217FB"/>
    <w:rsid w:val="00021C28"/>
    <w:rsid w:val="0002223F"/>
    <w:rsid w:val="0002282E"/>
    <w:rsid w:val="00022939"/>
    <w:rsid w:val="00022D0E"/>
    <w:rsid w:val="00022FFC"/>
    <w:rsid w:val="000233BD"/>
    <w:rsid w:val="00023505"/>
    <w:rsid w:val="0002392B"/>
    <w:rsid w:val="0002394A"/>
    <w:rsid w:val="00023B74"/>
    <w:rsid w:val="0002403C"/>
    <w:rsid w:val="000248BD"/>
    <w:rsid w:val="000248DA"/>
    <w:rsid w:val="000249F1"/>
    <w:rsid w:val="00024FEC"/>
    <w:rsid w:val="000257C8"/>
    <w:rsid w:val="00025811"/>
    <w:rsid w:val="00025C86"/>
    <w:rsid w:val="00025D6A"/>
    <w:rsid w:val="0002606D"/>
    <w:rsid w:val="0002674F"/>
    <w:rsid w:val="000268A2"/>
    <w:rsid w:val="000268FA"/>
    <w:rsid w:val="000269ED"/>
    <w:rsid w:val="00026BC0"/>
    <w:rsid w:val="00026BC9"/>
    <w:rsid w:val="00026CE1"/>
    <w:rsid w:val="00026D65"/>
    <w:rsid w:val="00027019"/>
    <w:rsid w:val="00027066"/>
    <w:rsid w:val="0002709F"/>
    <w:rsid w:val="000275D0"/>
    <w:rsid w:val="000278A1"/>
    <w:rsid w:val="00027A71"/>
    <w:rsid w:val="00027AFE"/>
    <w:rsid w:val="00027DD3"/>
    <w:rsid w:val="00027E54"/>
    <w:rsid w:val="00027EE4"/>
    <w:rsid w:val="00030058"/>
    <w:rsid w:val="00030180"/>
    <w:rsid w:val="00030440"/>
    <w:rsid w:val="00030AC6"/>
    <w:rsid w:val="00030BA4"/>
    <w:rsid w:val="00030C4D"/>
    <w:rsid w:val="0003121C"/>
    <w:rsid w:val="00031E4E"/>
    <w:rsid w:val="00032DF1"/>
    <w:rsid w:val="00032F0E"/>
    <w:rsid w:val="00033368"/>
    <w:rsid w:val="00033872"/>
    <w:rsid w:val="00033E50"/>
    <w:rsid w:val="000349FA"/>
    <w:rsid w:val="00034C17"/>
    <w:rsid w:val="00034D76"/>
    <w:rsid w:val="000353CE"/>
    <w:rsid w:val="0003553D"/>
    <w:rsid w:val="00035725"/>
    <w:rsid w:val="00035891"/>
    <w:rsid w:val="00035BD8"/>
    <w:rsid w:val="00035BD9"/>
    <w:rsid w:val="00035F03"/>
    <w:rsid w:val="000362AA"/>
    <w:rsid w:val="000362BA"/>
    <w:rsid w:val="00036573"/>
    <w:rsid w:val="00036ECE"/>
    <w:rsid w:val="00036F31"/>
    <w:rsid w:val="00037181"/>
    <w:rsid w:val="0003733C"/>
    <w:rsid w:val="00037413"/>
    <w:rsid w:val="000374C3"/>
    <w:rsid w:val="00037D6A"/>
    <w:rsid w:val="0004066E"/>
    <w:rsid w:val="00041142"/>
    <w:rsid w:val="0004126F"/>
    <w:rsid w:val="00041A82"/>
    <w:rsid w:val="00041C54"/>
    <w:rsid w:val="00041EC1"/>
    <w:rsid w:val="000422C2"/>
    <w:rsid w:val="00042357"/>
    <w:rsid w:val="000424B9"/>
    <w:rsid w:val="00042748"/>
    <w:rsid w:val="0004291B"/>
    <w:rsid w:val="00042AAE"/>
    <w:rsid w:val="00042AAF"/>
    <w:rsid w:val="00042E60"/>
    <w:rsid w:val="000430F3"/>
    <w:rsid w:val="00043209"/>
    <w:rsid w:val="00043359"/>
    <w:rsid w:val="000435E9"/>
    <w:rsid w:val="0004369D"/>
    <w:rsid w:val="00043ED7"/>
    <w:rsid w:val="000445FF"/>
    <w:rsid w:val="000450BE"/>
    <w:rsid w:val="000452B1"/>
    <w:rsid w:val="00045532"/>
    <w:rsid w:val="00045537"/>
    <w:rsid w:val="00045A08"/>
    <w:rsid w:val="00046071"/>
    <w:rsid w:val="00046320"/>
    <w:rsid w:val="000464BE"/>
    <w:rsid w:val="000465F2"/>
    <w:rsid w:val="00046ED3"/>
    <w:rsid w:val="000475D6"/>
    <w:rsid w:val="0004764D"/>
    <w:rsid w:val="000476AC"/>
    <w:rsid w:val="00047C31"/>
    <w:rsid w:val="00047EE8"/>
    <w:rsid w:val="000506D5"/>
    <w:rsid w:val="000506DD"/>
    <w:rsid w:val="000506ED"/>
    <w:rsid w:val="00050AF1"/>
    <w:rsid w:val="00050E02"/>
    <w:rsid w:val="0005113F"/>
    <w:rsid w:val="00051310"/>
    <w:rsid w:val="0005144F"/>
    <w:rsid w:val="000514CD"/>
    <w:rsid w:val="000515B7"/>
    <w:rsid w:val="000515DA"/>
    <w:rsid w:val="00051D52"/>
    <w:rsid w:val="0005244E"/>
    <w:rsid w:val="000526CC"/>
    <w:rsid w:val="0005289A"/>
    <w:rsid w:val="00052CDC"/>
    <w:rsid w:val="00053844"/>
    <w:rsid w:val="00053D01"/>
    <w:rsid w:val="00054592"/>
    <w:rsid w:val="000546E4"/>
    <w:rsid w:val="000548E9"/>
    <w:rsid w:val="00054982"/>
    <w:rsid w:val="00054F07"/>
    <w:rsid w:val="00055CBF"/>
    <w:rsid w:val="00055F50"/>
    <w:rsid w:val="000567D9"/>
    <w:rsid w:val="00056926"/>
    <w:rsid w:val="000569E1"/>
    <w:rsid w:val="00056E0B"/>
    <w:rsid w:val="00057270"/>
    <w:rsid w:val="0005739E"/>
    <w:rsid w:val="000573A2"/>
    <w:rsid w:val="00057976"/>
    <w:rsid w:val="00057C8E"/>
    <w:rsid w:val="00057FA5"/>
    <w:rsid w:val="0006000B"/>
    <w:rsid w:val="00060310"/>
    <w:rsid w:val="000605B1"/>
    <w:rsid w:val="00060627"/>
    <w:rsid w:val="000607B5"/>
    <w:rsid w:val="00060966"/>
    <w:rsid w:val="00062034"/>
    <w:rsid w:val="00062371"/>
    <w:rsid w:val="0006257A"/>
    <w:rsid w:val="000627A9"/>
    <w:rsid w:val="00062AC0"/>
    <w:rsid w:val="00062C37"/>
    <w:rsid w:val="00062D1D"/>
    <w:rsid w:val="000634F3"/>
    <w:rsid w:val="0006445F"/>
    <w:rsid w:val="000647D6"/>
    <w:rsid w:val="00064956"/>
    <w:rsid w:val="00064A66"/>
    <w:rsid w:val="00064B3D"/>
    <w:rsid w:val="00064D1D"/>
    <w:rsid w:val="00064FDD"/>
    <w:rsid w:val="0006562D"/>
    <w:rsid w:val="000657D5"/>
    <w:rsid w:val="000658F3"/>
    <w:rsid w:val="000668E1"/>
    <w:rsid w:val="00066B6C"/>
    <w:rsid w:val="00066F0C"/>
    <w:rsid w:val="00067230"/>
    <w:rsid w:val="000676C3"/>
    <w:rsid w:val="000677A9"/>
    <w:rsid w:val="000678FB"/>
    <w:rsid w:val="00067C23"/>
    <w:rsid w:val="000701BE"/>
    <w:rsid w:val="000702F2"/>
    <w:rsid w:val="000704E6"/>
    <w:rsid w:val="00070954"/>
    <w:rsid w:val="00070FEC"/>
    <w:rsid w:val="000714D0"/>
    <w:rsid w:val="00071921"/>
    <w:rsid w:val="00071A0A"/>
    <w:rsid w:val="00072EAB"/>
    <w:rsid w:val="000731BE"/>
    <w:rsid w:val="0007350C"/>
    <w:rsid w:val="00073A09"/>
    <w:rsid w:val="00073CCF"/>
    <w:rsid w:val="000745B7"/>
    <w:rsid w:val="000746A8"/>
    <w:rsid w:val="000746DC"/>
    <w:rsid w:val="00075308"/>
    <w:rsid w:val="00075A74"/>
    <w:rsid w:val="00075EA0"/>
    <w:rsid w:val="0007653F"/>
    <w:rsid w:val="000766BE"/>
    <w:rsid w:val="00076E73"/>
    <w:rsid w:val="00077167"/>
    <w:rsid w:val="00077C91"/>
    <w:rsid w:val="00077CAC"/>
    <w:rsid w:val="00077D74"/>
    <w:rsid w:val="000806D0"/>
    <w:rsid w:val="00080C9E"/>
    <w:rsid w:val="00080E1A"/>
    <w:rsid w:val="00080E48"/>
    <w:rsid w:val="000811BA"/>
    <w:rsid w:val="000812A2"/>
    <w:rsid w:val="00081693"/>
    <w:rsid w:val="000816E1"/>
    <w:rsid w:val="000816F5"/>
    <w:rsid w:val="00081AF6"/>
    <w:rsid w:val="00082117"/>
    <w:rsid w:val="00082355"/>
    <w:rsid w:val="000824D3"/>
    <w:rsid w:val="000824EF"/>
    <w:rsid w:val="00082687"/>
    <w:rsid w:val="00082854"/>
    <w:rsid w:val="0008299C"/>
    <w:rsid w:val="0008308D"/>
    <w:rsid w:val="000834DD"/>
    <w:rsid w:val="00083933"/>
    <w:rsid w:val="0008417B"/>
    <w:rsid w:val="000843FC"/>
    <w:rsid w:val="000844B6"/>
    <w:rsid w:val="00084665"/>
    <w:rsid w:val="000846C9"/>
    <w:rsid w:val="00084F9E"/>
    <w:rsid w:val="00085059"/>
    <w:rsid w:val="00085227"/>
    <w:rsid w:val="000854B2"/>
    <w:rsid w:val="00085EB1"/>
    <w:rsid w:val="00085F70"/>
    <w:rsid w:val="000868E2"/>
    <w:rsid w:val="00087076"/>
    <w:rsid w:val="00087353"/>
    <w:rsid w:val="0008741E"/>
    <w:rsid w:val="00087652"/>
    <w:rsid w:val="00087B32"/>
    <w:rsid w:val="00087E20"/>
    <w:rsid w:val="00090D25"/>
    <w:rsid w:val="000910FB"/>
    <w:rsid w:val="00091256"/>
    <w:rsid w:val="0009130B"/>
    <w:rsid w:val="00091364"/>
    <w:rsid w:val="00091678"/>
    <w:rsid w:val="00091942"/>
    <w:rsid w:val="00091ED4"/>
    <w:rsid w:val="0009202B"/>
    <w:rsid w:val="000920B2"/>
    <w:rsid w:val="00092286"/>
    <w:rsid w:val="00092730"/>
    <w:rsid w:val="00092B67"/>
    <w:rsid w:val="00092C16"/>
    <w:rsid w:val="00092C56"/>
    <w:rsid w:val="00092E29"/>
    <w:rsid w:val="00092FEA"/>
    <w:rsid w:val="00093218"/>
    <w:rsid w:val="0009322D"/>
    <w:rsid w:val="0009326E"/>
    <w:rsid w:val="0009331F"/>
    <w:rsid w:val="00093776"/>
    <w:rsid w:val="000937AD"/>
    <w:rsid w:val="00093903"/>
    <w:rsid w:val="00093991"/>
    <w:rsid w:val="00093BAC"/>
    <w:rsid w:val="00094192"/>
    <w:rsid w:val="0009429B"/>
    <w:rsid w:val="000943BA"/>
    <w:rsid w:val="00094769"/>
    <w:rsid w:val="00094913"/>
    <w:rsid w:val="0009497F"/>
    <w:rsid w:val="00095218"/>
    <w:rsid w:val="000953D1"/>
    <w:rsid w:val="00095540"/>
    <w:rsid w:val="00095EF1"/>
    <w:rsid w:val="000960DE"/>
    <w:rsid w:val="000962E2"/>
    <w:rsid w:val="0009651A"/>
    <w:rsid w:val="00096A7E"/>
    <w:rsid w:val="00097038"/>
    <w:rsid w:val="00097C23"/>
    <w:rsid w:val="00097DE8"/>
    <w:rsid w:val="00097EDB"/>
    <w:rsid w:val="00097F38"/>
    <w:rsid w:val="000A0450"/>
    <w:rsid w:val="000A0780"/>
    <w:rsid w:val="000A07E3"/>
    <w:rsid w:val="000A0BB8"/>
    <w:rsid w:val="000A10E5"/>
    <w:rsid w:val="000A126E"/>
    <w:rsid w:val="000A1680"/>
    <w:rsid w:val="000A174D"/>
    <w:rsid w:val="000A178D"/>
    <w:rsid w:val="000A1939"/>
    <w:rsid w:val="000A27CD"/>
    <w:rsid w:val="000A32B8"/>
    <w:rsid w:val="000A33D2"/>
    <w:rsid w:val="000A3442"/>
    <w:rsid w:val="000A3615"/>
    <w:rsid w:val="000A38E3"/>
    <w:rsid w:val="000A39C9"/>
    <w:rsid w:val="000A3AA4"/>
    <w:rsid w:val="000A3E05"/>
    <w:rsid w:val="000A3F1F"/>
    <w:rsid w:val="000A3F52"/>
    <w:rsid w:val="000A419E"/>
    <w:rsid w:val="000A43F3"/>
    <w:rsid w:val="000A458C"/>
    <w:rsid w:val="000A45E8"/>
    <w:rsid w:val="000A529F"/>
    <w:rsid w:val="000A54E7"/>
    <w:rsid w:val="000A55F2"/>
    <w:rsid w:val="000A5795"/>
    <w:rsid w:val="000A5AE3"/>
    <w:rsid w:val="000A60AA"/>
    <w:rsid w:val="000A6155"/>
    <w:rsid w:val="000A6243"/>
    <w:rsid w:val="000A6379"/>
    <w:rsid w:val="000A6522"/>
    <w:rsid w:val="000A6574"/>
    <w:rsid w:val="000A6DE7"/>
    <w:rsid w:val="000A70CD"/>
    <w:rsid w:val="000A74EB"/>
    <w:rsid w:val="000A7A12"/>
    <w:rsid w:val="000A7BFF"/>
    <w:rsid w:val="000A7C33"/>
    <w:rsid w:val="000B02DE"/>
    <w:rsid w:val="000B0481"/>
    <w:rsid w:val="000B07FB"/>
    <w:rsid w:val="000B0CBE"/>
    <w:rsid w:val="000B17F6"/>
    <w:rsid w:val="000B1977"/>
    <w:rsid w:val="000B28E9"/>
    <w:rsid w:val="000B293D"/>
    <w:rsid w:val="000B2E77"/>
    <w:rsid w:val="000B2F9B"/>
    <w:rsid w:val="000B3017"/>
    <w:rsid w:val="000B3076"/>
    <w:rsid w:val="000B328F"/>
    <w:rsid w:val="000B349C"/>
    <w:rsid w:val="000B3585"/>
    <w:rsid w:val="000B382E"/>
    <w:rsid w:val="000B3883"/>
    <w:rsid w:val="000B3B06"/>
    <w:rsid w:val="000B3E82"/>
    <w:rsid w:val="000B41DA"/>
    <w:rsid w:val="000B4535"/>
    <w:rsid w:val="000B47A1"/>
    <w:rsid w:val="000B4E30"/>
    <w:rsid w:val="000B50AB"/>
    <w:rsid w:val="000B522F"/>
    <w:rsid w:val="000B53EC"/>
    <w:rsid w:val="000B5ABC"/>
    <w:rsid w:val="000B5D64"/>
    <w:rsid w:val="000B5E90"/>
    <w:rsid w:val="000B5FD3"/>
    <w:rsid w:val="000B64A2"/>
    <w:rsid w:val="000B65AB"/>
    <w:rsid w:val="000B695C"/>
    <w:rsid w:val="000B72B1"/>
    <w:rsid w:val="000B7A68"/>
    <w:rsid w:val="000B7E7E"/>
    <w:rsid w:val="000C01FC"/>
    <w:rsid w:val="000C06D7"/>
    <w:rsid w:val="000C0BF1"/>
    <w:rsid w:val="000C0C40"/>
    <w:rsid w:val="000C0FE0"/>
    <w:rsid w:val="000C13F9"/>
    <w:rsid w:val="000C1903"/>
    <w:rsid w:val="000C1F82"/>
    <w:rsid w:val="000C263F"/>
    <w:rsid w:val="000C27B5"/>
    <w:rsid w:val="000C2DBF"/>
    <w:rsid w:val="000C3691"/>
    <w:rsid w:val="000C3C32"/>
    <w:rsid w:val="000C41DA"/>
    <w:rsid w:val="000C4D8D"/>
    <w:rsid w:val="000C5441"/>
    <w:rsid w:val="000C5AE1"/>
    <w:rsid w:val="000C6218"/>
    <w:rsid w:val="000C68E4"/>
    <w:rsid w:val="000C6A65"/>
    <w:rsid w:val="000C7591"/>
    <w:rsid w:val="000C7605"/>
    <w:rsid w:val="000C7680"/>
    <w:rsid w:val="000C7768"/>
    <w:rsid w:val="000C79FC"/>
    <w:rsid w:val="000C7F70"/>
    <w:rsid w:val="000D0468"/>
    <w:rsid w:val="000D056D"/>
    <w:rsid w:val="000D0835"/>
    <w:rsid w:val="000D085D"/>
    <w:rsid w:val="000D08D7"/>
    <w:rsid w:val="000D091D"/>
    <w:rsid w:val="000D107C"/>
    <w:rsid w:val="000D1648"/>
    <w:rsid w:val="000D2355"/>
    <w:rsid w:val="000D24EE"/>
    <w:rsid w:val="000D26A3"/>
    <w:rsid w:val="000D32FC"/>
    <w:rsid w:val="000D345E"/>
    <w:rsid w:val="000D3AF5"/>
    <w:rsid w:val="000D414B"/>
    <w:rsid w:val="000D4516"/>
    <w:rsid w:val="000D48DF"/>
    <w:rsid w:val="000D4C33"/>
    <w:rsid w:val="000D51DB"/>
    <w:rsid w:val="000D53FA"/>
    <w:rsid w:val="000D55F9"/>
    <w:rsid w:val="000D5C40"/>
    <w:rsid w:val="000D5C8F"/>
    <w:rsid w:val="000D5EE3"/>
    <w:rsid w:val="000D60BB"/>
    <w:rsid w:val="000D69FA"/>
    <w:rsid w:val="000D714A"/>
    <w:rsid w:val="000D7238"/>
    <w:rsid w:val="000D7857"/>
    <w:rsid w:val="000D7AC8"/>
    <w:rsid w:val="000D7C5D"/>
    <w:rsid w:val="000D7CCE"/>
    <w:rsid w:val="000E0082"/>
    <w:rsid w:val="000E00DB"/>
    <w:rsid w:val="000E0858"/>
    <w:rsid w:val="000E0884"/>
    <w:rsid w:val="000E0ACB"/>
    <w:rsid w:val="000E0E4F"/>
    <w:rsid w:val="000E116E"/>
    <w:rsid w:val="000E1607"/>
    <w:rsid w:val="000E1B60"/>
    <w:rsid w:val="000E2029"/>
    <w:rsid w:val="000E3381"/>
    <w:rsid w:val="000E3674"/>
    <w:rsid w:val="000E39A5"/>
    <w:rsid w:val="000E3C4C"/>
    <w:rsid w:val="000E3E59"/>
    <w:rsid w:val="000E3F63"/>
    <w:rsid w:val="000E4570"/>
    <w:rsid w:val="000E495E"/>
    <w:rsid w:val="000E4A3A"/>
    <w:rsid w:val="000E4B94"/>
    <w:rsid w:val="000E4EF9"/>
    <w:rsid w:val="000E4F67"/>
    <w:rsid w:val="000E5090"/>
    <w:rsid w:val="000E5409"/>
    <w:rsid w:val="000E543F"/>
    <w:rsid w:val="000E5CD4"/>
    <w:rsid w:val="000E5DC4"/>
    <w:rsid w:val="000E5F18"/>
    <w:rsid w:val="000E60B1"/>
    <w:rsid w:val="000E61BF"/>
    <w:rsid w:val="000E65F1"/>
    <w:rsid w:val="000E6699"/>
    <w:rsid w:val="000E6A47"/>
    <w:rsid w:val="000E6DA2"/>
    <w:rsid w:val="000E7269"/>
    <w:rsid w:val="000E7AEE"/>
    <w:rsid w:val="000E7B53"/>
    <w:rsid w:val="000F01ED"/>
    <w:rsid w:val="000F0356"/>
    <w:rsid w:val="000F0739"/>
    <w:rsid w:val="000F07C4"/>
    <w:rsid w:val="000F100C"/>
    <w:rsid w:val="000F17B3"/>
    <w:rsid w:val="000F1D36"/>
    <w:rsid w:val="000F1E16"/>
    <w:rsid w:val="000F28D2"/>
    <w:rsid w:val="000F294E"/>
    <w:rsid w:val="000F2B46"/>
    <w:rsid w:val="000F2C81"/>
    <w:rsid w:val="000F2C9E"/>
    <w:rsid w:val="000F2DD1"/>
    <w:rsid w:val="000F32D6"/>
    <w:rsid w:val="000F33A0"/>
    <w:rsid w:val="000F37DC"/>
    <w:rsid w:val="000F3DE5"/>
    <w:rsid w:val="000F4AE7"/>
    <w:rsid w:val="000F4C7A"/>
    <w:rsid w:val="000F4CCB"/>
    <w:rsid w:val="000F5098"/>
    <w:rsid w:val="000F5326"/>
    <w:rsid w:val="000F5489"/>
    <w:rsid w:val="000F550E"/>
    <w:rsid w:val="000F552B"/>
    <w:rsid w:val="000F56DD"/>
    <w:rsid w:val="000F5A14"/>
    <w:rsid w:val="000F5AE8"/>
    <w:rsid w:val="000F6294"/>
    <w:rsid w:val="000F6400"/>
    <w:rsid w:val="000F6862"/>
    <w:rsid w:val="000F6D00"/>
    <w:rsid w:val="000F6D12"/>
    <w:rsid w:val="000F6EB1"/>
    <w:rsid w:val="000F73B7"/>
    <w:rsid w:val="000F7448"/>
    <w:rsid w:val="000F7D3D"/>
    <w:rsid w:val="0010027C"/>
    <w:rsid w:val="0010030E"/>
    <w:rsid w:val="0010035C"/>
    <w:rsid w:val="00100974"/>
    <w:rsid w:val="00100C88"/>
    <w:rsid w:val="00100F0E"/>
    <w:rsid w:val="0010143E"/>
    <w:rsid w:val="00101473"/>
    <w:rsid w:val="00101837"/>
    <w:rsid w:val="001018E1"/>
    <w:rsid w:val="001019A3"/>
    <w:rsid w:val="00101A86"/>
    <w:rsid w:val="00101BA4"/>
    <w:rsid w:val="001024A3"/>
    <w:rsid w:val="00103914"/>
    <w:rsid w:val="001040ED"/>
    <w:rsid w:val="001046C3"/>
    <w:rsid w:val="0010486E"/>
    <w:rsid w:val="00105436"/>
    <w:rsid w:val="00105A54"/>
    <w:rsid w:val="00105BB8"/>
    <w:rsid w:val="00105FA2"/>
    <w:rsid w:val="00106325"/>
    <w:rsid w:val="001064C7"/>
    <w:rsid w:val="00106509"/>
    <w:rsid w:val="00106935"/>
    <w:rsid w:val="00107043"/>
    <w:rsid w:val="00107149"/>
    <w:rsid w:val="0010736D"/>
    <w:rsid w:val="001074E3"/>
    <w:rsid w:val="00107A8F"/>
    <w:rsid w:val="00107C40"/>
    <w:rsid w:val="001103A4"/>
    <w:rsid w:val="001105D8"/>
    <w:rsid w:val="00110656"/>
    <w:rsid w:val="00110776"/>
    <w:rsid w:val="00110C29"/>
    <w:rsid w:val="00110F37"/>
    <w:rsid w:val="00111095"/>
    <w:rsid w:val="001112B2"/>
    <w:rsid w:val="00111318"/>
    <w:rsid w:val="0011134E"/>
    <w:rsid w:val="00111681"/>
    <w:rsid w:val="00111C05"/>
    <w:rsid w:val="00112074"/>
    <w:rsid w:val="0011207D"/>
    <w:rsid w:val="00112621"/>
    <w:rsid w:val="00112654"/>
    <w:rsid w:val="001128E1"/>
    <w:rsid w:val="001130E3"/>
    <w:rsid w:val="001131FE"/>
    <w:rsid w:val="00113AB4"/>
    <w:rsid w:val="00114019"/>
    <w:rsid w:val="001141C3"/>
    <w:rsid w:val="0011424A"/>
    <w:rsid w:val="0011438D"/>
    <w:rsid w:val="00114FEE"/>
    <w:rsid w:val="001156B3"/>
    <w:rsid w:val="001156F4"/>
    <w:rsid w:val="00115869"/>
    <w:rsid w:val="00115D54"/>
    <w:rsid w:val="001167AA"/>
    <w:rsid w:val="001168E9"/>
    <w:rsid w:val="00116A04"/>
    <w:rsid w:val="00116BA7"/>
    <w:rsid w:val="00116C51"/>
    <w:rsid w:val="00116CD8"/>
    <w:rsid w:val="00116F85"/>
    <w:rsid w:val="00117477"/>
    <w:rsid w:val="001203C8"/>
    <w:rsid w:val="00120B81"/>
    <w:rsid w:val="00121652"/>
    <w:rsid w:val="001216F3"/>
    <w:rsid w:val="001218DE"/>
    <w:rsid w:val="001219E7"/>
    <w:rsid w:val="001219E8"/>
    <w:rsid w:val="00121DE2"/>
    <w:rsid w:val="00122267"/>
    <w:rsid w:val="0012252D"/>
    <w:rsid w:val="00122907"/>
    <w:rsid w:val="00122A7E"/>
    <w:rsid w:val="0012338C"/>
    <w:rsid w:val="001238AB"/>
    <w:rsid w:val="00123C71"/>
    <w:rsid w:val="001243C4"/>
    <w:rsid w:val="001248C1"/>
    <w:rsid w:val="00124BBD"/>
    <w:rsid w:val="00124ECC"/>
    <w:rsid w:val="00125002"/>
    <w:rsid w:val="00125191"/>
    <w:rsid w:val="00125260"/>
    <w:rsid w:val="00125332"/>
    <w:rsid w:val="0012578E"/>
    <w:rsid w:val="001261A6"/>
    <w:rsid w:val="001263A5"/>
    <w:rsid w:val="0012683D"/>
    <w:rsid w:val="00127335"/>
    <w:rsid w:val="001274C8"/>
    <w:rsid w:val="0013026F"/>
    <w:rsid w:val="00130872"/>
    <w:rsid w:val="00130B25"/>
    <w:rsid w:val="00131416"/>
    <w:rsid w:val="00131B81"/>
    <w:rsid w:val="00131E15"/>
    <w:rsid w:val="00132097"/>
    <w:rsid w:val="00132501"/>
    <w:rsid w:val="001326D4"/>
    <w:rsid w:val="0013285A"/>
    <w:rsid w:val="00132ABD"/>
    <w:rsid w:val="00132EAB"/>
    <w:rsid w:val="00132EE8"/>
    <w:rsid w:val="00132F71"/>
    <w:rsid w:val="001330EF"/>
    <w:rsid w:val="001331E8"/>
    <w:rsid w:val="0013341A"/>
    <w:rsid w:val="001336BB"/>
    <w:rsid w:val="001344B6"/>
    <w:rsid w:val="00134627"/>
    <w:rsid w:val="00134D25"/>
    <w:rsid w:val="00134E49"/>
    <w:rsid w:val="001352FD"/>
    <w:rsid w:val="0013565E"/>
    <w:rsid w:val="00135924"/>
    <w:rsid w:val="001368CD"/>
    <w:rsid w:val="00137404"/>
    <w:rsid w:val="001378B6"/>
    <w:rsid w:val="00137B09"/>
    <w:rsid w:val="00140334"/>
    <w:rsid w:val="00140861"/>
    <w:rsid w:val="00140FB2"/>
    <w:rsid w:val="0014152B"/>
    <w:rsid w:val="001418AF"/>
    <w:rsid w:val="00141A3F"/>
    <w:rsid w:val="00141AE7"/>
    <w:rsid w:val="00141C3B"/>
    <w:rsid w:val="00141C51"/>
    <w:rsid w:val="00141F3A"/>
    <w:rsid w:val="001422D5"/>
    <w:rsid w:val="00142987"/>
    <w:rsid w:val="0014329C"/>
    <w:rsid w:val="0014332D"/>
    <w:rsid w:val="00143880"/>
    <w:rsid w:val="00143B88"/>
    <w:rsid w:val="00143DC1"/>
    <w:rsid w:val="00144325"/>
    <w:rsid w:val="00144802"/>
    <w:rsid w:val="00144D25"/>
    <w:rsid w:val="00144E68"/>
    <w:rsid w:val="00145137"/>
    <w:rsid w:val="00145302"/>
    <w:rsid w:val="0014533A"/>
    <w:rsid w:val="00145399"/>
    <w:rsid w:val="001453F9"/>
    <w:rsid w:val="00145864"/>
    <w:rsid w:val="00145C97"/>
    <w:rsid w:val="00145F28"/>
    <w:rsid w:val="00146530"/>
    <w:rsid w:val="00146B69"/>
    <w:rsid w:val="00146F14"/>
    <w:rsid w:val="0014754F"/>
    <w:rsid w:val="00147582"/>
    <w:rsid w:val="00147BC8"/>
    <w:rsid w:val="00147C38"/>
    <w:rsid w:val="001507A5"/>
    <w:rsid w:val="00151410"/>
    <w:rsid w:val="00151530"/>
    <w:rsid w:val="001516BF"/>
    <w:rsid w:val="00151722"/>
    <w:rsid w:val="001519EF"/>
    <w:rsid w:val="00151C87"/>
    <w:rsid w:val="00151EF6"/>
    <w:rsid w:val="00153622"/>
    <w:rsid w:val="00153680"/>
    <w:rsid w:val="00153756"/>
    <w:rsid w:val="00153837"/>
    <w:rsid w:val="00153887"/>
    <w:rsid w:val="00153981"/>
    <w:rsid w:val="00153A90"/>
    <w:rsid w:val="00153B05"/>
    <w:rsid w:val="00153F05"/>
    <w:rsid w:val="001540A4"/>
    <w:rsid w:val="0015480E"/>
    <w:rsid w:val="00154D6A"/>
    <w:rsid w:val="00154DB4"/>
    <w:rsid w:val="00154F16"/>
    <w:rsid w:val="00155159"/>
    <w:rsid w:val="001552B4"/>
    <w:rsid w:val="00155784"/>
    <w:rsid w:val="00155800"/>
    <w:rsid w:val="00155BDF"/>
    <w:rsid w:val="00156013"/>
    <w:rsid w:val="00156549"/>
    <w:rsid w:val="001566C9"/>
    <w:rsid w:val="0015679A"/>
    <w:rsid w:val="001569C5"/>
    <w:rsid w:val="00156EEB"/>
    <w:rsid w:val="001577E1"/>
    <w:rsid w:val="00157E3A"/>
    <w:rsid w:val="001605CB"/>
    <w:rsid w:val="001611FB"/>
    <w:rsid w:val="00161372"/>
    <w:rsid w:val="00161927"/>
    <w:rsid w:val="0016244E"/>
    <w:rsid w:val="001629C0"/>
    <w:rsid w:val="00162CD1"/>
    <w:rsid w:val="001634A8"/>
    <w:rsid w:val="0016374A"/>
    <w:rsid w:val="0016387D"/>
    <w:rsid w:val="00163AB0"/>
    <w:rsid w:val="00164099"/>
    <w:rsid w:val="00164706"/>
    <w:rsid w:val="0016498D"/>
    <w:rsid w:val="00164B1B"/>
    <w:rsid w:val="001650FC"/>
    <w:rsid w:val="001651B3"/>
    <w:rsid w:val="001659A2"/>
    <w:rsid w:val="00165AD8"/>
    <w:rsid w:val="00165B26"/>
    <w:rsid w:val="0016601B"/>
    <w:rsid w:val="0016615B"/>
    <w:rsid w:val="001663E9"/>
    <w:rsid w:val="0016675C"/>
    <w:rsid w:val="001670A5"/>
    <w:rsid w:val="00167112"/>
    <w:rsid w:val="00167316"/>
    <w:rsid w:val="00167577"/>
    <w:rsid w:val="001703AC"/>
    <w:rsid w:val="001704D6"/>
    <w:rsid w:val="0017087C"/>
    <w:rsid w:val="00170DEB"/>
    <w:rsid w:val="00171422"/>
    <w:rsid w:val="001714B8"/>
    <w:rsid w:val="0017185A"/>
    <w:rsid w:val="00171914"/>
    <w:rsid w:val="00171957"/>
    <w:rsid w:val="00171C1A"/>
    <w:rsid w:val="00171CDC"/>
    <w:rsid w:val="001722DA"/>
    <w:rsid w:val="0017246E"/>
    <w:rsid w:val="0017256C"/>
    <w:rsid w:val="0017289C"/>
    <w:rsid w:val="00172ABE"/>
    <w:rsid w:val="00172EDE"/>
    <w:rsid w:val="001730B0"/>
    <w:rsid w:val="0017356A"/>
    <w:rsid w:val="001736AA"/>
    <w:rsid w:val="00173838"/>
    <w:rsid w:val="0017392E"/>
    <w:rsid w:val="00174597"/>
    <w:rsid w:val="001746AC"/>
    <w:rsid w:val="00174AB5"/>
    <w:rsid w:val="00174BC7"/>
    <w:rsid w:val="00174C15"/>
    <w:rsid w:val="00174DD2"/>
    <w:rsid w:val="001753A4"/>
    <w:rsid w:val="00175EC2"/>
    <w:rsid w:val="001761EE"/>
    <w:rsid w:val="001768B5"/>
    <w:rsid w:val="00176A11"/>
    <w:rsid w:val="00177022"/>
    <w:rsid w:val="00177F8F"/>
    <w:rsid w:val="001802AF"/>
    <w:rsid w:val="00180613"/>
    <w:rsid w:val="001806B4"/>
    <w:rsid w:val="001809DC"/>
    <w:rsid w:val="001809FF"/>
    <w:rsid w:val="001811FB"/>
    <w:rsid w:val="0018168E"/>
    <w:rsid w:val="001816DA"/>
    <w:rsid w:val="00181923"/>
    <w:rsid w:val="0018216A"/>
    <w:rsid w:val="0018225A"/>
    <w:rsid w:val="00182781"/>
    <w:rsid w:val="00182842"/>
    <w:rsid w:val="00182933"/>
    <w:rsid w:val="00182C30"/>
    <w:rsid w:val="00183262"/>
    <w:rsid w:val="0018344B"/>
    <w:rsid w:val="00183F13"/>
    <w:rsid w:val="00184030"/>
    <w:rsid w:val="00184510"/>
    <w:rsid w:val="001845DA"/>
    <w:rsid w:val="00184A39"/>
    <w:rsid w:val="00184B99"/>
    <w:rsid w:val="00184D72"/>
    <w:rsid w:val="001851C7"/>
    <w:rsid w:val="001851CE"/>
    <w:rsid w:val="0018524A"/>
    <w:rsid w:val="001858B1"/>
    <w:rsid w:val="00185E3B"/>
    <w:rsid w:val="00186295"/>
    <w:rsid w:val="00186440"/>
    <w:rsid w:val="0018646F"/>
    <w:rsid w:val="0018647A"/>
    <w:rsid w:val="00186514"/>
    <w:rsid w:val="00186895"/>
    <w:rsid w:val="001870DA"/>
    <w:rsid w:val="001874EF"/>
    <w:rsid w:val="0018771B"/>
    <w:rsid w:val="001901EE"/>
    <w:rsid w:val="00190523"/>
    <w:rsid w:val="001905D8"/>
    <w:rsid w:val="001909C0"/>
    <w:rsid w:val="00190C9C"/>
    <w:rsid w:val="00190F23"/>
    <w:rsid w:val="001911E7"/>
    <w:rsid w:val="00191386"/>
    <w:rsid w:val="001914A6"/>
    <w:rsid w:val="001916DF"/>
    <w:rsid w:val="00191C97"/>
    <w:rsid w:val="00191F36"/>
    <w:rsid w:val="00191F5C"/>
    <w:rsid w:val="00192154"/>
    <w:rsid w:val="0019289F"/>
    <w:rsid w:val="00192AD8"/>
    <w:rsid w:val="00192CB1"/>
    <w:rsid w:val="00192E2E"/>
    <w:rsid w:val="00192FEA"/>
    <w:rsid w:val="001930E4"/>
    <w:rsid w:val="0019311E"/>
    <w:rsid w:val="00193403"/>
    <w:rsid w:val="00193502"/>
    <w:rsid w:val="00193591"/>
    <w:rsid w:val="0019361C"/>
    <w:rsid w:val="001936B0"/>
    <w:rsid w:val="001939CA"/>
    <w:rsid w:val="00193AF2"/>
    <w:rsid w:val="001942DB"/>
    <w:rsid w:val="00194335"/>
    <w:rsid w:val="001944D2"/>
    <w:rsid w:val="00194524"/>
    <w:rsid w:val="001946AD"/>
    <w:rsid w:val="001947FB"/>
    <w:rsid w:val="00194819"/>
    <w:rsid w:val="00194DAB"/>
    <w:rsid w:val="00195247"/>
    <w:rsid w:val="00195274"/>
    <w:rsid w:val="00195420"/>
    <w:rsid w:val="00195985"/>
    <w:rsid w:val="00195A96"/>
    <w:rsid w:val="00195B47"/>
    <w:rsid w:val="00195CA0"/>
    <w:rsid w:val="001966C2"/>
    <w:rsid w:val="00196791"/>
    <w:rsid w:val="00196CE5"/>
    <w:rsid w:val="00196D1C"/>
    <w:rsid w:val="00196DC1"/>
    <w:rsid w:val="00196DF0"/>
    <w:rsid w:val="00197227"/>
    <w:rsid w:val="00197886"/>
    <w:rsid w:val="00197E0E"/>
    <w:rsid w:val="001A0309"/>
    <w:rsid w:val="001A0464"/>
    <w:rsid w:val="001A0469"/>
    <w:rsid w:val="001A06D3"/>
    <w:rsid w:val="001A079E"/>
    <w:rsid w:val="001A0A7D"/>
    <w:rsid w:val="001A0E1A"/>
    <w:rsid w:val="001A158A"/>
    <w:rsid w:val="001A191F"/>
    <w:rsid w:val="001A19E1"/>
    <w:rsid w:val="001A1A07"/>
    <w:rsid w:val="001A1AAE"/>
    <w:rsid w:val="001A1B7D"/>
    <w:rsid w:val="001A1F76"/>
    <w:rsid w:val="001A2311"/>
    <w:rsid w:val="001A249D"/>
    <w:rsid w:val="001A2614"/>
    <w:rsid w:val="001A299C"/>
    <w:rsid w:val="001A2CC1"/>
    <w:rsid w:val="001A30D2"/>
    <w:rsid w:val="001A31B2"/>
    <w:rsid w:val="001A3460"/>
    <w:rsid w:val="001A3606"/>
    <w:rsid w:val="001A3C3E"/>
    <w:rsid w:val="001A3E50"/>
    <w:rsid w:val="001A3E64"/>
    <w:rsid w:val="001A3F01"/>
    <w:rsid w:val="001A4269"/>
    <w:rsid w:val="001A4F48"/>
    <w:rsid w:val="001A54D7"/>
    <w:rsid w:val="001A5719"/>
    <w:rsid w:val="001A583B"/>
    <w:rsid w:val="001A6052"/>
    <w:rsid w:val="001A607C"/>
    <w:rsid w:val="001A65E2"/>
    <w:rsid w:val="001A693A"/>
    <w:rsid w:val="001A69A0"/>
    <w:rsid w:val="001A69C1"/>
    <w:rsid w:val="001A6C48"/>
    <w:rsid w:val="001A6E06"/>
    <w:rsid w:val="001A6EDC"/>
    <w:rsid w:val="001A7077"/>
    <w:rsid w:val="001A70DB"/>
    <w:rsid w:val="001A713D"/>
    <w:rsid w:val="001A7D05"/>
    <w:rsid w:val="001A7D5A"/>
    <w:rsid w:val="001B0332"/>
    <w:rsid w:val="001B0A53"/>
    <w:rsid w:val="001B0CAE"/>
    <w:rsid w:val="001B14C2"/>
    <w:rsid w:val="001B18B5"/>
    <w:rsid w:val="001B1AF6"/>
    <w:rsid w:val="001B1DCC"/>
    <w:rsid w:val="001B1ED2"/>
    <w:rsid w:val="001B2280"/>
    <w:rsid w:val="001B2C72"/>
    <w:rsid w:val="001B2FE3"/>
    <w:rsid w:val="001B3086"/>
    <w:rsid w:val="001B3B73"/>
    <w:rsid w:val="001B3E05"/>
    <w:rsid w:val="001B3EEC"/>
    <w:rsid w:val="001B42F9"/>
    <w:rsid w:val="001B4CE0"/>
    <w:rsid w:val="001B4D2B"/>
    <w:rsid w:val="001B4D90"/>
    <w:rsid w:val="001B5295"/>
    <w:rsid w:val="001B5761"/>
    <w:rsid w:val="001B5C8C"/>
    <w:rsid w:val="001B5CF7"/>
    <w:rsid w:val="001B5DED"/>
    <w:rsid w:val="001B6736"/>
    <w:rsid w:val="001B6802"/>
    <w:rsid w:val="001B72C4"/>
    <w:rsid w:val="001B76E1"/>
    <w:rsid w:val="001B7AB0"/>
    <w:rsid w:val="001B7C24"/>
    <w:rsid w:val="001B7D84"/>
    <w:rsid w:val="001C0001"/>
    <w:rsid w:val="001C032A"/>
    <w:rsid w:val="001C070C"/>
    <w:rsid w:val="001C0C51"/>
    <w:rsid w:val="001C0F64"/>
    <w:rsid w:val="001C114B"/>
    <w:rsid w:val="001C119B"/>
    <w:rsid w:val="001C11CA"/>
    <w:rsid w:val="001C1D15"/>
    <w:rsid w:val="001C228C"/>
    <w:rsid w:val="001C24A9"/>
    <w:rsid w:val="001C2A03"/>
    <w:rsid w:val="001C3B54"/>
    <w:rsid w:val="001C3CA1"/>
    <w:rsid w:val="001C3CAF"/>
    <w:rsid w:val="001C3DAB"/>
    <w:rsid w:val="001C448B"/>
    <w:rsid w:val="001C4727"/>
    <w:rsid w:val="001C4D25"/>
    <w:rsid w:val="001C52B6"/>
    <w:rsid w:val="001C52D2"/>
    <w:rsid w:val="001C5887"/>
    <w:rsid w:val="001C5AA4"/>
    <w:rsid w:val="001C5DF9"/>
    <w:rsid w:val="001C61E7"/>
    <w:rsid w:val="001C6278"/>
    <w:rsid w:val="001C6312"/>
    <w:rsid w:val="001C65CA"/>
    <w:rsid w:val="001C6701"/>
    <w:rsid w:val="001C6751"/>
    <w:rsid w:val="001C6C93"/>
    <w:rsid w:val="001C6D89"/>
    <w:rsid w:val="001C6E6B"/>
    <w:rsid w:val="001C6E90"/>
    <w:rsid w:val="001C724C"/>
    <w:rsid w:val="001C732C"/>
    <w:rsid w:val="001C7587"/>
    <w:rsid w:val="001C77DA"/>
    <w:rsid w:val="001C79F6"/>
    <w:rsid w:val="001C7CA4"/>
    <w:rsid w:val="001D004C"/>
    <w:rsid w:val="001D02EE"/>
    <w:rsid w:val="001D03D3"/>
    <w:rsid w:val="001D06B7"/>
    <w:rsid w:val="001D0B3B"/>
    <w:rsid w:val="001D0DE3"/>
    <w:rsid w:val="001D0ED0"/>
    <w:rsid w:val="001D16D5"/>
    <w:rsid w:val="001D16EF"/>
    <w:rsid w:val="001D207D"/>
    <w:rsid w:val="001D20C4"/>
    <w:rsid w:val="001D2574"/>
    <w:rsid w:val="001D25A0"/>
    <w:rsid w:val="001D2674"/>
    <w:rsid w:val="001D2753"/>
    <w:rsid w:val="001D2882"/>
    <w:rsid w:val="001D2993"/>
    <w:rsid w:val="001D32D8"/>
    <w:rsid w:val="001D3573"/>
    <w:rsid w:val="001D38E7"/>
    <w:rsid w:val="001D391A"/>
    <w:rsid w:val="001D40FB"/>
    <w:rsid w:val="001D49CA"/>
    <w:rsid w:val="001D4D44"/>
    <w:rsid w:val="001D4EDB"/>
    <w:rsid w:val="001D5152"/>
    <w:rsid w:val="001D5641"/>
    <w:rsid w:val="001D5932"/>
    <w:rsid w:val="001D59B0"/>
    <w:rsid w:val="001D5A1F"/>
    <w:rsid w:val="001D5C15"/>
    <w:rsid w:val="001D5EBD"/>
    <w:rsid w:val="001D6401"/>
    <w:rsid w:val="001D6489"/>
    <w:rsid w:val="001D648B"/>
    <w:rsid w:val="001D65CD"/>
    <w:rsid w:val="001D6670"/>
    <w:rsid w:val="001D68FF"/>
    <w:rsid w:val="001D71C1"/>
    <w:rsid w:val="001D74F5"/>
    <w:rsid w:val="001D7560"/>
    <w:rsid w:val="001D7931"/>
    <w:rsid w:val="001D79C8"/>
    <w:rsid w:val="001D7BFC"/>
    <w:rsid w:val="001E096E"/>
    <w:rsid w:val="001E0FD5"/>
    <w:rsid w:val="001E105B"/>
    <w:rsid w:val="001E109D"/>
    <w:rsid w:val="001E1654"/>
    <w:rsid w:val="001E1799"/>
    <w:rsid w:val="001E1D27"/>
    <w:rsid w:val="001E1F00"/>
    <w:rsid w:val="001E224F"/>
    <w:rsid w:val="001E26A9"/>
    <w:rsid w:val="001E2CBD"/>
    <w:rsid w:val="001E2E28"/>
    <w:rsid w:val="001E359F"/>
    <w:rsid w:val="001E37AB"/>
    <w:rsid w:val="001E3C16"/>
    <w:rsid w:val="001E3F1B"/>
    <w:rsid w:val="001E427F"/>
    <w:rsid w:val="001E4335"/>
    <w:rsid w:val="001E4C05"/>
    <w:rsid w:val="001E4E5E"/>
    <w:rsid w:val="001E558F"/>
    <w:rsid w:val="001E5A8D"/>
    <w:rsid w:val="001E5B55"/>
    <w:rsid w:val="001E5D3F"/>
    <w:rsid w:val="001E6360"/>
    <w:rsid w:val="001E66A0"/>
    <w:rsid w:val="001E68D3"/>
    <w:rsid w:val="001E7034"/>
    <w:rsid w:val="001E722E"/>
    <w:rsid w:val="001E7266"/>
    <w:rsid w:val="001E7A10"/>
    <w:rsid w:val="001E7A58"/>
    <w:rsid w:val="001E7D29"/>
    <w:rsid w:val="001E7DAB"/>
    <w:rsid w:val="001E7EC8"/>
    <w:rsid w:val="001F0401"/>
    <w:rsid w:val="001F05CB"/>
    <w:rsid w:val="001F0855"/>
    <w:rsid w:val="001F0ACB"/>
    <w:rsid w:val="001F0D16"/>
    <w:rsid w:val="001F0F71"/>
    <w:rsid w:val="001F0FA8"/>
    <w:rsid w:val="001F158E"/>
    <w:rsid w:val="001F1A65"/>
    <w:rsid w:val="001F1C75"/>
    <w:rsid w:val="001F1D99"/>
    <w:rsid w:val="001F1DCE"/>
    <w:rsid w:val="001F1E6C"/>
    <w:rsid w:val="001F27BF"/>
    <w:rsid w:val="001F2C0A"/>
    <w:rsid w:val="001F2D8E"/>
    <w:rsid w:val="001F2DD7"/>
    <w:rsid w:val="001F33B0"/>
    <w:rsid w:val="001F34DD"/>
    <w:rsid w:val="001F375B"/>
    <w:rsid w:val="001F377A"/>
    <w:rsid w:val="001F3CB8"/>
    <w:rsid w:val="001F4061"/>
    <w:rsid w:val="001F418C"/>
    <w:rsid w:val="001F4396"/>
    <w:rsid w:val="001F44D9"/>
    <w:rsid w:val="001F4594"/>
    <w:rsid w:val="001F4913"/>
    <w:rsid w:val="001F4EAA"/>
    <w:rsid w:val="001F5126"/>
    <w:rsid w:val="001F516C"/>
    <w:rsid w:val="001F52B1"/>
    <w:rsid w:val="001F5715"/>
    <w:rsid w:val="001F5727"/>
    <w:rsid w:val="001F5901"/>
    <w:rsid w:val="001F59DD"/>
    <w:rsid w:val="001F5AD0"/>
    <w:rsid w:val="001F5B1D"/>
    <w:rsid w:val="001F5B59"/>
    <w:rsid w:val="001F5BA7"/>
    <w:rsid w:val="001F5D96"/>
    <w:rsid w:val="001F5FCA"/>
    <w:rsid w:val="001F6B76"/>
    <w:rsid w:val="001F6B82"/>
    <w:rsid w:val="001F6DC4"/>
    <w:rsid w:val="001F6F0A"/>
    <w:rsid w:val="001F70B1"/>
    <w:rsid w:val="001F7338"/>
    <w:rsid w:val="001F7708"/>
    <w:rsid w:val="001F7908"/>
    <w:rsid w:val="002000A5"/>
    <w:rsid w:val="002005B6"/>
    <w:rsid w:val="00200669"/>
    <w:rsid w:val="002006C3"/>
    <w:rsid w:val="00200700"/>
    <w:rsid w:val="00200945"/>
    <w:rsid w:val="00200AE0"/>
    <w:rsid w:val="00200D64"/>
    <w:rsid w:val="00200F32"/>
    <w:rsid w:val="002011F9"/>
    <w:rsid w:val="0020124D"/>
    <w:rsid w:val="002016A2"/>
    <w:rsid w:val="002021C9"/>
    <w:rsid w:val="00202EAC"/>
    <w:rsid w:val="00203BA6"/>
    <w:rsid w:val="00203C1E"/>
    <w:rsid w:val="00203FFD"/>
    <w:rsid w:val="00204326"/>
    <w:rsid w:val="00204409"/>
    <w:rsid w:val="00204F46"/>
    <w:rsid w:val="00205313"/>
    <w:rsid w:val="0020560E"/>
    <w:rsid w:val="00205A86"/>
    <w:rsid w:val="0020625A"/>
    <w:rsid w:val="0020639E"/>
    <w:rsid w:val="0020691D"/>
    <w:rsid w:val="002076C5"/>
    <w:rsid w:val="00207A60"/>
    <w:rsid w:val="00207C63"/>
    <w:rsid w:val="00207D19"/>
    <w:rsid w:val="00210241"/>
    <w:rsid w:val="00210649"/>
    <w:rsid w:val="00210CCA"/>
    <w:rsid w:val="00210D43"/>
    <w:rsid w:val="00210EF8"/>
    <w:rsid w:val="0021148A"/>
    <w:rsid w:val="00211858"/>
    <w:rsid w:val="00212641"/>
    <w:rsid w:val="002129B6"/>
    <w:rsid w:val="00212E6A"/>
    <w:rsid w:val="0021375B"/>
    <w:rsid w:val="00213BDE"/>
    <w:rsid w:val="00213CB3"/>
    <w:rsid w:val="0021402B"/>
    <w:rsid w:val="002140D5"/>
    <w:rsid w:val="00214228"/>
    <w:rsid w:val="00214DAF"/>
    <w:rsid w:val="00214F18"/>
    <w:rsid w:val="0021592A"/>
    <w:rsid w:val="00215AC0"/>
    <w:rsid w:val="00215BE1"/>
    <w:rsid w:val="00216AE4"/>
    <w:rsid w:val="00217094"/>
    <w:rsid w:val="002170D2"/>
    <w:rsid w:val="00217C52"/>
    <w:rsid w:val="00217C92"/>
    <w:rsid w:val="00217FA7"/>
    <w:rsid w:val="00217FC7"/>
    <w:rsid w:val="002201D0"/>
    <w:rsid w:val="0022033D"/>
    <w:rsid w:val="00220678"/>
    <w:rsid w:val="00220885"/>
    <w:rsid w:val="00220AF9"/>
    <w:rsid w:val="002218D0"/>
    <w:rsid w:val="00221FE1"/>
    <w:rsid w:val="0022278F"/>
    <w:rsid w:val="002233D4"/>
    <w:rsid w:val="002238AA"/>
    <w:rsid w:val="00224111"/>
    <w:rsid w:val="0022452C"/>
    <w:rsid w:val="00224672"/>
    <w:rsid w:val="00224ED6"/>
    <w:rsid w:val="00225210"/>
    <w:rsid w:val="00225488"/>
    <w:rsid w:val="002258A2"/>
    <w:rsid w:val="00225F8B"/>
    <w:rsid w:val="0022648D"/>
    <w:rsid w:val="00226805"/>
    <w:rsid w:val="00226977"/>
    <w:rsid w:val="00226C0B"/>
    <w:rsid w:val="00226E44"/>
    <w:rsid w:val="00226FB6"/>
    <w:rsid w:val="0022728B"/>
    <w:rsid w:val="0022744B"/>
    <w:rsid w:val="0022756D"/>
    <w:rsid w:val="0022765A"/>
    <w:rsid w:val="00230223"/>
    <w:rsid w:val="00230339"/>
    <w:rsid w:val="00230AD8"/>
    <w:rsid w:val="002314B7"/>
    <w:rsid w:val="002315DC"/>
    <w:rsid w:val="00231951"/>
    <w:rsid w:val="00231A49"/>
    <w:rsid w:val="00231A5B"/>
    <w:rsid w:val="00231FCC"/>
    <w:rsid w:val="0023208E"/>
    <w:rsid w:val="00232DA4"/>
    <w:rsid w:val="0023301D"/>
    <w:rsid w:val="00233436"/>
    <w:rsid w:val="00233CEE"/>
    <w:rsid w:val="00233D01"/>
    <w:rsid w:val="00233F12"/>
    <w:rsid w:val="00234479"/>
    <w:rsid w:val="00234621"/>
    <w:rsid w:val="0023486C"/>
    <w:rsid w:val="00234932"/>
    <w:rsid w:val="00234CB2"/>
    <w:rsid w:val="00235026"/>
    <w:rsid w:val="00236197"/>
    <w:rsid w:val="00236286"/>
    <w:rsid w:val="00236343"/>
    <w:rsid w:val="0023638A"/>
    <w:rsid w:val="00236458"/>
    <w:rsid w:val="00236924"/>
    <w:rsid w:val="00236A02"/>
    <w:rsid w:val="00236C5B"/>
    <w:rsid w:val="00236E8E"/>
    <w:rsid w:val="002370CB"/>
    <w:rsid w:val="002371E3"/>
    <w:rsid w:val="0023729C"/>
    <w:rsid w:val="002374CF"/>
    <w:rsid w:val="0023752C"/>
    <w:rsid w:val="002375C1"/>
    <w:rsid w:val="002376A4"/>
    <w:rsid w:val="002379C2"/>
    <w:rsid w:val="00237E55"/>
    <w:rsid w:val="002404E5"/>
    <w:rsid w:val="002406A8"/>
    <w:rsid w:val="00240C70"/>
    <w:rsid w:val="00240C97"/>
    <w:rsid w:val="00240F3C"/>
    <w:rsid w:val="0024108A"/>
    <w:rsid w:val="002417CE"/>
    <w:rsid w:val="00241CE8"/>
    <w:rsid w:val="00241D6C"/>
    <w:rsid w:val="00242026"/>
    <w:rsid w:val="00242154"/>
    <w:rsid w:val="0024234E"/>
    <w:rsid w:val="00242400"/>
    <w:rsid w:val="0024262E"/>
    <w:rsid w:val="00242E51"/>
    <w:rsid w:val="002438EB"/>
    <w:rsid w:val="00243C82"/>
    <w:rsid w:val="002440B8"/>
    <w:rsid w:val="002440D3"/>
    <w:rsid w:val="00244965"/>
    <w:rsid w:val="00244DA4"/>
    <w:rsid w:val="00245952"/>
    <w:rsid w:val="002459EC"/>
    <w:rsid w:val="00245A73"/>
    <w:rsid w:val="00246271"/>
    <w:rsid w:val="002462DD"/>
    <w:rsid w:val="0024631A"/>
    <w:rsid w:val="0024661D"/>
    <w:rsid w:val="00246A4F"/>
    <w:rsid w:val="00246BE3"/>
    <w:rsid w:val="00247563"/>
    <w:rsid w:val="002475CB"/>
    <w:rsid w:val="00247682"/>
    <w:rsid w:val="00247801"/>
    <w:rsid w:val="00247AD4"/>
    <w:rsid w:val="00250443"/>
    <w:rsid w:val="00250703"/>
    <w:rsid w:val="00250819"/>
    <w:rsid w:val="0025094F"/>
    <w:rsid w:val="002510D7"/>
    <w:rsid w:val="002515F1"/>
    <w:rsid w:val="0025239E"/>
    <w:rsid w:val="002524F7"/>
    <w:rsid w:val="00252589"/>
    <w:rsid w:val="00252C21"/>
    <w:rsid w:val="00252E5C"/>
    <w:rsid w:val="0025363B"/>
    <w:rsid w:val="00253916"/>
    <w:rsid w:val="00253D75"/>
    <w:rsid w:val="00253E36"/>
    <w:rsid w:val="00255194"/>
    <w:rsid w:val="002551AB"/>
    <w:rsid w:val="0025562F"/>
    <w:rsid w:val="0025586D"/>
    <w:rsid w:val="002561A8"/>
    <w:rsid w:val="00256282"/>
    <w:rsid w:val="00256DEF"/>
    <w:rsid w:val="002570D6"/>
    <w:rsid w:val="0025767A"/>
    <w:rsid w:val="002578C4"/>
    <w:rsid w:val="0025793E"/>
    <w:rsid w:val="00260257"/>
    <w:rsid w:val="002606E0"/>
    <w:rsid w:val="00260855"/>
    <w:rsid w:val="00260FE7"/>
    <w:rsid w:val="002613C1"/>
    <w:rsid w:val="002613FE"/>
    <w:rsid w:val="00261471"/>
    <w:rsid w:val="0026152D"/>
    <w:rsid w:val="00261A1D"/>
    <w:rsid w:val="00262141"/>
    <w:rsid w:val="002623C7"/>
    <w:rsid w:val="00262E89"/>
    <w:rsid w:val="0026324D"/>
    <w:rsid w:val="00263EA0"/>
    <w:rsid w:val="002644BA"/>
    <w:rsid w:val="00264606"/>
    <w:rsid w:val="00264881"/>
    <w:rsid w:val="00264C7A"/>
    <w:rsid w:val="00264EE7"/>
    <w:rsid w:val="00264FEE"/>
    <w:rsid w:val="002650EC"/>
    <w:rsid w:val="002658E4"/>
    <w:rsid w:val="00265935"/>
    <w:rsid w:val="00265B3F"/>
    <w:rsid w:val="0026600E"/>
    <w:rsid w:val="00266163"/>
    <w:rsid w:val="002667B5"/>
    <w:rsid w:val="002667C3"/>
    <w:rsid w:val="002674F0"/>
    <w:rsid w:val="002677D5"/>
    <w:rsid w:val="002679C7"/>
    <w:rsid w:val="00267CF9"/>
    <w:rsid w:val="002703D8"/>
    <w:rsid w:val="002703D9"/>
    <w:rsid w:val="0027128F"/>
    <w:rsid w:val="00271B37"/>
    <w:rsid w:val="00271B8D"/>
    <w:rsid w:val="00271D3B"/>
    <w:rsid w:val="00271E16"/>
    <w:rsid w:val="002727C9"/>
    <w:rsid w:val="00272B3A"/>
    <w:rsid w:val="00272E52"/>
    <w:rsid w:val="002731F8"/>
    <w:rsid w:val="00273CB3"/>
    <w:rsid w:val="00273D57"/>
    <w:rsid w:val="002743AD"/>
    <w:rsid w:val="00274879"/>
    <w:rsid w:val="002752CD"/>
    <w:rsid w:val="00275464"/>
    <w:rsid w:val="002756B9"/>
    <w:rsid w:val="00275A6A"/>
    <w:rsid w:val="00275F69"/>
    <w:rsid w:val="002761BA"/>
    <w:rsid w:val="002764AD"/>
    <w:rsid w:val="0027659C"/>
    <w:rsid w:val="00276F1C"/>
    <w:rsid w:val="002772EF"/>
    <w:rsid w:val="00277DC5"/>
    <w:rsid w:val="00277FFB"/>
    <w:rsid w:val="0028007C"/>
    <w:rsid w:val="00280ADA"/>
    <w:rsid w:val="00280C3E"/>
    <w:rsid w:val="00281705"/>
    <w:rsid w:val="002819AE"/>
    <w:rsid w:val="00281A35"/>
    <w:rsid w:val="00281C72"/>
    <w:rsid w:val="00281EBB"/>
    <w:rsid w:val="00283170"/>
    <w:rsid w:val="00283371"/>
    <w:rsid w:val="00283F91"/>
    <w:rsid w:val="0028420E"/>
    <w:rsid w:val="00284441"/>
    <w:rsid w:val="002845E9"/>
    <w:rsid w:val="002845EB"/>
    <w:rsid w:val="00284DF9"/>
    <w:rsid w:val="00285032"/>
    <w:rsid w:val="00285277"/>
    <w:rsid w:val="002854AE"/>
    <w:rsid w:val="0028562E"/>
    <w:rsid w:val="00285B54"/>
    <w:rsid w:val="00285DCC"/>
    <w:rsid w:val="00286468"/>
    <w:rsid w:val="0028746E"/>
    <w:rsid w:val="002874FB"/>
    <w:rsid w:val="002904C7"/>
    <w:rsid w:val="002904F8"/>
    <w:rsid w:val="00290522"/>
    <w:rsid w:val="002905EA"/>
    <w:rsid w:val="0029121B"/>
    <w:rsid w:val="00291A7C"/>
    <w:rsid w:val="002929FA"/>
    <w:rsid w:val="002935C3"/>
    <w:rsid w:val="002937EB"/>
    <w:rsid w:val="002938B1"/>
    <w:rsid w:val="00293E3C"/>
    <w:rsid w:val="002943B4"/>
    <w:rsid w:val="002943DB"/>
    <w:rsid w:val="0029487C"/>
    <w:rsid w:val="0029489C"/>
    <w:rsid w:val="002949F2"/>
    <w:rsid w:val="00294C42"/>
    <w:rsid w:val="002956E8"/>
    <w:rsid w:val="00295FD7"/>
    <w:rsid w:val="002970F7"/>
    <w:rsid w:val="002971D0"/>
    <w:rsid w:val="00297413"/>
    <w:rsid w:val="002974D9"/>
    <w:rsid w:val="002979FA"/>
    <w:rsid w:val="002A00F5"/>
    <w:rsid w:val="002A0180"/>
    <w:rsid w:val="002A01E6"/>
    <w:rsid w:val="002A028E"/>
    <w:rsid w:val="002A0300"/>
    <w:rsid w:val="002A04A6"/>
    <w:rsid w:val="002A0677"/>
    <w:rsid w:val="002A082A"/>
    <w:rsid w:val="002A0A9C"/>
    <w:rsid w:val="002A197F"/>
    <w:rsid w:val="002A1F58"/>
    <w:rsid w:val="002A21C1"/>
    <w:rsid w:val="002A25FE"/>
    <w:rsid w:val="002A2839"/>
    <w:rsid w:val="002A2919"/>
    <w:rsid w:val="002A2C0B"/>
    <w:rsid w:val="002A328F"/>
    <w:rsid w:val="002A36A0"/>
    <w:rsid w:val="002A36BD"/>
    <w:rsid w:val="002A378D"/>
    <w:rsid w:val="002A3962"/>
    <w:rsid w:val="002A3C1A"/>
    <w:rsid w:val="002A3DAB"/>
    <w:rsid w:val="002A3E79"/>
    <w:rsid w:val="002A4680"/>
    <w:rsid w:val="002A4946"/>
    <w:rsid w:val="002A4F9A"/>
    <w:rsid w:val="002A650F"/>
    <w:rsid w:val="002A66D5"/>
    <w:rsid w:val="002A67C1"/>
    <w:rsid w:val="002A68B8"/>
    <w:rsid w:val="002A6E42"/>
    <w:rsid w:val="002A74ED"/>
    <w:rsid w:val="002A7678"/>
    <w:rsid w:val="002A7E68"/>
    <w:rsid w:val="002A7F76"/>
    <w:rsid w:val="002B00FA"/>
    <w:rsid w:val="002B05CD"/>
    <w:rsid w:val="002B06A7"/>
    <w:rsid w:val="002B0854"/>
    <w:rsid w:val="002B0A3B"/>
    <w:rsid w:val="002B0DB7"/>
    <w:rsid w:val="002B135A"/>
    <w:rsid w:val="002B1FFD"/>
    <w:rsid w:val="002B244E"/>
    <w:rsid w:val="002B2D69"/>
    <w:rsid w:val="002B2D8E"/>
    <w:rsid w:val="002B3200"/>
    <w:rsid w:val="002B342B"/>
    <w:rsid w:val="002B348F"/>
    <w:rsid w:val="002B3C34"/>
    <w:rsid w:val="002B3D9D"/>
    <w:rsid w:val="002B41A9"/>
    <w:rsid w:val="002B42FF"/>
    <w:rsid w:val="002B44F7"/>
    <w:rsid w:val="002B4A28"/>
    <w:rsid w:val="002B4AF8"/>
    <w:rsid w:val="002B5041"/>
    <w:rsid w:val="002B525D"/>
    <w:rsid w:val="002B56A9"/>
    <w:rsid w:val="002B5725"/>
    <w:rsid w:val="002B58A3"/>
    <w:rsid w:val="002B5ACC"/>
    <w:rsid w:val="002B5B16"/>
    <w:rsid w:val="002B5B43"/>
    <w:rsid w:val="002B5DFF"/>
    <w:rsid w:val="002B5EC0"/>
    <w:rsid w:val="002B6244"/>
    <w:rsid w:val="002B67B9"/>
    <w:rsid w:val="002B6943"/>
    <w:rsid w:val="002B6F63"/>
    <w:rsid w:val="002B799B"/>
    <w:rsid w:val="002C096D"/>
    <w:rsid w:val="002C09B2"/>
    <w:rsid w:val="002C0BFD"/>
    <w:rsid w:val="002C0D38"/>
    <w:rsid w:val="002C1034"/>
    <w:rsid w:val="002C147E"/>
    <w:rsid w:val="002C14B2"/>
    <w:rsid w:val="002C189A"/>
    <w:rsid w:val="002C193B"/>
    <w:rsid w:val="002C1994"/>
    <w:rsid w:val="002C1B13"/>
    <w:rsid w:val="002C1F5A"/>
    <w:rsid w:val="002C2572"/>
    <w:rsid w:val="002C2834"/>
    <w:rsid w:val="002C2853"/>
    <w:rsid w:val="002C289D"/>
    <w:rsid w:val="002C291E"/>
    <w:rsid w:val="002C2B74"/>
    <w:rsid w:val="002C2DB1"/>
    <w:rsid w:val="002C3186"/>
    <w:rsid w:val="002C355F"/>
    <w:rsid w:val="002C3CB2"/>
    <w:rsid w:val="002C3FF7"/>
    <w:rsid w:val="002C419D"/>
    <w:rsid w:val="002C42E3"/>
    <w:rsid w:val="002C48B7"/>
    <w:rsid w:val="002C4C0C"/>
    <w:rsid w:val="002C4F8B"/>
    <w:rsid w:val="002C5737"/>
    <w:rsid w:val="002C57A0"/>
    <w:rsid w:val="002C62FF"/>
    <w:rsid w:val="002C66EE"/>
    <w:rsid w:val="002C67D2"/>
    <w:rsid w:val="002C6905"/>
    <w:rsid w:val="002C697E"/>
    <w:rsid w:val="002C77DD"/>
    <w:rsid w:val="002C7AEF"/>
    <w:rsid w:val="002C7BBB"/>
    <w:rsid w:val="002C7F7B"/>
    <w:rsid w:val="002D09E0"/>
    <w:rsid w:val="002D0A22"/>
    <w:rsid w:val="002D0B27"/>
    <w:rsid w:val="002D0B62"/>
    <w:rsid w:val="002D0C8B"/>
    <w:rsid w:val="002D0D48"/>
    <w:rsid w:val="002D0E52"/>
    <w:rsid w:val="002D102B"/>
    <w:rsid w:val="002D13BA"/>
    <w:rsid w:val="002D1991"/>
    <w:rsid w:val="002D1F6F"/>
    <w:rsid w:val="002D2153"/>
    <w:rsid w:val="002D225F"/>
    <w:rsid w:val="002D277C"/>
    <w:rsid w:val="002D28FE"/>
    <w:rsid w:val="002D2D09"/>
    <w:rsid w:val="002D31DA"/>
    <w:rsid w:val="002D3A5C"/>
    <w:rsid w:val="002D3B3C"/>
    <w:rsid w:val="002D4140"/>
    <w:rsid w:val="002D421E"/>
    <w:rsid w:val="002D42B5"/>
    <w:rsid w:val="002D4917"/>
    <w:rsid w:val="002D4E3A"/>
    <w:rsid w:val="002D4F2B"/>
    <w:rsid w:val="002D5121"/>
    <w:rsid w:val="002D5756"/>
    <w:rsid w:val="002D5C8B"/>
    <w:rsid w:val="002D5EAA"/>
    <w:rsid w:val="002D5F54"/>
    <w:rsid w:val="002D6245"/>
    <w:rsid w:val="002D683D"/>
    <w:rsid w:val="002D6916"/>
    <w:rsid w:val="002D6EB9"/>
    <w:rsid w:val="002D7799"/>
    <w:rsid w:val="002D780B"/>
    <w:rsid w:val="002E0037"/>
    <w:rsid w:val="002E0774"/>
    <w:rsid w:val="002E078D"/>
    <w:rsid w:val="002E07B7"/>
    <w:rsid w:val="002E0B54"/>
    <w:rsid w:val="002E0C4D"/>
    <w:rsid w:val="002E0D9A"/>
    <w:rsid w:val="002E150F"/>
    <w:rsid w:val="002E18B1"/>
    <w:rsid w:val="002E229A"/>
    <w:rsid w:val="002E236D"/>
    <w:rsid w:val="002E2576"/>
    <w:rsid w:val="002E2602"/>
    <w:rsid w:val="002E2ADC"/>
    <w:rsid w:val="002E2C12"/>
    <w:rsid w:val="002E2D08"/>
    <w:rsid w:val="002E2DE2"/>
    <w:rsid w:val="002E3588"/>
    <w:rsid w:val="002E37AE"/>
    <w:rsid w:val="002E3A86"/>
    <w:rsid w:val="002E3C9E"/>
    <w:rsid w:val="002E3FD2"/>
    <w:rsid w:val="002E46C9"/>
    <w:rsid w:val="002E4A9A"/>
    <w:rsid w:val="002E5168"/>
    <w:rsid w:val="002E5895"/>
    <w:rsid w:val="002E6179"/>
    <w:rsid w:val="002E632F"/>
    <w:rsid w:val="002E68A5"/>
    <w:rsid w:val="002E6C1E"/>
    <w:rsid w:val="002E6D44"/>
    <w:rsid w:val="002E6F52"/>
    <w:rsid w:val="002E7462"/>
    <w:rsid w:val="002E7592"/>
    <w:rsid w:val="002E7840"/>
    <w:rsid w:val="002E7C56"/>
    <w:rsid w:val="002E7CA8"/>
    <w:rsid w:val="002E7D6C"/>
    <w:rsid w:val="002E7F51"/>
    <w:rsid w:val="002F06B4"/>
    <w:rsid w:val="002F0F54"/>
    <w:rsid w:val="002F10CE"/>
    <w:rsid w:val="002F13D4"/>
    <w:rsid w:val="002F1429"/>
    <w:rsid w:val="002F179A"/>
    <w:rsid w:val="002F18A0"/>
    <w:rsid w:val="002F1C28"/>
    <w:rsid w:val="002F1D1A"/>
    <w:rsid w:val="002F1F10"/>
    <w:rsid w:val="002F240B"/>
    <w:rsid w:val="002F290B"/>
    <w:rsid w:val="002F2FB3"/>
    <w:rsid w:val="002F2FC2"/>
    <w:rsid w:val="002F3488"/>
    <w:rsid w:val="002F35FB"/>
    <w:rsid w:val="002F37EA"/>
    <w:rsid w:val="002F385D"/>
    <w:rsid w:val="002F399F"/>
    <w:rsid w:val="002F3B43"/>
    <w:rsid w:val="002F3EBA"/>
    <w:rsid w:val="002F4160"/>
    <w:rsid w:val="002F424F"/>
    <w:rsid w:val="002F46A9"/>
    <w:rsid w:val="002F4AC8"/>
    <w:rsid w:val="002F4D2B"/>
    <w:rsid w:val="002F5022"/>
    <w:rsid w:val="002F580C"/>
    <w:rsid w:val="002F608E"/>
    <w:rsid w:val="002F66D4"/>
    <w:rsid w:val="002F6AAC"/>
    <w:rsid w:val="002F7226"/>
    <w:rsid w:val="002F737F"/>
    <w:rsid w:val="002F776E"/>
    <w:rsid w:val="002F7E27"/>
    <w:rsid w:val="003000B8"/>
    <w:rsid w:val="0030018F"/>
    <w:rsid w:val="00300211"/>
    <w:rsid w:val="00300784"/>
    <w:rsid w:val="0030104C"/>
    <w:rsid w:val="003012AC"/>
    <w:rsid w:val="00301A0E"/>
    <w:rsid w:val="00301A23"/>
    <w:rsid w:val="00301CBB"/>
    <w:rsid w:val="00302434"/>
    <w:rsid w:val="00302484"/>
    <w:rsid w:val="003026C9"/>
    <w:rsid w:val="00302DA2"/>
    <w:rsid w:val="00303293"/>
    <w:rsid w:val="00303347"/>
    <w:rsid w:val="003035B8"/>
    <w:rsid w:val="00303613"/>
    <w:rsid w:val="003049E8"/>
    <w:rsid w:val="00304CC4"/>
    <w:rsid w:val="00304E80"/>
    <w:rsid w:val="00304E95"/>
    <w:rsid w:val="00304F0F"/>
    <w:rsid w:val="00304F82"/>
    <w:rsid w:val="003053C0"/>
    <w:rsid w:val="00305573"/>
    <w:rsid w:val="0030605F"/>
    <w:rsid w:val="00306BD8"/>
    <w:rsid w:val="003079FA"/>
    <w:rsid w:val="003102C7"/>
    <w:rsid w:val="00310370"/>
    <w:rsid w:val="003103FE"/>
    <w:rsid w:val="00310958"/>
    <w:rsid w:val="00310974"/>
    <w:rsid w:val="00310B16"/>
    <w:rsid w:val="00310C69"/>
    <w:rsid w:val="00310D7C"/>
    <w:rsid w:val="00310EDE"/>
    <w:rsid w:val="00311335"/>
    <w:rsid w:val="003117D4"/>
    <w:rsid w:val="0031238B"/>
    <w:rsid w:val="00312702"/>
    <w:rsid w:val="003129D7"/>
    <w:rsid w:val="00312F59"/>
    <w:rsid w:val="00313122"/>
    <w:rsid w:val="0031347A"/>
    <w:rsid w:val="003134B0"/>
    <w:rsid w:val="00313620"/>
    <w:rsid w:val="00313AAB"/>
    <w:rsid w:val="00313B54"/>
    <w:rsid w:val="00313FDC"/>
    <w:rsid w:val="0031425E"/>
    <w:rsid w:val="00314977"/>
    <w:rsid w:val="00314C5A"/>
    <w:rsid w:val="00314D37"/>
    <w:rsid w:val="00315414"/>
    <w:rsid w:val="00315507"/>
    <w:rsid w:val="00315596"/>
    <w:rsid w:val="0031598D"/>
    <w:rsid w:val="003162DB"/>
    <w:rsid w:val="003164BE"/>
    <w:rsid w:val="00316BEA"/>
    <w:rsid w:val="00316C51"/>
    <w:rsid w:val="00317BD1"/>
    <w:rsid w:val="00317DED"/>
    <w:rsid w:val="00317E48"/>
    <w:rsid w:val="00320075"/>
    <w:rsid w:val="00320980"/>
    <w:rsid w:val="00320D54"/>
    <w:rsid w:val="0032150B"/>
    <w:rsid w:val="00322204"/>
    <w:rsid w:val="0032222A"/>
    <w:rsid w:val="00323042"/>
    <w:rsid w:val="0032313A"/>
    <w:rsid w:val="0032316C"/>
    <w:rsid w:val="00323AB3"/>
    <w:rsid w:val="00323C42"/>
    <w:rsid w:val="00323CF2"/>
    <w:rsid w:val="00323D7D"/>
    <w:rsid w:val="003245EB"/>
    <w:rsid w:val="00324BB0"/>
    <w:rsid w:val="00324EE4"/>
    <w:rsid w:val="00324F9C"/>
    <w:rsid w:val="0032542D"/>
    <w:rsid w:val="0032556B"/>
    <w:rsid w:val="003259E5"/>
    <w:rsid w:val="00325A84"/>
    <w:rsid w:val="00325E7C"/>
    <w:rsid w:val="00325F8B"/>
    <w:rsid w:val="003261ED"/>
    <w:rsid w:val="00326716"/>
    <w:rsid w:val="00326BF9"/>
    <w:rsid w:val="0032742E"/>
    <w:rsid w:val="00330473"/>
    <w:rsid w:val="00330EE6"/>
    <w:rsid w:val="00330FEC"/>
    <w:rsid w:val="00331297"/>
    <w:rsid w:val="003313A1"/>
    <w:rsid w:val="00331588"/>
    <w:rsid w:val="00331628"/>
    <w:rsid w:val="00331E86"/>
    <w:rsid w:val="003320A0"/>
    <w:rsid w:val="00332562"/>
    <w:rsid w:val="00332C8E"/>
    <w:rsid w:val="00332DFB"/>
    <w:rsid w:val="00332F10"/>
    <w:rsid w:val="003333E1"/>
    <w:rsid w:val="003334CD"/>
    <w:rsid w:val="003336D9"/>
    <w:rsid w:val="003337EB"/>
    <w:rsid w:val="00333983"/>
    <w:rsid w:val="00334655"/>
    <w:rsid w:val="00334A23"/>
    <w:rsid w:val="00334B7B"/>
    <w:rsid w:val="00334D69"/>
    <w:rsid w:val="00334D8D"/>
    <w:rsid w:val="00334FC5"/>
    <w:rsid w:val="003350FF"/>
    <w:rsid w:val="0033538F"/>
    <w:rsid w:val="00335493"/>
    <w:rsid w:val="00335809"/>
    <w:rsid w:val="00335D9C"/>
    <w:rsid w:val="00335EAB"/>
    <w:rsid w:val="003366F0"/>
    <w:rsid w:val="00336A0E"/>
    <w:rsid w:val="00336A6F"/>
    <w:rsid w:val="00336EBC"/>
    <w:rsid w:val="003370B6"/>
    <w:rsid w:val="003374C4"/>
    <w:rsid w:val="00337EE7"/>
    <w:rsid w:val="00340426"/>
    <w:rsid w:val="00340DC2"/>
    <w:rsid w:val="00340F24"/>
    <w:rsid w:val="00341373"/>
    <w:rsid w:val="00341743"/>
    <w:rsid w:val="003417CA"/>
    <w:rsid w:val="00341C93"/>
    <w:rsid w:val="003420D5"/>
    <w:rsid w:val="00342331"/>
    <w:rsid w:val="00342398"/>
    <w:rsid w:val="0034274D"/>
    <w:rsid w:val="00342898"/>
    <w:rsid w:val="00342AB1"/>
    <w:rsid w:val="00343043"/>
    <w:rsid w:val="0034309F"/>
    <w:rsid w:val="003430A9"/>
    <w:rsid w:val="00343431"/>
    <w:rsid w:val="00343C6F"/>
    <w:rsid w:val="00343CCF"/>
    <w:rsid w:val="00343CEA"/>
    <w:rsid w:val="00343DF6"/>
    <w:rsid w:val="00343FA2"/>
    <w:rsid w:val="003441EF"/>
    <w:rsid w:val="0034426A"/>
    <w:rsid w:val="0034429A"/>
    <w:rsid w:val="0034453A"/>
    <w:rsid w:val="00344714"/>
    <w:rsid w:val="00345171"/>
    <w:rsid w:val="00345477"/>
    <w:rsid w:val="00345535"/>
    <w:rsid w:val="00345A04"/>
    <w:rsid w:val="003462A8"/>
    <w:rsid w:val="00346F69"/>
    <w:rsid w:val="003477FE"/>
    <w:rsid w:val="00347BF5"/>
    <w:rsid w:val="003500B7"/>
    <w:rsid w:val="0035036D"/>
    <w:rsid w:val="003508B7"/>
    <w:rsid w:val="00350920"/>
    <w:rsid w:val="0035093C"/>
    <w:rsid w:val="00350AE8"/>
    <w:rsid w:val="00350BC0"/>
    <w:rsid w:val="00350E14"/>
    <w:rsid w:val="00350FF6"/>
    <w:rsid w:val="00351146"/>
    <w:rsid w:val="00351346"/>
    <w:rsid w:val="00351495"/>
    <w:rsid w:val="003516B5"/>
    <w:rsid w:val="00351F44"/>
    <w:rsid w:val="0035206B"/>
    <w:rsid w:val="00352179"/>
    <w:rsid w:val="0035249C"/>
    <w:rsid w:val="003525B1"/>
    <w:rsid w:val="0035275C"/>
    <w:rsid w:val="0035293B"/>
    <w:rsid w:val="003531F9"/>
    <w:rsid w:val="00353923"/>
    <w:rsid w:val="003539E3"/>
    <w:rsid w:val="00354195"/>
    <w:rsid w:val="0035463C"/>
    <w:rsid w:val="00354814"/>
    <w:rsid w:val="003549B0"/>
    <w:rsid w:val="00354A1F"/>
    <w:rsid w:val="00354AD1"/>
    <w:rsid w:val="00354ED5"/>
    <w:rsid w:val="003552F1"/>
    <w:rsid w:val="00355783"/>
    <w:rsid w:val="00355DC4"/>
    <w:rsid w:val="00356837"/>
    <w:rsid w:val="003568B2"/>
    <w:rsid w:val="003571A7"/>
    <w:rsid w:val="0035722E"/>
    <w:rsid w:val="0035725F"/>
    <w:rsid w:val="00357712"/>
    <w:rsid w:val="003578FD"/>
    <w:rsid w:val="00357D27"/>
    <w:rsid w:val="00360115"/>
    <w:rsid w:val="00360129"/>
    <w:rsid w:val="0036014B"/>
    <w:rsid w:val="0036095C"/>
    <w:rsid w:val="00360B47"/>
    <w:rsid w:val="00360B78"/>
    <w:rsid w:val="00360BC7"/>
    <w:rsid w:val="00360EB7"/>
    <w:rsid w:val="003612C3"/>
    <w:rsid w:val="00361495"/>
    <w:rsid w:val="00361D9F"/>
    <w:rsid w:val="00361F9A"/>
    <w:rsid w:val="00362200"/>
    <w:rsid w:val="00362254"/>
    <w:rsid w:val="0036265C"/>
    <w:rsid w:val="00363310"/>
    <w:rsid w:val="003633EC"/>
    <w:rsid w:val="003635B9"/>
    <w:rsid w:val="0036366C"/>
    <w:rsid w:val="00363B81"/>
    <w:rsid w:val="00364005"/>
    <w:rsid w:val="003642FA"/>
    <w:rsid w:val="00364626"/>
    <w:rsid w:val="003648E3"/>
    <w:rsid w:val="00364AA2"/>
    <w:rsid w:val="00364D92"/>
    <w:rsid w:val="00364F34"/>
    <w:rsid w:val="0036587B"/>
    <w:rsid w:val="0036591A"/>
    <w:rsid w:val="0036597B"/>
    <w:rsid w:val="00365AEA"/>
    <w:rsid w:val="00365E38"/>
    <w:rsid w:val="00366956"/>
    <w:rsid w:val="00366EC0"/>
    <w:rsid w:val="00366F55"/>
    <w:rsid w:val="00367076"/>
    <w:rsid w:val="0036766D"/>
    <w:rsid w:val="00367D49"/>
    <w:rsid w:val="00367FF3"/>
    <w:rsid w:val="00370174"/>
    <w:rsid w:val="00370B84"/>
    <w:rsid w:val="00371AA5"/>
    <w:rsid w:val="00371C78"/>
    <w:rsid w:val="003727AC"/>
    <w:rsid w:val="003728E3"/>
    <w:rsid w:val="00372943"/>
    <w:rsid w:val="0037299D"/>
    <w:rsid w:val="003729BF"/>
    <w:rsid w:val="003738BC"/>
    <w:rsid w:val="00373D43"/>
    <w:rsid w:val="00374820"/>
    <w:rsid w:val="00374FB4"/>
    <w:rsid w:val="003752E6"/>
    <w:rsid w:val="00375529"/>
    <w:rsid w:val="00375600"/>
    <w:rsid w:val="003756D5"/>
    <w:rsid w:val="00375F92"/>
    <w:rsid w:val="00376147"/>
    <w:rsid w:val="0037634D"/>
    <w:rsid w:val="0037643F"/>
    <w:rsid w:val="003768C6"/>
    <w:rsid w:val="00376A5A"/>
    <w:rsid w:val="00376B08"/>
    <w:rsid w:val="003770FF"/>
    <w:rsid w:val="00377274"/>
    <w:rsid w:val="0037786D"/>
    <w:rsid w:val="00377BCD"/>
    <w:rsid w:val="00377E57"/>
    <w:rsid w:val="00380873"/>
    <w:rsid w:val="003808CC"/>
    <w:rsid w:val="003808D3"/>
    <w:rsid w:val="00380A22"/>
    <w:rsid w:val="00380C7A"/>
    <w:rsid w:val="003814B7"/>
    <w:rsid w:val="003816B9"/>
    <w:rsid w:val="003819FE"/>
    <w:rsid w:val="00381B7B"/>
    <w:rsid w:val="00382036"/>
    <w:rsid w:val="003820C8"/>
    <w:rsid w:val="003823A5"/>
    <w:rsid w:val="0038249B"/>
    <w:rsid w:val="003826DD"/>
    <w:rsid w:val="00382D35"/>
    <w:rsid w:val="00382DF6"/>
    <w:rsid w:val="00382E9F"/>
    <w:rsid w:val="0038304A"/>
    <w:rsid w:val="00383456"/>
    <w:rsid w:val="00383645"/>
    <w:rsid w:val="003836BA"/>
    <w:rsid w:val="00383754"/>
    <w:rsid w:val="00383E99"/>
    <w:rsid w:val="00383FC9"/>
    <w:rsid w:val="0038413E"/>
    <w:rsid w:val="003845EC"/>
    <w:rsid w:val="0038480D"/>
    <w:rsid w:val="00384A81"/>
    <w:rsid w:val="00385023"/>
    <w:rsid w:val="00385550"/>
    <w:rsid w:val="00385759"/>
    <w:rsid w:val="00385F35"/>
    <w:rsid w:val="00386B2A"/>
    <w:rsid w:val="00386E5E"/>
    <w:rsid w:val="00386E86"/>
    <w:rsid w:val="00387205"/>
    <w:rsid w:val="00387277"/>
    <w:rsid w:val="003873DF"/>
    <w:rsid w:val="0038765F"/>
    <w:rsid w:val="003879FC"/>
    <w:rsid w:val="00387F8E"/>
    <w:rsid w:val="00390655"/>
    <w:rsid w:val="0039091E"/>
    <w:rsid w:val="00390BE6"/>
    <w:rsid w:val="00390DC7"/>
    <w:rsid w:val="003912BF"/>
    <w:rsid w:val="00391CBC"/>
    <w:rsid w:val="00391DCD"/>
    <w:rsid w:val="003920AF"/>
    <w:rsid w:val="00392744"/>
    <w:rsid w:val="003929A6"/>
    <w:rsid w:val="00392B1F"/>
    <w:rsid w:val="003930B8"/>
    <w:rsid w:val="00393731"/>
    <w:rsid w:val="00393A83"/>
    <w:rsid w:val="00393AEF"/>
    <w:rsid w:val="00393F5E"/>
    <w:rsid w:val="0039495B"/>
    <w:rsid w:val="00394CA1"/>
    <w:rsid w:val="00394DCD"/>
    <w:rsid w:val="00394E13"/>
    <w:rsid w:val="00394E42"/>
    <w:rsid w:val="0039526C"/>
    <w:rsid w:val="003952A3"/>
    <w:rsid w:val="00395924"/>
    <w:rsid w:val="003963E8"/>
    <w:rsid w:val="00396538"/>
    <w:rsid w:val="003965C9"/>
    <w:rsid w:val="00396807"/>
    <w:rsid w:val="00396B87"/>
    <w:rsid w:val="00396CA5"/>
    <w:rsid w:val="00397497"/>
    <w:rsid w:val="00397F4B"/>
    <w:rsid w:val="003A0238"/>
    <w:rsid w:val="003A027A"/>
    <w:rsid w:val="003A0868"/>
    <w:rsid w:val="003A0882"/>
    <w:rsid w:val="003A0A0E"/>
    <w:rsid w:val="003A0A12"/>
    <w:rsid w:val="003A14B4"/>
    <w:rsid w:val="003A15BA"/>
    <w:rsid w:val="003A1872"/>
    <w:rsid w:val="003A1A77"/>
    <w:rsid w:val="003A1E58"/>
    <w:rsid w:val="003A236B"/>
    <w:rsid w:val="003A23C2"/>
    <w:rsid w:val="003A2950"/>
    <w:rsid w:val="003A2D08"/>
    <w:rsid w:val="003A3060"/>
    <w:rsid w:val="003A30F0"/>
    <w:rsid w:val="003A3202"/>
    <w:rsid w:val="003A3A70"/>
    <w:rsid w:val="003A3FF2"/>
    <w:rsid w:val="003A441C"/>
    <w:rsid w:val="003A444A"/>
    <w:rsid w:val="003A4A34"/>
    <w:rsid w:val="003A52AA"/>
    <w:rsid w:val="003A5438"/>
    <w:rsid w:val="003A5591"/>
    <w:rsid w:val="003A55D6"/>
    <w:rsid w:val="003A58C8"/>
    <w:rsid w:val="003A5A56"/>
    <w:rsid w:val="003A5E50"/>
    <w:rsid w:val="003A611F"/>
    <w:rsid w:val="003A635E"/>
    <w:rsid w:val="003A65A9"/>
    <w:rsid w:val="003A66AA"/>
    <w:rsid w:val="003A6C5B"/>
    <w:rsid w:val="003A6DC9"/>
    <w:rsid w:val="003A7111"/>
    <w:rsid w:val="003A78B6"/>
    <w:rsid w:val="003A79B5"/>
    <w:rsid w:val="003B04D9"/>
    <w:rsid w:val="003B05A0"/>
    <w:rsid w:val="003B05B4"/>
    <w:rsid w:val="003B05DA"/>
    <w:rsid w:val="003B0A75"/>
    <w:rsid w:val="003B0AC2"/>
    <w:rsid w:val="003B0DEF"/>
    <w:rsid w:val="003B1134"/>
    <w:rsid w:val="003B148E"/>
    <w:rsid w:val="003B14ED"/>
    <w:rsid w:val="003B1C0E"/>
    <w:rsid w:val="003B1EB7"/>
    <w:rsid w:val="003B214A"/>
    <w:rsid w:val="003B2160"/>
    <w:rsid w:val="003B256A"/>
    <w:rsid w:val="003B29D3"/>
    <w:rsid w:val="003B2E8B"/>
    <w:rsid w:val="003B3238"/>
    <w:rsid w:val="003B32F9"/>
    <w:rsid w:val="003B3502"/>
    <w:rsid w:val="003B36DD"/>
    <w:rsid w:val="003B3B53"/>
    <w:rsid w:val="003B413B"/>
    <w:rsid w:val="003B4159"/>
    <w:rsid w:val="003B41B1"/>
    <w:rsid w:val="003B4334"/>
    <w:rsid w:val="003B43DB"/>
    <w:rsid w:val="003B4B80"/>
    <w:rsid w:val="003B4B9F"/>
    <w:rsid w:val="003B5BD9"/>
    <w:rsid w:val="003B6218"/>
    <w:rsid w:val="003B67DA"/>
    <w:rsid w:val="003B6821"/>
    <w:rsid w:val="003B6B34"/>
    <w:rsid w:val="003B6BCD"/>
    <w:rsid w:val="003B6E7C"/>
    <w:rsid w:val="003B6F01"/>
    <w:rsid w:val="003B6FA3"/>
    <w:rsid w:val="003B72BF"/>
    <w:rsid w:val="003B76F4"/>
    <w:rsid w:val="003B779E"/>
    <w:rsid w:val="003B780E"/>
    <w:rsid w:val="003B7882"/>
    <w:rsid w:val="003B7BA5"/>
    <w:rsid w:val="003B7BE6"/>
    <w:rsid w:val="003C00DA"/>
    <w:rsid w:val="003C040F"/>
    <w:rsid w:val="003C0768"/>
    <w:rsid w:val="003C07F4"/>
    <w:rsid w:val="003C08C7"/>
    <w:rsid w:val="003C0C8F"/>
    <w:rsid w:val="003C0EE4"/>
    <w:rsid w:val="003C158B"/>
    <w:rsid w:val="003C17F8"/>
    <w:rsid w:val="003C1A1B"/>
    <w:rsid w:val="003C1F86"/>
    <w:rsid w:val="003C2393"/>
    <w:rsid w:val="003C23ED"/>
    <w:rsid w:val="003C24C3"/>
    <w:rsid w:val="003C27D1"/>
    <w:rsid w:val="003C2D7D"/>
    <w:rsid w:val="003C2DEE"/>
    <w:rsid w:val="003C31B2"/>
    <w:rsid w:val="003C3C25"/>
    <w:rsid w:val="003C3D4C"/>
    <w:rsid w:val="003C3EAA"/>
    <w:rsid w:val="003C408A"/>
    <w:rsid w:val="003C429C"/>
    <w:rsid w:val="003C449D"/>
    <w:rsid w:val="003C45F0"/>
    <w:rsid w:val="003C4DF1"/>
    <w:rsid w:val="003C5414"/>
    <w:rsid w:val="003C5ECC"/>
    <w:rsid w:val="003C611F"/>
    <w:rsid w:val="003C65F0"/>
    <w:rsid w:val="003C69C7"/>
    <w:rsid w:val="003C6BA4"/>
    <w:rsid w:val="003C736C"/>
    <w:rsid w:val="003C7473"/>
    <w:rsid w:val="003C796E"/>
    <w:rsid w:val="003C7AF6"/>
    <w:rsid w:val="003C7DAB"/>
    <w:rsid w:val="003C7F6F"/>
    <w:rsid w:val="003D028A"/>
    <w:rsid w:val="003D0455"/>
    <w:rsid w:val="003D0570"/>
    <w:rsid w:val="003D0A35"/>
    <w:rsid w:val="003D14E5"/>
    <w:rsid w:val="003D165D"/>
    <w:rsid w:val="003D1922"/>
    <w:rsid w:val="003D1E3B"/>
    <w:rsid w:val="003D2694"/>
    <w:rsid w:val="003D2729"/>
    <w:rsid w:val="003D2895"/>
    <w:rsid w:val="003D2C15"/>
    <w:rsid w:val="003D2D96"/>
    <w:rsid w:val="003D2DD1"/>
    <w:rsid w:val="003D2F12"/>
    <w:rsid w:val="003D3194"/>
    <w:rsid w:val="003D3928"/>
    <w:rsid w:val="003D47D7"/>
    <w:rsid w:val="003D4E5B"/>
    <w:rsid w:val="003D4FC1"/>
    <w:rsid w:val="003D54CA"/>
    <w:rsid w:val="003D587D"/>
    <w:rsid w:val="003D5B7F"/>
    <w:rsid w:val="003D6255"/>
    <w:rsid w:val="003D6767"/>
    <w:rsid w:val="003D68E1"/>
    <w:rsid w:val="003D6E79"/>
    <w:rsid w:val="003D727F"/>
    <w:rsid w:val="003D74A2"/>
    <w:rsid w:val="003D7D48"/>
    <w:rsid w:val="003E0142"/>
    <w:rsid w:val="003E0211"/>
    <w:rsid w:val="003E0720"/>
    <w:rsid w:val="003E084E"/>
    <w:rsid w:val="003E0E0F"/>
    <w:rsid w:val="003E13B2"/>
    <w:rsid w:val="003E14ED"/>
    <w:rsid w:val="003E179F"/>
    <w:rsid w:val="003E17F1"/>
    <w:rsid w:val="003E1952"/>
    <w:rsid w:val="003E1C78"/>
    <w:rsid w:val="003E2447"/>
    <w:rsid w:val="003E26C4"/>
    <w:rsid w:val="003E2DAB"/>
    <w:rsid w:val="003E3523"/>
    <w:rsid w:val="003E3764"/>
    <w:rsid w:val="003E3915"/>
    <w:rsid w:val="003E3E41"/>
    <w:rsid w:val="003E516C"/>
    <w:rsid w:val="003E5313"/>
    <w:rsid w:val="003E53DB"/>
    <w:rsid w:val="003E5847"/>
    <w:rsid w:val="003E60E5"/>
    <w:rsid w:val="003E6545"/>
    <w:rsid w:val="003E681E"/>
    <w:rsid w:val="003E6DD0"/>
    <w:rsid w:val="003E70AC"/>
    <w:rsid w:val="003E76C9"/>
    <w:rsid w:val="003E7807"/>
    <w:rsid w:val="003E7C11"/>
    <w:rsid w:val="003E7FCA"/>
    <w:rsid w:val="003F0053"/>
    <w:rsid w:val="003F03A9"/>
    <w:rsid w:val="003F0502"/>
    <w:rsid w:val="003F0A67"/>
    <w:rsid w:val="003F0C9C"/>
    <w:rsid w:val="003F1178"/>
    <w:rsid w:val="003F1E20"/>
    <w:rsid w:val="003F1F12"/>
    <w:rsid w:val="003F1F87"/>
    <w:rsid w:val="003F26F5"/>
    <w:rsid w:val="003F2CD3"/>
    <w:rsid w:val="003F31F6"/>
    <w:rsid w:val="003F3EE8"/>
    <w:rsid w:val="003F44B6"/>
    <w:rsid w:val="003F5221"/>
    <w:rsid w:val="003F5500"/>
    <w:rsid w:val="003F5E9D"/>
    <w:rsid w:val="003F61B5"/>
    <w:rsid w:val="003F70DC"/>
    <w:rsid w:val="003F7157"/>
    <w:rsid w:val="003F7823"/>
    <w:rsid w:val="003F7E3C"/>
    <w:rsid w:val="00400830"/>
    <w:rsid w:val="00400AAB"/>
    <w:rsid w:val="00400D78"/>
    <w:rsid w:val="00401085"/>
    <w:rsid w:val="00401324"/>
    <w:rsid w:val="00401595"/>
    <w:rsid w:val="00401637"/>
    <w:rsid w:val="00401725"/>
    <w:rsid w:val="004017F1"/>
    <w:rsid w:val="00401D29"/>
    <w:rsid w:val="00402081"/>
    <w:rsid w:val="004025A4"/>
    <w:rsid w:val="00402753"/>
    <w:rsid w:val="00402CAA"/>
    <w:rsid w:val="00402FF1"/>
    <w:rsid w:val="0040309E"/>
    <w:rsid w:val="004035F4"/>
    <w:rsid w:val="0040366D"/>
    <w:rsid w:val="00403818"/>
    <w:rsid w:val="00403915"/>
    <w:rsid w:val="00404098"/>
    <w:rsid w:val="00404614"/>
    <w:rsid w:val="00404FCF"/>
    <w:rsid w:val="00405829"/>
    <w:rsid w:val="00405A2E"/>
    <w:rsid w:val="00405B03"/>
    <w:rsid w:val="00406BD0"/>
    <w:rsid w:val="004074EE"/>
    <w:rsid w:val="00407909"/>
    <w:rsid w:val="00407FE0"/>
    <w:rsid w:val="0041032E"/>
    <w:rsid w:val="0041040E"/>
    <w:rsid w:val="004107A3"/>
    <w:rsid w:val="00410B0E"/>
    <w:rsid w:val="00410B29"/>
    <w:rsid w:val="0041142C"/>
    <w:rsid w:val="0041173E"/>
    <w:rsid w:val="00412004"/>
    <w:rsid w:val="0041249F"/>
    <w:rsid w:val="004125EA"/>
    <w:rsid w:val="0041262D"/>
    <w:rsid w:val="00412709"/>
    <w:rsid w:val="004128FF"/>
    <w:rsid w:val="00413F89"/>
    <w:rsid w:val="004140A2"/>
    <w:rsid w:val="0041426A"/>
    <w:rsid w:val="00414890"/>
    <w:rsid w:val="00415015"/>
    <w:rsid w:val="004150B9"/>
    <w:rsid w:val="0041513C"/>
    <w:rsid w:val="00415213"/>
    <w:rsid w:val="00415EEA"/>
    <w:rsid w:val="00415F16"/>
    <w:rsid w:val="00417524"/>
    <w:rsid w:val="004178D7"/>
    <w:rsid w:val="00417AD7"/>
    <w:rsid w:val="00420193"/>
    <w:rsid w:val="004204DC"/>
    <w:rsid w:val="0042084C"/>
    <w:rsid w:val="00420DBF"/>
    <w:rsid w:val="00420F54"/>
    <w:rsid w:val="00421248"/>
    <w:rsid w:val="004212D9"/>
    <w:rsid w:val="004215D1"/>
    <w:rsid w:val="00421905"/>
    <w:rsid w:val="004219C9"/>
    <w:rsid w:val="00421E74"/>
    <w:rsid w:val="00422098"/>
    <w:rsid w:val="00422B08"/>
    <w:rsid w:val="00422CF6"/>
    <w:rsid w:val="00422D5F"/>
    <w:rsid w:val="00423032"/>
    <w:rsid w:val="00423622"/>
    <w:rsid w:val="00423BA2"/>
    <w:rsid w:val="00423BD6"/>
    <w:rsid w:val="00423BE3"/>
    <w:rsid w:val="00423EFC"/>
    <w:rsid w:val="0042413E"/>
    <w:rsid w:val="004244EB"/>
    <w:rsid w:val="004246BE"/>
    <w:rsid w:val="00424833"/>
    <w:rsid w:val="004249E5"/>
    <w:rsid w:val="00424BC6"/>
    <w:rsid w:val="00424C4D"/>
    <w:rsid w:val="00425521"/>
    <w:rsid w:val="0042552A"/>
    <w:rsid w:val="004256CD"/>
    <w:rsid w:val="004259C0"/>
    <w:rsid w:val="00425E6D"/>
    <w:rsid w:val="00426072"/>
    <w:rsid w:val="004264B5"/>
    <w:rsid w:val="0042670C"/>
    <w:rsid w:val="004267FA"/>
    <w:rsid w:val="00426EFB"/>
    <w:rsid w:val="00426FEA"/>
    <w:rsid w:val="004270C5"/>
    <w:rsid w:val="00427667"/>
    <w:rsid w:val="0042770C"/>
    <w:rsid w:val="004279AD"/>
    <w:rsid w:val="00430325"/>
    <w:rsid w:val="0043034F"/>
    <w:rsid w:val="004307CB"/>
    <w:rsid w:val="00430AA9"/>
    <w:rsid w:val="00430D6F"/>
    <w:rsid w:val="00430DA6"/>
    <w:rsid w:val="00431283"/>
    <w:rsid w:val="004315DE"/>
    <w:rsid w:val="004316CD"/>
    <w:rsid w:val="004316DA"/>
    <w:rsid w:val="00431DCA"/>
    <w:rsid w:val="004321CA"/>
    <w:rsid w:val="00432D01"/>
    <w:rsid w:val="0043304E"/>
    <w:rsid w:val="0043352C"/>
    <w:rsid w:val="00433554"/>
    <w:rsid w:val="004339E3"/>
    <w:rsid w:val="00433C07"/>
    <w:rsid w:val="00434742"/>
    <w:rsid w:val="00434C20"/>
    <w:rsid w:val="00435320"/>
    <w:rsid w:val="004353AE"/>
    <w:rsid w:val="0043547A"/>
    <w:rsid w:val="004355F0"/>
    <w:rsid w:val="00436A23"/>
    <w:rsid w:val="00437609"/>
    <w:rsid w:val="00437AE1"/>
    <w:rsid w:val="004401ED"/>
    <w:rsid w:val="00440543"/>
    <w:rsid w:val="00440E78"/>
    <w:rsid w:val="004419F4"/>
    <w:rsid w:val="00441B09"/>
    <w:rsid w:val="00441FCA"/>
    <w:rsid w:val="0044229C"/>
    <w:rsid w:val="00442421"/>
    <w:rsid w:val="00442C6C"/>
    <w:rsid w:val="00443000"/>
    <w:rsid w:val="004431CF"/>
    <w:rsid w:val="004436A9"/>
    <w:rsid w:val="004437E0"/>
    <w:rsid w:val="0044474D"/>
    <w:rsid w:val="00444E78"/>
    <w:rsid w:val="004453A2"/>
    <w:rsid w:val="004455DE"/>
    <w:rsid w:val="0044576D"/>
    <w:rsid w:val="004458E5"/>
    <w:rsid w:val="00445975"/>
    <w:rsid w:val="00446370"/>
    <w:rsid w:val="004467F2"/>
    <w:rsid w:val="00446B0D"/>
    <w:rsid w:val="0044704B"/>
    <w:rsid w:val="004471E2"/>
    <w:rsid w:val="0044787D"/>
    <w:rsid w:val="00447D6B"/>
    <w:rsid w:val="004507FA"/>
    <w:rsid w:val="00450C93"/>
    <w:rsid w:val="004510F4"/>
    <w:rsid w:val="00451206"/>
    <w:rsid w:val="00451349"/>
    <w:rsid w:val="00451C0C"/>
    <w:rsid w:val="00451F2D"/>
    <w:rsid w:val="00452280"/>
    <w:rsid w:val="00452536"/>
    <w:rsid w:val="004526D2"/>
    <w:rsid w:val="00452AD3"/>
    <w:rsid w:val="00452C89"/>
    <w:rsid w:val="0045322C"/>
    <w:rsid w:val="00453CBA"/>
    <w:rsid w:val="00453E6F"/>
    <w:rsid w:val="00453F1B"/>
    <w:rsid w:val="00453F42"/>
    <w:rsid w:val="0045436E"/>
    <w:rsid w:val="00454670"/>
    <w:rsid w:val="00454881"/>
    <w:rsid w:val="00454FAC"/>
    <w:rsid w:val="004558A9"/>
    <w:rsid w:val="00455BA1"/>
    <w:rsid w:val="00455D01"/>
    <w:rsid w:val="00455FB8"/>
    <w:rsid w:val="00456028"/>
    <w:rsid w:val="00456183"/>
    <w:rsid w:val="004566C0"/>
    <w:rsid w:val="00456742"/>
    <w:rsid w:val="004575A9"/>
    <w:rsid w:val="00457672"/>
    <w:rsid w:val="004579CA"/>
    <w:rsid w:val="00457ABD"/>
    <w:rsid w:val="00460257"/>
    <w:rsid w:val="00460CDC"/>
    <w:rsid w:val="00460F05"/>
    <w:rsid w:val="00460FC8"/>
    <w:rsid w:val="0046112B"/>
    <w:rsid w:val="004615E9"/>
    <w:rsid w:val="00461713"/>
    <w:rsid w:val="00461E02"/>
    <w:rsid w:val="00462760"/>
    <w:rsid w:val="00462866"/>
    <w:rsid w:val="00462DC5"/>
    <w:rsid w:val="00462DD3"/>
    <w:rsid w:val="0046308F"/>
    <w:rsid w:val="004632F7"/>
    <w:rsid w:val="00463345"/>
    <w:rsid w:val="00463644"/>
    <w:rsid w:val="00463789"/>
    <w:rsid w:val="00463E24"/>
    <w:rsid w:val="00464184"/>
    <w:rsid w:val="00464D73"/>
    <w:rsid w:val="00464EBE"/>
    <w:rsid w:val="00464F06"/>
    <w:rsid w:val="0046504C"/>
    <w:rsid w:val="0046584B"/>
    <w:rsid w:val="0046588B"/>
    <w:rsid w:val="00465951"/>
    <w:rsid w:val="00465BF6"/>
    <w:rsid w:val="00465CEF"/>
    <w:rsid w:val="00465CF0"/>
    <w:rsid w:val="004662DD"/>
    <w:rsid w:val="00466336"/>
    <w:rsid w:val="00466996"/>
    <w:rsid w:val="00467041"/>
    <w:rsid w:val="0046716A"/>
    <w:rsid w:val="00467528"/>
    <w:rsid w:val="00467D53"/>
    <w:rsid w:val="00467F71"/>
    <w:rsid w:val="004700A0"/>
    <w:rsid w:val="0047012A"/>
    <w:rsid w:val="00470D67"/>
    <w:rsid w:val="0047101D"/>
    <w:rsid w:val="0047103D"/>
    <w:rsid w:val="00471DB6"/>
    <w:rsid w:val="00471E14"/>
    <w:rsid w:val="00472F28"/>
    <w:rsid w:val="004730BF"/>
    <w:rsid w:val="004732DC"/>
    <w:rsid w:val="004735F2"/>
    <w:rsid w:val="0047376B"/>
    <w:rsid w:val="00473913"/>
    <w:rsid w:val="00473F85"/>
    <w:rsid w:val="0047461D"/>
    <w:rsid w:val="00474BC5"/>
    <w:rsid w:val="00474E2E"/>
    <w:rsid w:val="00475150"/>
    <w:rsid w:val="00475CC3"/>
    <w:rsid w:val="00475E77"/>
    <w:rsid w:val="0047670B"/>
    <w:rsid w:val="004767EB"/>
    <w:rsid w:val="00476D2E"/>
    <w:rsid w:val="0047713F"/>
    <w:rsid w:val="0047723C"/>
    <w:rsid w:val="00477635"/>
    <w:rsid w:val="00477EB7"/>
    <w:rsid w:val="004804BF"/>
    <w:rsid w:val="00480D4E"/>
    <w:rsid w:val="004814C6"/>
    <w:rsid w:val="00481633"/>
    <w:rsid w:val="004818E7"/>
    <w:rsid w:val="004819A1"/>
    <w:rsid w:val="00481E0A"/>
    <w:rsid w:val="00482021"/>
    <w:rsid w:val="00482067"/>
    <w:rsid w:val="0048230C"/>
    <w:rsid w:val="00482645"/>
    <w:rsid w:val="00482DE1"/>
    <w:rsid w:val="00483407"/>
    <w:rsid w:val="00483425"/>
    <w:rsid w:val="0048370D"/>
    <w:rsid w:val="00483868"/>
    <w:rsid w:val="00483A87"/>
    <w:rsid w:val="0048405C"/>
    <w:rsid w:val="00484266"/>
    <w:rsid w:val="00484A1A"/>
    <w:rsid w:val="00484DDD"/>
    <w:rsid w:val="00484E04"/>
    <w:rsid w:val="00484ED7"/>
    <w:rsid w:val="0048528C"/>
    <w:rsid w:val="004853C1"/>
    <w:rsid w:val="00485452"/>
    <w:rsid w:val="00485AB8"/>
    <w:rsid w:val="00485AD5"/>
    <w:rsid w:val="00485BA2"/>
    <w:rsid w:val="00485EFF"/>
    <w:rsid w:val="004864DC"/>
    <w:rsid w:val="00486A67"/>
    <w:rsid w:val="00486AE5"/>
    <w:rsid w:val="00486CE7"/>
    <w:rsid w:val="0048704C"/>
    <w:rsid w:val="004873B4"/>
    <w:rsid w:val="004876F3"/>
    <w:rsid w:val="0048775B"/>
    <w:rsid w:val="00487809"/>
    <w:rsid w:val="00487890"/>
    <w:rsid w:val="00487AEE"/>
    <w:rsid w:val="0049062B"/>
    <w:rsid w:val="00490CCA"/>
    <w:rsid w:val="004910BC"/>
    <w:rsid w:val="004914D3"/>
    <w:rsid w:val="00491602"/>
    <w:rsid w:val="00491645"/>
    <w:rsid w:val="00491855"/>
    <w:rsid w:val="0049187B"/>
    <w:rsid w:val="004924FB"/>
    <w:rsid w:val="0049287C"/>
    <w:rsid w:val="00492ABE"/>
    <w:rsid w:val="00493182"/>
    <w:rsid w:val="00493526"/>
    <w:rsid w:val="00493D60"/>
    <w:rsid w:val="00493D91"/>
    <w:rsid w:val="00493FF5"/>
    <w:rsid w:val="00494101"/>
    <w:rsid w:val="0049417C"/>
    <w:rsid w:val="0049426A"/>
    <w:rsid w:val="004942F1"/>
    <w:rsid w:val="004942FB"/>
    <w:rsid w:val="00495093"/>
    <w:rsid w:val="00495AB2"/>
    <w:rsid w:val="00495D7F"/>
    <w:rsid w:val="00496084"/>
    <w:rsid w:val="00496846"/>
    <w:rsid w:val="00496E10"/>
    <w:rsid w:val="00496E2F"/>
    <w:rsid w:val="00497268"/>
    <w:rsid w:val="004976E9"/>
    <w:rsid w:val="004977AD"/>
    <w:rsid w:val="004A017B"/>
    <w:rsid w:val="004A0239"/>
    <w:rsid w:val="004A0765"/>
    <w:rsid w:val="004A0EA4"/>
    <w:rsid w:val="004A122C"/>
    <w:rsid w:val="004A17B9"/>
    <w:rsid w:val="004A21BB"/>
    <w:rsid w:val="004A243A"/>
    <w:rsid w:val="004A24FB"/>
    <w:rsid w:val="004A2DB4"/>
    <w:rsid w:val="004A3127"/>
    <w:rsid w:val="004A3173"/>
    <w:rsid w:val="004A3319"/>
    <w:rsid w:val="004A3A0C"/>
    <w:rsid w:val="004A3CEA"/>
    <w:rsid w:val="004A41FF"/>
    <w:rsid w:val="004A4256"/>
    <w:rsid w:val="004A449D"/>
    <w:rsid w:val="004A4B88"/>
    <w:rsid w:val="004A4E1B"/>
    <w:rsid w:val="004A4E37"/>
    <w:rsid w:val="004A5188"/>
    <w:rsid w:val="004A5432"/>
    <w:rsid w:val="004A5526"/>
    <w:rsid w:val="004A56B9"/>
    <w:rsid w:val="004A573D"/>
    <w:rsid w:val="004A609A"/>
    <w:rsid w:val="004A6258"/>
    <w:rsid w:val="004A6345"/>
    <w:rsid w:val="004A6787"/>
    <w:rsid w:val="004A6D78"/>
    <w:rsid w:val="004A6DBE"/>
    <w:rsid w:val="004A7299"/>
    <w:rsid w:val="004A73E1"/>
    <w:rsid w:val="004A7F9E"/>
    <w:rsid w:val="004B0256"/>
    <w:rsid w:val="004B025E"/>
    <w:rsid w:val="004B0CD3"/>
    <w:rsid w:val="004B148C"/>
    <w:rsid w:val="004B14CD"/>
    <w:rsid w:val="004B1849"/>
    <w:rsid w:val="004B1ED8"/>
    <w:rsid w:val="004B21D7"/>
    <w:rsid w:val="004B224D"/>
    <w:rsid w:val="004B227D"/>
    <w:rsid w:val="004B264F"/>
    <w:rsid w:val="004B2F87"/>
    <w:rsid w:val="004B327A"/>
    <w:rsid w:val="004B33A5"/>
    <w:rsid w:val="004B4255"/>
    <w:rsid w:val="004B432F"/>
    <w:rsid w:val="004B4500"/>
    <w:rsid w:val="004B48BE"/>
    <w:rsid w:val="004B4B98"/>
    <w:rsid w:val="004B4D11"/>
    <w:rsid w:val="004B4F46"/>
    <w:rsid w:val="004B58DF"/>
    <w:rsid w:val="004B65D3"/>
    <w:rsid w:val="004B6AE7"/>
    <w:rsid w:val="004B6B31"/>
    <w:rsid w:val="004B6DE7"/>
    <w:rsid w:val="004B6EA7"/>
    <w:rsid w:val="004B6FA2"/>
    <w:rsid w:val="004B71BD"/>
    <w:rsid w:val="004B73EE"/>
    <w:rsid w:val="004B7405"/>
    <w:rsid w:val="004B7A7A"/>
    <w:rsid w:val="004B7AC4"/>
    <w:rsid w:val="004B7F1D"/>
    <w:rsid w:val="004B7F3B"/>
    <w:rsid w:val="004C0092"/>
    <w:rsid w:val="004C024C"/>
    <w:rsid w:val="004C0667"/>
    <w:rsid w:val="004C1371"/>
    <w:rsid w:val="004C1AAB"/>
    <w:rsid w:val="004C1C2D"/>
    <w:rsid w:val="004C218B"/>
    <w:rsid w:val="004C218D"/>
    <w:rsid w:val="004C25AE"/>
    <w:rsid w:val="004C2CAB"/>
    <w:rsid w:val="004C2D6B"/>
    <w:rsid w:val="004C31F1"/>
    <w:rsid w:val="004C32F4"/>
    <w:rsid w:val="004C3877"/>
    <w:rsid w:val="004C3BB2"/>
    <w:rsid w:val="004C3F84"/>
    <w:rsid w:val="004C442C"/>
    <w:rsid w:val="004C47DA"/>
    <w:rsid w:val="004C48E5"/>
    <w:rsid w:val="004C53AD"/>
    <w:rsid w:val="004C5658"/>
    <w:rsid w:val="004C571D"/>
    <w:rsid w:val="004C595B"/>
    <w:rsid w:val="004C5D24"/>
    <w:rsid w:val="004C620F"/>
    <w:rsid w:val="004C6631"/>
    <w:rsid w:val="004C6718"/>
    <w:rsid w:val="004C6920"/>
    <w:rsid w:val="004C6E93"/>
    <w:rsid w:val="004C7132"/>
    <w:rsid w:val="004C76BC"/>
    <w:rsid w:val="004C7797"/>
    <w:rsid w:val="004C78B1"/>
    <w:rsid w:val="004D01A5"/>
    <w:rsid w:val="004D039D"/>
    <w:rsid w:val="004D041A"/>
    <w:rsid w:val="004D0576"/>
    <w:rsid w:val="004D1652"/>
    <w:rsid w:val="004D16F7"/>
    <w:rsid w:val="004D1AA2"/>
    <w:rsid w:val="004D1ABD"/>
    <w:rsid w:val="004D1DEA"/>
    <w:rsid w:val="004D1F53"/>
    <w:rsid w:val="004D249D"/>
    <w:rsid w:val="004D27F3"/>
    <w:rsid w:val="004D2C78"/>
    <w:rsid w:val="004D2ED5"/>
    <w:rsid w:val="004D2FAB"/>
    <w:rsid w:val="004D3E36"/>
    <w:rsid w:val="004D41E6"/>
    <w:rsid w:val="004D43BC"/>
    <w:rsid w:val="004D4586"/>
    <w:rsid w:val="004D45A5"/>
    <w:rsid w:val="004D466D"/>
    <w:rsid w:val="004D4682"/>
    <w:rsid w:val="004D489A"/>
    <w:rsid w:val="004D48DD"/>
    <w:rsid w:val="004D4C93"/>
    <w:rsid w:val="004D4FA2"/>
    <w:rsid w:val="004D54A5"/>
    <w:rsid w:val="004D5AAE"/>
    <w:rsid w:val="004D5E0A"/>
    <w:rsid w:val="004D6591"/>
    <w:rsid w:val="004D66BE"/>
    <w:rsid w:val="004D67F6"/>
    <w:rsid w:val="004D6BB1"/>
    <w:rsid w:val="004D6CE1"/>
    <w:rsid w:val="004D7082"/>
    <w:rsid w:val="004D7656"/>
    <w:rsid w:val="004D78AF"/>
    <w:rsid w:val="004D7A14"/>
    <w:rsid w:val="004E004D"/>
    <w:rsid w:val="004E01C8"/>
    <w:rsid w:val="004E02F2"/>
    <w:rsid w:val="004E0448"/>
    <w:rsid w:val="004E0A78"/>
    <w:rsid w:val="004E0AEA"/>
    <w:rsid w:val="004E0CF6"/>
    <w:rsid w:val="004E0D7B"/>
    <w:rsid w:val="004E0E4B"/>
    <w:rsid w:val="004E0E75"/>
    <w:rsid w:val="004E0EE6"/>
    <w:rsid w:val="004E115A"/>
    <w:rsid w:val="004E1A3B"/>
    <w:rsid w:val="004E1A84"/>
    <w:rsid w:val="004E1B88"/>
    <w:rsid w:val="004E1EAA"/>
    <w:rsid w:val="004E20FF"/>
    <w:rsid w:val="004E2322"/>
    <w:rsid w:val="004E2432"/>
    <w:rsid w:val="004E27FF"/>
    <w:rsid w:val="004E3897"/>
    <w:rsid w:val="004E3C74"/>
    <w:rsid w:val="004E3F5D"/>
    <w:rsid w:val="004E3F85"/>
    <w:rsid w:val="004E3FD8"/>
    <w:rsid w:val="004E4554"/>
    <w:rsid w:val="004E4581"/>
    <w:rsid w:val="004E4AB2"/>
    <w:rsid w:val="004E4C2B"/>
    <w:rsid w:val="004E4F2E"/>
    <w:rsid w:val="004E5136"/>
    <w:rsid w:val="004E51D8"/>
    <w:rsid w:val="004E5517"/>
    <w:rsid w:val="004E5B74"/>
    <w:rsid w:val="004E6548"/>
    <w:rsid w:val="004E6570"/>
    <w:rsid w:val="004E6783"/>
    <w:rsid w:val="004F056E"/>
    <w:rsid w:val="004F05A4"/>
    <w:rsid w:val="004F0C20"/>
    <w:rsid w:val="004F0DD7"/>
    <w:rsid w:val="004F123C"/>
    <w:rsid w:val="004F1853"/>
    <w:rsid w:val="004F1A34"/>
    <w:rsid w:val="004F1E0D"/>
    <w:rsid w:val="004F20D0"/>
    <w:rsid w:val="004F2229"/>
    <w:rsid w:val="004F23A7"/>
    <w:rsid w:val="004F2A36"/>
    <w:rsid w:val="004F2BC8"/>
    <w:rsid w:val="004F2EDB"/>
    <w:rsid w:val="004F368E"/>
    <w:rsid w:val="004F378B"/>
    <w:rsid w:val="004F388B"/>
    <w:rsid w:val="004F3E12"/>
    <w:rsid w:val="004F3FA3"/>
    <w:rsid w:val="004F4650"/>
    <w:rsid w:val="004F4764"/>
    <w:rsid w:val="004F4809"/>
    <w:rsid w:val="004F4AF5"/>
    <w:rsid w:val="004F4BEA"/>
    <w:rsid w:val="004F4C72"/>
    <w:rsid w:val="004F56BF"/>
    <w:rsid w:val="004F5979"/>
    <w:rsid w:val="004F5AD7"/>
    <w:rsid w:val="004F638A"/>
    <w:rsid w:val="004F6EC2"/>
    <w:rsid w:val="004F7322"/>
    <w:rsid w:val="004F74B6"/>
    <w:rsid w:val="004F77EA"/>
    <w:rsid w:val="004F7E94"/>
    <w:rsid w:val="00500048"/>
    <w:rsid w:val="005008CF"/>
    <w:rsid w:val="005009B1"/>
    <w:rsid w:val="00500BD2"/>
    <w:rsid w:val="00500FAB"/>
    <w:rsid w:val="005015BD"/>
    <w:rsid w:val="00501A91"/>
    <w:rsid w:val="00501D1A"/>
    <w:rsid w:val="00501ED7"/>
    <w:rsid w:val="0050200D"/>
    <w:rsid w:val="00502194"/>
    <w:rsid w:val="0050223E"/>
    <w:rsid w:val="00502483"/>
    <w:rsid w:val="005026F7"/>
    <w:rsid w:val="005028E4"/>
    <w:rsid w:val="005028F3"/>
    <w:rsid w:val="0050379D"/>
    <w:rsid w:val="005039A5"/>
    <w:rsid w:val="00503E8F"/>
    <w:rsid w:val="0050446B"/>
    <w:rsid w:val="00504ABC"/>
    <w:rsid w:val="00505424"/>
    <w:rsid w:val="0050555B"/>
    <w:rsid w:val="0050585B"/>
    <w:rsid w:val="00505952"/>
    <w:rsid w:val="00505C3D"/>
    <w:rsid w:val="00505E88"/>
    <w:rsid w:val="00505F85"/>
    <w:rsid w:val="0050711E"/>
    <w:rsid w:val="0050732C"/>
    <w:rsid w:val="0050765A"/>
    <w:rsid w:val="005077FD"/>
    <w:rsid w:val="00507827"/>
    <w:rsid w:val="00507AAD"/>
    <w:rsid w:val="00507BCD"/>
    <w:rsid w:val="00507F3B"/>
    <w:rsid w:val="00510157"/>
    <w:rsid w:val="005108DD"/>
    <w:rsid w:val="00510C06"/>
    <w:rsid w:val="00511104"/>
    <w:rsid w:val="00511268"/>
    <w:rsid w:val="00511D4F"/>
    <w:rsid w:val="0051242B"/>
    <w:rsid w:val="00512882"/>
    <w:rsid w:val="00512CEB"/>
    <w:rsid w:val="00512F50"/>
    <w:rsid w:val="00514144"/>
    <w:rsid w:val="00514157"/>
    <w:rsid w:val="005144B7"/>
    <w:rsid w:val="005148FA"/>
    <w:rsid w:val="00514D90"/>
    <w:rsid w:val="0051503F"/>
    <w:rsid w:val="005151D3"/>
    <w:rsid w:val="005152BB"/>
    <w:rsid w:val="0051547F"/>
    <w:rsid w:val="005155BE"/>
    <w:rsid w:val="00515AC9"/>
    <w:rsid w:val="00515D1E"/>
    <w:rsid w:val="00515EDF"/>
    <w:rsid w:val="00516193"/>
    <w:rsid w:val="00516408"/>
    <w:rsid w:val="00516AD7"/>
    <w:rsid w:val="005172F0"/>
    <w:rsid w:val="0051749C"/>
    <w:rsid w:val="00517D02"/>
    <w:rsid w:val="005209A9"/>
    <w:rsid w:val="005209F7"/>
    <w:rsid w:val="00520BB1"/>
    <w:rsid w:val="00520BC6"/>
    <w:rsid w:val="00520D5E"/>
    <w:rsid w:val="00520F28"/>
    <w:rsid w:val="0052141E"/>
    <w:rsid w:val="00521829"/>
    <w:rsid w:val="00521CDC"/>
    <w:rsid w:val="00521D6A"/>
    <w:rsid w:val="00522373"/>
    <w:rsid w:val="00522592"/>
    <w:rsid w:val="005228AE"/>
    <w:rsid w:val="00522B4A"/>
    <w:rsid w:val="00523579"/>
    <w:rsid w:val="005236FB"/>
    <w:rsid w:val="00524242"/>
    <w:rsid w:val="0052457E"/>
    <w:rsid w:val="00524CEB"/>
    <w:rsid w:val="00524CF0"/>
    <w:rsid w:val="00524F83"/>
    <w:rsid w:val="00525072"/>
    <w:rsid w:val="005253CF"/>
    <w:rsid w:val="00525E53"/>
    <w:rsid w:val="0052689E"/>
    <w:rsid w:val="00526A2D"/>
    <w:rsid w:val="00526AFD"/>
    <w:rsid w:val="0052705C"/>
    <w:rsid w:val="005273D1"/>
    <w:rsid w:val="00527A88"/>
    <w:rsid w:val="00527D43"/>
    <w:rsid w:val="00527D6F"/>
    <w:rsid w:val="005305AE"/>
    <w:rsid w:val="00530748"/>
    <w:rsid w:val="005307E4"/>
    <w:rsid w:val="00530EE5"/>
    <w:rsid w:val="0053119A"/>
    <w:rsid w:val="005311C2"/>
    <w:rsid w:val="00531607"/>
    <w:rsid w:val="0053218C"/>
    <w:rsid w:val="0053243F"/>
    <w:rsid w:val="005326E7"/>
    <w:rsid w:val="00532B49"/>
    <w:rsid w:val="00532D70"/>
    <w:rsid w:val="005335F1"/>
    <w:rsid w:val="00533EA2"/>
    <w:rsid w:val="00533EEA"/>
    <w:rsid w:val="005340B7"/>
    <w:rsid w:val="00534280"/>
    <w:rsid w:val="005344E6"/>
    <w:rsid w:val="00534B98"/>
    <w:rsid w:val="00534E75"/>
    <w:rsid w:val="00535291"/>
    <w:rsid w:val="00535456"/>
    <w:rsid w:val="005356DD"/>
    <w:rsid w:val="0053578A"/>
    <w:rsid w:val="0053589B"/>
    <w:rsid w:val="00535E35"/>
    <w:rsid w:val="00535EE1"/>
    <w:rsid w:val="005363D7"/>
    <w:rsid w:val="005367A7"/>
    <w:rsid w:val="00536FF2"/>
    <w:rsid w:val="00537093"/>
    <w:rsid w:val="005374E7"/>
    <w:rsid w:val="00537797"/>
    <w:rsid w:val="005379A9"/>
    <w:rsid w:val="005379EF"/>
    <w:rsid w:val="00537B30"/>
    <w:rsid w:val="005400CC"/>
    <w:rsid w:val="005403AD"/>
    <w:rsid w:val="00540809"/>
    <w:rsid w:val="005410E8"/>
    <w:rsid w:val="005411C2"/>
    <w:rsid w:val="00541483"/>
    <w:rsid w:val="005414C8"/>
    <w:rsid w:val="0054156A"/>
    <w:rsid w:val="005416F4"/>
    <w:rsid w:val="00541EF7"/>
    <w:rsid w:val="00542242"/>
    <w:rsid w:val="00542413"/>
    <w:rsid w:val="005425D4"/>
    <w:rsid w:val="005428AC"/>
    <w:rsid w:val="00543140"/>
    <w:rsid w:val="00543873"/>
    <w:rsid w:val="00543A86"/>
    <w:rsid w:val="00543C2C"/>
    <w:rsid w:val="00543FA9"/>
    <w:rsid w:val="00543FE3"/>
    <w:rsid w:val="00545006"/>
    <w:rsid w:val="005454C1"/>
    <w:rsid w:val="005455AA"/>
    <w:rsid w:val="005460E1"/>
    <w:rsid w:val="00546396"/>
    <w:rsid w:val="00546561"/>
    <w:rsid w:val="00546790"/>
    <w:rsid w:val="00547224"/>
    <w:rsid w:val="0054758C"/>
    <w:rsid w:val="0054791A"/>
    <w:rsid w:val="005502C7"/>
    <w:rsid w:val="005503CB"/>
    <w:rsid w:val="00550418"/>
    <w:rsid w:val="005504D2"/>
    <w:rsid w:val="00550F3D"/>
    <w:rsid w:val="00551ABE"/>
    <w:rsid w:val="00551CD2"/>
    <w:rsid w:val="00552881"/>
    <w:rsid w:val="00552907"/>
    <w:rsid w:val="0055294A"/>
    <w:rsid w:val="00552E0F"/>
    <w:rsid w:val="00552E3F"/>
    <w:rsid w:val="00553381"/>
    <w:rsid w:val="00553645"/>
    <w:rsid w:val="00553877"/>
    <w:rsid w:val="0055398A"/>
    <w:rsid w:val="00553A51"/>
    <w:rsid w:val="00553B16"/>
    <w:rsid w:val="00553B2C"/>
    <w:rsid w:val="00553DCC"/>
    <w:rsid w:val="00554125"/>
    <w:rsid w:val="00554AAB"/>
    <w:rsid w:val="00554DAF"/>
    <w:rsid w:val="00554ECE"/>
    <w:rsid w:val="00555473"/>
    <w:rsid w:val="0055568C"/>
    <w:rsid w:val="00555C89"/>
    <w:rsid w:val="005560FE"/>
    <w:rsid w:val="005569BB"/>
    <w:rsid w:val="00557079"/>
    <w:rsid w:val="0055778C"/>
    <w:rsid w:val="00557939"/>
    <w:rsid w:val="00557AA7"/>
    <w:rsid w:val="00557B2C"/>
    <w:rsid w:val="0056069F"/>
    <w:rsid w:val="00560826"/>
    <w:rsid w:val="00560C21"/>
    <w:rsid w:val="00561183"/>
    <w:rsid w:val="00561F28"/>
    <w:rsid w:val="00561FCF"/>
    <w:rsid w:val="005620CF"/>
    <w:rsid w:val="00562309"/>
    <w:rsid w:val="0056238E"/>
    <w:rsid w:val="00562635"/>
    <w:rsid w:val="005627AB"/>
    <w:rsid w:val="00562A53"/>
    <w:rsid w:val="00562D6A"/>
    <w:rsid w:val="00562E0B"/>
    <w:rsid w:val="00562E2B"/>
    <w:rsid w:val="00563265"/>
    <w:rsid w:val="005632AE"/>
    <w:rsid w:val="005632CB"/>
    <w:rsid w:val="005634AC"/>
    <w:rsid w:val="005637F6"/>
    <w:rsid w:val="005638EA"/>
    <w:rsid w:val="00563E1A"/>
    <w:rsid w:val="00563E71"/>
    <w:rsid w:val="00564613"/>
    <w:rsid w:val="00564CFF"/>
    <w:rsid w:val="005651D2"/>
    <w:rsid w:val="005658C6"/>
    <w:rsid w:val="0056618C"/>
    <w:rsid w:val="0056618D"/>
    <w:rsid w:val="005668B5"/>
    <w:rsid w:val="00566EAE"/>
    <w:rsid w:val="00566F27"/>
    <w:rsid w:val="00566F47"/>
    <w:rsid w:val="0056752C"/>
    <w:rsid w:val="00567561"/>
    <w:rsid w:val="00567ACD"/>
    <w:rsid w:val="00567F4A"/>
    <w:rsid w:val="00570035"/>
    <w:rsid w:val="00570335"/>
    <w:rsid w:val="0057033C"/>
    <w:rsid w:val="005706CC"/>
    <w:rsid w:val="0057092A"/>
    <w:rsid w:val="00570D24"/>
    <w:rsid w:val="005712AD"/>
    <w:rsid w:val="005715FF"/>
    <w:rsid w:val="005716A0"/>
    <w:rsid w:val="00571E13"/>
    <w:rsid w:val="005720A8"/>
    <w:rsid w:val="005722E0"/>
    <w:rsid w:val="00572319"/>
    <w:rsid w:val="0057236F"/>
    <w:rsid w:val="00572BE5"/>
    <w:rsid w:val="005730E5"/>
    <w:rsid w:val="00573106"/>
    <w:rsid w:val="00573124"/>
    <w:rsid w:val="005741B3"/>
    <w:rsid w:val="00574C78"/>
    <w:rsid w:val="00574CDF"/>
    <w:rsid w:val="00574E44"/>
    <w:rsid w:val="00574FE4"/>
    <w:rsid w:val="005750BD"/>
    <w:rsid w:val="005750CF"/>
    <w:rsid w:val="00575459"/>
    <w:rsid w:val="0057582F"/>
    <w:rsid w:val="005758E5"/>
    <w:rsid w:val="0057597F"/>
    <w:rsid w:val="00575FA0"/>
    <w:rsid w:val="005762FD"/>
    <w:rsid w:val="0057651C"/>
    <w:rsid w:val="00576701"/>
    <w:rsid w:val="00576E95"/>
    <w:rsid w:val="00576EF9"/>
    <w:rsid w:val="00577247"/>
    <w:rsid w:val="0057729A"/>
    <w:rsid w:val="00577449"/>
    <w:rsid w:val="005800ED"/>
    <w:rsid w:val="005804B9"/>
    <w:rsid w:val="005809C6"/>
    <w:rsid w:val="00580BC9"/>
    <w:rsid w:val="00581071"/>
    <w:rsid w:val="005817A0"/>
    <w:rsid w:val="00581812"/>
    <w:rsid w:val="00582006"/>
    <w:rsid w:val="0058279C"/>
    <w:rsid w:val="00582A6C"/>
    <w:rsid w:val="00582BDD"/>
    <w:rsid w:val="00582C95"/>
    <w:rsid w:val="00582E52"/>
    <w:rsid w:val="005830BF"/>
    <w:rsid w:val="005833E3"/>
    <w:rsid w:val="00583549"/>
    <w:rsid w:val="00584393"/>
    <w:rsid w:val="0058456E"/>
    <w:rsid w:val="005848F0"/>
    <w:rsid w:val="00584BD6"/>
    <w:rsid w:val="00585159"/>
    <w:rsid w:val="0058549C"/>
    <w:rsid w:val="0058583D"/>
    <w:rsid w:val="00585977"/>
    <w:rsid w:val="00585C64"/>
    <w:rsid w:val="00585CAF"/>
    <w:rsid w:val="00586202"/>
    <w:rsid w:val="00586438"/>
    <w:rsid w:val="00586838"/>
    <w:rsid w:val="00586987"/>
    <w:rsid w:val="0058716A"/>
    <w:rsid w:val="005873D5"/>
    <w:rsid w:val="005873F8"/>
    <w:rsid w:val="00587454"/>
    <w:rsid w:val="0058781F"/>
    <w:rsid w:val="005901A4"/>
    <w:rsid w:val="00590CFE"/>
    <w:rsid w:val="00590EB6"/>
    <w:rsid w:val="00590F2E"/>
    <w:rsid w:val="00591087"/>
    <w:rsid w:val="0059147C"/>
    <w:rsid w:val="00591AB4"/>
    <w:rsid w:val="00591C05"/>
    <w:rsid w:val="0059297D"/>
    <w:rsid w:val="0059397D"/>
    <w:rsid w:val="005939D7"/>
    <w:rsid w:val="00593DC7"/>
    <w:rsid w:val="00594337"/>
    <w:rsid w:val="0059452F"/>
    <w:rsid w:val="005949E0"/>
    <w:rsid w:val="00594F0F"/>
    <w:rsid w:val="0059505A"/>
    <w:rsid w:val="005954C6"/>
    <w:rsid w:val="005958E8"/>
    <w:rsid w:val="00595E9B"/>
    <w:rsid w:val="0059611E"/>
    <w:rsid w:val="00596940"/>
    <w:rsid w:val="00596B65"/>
    <w:rsid w:val="00596D8E"/>
    <w:rsid w:val="00597151"/>
    <w:rsid w:val="00597173"/>
    <w:rsid w:val="0059730C"/>
    <w:rsid w:val="0059762D"/>
    <w:rsid w:val="005977A4"/>
    <w:rsid w:val="00597A13"/>
    <w:rsid w:val="00597F0E"/>
    <w:rsid w:val="005A063C"/>
    <w:rsid w:val="005A06F7"/>
    <w:rsid w:val="005A07BB"/>
    <w:rsid w:val="005A0940"/>
    <w:rsid w:val="005A0CAA"/>
    <w:rsid w:val="005A0DCE"/>
    <w:rsid w:val="005A0E67"/>
    <w:rsid w:val="005A11E1"/>
    <w:rsid w:val="005A1218"/>
    <w:rsid w:val="005A1222"/>
    <w:rsid w:val="005A14CA"/>
    <w:rsid w:val="005A189B"/>
    <w:rsid w:val="005A1B72"/>
    <w:rsid w:val="005A1D0D"/>
    <w:rsid w:val="005A1FDB"/>
    <w:rsid w:val="005A20FC"/>
    <w:rsid w:val="005A28CE"/>
    <w:rsid w:val="005A2B59"/>
    <w:rsid w:val="005A2FDC"/>
    <w:rsid w:val="005A37EE"/>
    <w:rsid w:val="005A3A99"/>
    <w:rsid w:val="005A3AA2"/>
    <w:rsid w:val="005A3DBE"/>
    <w:rsid w:val="005A3F2B"/>
    <w:rsid w:val="005A4012"/>
    <w:rsid w:val="005A45AB"/>
    <w:rsid w:val="005A4600"/>
    <w:rsid w:val="005A4638"/>
    <w:rsid w:val="005A5176"/>
    <w:rsid w:val="005A540B"/>
    <w:rsid w:val="005A5B01"/>
    <w:rsid w:val="005A64D1"/>
    <w:rsid w:val="005A6DA7"/>
    <w:rsid w:val="005A7908"/>
    <w:rsid w:val="005A79CF"/>
    <w:rsid w:val="005B036A"/>
    <w:rsid w:val="005B0D19"/>
    <w:rsid w:val="005B1229"/>
    <w:rsid w:val="005B1603"/>
    <w:rsid w:val="005B18DF"/>
    <w:rsid w:val="005B1ED6"/>
    <w:rsid w:val="005B2266"/>
    <w:rsid w:val="005B2307"/>
    <w:rsid w:val="005B2956"/>
    <w:rsid w:val="005B2F74"/>
    <w:rsid w:val="005B3BB1"/>
    <w:rsid w:val="005B41CE"/>
    <w:rsid w:val="005B4227"/>
    <w:rsid w:val="005B42BE"/>
    <w:rsid w:val="005B4445"/>
    <w:rsid w:val="005B4522"/>
    <w:rsid w:val="005B4A02"/>
    <w:rsid w:val="005B4A23"/>
    <w:rsid w:val="005B4FFE"/>
    <w:rsid w:val="005B5C19"/>
    <w:rsid w:val="005B6435"/>
    <w:rsid w:val="005B6A9D"/>
    <w:rsid w:val="005B6D93"/>
    <w:rsid w:val="005B6EDD"/>
    <w:rsid w:val="005B702E"/>
    <w:rsid w:val="005B7494"/>
    <w:rsid w:val="005B753A"/>
    <w:rsid w:val="005B796B"/>
    <w:rsid w:val="005BA697"/>
    <w:rsid w:val="005C002E"/>
    <w:rsid w:val="005C06C7"/>
    <w:rsid w:val="005C07E2"/>
    <w:rsid w:val="005C0B9B"/>
    <w:rsid w:val="005C0ED8"/>
    <w:rsid w:val="005C10B0"/>
    <w:rsid w:val="005C13F6"/>
    <w:rsid w:val="005C1742"/>
    <w:rsid w:val="005C1A0C"/>
    <w:rsid w:val="005C1EFE"/>
    <w:rsid w:val="005C1F3A"/>
    <w:rsid w:val="005C2162"/>
    <w:rsid w:val="005C220C"/>
    <w:rsid w:val="005C248C"/>
    <w:rsid w:val="005C2991"/>
    <w:rsid w:val="005C2EB2"/>
    <w:rsid w:val="005C3918"/>
    <w:rsid w:val="005C3B8D"/>
    <w:rsid w:val="005C3FD4"/>
    <w:rsid w:val="005C411A"/>
    <w:rsid w:val="005C41DE"/>
    <w:rsid w:val="005C422E"/>
    <w:rsid w:val="005C429B"/>
    <w:rsid w:val="005C42ED"/>
    <w:rsid w:val="005C4AE7"/>
    <w:rsid w:val="005C4BFC"/>
    <w:rsid w:val="005C4CED"/>
    <w:rsid w:val="005C5112"/>
    <w:rsid w:val="005C5951"/>
    <w:rsid w:val="005C6039"/>
    <w:rsid w:val="005C6CFB"/>
    <w:rsid w:val="005C6D62"/>
    <w:rsid w:val="005C6DA2"/>
    <w:rsid w:val="005C7050"/>
    <w:rsid w:val="005C7787"/>
    <w:rsid w:val="005C78B2"/>
    <w:rsid w:val="005C799F"/>
    <w:rsid w:val="005D02CA"/>
    <w:rsid w:val="005D0577"/>
    <w:rsid w:val="005D059F"/>
    <w:rsid w:val="005D07C8"/>
    <w:rsid w:val="005D0D8E"/>
    <w:rsid w:val="005D1728"/>
    <w:rsid w:val="005D1DF6"/>
    <w:rsid w:val="005D1FA0"/>
    <w:rsid w:val="005D2F01"/>
    <w:rsid w:val="005D331C"/>
    <w:rsid w:val="005D3782"/>
    <w:rsid w:val="005D3CF9"/>
    <w:rsid w:val="005D41B6"/>
    <w:rsid w:val="005D4267"/>
    <w:rsid w:val="005D43FB"/>
    <w:rsid w:val="005D44A4"/>
    <w:rsid w:val="005D44FA"/>
    <w:rsid w:val="005D47FB"/>
    <w:rsid w:val="005D4837"/>
    <w:rsid w:val="005D48F1"/>
    <w:rsid w:val="005D4B6A"/>
    <w:rsid w:val="005D4F00"/>
    <w:rsid w:val="005D4F25"/>
    <w:rsid w:val="005D4F86"/>
    <w:rsid w:val="005D531D"/>
    <w:rsid w:val="005D5601"/>
    <w:rsid w:val="005D5CEA"/>
    <w:rsid w:val="005D616B"/>
    <w:rsid w:val="005D65C1"/>
    <w:rsid w:val="005D67CF"/>
    <w:rsid w:val="005D6A42"/>
    <w:rsid w:val="005D6D70"/>
    <w:rsid w:val="005D7230"/>
    <w:rsid w:val="005D769A"/>
    <w:rsid w:val="005D7722"/>
    <w:rsid w:val="005D7C02"/>
    <w:rsid w:val="005D7C9B"/>
    <w:rsid w:val="005D7DF5"/>
    <w:rsid w:val="005D7F95"/>
    <w:rsid w:val="005E119D"/>
    <w:rsid w:val="005E14CF"/>
    <w:rsid w:val="005E1556"/>
    <w:rsid w:val="005E18ED"/>
    <w:rsid w:val="005E197C"/>
    <w:rsid w:val="005E199F"/>
    <w:rsid w:val="005E1A82"/>
    <w:rsid w:val="005E1CAB"/>
    <w:rsid w:val="005E1D2D"/>
    <w:rsid w:val="005E1D62"/>
    <w:rsid w:val="005E20B9"/>
    <w:rsid w:val="005E2A0E"/>
    <w:rsid w:val="005E2C95"/>
    <w:rsid w:val="005E2F3D"/>
    <w:rsid w:val="005E3418"/>
    <w:rsid w:val="005E4133"/>
    <w:rsid w:val="005E4146"/>
    <w:rsid w:val="005E42D2"/>
    <w:rsid w:val="005E432C"/>
    <w:rsid w:val="005E44BB"/>
    <w:rsid w:val="005E456E"/>
    <w:rsid w:val="005E47B9"/>
    <w:rsid w:val="005E492C"/>
    <w:rsid w:val="005E4E47"/>
    <w:rsid w:val="005E4ED6"/>
    <w:rsid w:val="005E50F0"/>
    <w:rsid w:val="005E51D0"/>
    <w:rsid w:val="005E54A4"/>
    <w:rsid w:val="005E5BF4"/>
    <w:rsid w:val="005E5C65"/>
    <w:rsid w:val="005E5D35"/>
    <w:rsid w:val="005E6118"/>
    <w:rsid w:val="005E64BB"/>
    <w:rsid w:val="005E6522"/>
    <w:rsid w:val="005E6592"/>
    <w:rsid w:val="005E6947"/>
    <w:rsid w:val="005E6A24"/>
    <w:rsid w:val="005E6E0E"/>
    <w:rsid w:val="005E7012"/>
    <w:rsid w:val="005E77F8"/>
    <w:rsid w:val="005E7A64"/>
    <w:rsid w:val="005E7D1D"/>
    <w:rsid w:val="005F0024"/>
    <w:rsid w:val="005F00C8"/>
    <w:rsid w:val="005F0177"/>
    <w:rsid w:val="005F03EB"/>
    <w:rsid w:val="005F052F"/>
    <w:rsid w:val="005F0550"/>
    <w:rsid w:val="005F05F8"/>
    <w:rsid w:val="005F0608"/>
    <w:rsid w:val="005F0C8F"/>
    <w:rsid w:val="005F0E82"/>
    <w:rsid w:val="005F204C"/>
    <w:rsid w:val="005F243A"/>
    <w:rsid w:val="005F27C6"/>
    <w:rsid w:val="005F2AA2"/>
    <w:rsid w:val="005F2B47"/>
    <w:rsid w:val="005F2B4E"/>
    <w:rsid w:val="005F2D49"/>
    <w:rsid w:val="005F2D90"/>
    <w:rsid w:val="005F3031"/>
    <w:rsid w:val="005F322E"/>
    <w:rsid w:val="005F3409"/>
    <w:rsid w:val="005F40C6"/>
    <w:rsid w:val="005F46E2"/>
    <w:rsid w:val="005F47E5"/>
    <w:rsid w:val="005F4883"/>
    <w:rsid w:val="005F492F"/>
    <w:rsid w:val="005F4ABC"/>
    <w:rsid w:val="005F4AD3"/>
    <w:rsid w:val="005F5284"/>
    <w:rsid w:val="005F55EB"/>
    <w:rsid w:val="005F566A"/>
    <w:rsid w:val="005F589D"/>
    <w:rsid w:val="005F5D32"/>
    <w:rsid w:val="005F5DB8"/>
    <w:rsid w:val="005F6596"/>
    <w:rsid w:val="005F7204"/>
    <w:rsid w:val="005F7229"/>
    <w:rsid w:val="005F7756"/>
    <w:rsid w:val="005F7D7E"/>
    <w:rsid w:val="006000EF"/>
    <w:rsid w:val="00600175"/>
    <w:rsid w:val="00600BEF"/>
    <w:rsid w:val="00600C87"/>
    <w:rsid w:val="00600FF7"/>
    <w:rsid w:val="00601594"/>
    <w:rsid w:val="0060166C"/>
    <w:rsid w:val="00601781"/>
    <w:rsid w:val="0060181B"/>
    <w:rsid w:val="00601982"/>
    <w:rsid w:val="0060199A"/>
    <w:rsid w:val="00601AAB"/>
    <w:rsid w:val="00601CC2"/>
    <w:rsid w:val="006020C9"/>
    <w:rsid w:val="00602CCD"/>
    <w:rsid w:val="00602F74"/>
    <w:rsid w:val="00603650"/>
    <w:rsid w:val="006040E9"/>
    <w:rsid w:val="006044AC"/>
    <w:rsid w:val="00604949"/>
    <w:rsid w:val="00604C53"/>
    <w:rsid w:val="00604CD3"/>
    <w:rsid w:val="00604EDB"/>
    <w:rsid w:val="00604F29"/>
    <w:rsid w:val="006054FD"/>
    <w:rsid w:val="0060551B"/>
    <w:rsid w:val="006056CC"/>
    <w:rsid w:val="00605C25"/>
    <w:rsid w:val="00605D9A"/>
    <w:rsid w:val="00606BF2"/>
    <w:rsid w:val="00606F36"/>
    <w:rsid w:val="00606FB8"/>
    <w:rsid w:val="00607240"/>
    <w:rsid w:val="006072CD"/>
    <w:rsid w:val="006075E3"/>
    <w:rsid w:val="00607687"/>
    <w:rsid w:val="00607DCE"/>
    <w:rsid w:val="006101A3"/>
    <w:rsid w:val="0061020B"/>
    <w:rsid w:val="00610569"/>
    <w:rsid w:val="0061063A"/>
    <w:rsid w:val="0061099D"/>
    <w:rsid w:val="00610F55"/>
    <w:rsid w:val="0061177E"/>
    <w:rsid w:val="006117D8"/>
    <w:rsid w:val="0061184C"/>
    <w:rsid w:val="0061195D"/>
    <w:rsid w:val="00611970"/>
    <w:rsid w:val="00611B07"/>
    <w:rsid w:val="00611B87"/>
    <w:rsid w:val="00611BF5"/>
    <w:rsid w:val="00612078"/>
    <w:rsid w:val="00612B54"/>
    <w:rsid w:val="00613099"/>
    <w:rsid w:val="00613450"/>
    <w:rsid w:val="0061350D"/>
    <w:rsid w:val="00614259"/>
    <w:rsid w:val="00614260"/>
    <w:rsid w:val="006146E7"/>
    <w:rsid w:val="00614885"/>
    <w:rsid w:val="006153E3"/>
    <w:rsid w:val="006154C6"/>
    <w:rsid w:val="00615B60"/>
    <w:rsid w:val="00616686"/>
    <w:rsid w:val="00616A2C"/>
    <w:rsid w:val="006174AF"/>
    <w:rsid w:val="00617F28"/>
    <w:rsid w:val="00620350"/>
    <w:rsid w:val="00620561"/>
    <w:rsid w:val="006206F3"/>
    <w:rsid w:val="00620A06"/>
    <w:rsid w:val="00621586"/>
    <w:rsid w:val="00621D8E"/>
    <w:rsid w:val="00621F00"/>
    <w:rsid w:val="0062214E"/>
    <w:rsid w:val="006223EE"/>
    <w:rsid w:val="00622498"/>
    <w:rsid w:val="0062286E"/>
    <w:rsid w:val="00622B63"/>
    <w:rsid w:val="00622CF8"/>
    <w:rsid w:val="00623126"/>
    <w:rsid w:val="00623167"/>
    <w:rsid w:val="00623177"/>
    <w:rsid w:val="00623722"/>
    <w:rsid w:val="00623AE2"/>
    <w:rsid w:val="0062421D"/>
    <w:rsid w:val="006249B8"/>
    <w:rsid w:val="00624C83"/>
    <w:rsid w:val="00624EEC"/>
    <w:rsid w:val="00624F4D"/>
    <w:rsid w:val="006250ED"/>
    <w:rsid w:val="0062568D"/>
    <w:rsid w:val="00625823"/>
    <w:rsid w:val="00625A78"/>
    <w:rsid w:val="006267ED"/>
    <w:rsid w:val="00626A6D"/>
    <w:rsid w:val="00627435"/>
    <w:rsid w:val="00627579"/>
    <w:rsid w:val="006276E1"/>
    <w:rsid w:val="006277E0"/>
    <w:rsid w:val="00627A66"/>
    <w:rsid w:val="00630347"/>
    <w:rsid w:val="0063035F"/>
    <w:rsid w:val="0063053C"/>
    <w:rsid w:val="006308BE"/>
    <w:rsid w:val="00630A5A"/>
    <w:rsid w:val="00631280"/>
    <w:rsid w:val="006323A5"/>
    <w:rsid w:val="00632855"/>
    <w:rsid w:val="00632FEA"/>
    <w:rsid w:val="00633683"/>
    <w:rsid w:val="00633B31"/>
    <w:rsid w:val="00633C8A"/>
    <w:rsid w:val="0063455B"/>
    <w:rsid w:val="006347B6"/>
    <w:rsid w:val="00634DA1"/>
    <w:rsid w:val="006354F5"/>
    <w:rsid w:val="00635524"/>
    <w:rsid w:val="00635913"/>
    <w:rsid w:val="0063637E"/>
    <w:rsid w:val="00636555"/>
    <w:rsid w:val="006365C9"/>
    <w:rsid w:val="00636760"/>
    <w:rsid w:val="00636808"/>
    <w:rsid w:val="006369BC"/>
    <w:rsid w:val="006369DF"/>
    <w:rsid w:val="00636B7D"/>
    <w:rsid w:val="00636C2A"/>
    <w:rsid w:val="00636FCE"/>
    <w:rsid w:val="00637058"/>
    <w:rsid w:val="00637989"/>
    <w:rsid w:val="00637C82"/>
    <w:rsid w:val="00637E58"/>
    <w:rsid w:val="00637E83"/>
    <w:rsid w:val="006401C0"/>
    <w:rsid w:val="00640E14"/>
    <w:rsid w:val="00641069"/>
    <w:rsid w:val="0064150C"/>
    <w:rsid w:val="00641D72"/>
    <w:rsid w:val="0064232F"/>
    <w:rsid w:val="00642455"/>
    <w:rsid w:val="0064272D"/>
    <w:rsid w:val="00642F05"/>
    <w:rsid w:val="00643457"/>
    <w:rsid w:val="00643518"/>
    <w:rsid w:val="00643E41"/>
    <w:rsid w:val="00644249"/>
    <w:rsid w:val="00644394"/>
    <w:rsid w:val="0064478B"/>
    <w:rsid w:val="006453A7"/>
    <w:rsid w:val="006456D4"/>
    <w:rsid w:val="0064581C"/>
    <w:rsid w:val="00646156"/>
    <w:rsid w:val="00646E44"/>
    <w:rsid w:val="00647206"/>
    <w:rsid w:val="00647384"/>
    <w:rsid w:val="006473E6"/>
    <w:rsid w:val="006476E2"/>
    <w:rsid w:val="00647BF2"/>
    <w:rsid w:val="00647C87"/>
    <w:rsid w:val="00647CC6"/>
    <w:rsid w:val="00647F99"/>
    <w:rsid w:val="006508AD"/>
    <w:rsid w:val="006509E0"/>
    <w:rsid w:val="00650B7A"/>
    <w:rsid w:val="00651174"/>
    <w:rsid w:val="00651856"/>
    <w:rsid w:val="00651897"/>
    <w:rsid w:val="00651C9B"/>
    <w:rsid w:val="006520FD"/>
    <w:rsid w:val="0065213C"/>
    <w:rsid w:val="00652186"/>
    <w:rsid w:val="0065219C"/>
    <w:rsid w:val="00652538"/>
    <w:rsid w:val="006525DB"/>
    <w:rsid w:val="00652721"/>
    <w:rsid w:val="006528C5"/>
    <w:rsid w:val="00652B1C"/>
    <w:rsid w:val="00653025"/>
    <w:rsid w:val="00653975"/>
    <w:rsid w:val="00654047"/>
    <w:rsid w:val="0065405B"/>
    <w:rsid w:val="00654987"/>
    <w:rsid w:val="00654F2D"/>
    <w:rsid w:val="006556E4"/>
    <w:rsid w:val="006559F9"/>
    <w:rsid w:val="00655B3A"/>
    <w:rsid w:val="00655CB0"/>
    <w:rsid w:val="0065623A"/>
    <w:rsid w:val="006566EC"/>
    <w:rsid w:val="006568D4"/>
    <w:rsid w:val="00656923"/>
    <w:rsid w:val="00656CD8"/>
    <w:rsid w:val="00656DF9"/>
    <w:rsid w:val="00656E26"/>
    <w:rsid w:val="00656EEF"/>
    <w:rsid w:val="00657601"/>
    <w:rsid w:val="00657900"/>
    <w:rsid w:val="00657F86"/>
    <w:rsid w:val="00660257"/>
    <w:rsid w:val="0066029F"/>
    <w:rsid w:val="00660CC1"/>
    <w:rsid w:val="00661158"/>
    <w:rsid w:val="00661284"/>
    <w:rsid w:val="006615A4"/>
    <w:rsid w:val="006615CA"/>
    <w:rsid w:val="00662753"/>
    <w:rsid w:val="00662D4B"/>
    <w:rsid w:val="00663103"/>
    <w:rsid w:val="0066328F"/>
    <w:rsid w:val="00663381"/>
    <w:rsid w:val="0066374E"/>
    <w:rsid w:val="00663C08"/>
    <w:rsid w:val="00663CB2"/>
    <w:rsid w:val="00663F5B"/>
    <w:rsid w:val="006640A2"/>
    <w:rsid w:val="00664368"/>
    <w:rsid w:val="0066472B"/>
    <w:rsid w:val="00664797"/>
    <w:rsid w:val="0066512C"/>
    <w:rsid w:val="00665883"/>
    <w:rsid w:val="00665AE3"/>
    <w:rsid w:val="00665D4A"/>
    <w:rsid w:val="00666144"/>
    <w:rsid w:val="006662BC"/>
    <w:rsid w:val="00666E15"/>
    <w:rsid w:val="00666E97"/>
    <w:rsid w:val="0066759A"/>
    <w:rsid w:val="006676BD"/>
    <w:rsid w:val="006677EC"/>
    <w:rsid w:val="006678B7"/>
    <w:rsid w:val="00667D46"/>
    <w:rsid w:val="006704BF"/>
    <w:rsid w:val="00671157"/>
    <w:rsid w:val="0067124A"/>
    <w:rsid w:val="00671694"/>
    <w:rsid w:val="00671C5E"/>
    <w:rsid w:val="00672310"/>
    <w:rsid w:val="00672490"/>
    <w:rsid w:val="006724F2"/>
    <w:rsid w:val="00672645"/>
    <w:rsid w:val="00672746"/>
    <w:rsid w:val="00672E7E"/>
    <w:rsid w:val="00673122"/>
    <w:rsid w:val="00673258"/>
    <w:rsid w:val="006732EA"/>
    <w:rsid w:val="006738AC"/>
    <w:rsid w:val="006738E7"/>
    <w:rsid w:val="00673A9B"/>
    <w:rsid w:val="00673E08"/>
    <w:rsid w:val="006740AC"/>
    <w:rsid w:val="00674231"/>
    <w:rsid w:val="006743AF"/>
    <w:rsid w:val="006743B6"/>
    <w:rsid w:val="006743E6"/>
    <w:rsid w:val="0067469F"/>
    <w:rsid w:val="006748C2"/>
    <w:rsid w:val="00675023"/>
    <w:rsid w:val="006755F6"/>
    <w:rsid w:val="006758BA"/>
    <w:rsid w:val="00676AB9"/>
    <w:rsid w:val="00676D6D"/>
    <w:rsid w:val="00676F16"/>
    <w:rsid w:val="006774BE"/>
    <w:rsid w:val="00677539"/>
    <w:rsid w:val="0067779D"/>
    <w:rsid w:val="006777DF"/>
    <w:rsid w:val="00677BBA"/>
    <w:rsid w:val="00677C1B"/>
    <w:rsid w:val="00677C80"/>
    <w:rsid w:val="0068076D"/>
    <w:rsid w:val="0068096B"/>
    <w:rsid w:val="00681282"/>
    <w:rsid w:val="0068164F"/>
    <w:rsid w:val="006818C6"/>
    <w:rsid w:val="006818E1"/>
    <w:rsid w:val="0068233C"/>
    <w:rsid w:val="006824CA"/>
    <w:rsid w:val="00682B68"/>
    <w:rsid w:val="00682B7C"/>
    <w:rsid w:val="00683452"/>
    <w:rsid w:val="006835DA"/>
    <w:rsid w:val="006840F7"/>
    <w:rsid w:val="0068460E"/>
    <w:rsid w:val="006851C2"/>
    <w:rsid w:val="00685456"/>
    <w:rsid w:val="00685BD4"/>
    <w:rsid w:val="006861F9"/>
    <w:rsid w:val="00686A84"/>
    <w:rsid w:val="00686ACB"/>
    <w:rsid w:val="00686BBC"/>
    <w:rsid w:val="00686D46"/>
    <w:rsid w:val="00687170"/>
    <w:rsid w:val="00687418"/>
    <w:rsid w:val="00687BE3"/>
    <w:rsid w:val="00687D9D"/>
    <w:rsid w:val="00690005"/>
    <w:rsid w:val="00690304"/>
    <w:rsid w:val="0069077C"/>
    <w:rsid w:val="00690957"/>
    <w:rsid w:val="00690A4F"/>
    <w:rsid w:val="00690AD6"/>
    <w:rsid w:val="00690EFD"/>
    <w:rsid w:val="00691425"/>
    <w:rsid w:val="006914B8"/>
    <w:rsid w:val="00691659"/>
    <w:rsid w:val="00691807"/>
    <w:rsid w:val="00691B01"/>
    <w:rsid w:val="0069223D"/>
    <w:rsid w:val="00692304"/>
    <w:rsid w:val="00692456"/>
    <w:rsid w:val="00692739"/>
    <w:rsid w:val="00692D96"/>
    <w:rsid w:val="00692E50"/>
    <w:rsid w:val="00692E62"/>
    <w:rsid w:val="00693147"/>
    <w:rsid w:val="0069396F"/>
    <w:rsid w:val="00693ADE"/>
    <w:rsid w:val="00693B0D"/>
    <w:rsid w:val="00693C70"/>
    <w:rsid w:val="00693DFF"/>
    <w:rsid w:val="0069413C"/>
    <w:rsid w:val="00694C0E"/>
    <w:rsid w:val="00694F81"/>
    <w:rsid w:val="00695196"/>
    <w:rsid w:val="006952F9"/>
    <w:rsid w:val="0069533D"/>
    <w:rsid w:val="0069571D"/>
    <w:rsid w:val="00695B3C"/>
    <w:rsid w:val="00695B8D"/>
    <w:rsid w:val="00695B91"/>
    <w:rsid w:val="00696166"/>
    <w:rsid w:val="006967ED"/>
    <w:rsid w:val="0069713C"/>
    <w:rsid w:val="00697282"/>
    <w:rsid w:val="00697AFB"/>
    <w:rsid w:val="006A0642"/>
    <w:rsid w:val="006A08A4"/>
    <w:rsid w:val="006A0E48"/>
    <w:rsid w:val="006A1129"/>
    <w:rsid w:val="006A11A6"/>
    <w:rsid w:val="006A1257"/>
    <w:rsid w:val="006A148D"/>
    <w:rsid w:val="006A1BAD"/>
    <w:rsid w:val="006A1E62"/>
    <w:rsid w:val="006A21C9"/>
    <w:rsid w:val="006A2A71"/>
    <w:rsid w:val="006A2EDB"/>
    <w:rsid w:val="006A2F12"/>
    <w:rsid w:val="006A2FC3"/>
    <w:rsid w:val="006A399D"/>
    <w:rsid w:val="006A3D30"/>
    <w:rsid w:val="006A3E21"/>
    <w:rsid w:val="006A3EFA"/>
    <w:rsid w:val="006A4227"/>
    <w:rsid w:val="006A456C"/>
    <w:rsid w:val="006A474F"/>
    <w:rsid w:val="006A479D"/>
    <w:rsid w:val="006A4E7C"/>
    <w:rsid w:val="006A4EEA"/>
    <w:rsid w:val="006A4FE2"/>
    <w:rsid w:val="006A5392"/>
    <w:rsid w:val="006A53BA"/>
    <w:rsid w:val="006A576E"/>
    <w:rsid w:val="006A67BF"/>
    <w:rsid w:val="006A6B2C"/>
    <w:rsid w:val="006A72F6"/>
    <w:rsid w:val="006A73C8"/>
    <w:rsid w:val="006A79CF"/>
    <w:rsid w:val="006AAA3F"/>
    <w:rsid w:val="006B00CC"/>
    <w:rsid w:val="006B0350"/>
    <w:rsid w:val="006B0470"/>
    <w:rsid w:val="006B04A4"/>
    <w:rsid w:val="006B0EA6"/>
    <w:rsid w:val="006B1083"/>
    <w:rsid w:val="006B1122"/>
    <w:rsid w:val="006B16A1"/>
    <w:rsid w:val="006B1A1D"/>
    <w:rsid w:val="006B1A3C"/>
    <w:rsid w:val="006B1B0A"/>
    <w:rsid w:val="006B1ECE"/>
    <w:rsid w:val="006B20AB"/>
    <w:rsid w:val="006B2146"/>
    <w:rsid w:val="006B2655"/>
    <w:rsid w:val="006B2CB1"/>
    <w:rsid w:val="006B2E18"/>
    <w:rsid w:val="006B31A0"/>
    <w:rsid w:val="006B3E1E"/>
    <w:rsid w:val="006B3FFA"/>
    <w:rsid w:val="006B405C"/>
    <w:rsid w:val="006B4209"/>
    <w:rsid w:val="006B4572"/>
    <w:rsid w:val="006B4C51"/>
    <w:rsid w:val="006B4ED5"/>
    <w:rsid w:val="006B5273"/>
    <w:rsid w:val="006B5C58"/>
    <w:rsid w:val="006B5C93"/>
    <w:rsid w:val="006B5CD8"/>
    <w:rsid w:val="006B5D68"/>
    <w:rsid w:val="006B5E13"/>
    <w:rsid w:val="006B5EEC"/>
    <w:rsid w:val="006B63F0"/>
    <w:rsid w:val="006B69CB"/>
    <w:rsid w:val="006B6A98"/>
    <w:rsid w:val="006B71F7"/>
    <w:rsid w:val="006B7303"/>
    <w:rsid w:val="006B74FD"/>
    <w:rsid w:val="006B7B54"/>
    <w:rsid w:val="006B7BE5"/>
    <w:rsid w:val="006C00AA"/>
    <w:rsid w:val="006C0111"/>
    <w:rsid w:val="006C07C9"/>
    <w:rsid w:val="006C098E"/>
    <w:rsid w:val="006C09D0"/>
    <w:rsid w:val="006C0B0A"/>
    <w:rsid w:val="006C0B43"/>
    <w:rsid w:val="006C0D18"/>
    <w:rsid w:val="006C1163"/>
    <w:rsid w:val="006C12F6"/>
    <w:rsid w:val="006C159A"/>
    <w:rsid w:val="006C15C3"/>
    <w:rsid w:val="006C182F"/>
    <w:rsid w:val="006C19F6"/>
    <w:rsid w:val="006C1B87"/>
    <w:rsid w:val="006C2120"/>
    <w:rsid w:val="006C2DE1"/>
    <w:rsid w:val="006C2E7F"/>
    <w:rsid w:val="006C3299"/>
    <w:rsid w:val="006C35FA"/>
    <w:rsid w:val="006C37C3"/>
    <w:rsid w:val="006C37ED"/>
    <w:rsid w:val="006C3BF1"/>
    <w:rsid w:val="006C3D99"/>
    <w:rsid w:val="006C4168"/>
    <w:rsid w:val="006C421D"/>
    <w:rsid w:val="006C4247"/>
    <w:rsid w:val="006C430B"/>
    <w:rsid w:val="006C4C16"/>
    <w:rsid w:val="006C4D4C"/>
    <w:rsid w:val="006C535C"/>
    <w:rsid w:val="006C56CB"/>
    <w:rsid w:val="006C61B1"/>
    <w:rsid w:val="006C6345"/>
    <w:rsid w:val="006C680F"/>
    <w:rsid w:val="006C6D41"/>
    <w:rsid w:val="006C75B1"/>
    <w:rsid w:val="006C78F7"/>
    <w:rsid w:val="006C7DD2"/>
    <w:rsid w:val="006D0322"/>
    <w:rsid w:val="006D07B8"/>
    <w:rsid w:val="006D0A11"/>
    <w:rsid w:val="006D10DE"/>
    <w:rsid w:val="006D1262"/>
    <w:rsid w:val="006D1599"/>
    <w:rsid w:val="006D15B0"/>
    <w:rsid w:val="006D15F4"/>
    <w:rsid w:val="006D187B"/>
    <w:rsid w:val="006D18CA"/>
    <w:rsid w:val="006D19B3"/>
    <w:rsid w:val="006D1A8C"/>
    <w:rsid w:val="006D1D48"/>
    <w:rsid w:val="006D1F7B"/>
    <w:rsid w:val="006D1FA2"/>
    <w:rsid w:val="006D21A8"/>
    <w:rsid w:val="006D21F5"/>
    <w:rsid w:val="006D23A4"/>
    <w:rsid w:val="006D2D6C"/>
    <w:rsid w:val="006D2E1D"/>
    <w:rsid w:val="006D360E"/>
    <w:rsid w:val="006D3DB0"/>
    <w:rsid w:val="006D3DFD"/>
    <w:rsid w:val="006D3E04"/>
    <w:rsid w:val="006D40C6"/>
    <w:rsid w:val="006D452F"/>
    <w:rsid w:val="006D472E"/>
    <w:rsid w:val="006D4809"/>
    <w:rsid w:val="006D4B00"/>
    <w:rsid w:val="006D52C7"/>
    <w:rsid w:val="006D52FE"/>
    <w:rsid w:val="006D5441"/>
    <w:rsid w:val="006D5500"/>
    <w:rsid w:val="006D5765"/>
    <w:rsid w:val="006D58F7"/>
    <w:rsid w:val="006D6035"/>
    <w:rsid w:val="006D7BA9"/>
    <w:rsid w:val="006E040D"/>
    <w:rsid w:val="006E1467"/>
    <w:rsid w:val="006E1611"/>
    <w:rsid w:val="006E16C8"/>
    <w:rsid w:val="006E1C07"/>
    <w:rsid w:val="006E1D68"/>
    <w:rsid w:val="006E2A4D"/>
    <w:rsid w:val="006E2C5A"/>
    <w:rsid w:val="006E2F17"/>
    <w:rsid w:val="006E2FC6"/>
    <w:rsid w:val="006E32DC"/>
    <w:rsid w:val="006E32F3"/>
    <w:rsid w:val="006E33F8"/>
    <w:rsid w:val="006E346C"/>
    <w:rsid w:val="006E3A99"/>
    <w:rsid w:val="006E3CDE"/>
    <w:rsid w:val="006E3D30"/>
    <w:rsid w:val="006E4204"/>
    <w:rsid w:val="006E48B5"/>
    <w:rsid w:val="006E49C0"/>
    <w:rsid w:val="006E49E4"/>
    <w:rsid w:val="006E5232"/>
    <w:rsid w:val="006E54BB"/>
    <w:rsid w:val="006E5BB3"/>
    <w:rsid w:val="006E5CCF"/>
    <w:rsid w:val="006E681A"/>
    <w:rsid w:val="006E74E2"/>
    <w:rsid w:val="006E76AD"/>
    <w:rsid w:val="006E7A99"/>
    <w:rsid w:val="006E7CAC"/>
    <w:rsid w:val="006F01DA"/>
    <w:rsid w:val="006F07BF"/>
    <w:rsid w:val="006F0A3A"/>
    <w:rsid w:val="006F0C92"/>
    <w:rsid w:val="006F0D55"/>
    <w:rsid w:val="006F0D60"/>
    <w:rsid w:val="006F11D8"/>
    <w:rsid w:val="006F13AB"/>
    <w:rsid w:val="006F17D1"/>
    <w:rsid w:val="006F1BC0"/>
    <w:rsid w:val="006F260A"/>
    <w:rsid w:val="006F2819"/>
    <w:rsid w:val="006F28C0"/>
    <w:rsid w:val="006F2C23"/>
    <w:rsid w:val="006F2DC2"/>
    <w:rsid w:val="006F2F90"/>
    <w:rsid w:val="006F3185"/>
    <w:rsid w:val="006F31B1"/>
    <w:rsid w:val="006F371D"/>
    <w:rsid w:val="006F3863"/>
    <w:rsid w:val="006F3931"/>
    <w:rsid w:val="006F3CA3"/>
    <w:rsid w:val="006F4285"/>
    <w:rsid w:val="006F46D2"/>
    <w:rsid w:val="006F5003"/>
    <w:rsid w:val="006F520A"/>
    <w:rsid w:val="006F5227"/>
    <w:rsid w:val="006F532F"/>
    <w:rsid w:val="006F5726"/>
    <w:rsid w:val="006F5831"/>
    <w:rsid w:val="006F5ABA"/>
    <w:rsid w:val="006F659E"/>
    <w:rsid w:val="006F68EF"/>
    <w:rsid w:val="006F6D72"/>
    <w:rsid w:val="006F71C9"/>
    <w:rsid w:val="006F7561"/>
    <w:rsid w:val="006F7571"/>
    <w:rsid w:val="006F7589"/>
    <w:rsid w:val="006F7855"/>
    <w:rsid w:val="006F7920"/>
    <w:rsid w:val="006F7BA9"/>
    <w:rsid w:val="006F7F40"/>
    <w:rsid w:val="006F7FDC"/>
    <w:rsid w:val="0070022A"/>
    <w:rsid w:val="00700335"/>
    <w:rsid w:val="00700865"/>
    <w:rsid w:val="00700A29"/>
    <w:rsid w:val="00700EFB"/>
    <w:rsid w:val="0070134E"/>
    <w:rsid w:val="00701C92"/>
    <w:rsid w:val="00701D18"/>
    <w:rsid w:val="00701EA0"/>
    <w:rsid w:val="00702CFF"/>
    <w:rsid w:val="0070306B"/>
    <w:rsid w:val="00703EF4"/>
    <w:rsid w:val="007042DE"/>
    <w:rsid w:val="00704508"/>
    <w:rsid w:val="007046FB"/>
    <w:rsid w:val="00704752"/>
    <w:rsid w:val="00704894"/>
    <w:rsid w:val="00704A8C"/>
    <w:rsid w:val="00704F61"/>
    <w:rsid w:val="00705171"/>
    <w:rsid w:val="007053CE"/>
    <w:rsid w:val="00705432"/>
    <w:rsid w:val="007054F3"/>
    <w:rsid w:val="00705CE4"/>
    <w:rsid w:val="00706310"/>
    <w:rsid w:val="007067F5"/>
    <w:rsid w:val="0070695C"/>
    <w:rsid w:val="00706EE3"/>
    <w:rsid w:val="0070726B"/>
    <w:rsid w:val="0070741E"/>
    <w:rsid w:val="00707443"/>
    <w:rsid w:val="0070786F"/>
    <w:rsid w:val="00707BC8"/>
    <w:rsid w:val="00707FFD"/>
    <w:rsid w:val="0071011F"/>
    <w:rsid w:val="00710920"/>
    <w:rsid w:val="00710B55"/>
    <w:rsid w:val="00711615"/>
    <w:rsid w:val="00711CF2"/>
    <w:rsid w:val="00712198"/>
    <w:rsid w:val="00712306"/>
    <w:rsid w:val="00712A6C"/>
    <w:rsid w:val="00713167"/>
    <w:rsid w:val="0071364A"/>
    <w:rsid w:val="007136F7"/>
    <w:rsid w:val="0071391A"/>
    <w:rsid w:val="00714500"/>
    <w:rsid w:val="00714734"/>
    <w:rsid w:val="007147A2"/>
    <w:rsid w:val="00714AC2"/>
    <w:rsid w:val="00714C57"/>
    <w:rsid w:val="00714D05"/>
    <w:rsid w:val="00715191"/>
    <w:rsid w:val="007153F7"/>
    <w:rsid w:val="00715633"/>
    <w:rsid w:val="00715683"/>
    <w:rsid w:val="00715BF1"/>
    <w:rsid w:val="00715C19"/>
    <w:rsid w:val="0071676E"/>
    <w:rsid w:val="00716E01"/>
    <w:rsid w:val="00717F82"/>
    <w:rsid w:val="0072005E"/>
    <w:rsid w:val="00720716"/>
    <w:rsid w:val="0072077E"/>
    <w:rsid w:val="007208E4"/>
    <w:rsid w:val="00720AC4"/>
    <w:rsid w:val="00720D2E"/>
    <w:rsid w:val="00721247"/>
    <w:rsid w:val="007212F7"/>
    <w:rsid w:val="007216DC"/>
    <w:rsid w:val="007217A0"/>
    <w:rsid w:val="00721F17"/>
    <w:rsid w:val="00722440"/>
    <w:rsid w:val="00722640"/>
    <w:rsid w:val="00722CAB"/>
    <w:rsid w:val="00723074"/>
    <w:rsid w:val="00723274"/>
    <w:rsid w:val="00723520"/>
    <w:rsid w:val="00723A83"/>
    <w:rsid w:val="00723CA4"/>
    <w:rsid w:val="007243A0"/>
    <w:rsid w:val="007243FE"/>
    <w:rsid w:val="0072453C"/>
    <w:rsid w:val="007245E7"/>
    <w:rsid w:val="007246F2"/>
    <w:rsid w:val="00724D6D"/>
    <w:rsid w:val="00724E3F"/>
    <w:rsid w:val="00724F67"/>
    <w:rsid w:val="007256CD"/>
    <w:rsid w:val="0072571A"/>
    <w:rsid w:val="00725D70"/>
    <w:rsid w:val="00725DBC"/>
    <w:rsid w:val="00726415"/>
    <w:rsid w:val="00726A10"/>
    <w:rsid w:val="00726B7F"/>
    <w:rsid w:val="00726C35"/>
    <w:rsid w:val="00726C82"/>
    <w:rsid w:val="0072708B"/>
    <w:rsid w:val="007271D1"/>
    <w:rsid w:val="00727909"/>
    <w:rsid w:val="00727B81"/>
    <w:rsid w:val="00727D0A"/>
    <w:rsid w:val="007301FF"/>
    <w:rsid w:val="00730438"/>
    <w:rsid w:val="00730499"/>
    <w:rsid w:val="00730530"/>
    <w:rsid w:val="00730EB0"/>
    <w:rsid w:val="00731064"/>
    <w:rsid w:val="00731225"/>
    <w:rsid w:val="0073149D"/>
    <w:rsid w:val="007316F4"/>
    <w:rsid w:val="00731AAF"/>
    <w:rsid w:val="00731C4E"/>
    <w:rsid w:val="00731CFB"/>
    <w:rsid w:val="00731F58"/>
    <w:rsid w:val="00731F91"/>
    <w:rsid w:val="00731FA7"/>
    <w:rsid w:val="00732481"/>
    <w:rsid w:val="00732972"/>
    <w:rsid w:val="00732C08"/>
    <w:rsid w:val="00732EBE"/>
    <w:rsid w:val="00732F0B"/>
    <w:rsid w:val="00733DC1"/>
    <w:rsid w:val="00733DEB"/>
    <w:rsid w:val="00733F10"/>
    <w:rsid w:val="00733FB7"/>
    <w:rsid w:val="00734141"/>
    <w:rsid w:val="007342CE"/>
    <w:rsid w:val="00734D17"/>
    <w:rsid w:val="00734F20"/>
    <w:rsid w:val="007352B2"/>
    <w:rsid w:val="00735A5A"/>
    <w:rsid w:val="00735C07"/>
    <w:rsid w:val="00735FAF"/>
    <w:rsid w:val="00735FDC"/>
    <w:rsid w:val="0073612F"/>
    <w:rsid w:val="0073618B"/>
    <w:rsid w:val="0073621E"/>
    <w:rsid w:val="007363B8"/>
    <w:rsid w:val="007364A2"/>
    <w:rsid w:val="0073684F"/>
    <w:rsid w:val="00736AFD"/>
    <w:rsid w:val="00736DA3"/>
    <w:rsid w:val="007371EF"/>
    <w:rsid w:val="00737623"/>
    <w:rsid w:val="00737E57"/>
    <w:rsid w:val="00740474"/>
    <w:rsid w:val="00740A30"/>
    <w:rsid w:val="00740D68"/>
    <w:rsid w:val="007411B3"/>
    <w:rsid w:val="0074136E"/>
    <w:rsid w:val="00741382"/>
    <w:rsid w:val="00742A39"/>
    <w:rsid w:val="00742B25"/>
    <w:rsid w:val="00742D68"/>
    <w:rsid w:val="00742E0F"/>
    <w:rsid w:val="0074301B"/>
    <w:rsid w:val="00743118"/>
    <w:rsid w:val="007432A6"/>
    <w:rsid w:val="0074367D"/>
    <w:rsid w:val="0074388B"/>
    <w:rsid w:val="007439DF"/>
    <w:rsid w:val="00743A4A"/>
    <w:rsid w:val="00743B88"/>
    <w:rsid w:val="007444F2"/>
    <w:rsid w:val="00744B94"/>
    <w:rsid w:val="007450F3"/>
    <w:rsid w:val="00745294"/>
    <w:rsid w:val="00745DE0"/>
    <w:rsid w:val="00745F52"/>
    <w:rsid w:val="00746133"/>
    <w:rsid w:val="00746420"/>
    <w:rsid w:val="00746DFB"/>
    <w:rsid w:val="0074767E"/>
    <w:rsid w:val="0074781A"/>
    <w:rsid w:val="00747906"/>
    <w:rsid w:val="00750697"/>
    <w:rsid w:val="0075077B"/>
    <w:rsid w:val="00750F77"/>
    <w:rsid w:val="007513CB"/>
    <w:rsid w:val="007515FC"/>
    <w:rsid w:val="00751C8D"/>
    <w:rsid w:val="00752093"/>
    <w:rsid w:val="007520E9"/>
    <w:rsid w:val="0075224C"/>
    <w:rsid w:val="0075250D"/>
    <w:rsid w:val="0075262C"/>
    <w:rsid w:val="00752D09"/>
    <w:rsid w:val="00752EC9"/>
    <w:rsid w:val="0075312F"/>
    <w:rsid w:val="00753B63"/>
    <w:rsid w:val="00753CE1"/>
    <w:rsid w:val="00754786"/>
    <w:rsid w:val="007549BE"/>
    <w:rsid w:val="00754D10"/>
    <w:rsid w:val="007551AA"/>
    <w:rsid w:val="0075580B"/>
    <w:rsid w:val="00755905"/>
    <w:rsid w:val="00755ABA"/>
    <w:rsid w:val="00755DE8"/>
    <w:rsid w:val="007562EF"/>
    <w:rsid w:val="007566FF"/>
    <w:rsid w:val="00756C21"/>
    <w:rsid w:val="007571B7"/>
    <w:rsid w:val="0075750C"/>
    <w:rsid w:val="007575FB"/>
    <w:rsid w:val="0075764C"/>
    <w:rsid w:val="0076075C"/>
    <w:rsid w:val="00760A52"/>
    <w:rsid w:val="00760F1E"/>
    <w:rsid w:val="00761AB2"/>
    <w:rsid w:val="00761D48"/>
    <w:rsid w:val="007626CA"/>
    <w:rsid w:val="007626D0"/>
    <w:rsid w:val="00762A6A"/>
    <w:rsid w:val="00762B22"/>
    <w:rsid w:val="00762DF6"/>
    <w:rsid w:val="00762E1E"/>
    <w:rsid w:val="00762EEC"/>
    <w:rsid w:val="0076316F"/>
    <w:rsid w:val="00763959"/>
    <w:rsid w:val="00763BFA"/>
    <w:rsid w:val="00763D11"/>
    <w:rsid w:val="00764266"/>
    <w:rsid w:val="007642F7"/>
    <w:rsid w:val="007643BB"/>
    <w:rsid w:val="00764655"/>
    <w:rsid w:val="00764ADA"/>
    <w:rsid w:val="00764DFB"/>
    <w:rsid w:val="00765613"/>
    <w:rsid w:val="00765887"/>
    <w:rsid w:val="007659A2"/>
    <w:rsid w:val="007660F9"/>
    <w:rsid w:val="00766E92"/>
    <w:rsid w:val="007671FD"/>
    <w:rsid w:val="00767A28"/>
    <w:rsid w:val="007705BE"/>
    <w:rsid w:val="007709E1"/>
    <w:rsid w:val="00770D0E"/>
    <w:rsid w:val="00770EF3"/>
    <w:rsid w:val="00770F7D"/>
    <w:rsid w:val="00771244"/>
    <w:rsid w:val="0077153A"/>
    <w:rsid w:val="007716FF"/>
    <w:rsid w:val="00771A48"/>
    <w:rsid w:val="00771D64"/>
    <w:rsid w:val="00771E1F"/>
    <w:rsid w:val="007725C9"/>
    <w:rsid w:val="007726C2"/>
    <w:rsid w:val="00772894"/>
    <w:rsid w:val="00772B2F"/>
    <w:rsid w:val="00772F5E"/>
    <w:rsid w:val="00772FF8"/>
    <w:rsid w:val="00773069"/>
    <w:rsid w:val="007732F5"/>
    <w:rsid w:val="007735DC"/>
    <w:rsid w:val="00773860"/>
    <w:rsid w:val="00773AB5"/>
    <w:rsid w:val="00773C3F"/>
    <w:rsid w:val="007743DD"/>
    <w:rsid w:val="00774447"/>
    <w:rsid w:val="00774477"/>
    <w:rsid w:val="00774DB8"/>
    <w:rsid w:val="00774ED7"/>
    <w:rsid w:val="0077505C"/>
    <w:rsid w:val="00775119"/>
    <w:rsid w:val="0077528A"/>
    <w:rsid w:val="00775376"/>
    <w:rsid w:val="007756DB"/>
    <w:rsid w:val="00775B18"/>
    <w:rsid w:val="00775C9E"/>
    <w:rsid w:val="00775D13"/>
    <w:rsid w:val="00775D60"/>
    <w:rsid w:val="007769AD"/>
    <w:rsid w:val="00776CB4"/>
    <w:rsid w:val="00776E20"/>
    <w:rsid w:val="00776E9A"/>
    <w:rsid w:val="007773C4"/>
    <w:rsid w:val="007779C2"/>
    <w:rsid w:val="00777E6E"/>
    <w:rsid w:val="00780390"/>
    <w:rsid w:val="007811ED"/>
    <w:rsid w:val="007812F3"/>
    <w:rsid w:val="00781376"/>
    <w:rsid w:val="00781449"/>
    <w:rsid w:val="00781493"/>
    <w:rsid w:val="00781615"/>
    <w:rsid w:val="0078180B"/>
    <w:rsid w:val="00781DD9"/>
    <w:rsid w:val="00782088"/>
    <w:rsid w:val="00782184"/>
    <w:rsid w:val="007822CE"/>
    <w:rsid w:val="00782DEF"/>
    <w:rsid w:val="007833C8"/>
    <w:rsid w:val="007836D7"/>
    <w:rsid w:val="00783748"/>
    <w:rsid w:val="0078397B"/>
    <w:rsid w:val="00784F88"/>
    <w:rsid w:val="00785282"/>
    <w:rsid w:val="0078547B"/>
    <w:rsid w:val="00785490"/>
    <w:rsid w:val="007854F5"/>
    <w:rsid w:val="00785B45"/>
    <w:rsid w:val="00785DE9"/>
    <w:rsid w:val="00785F6A"/>
    <w:rsid w:val="00785FCC"/>
    <w:rsid w:val="00786204"/>
    <w:rsid w:val="0078697B"/>
    <w:rsid w:val="00786C8E"/>
    <w:rsid w:val="00786E6D"/>
    <w:rsid w:val="00787049"/>
    <w:rsid w:val="00787525"/>
    <w:rsid w:val="00787ECB"/>
    <w:rsid w:val="00787FAC"/>
    <w:rsid w:val="00790183"/>
    <w:rsid w:val="007901C9"/>
    <w:rsid w:val="00790823"/>
    <w:rsid w:val="00790A12"/>
    <w:rsid w:val="00790A70"/>
    <w:rsid w:val="00790AAA"/>
    <w:rsid w:val="007913F7"/>
    <w:rsid w:val="007915FC"/>
    <w:rsid w:val="00791C4F"/>
    <w:rsid w:val="00791C7B"/>
    <w:rsid w:val="007928B3"/>
    <w:rsid w:val="00792C52"/>
    <w:rsid w:val="007935CE"/>
    <w:rsid w:val="007936AC"/>
    <w:rsid w:val="00793CCF"/>
    <w:rsid w:val="007940CC"/>
    <w:rsid w:val="007941E2"/>
    <w:rsid w:val="007943D7"/>
    <w:rsid w:val="00794807"/>
    <w:rsid w:val="007948E4"/>
    <w:rsid w:val="00794ACB"/>
    <w:rsid w:val="00795566"/>
    <w:rsid w:val="00795874"/>
    <w:rsid w:val="00795A16"/>
    <w:rsid w:val="00795E56"/>
    <w:rsid w:val="007965BF"/>
    <w:rsid w:val="00796AE1"/>
    <w:rsid w:val="00796BE8"/>
    <w:rsid w:val="00796CC8"/>
    <w:rsid w:val="00796D7D"/>
    <w:rsid w:val="00796F11"/>
    <w:rsid w:val="0079715C"/>
    <w:rsid w:val="007974AF"/>
    <w:rsid w:val="00797788"/>
    <w:rsid w:val="00797A60"/>
    <w:rsid w:val="00797A97"/>
    <w:rsid w:val="00797C5A"/>
    <w:rsid w:val="00797C93"/>
    <w:rsid w:val="007A06A0"/>
    <w:rsid w:val="007A0732"/>
    <w:rsid w:val="007A0795"/>
    <w:rsid w:val="007A0AF4"/>
    <w:rsid w:val="007A0D35"/>
    <w:rsid w:val="007A0F3A"/>
    <w:rsid w:val="007A1B0E"/>
    <w:rsid w:val="007A1BC4"/>
    <w:rsid w:val="007A1D60"/>
    <w:rsid w:val="007A2544"/>
    <w:rsid w:val="007A2D64"/>
    <w:rsid w:val="007A2E8A"/>
    <w:rsid w:val="007A2F7D"/>
    <w:rsid w:val="007A37AE"/>
    <w:rsid w:val="007A4083"/>
    <w:rsid w:val="007A4E8C"/>
    <w:rsid w:val="007A5271"/>
    <w:rsid w:val="007A5312"/>
    <w:rsid w:val="007A5765"/>
    <w:rsid w:val="007A59E9"/>
    <w:rsid w:val="007A5D05"/>
    <w:rsid w:val="007A5F36"/>
    <w:rsid w:val="007A61AB"/>
    <w:rsid w:val="007A649B"/>
    <w:rsid w:val="007A64A9"/>
    <w:rsid w:val="007A69FA"/>
    <w:rsid w:val="007A6D66"/>
    <w:rsid w:val="007A6E83"/>
    <w:rsid w:val="007A7031"/>
    <w:rsid w:val="007A7574"/>
    <w:rsid w:val="007A7810"/>
    <w:rsid w:val="007A799F"/>
    <w:rsid w:val="007A7FC4"/>
    <w:rsid w:val="007B0073"/>
    <w:rsid w:val="007B0706"/>
    <w:rsid w:val="007B115B"/>
    <w:rsid w:val="007B1231"/>
    <w:rsid w:val="007B1356"/>
    <w:rsid w:val="007B156E"/>
    <w:rsid w:val="007B18F5"/>
    <w:rsid w:val="007B20E6"/>
    <w:rsid w:val="007B24A0"/>
    <w:rsid w:val="007B2613"/>
    <w:rsid w:val="007B269A"/>
    <w:rsid w:val="007B2B87"/>
    <w:rsid w:val="007B339D"/>
    <w:rsid w:val="007B348B"/>
    <w:rsid w:val="007B35EE"/>
    <w:rsid w:val="007B373F"/>
    <w:rsid w:val="007B4A7E"/>
    <w:rsid w:val="007B4B49"/>
    <w:rsid w:val="007B4BA0"/>
    <w:rsid w:val="007B4D69"/>
    <w:rsid w:val="007B5674"/>
    <w:rsid w:val="007B576A"/>
    <w:rsid w:val="007B5936"/>
    <w:rsid w:val="007B59E7"/>
    <w:rsid w:val="007B5E97"/>
    <w:rsid w:val="007B61BA"/>
    <w:rsid w:val="007B63B3"/>
    <w:rsid w:val="007B64C2"/>
    <w:rsid w:val="007B6588"/>
    <w:rsid w:val="007B662B"/>
    <w:rsid w:val="007B6981"/>
    <w:rsid w:val="007B7333"/>
    <w:rsid w:val="007B73F8"/>
    <w:rsid w:val="007B7B9F"/>
    <w:rsid w:val="007B7E16"/>
    <w:rsid w:val="007B7FBB"/>
    <w:rsid w:val="007C006F"/>
    <w:rsid w:val="007C0282"/>
    <w:rsid w:val="007C02BC"/>
    <w:rsid w:val="007C0305"/>
    <w:rsid w:val="007C037B"/>
    <w:rsid w:val="007C0B40"/>
    <w:rsid w:val="007C0D85"/>
    <w:rsid w:val="007C1028"/>
    <w:rsid w:val="007C12CA"/>
    <w:rsid w:val="007C17D5"/>
    <w:rsid w:val="007C192B"/>
    <w:rsid w:val="007C1FD0"/>
    <w:rsid w:val="007C20E8"/>
    <w:rsid w:val="007C25F9"/>
    <w:rsid w:val="007C287E"/>
    <w:rsid w:val="007C28D3"/>
    <w:rsid w:val="007C2DFF"/>
    <w:rsid w:val="007C2F14"/>
    <w:rsid w:val="007C33E1"/>
    <w:rsid w:val="007C3683"/>
    <w:rsid w:val="007C3777"/>
    <w:rsid w:val="007C388D"/>
    <w:rsid w:val="007C435B"/>
    <w:rsid w:val="007C46C1"/>
    <w:rsid w:val="007C4739"/>
    <w:rsid w:val="007C4A7B"/>
    <w:rsid w:val="007C4DD5"/>
    <w:rsid w:val="007C52AC"/>
    <w:rsid w:val="007C54B9"/>
    <w:rsid w:val="007C578B"/>
    <w:rsid w:val="007C58DD"/>
    <w:rsid w:val="007C5949"/>
    <w:rsid w:val="007C5B75"/>
    <w:rsid w:val="007C62A0"/>
    <w:rsid w:val="007C6C2E"/>
    <w:rsid w:val="007C6D1A"/>
    <w:rsid w:val="007C6F5D"/>
    <w:rsid w:val="007C75F8"/>
    <w:rsid w:val="007C76A4"/>
    <w:rsid w:val="007C76E1"/>
    <w:rsid w:val="007C7B04"/>
    <w:rsid w:val="007C7DDA"/>
    <w:rsid w:val="007D004B"/>
    <w:rsid w:val="007D02D6"/>
    <w:rsid w:val="007D02E0"/>
    <w:rsid w:val="007D0E3B"/>
    <w:rsid w:val="007D0E81"/>
    <w:rsid w:val="007D0F12"/>
    <w:rsid w:val="007D13E2"/>
    <w:rsid w:val="007D180B"/>
    <w:rsid w:val="007D214E"/>
    <w:rsid w:val="007D25C9"/>
    <w:rsid w:val="007D2AD6"/>
    <w:rsid w:val="007D33CA"/>
    <w:rsid w:val="007D3576"/>
    <w:rsid w:val="007D3881"/>
    <w:rsid w:val="007D3C25"/>
    <w:rsid w:val="007D4193"/>
    <w:rsid w:val="007D443D"/>
    <w:rsid w:val="007D44AA"/>
    <w:rsid w:val="007D4AE9"/>
    <w:rsid w:val="007D5059"/>
    <w:rsid w:val="007D517B"/>
    <w:rsid w:val="007D52A8"/>
    <w:rsid w:val="007D52F3"/>
    <w:rsid w:val="007D55B3"/>
    <w:rsid w:val="007D5784"/>
    <w:rsid w:val="007D6442"/>
    <w:rsid w:val="007D65C0"/>
    <w:rsid w:val="007D6679"/>
    <w:rsid w:val="007D6DBF"/>
    <w:rsid w:val="007D7059"/>
    <w:rsid w:val="007D71D8"/>
    <w:rsid w:val="007D767B"/>
    <w:rsid w:val="007D7A2F"/>
    <w:rsid w:val="007D7D40"/>
    <w:rsid w:val="007D7E32"/>
    <w:rsid w:val="007E05BE"/>
    <w:rsid w:val="007E0E78"/>
    <w:rsid w:val="007E14B5"/>
    <w:rsid w:val="007E151D"/>
    <w:rsid w:val="007E1D8A"/>
    <w:rsid w:val="007E21BE"/>
    <w:rsid w:val="007E222A"/>
    <w:rsid w:val="007E2252"/>
    <w:rsid w:val="007E2328"/>
    <w:rsid w:val="007E2C2A"/>
    <w:rsid w:val="007E2C7B"/>
    <w:rsid w:val="007E315B"/>
    <w:rsid w:val="007E3208"/>
    <w:rsid w:val="007E322F"/>
    <w:rsid w:val="007E34A0"/>
    <w:rsid w:val="007E37E6"/>
    <w:rsid w:val="007E3A07"/>
    <w:rsid w:val="007E3BF3"/>
    <w:rsid w:val="007E404D"/>
    <w:rsid w:val="007E4160"/>
    <w:rsid w:val="007E4435"/>
    <w:rsid w:val="007E45DE"/>
    <w:rsid w:val="007E4815"/>
    <w:rsid w:val="007E4B5C"/>
    <w:rsid w:val="007E512B"/>
    <w:rsid w:val="007E55DD"/>
    <w:rsid w:val="007E655B"/>
    <w:rsid w:val="007E6EA3"/>
    <w:rsid w:val="007E7957"/>
    <w:rsid w:val="007E7FF9"/>
    <w:rsid w:val="007F031A"/>
    <w:rsid w:val="007F079A"/>
    <w:rsid w:val="007F0A41"/>
    <w:rsid w:val="007F0B7E"/>
    <w:rsid w:val="007F0B82"/>
    <w:rsid w:val="007F0F91"/>
    <w:rsid w:val="007F0F99"/>
    <w:rsid w:val="007F134E"/>
    <w:rsid w:val="007F1391"/>
    <w:rsid w:val="007F156D"/>
    <w:rsid w:val="007F1864"/>
    <w:rsid w:val="007F1CFC"/>
    <w:rsid w:val="007F1F95"/>
    <w:rsid w:val="007F2033"/>
    <w:rsid w:val="007F252C"/>
    <w:rsid w:val="007F25B6"/>
    <w:rsid w:val="007F33AC"/>
    <w:rsid w:val="007F36B8"/>
    <w:rsid w:val="007F3710"/>
    <w:rsid w:val="007F3849"/>
    <w:rsid w:val="007F3E29"/>
    <w:rsid w:val="007F4245"/>
    <w:rsid w:val="007F466C"/>
    <w:rsid w:val="007F46B0"/>
    <w:rsid w:val="007F479B"/>
    <w:rsid w:val="007F47ED"/>
    <w:rsid w:val="007F4A36"/>
    <w:rsid w:val="007F4A84"/>
    <w:rsid w:val="007F4A8A"/>
    <w:rsid w:val="007F4C18"/>
    <w:rsid w:val="007F5125"/>
    <w:rsid w:val="007F5381"/>
    <w:rsid w:val="007F539E"/>
    <w:rsid w:val="007F55A0"/>
    <w:rsid w:val="007F5776"/>
    <w:rsid w:val="007F597E"/>
    <w:rsid w:val="007F5A5D"/>
    <w:rsid w:val="007F5A64"/>
    <w:rsid w:val="007F5F0C"/>
    <w:rsid w:val="007F6370"/>
    <w:rsid w:val="007F6A32"/>
    <w:rsid w:val="007F6DBD"/>
    <w:rsid w:val="007F6E61"/>
    <w:rsid w:val="007F737A"/>
    <w:rsid w:val="007F7AE3"/>
    <w:rsid w:val="0080020C"/>
    <w:rsid w:val="00800427"/>
    <w:rsid w:val="008004C6"/>
    <w:rsid w:val="0080055A"/>
    <w:rsid w:val="0080093D"/>
    <w:rsid w:val="00800989"/>
    <w:rsid w:val="0080132E"/>
    <w:rsid w:val="008016E6"/>
    <w:rsid w:val="008019E9"/>
    <w:rsid w:val="00801A6B"/>
    <w:rsid w:val="00801BB4"/>
    <w:rsid w:val="00801F63"/>
    <w:rsid w:val="00801FFE"/>
    <w:rsid w:val="008020EB"/>
    <w:rsid w:val="00802733"/>
    <w:rsid w:val="00802EF5"/>
    <w:rsid w:val="00803070"/>
    <w:rsid w:val="00803510"/>
    <w:rsid w:val="0080367E"/>
    <w:rsid w:val="008037C5"/>
    <w:rsid w:val="008037DB"/>
    <w:rsid w:val="00803885"/>
    <w:rsid w:val="00803E4D"/>
    <w:rsid w:val="00804335"/>
    <w:rsid w:val="008049B8"/>
    <w:rsid w:val="008049D7"/>
    <w:rsid w:val="008052A8"/>
    <w:rsid w:val="00805411"/>
    <w:rsid w:val="00805637"/>
    <w:rsid w:val="008059AB"/>
    <w:rsid w:val="00805A25"/>
    <w:rsid w:val="00805C0B"/>
    <w:rsid w:val="00805E4A"/>
    <w:rsid w:val="00805EEA"/>
    <w:rsid w:val="00806099"/>
    <w:rsid w:val="0080635A"/>
    <w:rsid w:val="00806720"/>
    <w:rsid w:val="00806AD9"/>
    <w:rsid w:val="00806CDF"/>
    <w:rsid w:val="00806CF2"/>
    <w:rsid w:val="00806D1A"/>
    <w:rsid w:val="00807FCA"/>
    <w:rsid w:val="008101A4"/>
    <w:rsid w:val="00810813"/>
    <w:rsid w:val="008115E6"/>
    <w:rsid w:val="00811623"/>
    <w:rsid w:val="0081168D"/>
    <w:rsid w:val="0081177E"/>
    <w:rsid w:val="00811835"/>
    <w:rsid w:val="00811C30"/>
    <w:rsid w:val="00811E7D"/>
    <w:rsid w:val="008123E7"/>
    <w:rsid w:val="00812DBA"/>
    <w:rsid w:val="00812F32"/>
    <w:rsid w:val="00813020"/>
    <w:rsid w:val="008136FD"/>
    <w:rsid w:val="00813B67"/>
    <w:rsid w:val="00813D01"/>
    <w:rsid w:val="0081410C"/>
    <w:rsid w:val="0081420E"/>
    <w:rsid w:val="00814543"/>
    <w:rsid w:val="008146A2"/>
    <w:rsid w:val="008147FE"/>
    <w:rsid w:val="00814A69"/>
    <w:rsid w:val="008153CF"/>
    <w:rsid w:val="00815446"/>
    <w:rsid w:val="00815522"/>
    <w:rsid w:val="008155CE"/>
    <w:rsid w:val="0081584F"/>
    <w:rsid w:val="0081645F"/>
    <w:rsid w:val="008166D8"/>
    <w:rsid w:val="00816D9E"/>
    <w:rsid w:val="00816E8A"/>
    <w:rsid w:val="00817072"/>
    <w:rsid w:val="00817232"/>
    <w:rsid w:val="00817239"/>
    <w:rsid w:val="00817306"/>
    <w:rsid w:val="008174F2"/>
    <w:rsid w:val="00817665"/>
    <w:rsid w:val="00817C9A"/>
    <w:rsid w:val="00817DC7"/>
    <w:rsid w:val="00817EBD"/>
    <w:rsid w:val="0082006F"/>
    <w:rsid w:val="00820281"/>
    <w:rsid w:val="00820319"/>
    <w:rsid w:val="00820397"/>
    <w:rsid w:val="00820D6D"/>
    <w:rsid w:val="00821158"/>
    <w:rsid w:val="00821B67"/>
    <w:rsid w:val="00821E16"/>
    <w:rsid w:val="0082207A"/>
    <w:rsid w:val="008220EB"/>
    <w:rsid w:val="0082227D"/>
    <w:rsid w:val="00822358"/>
    <w:rsid w:val="00822529"/>
    <w:rsid w:val="00822608"/>
    <w:rsid w:val="00822A11"/>
    <w:rsid w:val="00822F6D"/>
    <w:rsid w:val="00823540"/>
    <w:rsid w:val="008236BE"/>
    <w:rsid w:val="00823850"/>
    <w:rsid w:val="00823AC6"/>
    <w:rsid w:val="00823DA3"/>
    <w:rsid w:val="0082411E"/>
    <w:rsid w:val="008249DA"/>
    <w:rsid w:val="00824A41"/>
    <w:rsid w:val="00824EB4"/>
    <w:rsid w:val="0082502C"/>
    <w:rsid w:val="0082531C"/>
    <w:rsid w:val="008253BE"/>
    <w:rsid w:val="008253C4"/>
    <w:rsid w:val="008256DA"/>
    <w:rsid w:val="008257D4"/>
    <w:rsid w:val="00825E2E"/>
    <w:rsid w:val="00825E4B"/>
    <w:rsid w:val="00826882"/>
    <w:rsid w:val="00826C42"/>
    <w:rsid w:val="0082709C"/>
    <w:rsid w:val="008273C2"/>
    <w:rsid w:val="00827DAF"/>
    <w:rsid w:val="00830056"/>
    <w:rsid w:val="00830313"/>
    <w:rsid w:val="00830CFA"/>
    <w:rsid w:val="00830E09"/>
    <w:rsid w:val="00830E21"/>
    <w:rsid w:val="00830F57"/>
    <w:rsid w:val="00831784"/>
    <w:rsid w:val="00831826"/>
    <w:rsid w:val="00831842"/>
    <w:rsid w:val="0083219E"/>
    <w:rsid w:val="00832560"/>
    <w:rsid w:val="008327D0"/>
    <w:rsid w:val="008329FD"/>
    <w:rsid w:val="008333A2"/>
    <w:rsid w:val="008333EB"/>
    <w:rsid w:val="0083361F"/>
    <w:rsid w:val="00833B71"/>
    <w:rsid w:val="00833E7A"/>
    <w:rsid w:val="00833F49"/>
    <w:rsid w:val="008344BB"/>
    <w:rsid w:val="00834592"/>
    <w:rsid w:val="0083471A"/>
    <w:rsid w:val="0083498A"/>
    <w:rsid w:val="00834AF6"/>
    <w:rsid w:val="0083507E"/>
    <w:rsid w:val="008353A7"/>
    <w:rsid w:val="008354A2"/>
    <w:rsid w:val="00835B8D"/>
    <w:rsid w:val="00835E35"/>
    <w:rsid w:val="008362E8"/>
    <w:rsid w:val="0083697B"/>
    <w:rsid w:val="00837209"/>
    <w:rsid w:val="008379E4"/>
    <w:rsid w:val="00837A06"/>
    <w:rsid w:val="00837AE5"/>
    <w:rsid w:val="00837E5E"/>
    <w:rsid w:val="00837EA0"/>
    <w:rsid w:val="00837F1D"/>
    <w:rsid w:val="008402EE"/>
    <w:rsid w:val="00840727"/>
    <w:rsid w:val="0084082F"/>
    <w:rsid w:val="00840CAB"/>
    <w:rsid w:val="00840F29"/>
    <w:rsid w:val="0084125A"/>
    <w:rsid w:val="00841529"/>
    <w:rsid w:val="00841809"/>
    <w:rsid w:val="0084217E"/>
    <w:rsid w:val="00842522"/>
    <w:rsid w:val="008425B0"/>
    <w:rsid w:val="0084340B"/>
    <w:rsid w:val="0084352F"/>
    <w:rsid w:val="0084362E"/>
    <w:rsid w:val="00843987"/>
    <w:rsid w:val="00843DEE"/>
    <w:rsid w:val="0084434B"/>
    <w:rsid w:val="00844AFF"/>
    <w:rsid w:val="00844CB9"/>
    <w:rsid w:val="00845A6E"/>
    <w:rsid w:val="00845DF4"/>
    <w:rsid w:val="00845E1B"/>
    <w:rsid w:val="008460A8"/>
    <w:rsid w:val="00846A01"/>
    <w:rsid w:val="00846EF7"/>
    <w:rsid w:val="00846F90"/>
    <w:rsid w:val="00846FA4"/>
    <w:rsid w:val="0084706A"/>
    <w:rsid w:val="008470C9"/>
    <w:rsid w:val="0084758F"/>
    <w:rsid w:val="0084790C"/>
    <w:rsid w:val="00847D95"/>
    <w:rsid w:val="008503A9"/>
    <w:rsid w:val="008503D8"/>
    <w:rsid w:val="0085076B"/>
    <w:rsid w:val="0085093D"/>
    <w:rsid w:val="00850EE0"/>
    <w:rsid w:val="008512C7"/>
    <w:rsid w:val="0085134F"/>
    <w:rsid w:val="00851B01"/>
    <w:rsid w:val="00851FBF"/>
    <w:rsid w:val="00853516"/>
    <w:rsid w:val="00853623"/>
    <w:rsid w:val="008539D7"/>
    <w:rsid w:val="00853F7C"/>
    <w:rsid w:val="008542DA"/>
    <w:rsid w:val="00854458"/>
    <w:rsid w:val="008548B3"/>
    <w:rsid w:val="00855A2A"/>
    <w:rsid w:val="00855B2D"/>
    <w:rsid w:val="00855BB8"/>
    <w:rsid w:val="00856057"/>
    <w:rsid w:val="00857582"/>
    <w:rsid w:val="00857A96"/>
    <w:rsid w:val="00857FB7"/>
    <w:rsid w:val="008600E2"/>
    <w:rsid w:val="00860214"/>
    <w:rsid w:val="008602A2"/>
    <w:rsid w:val="00860812"/>
    <w:rsid w:val="00860966"/>
    <w:rsid w:val="008609A5"/>
    <w:rsid w:val="008614B2"/>
    <w:rsid w:val="00861990"/>
    <w:rsid w:val="00862071"/>
    <w:rsid w:val="0086246E"/>
    <w:rsid w:val="0086255B"/>
    <w:rsid w:val="008627E7"/>
    <w:rsid w:val="0086296F"/>
    <w:rsid w:val="00862B8B"/>
    <w:rsid w:val="00862E53"/>
    <w:rsid w:val="008635A4"/>
    <w:rsid w:val="008638FD"/>
    <w:rsid w:val="00863BF7"/>
    <w:rsid w:val="0086429A"/>
    <w:rsid w:val="008642C7"/>
    <w:rsid w:val="00864E7C"/>
    <w:rsid w:val="00865F4D"/>
    <w:rsid w:val="008668BD"/>
    <w:rsid w:val="00866915"/>
    <w:rsid w:val="00866AA5"/>
    <w:rsid w:val="00866CB9"/>
    <w:rsid w:val="0086748B"/>
    <w:rsid w:val="0086759E"/>
    <w:rsid w:val="0086781D"/>
    <w:rsid w:val="008679CF"/>
    <w:rsid w:val="00867AC5"/>
    <w:rsid w:val="00870573"/>
    <w:rsid w:val="008705BE"/>
    <w:rsid w:val="008706BB"/>
    <w:rsid w:val="0087098A"/>
    <w:rsid w:val="008709F4"/>
    <w:rsid w:val="00870AEF"/>
    <w:rsid w:val="00871C66"/>
    <w:rsid w:val="00872945"/>
    <w:rsid w:val="008729B7"/>
    <w:rsid w:val="00872E4D"/>
    <w:rsid w:val="008737D6"/>
    <w:rsid w:val="00873EF2"/>
    <w:rsid w:val="0087403B"/>
    <w:rsid w:val="00874A1A"/>
    <w:rsid w:val="00874A82"/>
    <w:rsid w:val="0087554A"/>
    <w:rsid w:val="008756FE"/>
    <w:rsid w:val="0087599C"/>
    <w:rsid w:val="00875D57"/>
    <w:rsid w:val="00875DE0"/>
    <w:rsid w:val="00876663"/>
    <w:rsid w:val="00876B7C"/>
    <w:rsid w:val="00876D9F"/>
    <w:rsid w:val="00876ED1"/>
    <w:rsid w:val="008772E5"/>
    <w:rsid w:val="008775A4"/>
    <w:rsid w:val="0087789E"/>
    <w:rsid w:val="00880011"/>
    <w:rsid w:val="008806D3"/>
    <w:rsid w:val="00880AE9"/>
    <w:rsid w:val="0088133E"/>
    <w:rsid w:val="008818F3"/>
    <w:rsid w:val="00881A2F"/>
    <w:rsid w:val="00881DE8"/>
    <w:rsid w:val="008821A9"/>
    <w:rsid w:val="00882425"/>
    <w:rsid w:val="00882B44"/>
    <w:rsid w:val="00882F27"/>
    <w:rsid w:val="008834AA"/>
    <w:rsid w:val="008838D0"/>
    <w:rsid w:val="00883D35"/>
    <w:rsid w:val="00884A35"/>
    <w:rsid w:val="00884B27"/>
    <w:rsid w:val="00884C19"/>
    <w:rsid w:val="0088583B"/>
    <w:rsid w:val="00885D78"/>
    <w:rsid w:val="008860BB"/>
    <w:rsid w:val="0088616E"/>
    <w:rsid w:val="0088618E"/>
    <w:rsid w:val="0088652B"/>
    <w:rsid w:val="00886984"/>
    <w:rsid w:val="00886A9F"/>
    <w:rsid w:val="00886BCD"/>
    <w:rsid w:val="00886E21"/>
    <w:rsid w:val="0088722D"/>
    <w:rsid w:val="0088756B"/>
    <w:rsid w:val="00887A80"/>
    <w:rsid w:val="0089021F"/>
    <w:rsid w:val="008904BF"/>
    <w:rsid w:val="00890548"/>
    <w:rsid w:val="00890F58"/>
    <w:rsid w:val="008910F2"/>
    <w:rsid w:val="0089121A"/>
    <w:rsid w:val="0089139A"/>
    <w:rsid w:val="00891412"/>
    <w:rsid w:val="0089147A"/>
    <w:rsid w:val="008915CE"/>
    <w:rsid w:val="00891616"/>
    <w:rsid w:val="00891822"/>
    <w:rsid w:val="008921DD"/>
    <w:rsid w:val="00892466"/>
    <w:rsid w:val="00892493"/>
    <w:rsid w:val="00892E49"/>
    <w:rsid w:val="008932B8"/>
    <w:rsid w:val="0089330C"/>
    <w:rsid w:val="00893A36"/>
    <w:rsid w:val="00894269"/>
    <w:rsid w:val="00894891"/>
    <w:rsid w:val="00894D46"/>
    <w:rsid w:val="008952D3"/>
    <w:rsid w:val="00895906"/>
    <w:rsid w:val="00895F65"/>
    <w:rsid w:val="008960F1"/>
    <w:rsid w:val="00896189"/>
    <w:rsid w:val="008961D3"/>
    <w:rsid w:val="00896556"/>
    <w:rsid w:val="00896718"/>
    <w:rsid w:val="00896902"/>
    <w:rsid w:val="00897B43"/>
    <w:rsid w:val="00897BE4"/>
    <w:rsid w:val="00897C9B"/>
    <w:rsid w:val="008A0F20"/>
    <w:rsid w:val="008A107E"/>
    <w:rsid w:val="008A1247"/>
    <w:rsid w:val="008A171E"/>
    <w:rsid w:val="008A1BB4"/>
    <w:rsid w:val="008A1BF7"/>
    <w:rsid w:val="008A1C9E"/>
    <w:rsid w:val="008A225B"/>
    <w:rsid w:val="008A264C"/>
    <w:rsid w:val="008A27F6"/>
    <w:rsid w:val="008A28C2"/>
    <w:rsid w:val="008A3663"/>
    <w:rsid w:val="008A3669"/>
    <w:rsid w:val="008A3776"/>
    <w:rsid w:val="008A39F1"/>
    <w:rsid w:val="008A3CB0"/>
    <w:rsid w:val="008A45C8"/>
    <w:rsid w:val="008A4DE3"/>
    <w:rsid w:val="008A59BD"/>
    <w:rsid w:val="008A5B96"/>
    <w:rsid w:val="008A5C7E"/>
    <w:rsid w:val="008A62D8"/>
    <w:rsid w:val="008A6904"/>
    <w:rsid w:val="008A6B56"/>
    <w:rsid w:val="008A6BFF"/>
    <w:rsid w:val="008A6CC0"/>
    <w:rsid w:val="008A755A"/>
    <w:rsid w:val="008A7EB4"/>
    <w:rsid w:val="008B05E5"/>
    <w:rsid w:val="008B0F7E"/>
    <w:rsid w:val="008B1953"/>
    <w:rsid w:val="008B19F1"/>
    <w:rsid w:val="008B2177"/>
    <w:rsid w:val="008B23E2"/>
    <w:rsid w:val="008B29DA"/>
    <w:rsid w:val="008B2C79"/>
    <w:rsid w:val="008B305D"/>
    <w:rsid w:val="008B3285"/>
    <w:rsid w:val="008B37EB"/>
    <w:rsid w:val="008B3DB2"/>
    <w:rsid w:val="008B4333"/>
    <w:rsid w:val="008B47A9"/>
    <w:rsid w:val="008B4B42"/>
    <w:rsid w:val="008B5307"/>
    <w:rsid w:val="008B566F"/>
    <w:rsid w:val="008B59CA"/>
    <w:rsid w:val="008B5A75"/>
    <w:rsid w:val="008B5F98"/>
    <w:rsid w:val="008B62DC"/>
    <w:rsid w:val="008B63DE"/>
    <w:rsid w:val="008B65E2"/>
    <w:rsid w:val="008B673E"/>
    <w:rsid w:val="008B6B24"/>
    <w:rsid w:val="008B6D4E"/>
    <w:rsid w:val="008B6D73"/>
    <w:rsid w:val="008B6DF0"/>
    <w:rsid w:val="008B6EB0"/>
    <w:rsid w:val="008B7001"/>
    <w:rsid w:val="008B709F"/>
    <w:rsid w:val="008B72C3"/>
    <w:rsid w:val="008B74DE"/>
    <w:rsid w:val="008B77C4"/>
    <w:rsid w:val="008B7EA4"/>
    <w:rsid w:val="008C02E7"/>
    <w:rsid w:val="008C0551"/>
    <w:rsid w:val="008C0578"/>
    <w:rsid w:val="008C0B50"/>
    <w:rsid w:val="008C0C96"/>
    <w:rsid w:val="008C0E33"/>
    <w:rsid w:val="008C159D"/>
    <w:rsid w:val="008C1C68"/>
    <w:rsid w:val="008C28F9"/>
    <w:rsid w:val="008C2B58"/>
    <w:rsid w:val="008C2EB8"/>
    <w:rsid w:val="008C30D6"/>
    <w:rsid w:val="008C313A"/>
    <w:rsid w:val="008C3635"/>
    <w:rsid w:val="008C3994"/>
    <w:rsid w:val="008C3E87"/>
    <w:rsid w:val="008C471E"/>
    <w:rsid w:val="008C4788"/>
    <w:rsid w:val="008C47DF"/>
    <w:rsid w:val="008C4857"/>
    <w:rsid w:val="008C4DEF"/>
    <w:rsid w:val="008C503C"/>
    <w:rsid w:val="008C532A"/>
    <w:rsid w:val="008C588B"/>
    <w:rsid w:val="008C58BE"/>
    <w:rsid w:val="008C5B47"/>
    <w:rsid w:val="008C6491"/>
    <w:rsid w:val="008C6DD5"/>
    <w:rsid w:val="008C6F9E"/>
    <w:rsid w:val="008C733D"/>
    <w:rsid w:val="008C7350"/>
    <w:rsid w:val="008C74D0"/>
    <w:rsid w:val="008C7862"/>
    <w:rsid w:val="008C7A96"/>
    <w:rsid w:val="008C7BD3"/>
    <w:rsid w:val="008C7F93"/>
    <w:rsid w:val="008D02C0"/>
    <w:rsid w:val="008D07DD"/>
    <w:rsid w:val="008D0865"/>
    <w:rsid w:val="008D091C"/>
    <w:rsid w:val="008D0F31"/>
    <w:rsid w:val="008D178E"/>
    <w:rsid w:val="008D179C"/>
    <w:rsid w:val="008D186E"/>
    <w:rsid w:val="008D1BC2"/>
    <w:rsid w:val="008D1D6A"/>
    <w:rsid w:val="008D24D7"/>
    <w:rsid w:val="008D2699"/>
    <w:rsid w:val="008D2991"/>
    <w:rsid w:val="008D2B04"/>
    <w:rsid w:val="008D2DA6"/>
    <w:rsid w:val="008D2E07"/>
    <w:rsid w:val="008D321A"/>
    <w:rsid w:val="008D36F5"/>
    <w:rsid w:val="008D374B"/>
    <w:rsid w:val="008D3899"/>
    <w:rsid w:val="008D3C1F"/>
    <w:rsid w:val="008D44D6"/>
    <w:rsid w:val="008D4724"/>
    <w:rsid w:val="008D4B3D"/>
    <w:rsid w:val="008D4CC4"/>
    <w:rsid w:val="008D4FD4"/>
    <w:rsid w:val="008D4FD6"/>
    <w:rsid w:val="008D5663"/>
    <w:rsid w:val="008D586C"/>
    <w:rsid w:val="008D5955"/>
    <w:rsid w:val="008D5F4D"/>
    <w:rsid w:val="008D600A"/>
    <w:rsid w:val="008D6167"/>
    <w:rsid w:val="008D67BD"/>
    <w:rsid w:val="008D69F5"/>
    <w:rsid w:val="008D6CD3"/>
    <w:rsid w:val="008D70D2"/>
    <w:rsid w:val="008D70E9"/>
    <w:rsid w:val="008D787E"/>
    <w:rsid w:val="008D7D8A"/>
    <w:rsid w:val="008D7E0F"/>
    <w:rsid w:val="008D7E30"/>
    <w:rsid w:val="008D7F38"/>
    <w:rsid w:val="008E0202"/>
    <w:rsid w:val="008E0451"/>
    <w:rsid w:val="008E050E"/>
    <w:rsid w:val="008E0551"/>
    <w:rsid w:val="008E08EE"/>
    <w:rsid w:val="008E0B60"/>
    <w:rsid w:val="008E0D9B"/>
    <w:rsid w:val="008E0DE9"/>
    <w:rsid w:val="008E1052"/>
    <w:rsid w:val="008E11BD"/>
    <w:rsid w:val="008E1203"/>
    <w:rsid w:val="008E1B9E"/>
    <w:rsid w:val="008E2721"/>
    <w:rsid w:val="008E27D0"/>
    <w:rsid w:val="008E2A8E"/>
    <w:rsid w:val="008E2AAF"/>
    <w:rsid w:val="008E2C54"/>
    <w:rsid w:val="008E314A"/>
    <w:rsid w:val="008E33DF"/>
    <w:rsid w:val="008E3DDF"/>
    <w:rsid w:val="008E3FD7"/>
    <w:rsid w:val="008E4100"/>
    <w:rsid w:val="008E412A"/>
    <w:rsid w:val="008E416E"/>
    <w:rsid w:val="008E4B90"/>
    <w:rsid w:val="008E4EA5"/>
    <w:rsid w:val="008E55F8"/>
    <w:rsid w:val="008E5878"/>
    <w:rsid w:val="008E5C02"/>
    <w:rsid w:val="008E629D"/>
    <w:rsid w:val="008E6B94"/>
    <w:rsid w:val="008E6C9C"/>
    <w:rsid w:val="008E6CB5"/>
    <w:rsid w:val="008E7FB5"/>
    <w:rsid w:val="008F059B"/>
    <w:rsid w:val="008F061B"/>
    <w:rsid w:val="008F0893"/>
    <w:rsid w:val="008F0CE8"/>
    <w:rsid w:val="008F0DE3"/>
    <w:rsid w:val="008F0F0F"/>
    <w:rsid w:val="008F1A2A"/>
    <w:rsid w:val="008F1F21"/>
    <w:rsid w:val="008F23DB"/>
    <w:rsid w:val="008F2854"/>
    <w:rsid w:val="008F2BD9"/>
    <w:rsid w:val="008F2D5C"/>
    <w:rsid w:val="008F316F"/>
    <w:rsid w:val="008F387E"/>
    <w:rsid w:val="008F3BA3"/>
    <w:rsid w:val="008F3DE3"/>
    <w:rsid w:val="008F42E2"/>
    <w:rsid w:val="008F43C8"/>
    <w:rsid w:val="008F45FB"/>
    <w:rsid w:val="008F4615"/>
    <w:rsid w:val="008F47D1"/>
    <w:rsid w:val="008F4940"/>
    <w:rsid w:val="008F49AF"/>
    <w:rsid w:val="008F4AB0"/>
    <w:rsid w:val="008F4EAE"/>
    <w:rsid w:val="008F50C5"/>
    <w:rsid w:val="008F5502"/>
    <w:rsid w:val="008F588F"/>
    <w:rsid w:val="008F58DA"/>
    <w:rsid w:val="008F59C4"/>
    <w:rsid w:val="008F5CB4"/>
    <w:rsid w:val="008F5D74"/>
    <w:rsid w:val="008F607D"/>
    <w:rsid w:val="008F62E9"/>
    <w:rsid w:val="008F631C"/>
    <w:rsid w:val="008F6394"/>
    <w:rsid w:val="008F6644"/>
    <w:rsid w:val="008F680A"/>
    <w:rsid w:val="008F6B2F"/>
    <w:rsid w:val="008F6D06"/>
    <w:rsid w:val="008F7449"/>
    <w:rsid w:val="008F774F"/>
    <w:rsid w:val="008F7857"/>
    <w:rsid w:val="008F7C84"/>
    <w:rsid w:val="008F7E0B"/>
    <w:rsid w:val="008F7E2C"/>
    <w:rsid w:val="009001D1"/>
    <w:rsid w:val="00900718"/>
    <w:rsid w:val="009007A4"/>
    <w:rsid w:val="009008E0"/>
    <w:rsid w:val="00900D5D"/>
    <w:rsid w:val="00900F1A"/>
    <w:rsid w:val="009013DF"/>
    <w:rsid w:val="00902058"/>
    <w:rsid w:val="009021A6"/>
    <w:rsid w:val="009025E9"/>
    <w:rsid w:val="00902E7B"/>
    <w:rsid w:val="00902E7E"/>
    <w:rsid w:val="00902EA5"/>
    <w:rsid w:val="00903316"/>
    <w:rsid w:val="00903465"/>
    <w:rsid w:val="009036E2"/>
    <w:rsid w:val="0090375E"/>
    <w:rsid w:val="00903A19"/>
    <w:rsid w:val="00903A1D"/>
    <w:rsid w:val="00903A22"/>
    <w:rsid w:val="00903D03"/>
    <w:rsid w:val="00903F49"/>
    <w:rsid w:val="00903F6D"/>
    <w:rsid w:val="0090400D"/>
    <w:rsid w:val="00904449"/>
    <w:rsid w:val="009049E7"/>
    <w:rsid w:val="009051B2"/>
    <w:rsid w:val="00905FE6"/>
    <w:rsid w:val="0090634C"/>
    <w:rsid w:val="00906CBE"/>
    <w:rsid w:val="00906E02"/>
    <w:rsid w:val="009070D5"/>
    <w:rsid w:val="00907240"/>
    <w:rsid w:val="00907734"/>
    <w:rsid w:val="0090783C"/>
    <w:rsid w:val="00907AB7"/>
    <w:rsid w:val="00907CF7"/>
    <w:rsid w:val="00907E96"/>
    <w:rsid w:val="00907F44"/>
    <w:rsid w:val="0091015F"/>
    <w:rsid w:val="009104C4"/>
    <w:rsid w:val="009106AD"/>
    <w:rsid w:val="00910C08"/>
    <w:rsid w:val="009113A6"/>
    <w:rsid w:val="009114BC"/>
    <w:rsid w:val="00911C3C"/>
    <w:rsid w:val="00911DE5"/>
    <w:rsid w:val="0091267B"/>
    <w:rsid w:val="00912D39"/>
    <w:rsid w:val="00912FB4"/>
    <w:rsid w:val="009132E2"/>
    <w:rsid w:val="00913D11"/>
    <w:rsid w:val="00914140"/>
    <w:rsid w:val="00914FC6"/>
    <w:rsid w:val="009152DD"/>
    <w:rsid w:val="00915326"/>
    <w:rsid w:val="00915601"/>
    <w:rsid w:val="009158C3"/>
    <w:rsid w:val="00915C92"/>
    <w:rsid w:val="00915D3A"/>
    <w:rsid w:val="00915E82"/>
    <w:rsid w:val="009160BC"/>
    <w:rsid w:val="00916234"/>
    <w:rsid w:val="0091678E"/>
    <w:rsid w:val="00916D59"/>
    <w:rsid w:val="00916D6F"/>
    <w:rsid w:val="009175CA"/>
    <w:rsid w:val="0091792C"/>
    <w:rsid w:val="00917970"/>
    <w:rsid w:val="00917B28"/>
    <w:rsid w:val="0092020C"/>
    <w:rsid w:val="00921393"/>
    <w:rsid w:val="00921C74"/>
    <w:rsid w:val="009224A1"/>
    <w:rsid w:val="009225BE"/>
    <w:rsid w:val="00922894"/>
    <w:rsid w:val="0092298A"/>
    <w:rsid w:val="00922B5B"/>
    <w:rsid w:val="009231C5"/>
    <w:rsid w:val="009232F7"/>
    <w:rsid w:val="00923445"/>
    <w:rsid w:val="009235F0"/>
    <w:rsid w:val="00923CC9"/>
    <w:rsid w:val="00923E68"/>
    <w:rsid w:val="00923EC5"/>
    <w:rsid w:val="00924068"/>
    <w:rsid w:val="00924A70"/>
    <w:rsid w:val="00925277"/>
    <w:rsid w:val="0092529E"/>
    <w:rsid w:val="00925873"/>
    <w:rsid w:val="00925962"/>
    <w:rsid w:val="00925D90"/>
    <w:rsid w:val="00925E2D"/>
    <w:rsid w:val="00925F3B"/>
    <w:rsid w:val="009262E3"/>
    <w:rsid w:val="009262F1"/>
    <w:rsid w:val="009263EB"/>
    <w:rsid w:val="009264D4"/>
    <w:rsid w:val="00926AF5"/>
    <w:rsid w:val="00926DED"/>
    <w:rsid w:val="00927486"/>
    <w:rsid w:val="009274FA"/>
    <w:rsid w:val="00927945"/>
    <w:rsid w:val="00927BCF"/>
    <w:rsid w:val="00930060"/>
    <w:rsid w:val="00930280"/>
    <w:rsid w:val="009308EC"/>
    <w:rsid w:val="00930979"/>
    <w:rsid w:val="00930B48"/>
    <w:rsid w:val="00930BD4"/>
    <w:rsid w:val="00930CA2"/>
    <w:rsid w:val="00930DF2"/>
    <w:rsid w:val="0093103C"/>
    <w:rsid w:val="00931095"/>
    <w:rsid w:val="00931270"/>
    <w:rsid w:val="00931576"/>
    <w:rsid w:val="00931585"/>
    <w:rsid w:val="00932006"/>
    <w:rsid w:val="00932105"/>
    <w:rsid w:val="009323EA"/>
    <w:rsid w:val="0093299D"/>
    <w:rsid w:val="00932FDB"/>
    <w:rsid w:val="009330C2"/>
    <w:rsid w:val="009332D0"/>
    <w:rsid w:val="00933742"/>
    <w:rsid w:val="00933991"/>
    <w:rsid w:val="00933E67"/>
    <w:rsid w:val="0093419B"/>
    <w:rsid w:val="009343EF"/>
    <w:rsid w:val="00934659"/>
    <w:rsid w:val="00934796"/>
    <w:rsid w:val="0093539F"/>
    <w:rsid w:val="009353D4"/>
    <w:rsid w:val="0093545A"/>
    <w:rsid w:val="00935613"/>
    <w:rsid w:val="009357A6"/>
    <w:rsid w:val="009357AD"/>
    <w:rsid w:val="0093645B"/>
    <w:rsid w:val="00936A25"/>
    <w:rsid w:val="00937049"/>
    <w:rsid w:val="00937193"/>
    <w:rsid w:val="00937276"/>
    <w:rsid w:val="009372BF"/>
    <w:rsid w:val="00937454"/>
    <w:rsid w:val="00937556"/>
    <w:rsid w:val="00937673"/>
    <w:rsid w:val="00937721"/>
    <w:rsid w:val="00940765"/>
    <w:rsid w:val="009407DA"/>
    <w:rsid w:val="00940BA8"/>
    <w:rsid w:val="00940EE8"/>
    <w:rsid w:val="00941391"/>
    <w:rsid w:val="00941399"/>
    <w:rsid w:val="00941947"/>
    <w:rsid w:val="0094252E"/>
    <w:rsid w:val="00942E9C"/>
    <w:rsid w:val="00942F3D"/>
    <w:rsid w:val="00943719"/>
    <w:rsid w:val="0094373A"/>
    <w:rsid w:val="009437DC"/>
    <w:rsid w:val="00943937"/>
    <w:rsid w:val="0094396E"/>
    <w:rsid w:val="00944655"/>
    <w:rsid w:val="00944A43"/>
    <w:rsid w:val="00944A78"/>
    <w:rsid w:val="00944B08"/>
    <w:rsid w:val="009452BB"/>
    <w:rsid w:val="00945923"/>
    <w:rsid w:val="00945EE2"/>
    <w:rsid w:val="009464E3"/>
    <w:rsid w:val="009465CF"/>
    <w:rsid w:val="009466C9"/>
    <w:rsid w:val="009467D7"/>
    <w:rsid w:val="00946A88"/>
    <w:rsid w:val="00946C8F"/>
    <w:rsid w:val="00946E33"/>
    <w:rsid w:val="00947705"/>
    <w:rsid w:val="0094776A"/>
    <w:rsid w:val="00947C8E"/>
    <w:rsid w:val="00947D65"/>
    <w:rsid w:val="00947ECB"/>
    <w:rsid w:val="00950045"/>
    <w:rsid w:val="009501BD"/>
    <w:rsid w:val="00950535"/>
    <w:rsid w:val="0095062B"/>
    <w:rsid w:val="009509CF"/>
    <w:rsid w:val="00950A7E"/>
    <w:rsid w:val="00950E14"/>
    <w:rsid w:val="00951204"/>
    <w:rsid w:val="0095166D"/>
    <w:rsid w:val="0095167E"/>
    <w:rsid w:val="00951A53"/>
    <w:rsid w:val="00951ED9"/>
    <w:rsid w:val="00951F28"/>
    <w:rsid w:val="00952D72"/>
    <w:rsid w:val="00953104"/>
    <w:rsid w:val="0095311A"/>
    <w:rsid w:val="009531F6"/>
    <w:rsid w:val="00953264"/>
    <w:rsid w:val="00953459"/>
    <w:rsid w:val="00953816"/>
    <w:rsid w:val="00953A9F"/>
    <w:rsid w:val="00953E02"/>
    <w:rsid w:val="00954968"/>
    <w:rsid w:val="00954CF8"/>
    <w:rsid w:val="00954E73"/>
    <w:rsid w:val="00955034"/>
    <w:rsid w:val="009554FD"/>
    <w:rsid w:val="00955524"/>
    <w:rsid w:val="009558E6"/>
    <w:rsid w:val="00955BC3"/>
    <w:rsid w:val="009560A4"/>
    <w:rsid w:val="00956333"/>
    <w:rsid w:val="00956366"/>
    <w:rsid w:val="0095669C"/>
    <w:rsid w:val="009568E1"/>
    <w:rsid w:val="0095726E"/>
    <w:rsid w:val="0095747F"/>
    <w:rsid w:val="009579A9"/>
    <w:rsid w:val="00957B40"/>
    <w:rsid w:val="00957C13"/>
    <w:rsid w:val="00957C3D"/>
    <w:rsid w:val="009600BE"/>
    <w:rsid w:val="009600DB"/>
    <w:rsid w:val="009602B7"/>
    <w:rsid w:val="009605A9"/>
    <w:rsid w:val="00960631"/>
    <w:rsid w:val="009608EF"/>
    <w:rsid w:val="00960BD7"/>
    <w:rsid w:val="00960EE5"/>
    <w:rsid w:val="0096105B"/>
    <w:rsid w:val="0096142E"/>
    <w:rsid w:val="009614B3"/>
    <w:rsid w:val="00961585"/>
    <w:rsid w:val="009620A0"/>
    <w:rsid w:val="0096279A"/>
    <w:rsid w:val="00962866"/>
    <w:rsid w:val="0096286B"/>
    <w:rsid w:val="00962A90"/>
    <w:rsid w:val="00963E4B"/>
    <w:rsid w:val="00963E56"/>
    <w:rsid w:val="009647FF"/>
    <w:rsid w:val="00964A91"/>
    <w:rsid w:val="00964A9D"/>
    <w:rsid w:val="00964B70"/>
    <w:rsid w:val="00964C35"/>
    <w:rsid w:val="00964EE7"/>
    <w:rsid w:val="009650EC"/>
    <w:rsid w:val="0096523F"/>
    <w:rsid w:val="00965AAE"/>
    <w:rsid w:val="00965D9B"/>
    <w:rsid w:val="00965E53"/>
    <w:rsid w:val="00965FDA"/>
    <w:rsid w:val="0096647E"/>
    <w:rsid w:val="009664D7"/>
    <w:rsid w:val="0096661F"/>
    <w:rsid w:val="00966FE4"/>
    <w:rsid w:val="00967286"/>
    <w:rsid w:val="009673E9"/>
    <w:rsid w:val="00967AA4"/>
    <w:rsid w:val="00967DBB"/>
    <w:rsid w:val="009702AA"/>
    <w:rsid w:val="009705BD"/>
    <w:rsid w:val="009706D6"/>
    <w:rsid w:val="00971221"/>
    <w:rsid w:val="009716EC"/>
    <w:rsid w:val="009719A1"/>
    <w:rsid w:val="00972AB6"/>
    <w:rsid w:val="00973900"/>
    <w:rsid w:val="00973C48"/>
    <w:rsid w:val="00973F45"/>
    <w:rsid w:val="00973FCC"/>
    <w:rsid w:val="00974022"/>
    <w:rsid w:val="0097430A"/>
    <w:rsid w:val="00974405"/>
    <w:rsid w:val="00974888"/>
    <w:rsid w:val="009751ED"/>
    <w:rsid w:val="009755AD"/>
    <w:rsid w:val="009755BC"/>
    <w:rsid w:val="0097570F"/>
    <w:rsid w:val="00975B31"/>
    <w:rsid w:val="00975FAA"/>
    <w:rsid w:val="009761F7"/>
    <w:rsid w:val="0097696E"/>
    <w:rsid w:val="00977111"/>
    <w:rsid w:val="00977135"/>
    <w:rsid w:val="009778C2"/>
    <w:rsid w:val="009779BC"/>
    <w:rsid w:val="00977A14"/>
    <w:rsid w:val="00977A49"/>
    <w:rsid w:val="00977A4C"/>
    <w:rsid w:val="00977C4C"/>
    <w:rsid w:val="009800EC"/>
    <w:rsid w:val="00980A49"/>
    <w:rsid w:val="00980ACE"/>
    <w:rsid w:val="00980E69"/>
    <w:rsid w:val="0098117C"/>
    <w:rsid w:val="00981A6D"/>
    <w:rsid w:val="00981E4A"/>
    <w:rsid w:val="0098231A"/>
    <w:rsid w:val="009823F3"/>
    <w:rsid w:val="009831CD"/>
    <w:rsid w:val="00983733"/>
    <w:rsid w:val="00983DE6"/>
    <w:rsid w:val="00984C8B"/>
    <w:rsid w:val="00984E2A"/>
    <w:rsid w:val="0098547C"/>
    <w:rsid w:val="0098569C"/>
    <w:rsid w:val="009856D0"/>
    <w:rsid w:val="00985D4F"/>
    <w:rsid w:val="00986C17"/>
    <w:rsid w:val="00986F20"/>
    <w:rsid w:val="009878DA"/>
    <w:rsid w:val="00987E8D"/>
    <w:rsid w:val="00987FF2"/>
    <w:rsid w:val="00990539"/>
    <w:rsid w:val="0099077D"/>
    <w:rsid w:val="00990A49"/>
    <w:rsid w:val="00990C4A"/>
    <w:rsid w:val="00990E9C"/>
    <w:rsid w:val="0099168D"/>
    <w:rsid w:val="00991E96"/>
    <w:rsid w:val="0099200B"/>
    <w:rsid w:val="009922EC"/>
    <w:rsid w:val="00992C8F"/>
    <w:rsid w:val="00992E34"/>
    <w:rsid w:val="00993278"/>
    <w:rsid w:val="00993E13"/>
    <w:rsid w:val="009940AD"/>
    <w:rsid w:val="00994556"/>
    <w:rsid w:val="00994581"/>
    <w:rsid w:val="00994851"/>
    <w:rsid w:val="00994AE5"/>
    <w:rsid w:val="00994B8E"/>
    <w:rsid w:val="00994D5A"/>
    <w:rsid w:val="009952AD"/>
    <w:rsid w:val="009953A7"/>
    <w:rsid w:val="009955CE"/>
    <w:rsid w:val="00995AA3"/>
    <w:rsid w:val="009960C4"/>
    <w:rsid w:val="009961FE"/>
    <w:rsid w:val="00996519"/>
    <w:rsid w:val="009967E4"/>
    <w:rsid w:val="00996C42"/>
    <w:rsid w:val="00997314"/>
    <w:rsid w:val="0099792A"/>
    <w:rsid w:val="00997B29"/>
    <w:rsid w:val="00997BAF"/>
    <w:rsid w:val="00997C92"/>
    <w:rsid w:val="00997E88"/>
    <w:rsid w:val="009A01ED"/>
    <w:rsid w:val="009A061B"/>
    <w:rsid w:val="009A0755"/>
    <w:rsid w:val="009A0B18"/>
    <w:rsid w:val="009A0BBC"/>
    <w:rsid w:val="009A0DF7"/>
    <w:rsid w:val="009A0E5B"/>
    <w:rsid w:val="009A0EC9"/>
    <w:rsid w:val="009A0FE2"/>
    <w:rsid w:val="009A1210"/>
    <w:rsid w:val="009A1B2B"/>
    <w:rsid w:val="009A20C3"/>
    <w:rsid w:val="009A20D8"/>
    <w:rsid w:val="009A2546"/>
    <w:rsid w:val="009A277B"/>
    <w:rsid w:val="009A297F"/>
    <w:rsid w:val="009A2B73"/>
    <w:rsid w:val="009A2DA1"/>
    <w:rsid w:val="009A2E6A"/>
    <w:rsid w:val="009A3483"/>
    <w:rsid w:val="009A348F"/>
    <w:rsid w:val="009A3DD0"/>
    <w:rsid w:val="009A3E05"/>
    <w:rsid w:val="009A3E9B"/>
    <w:rsid w:val="009A404E"/>
    <w:rsid w:val="009A449C"/>
    <w:rsid w:val="009A467E"/>
    <w:rsid w:val="009A4DEA"/>
    <w:rsid w:val="009A53A1"/>
    <w:rsid w:val="009A57CA"/>
    <w:rsid w:val="009A5FEC"/>
    <w:rsid w:val="009A609C"/>
    <w:rsid w:val="009A6127"/>
    <w:rsid w:val="009A62DF"/>
    <w:rsid w:val="009A6451"/>
    <w:rsid w:val="009A702F"/>
    <w:rsid w:val="009A75E6"/>
    <w:rsid w:val="009A796D"/>
    <w:rsid w:val="009A7E01"/>
    <w:rsid w:val="009B0413"/>
    <w:rsid w:val="009B064D"/>
    <w:rsid w:val="009B0826"/>
    <w:rsid w:val="009B0A1F"/>
    <w:rsid w:val="009B0FA1"/>
    <w:rsid w:val="009B12C9"/>
    <w:rsid w:val="009B16FA"/>
    <w:rsid w:val="009B175A"/>
    <w:rsid w:val="009B1E44"/>
    <w:rsid w:val="009B1F8E"/>
    <w:rsid w:val="009B229A"/>
    <w:rsid w:val="009B25C1"/>
    <w:rsid w:val="009B28CF"/>
    <w:rsid w:val="009B2936"/>
    <w:rsid w:val="009B2A60"/>
    <w:rsid w:val="009B2C9D"/>
    <w:rsid w:val="009B2D21"/>
    <w:rsid w:val="009B2D65"/>
    <w:rsid w:val="009B3150"/>
    <w:rsid w:val="009B3300"/>
    <w:rsid w:val="009B37B6"/>
    <w:rsid w:val="009B430E"/>
    <w:rsid w:val="009B4332"/>
    <w:rsid w:val="009B4782"/>
    <w:rsid w:val="009B69E7"/>
    <w:rsid w:val="009B6D5A"/>
    <w:rsid w:val="009B7104"/>
    <w:rsid w:val="009B7281"/>
    <w:rsid w:val="009B7399"/>
    <w:rsid w:val="009B754A"/>
    <w:rsid w:val="009B7943"/>
    <w:rsid w:val="009B7D45"/>
    <w:rsid w:val="009B7D6C"/>
    <w:rsid w:val="009B7DB4"/>
    <w:rsid w:val="009B7DBA"/>
    <w:rsid w:val="009C073B"/>
    <w:rsid w:val="009C15B7"/>
    <w:rsid w:val="009C1C7B"/>
    <w:rsid w:val="009C24D7"/>
    <w:rsid w:val="009C2A35"/>
    <w:rsid w:val="009C2C15"/>
    <w:rsid w:val="009C31F6"/>
    <w:rsid w:val="009C367F"/>
    <w:rsid w:val="009C379F"/>
    <w:rsid w:val="009C3F3D"/>
    <w:rsid w:val="009C3FA4"/>
    <w:rsid w:val="009C41C2"/>
    <w:rsid w:val="009C4243"/>
    <w:rsid w:val="009C4338"/>
    <w:rsid w:val="009C4719"/>
    <w:rsid w:val="009C4B71"/>
    <w:rsid w:val="009C4C69"/>
    <w:rsid w:val="009C4D85"/>
    <w:rsid w:val="009C4FD3"/>
    <w:rsid w:val="009C5256"/>
    <w:rsid w:val="009C6019"/>
    <w:rsid w:val="009C625E"/>
    <w:rsid w:val="009C6334"/>
    <w:rsid w:val="009C6379"/>
    <w:rsid w:val="009C639E"/>
    <w:rsid w:val="009C64B0"/>
    <w:rsid w:val="009C6776"/>
    <w:rsid w:val="009C68CF"/>
    <w:rsid w:val="009C6CC4"/>
    <w:rsid w:val="009C6E57"/>
    <w:rsid w:val="009C6FD8"/>
    <w:rsid w:val="009C71E1"/>
    <w:rsid w:val="009C7250"/>
    <w:rsid w:val="009C728B"/>
    <w:rsid w:val="009C7B11"/>
    <w:rsid w:val="009C7FF1"/>
    <w:rsid w:val="009D03B3"/>
    <w:rsid w:val="009D0972"/>
    <w:rsid w:val="009D0A9F"/>
    <w:rsid w:val="009D0D11"/>
    <w:rsid w:val="009D0D5D"/>
    <w:rsid w:val="009D0F7D"/>
    <w:rsid w:val="009D0F89"/>
    <w:rsid w:val="009D1BBD"/>
    <w:rsid w:val="009D1C35"/>
    <w:rsid w:val="009D1C84"/>
    <w:rsid w:val="009D1FAD"/>
    <w:rsid w:val="009D20D9"/>
    <w:rsid w:val="009D2423"/>
    <w:rsid w:val="009D264A"/>
    <w:rsid w:val="009D2D79"/>
    <w:rsid w:val="009D2F7C"/>
    <w:rsid w:val="009D32AE"/>
    <w:rsid w:val="009D3609"/>
    <w:rsid w:val="009D3B78"/>
    <w:rsid w:val="009D42CF"/>
    <w:rsid w:val="009D4D90"/>
    <w:rsid w:val="009D572C"/>
    <w:rsid w:val="009D5745"/>
    <w:rsid w:val="009D57BC"/>
    <w:rsid w:val="009D62EE"/>
    <w:rsid w:val="009D66E5"/>
    <w:rsid w:val="009D68E7"/>
    <w:rsid w:val="009D6DAE"/>
    <w:rsid w:val="009D72D8"/>
    <w:rsid w:val="009D7515"/>
    <w:rsid w:val="009D7522"/>
    <w:rsid w:val="009D7CCC"/>
    <w:rsid w:val="009D7EC2"/>
    <w:rsid w:val="009E0A45"/>
    <w:rsid w:val="009E12AF"/>
    <w:rsid w:val="009E144F"/>
    <w:rsid w:val="009E1B8B"/>
    <w:rsid w:val="009E1C88"/>
    <w:rsid w:val="009E1F17"/>
    <w:rsid w:val="009E2CE9"/>
    <w:rsid w:val="009E2D30"/>
    <w:rsid w:val="009E322A"/>
    <w:rsid w:val="009E32CA"/>
    <w:rsid w:val="009E33CE"/>
    <w:rsid w:val="009E3888"/>
    <w:rsid w:val="009E3C42"/>
    <w:rsid w:val="009E4128"/>
    <w:rsid w:val="009E4AE2"/>
    <w:rsid w:val="009E4EBE"/>
    <w:rsid w:val="009E50B2"/>
    <w:rsid w:val="009E518C"/>
    <w:rsid w:val="009E525B"/>
    <w:rsid w:val="009E5CE1"/>
    <w:rsid w:val="009E5D68"/>
    <w:rsid w:val="009E64DA"/>
    <w:rsid w:val="009E6501"/>
    <w:rsid w:val="009E6898"/>
    <w:rsid w:val="009E6906"/>
    <w:rsid w:val="009E6E71"/>
    <w:rsid w:val="009E74B1"/>
    <w:rsid w:val="009F050B"/>
    <w:rsid w:val="009F0BC4"/>
    <w:rsid w:val="009F0BF7"/>
    <w:rsid w:val="009F0C96"/>
    <w:rsid w:val="009F0FE0"/>
    <w:rsid w:val="009F122D"/>
    <w:rsid w:val="009F179B"/>
    <w:rsid w:val="009F1A19"/>
    <w:rsid w:val="009F1CDB"/>
    <w:rsid w:val="009F1CFD"/>
    <w:rsid w:val="009F20E0"/>
    <w:rsid w:val="009F22EB"/>
    <w:rsid w:val="009F2B54"/>
    <w:rsid w:val="009F2F8F"/>
    <w:rsid w:val="009F35E6"/>
    <w:rsid w:val="009F3799"/>
    <w:rsid w:val="009F3B1C"/>
    <w:rsid w:val="009F3D5F"/>
    <w:rsid w:val="009F3DD9"/>
    <w:rsid w:val="009F3E5E"/>
    <w:rsid w:val="009F3F43"/>
    <w:rsid w:val="009F4058"/>
    <w:rsid w:val="009F42FD"/>
    <w:rsid w:val="009F4FFB"/>
    <w:rsid w:val="009F50B3"/>
    <w:rsid w:val="009F5DB3"/>
    <w:rsid w:val="009F6107"/>
    <w:rsid w:val="009F6185"/>
    <w:rsid w:val="009F6229"/>
    <w:rsid w:val="009F62E4"/>
    <w:rsid w:val="009F63F4"/>
    <w:rsid w:val="009F69F4"/>
    <w:rsid w:val="009F6ABA"/>
    <w:rsid w:val="009F6BE5"/>
    <w:rsid w:val="009F7152"/>
    <w:rsid w:val="009F749C"/>
    <w:rsid w:val="009F77E4"/>
    <w:rsid w:val="009F79A7"/>
    <w:rsid w:val="009F7A84"/>
    <w:rsid w:val="00A005D4"/>
    <w:rsid w:val="00A008F5"/>
    <w:rsid w:val="00A00957"/>
    <w:rsid w:val="00A00C88"/>
    <w:rsid w:val="00A00EA4"/>
    <w:rsid w:val="00A010E9"/>
    <w:rsid w:val="00A01571"/>
    <w:rsid w:val="00A015CE"/>
    <w:rsid w:val="00A0190C"/>
    <w:rsid w:val="00A01A14"/>
    <w:rsid w:val="00A01A2C"/>
    <w:rsid w:val="00A01DD8"/>
    <w:rsid w:val="00A02121"/>
    <w:rsid w:val="00A0277F"/>
    <w:rsid w:val="00A02C03"/>
    <w:rsid w:val="00A02CB5"/>
    <w:rsid w:val="00A02E6C"/>
    <w:rsid w:val="00A03205"/>
    <w:rsid w:val="00A034BE"/>
    <w:rsid w:val="00A03583"/>
    <w:rsid w:val="00A035D7"/>
    <w:rsid w:val="00A0363A"/>
    <w:rsid w:val="00A037BB"/>
    <w:rsid w:val="00A038F2"/>
    <w:rsid w:val="00A03915"/>
    <w:rsid w:val="00A03E34"/>
    <w:rsid w:val="00A03F0F"/>
    <w:rsid w:val="00A0403F"/>
    <w:rsid w:val="00A047B9"/>
    <w:rsid w:val="00A047CF"/>
    <w:rsid w:val="00A048C2"/>
    <w:rsid w:val="00A04918"/>
    <w:rsid w:val="00A04A1B"/>
    <w:rsid w:val="00A04AB5"/>
    <w:rsid w:val="00A04C9D"/>
    <w:rsid w:val="00A056EF"/>
    <w:rsid w:val="00A05919"/>
    <w:rsid w:val="00A06044"/>
    <w:rsid w:val="00A0624C"/>
    <w:rsid w:val="00A06706"/>
    <w:rsid w:val="00A067E8"/>
    <w:rsid w:val="00A06803"/>
    <w:rsid w:val="00A06BE0"/>
    <w:rsid w:val="00A07215"/>
    <w:rsid w:val="00A077E4"/>
    <w:rsid w:val="00A07CAC"/>
    <w:rsid w:val="00A07F5C"/>
    <w:rsid w:val="00A106E8"/>
    <w:rsid w:val="00A107BB"/>
    <w:rsid w:val="00A10A09"/>
    <w:rsid w:val="00A11350"/>
    <w:rsid w:val="00A11765"/>
    <w:rsid w:val="00A11CC7"/>
    <w:rsid w:val="00A11D93"/>
    <w:rsid w:val="00A11E5A"/>
    <w:rsid w:val="00A1222B"/>
    <w:rsid w:val="00A12D06"/>
    <w:rsid w:val="00A13187"/>
    <w:rsid w:val="00A13311"/>
    <w:rsid w:val="00A13566"/>
    <w:rsid w:val="00A13818"/>
    <w:rsid w:val="00A1389F"/>
    <w:rsid w:val="00A139B9"/>
    <w:rsid w:val="00A13A64"/>
    <w:rsid w:val="00A13AAB"/>
    <w:rsid w:val="00A13BA8"/>
    <w:rsid w:val="00A13C69"/>
    <w:rsid w:val="00A13CE7"/>
    <w:rsid w:val="00A13E53"/>
    <w:rsid w:val="00A140AD"/>
    <w:rsid w:val="00A1453F"/>
    <w:rsid w:val="00A146C3"/>
    <w:rsid w:val="00A15285"/>
    <w:rsid w:val="00A154FE"/>
    <w:rsid w:val="00A157EE"/>
    <w:rsid w:val="00A1589C"/>
    <w:rsid w:val="00A158EA"/>
    <w:rsid w:val="00A15A80"/>
    <w:rsid w:val="00A15CA1"/>
    <w:rsid w:val="00A15CAA"/>
    <w:rsid w:val="00A163A6"/>
    <w:rsid w:val="00A168E8"/>
    <w:rsid w:val="00A16C5D"/>
    <w:rsid w:val="00A17B72"/>
    <w:rsid w:val="00A20212"/>
    <w:rsid w:val="00A20D64"/>
    <w:rsid w:val="00A20EF3"/>
    <w:rsid w:val="00A20F14"/>
    <w:rsid w:val="00A21113"/>
    <w:rsid w:val="00A220D1"/>
    <w:rsid w:val="00A221B6"/>
    <w:rsid w:val="00A225F7"/>
    <w:rsid w:val="00A226EB"/>
    <w:rsid w:val="00A22710"/>
    <w:rsid w:val="00A22E9B"/>
    <w:rsid w:val="00A22EB8"/>
    <w:rsid w:val="00A22EDA"/>
    <w:rsid w:val="00A231C6"/>
    <w:rsid w:val="00A236B5"/>
    <w:rsid w:val="00A2373D"/>
    <w:rsid w:val="00A23C62"/>
    <w:rsid w:val="00A24209"/>
    <w:rsid w:val="00A254B3"/>
    <w:rsid w:val="00A25DD1"/>
    <w:rsid w:val="00A25F4B"/>
    <w:rsid w:val="00A25FB2"/>
    <w:rsid w:val="00A26020"/>
    <w:rsid w:val="00A260D2"/>
    <w:rsid w:val="00A2643A"/>
    <w:rsid w:val="00A2660A"/>
    <w:rsid w:val="00A267E8"/>
    <w:rsid w:val="00A26C13"/>
    <w:rsid w:val="00A26EE3"/>
    <w:rsid w:val="00A302A6"/>
    <w:rsid w:val="00A30721"/>
    <w:rsid w:val="00A30FA9"/>
    <w:rsid w:val="00A31236"/>
    <w:rsid w:val="00A31905"/>
    <w:rsid w:val="00A31F5A"/>
    <w:rsid w:val="00A321BB"/>
    <w:rsid w:val="00A32262"/>
    <w:rsid w:val="00A3229D"/>
    <w:rsid w:val="00A32EC2"/>
    <w:rsid w:val="00A33207"/>
    <w:rsid w:val="00A337F9"/>
    <w:rsid w:val="00A33DF1"/>
    <w:rsid w:val="00A33E61"/>
    <w:rsid w:val="00A340B6"/>
    <w:rsid w:val="00A34403"/>
    <w:rsid w:val="00A3452E"/>
    <w:rsid w:val="00A34C53"/>
    <w:rsid w:val="00A34EB0"/>
    <w:rsid w:val="00A351A5"/>
    <w:rsid w:val="00A35558"/>
    <w:rsid w:val="00A3606B"/>
    <w:rsid w:val="00A363DF"/>
    <w:rsid w:val="00A367A9"/>
    <w:rsid w:val="00A37361"/>
    <w:rsid w:val="00A37371"/>
    <w:rsid w:val="00A37390"/>
    <w:rsid w:val="00A37606"/>
    <w:rsid w:val="00A3778E"/>
    <w:rsid w:val="00A3787E"/>
    <w:rsid w:val="00A3789C"/>
    <w:rsid w:val="00A37A2A"/>
    <w:rsid w:val="00A37BC5"/>
    <w:rsid w:val="00A37FD2"/>
    <w:rsid w:val="00A4020E"/>
    <w:rsid w:val="00A406C4"/>
    <w:rsid w:val="00A40AF4"/>
    <w:rsid w:val="00A40FBD"/>
    <w:rsid w:val="00A40FEA"/>
    <w:rsid w:val="00A41B77"/>
    <w:rsid w:val="00A41E2F"/>
    <w:rsid w:val="00A420A7"/>
    <w:rsid w:val="00A4238E"/>
    <w:rsid w:val="00A426E4"/>
    <w:rsid w:val="00A42D2B"/>
    <w:rsid w:val="00A42FC7"/>
    <w:rsid w:val="00A43370"/>
    <w:rsid w:val="00A43437"/>
    <w:rsid w:val="00A437DA"/>
    <w:rsid w:val="00A438B0"/>
    <w:rsid w:val="00A43F62"/>
    <w:rsid w:val="00A44998"/>
    <w:rsid w:val="00A4525A"/>
    <w:rsid w:val="00A4532B"/>
    <w:rsid w:val="00A45627"/>
    <w:rsid w:val="00A45925"/>
    <w:rsid w:val="00A46DE7"/>
    <w:rsid w:val="00A4741C"/>
    <w:rsid w:val="00A474D6"/>
    <w:rsid w:val="00A4761D"/>
    <w:rsid w:val="00A476F0"/>
    <w:rsid w:val="00A47819"/>
    <w:rsid w:val="00A4788D"/>
    <w:rsid w:val="00A47A1C"/>
    <w:rsid w:val="00A47F40"/>
    <w:rsid w:val="00A5002B"/>
    <w:rsid w:val="00A500E7"/>
    <w:rsid w:val="00A50333"/>
    <w:rsid w:val="00A504ED"/>
    <w:rsid w:val="00A506D4"/>
    <w:rsid w:val="00A50769"/>
    <w:rsid w:val="00A5092F"/>
    <w:rsid w:val="00A513CD"/>
    <w:rsid w:val="00A51537"/>
    <w:rsid w:val="00A5160E"/>
    <w:rsid w:val="00A5176D"/>
    <w:rsid w:val="00A51961"/>
    <w:rsid w:val="00A51AAA"/>
    <w:rsid w:val="00A529D7"/>
    <w:rsid w:val="00A52C37"/>
    <w:rsid w:val="00A52DE0"/>
    <w:rsid w:val="00A53762"/>
    <w:rsid w:val="00A53854"/>
    <w:rsid w:val="00A53E4B"/>
    <w:rsid w:val="00A540BB"/>
    <w:rsid w:val="00A544F0"/>
    <w:rsid w:val="00A5479A"/>
    <w:rsid w:val="00A54959"/>
    <w:rsid w:val="00A54D22"/>
    <w:rsid w:val="00A55422"/>
    <w:rsid w:val="00A55A0A"/>
    <w:rsid w:val="00A55A48"/>
    <w:rsid w:val="00A55BB5"/>
    <w:rsid w:val="00A56960"/>
    <w:rsid w:val="00A57847"/>
    <w:rsid w:val="00A57B4F"/>
    <w:rsid w:val="00A57BE7"/>
    <w:rsid w:val="00A60384"/>
    <w:rsid w:val="00A607FF"/>
    <w:rsid w:val="00A60CDA"/>
    <w:rsid w:val="00A610CE"/>
    <w:rsid w:val="00A610D6"/>
    <w:rsid w:val="00A6115E"/>
    <w:rsid w:val="00A613E4"/>
    <w:rsid w:val="00A616ED"/>
    <w:rsid w:val="00A61A19"/>
    <w:rsid w:val="00A61CDE"/>
    <w:rsid w:val="00A62073"/>
    <w:rsid w:val="00A6246B"/>
    <w:rsid w:val="00A627C3"/>
    <w:rsid w:val="00A62AEE"/>
    <w:rsid w:val="00A62D92"/>
    <w:rsid w:val="00A62DE8"/>
    <w:rsid w:val="00A63406"/>
    <w:rsid w:val="00A63C68"/>
    <w:rsid w:val="00A63EDF"/>
    <w:rsid w:val="00A64340"/>
    <w:rsid w:val="00A64356"/>
    <w:rsid w:val="00A64D03"/>
    <w:rsid w:val="00A64E30"/>
    <w:rsid w:val="00A64FFE"/>
    <w:rsid w:val="00A655F1"/>
    <w:rsid w:val="00A656A1"/>
    <w:rsid w:val="00A65A28"/>
    <w:rsid w:val="00A65CDB"/>
    <w:rsid w:val="00A65F31"/>
    <w:rsid w:val="00A66659"/>
    <w:rsid w:val="00A666F7"/>
    <w:rsid w:val="00A66C4D"/>
    <w:rsid w:val="00A67024"/>
    <w:rsid w:val="00A67100"/>
    <w:rsid w:val="00A6735D"/>
    <w:rsid w:val="00A673B0"/>
    <w:rsid w:val="00A67823"/>
    <w:rsid w:val="00A6787E"/>
    <w:rsid w:val="00A67BDA"/>
    <w:rsid w:val="00A67BDB"/>
    <w:rsid w:val="00A707AA"/>
    <w:rsid w:val="00A70C8F"/>
    <w:rsid w:val="00A70CDB"/>
    <w:rsid w:val="00A7176E"/>
    <w:rsid w:val="00A71776"/>
    <w:rsid w:val="00A7182F"/>
    <w:rsid w:val="00A71B2D"/>
    <w:rsid w:val="00A72208"/>
    <w:rsid w:val="00A722EF"/>
    <w:rsid w:val="00A7258D"/>
    <w:rsid w:val="00A72A18"/>
    <w:rsid w:val="00A72B87"/>
    <w:rsid w:val="00A72F57"/>
    <w:rsid w:val="00A73012"/>
    <w:rsid w:val="00A73180"/>
    <w:rsid w:val="00A73301"/>
    <w:rsid w:val="00A73596"/>
    <w:rsid w:val="00A735AB"/>
    <w:rsid w:val="00A73632"/>
    <w:rsid w:val="00A73CC6"/>
    <w:rsid w:val="00A73CF8"/>
    <w:rsid w:val="00A73E95"/>
    <w:rsid w:val="00A74155"/>
    <w:rsid w:val="00A741F7"/>
    <w:rsid w:val="00A74904"/>
    <w:rsid w:val="00A75492"/>
    <w:rsid w:val="00A75D65"/>
    <w:rsid w:val="00A76A01"/>
    <w:rsid w:val="00A76D26"/>
    <w:rsid w:val="00A76F15"/>
    <w:rsid w:val="00A77203"/>
    <w:rsid w:val="00A77AC7"/>
    <w:rsid w:val="00A77B2F"/>
    <w:rsid w:val="00A80052"/>
    <w:rsid w:val="00A80156"/>
    <w:rsid w:val="00A80283"/>
    <w:rsid w:val="00A80449"/>
    <w:rsid w:val="00A80ABB"/>
    <w:rsid w:val="00A80F03"/>
    <w:rsid w:val="00A816F8"/>
    <w:rsid w:val="00A81987"/>
    <w:rsid w:val="00A81E71"/>
    <w:rsid w:val="00A825D4"/>
    <w:rsid w:val="00A82AA6"/>
    <w:rsid w:val="00A82AC9"/>
    <w:rsid w:val="00A82DDF"/>
    <w:rsid w:val="00A82E37"/>
    <w:rsid w:val="00A82E43"/>
    <w:rsid w:val="00A834BB"/>
    <w:rsid w:val="00A837E5"/>
    <w:rsid w:val="00A83F51"/>
    <w:rsid w:val="00A8403F"/>
    <w:rsid w:val="00A84085"/>
    <w:rsid w:val="00A84172"/>
    <w:rsid w:val="00A845D0"/>
    <w:rsid w:val="00A85151"/>
    <w:rsid w:val="00A851A5"/>
    <w:rsid w:val="00A85407"/>
    <w:rsid w:val="00A85ECB"/>
    <w:rsid w:val="00A86420"/>
    <w:rsid w:val="00A867CA"/>
    <w:rsid w:val="00A86A5B"/>
    <w:rsid w:val="00A86E39"/>
    <w:rsid w:val="00A86F3D"/>
    <w:rsid w:val="00A87084"/>
    <w:rsid w:val="00A8748D"/>
    <w:rsid w:val="00A879CA"/>
    <w:rsid w:val="00A87EF0"/>
    <w:rsid w:val="00A90A06"/>
    <w:rsid w:val="00A90B64"/>
    <w:rsid w:val="00A90CA9"/>
    <w:rsid w:val="00A90CC6"/>
    <w:rsid w:val="00A91052"/>
    <w:rsid w:val="00A9123E"/>
    <w:rsid w:val="00A921CE"/>
    <w:rsid w:val="00A924AE"/>
    <w:rsid w:val="00A929E6"/>
    <w:rsid w:val="00A92AAD"/>
    <w:rsid w:val="00A92B11"/>
    <w:rsid w:val="00A92BE4"/>
    <w:rsid w:val="00A92BFA"/>
    <w:rsid w:val="00A934FB"/>
    <w:rsid w:val="00A93831"/>
    <w:rsid w:val="00A93A4C"/>
    <w:rsid w:val="00A93B6A"/>
    <w:rsid w:val="00A93C2A"/>
    <w:rsid w:val="00A93C59"/>
    <w:rsid w:val="00A94292"/>
    <w:rsid w:val="00A94486"/>
    <w:rsid w:val="00A94B98"/>
    <w:rsid w:val="00A94D0C"/>
    <w:rsid w:val="00A94E4B"/>
    <w:rsid w:val="00A95944"/>
    <w:rsid w:val="00A95A23"/>
    <w:rsid w:val="00A95B58"/>
    <w:rsid w:val="00A968D5"/>
    <w:rsid w:val="00A96A52"/>
    <w:rsid w:val="00A96D72"/>
    <w:rsid w:val="00A97146"/>
    <w:rsid w:val="00A97870"/>
    <w:rsid w:val="00A978A4"/>
    <w:rsid w:val="00A979EE"/>
    <w:rsid w:val="00A97A5C"/>
    <w:rsid w:val="00A97B16"/>
    <w:rsid w:val="00A97F69"/>
    <w:rsid w:val="00AA012C"/>
    <w:rsid w:val="00AA0139"/>
    <w:rsid w:val="00AA02E4"/>
    <w:rsid w:val="00AA0321"/>
    <w:rsid w:val="00AA05AE"/>
    <w:rsid w:val="00AA06DC"/>
    <w:rsid w:val="00AA06F4"/>
    <w:rsid w:val="00AA0DA0"/>
    <w:rsid w:val="00AA14EB"/>
    <w:rsid w:val="00AA2360"/>
    <w:rsid w:val="00AA24E1"/>
    <w:rsid w:val="00AA2CCC"/>
    <w:rsid w:val="00AA2F5C"/>
    <w:rsid w:val="00AA2FE2"/>
    <w:rsid w:val="00AA3131"/>
    <w:rsid w:val="00AA336D"/>
    <w:rsid w:val="00AA37A6"/>
    <w:rsid w:val="00AA408C"/>
    <w:rsid w:val="00AA4328"/>
    <w:rsid w:val="00AA433E"/>
    <w:rsid w:val="00AA4A8F"/>
    <w:rsid w:val="00AA4B93"/>
    <w:rsid w:val="00AA4DED"/>
    <w:rsid w:val="00AA50A1"/>
    <w:rsid w:val="00AA590A"/>
    <w:rsid w:val="00AA5D6D"/>
    <w:rsid w:val="00AA5F2F"/>
    <w:rsid w:val="00AA5F63"/>
    <w:rsid w:val="00AA60B5"/>
    <w:rsid w:val="00AA61E2"/>
    <w:rsid w:val="00AA6347"/>
    <w:rsid w:val="00AA6B63"/>
    <w:rsid w:val="00AA6BBA"/>
    <w:rsid w:val="00AA6E30"/>
    <w:rsid w:val="00AA6F01"/>
    <w:rsid w:val="00AA6FD5"/>
    <w:rsid w:val="00AA70C5"/>
    <w:rsid w:val="00AA72CC"/>
    <w:rsid w:val="00AA79E3"/>
    <w:rsid w:val="00AB008A"/>
    <w:rsid w:val="00AB11DA"/>
    <w:rsid w:val="00AB1CB9"/>
    <w:rsid w:val="00AB1E18"/>
    <w:rsid w:val="00AB1FA1"/>
    <w:rsid w:val="00AB206E"/>
    <w:rsid w:val="00AB23D2"/>
    <w:rsid w:val="00AB25DB"/>
    <w:rsid w:val="00AB2635"/>
    <w:rsid w:val="00AB2691"/>
    <w:rsid w:val="00AB2C2A"/>
    <w:rsid w:val="00AB2CA1"/>
    <w:rsid w:val="00AB2ED6"/>
    <w:rsid w:val="00AB33CE"/>
    <w:rsid w:val="00AB34EE"/>
    <w:rsid w:val="00AB38B5"/>
    <w:rsid w:val="00AB3F03"/>
    <w:rsid w:val="00AB43DC"/>
    <w:rsid w:val="00AB44EA"/>
    <w:rsid w:val="00AB4B42"/>
    <w:rsid w:val="00AB4D9A"/>
    <w:rsid w:val="00AB501A"/>
    <w:rsid w:val="00AB53A5"/>
    <w:rsid w:val="00AB602E"/>
    <w:rsid w:val="00AB6267"/>
    <w:rsid w:val="00AB6353"/>
    <w:rsid w:val="00AB6525"/>
    <w:rsid w:val="00AB65FC"/>
    <w:rsid w:val="00AB660F"/>
    <w:rsid w:val="00AB66C1"/>
    <w:rsid w:val="00AB66E0"/>
    <w:rsid w:val="00AB66FB"/>
    <w:rsid w:val="00AB6EE1"/>
    <w:rsid w:val="00AB6FB3"/>
    <w:rsid w:val="00AB707B"/>
    <w:rsid w:val="00AB7800"/>
    <w:rsid w:val="00AB7AF6"/>
    <w:rsid w:val="00AB7BEB"/>
    <w:rsid w:val="00AC02CC"/>
    <w:rsid w:val="00AC03A1"/>
    <w:rsid w:val="00AC0A60"/>
    <w:rsid w:val="00AC0B49"/>
    <w:rsid w:val="00AC0CF2"/>
    <w:rsid w:val="00AC1069"/>
    <w:rsid w:val="00AC10ED"/>
    <w:rsid w:val="00AC11F0"/>
    <w:rsid w:val="00AC1295"/>
    <w:rsid w:val="00AC151F"/>
    <w:rsid w:val="00AC1655"/>
    <w:rsid w:val="00AC1686"/>
    <w:rsid w:val="00AC1951"/>
    <w:rsid w:val="00AC1E65"/>
    <w:rsid w:val="00AC2167"/>
    <w:rsid w:val="00AC24CE"/>
    <w:rsid w:val="00AC2530"/>
    <w:rsid w:val="00AC28EA"/>
    <w:rsid w:val="00AC29C2"/>
    <w:rsid w:val="00AC33CD"/>
    <w:rsid w:val="00AC3897"/>
    <w:rsid w:val="00AC3AA1"/>
    <w:rsid w:val="00AC3ABD"/>
    <w:rsid w:val="00AC4631"/>
    <w:rsid w:val="00AC4802"/>
    <w:rsid w:val="00AC493F"/>
    <w:rsid w:val="00AC4B62"/>
    <w:rsid w:val="00AC4BD8"/>
    <w:rsid w:val="00AC4C0A"/>
    <w:rsid w:val="00AC4C6A"/>
    <w:rsid w:val="00AC537A"/>
    <w:rsid w:val="00AC633C"/>
    <w:rsid w:val="00AC6924"/>
    <w:rsid w:val="00AC6A71"/>
    <w:rsid w:val="00AC6B9F"/>
    <w:rsid w:val="00AC6BE1"/>
    <w:rsid w:val="00AC6DFE"/>
    <w:rsid w:val="00AC6F35"/>
    <w:rsid w:val="00AC7114"/>
    <w:rsid w:val="00AC715F"/>
    <w:rsid w:val="00AC717A"/>
    <w:rsid w:val="00AC757B"/>
    <w:rsid w:val="00AC784E"/>
    <w:rsid w:val="00AC7B36"/>
    <w:rsid w:val="00AC7D5A"/>
    <w:rsid w:val="00AC7E1D"/>
    <w:rsid w:val="00AD01FE"/>
    <w:rsid w:val="00AD0826"/>
    <w:rsid w:val="00AD0AFF"/>
    <w:rsid w:val="00AD0B27"/>
    <w:rsid w:val="00AD0CF0"/>
    <w:rsid w:val="00AD0F4F"/>
    <w:rsid w:val="00AD1019"/>
    <w:rsid w:val="00AD1A01"/>
    <w:rsid w:val="00AD1A88"/>
    <w:rsid w:val="00AD1C87"/>
    <w:rsid w:val="00AD2722"/>
    <w:rsid w:val="00AD2879"/>
    <w:rsid w:val="00AD2EA6"/>
    <w:rsid w:val="00AD3360"/>
    <w:rsid w:val="00AD3534"/>
    <w:rsid w:val="00AD3A2A"/>
    <w:rsid w:val="00AD40ED"/>
    <w:rsid w:val="00AD435F"/>
    <w:rsid w:val="00AD4872"/>
    <w:rsid w:val="00AD499D"/>
    <w:rsid w:val="00AD4C60"/>
    <w:rsid w:val="00AD50A6"/>
    <w:rsid w:val="00AD5478"/>
    <w:rsid w:val="00AD5738"/>
    <w:rsid w:val="00AD5991"/>
    <w:rsid w:val="00AD5A55"/>
    <w:rsid w:val="00AD5B2D"/>
    <w:rsid w:val="00AD6328"/>
    <w:rsid w:val="00AD678D"/>
    <w:rsid w:val="00AD68E0"/>
    <w:rsid w:val="00AD6A5A"/>
    <w:rsid w:val="00AD6ECF"/>
    <w:rsid w:val="00AD7234"/>
    <w:rsid w:val="00AD7261"/>
    <w:rsid w:val="00AD7452"/>
    <w:rsid w:val="00AD794A"/>
    <w:rsid w:val="00AD7993"/>
    <w:rsid w:val="00AE0181"/>
    <w:rsid w:val="00AE0A98"/>
    <w:rsid w:val="00AE0C54"/>
    <w:rsid w:val="00AE0D9B"/>
    <w:rsid w:val="00AE100F"/>
    <w:rsid w:val="00AE16A8"/>
    <w:rsid w:val="00AE1DA9"/>
    <w:rsid w:val="00AE1F19"/>
    <w:rsid w:val="00AE2204"/>
    <w:rsid w:val="00AE22CD"/>
    <w:rsid w:val="00AE2488"/>
    <w:rsid w:val="00AE25AA"/>
    <w:rsid w:val="00AE26FA"/>
    <w:rsid w:val="00AE27F8"/>
    <w:rsid w:val="00AE280F"/>
    <w:rsid w:val="00AE2A16"/>
    <w:rsid w:val="00AE2AE6"/>
    <w:rsid w:val="00AE303B"/>
    <w:rsid w:val="00AE35DE"/>
    <w:rsid w:val="00AE3B21"/>
    <w:rsid w:val="00AE3BB6"/>
    <w:rsid w:val="00AE407D"/>
    <w:rsid w:val="00AE414C"/>
    <w:rsid w:val="00AE49E3"/>
    <w:rsid w:val="00AE4D2C"/>
    <w:rsid w:val="00AE52E0"/>
    <w:rsid w:val="00AE5566"/>
    <w:rsid w:val="00AE655C"/>
    <w:rsid w:val="00AE6946"/>
    <w:rsid w:val="00AE6C34"/>
    <w:rsid w:val="00AE79B1"/>
    <w:rsid w:val="00AE7D36"/>
    <w:rsid w:val="00AF00AD"/>
    <w:rsid w:val="00AF0122"/>
    <w:rsid w:val="00AF0BE4"/>
    <w:rsid w:val="00AF0BF3"/>
    <w:rsid w:val="00AF13AF"/>
    <w:rsid w:val="00AF2558"/>
    <w:rsid w:val="00AF29DC"/>
    <w:rsid w:val="00AF332D"/>
    <w:rsid w:val="00AF3339"/>
    <w:rsid w:val="00AF3347"/>
    <w:rsid w:val="00AF3570"/>
    <w:rsid w:val="00AF3680"/>
    <w:rsid w:val="00AF39E8"/>
    <w:rsid w:val="00AF3C3D"/>
    <w:rsid w:val="00AF404E"/>
    <w:rsid w:val="00AF4092"/>
    <w:rsid w:val="00AF5146"/>
    <w:rsid w:val="00AF5C6C"/>
    <w:rsid w:val="00AF606F"/>
    <w:rsid w:val="00AF644A"/>
    <w:rsid w:val="00AF6C5F"/>
    <w:rsid w:val="00AF78A4"/>
    <w:rsid w:val="00AF7944"/>
    <w:rsid w:val="00AF7C0D"/>
    <w:rsid w:val="00AF7F84"/>
    <w:rsid w:val="00B0010C"/>
    <w:rsid w:val="00B003A8"/>
    <w:rsid w:val="00B00513"/>
    <w:rsid w:val="00B0065E"/>
    <w:rsid w:val="00B00E12"/>
    <w:rsid w:val="00B010E2"/>
    <w:rsid w:val="00B013AD"/>
    <w:rsid w:val="00B01587"/>
    <w:rsid w:val="00B01841"/>
    <w:rsid w:val="00B01A5C"/>
    <w:rsid w:val="00B021F9"/>
    <w:rsid w:val="00B0288F"/>
    <w:rsid w:val="00B02C32"/>
    <w:rsid w:val="00B02E11"/>
    <w:rsid w:val="00B0336F"/>
    <w:rsid w:val="00B035C1"/>
    <w:rsid w:val="00B03BD3"/>
    <w:rsid w:val="00B041AA"/>
    <w:rsid w:val="00B04284"/>
    <w:rsid w:val="00B042AA"/>
    <w:rsid w:val="00B0438D"/>
    <w:rsid w:val="00B04DED"/>
    <w:rsid w:val="00B051A4"/>
    <w:rsid w:val="00B05549"/>
    <w:rsid w:val="00B05950"/>
    <w:rsid w:val="00B05CB7"/>
    <w:rsid w:val="00B05FCD"/>
    <w:rsid w:val="00B0602C"/>
    <w:rsid w:val="00B063C8"/>
    <w:rsid w:val="00B0692B"/>
    <w:rsid w:val="00B06B32"/>
    <w:rsid w:val="00B06D8A"/>
    <w:rsid w:val="00B071E8"/>
    <w:rsid w:val="00B0737B"/>
    <w:rsid w:val="00B074F5"/>
    <w:rsid w:val="00B07A86"/>
    <w:rsid w:val="00B07ADC"/>
    <w:rsid w:val="00B07FA7"/>
    <w:rsid w:val="00B10107"/>
    <w:rsid w:val="00B10152"/>
    <w:rsid w:val="00B1017A"/>
    <w:rsid w:val="00B10186"/>
    <w:rsid w:val="00B10ABB"/>
    <w:rsid w:val="00B10ACA"/>
    <w:rsid w:val="00B10C4F"/>
    <w:rsid w:val="00B110FC"/>
    <w:rsid w:val="00B1159A"/>
    <w:rsid w:val="00B1171A"/>
    <w:rsid w:val="00B11754"/>
    <w:rsid w:val="00B117F2"/>
    <w:rsid w:val="00B1224C"/>
    <w:rsid w:val="00B12AA4"/>
    <w:rsid w:val="00B12AA6"/>
    <w:rsid w:val="00B12ADC"/>
    <w:rsid w:val="00B12EDD"/>
    <w:rsid w:val="00B13241"/>
    <w:rsid w:val="00B13AC6"/>
    <w:rsid w:val="00B14282"/>
    <w:rsid w:val="00B14487"/>
    <w:rsid w:val="00B14C91"/>
    <w:rsid w:val="00B15221"/>
    <w:rsid w:val="00B156BC"/>
    <w:rsid w:val="00B15825"/>
    <w:rsid w:val="00B15DF4"/>
    <w:rsid w:val="00B1620B"/>
    <w:rsid w:val="00B16412"/>
    <w:rsid w:val="00B1641B"/>
    <w:rsid w:val="00B16426"/>
    <w:rsid w:val="00B1667E"/>
    <w:rsid w:val="00B16781"/>
    <w:rsid w:val="00B16A6F"/>
    <w:rsid w:val="00B16ADC"/>
    <w:rsid w:val="00B16BCF"/>
    <w:rsid w:val="00B16BEE"/>
    <w:rsid w:val="00B16ED9"/>
    <w:rsid w:val="00B170DE"/>
    <w:rsid w:val="00B17729"/>
    <w:rsid w:val="00B179CE"/>
    <w:rsid w:val="00B179F0"/>
    <w:rsid w:val="00B17DB3"/>
    <w:rsid w:val="00B17EAE"/>
    <w:rsid w:val="00B201A7"/>
    <w:rsid w:val="00B20656"/>
    <w:rsid w:val="00B20AAF"/>
    <w:rsid w:val="00B20F7F"/>
    <w:rsid w:val="00B21035"/>
    <w:rsid w:val="00B211EE"/>
    <w:rsid w:val="00B21CCA"/>
    <w:rsid w:val="00B21F6D"/>
    <w:rsid w:val="00B224E7"/>
    <w:rsid w:val="00B2281C"/>
    <w:rsid w:val="00B22BEA"/>
    <w:rsid w:val="00B22D6A"/>
    <w:rsid w:val="00B23057"/>
    <w:rsid w:val="00B2328E"/>
    <w:rsid w:val="00B2338A"/>
    <w:rsid w:val="00B23539"/>
    <w:rsid w:val="00B23AF5"/>
    <w:rsid w:val="00B23DB1"/>
    <w:rsid w:val="00B23FCD"/>
    <w:rsid w:val="00B240F4"/>
    <w:rsid w:val="00B2410A"/>
    <w:rsid w:val="00B24FBF"/>
    <w:rsid w:val="00B2516C"/>
    <w:rsid w:val="00B25441"/>
    <w:rsid w:val="00B2545B"/>
    <w:rsid w:val="00B25652"/>
    <w:rsid w:val="00B259EE"/>
    <w:rsid w:val="00B25A44"/>
    <w:rsid w:val="00B25BBD"/>
    <w:rsid w:val="00B25F28"/>
    <w:rsid w:val="00B26309"/>
    <w:rsid w:val="00B27096"/>
    <w:rsid w:val="00B270F1"/>
    <w:rsid w:val="00B272A2"/>
    <w:rsid w:val="00B274C3"/>
    <w:rsid w:val="00B275B9"/>
    <w:rsid w:val="00B277AD"/>
    <w:rsid w:val="00B27A34"/>
    <w:rsid w:val="00B27B43"/>
    <w:rsid w:val="00B30591"/>
    <w:rsid w:val="00B3075A"/>
    <w:rsid w:val="00B30BC0"/>
    <w:rsid w:val="00B30F4F"/>
    <w:rsid w:val="00B31957"/>
    <w:rsid w:val="00B31B87"/>
    <w:rsid w:val="00B31CCD"/>
    <w:rsid w:val="00B31D8D"/>
    <w:rsid w:val="00B31E1B"/>
    <w:rsid w:val="00B31E86"/>
    <w:rsid w:val="00B321D2"/>
    <w:rsid w:val="00B326DE"/>
    <w:rsid w:val="00B32A31"/>
    <w:rsid w:val="00B32A61"/>
    <w:rsid w:val="00B32B51"/>
    <w:rsid w:val="00B32E66"/>
    <w:rsid w:val="00B339A4"/>
    <w:rsid w:val="00B33A78"/>
    <w:rsid w:val="00B33D12"/>
    <w:rsid w:val="00B34101"/>
    <w:rsid w:val="00B3449B"/>
    <w:rsid w:val="00B347C4"/>
    <w:rsid w:val="00B34970"/>
    <w:rsid w:val="00B34B72"/>
    <w:rsid w:val="00B34CA9"/>
    <w:rsid w:val="00B34E84"/>
    <w:rsid w:val="00B3535E"/>
    <w:rsid w:val="00B35654"/>
    <w:rsid w:val="00B357B1"/>
    <w:rsid w:val="00B35955"/>
    <w:rsid w:val="00B35C9F"/>
    <w:rsid w:val="00B35F67"/>
    <w:rsid w:val="00B3682E"/>
    <w:rsid w:val="00B36FE8"/>
    <w:rsid w:val="00B3700D"/>
    <w:rsid w:val="00B376A1"/>
    <w:rsid w:val="00B401BF"/>
    <w:rsid w:val="00B4052F"/>
    <w:rsid w:val="00B407D9"/>
    <w:rsid w:val="00B40A7A"/>
    <w:rsid w:val="00B40C4E"/>
    <w:rsid w:val="00B40CB0"/>
    <w:rsid w:val="00B4108F"/>
    <w:rsid w:val="00B411BF"/>
    <w:rsid w:val="00B4151F"/>
    <w:rsid w:val="00B418FD"/>
    <w:rsid w:val="00B41C4A"/>
    <w:rsid w:val="00B41C5F"/>
    <w:rsid w:val="00B41D88"/>
    <w:rsid w:val="00B42752"/>
    <w:rsid w:val="00B431B6"/>
    <w:rsid w:val="00B431E4"/>
    <w:rsid w:val="00B442F2"/>
    <w:rsid w:val="00B44487"/>
    <w:rsid w:val="00B44506"/>
    <w:rsid w:val="00B4463C"/>
    <w:rsid w:val="00B44FF5"/>
    <w:rsid w:val="00B45122"/>
    <w:rsid w:val="00B452CA"/>
    <w:rsid w:val="00B45466"/>
    <w:rsid w:val="00B454BF"/>
    <w:rsid w:val="00B45584"/>
    <w:rsid w:val="00B457D6"/>
    <w:rsid w:val="00B45A97"/>
    <w:rsid w:val="00B45C3C"/>
    <w:rsid w:val="00B45E7E"/>
    <w:rsid w:val="00B45ED8"/>
    <w:rsid w:val="00B46988"/>
    <w:rsid w:val="00B46F03"/>
    <w:rsid w:val="00B4773C"/>
    <w:rsid w:val="00B47779"/>
    <w:rsid w:val="00B47C93"/>
    <w:rsid w:val="00B50C22"/>
    <w:rsid w:val="00B516AC"/>
    <w:rsid w:val="00B519E0"/>
    <w:rsid w:val="00B51C2C"/>
    <w:rsid w:val="00B51C51"/>
    <w:rsid w:val="00B520E2"/>
    <w:rsid w:val="00B52328"/>
    <w:rsid w:val="00B52BF8"/>
    <w:rsid w:val="00B52D80"/>
    <w:rsid w:val="00B52DE9"/>
    <w:rsid w:val="00B535D5"/>
    <w:rsid w:val="00B53688"/>
    <w:rsid w:val="00B536E5"/>
    <w:rsid w:val="00B538C8"/>
    <w:rsid w:val="00B53A74"/>
    <w:rsid w:val="00B53CBF"/>
    <w:rsid w:val="00B53D95"/>
    <w:rsid w:val="00B54106"/>
    <w:rsid w:val="00B54117"/>
    <w:rsid w:val="00B5433B"/>
    <w:rsid w:val="00B54598"/>
    <w:rsid w:val="00B5493F"/>
    <w:rsid w:val="00B54ABA"/>
    <w:rsid w:val="00B54BFF"/>
    <w:rsid w:val="00B54C27"/>
    <w:rsid w:val="00B54DB4"/>
    <w:rsid w:val="00B5508A"/>
    <w:rsid w:val="00B55459"/>
    <w:rsid w:val="00B5591B"/>
    <w:rsid w:val="00B55CE0"/>
    <w:rsid w:val="00B55D83"/>
    <w:rsid w:val="00B5628E"/>
    <w:rsid w:val="00B56BB9"/>
    <w:rsid w:val="00B575D6"/>
    <w:rsid w:val="00B57B75"/>
    <w:rsid w:val="00B57D52"/>
    <w:rsid w:val="00B60AF1"/>
    <w:rsid w:val="00B60C2C"/>
    <w:rsid w:val="00B60CDE"/>
    <w:rsid w:val="00B61029"/>
    <w:rsid w:val="00B6158E"/>
    <w:rsid w:val="00B618B0"/>
    <w:rsid w:val="00B61BA3"/>
    <w:rsid w:val="00B61FFB"/>
    <w:rsid w:val="00B624F9"/>
    <w:rsid w:val="00B624FB"/>
    <w:rsid w:val="00B628FF"/>
    <w:rsid w:val="00B62BE0"/>
    <w:rsid w:val="00B62E15"/>
    <w:rsid w:val="00B633F7"/>
    <w:rsid w:val="00B6383E"/>
    <w:rsid w:val="00B6393A"/>
    <w:rsid w:val="00B6406A"/>
    <w:rsid w:val="00B642E2"/>
    <w:rsid w:val="00B6495D"/>
    <w:rsid w:val="00B64CBE"/>
    <w:rsid w:val="00B65116"/>
    <w:rsid w:val="00B656AB"/>
    <w:rsid w:val="00B658EE"/>
    <w:rsid w:val="00B66115"/>
    <w:rsid w:val="00B6623B"/>
    <w:rsid w:val="00B66750"/>
    <w:rsid w:val="00B66A48"/>
    <w:rsid w:val="00B672A7"/>
    <w:rsid w:val="00B674FA"/>
    <w:rsid w:val="00B67ED5"/>
    <w:rsid w:val="00B67EF4"/>
    <w:rsid w:val="00B709C6"/>
    <w:rsid w:val="00B70E27"/>
    <w:rsid w:val="00B70ED5"/>
    <w:rsid w:val="00B712EF"/>
    <w:rsid w:val="00B715D7"/>
    <w:rsid w:val="00B71632"/>
    <w:rsid w:val="00B71947"/>
    <w:rsid w:val="00B72282"/>
    <w:rsid w:val="00B7237D"/>
    <w:rsid w:val="00B7245B"/>
    <w:rsid w:val="00B7298F"/>
    <w:rsid w:val="00B734DC"/>
    <w:rsid w:val="00B73869"/>
    <w:rsid w:val="00B73911"/>
    <w:rsid w:val="00B73E8E"/>
    <w:rsid w:val="00B73FEA"/>
    <w:rsid w:val="00B74790"/>
    <w:rsid w:val="00B747D1"/>
    <w:rsid w:val="00B748C2"/>
    <w:rsid w:val="00B74B02"/>
    <w:rsid w:val="00B74F79"/>
    <w:rsid w:val="00B75B37"/>
    <w:rsid w:val="00B7617D"/>
    <w:rsid w:val="00B7621C"/>
    <w:rsid w:val="00B76573"/>
    <w:rsid w:val="00B76AB1"/>
    <w:rsid w:val="00B76ED0"/>
    <w:rsid w:val="00B77242"/>
    <w:rsid w:val="00B8047F"/>
    <w:rsid w:val="00B809D5"/>
    <w:rsid w:val="00B8113A"/>
    <w:rsid w:val="00B81C1D"/>
    <w:rsid w:val="00B81ECB"/>
    <w:rsid w:val="00B82610"/>
    <w:rsid w:val="00B82760"/>
    <w:rsid w:val="00B8287F"/>
    <w:rsid w:val="00B82C1B"/>
    <w:rsid w:val="00B82D4D"/>
    <w:rsid w:val="00B83277"/>
    <w:rsid w:val="00B8331E"/>
    <w:rsid w:val="00B83A53"/>
    <w:rsid w:val="00B83A89"/>
    <w:rsid w:val="00B84020"/>
    <w:rsid w:val="00B84290"/>
    <w:rsid w:val="00B844B8"/>
    <w:rsid w:val="00B846A2"/>
    <w:rsid w:val="00B85534"/>
    <w:rsid w:val="00B855E5"/>
    <w:rsid w:val="00B85D5C"/>
    <w:rsid w:val="00B85E0D"/>
    <w:rsid w:val="00B85E3F"/>
    <w:rsid w:val="00B85EE6"/>
    <w:rsid w:val="00B8640A"/>
    <w:rsid w:val="00B8662D"/>
    <w:rsid w:val="00B868EC"/>
    <w:rsid w:val="00B87025"/>
    <w:rsid w:val="00B870FD"/>
    <w:rsid w:val="00B8735A"/>
    <w:rsid w:val="00B87749"/>
    <w:rsid w:val="00B87861"/>
    <w:rsid w:val="00B87CEF"/>
    <w:rsid w:val="00B90E4C"/>
    <w:rsid w:val="00B91052"/>
    <w:rsid w:val="00B919FB"/>
    <w:rsid w:val="00B91AB3"/>
    <w:rsid w:val="00B9271C"/>
    <w:rsid w:val="00B92879"/>
    <w:rsid w:val="00B92A15"/>
    <w:rsid w:val="00B92D54"/>
    <w:rsid w:val="00B93117"/>
    <w:rsid w:val="00B9312F"/>
    <w:rsid w:val="00B9337D"/>
    <w:rsid w:val="00B93B15"/>
    <w:rsid w:val="00B93C6A"/>
    <w:rsid w:val="00B93DAA"/>
    <w:rsid w:val="00B943B9"/>
    <w:rsid w:val="00B9447B"/>
    <w:rsid w:val="00B945D0"/>
    <w:rsid w:val="00B94A50"/>
    <w:rsid w:val="00B94B44"/>
    <w:rsid w:val="00B94CAE"/>
    <w:rsid w:val="00B94D94"/>
    <w:rsid w:val="00B94DDC"/>
    <w:rsid w:val="00B95391"/>
    <w:rsid w:val="00B9552F"/>
    <w:rsid w:val="00B955B5"/>
    <w:rsid w:val="00B95E9F"/>
    <w:rsid w:val="00B960BB"/>
    <w:rsid w:val="00B9625E"/>
    <w:rsid w:val="00B96A9F"/>
    <w:rsid w:val="00B96DEE"/>
    <w:rsid w:val="00B97034"/>
    <w:rsid w:val="00B97040"/>
    <w:rsid w:val="00B973F7"/>
    <w:rsid w:val="00BA0ED7"/>
    <w:rsid w:val="00BA0F17"/>
    <w:rsid w:val="00BA1473"/>
    <w:rsid w:val="00BA150F"/>
    <w:rsid w:val="00BA1AD2"/>
    <w:rsid w:val="00BA1F2A"/>
    <w:rsid w:val="00BA2523"/>
    <w:rsid w:val="00BA2ACC"/>
    <w:rsid w:val="00BA2C3C"/>
    <w:rsid w:val="00BA2E60"/>
    <w:rsid w:val="00BA2F4A"/>
    <w:rsid w:val="00BA2F5B"/>
    <w:rsid w:val="00BA3A70"/>
    <w:rsid w:val="00BA3D68"/>
    <w:rsid w:val="00BA4178"/>
    <w:rsid w:val="00BA4208"/>
    <w:rsid w:val="00BA4818"/>
    <w:rsid w:val="00BA4858"/>
    <w:rsid w:val="00BA4DE3"/>
    <w:rsid w:val="00BA4E0D"/>
    <w:rsid w:val="00BA4E9B"/>
    <w:rsid w:val="00BA50F1"/>
    <w:rsid w:val="00BA5179"/>
    <w:rsid w:val="00BA54E5"/>
    <w:rsid w:val="00BA604D"/>
    <w:rsid w:val="00BA6129"/>
    <w:rsid w:val="00BA6776"/>
    <w:rsid w:val="00BA6B3B"/>
    <w:rsid w:val="00BA6C53"/>
    <w:rsid w:val="00BA6E73"/>
    <w:rsid w:val="00BA7585"/>
    <w:rsid w:val="00BA79DC"/>
    <w:rsid w:val="00BB02D8"/>
    <w:rsid w:val="00BB02DE"/>
    <w:rsid w:val="00BB05B4"/>
    <w:rsid w:val="00BB065B"/>
    <w:rsid w:val="00BB0D71"/>
    <w:rsid w:val="00BB1088"/>
    <w:rsid w:val="00BB1801"/>
    <w:rsid w:val="00BB19AB"/>
    <w:rsid w:val="00BB1C85"/>
    <w:rsid w:val="00BB1F60"/>
    <w:rsid w:val="00BB2172"/>
    <w:rsid w:val="00BB219B"/>
    <w:rsid w:val="00BB2687"/>
    <w:rsid w:val="00BB2759"/>
    <w:rsid w:val="00BB292B"/>
    <w:rsid w:val="00BB29B6"/>
    <w:rsid w:val="00BB2E78"/>
    <w:rsid w:val="00BB31E1"/>
    <w:rsid w:val="00BB39DD"/>
    <w:rsid w:val="00BB3CD6"/>
    <w:rsid w:val="00BB47EF"/>
    <w:rsid w:val="00BB4F85"/>
    <w:rsid w:val="00BB529B"/>
    <w:rsid w:val="00BB55B2"/>
    <w:rsid w:val="00BB59BE"/>
    <w:rsid w:val="00BB5D00"/>
    <w:rsid w:val="00BB5F39"/>
    <w:rsid w:val="00BB5FAC"/>
    <w:rsid w:val="00BB667E"/>
    <w:rsid w:val="00BB6A97"/>
    <w:rsid w:val="00BB6B22"/>
    <w:rsid w:val="00BB6F95"/>
    <w:rsid w:val="00BB707C"/>
    <w:rsid w:val="00BB759D"/>
    <w:rsid w:val="00BB774A"/>
    <w:rsid w:val="00BB7787"/>
    <w:rsid w:val="00BB7E59"/>
    <w:rsid w:val="00BC0015"/>
    <w:rsid w:val="00BC07DE"/>
    <w:rsid w:val="00BC0A2F"/>
    <w:rsid w:val="00BC0B5B"/>
    <w:rsid w:val="00BC0E67"/>
    <w:rsid w:val="00BC101C"/>
    <w:rsid w:val="00BC13E9"/>
    <w:rsid w:val="00BC14AC"/>
    <w:rsid w:val="00BC19D5"/>
    <w:rsid w:val="00BC1F9E"/>
    <w:rsid w:val="00BC22CB"/>
    <w:rsid w:val="00BC24E7"/>
    <w:rsid w:val="00BC2575"/>
    <w:rsid w:val="00BC26D3"/>
    <w:rsid w:val="00BC27D6"/>
    <w:rsid w:val="00BC2CFD"/>
    <w:rsid w:val="00BC3063"/>
    <w:rsid w:val="00BC33B7"/>
    <w:rsid w:val="00BC34FB"/>
    <w:rsid w:val="00BC35C6"/>
    <w:rsid w:val="00BC36A6"/>
    <w:rsid w:val="00BC3BED"/>
    <w:rsid w:val="00BC3D17"/>
    <w:rsid w:val="00BC3E39"/>
    <w:rsid w:val="00BC4B23"/>
    <w:rsid w:val="00BC549B"/>
    <w:rsid w:val="00BC54B3"/>
    <w:rsid w:val="00BC55EB"/>
    <w:rsid w:val="00BC566E"/>
    <w:rsid w:val="00BC56BD"/>
    <w:rsid w:val="00BC5F3B"/>
    <w:rsid w:val="00BC6160"/>
    <w:rsid w:val="00BC64F1"/>
    <w:rsid w:val="00BC6CB8"/>
    <w:rsid w:val="00BC6DF8"/>
    <w:rsid w:val="00BC706A"/>
    <w:rsid w:val="00BC7561"/>
    <w:rsid w:val="00BC7A7B"/>
    <w:rsid w:val="00BC7CAE"/>
    <w:rsid w:val="00BC7DC1"/>
    <w:rsid w:val="00BC7F61"/>
    <w:rsid w:val="00BD018A"/>
    <w:rsid w:val="00BD0208"/>
    <w:rsid w:val="00BD0299"/>
    <w:rsid w:val="00BD0AB0"/>
    <w:rsid w:val="00BD0CF6"/>
    <w:rsid w:val="00BD0D11"/>
    <w:rsid w:val="00BD13F6"/>
    <w:rsid w:val="00BD15AC"/>
    <w:rsid w:val="00BD1732"/>
    <w:rsid w:val="00BD1AD6"/>
    <w:rsid w:val="00BD1F5F"/>
    <w:rsid w:val="00BD23DE"/>
    <w:rsid w:val="00BD25C4"/>
    <w:rsid w:val="00BD27C9"/>
    <w:rsid w:val="00BD2C91"/>
    <w:rsid w:val="00BD2FDC"/>
    <w:rsid w:val="00BD3048"/>
    <w:rsid w:val="00BD3128"/>
    <w:rsid w:val="00BD31BF"/>
    <w:rsid w:val="00BD3272"/>
    <w:rsid w:val="00BD35B0"/>
    <w:rsid w:val="00BD392D"/>
    <w:rsid w:val="00BD3AD0"/>
    <w:rsid w:val="00BD43A6"/>
    <w:rsid w:val="00BD4686"/>
    <w:rsid w:val="00BD46AC"/>
    <w:rsid w:val="00BD4762"/>
    <w:rsid w:val="00BD488A"/>
    <w:rsid w:val="00BD555C"/>
    <w:rsid w:val="00BD56D0"/>
    <w:rsid w:val="00BD5CD1"/>
    <w:rsid w:val="00BD67B5"/>
    <w:rsid w:val="00BD68EA"/>
    <w:rsid w:val="00BD6BB6"/>
    <w:rsid w:val="00BD76F7"/>
    <w:rsid w:val="00BD794F"/>
    <w:rsid w:val="00BD7BA2"/>
    <w:rsid w:val="00BE0141"/>
    <w:rsid w:val="00BE0207"/>
    <w:rsid w:val="00BE0229"/>
    <w:rsid w:val="00BE0282"/>
    <w:rsid w:val="00BE0CBA"/>
    <w:rsid w:val="00BE0D63"/>
    <w:rsid w:val="00BE1118"/>
    <w:rsid w:val="00BE15B6"/>
    <w:rsid w:val="00BE1ABE"/>
    <w:rsid w:val="00BE1F42"/>
    <w:rsid w:val="00BE20C7"/>
    <w:rsid w:val="00BE25DF"/>
    <w:rsid w:val="00BE328C"/>
    <w:rsid w:val="00BE3711"/>
    <w:rsid w:val="00BE397C"/>
    <w:rsid w:val="00BE3C9B"/>
    <w:rsid w:val="00BE4191"/>
    <w:rsid w:val="00BE48D9"/>
    <w:rsid w:val="00BE4ECA"/>
    <w:rsid w:val="00BE4F71"/>
    <w:rsid w:val="00BE59DA"/>
    <w:rsid w:val="00BE5B4C"/>
    <w:rsid w:val="00BE5C96"/>
    <w:rsid w:val="00BE5D17"/>
    <w:rsid w:val="00BE5F62"/>
    <w:rsid w:val="00BE603F"/>
    <w:rsid w:val="00BE64FB"/>
    <w:rsid w:val="00BE6573"/>
    <w:rsid w:val="00BE65A0"/>
    <w:rsid w:val="00BE699E"/>
    <w:rsid w:val="00BE6A83"/>
    <w:rsid w:val="00BE6B79"/>
    <w:rsid w:val="00BE7384"/>
    <w:rsid w:val="00BE756B"/>
    <w:rsid w:val="00BE7687"/>
    <w:rsid w:val="00BE798B"/>
    <w:rsid w:val="00BE7E94"/>
    <w:rsid w:val="00BF0961"/>
    <w:rsid w:val="00BF0B9F"/>
    <w:rsid w:val="00BF12E2"/>
    <w:rsid w:val="00BF133B"/>
    <w:rsid w:val="00BF1815"/>
    <w:rsid w:val="00BF1955"/>
    <w:rsid w:val="00BF1CE9"/>
    <w:rsid w:val="00BF2445"/>
    <w:rsid w:val="00BF26B4"/>
    <w:rsid w:val="00BF2751"/>
    <w:rsid w:val="00BF328C"/>
    <w:rsid w:val="00BF3434"/>
    <w:rsid w:val="00BF3603"/>
    <w:rsid w:val="00BF3821"/>
    <w:rsid w:val="00BF3D74"/>
    <w:rsid w:val="00BF3E15"/>
    <w:rsid w:val="00BF455C"/>
    <w:rsid w:val="00BF5EA9"/>
    <w:rsid w:val="00BF5EFC"/>
    <w:rsid w:val="00BF6087"/>
    <w:rsid w:val="00BF62F5"/>
    <w:rsid w:val="00BF647F"/>
    <w:rsid w:val="00BF673F"/>
    <w:rsid w:val="00BF6A88"/>
    <w:rsid w:val="00BF7174"/>
    <w:rsid w:val="00BF7481"/>
    <w:rsid w:val="00BF78CB"/>
    <w:rsid w:val="00BF7F00"/>
    <w:rsid w:val="00BF7F1D"/>
    <w:rsid w:val="00BF8D99"/>
    <w:rsid w:val="00C000E7"/>
    <w:rsid w:val="00C00F74"/>
    <w:rsid w:val="00C01710"/>
    <w:rsid w:val="00C01899"/>
    <w:rsid w:val="00C018DD"/>
    <w:rsid w:val="00C019F6"/>
    <w:rsid w:val="00C01C70"/>
    <w:rsid w:val="00C02024"/>
    <w:rsid w:val="00C026B8"/>
    <w:rsid w:val="00C02A20"/>
    <w:rsid w:val="00C02DF8"/>
    <w:rsid w:val="00C02FD7"/>
    <w:rsid w:val="00C031CC"/>
    <w:rsid w:val="00C03451"/>
    <w:rsid w:val="00C03844"/>
    <w:rsid w:val="00C03949"/>
    <w:rsid w:val="00C03AC8"/>
    <w:rsid w:val="00C03D48"/>
    <w:rsid w:val="00C03EBA"/>
    <w:rsid w:val="00C04624"/>
    <w:rsid w:val="00C04733"/>
    <w:rsid w:val="00C047CA"/>
    <w:rsid w:val="00C04ED2"/>
    <w:rsid w:val="00C05A76"/>
    <w:rsid w:val="00C06016"/>
    <w:rsid w:val="00C063D2"/>
    <w:rsid w:val="00C063E9"/>
    <w:rsid w:val="00C0642B"/>
    <w:rsid w:val="00C068CA"/>
    <w:rsid w:val="00C0690C"/>
    <w:rsid w:val="00C06F81"/>
    <w:rsid w:val="00C0705A"/>
    <w:rsid w:val="00C072D5"/>
    <w:rsid w:val="00C07688"/>
    <w:rsid w:val="00C07843"/>
    <w:rsid w:val="00C07F2E"/>
    <w:rsid w:val="00C1012A"/>
    <w:rsid w:val="00C1082E"/>
    <w:rsid w:val="00C10CBD"/>
    <w:rsid w:val="00C10EBF"/>
    <w:rsid w:val="00C11809"/>
    <w:rsid w:val="00C11D9D"/>
    <w:rsid w:val="00C11F6E"/>
    <w:rsid w:val="00C121BD"/>
    <w:rsid w:val="00C12B60"/>
    <w:rsid w:val="00C12FD5"/>
    <w:rsid w:val="00C1387A"/>
    <w:rsid w:val="00C13BF6"/>
    <w:rsid w:val="00C13E1F"/>
    <w:rsid w:val="00C13EE1"/>
    <w:rsid w:val="00C13F59"/>
    <w:rsid w:val="00C14198"/>
    <w:rsid w:val="00C141F0"/>
    <w:rsid w:val="00C1448B"/>
    <w:rsid w:val="00C1457C"/>
    <w:rsid w:val="00C146B3"/>
    <w:rsid w:val="00C148DE"/>
    <w:rsid w:val="00C14D02"/>
    <w:rsid w:val="00C14E1F"/>
    <w:rsid w:val="00C14FF1"/>
    <w:rsid w:val="00C15876"/>
    <w:rsid w:val="00C159AC"/>
    <w:rsid w:val="00C161A0"/>
    <w:rsid w:val="00C16299"/>
    <w:rsid w:val="00C16A4C"/>
    <w:rsid w:val="00C16A8A"/>
    <w:rsid w:val="00C16B66"/>
    <w:rsid w:val="00C16B9B"/>
    <w:rsid w:val="00C16E9A"/>
    <w:rsid w:val="00C16EB8"/>
    <w:rsid w:val="00C171E9"/>
    <w:rsid w:val="00C173F5"/>
    <w:rsid w:val="00C17D61"/>
    <w:rsid w:val="00C200A0"/>
    <w:rsid w:val="00C20793"/>
    <w:rsid w:val="00C20FE1"/>
    <w:rsid w:val="00C21283"/>
    <w:rsid w:val="00C212A4"/>
    <w:rsid w:val="00C21F14"/>
    <w:rsid w:val="00C22024"/>
    <w:rsid w:val="00C221D4"/>
    <w:rsid w:val="00C22628"/>
    <w:rsid w:val="00C22B49"/>
    <w:rsid w:val="00C238A9"/>
    <w:rsid w:val="00C23AF5"/>
    <w:rsid w:val="00C23E83"/>
    <w:rsid w:val="00C243BE"/>
    <w:rsid w:val="00C24421"/>
    <w:rsid w:val="00C246FE"/>
    <w:rsid w:val="00C24AB9"/>
    <w:rsid w:val="00C255D1"/>
    <w:rsid w:val="00C25872"/>
    <w:rsid w:val="00C258A0"/>
    <w:rsid w:val="00C25940"/>
    <w:rsid w:val="00C25DEC"/>
    <w:rsid w:val="00C263FE"/>
    <w:rsid w:val="00C26417"/>
    <w:rsid w:val="00C26535"/>
    <w:rsid w:val="00C266E1"/>
    <w:rsid w:val="00C26736"/>
    <w:rsid w:val="00C26BF4"/>
    <w:rsid w:val="00C26CDC"/>
    <w:rsid w:val="00C26DAC"/>
    <w:rsid w:val="00C270D6"/>
    <w:rsid w:val="00C27344"/>
    <w:rsid w:val="00C275D7"/>
    <w:rsid w:val="00C27766"/>
    <w:rsid w:val="00C278BE"/>
    <w:rsid w:val="00C27A74"/>
    <w:rsid w:val="00C30414"/>
    <w:rsid w:val="00C307AE"/>
    <w:rsid w:val="00C3114F"/>
    <w:rsid w:val="00C312E4"/>
    <w:rsid w:val="00C31AE2"/>
    <w:rsid w:val="00C32874"/>
    <w:rsid w:val="00C32999"/>
    <w:rsid w:val="00C32A74"/>
    <w:rsid w:val="00C32A97"/>
    <w:rsid w:val="00C32BCF"/>
    <w:rsid w:val="00C32C93"/>
    <w:rsid w:val="00C32CF8"/>
    <w:rsid w:val="00C32E56"/>
    <w:rsid w:val="00C32F81"/>
    <w:rsid w:val="00C3417A"/>
    <w:rsid w:val="00C343E8"/>
    <w:rsid w:val="00C3551D"/>
    <w:rsid w:val="00C35722"/>
    <w:rsid w:val="00C35A44"/>
    <w:rsid w:val="00C364BC"/>
    <w:rsid w:val="00C36605"/>
    <w:rsid w:val="00C367DF"/>
    <w:rsid w:val="00C36F09"/>
    <w:rsid w:val="00C3728B"/>
    <w:rsid w:val="00C3732F"/>
    <w:rsid w:val="00C37367"/>
    <w:rsid w:val="00C37C51"/>
    <w:rsid w:val="00C40494"/>
    <w:rsid w:val="00C40702"/>
    <w:rsid w:val="00C40734"/>
    <w:rsid w:val="00C40DA1"/>
    <w:rsid w:val="00C41452"/>
    <w:rsid w:val="00C41619"/>
    <w:rsid w:val="00C41B1B"/>
    <w:rsid w:val="00C41CB4"/>
    <w:rsid w:val="00C41FD9"/>
    <w:rsid w:val="00C424FE"/>
    <w:rsid w:val="00C42515"/>
    <w:rsid w:val="00C42CE1"/>
    <w:rsid w:val="00C42D63"/>
    <w:rsid w:val="00C4312F"/>
    <w:rsid w:val="00C432C6"/>
    <w:rsid w:val="00C43434"/>
    <w:rsid w:val="00C434C0"/>
    <w:rsid w:val="00C43993"/>
    <w:rsid w:val="00C43E1D"/>
    <w:rsid w:val="00C43FEE"/>
    <w:rsid w:val="00C44595"/>
    <w:rsid w:val="00C44938"/>
    <w:rsid w:val="00C44BD4"/>
    <w:rsid w:val="00C44E17"/>
    <w:rsid w:val="00C44E26"/>
    <w:rsid w:val="00C452C7"/>
    <w:rsid w:val="00C4569A"/>
    <w:rsid w:val="00C45C4A"/>
    <w:rsid w:val="00C45CBF"/>
    <w:rsid w:val="00C45DC9"/>
    <w:rsid w:val="00C4647E"/>
    <w:rsid w:val="00C469A0"/>
    <w:rsid w:val="00C46B94"/>
    <w:rsid w:val="00C46C43"/>
    <w:rsid w:val="00C4705E"/>
    <w:rsid w:val="00C4765F"/>
    <w:rsid w:val="00C47674"/>
    <w:rsid w:val="00C50546"/>
    <w:rsid w:val="00C5077F"/>
    <w:rsid w:val="00C510FF"/>
    <w:rsid w:val="00C513C6"/>
    <w:rsid w:val="00C5165B"/>
    <w:rsid w:val="00C5193E"/>
    <w:rsid w:val="00C5297F"/>
    <w:rsid w:val="00C530D5"/>
    <w:rsid w:val="00C5314C"/>
    <w:rsid w:val="00C53902"/>
    <w:rsid w:val="00C53BBA"/>
    <w:rsid w:val="00C54044"/>
    <w:rsid w:val="00C5419E"/>
    <w:rsid w:val="00C543A5"/>
    <w:rsid w:val="00C543B1"/>
    <w:rsid w:val="00C544C7"/>
    <w:rsid w:val="00C5488A"/>
    <w:rsid w:val="00C54E3B"/>
    <w:rsid w:val="00C55A44"/>
    <w:rsid w:val="00C55A5D"/>
    <w:rsid w:val="00C55E43"/>
    <w:rsid w:val="00C562CB"/>
    <w:rsid w:val="00C56928"/>
    <w:rsid w:val="00C5695D"/>
    <w:rsid w:val="00C56AA9"/>
    <w:rsid w:val="00C56C62"/>
    <w:rsid w:val="00C56F03"/>
    <w:rsid w:val="00C5739B"/>
    <w:rsid w:val="00C574D3"/>
    <w:rsid w:val="00C5750C"/>
    <w:rsid w:val="00C57794"/>
    <w:rsid w:val="00C578C4"/>
    <w:rsid w:val="00C5794E"/>
    <w:rsid w:val="00C57F14"/>
    <w:rsid w:val="00C60155"/>
    <w:rsid w:val="00C60229"/>
    <w:rsid w:val="00C604FE"/>
    <w:rsid w:val="00C6055C"/>
    <w:rsid w:val="00C60670"/>
    <w:rsid w:val="00C6097B"/>
    <w:rsid w:val="00C60B98"/>
    <w:rsid w:val="00C616D0"/>
    <w:rsid w:val="00C617FA"/>
    <w:rsid w:val="00C61F92"/>
    <w:rsid w:val="00C620D1"/>
    <w:rsid w:val="00C6218C"/>
    <w:rsid w:val="00C6233A"/>
    <w:rsid w:val="00C625B4"/>
    <w:rsid w:val="00C6275F"/>
    <w:rsid w:val="00C6290F"/>
    <w:rsid w:val="00C62B89"/>
    <w:rsid w:val="00C632E8"/>
    <w:rsid w:val="00C6338B"/>
    <w:rsid w:val="00C63B11"/>
    <w:rsid w:val="00C63BC0"/>
    <w:rsid w:val="00C63C6B"/>
    <w:rsid w:val="00C63D4B"/>
    <w:rsid w:val="00C63DC4"/>
    <w:rsid w:val="00C63F6A"/>
    <w:rsid w:val="00C646BD"/>
    <w:rsid w:val="00C646C8"/>
    <w:rsid w:val="00C64A3D"/>
    <w:rsid w:val="00C64D27"/>
    <w:rsid w:val="00C64F5D"/>
    <w:rsid w:val="00C651CC"/>
    <w:rsid w:val="00C65432"/>
    <w:rsid w:val="00C65893"/>
    <w:rsid w:val="00C658FD"/>
    <w:rsid w:val="00C65929"/>
    <w:rsid w:val="00C65B0E"/>
    <w:rsid w:val="00C660D3"/>
    <w:rsid w:val="00C66717"/>
    <w:rsid w:val="00C66B4D"/>
    <w:rsid w:val="00C66E26"/>
    <w:rsid w:val="00C66F0C"/>
    <w:rsid w:val="00C6701A"/>
    <w:rsid w:val="00C670B6"/>
    <w:rsid w:val="00C67200"/>
    <w:rsid w:val="00C673B9"/>
    <w:rsid w:val="00C67C0C"/>
    <w:rsid w:val="00C67D6D"/>
    <w:rsid w:val="00C67E9D"/>
    <w:rsid w:val="00C70230"/>
    <w:rsid w:val="00C70346"/>
    <w:rsid w:val="00C70566"/>
    <w:rsid w:val="00C70A90"/>
    <w:rsid w:val="00C715A1"/>
    <w:rsid w:val="00C71F9E"/>
    <w:rsid w:val="00C7317A"/>
    <w:rsid w:val="00C735BB"/>
    <w:rsid w:val="00C7383A"/>
    <w:rsid w:val="00C73BC0"/>
    <w:rsid w:val="00C73CE0"/>
    <w:rsid w:val="00C74789"/>
    <w:rsid w:val="00C74FCC"/>
    <w:rsid w:val="00C75189"/>
    <w:rsid w:val="00C751D7"/>
    <w:rsid w:val="00C75659"/>
    <w:rsid w:val="00C756B7"/>
    <w:rsid w:val="00C75789"/>
    <w:rsid w:val="00C75895"/>
    <w:rsid w:val="00C75A32"/>
    <w:rsid w:val="00C75B0E"/>
    <w:rsid w:val="00C75C69"/>
    <w:rsid w:val="00C75E84"/>
    <w:rsid w:val="00C75E86"/>
    <w:rsid w:val="00C76096"/>
    <w:rsid w:val="00C7666C"/>
    <w:rsid w:val="00C76790"/>
    <w:rsid w:val="00C76AFC"/>
    <w:rsid w:val="00C76BC5"/>
    <w:rsid w:val="00C76DC0"/>
    <w:rsid w:val="00C7705F"/>
    <w:rsid w:val="00C77644"/>
    <w:rsid w:val="00C77CC4"/>
    <w:rsid w:val="00C80EBA"/>
    <w:rsid w:val="00C8156C"/>
    <w:rsid w:val="00C8168C"/>
    <w:rsid w:val="00C81B08"/>
    <w:rsid w:val="00C81D87"/>
    <w:rsid w:val="00C82250"/>
    <w:rsid w:val="00C8252D"/>
    <w:rsid w:val="00C82698"/>
    <w:rsid w:val="00C83A67"/>
    <w:rsid w:val="00C83B78"/>
    <w:rsid w:val="00C83FB6"/>
    <w:rsid w:val="00C8428B"/>
    <w:rsid w:val="00C84D45"/>
    <w:rsid w:val="00C84EE0"/>
    <w:rsid w:val="00C84F4C"/>
    <w:rsid w:val="00C8519B"/>
    <w:rsid w:val="00C8525C"/>
    <w:rsid w:val="00C855BE"/>
    <w:rsid w:val="00C856F5"/>
    <w:rsid w:val="00C85C25"/>
    <w:rsid w:val="00C860F8"/>
    <w:rsid w:val="00C86276"/>
    <w:rsid w:val="00C862F0"/>
    <w:rsid w:val="00C864CB"/>
    <w:rsid w:val="00C86ACE"/>
    <w:rsid w:val="00C86B9C"/>
    <w:rsid w:val="00C86FF9"/>
    <w:rsid w:val="00C87359"/>
    <w:rsid w:val="00C87B8B"/>
    <w:rsid w:val="00C87FF5"/>
    <w:rsid w:val="00C904B7"/>
    <w:rsid w:val="00C9097E"/>
    <w:rsid w:val="00C90A9A"/>
    <w:rsid w:val="00C90E13"/>
    <w:rsid w:val="00C91BA9"/>
    <w:rsid w:val="00C92138"/>
    <w:rsid w:val="00C9216A"/>
    <w:rsid w:val="00C92B8A"/>
    <w:rsid w:val="00C92C73"/>
    <w:rsid w:val="00C93A64"/>
    <w:rsid w:val="00C93B46"/>
    <w:rsid w:val="00C93B55"/>
    <w:rsid w:val="00C93D17"/>
    <w:rsid w:val="00C9463A"/>
    <w:rsid w:val="00C94D23"/>
    <w:rsid w:val="00C94DC2"/>
    <w:rsid w:val="00C95370"/>
    <w:rsid w:val="00C95509"/>
    <w:rsid w:val="00C95D78"/>
    <w:rsid w:val="00C96D08"/>
    <w:rsid w:val="00C973D8"/>
    <w:rsid w:val="00C97640"/>
    <w:rsid w:val="00C9793B"/>
    <w:rsid w:val="00CA052C"/>
    <w:rsid w:val="00CA0C2B"/>
    <w:rsid w:val="00CA0C77"/>
    <w:rsid w:val="00CA0D8F"/>
    <w:rsid w:val="00CA169D"/>
    <w:rsid w:val="00CA1C25"/>
    <w:rsid w:val="00CA27A7"/>
    <w:rsid w:val="00CA2ACB"/>
    <w:rsid w:val="00CA2D1B"/>
    <w:rsid w:val="00CA2D67"/>
    <w:rsid w:val="00CA3A5B"/>
    <w:rsid w:val="00CA466F"/>
    <w:rsid w:val="00CA4910"/>
    <w:rsid w:val="00CA4B5B"/>
    <w:rsid w:val="00CA4FA9"/>
    <w:rsid w:val="00CA5269"/>
    <w:rsid w:val="00CA5355"/>
    <w:rsid w:val="00CA5C5A"/>
    <w:rsid w:val="00CA5E13"/>
    <w:rsid w:val="00CA5EF9"/>
    <w:rsid w:val="00CA5FEF"/>
    <w:rsid w:val="00CA60BE"/>
    <w:rsid w:val="00CA68F8"/>
    <w:rsid w:val="00CA6AA3"/>
    <w:rsid w:val="00CA6CB2"/>
    <w:rsid w:val="00CA70C0"/>
    <w:rsid w:val="00CA735D"/>
    <w:rsid w:val="00CA7989"/>
    <w:rsid w:val="00CA7BF5"/>
    <w:rsid w:val="00CB01BB"/>
    <w:rsid w:val="00CB0625"/>
    <w:rsid w:val="00CB0BFB"/>
    <w:rsid w:val="00CB0C84"/>
    <w:rsid w:val="00CB1411"/>
    <w:rsid w:val="00CB1EAD"/>
    <w:rsid w:val="00CB227E"/>
    <w:rsid w:val="00CB2300"/>
    <w:rsid w:val="00CB2EA3"/>
    <w:rsid w:val="00CB3207"/>
    <w:rsid w:val="00CB321B"/>
    <w:rsid w:val="00CB3310"/>
    <w:rsid w:val="00CB3354"/>
    <w:rsid w:val="00CB37F8"/>
    <w:rsid w:val="00CB40A8"/>
    <w:rsid w:val="00CB44F2"/>
    <w:rsid w:val="00CB45A5"/>
    <w:rsid w:val="00CB4829"/>
    <w:rsid w:val="00CB49FF"/>
    <w:rsid w:val="00CB5125"/>
    <w:rsid w:val="00CB51ED"/>
    <w:rsid w:val="00CB5CF1"/>
    <w:rsid w:val="00CB5FCE"/>
    <w:rsid w:val="00CB618B"/>
    <w:rsid w:val="00CB62EF"/>
    <w:rsid w:val="00CB6359"/>
    <w:rsid w:val="00CB672A"/>
    <w:rsid w:val="00CB6B32"/>
    <w:rsid w:val="00CB6B45"/>
    <w:rsid w:val="00CB6DAF"/>
    <w:rsid w:val="00CB797D"/>
    <w:rsid w:val="00CB7B62"/>
    <w:rsid w:val="00CB7E7C"/>
    <w:rsid w:val="00CB7ED5"/>
    <w:rsid w:val="00CC01FB"/>
    <w:rsid w:val="00CC031B"/>
    <w:rsid w:val="00CC03BA"/>
    <w:rsid w:val="00CC04B2"/>
    <w:rsid w:val="00CC0614"/>
    <w:rsid w:val="00CC0828"/>
    <w:rsid w:val="00CC0BE1"/>
    <w:rsid w:val="00CC0C64"/>
    <w:rsid w:val="00CC1042"/>
    <w:rsid w:val="00CC107B"/>
    <w:rsid w:val="00CC1291"/>
    <w:rsid w:val="00CC1A22"/>
    <w:rsid w:val="00CC1FC4"/>
    <w:rsid w:val="00CC25C3"/>
    <w:rsid w:val="00CC2669"/>
    <w:rsid w:val="00CC2A47"/>
    <w:rsid w:val="00CC2DB9"/>
    <w:rsid w:val="00CC34BF"/>
    <w:rsid w:val="00CC36E7"/>
    <w:rsid w:val="00CC3CDB"/>
    <w:rsid w:val="00CC4238"/>
    <w:rsid w:val="00CC4842"/>
    <w:rsid w:val="00CC4E3F"/>
    <w:rsid w:val="00CC509E"/>
    <w:rsid w:val="00CC5AE1"/>
    <w:rsid w:val="00CC5C5E"/>
    <w:rsid w:val="00CC68A0"/>
    <w:rsid w:val="00CC6C1D"/>
    <w:rsid w:val="00CC6F47"/>
    <w:rsid w:val="00CC727B"/>
    <w:rsid w:val="00CC755F"/>
    <w:rsid w:val="00CC78C9"/>
    <w:rsid w:val="00CC7BA3"/>
    <w:rsid w:val="00CC7BCE"/>
    <w:rsid w:val="00CC7D85"/>
    <w:rsid w:val="00CC7E16"/>
    <w:rsid w:val="00CD019A"/>
    <w:rsid w:val="00CD0827"/>
    <w:rsid w:val="00CD0AEA"/>
    <w:rsid w:val="00CD0E02"/>
    <w:rsid w:val="00CD1862"/>
    <w:rsid w:val="00CD19D3"/>
    <w:rsid w:val="00CD1B7D"/>
    <w:rsid w:val="00CD1D31"/>
    <w:rsid w:val="00CD2155"/>
    <w:rsid w:val="00CD22B5"/>
    <w:rsid w:val="00CD231D"/>
    <w:rsid w:val="00CD232C"/>
    <w:rsid w:val="00CD27DD"/>
    <w:rsid w:val="00CD2A03"/>
    <w:rsid w:val="00CD31B7"/>
    <w:rsid w:val="00CD325E"/>
    <w:rsid w:val="00CD359A"/>
    <w:rsid w:val="00CD35A6"/>
    <w:rsid w:val="00CD43E8"/>
    <w:rsid w:val="00CD456E"/>
    <w:rsid w:val="00CD45EA"/>
    <w:rsid w:val="00CD489B"/>
    <w:rsid w:val="00CD51F2"/>
    <w:rsid w:val="00CD56FF"/>
    <w:rsid w:val="00CD5719"/>
    <w:rsid w:val="00CD5753"/>
    <w:rsid w:val="00CD5B40"/>
    <w:rsid w:val="00CD5C06"/>
    <w:rsid w:val="00CD617C"/>
    <w:rsid w:val="00CD6184"/>
    <w:rsid w:val="00CD621D"/>
    <w:rsid w:val="00CD63BA"/>
    <w:rsid w:val="00CD656B"/>
    <w:rsid w:val="00CD6711"/>
    <w:rsid w:val="00CD6A5A"/>
    <w:rsid w:val="00CD6B52"/>
    <w:rsid w:val="00CD6C89"/>
    <w:rsid w:val="00CD702D"/>
    <w:rsid w:val="00CD716A"/>
    <w:rsid w:val="00CD716C"/>
    <w:rsid w:val="00CE02E7"/>
    <w:rsid w:val="00CE050D"/>
    <w:rsid w:val="00CE0D9B"/>
    <w:rsid w:val="00CE0EE1"/>
    <w:rsid w:val="00CE132F"/>
    <w:rsid w:val="00CE1348"/>
    <w:rsid w:val="00CE13BE"/>
    <w:rsid w:val="00CE13CB"/>
    <w:rsid w:val="00CE1542"/>
    <w:rsid w:val="00CE23F1"/>
    <w:rsid w:val="00CE2572"/>
    <w:rsid w:val="00CE2BDC"/>
    <w:rsid w:val="00CE35DF"/>
    <w:rsid w:val="00CE3E09"/>
    <w:rsid w:val="00CE3E4F"/>
    <w:rsid w:val="00CE40C1"/>
    <w:rsid w:val="00CE431D"/>
    <w:rsid w:val="00CE43CD"/>
    <w:rsid w:val="00CE43FC"/>
    <w:rsid w:val="00CE46E7"/>
    <w:rsid w:val="00CE47BF"/>
    <w:rsid w:val="00CE4B17"/>
    <w:rsid w:val="00CE4F8D"/>
    <w:rsid w:val="00CE5012"/>
    <w:rsid w:val="00CE52FB"/>
    <w:rsid w:val="00CE57EA"/>
    <w:rsid w:val="00CE5813"/>
    <w:rsid w:val="00CE5C35"/>
    <w:rsid w:val="00CE60F2"/>
    <w:rsid w:val="00CE6988"/>
    <w:rsid w:val="00CE6AAA"/>
    <w:rsid w:val="00CE6B63"/>
    <w:rsid w:val="00CE6B91"/>
    <w:rsid w:val="00CE6BF8"/>
    <w:rsid w:val="00CE6C45"/>
    <w:rsid w:val="00CE7578"/>
    <w:rsid w:val="00CE7E77"/>
    <w:rsid w:val="00CE7F36"/>
    <w:rsid w:val="00CF0006"/>
    <w:rsid w:val="00CF05E5"/>
    <w:rsid w:val="00CF0B1A"/>
    <w:rsid w:val="00CF12A2"/>
    <w:rsid w:val="00CF1575"/>
    <w:rsid w:val="00CF17AC"/>
    <w:rsid w:val="00CF18F6"/>
    <w:rsid w:val="00CF1DEA"/>
    <w:rsid w:val="00CF1E2F"/>
    <w:rsid w:val="00CF203C"/>
    <w:rsid w:val="00CF23D8"/>
    <w:rsid w:val="00CF250A"/>
    <w:rsid w:val="00CF37AC"/>
    <w:rsid w:val="00CF37B7"/>
    <w:rsid w:val="00CF3C00"/>
    <w:rsid w:val="00CF3DFD"/>
    <w:rsid w:val="00CF401C"/>
    <w:rsid w:val="00CF404E"/>
    <w:rsid w:val="00CF457A"/>
    <w:rsid w:val="00CF45A0"/>
    <w:rsid w:val="00CF469A"/>
    <w:rsid w:val="00CF4FB6"/>
    <w:rsid w:val="00CF50FD"/>
    <w:rsid w:val="00CF5137"/>
    <w:rsid w:val="00CF529D"/>
    <w:rsid w:val="00CF53D8"/>
    <w:rsid w:val="00CF5621"/>
    <w:rsid w:val="00CF5EC2"/>
    <w:rsid w:val="00CF661F"/>
    <w:rsid w:val="00CF6799"/>
    <w:rsid w:val="00CF6AB3"/>
    <w:rsid w:val="00CF709C"/>
    <w:rsid w:val="00CF70C5"/>
    <w:rsid w:val="00CF7457"/>
    <w:rsid w:val="00CF7627"/>
    <w:rsid w:val="00CF79D4"/>
    <w:rsid w:val="00CF7CF0"/>
    <w:rsid w:val="00CF7F46"/>
    <w:rsid w:val="00D003BF"/>
    <w:rsid w:val="00D0079E"/>
    <w:rsid w:val="00D00B3A"/>
    <w:rsid w:val="00D01350"/>
    <w:rsid w:val="00D017CD"/>
    <w:rsid w:val="00D019FD"/>
    <w:rsid w:val="00D01EF2"/>
    <w:rsid w:val="00D021C5"/>
    <w:rsid w:val="00D022EE"/>
    <w:rsid w:val="00D02611"/>
    <w:rsid w:val="00D028D1"/>
    <w:rsid w:val="00D028DB"/>
    <w:rsid w:val="00D02A96"/>
    <w:rsid w:val="00D03043"/>
    <w:rsid w:val="00D032E4"/>
    <w:rsid w:val="00D03478"/>
    <w:rsid w:val="00D03541"/>
    <w:rsid w:val="00D03D96"/>
    <w:rsid w:val="00D03F9D"/>
    <w:rsid w:val="00D042F5"/>
    <w:rsid w:val="00D045F0"/>
    <w:rsid w:val="00D04773"/>
    <w:rsid w:val="00D04A59"/>
    <w:rsid w:val="00D0500E"/>
    <w:rsid w:val="00D051E0"/>
    <w:rsid w:val="00D0544D"/>
    <w:rsid w:val="00D054D5"/>
    <w:rsid w:val="00D054E1"/>
    <w:rsid w:val="00D0558F"/>
    <w:rsid w:val="00D05A3E"/>
    <w:rsid w:val="00D062F5"/>
    <w:rsid w:val="00D06448"/>
    <w:rsid w:val="00D06968"/>
    <w:rsid w:val="00D06B06"/>
    <w:rsid w:val="00D06B82"/>
    <w:rsid w:val="00D06DB9"/>
    <w:rsid w:val="00D072A1"/>
    <w:rsid w:val="00D07656"/>
    <w:rsid w:val="00D07676"/>
    <w:rsid w:val="00D07C25"/>
    <w:rsid w:val="00D07E9F"/>
    <w:rsid w:val="00D106D9"/>
    <w:rsid w:val="00D108E0"/>
    <w:rsid w:val="00D11000"/>
    <w:rsid w:val="00D11124"/>
    <w:rsid w:val="00D111C2"/>
    <w:rsid w:val="00D1123A"/>
    <w:rsid w:val="00D117EF"/>
    <w:rsid w:val="00D1180D"/>
    <w:rsid w:val="00D1283A"/>
    <w:rsid w:val="00D1286D"/>
    <w:rsid w:val="00D12DFF"/>
    <w:rsid w:val="00D12EA1"/>
    <w:rsid w:val="00D12FCE"/>
    <w:rsid w:val="00D13037"/>
    <w:rsid w:val="00D13039"/>
    <w:rsid w:val="00D1312D"/>
    <w:rsid w:val="00D13506"/>
    <w:rsid w:val="00D13B0B"/>
    <w:rsid w:val="00D1437F"/>
    <w:rsid w:val="00D147B1"/>
    <w:rsid w:val="00D14AB9"/>
    <w:rsid w:val="00D14EF9"/>
    <w:rsid w:val="00D15598"/>
    <w:rsid w:val="00D155CC"/>
    <w:rsid w:val="00D15694"/>
    <w:rsid w:val="00D15821"/>
    <w:rsid w:val="00D15B36"/>
    <w:rsid w:val="00D15BEA"/>
    <w:rsid w:val="00D15BF0"/>
    <w:rsid w:val="00D15CB1"/>
    <w:rsid w:val="00D15DCA"/>
    <w:rsid w:val="00D15F05"/>
    <w:rsid w:val="00D16572"/>
    <w:rsid w:val="00D16636"/>
    <w:rsid w:val="00D167BC"/>
    <w:rsid w:val="00D16828"/>
    <w:rsid w:val="00D16947"/>
    <w:rsid w:val="00D16EA3"/>
    <w:rsid w:val="00D17484"/>
    <w:rsid w:val="00D17598"/>
    <w:rsid w:val="00D17662"/>
    <w:rsid w:val="00D17993"/>
    <w:rsid w:val="00D17ADA"/>
    <w:rsid w:val="00D17EF6"/>
    <w:rsid w:val="00D17F5B"/>
    <w:rsid w:val="00D2005D"/>
    <w:rsid w:val="00D20BEB"/>
    <w:rsid w:val="00D211F0"/>
    <w:rsid w:val="00D21586"/>
    <w:rsid w:val="00D215BA"/>
    <w:rsid w:val="00D216A8"/>
    <w:rsid w:val="00D21F1A"/>
    <w:rsid w:val="00D2201D"/>
    <w:rsid w:val="00D2213E"/>
    <w:rsid w:val="00D22178"/>
    <w:rsid w:val="00D221A1"/>
    <w:rsid w:val="00D227F0"/>
    <w:rsid w:val="00D22991"/>
    <w:rsid w:val="00D229F5"/>
    <w:rsid w:val="00D22EA3"/>
    <w:rsid w:val="00D22F52"/>
    <w:rsid w:val="00D23295"/>
    <w:rsid w:val="00D23998"/>
    <w:rsid w:val="00D23B2E"/>
    <w:rsid w:val="00D24021"/>
    <w:rsid w:val="00D242B5"/>
    <w:rsid w:val="00D24359"/>
    <w:rsid w:val="00D2463A"/>
    <w:rsid w:val="00D24716"/>
    <w:rsid w:val="00D247C8"/>
    <w:rsid w:val="00D24CFE"/>
    <w:rsid w:val="00D24D04"/>
    <w:rsid w:val="00D254B0"/>
    <w:rsid w:val="00D256A5"/>
    <w:rsid w:val="00D25AE0"/>
    <w:rsid w:val="00D261D4"/>
    <w:rsid w:val="00D2625E"/>
    <w:rsid w:val="00D263C6"/>
    <w:rsid w:val="00D264AA"/>
    <w:rsid w:val="00D2698D"/>
    <w:rsid w:val="00D26E21"/>
    <w:rsid w:val="00D273FF"/>
    <w:rsid w:val="00D275DD"/>
    <w:rsid w:val="00D27CF7"/>
    <w:rsid w:val="00D27DCB"/>
    <w:rsid w:val="00D30404"/>
    <w:rsid w:val="00D30675"/>
    <w:rsid w:val="00D3078E"/>
    <w:rsid w:val="00D307F1"/>
    <w:rsid w:val="00D30942"/>
    <w:rsid w:val="00D30C8C"/>
    <w:rsid w:val="00D30DB0"/>
    <w:rsid w:val="00D31354"/>
    <w:rsid w:val="00D3145E"/>
    <w:rsid w:val="00D3177A"/>
    <w:rsid w:val="00D3188D"/>
    <w:rsid w:val="00D31F93"/>
    <w:rsid w:val="00D323A6"/>
    <w:rsid w:val="00D32440"/>
    <w:rsid w:val="00D334D3"/>
    <w:rsid w:val="00D3373D"/>
    <w:rsid w:val="00D33A38"/>
    <w:rsid w:val="00D33B5A"/>
    <w:rsid w:val="00D33CD4"/>
    <w:rsid w:val="00D33E69"/>
    <w:rsid w:val="00D34852"/>
    <w:rsid w:val="00D350F7"/>
    <w:rsid w:val="00D351D7"/>
    <w:rsid w:val="00D35246"/>
    <w:rsid w:val="00D359AA"/>
    <w:rsid w:val="00D35B13"/>
    <w:rsid w:val="00D35E99"/>
    <w:rsid w:val="00D3636D"/>
    <w:rsid w:val="00D364C0"/>
    <w:rsid w:val="00D36A95"/>
    <w:rsid w:val="00D36BBC"/>
    <w:rsid w:val="00D370CA"/>
    <w:rsid w:val="00D37313"/>
    <w:rsid w:val="00D375AA"/>
    <w:rsid w:val="00D378A6"/>
    <w:rsid w:val="00D378A9"/>
    <w:rsid w:val="00D37B29"/>
    <w:rsid w:val="00D4035E"/>
    <w:rsid w:val="00D4051A"/>
    <w:rsid w:val="00D40872"/>
    <w:rsid w:val="00D4092E"/>
    <w:rsid w:val="00D41096"/>
    <w:rsid w:val="00D41388"/>
    <w:rsid w:val="00D41C01"/>
    <w:rsid w:val="00D424C4"/>
    <w:rsid w:val="00D425EE"/>
    <w:rsid w:val="00D4261A"/>
    <w:rsid w:val="00D42630"/>
    <w:rsid w:val="00D42F03"/>
    <w:rsid w:val="00D43855"/>
    <w:rsid w:val="00D43C27"/>
    <w:rsid w:val="00D43F00"/>
    <w:rsid w:val="00D440D7"/>
    <w:rsid w:val="00D4470F"/>
    <w:rsid w:val="00D44981"/>
    <w:rsid w:val="00D45160"/>
    <w:rsid w:val="00D451CB"/>
    <w:rsid w:val="00D4547E"/>
    <w:rsid w:val="00D45844"/>
    <w:rsid w:val="00D45909"/>
    <w:rsid w:val="00D45B88"/>
    <w:rsid w:val="00D45D62"/>
    <w:rsid w:val="00D45E66"/>
    <w:rsid w:val="00D4642D"/>
    <w:rsid w:val="00D4665E"/>
    <w:rsid w:val="00D46943"/>
    <w:rsid w:val="00D46CBA"/>
    <w:rsid w:val="00D46F4A"/>
    <w:rsid w:val="00D47F8E"/>
    <w:rsid w:val="00D47FB2"/>
    <w:rsid w:val="00D5081E"/>
    <w:rsid w:val="00D50DB1"/>
    <w:rsid w:val="00D511D7"/>
    <w:rsid w:val="00D513DB"/>
    <w:rsid w:val="00D516D9"/>
    <w:rsid w:val="00D51A63"/>
    <w:rsid w:val="00D52133"/>
    <w:rsid w:val="00D52482"/>
    <w:rsid w:val="00D52581"/>
    <w:rsid w:val="00D526B2"/>
    <w:rsid w:val="00D528D8"/>
    <w:rsid w:val="00D52BE9"/>
    <w:rsid w:val="00D53479"/>
    <w:rsid w:val="00D53AD0"/>
    <w:rsid w:val="00D543C4"/>
    <w:rsid w:val="00D55264"/>
    <w:rsid w:val="00D55E69"/>
    <w:rsid w:val="00D56264"/>
    <w:rsid w:val="00D56317"/>
    <w:rsid w:val="00D5696B"/>
    <w:rsid w:val="00D56C34"/>
    <w:rsid w:val="00D570B2"/>
    <w:rsid w:val="00D5713C"/>
    <w:rsid w:val="00D5795A"/>
    <w:rsid w:val="00D57D0C"/>
    <w:rsid w:val="00D57E81"/>
    <w:rsid w:val="00D60F59"/>
    <w:rsid w:val="00D6104D"/>
    <w:rsid w:val="00D611D5"/>
    <w:rsid w:val="00D61240"/>
    <w:rsid w:val="00D618E4"/>
    <w:rsid w:val="00D61906"/>
    <w:rsid w:val="00D61941"/>
    <w:rsid w:val="00D61FB1"/>
    <w:rsid w:val="00D62131"/>
    <w:rsid w:val="00D621EC"/>
    <w:rsid w:val="00D62344"/>
    <w:rsid w:val="00D62459"/>
    <w:rsid w:val="00D6247E"/>
    <w:rsid w:val="00D6254A"/>
    <w:rsid w:val="00D625E9"/>
    <w:rsid w:val="00D62811"/>
    <w:rsid w:val="00D6286B"/>
    <w:rsid w:val="00D62C6F"/>
    <w:rsid w:val="00D6306E"/>
    <w:rsid w:val="00D6312F"/>
    <w:rsid w:val="00D63393"/>
    <w:rsid w:val="00D63B76"/>
    <w:rsid w:val="00D63DB5"/>
    <w:rsid w:val="00D640ED"/>
    <w:rsid w:val="00D640FB"/>
    <w:rsid w:val="00D646A7"/>
    <w:rsid w:val="00D64CEB"/>
    <w:rsid w:val="00D6527B"/>
    <w:rsid w:val="00D65614"/>
    <w:rsid w:val="00D65C72"/>
    <w:rsid w:val="00D65DF9"/>
    <w:rsid w:val="00D65E25"/>
    <w:rsid w:val="00D65F4F"/>
    <w:rsid w:val="00D662D0"/>
    <w:rsid w:val="00D663E4"/>
    <w:rsid w:val="00D665BF"/>
    <w:rsid w:val="00D66C5F"/>
    <w:rsid w:val="00D66C6B"/>
    <w:rsid w:val="00D670F9"/>
    <w:rsid w:val="00D6778C"/>
    <w:rsid w:val="00D677E5"/>
    <w:rsid w:val="00D678BA"/>
    <w:rsid w:val="00D678DE"/>
    <w:rsid w:val="00D679F5"/>
    <w:rsid w:val="00D67E76"/>
    <w:rsid w:val="00D7044E"/>
    <w:rsid w:val="00D7055F"/>
    <w:rsid w:val="00D70776"/>
    <w:rsid w:val="00D70832"/>
    <w:rsid w:val="00D7087D"/>
    <w:rsid w:val="00D70A0A"/>
    <w:rsid w:val="00D7156C"/>
    <w:rsid w:val="00D715E4"/>
    <w:rsid w:val="00D717C4"/>
    <w:rsid w:val="00D71C58"/>
    <w:rsid w:val="00D71E10"/>
    <w:rsid w:val="00D71F1A"/>
    <w:rsid w:val="00D7243E"/>
    <w:rsid w:val="00D72541"/>
    <w:rsid w:val="00D725F6"/>
    <w:rsid w:val="00D7295D"/>
    <w:rsid w:val="00D72E00"/>
    <w:rsid w:val="00D7311C"/>
    <w:rsid w:val="00D73407"/>
    <w:rsid w:val="00D74023"/>
    <w:rsid w:val="00D74203"/>
    <w:rsid w:val="00D7446E"/>
    <w:rsid w:val="00D74562"/>
    <w:rsid w:val="00D745E0"/>
    <w:rsid w:val="00D74618"/>
    <w:rsid w:val="00D74DFC"/>
    <w:rsid w:val="00D75152"/>
    <w:rsid w:val="00D75362"/>
    <w:rsid w:val="00D7628D"/>
    <w:rsid w:val="00D762C5"/>
    <w:rsid w:val="00D76549"/>
    <w:rsid w:val="00D76ED6"/>
    <w:rsid w:val="00D777E5"/>
    <w:rsid w:val="00D77A66"/>
    <w:rsid w:val="00D77C46"/>
    <w:rsid w:val="00D800A9"/>
    <w:rsid w:val="00D800AD"/>
    <w:rsid w:val="00D8017E"/>
    <w:rsid w:val="00D802B1"/>
    <w:rsid w:val="00D80417"/>
    <w:rsid w:val="00D8056F"/>
    <w:rsid w:val="00D810D7"/>
    <w:rsid w:val="00D8227C"/>
    <w:rsid w:val="00D8253F"/>
    <w:rsid w:val="00D82608"/>
    <w:rsid w:val="00D82A07"/>
    <w:rsid w:val="00D82CEC"/>
    <w:rsid w:val="00D8383E"/>
    <w:rsid w:val="00D8389B"/>
    <w:rsid w:val="00D83B83"/>
    <w:rsid w:val="00D84313"/>
    <w:rsid w:val="00D8455E"/>
    <w:rsid w:val="00D854A7"/>
    <w:rsid w:val="00D855D2"/>
    <w:rsid w:val="00D85894"/>
    <w:rsid w:val="00D85D3F"/>
    <w:rsid w:val="00D85FA4"/>
    <w:rsid w:val="00D86F6F"/>
    <w:rsid w:val="00D8700F"/>
    <w:rsid w:val="00D87325"/>
    <w:rsid w:val="00D87706"/>
    <w:rsid w:val="00D87C7E"/>
    <w:rsid w:val="00D901CB"/>
    <w:rsid w:val="00D90AD3"/>
    <w:rsid w:val="00D9113B"/>
    <w:rsid w:val="00D9114F"/>
    <w:rsid w:val="00D9124E"/>
    <w:rsid w:val="00D91663"/>
    <w:rsid w:val="00D91CC5"/>
    <w:rsid w:val="00D91E4D"/>
    <w:rsid w:val="00D91EA0"/>
    <w:rsid w:val="00D925B9"/>
    <w:rsid w:val="00D92A36"/>
    <w:rsid w:val="00D92FC9"/>
    <w:rsid w:val="00D92FEF"/>
    <w:rsid w:val="00D9316F"/>
    <w:rsid w:val="00D93609"/>
    <w:rsid w:val="00D93640"/>
    <w:rsid w:val="00D93BD8"/>
    <w:rsid w:val="00D93BFC"/>
    <w:rsid w:val="00D93FD0"/>
    <w:rsid w:val="00D940C3"/>
    <w:rsid w:val="00D94452"/>
    <w:rsid w:val="00D945E7"/>
    <w:rsid w:val="00D94CC9"/>
    <w:rsid w:val="00D94DF2"/>
    <w:rsid w:val="00D9515E"/>
    <w:rsid w:val="00D951D2"/>
    <w:rsid w:val="00D954F8"/>
    <w:rsid w:val="00D957CE"/>
    <w:rsid w:val="00D958BD"/>
    <w:rsid w:val="00D95B6D"/>
    <w:rsid w:val="00D960F1"/>
    <w:rsid w:val="00D96D13"/>
    <w:rsid w:val="00D96D92"/>
    <w:rsid w:val="00D97072"/>
    <w:rsid w:val="00D97293"/>
    <w:rsid w:val="00D97BBC"/>
    <w:rsid w:val="00D97C0A"/>
    <w:rsid w:val="00D97C33"/>
    <w:rsid w:val="00DA0032"/>
    <w:rsid w:val="00DA0185"/>
    <w:rsid w:val="00DA08F4"/>
    <w:rsid w:val="00DA1065"/>
    <w:rsid w:val="00DA113D"/>
    <w:rsid w:val="00DA1187"/>
    <w:rsid w:val="00DA17DB"/>
    <w:rsid w:val="00DA19BB"/>
    <w:rsid w:val="00DA1A1D"/>
    <w:rsid w:val="00DA1C14"/>
    <w:rsid w:val="00DA1C50"/>
    <w:rsid w:val="00DA20D6"/>
    <w:rsid w:val="00DA2404"/>
    <w:rsid w:val="00DA27EC"/>
    <w:rsid w:val="00DA2D55"/>
    <w:rsid w:val="00DA2ED6"/>
    <w:rsid w:val="00DA31A4"/>
    <w:rsid w:val="00DA32B6"/>
    <w:rsid w:val="00DA3598"/>
    <w:rsid w:val="00DA35EF"/>
    <w:rsid w:val="00DA3C73"/>
    <w:rsid w:val="00DA3DAB"/>
    <w:rsid w:val="00DA3DBD"/>
    <w:rsid w:val="00DA3DE1"/>
    <w:rsid w:val="00DA3E16"/>
    <w:rsid w:val="00DA42E9"/>
    <w:rsid w:val="00DA4C17"/>
    <w:rsid w:val="00DA5550"/>
    <w:rsid w:val="00DA577B"/>
    <w:rsid w:val="00DA5F57"/>
    <w:rsid w:val="00DA63A9"/>
    <w:rsid w:val="00DA6BE8"/>
    <w:rsid w:val="00DA70FC"/>
    <w:rsid w:val="00DA72B2"/>
    <w:rsid w:val="00DA7AF1"/>
    <w:rsid w:val="00DA7FA1"/>
    <w:rsid w:val="00DB0153"/>
    <w:rsid w:val="00DB0405"/>
    <w:rsid w:val="00DB07B8"/>
    <w:rsid w:val="00DB16C6"/>
    <w:rsid w:val="00DB1872"/>
    <w:rsid w:val="00DB18FA"/>
    <w:rsid w:val="00DB1AEC"/>
    <w:rsid w:val="00DB1BFF"/>
    <w:rsid w:val="00DB1F63"/>
    <w:rsid w:val="00DB2C77"/>
    <w:rsid w:val="00DB3030"/>
    <w:rsid w:val="00DB3092"/>
    <w:rsid w:val="00DB38A0"/>
    <w:rsid w:val="00DB38C6"/>
    <w:rsid w:val="00DB39CF"/>
    <w:rsid w:val="00DB4158"/>
    <w:rsid w:val="00DB4394"/>
    <w:rsid w:val="00DB4596"/>
    <w:rsid w:val="00DB4C4F"/>
    <w:rsid w:val="00DB58C2"/>
    <w:rsid w:val="00DB5D25"/>
    <w:rsid w:val="00DB6684"/>
    <w:rsid w:val="00DB6715"/>
    <w:rsid w:val="00DB6C09"/>
    <w:rsid w:val="00DB70A8"/>
    <w:rsid w:val="00DB76D9"/>
    <w:rsid w:val="00DB7DEE"/>
    <w:rsid w:val="00DB7DFC"/>
    <w:rsid w:val="00DB7F84"/>
    <w:rsid w:val="00DC0603"/>
    <w:rsid w:val="00DC078F"/>
    <w:rsid w:val="00DC080C"/>
    <w:rsid w:val="00DC0858"/>
    <w:rsid w:val="00DC08B6"/>
    <w:rsid w:val="00DC09CC"/>
    <w:rsid w:val="00DC09F4"/>
    <w:rsid w:val="00DC0EAC"/>
    <w:rsid w:val="00DC16DA"/>
    <w:rsid w:val="00DC264F"/>
    <w:rsid w:val="00DC298E"/>
    <w:rsid w:val="00DC2A0F"/>
    <w:rsid w:val="00DC2EB1"/>
    <w:rsid w:val="00DC32BB"/>
    <w:rsid w:val="00DC38DB"/>
    <w:rsid w:val="00DC39D9"/>
    <w:rsid w:val="00DC3B7E"/>
    <w:rsid w:val="00DC3E25"/>
    <w:rsid w:val="00DC4523"/>
    <w:rsid w:val="00DC47DC"/>
    <w:rsid w:val="00DC53BF"/>
    <w:rsid w:val="00DC58E2"/>
    <w:rsid w:val="00DC5F12"/>
    <w:rsid w:val="00DC68D8"/>
    <w:rsid w:val="00DC7405"/>
    <w:rsid w:val="00DC7D15"/>
    <w:rsid w:val="00DD0517"/>
    <w:rsid w:val="00DD07DD"/>
    <w:rsid w:val="00DD0967"/>
    <w:rsid w:val="00DD11D6"/>
    <w:rsid w:val="00DD1A4B"/>
    <w:rsid w:val="00DD2183"/>
    <w:rsid w:val="00DD2AA5"/>
    <w:rsid w:val="00DD324F"/>
    <w:rsid w:val="00DD3B37"/>
    <w:rsid w:val="00DD3CD7"/>
    <w:rsid w:val="00DD3E04"/>
    <w:rsid w:val="00DD3FF8"/>
    <w:rsid w:val="00DD4515"/>
    <w:rsid w:val="00DD48B8"/>
    <w:rsid w:val="00DD4EE6"/>
    <w:rsid w:val="00DD4F74"/>
    <w:rsid w:val="00DD524E"/>
    <w:rsid w:val="00DD52E5"/>
    <w:rsid w:val="00DD5646"/>
    <w:rsid w:val="00DD570F"/>
    <w:rsid w:val="00DD6098"/>
    <w:rsid w:val="00DD6969"/>
    <w:rsid w:val="00DD6CE6"/>
    <w:rsid w:val="00DD6DF0"/>
    <w:rsid w:val="00DD6E34"/>
    <w:rsid w:val="00DD71EE"/>
    <w:rsid w:val="00DD77AC"/>
    <w:rsid w:val="00DD79BA"/>
    <w:rsid w:val="00DE042F"/>
    <w:rsid w:val="00DE09AF"/>
    <w:rsid w:val="00DE0A56"/>
    <w:rsid w:val="00DE0C93"/>
    <w:rsid w:val="00DE0E72"/>
    <w:rsid w:val="00DE112C"/>
    <w:rsid w:val="00DE112F"/>
    <w:rsid w:val="00DE11E0"/>
    <w:rsid w:val="00DE12C8"/>
    <w:rsid w:val="00DE1381"/>
    <w:rsid w:val="00DE16A6"/>
    <w:rsid w:val="00DE173F"/>
    <w:rsid w:val="00DE1D94"/>
    <w:rsid w:val="00DE1E81"/>
    <w:rsid w:val="00DE20EA"/>
    <w:rsid w:val="00DE2C16"/>
    <w:rsid w:val="00DE2C83"/>
    <w:rsid w:val="00DE2F52"/>
    <w:rsid w:val="00DE2FE4"/>
    <w:rsid w:val="00DE318E"/>
    <w:rsid w:val="00DE33AE"/>
    <w:rsid w:val="00DE3427"/>
    <w:rsid w:val="00DE3813"/>
    <w:rsid w:val="00DE3987"/>
    <w:rsid w:val="00DE3B65"/>
    <w:rsid w:val="00DE4038"/>
    <w:rsid w:val="00DE4188"/>
    <w:rsid w:val="00DE424A"/>
    <w:rsid w:val="00DE5188"/>
    <w:rsid w:val="00DE51FB"/>
    <w:rsid w:val="00DE5407"/>
    <w:rsid w:val="00DE5577"/>
    <w:rsid w:val="00DE5ADD"/>
    <w:rsid w:val="00DE625D"/>
    <w:rsid w:val="00DE6645"/>
    <w:rsid w:val="00DE6686"/>
    <w:rsid w:val="00DE6D24"/>
    <w:rsid w:val="00DE71F4"/>
    <w:rsid w:val="00DE7BFC"/>
    <w:rsid w:val="00DF00D8"/>
    <w:rsid w:val="00DF06C2"/>
    <w:rsid w:val="00DF09D8"/>
    <w:rsid w:val="00DF0AFB"/>
    <w:rsid w:val="00DF113A"/>
    <w:rsid w:val="00DF148F"/>
    <w:rsid w:val="00DF18DF"/>
    <w:rsid w:val="00DF19EC"/>
    <w:rsid w:val="00DF1A59"/>
    <w:rsid w:val="00DF24CA"/>
    <w:rsid w:val="00DF290A"/>
    <w:rsid w:val="00DF2F70"/>
    <w:rsid w:val="00DF300E"/>
    <w:rsid w:val="00DF3502"/>
    <w:rsid w:val="00DF3741"/>
    <w:rsid w:val="00DF4202"/>
    <w:rsid w:val="00DF45C2"/>
    <w:rsid w:val="00DF4754"/>
    <w:rsid w:val="00DF4ABC"/>
    <w:rsid w:val="00DF4D4B"/>
    <w:rsid w:val="00DF4F8D"/>
    <w:rsid w:val="00DF528D"/>
    <w:rsid w:val="00DF53E9"/>
    <w:rsid w:val="00DF5550"/>
    <w:rsid w:val="00DF5A7C"/>
    <w:rsid w:val="00DF5B34"/>
    <w:rsid w:val="00DF5D75"/>
    <w:rsid w:val="00DF5E8D"/>
    <w:rsid w:val="00DF6499"/>
    <w:rsid w:val="00DF6582"/>
    <w:rsid w:val="00DF6877"/>
    <w:rsid w:val="00DF6A15"/>
    <w:rsid w:val="00DF6D6B"/>
    <w:rsid w:val="00DF6E10"/>
    <w:rsid w:val="00DF6F12"/>
    <w:rsid w:val="00DF702F"/>
    <w:rsid w:val="00DF7466"/>
    <w:rsid w:val="00DF78CC"/>
    <w:rsid w:val="00DF7C12"/>
    <w:rsid w:val="00DF7D95"/>
    <w:rsid w:val="00E000FB"/>
    <w:rsid w:val="00E0016E"/>
    <w:rsid w:val="00E00367"/>
    <w:rsid w:val="00E003C2"/>
    <w:rsid w:val="00E00C4E"/>
    <w:rsid w:val="00E00D86"/>
    <w:rsid w:val="00E00E74"/>
    <w:rsid w:val="00E00F9C"/>
    <w:rsid w:val="00E01358"/>
    <w:rsid w:val="00E01403"/>
    <w:rsid w:val="00E018C7"/>
    <w:rsid w:val="00E01B94"/>
    <w:rsid w:val="00E01BCF"/>
    <w:rsid w:val="00E0207E"/>
    <w:rsid w:val="00E025CC"/>
    <w:rsid w:val="00E02636"/>
    <w:rsid w:val="00E02D47"/>
    <w:rsid w:val="00E02D5D"/>
    <w:rsid w:val="00E02D5F"/>
    <w:rsid w:val="00E02F61"/>
    <w:rsid w:val="00E030EB"/>
    <w:rsid w:val="00E034F2"/>
    <w:rsid w:val="00E0352B"/>
    <w:rsid w:val="00E03726"/>
    <w:rsid w:val="00E03891"/>
    <w:rsid w:val="00E03AEA"/>
    <w:rsid w:val="00E04127"/>
    <w:rsid w:val="00E04E72"/>
    <w:rsid w:val="00E0505F"/>
    <w:rsid w:val="00E05557"/>
    <w:rsid w:val="00E05A22"/>
    <w:rsid w:val="00E05B07"/>
    <w:rsid w:val="00E0617E"/>
    <w:rsid w:val="00E06245"/>
    <w:rsid w:val="00E07007"/>
    <w:rsid w:val="00E07109"/>
    <w:rsid w:val="00E071C3"/>
    <w:rsid w:val="00E07656"/>
    <w:rsid w:val="00E07876"/>
    <w:rsid w:val="00E07EC0"/>
    <w:rsid w:val="00E07FB1"/>
    <w:rsid w:val="00E07FFE"/>
    <w:rsid w:val="00E10324"/>
    <w:rsid w:val="00E104AF"/>
    <w:rsid w:val="00E106CA"/>
    <w:rsid w:val="00E10C46"/>
    <w:rsid w:val="00E10E36"/>
    <w:rsid w:val="00E10E93"/>
    <w:rsid w:val="00E10F7B"/>
    <w:rsid w:val="00E11082"/>
    <w:rsid w:val="00E11172"/>
    <w:rsid w:val="00E1122D"/>
    <w:rsid w:val="00E114C7"/>
    <w:rsid w:val="00E12C88"/>
    <w:rsid w:val="00E12CAB"/>
    <w:rsid w:val="00E132E6"/>
    <w:rsid w:val="00E135AC"/>
    <w:rsid w:val="00E135AD"/>
    <w:rsid w:val="00E13623"/>
    <w:rsid w:val="00E136B2"/>
    <w:rsid w:val="00E13856"/>
    <w:rsid w:val="00E1393C"/>
    <w:rsid w:val="00E13998"/>
    <w:rsid w:val="00E13EA5"/>
    <w:rsid w:val="00E140B4"/>
    <w:rsid w:val="00E1413D"/>
    <w:rsid w:val="00E14541"/>
    <w:rsid w:val="00E1487D"/>
    <w:rsid w:val="00E14E09"/>
    <w:rsid w:val="00E152A0"/>
    <w:rsid w:val="00E152EA"/>
    <w:rsid w:val="00E153C9"/>
    <w:rsid w:val="00E15799"/>
    <w:rsid w:val="00E15811"/>
    <w:rsid w:val="00E16214"/>
    <w:rsid w:val="00E1635B"/>
    <w:rsid w:val="00E163D3"/>
    <w:rsid w:val="00E16AEE"/>
    <w:rsid w:val="00E17854"/>
    <w:rsid w:val="00E17E0B"/>
    <w:rsid w:val="00E17E79"/>
    <w:rsid w:val="00E200F6"/>
    <w:rsid w:val="00E2044A"/>
    <w:rsid w:val="00E204CF"/>
    <w:rsid w:val="00E2084E"/>
    <w:rsid w:val="00E2085C"/>
    <w:rsid w:val="00E20938"/>
    <w:rsid w:val="00E20A23"/>
    <w:rsid w:val="00E20D9B"/>
    <w:rsid w:val="00E20ECF"/>
    <w:rsid w:val="00E21003"/>
    <w:rsid w:val="00E2128D"/>
    <w:rsid w:val="00E21980"/>
    <w:rsid w:val="00E21AD4"/>
    <w:rsid w:val="00E21B23"/>
    <w:rsid w:val="00E21B2B"/>
    <w:rsid w:val="00E21E09"/>
    <w:rsid w:val="00E2233B"/>
    <w:rsid w:val="00E228A7"/>
    <w:rsid w:val="00E22DBD"/>
    <w:rsid w:val="00E238C6"/>
    <w:rsid w:val="00E23A40"/>
    <w:rsid w:val="00E2403D"/>
    <w:rsid w:val="00E241CC"/>
    <w:rsid w:val="00E24B80"/>
    <w:rsid w:val="00E24DD8"/>
    <w:rsid w:val="00E25547"/>
    <w:rsid w:val="00E25718"/>
    <w:rsid w:val="00E257B7"/>
    <w:rsid w:val="00E25934"/>
    <w:rsid w:val="00E25D01"/>
    <w:rsid w:val="00E267EC"/>
    <w:rsid w:val="00E26F99"/>
    <w:rsid w:val="00E26FD5"/>
    <w:rsid w:val="00E27068"/>
    <w:rsid w:val="00E271F2"/>
    <w:rsid w:val="00E27500"/>
    <w:rsid w:val="00E27716"/>
    <w:rsid w:val="00E27E54"/>
    <w:rsid w:val="00E303F0"/>
    <w:rsid w:val="00E30D56"/>
    <w:rsid w:val="00E30E43"/>
    <w:rsid w:val="00E30F27"/>
    <w:rsid w:val="00E3120C"/>
    <w:rsid w:val="00E31236"/>
    <w:rsid w:val="00E3170D"/>
    <w:rsid w:val="00E318D1"/>
    <w:rsid w:val="00E3193A"/>
    <w:rsid w:val="00E3194A"/>
    <w:rsid w:val="00E31F50"/>
    <w:rsid w:val="00E3200D"/>
    <w:rsid w:val="00E320DF"/>
    <w:rsid w:val="00E32389"/>
    <w:rsid w:val="00E328E7"/>
    <w:rsid w:val="00E32C6D"/>
    <w:rsid w:val="00E3373D"/>
    <w:rsid w:val="00E33758"/>
    <w:rsid w:val="00E338EF"/>
    <w:rsid w:val="00E33AF2"/>
    <w:rsid w:val="00E33E73"/>
    <w:rsid w:val="00E33FC5"/>
    <w:rsid w:val="00E34431"/>
    <w:rsid w:val="00E347F2"/>
    <w:rsid w:val="00E34ADA"/>
    <w:rsid w:val="00E34D69"/>
    <w:rsid w:val="00E35055"/>
    <w:rsid w:val="00E35353"/>
    <w:rsid w:val="00E35EBA"/>
    <w:rsid w:val="00E36A00"/>
    <w:rsid w:val="00E36F8A"/>
    <w:rsid w:val="00E36FFA"/>
    <w:rsid w:val="00E37284"/>
    <w:rsid w:val="00E37343"/>
    <w:rsid w:val="00E37614"/>
    <w:rsid w:val="00E37B7E"/>
    <w:rsid w:val="00E4028F"/>
    <w:rsid w:val="00E40B9C"/>
    <w:rsid w:val="00E40E63"/>
    <w:rsid w:val="00E412F0"/>
    <w:rsid w:val="00E41301"/>
    <w:rsid w:val="00E4134A"/>
    <w:rsid w:val="00E41A2A"/>
    <w:rsid w:val="00E41D66"/>
    <w:rsid w:val="00E41D7E"/>
    <w:rsid w:val="00E424DB"/>
    <w:rsid w:val="00E424F8"/>
    <w:rsid w:val="00E42705"/>
    <w:rsid w:val="00E42ADA"/>
    <w:rsid w:val="00E42EA7"/>
    <w:rsid w:val="00E430FE"/>
    <w:rsid w:val="00E433C7"/>
    <w:rsid w:val="00E433E6"/>
    <w:rsid w:val="00E437BC"/>
    <w:rsid w:val="00E439D2"/>
    <w:rsid w:val="00E43C51"/>
    <w:rsid w:val="00E43DDC"/>
    <w:rsid w:val="00E43F0A"/>
    <w:rsid w:val="00E43F99"/>
    <w:rsid w:val="00E4446E"/>
    <w:rsid w:val="00E444A4"/>
    <w:rsid w:val="00E446F6"/>
    <w:rsid w:val="00E448DA"/>
    <w:rsid w:val="00E44C9E"/>
    <w:rsid w:val="00E4525F"/>
    <w:rsid w:val="00E45D03"/>
    <w:rsid w:val="00E46010"/>
    <w:rsid w:val="00E46C7E"/>
    <w:rsid w:val="00E46F3D"/>
    <w:rsid w:val="00E46FF9"/>
    <w:rsid w:val="00E471AC"/>
    <w:rsid w:val="00E47BAC"/>
    <w:rsid w:val="00E47D88"/>
    <w:rsid w:val="00E47D9B"/>
    <w:rsid w:val="00E5078D"/>
    <w:rsid w:val="00E50C47"/>
    <w:rsid w:val="00E50CBB"/>
    <w:rsid w:val="00E50CF4"/>
    <w:rsid w:val="00E51B84"/>
    <w:rsid w:val="00E526EE"/>
    <w:rsid w:val="00E529A5"/>
    <w:rsid w:val="00E530ED"/>
    <w:rsid w:val="00E53FD7"/>
    <w:rsid w:val="00E54026"/>
    <w:rsid w:val="00E542A3"/>
    <w:rsid w:val="00E543C2"/>
    <w:rsid w:val="00E544AA"/>
    <w:rsid w:val="00E548CB"/>
    <w:rsid w:val="00E54E65"/>
    <w:rsid w:val="00E551F5"/>
    <w:rsid w:val="00E554B4"/>
    <w:rsid w:val="00E5573B"/>
    <w:rsid w:val="00E55BF9"/>
    <w:rsid w:val="00E55D49"/>
    <w:rsid w:val="00E55DD7"/>
    <w:rsid w:val="00E55FB1"/>
    <w:rsid w:val="00E56447"/>
    <w:rsid w:val="00E5668B"/>
    <w:rsid w:val="00E56A59"/>
    <w:rsid w:val="00E56CB2"/>
    <w:rsid w:val="00E600D9"/>
    <w:rsid w:val="00E60AB0"/>
    <w:rsid w:val="00E60AFF"/>
    <w:rsid w:val="00E612D8"/>
    <w:rsid w:val="00E612E3"/>
    <w:rsid w:val="00E61864"/>
    <w:rsid w:val="00E61AF5"/>
    <w:rsid w:val="00E61C8F"/>
    <w:rsid w:val="00E61CA0"/>
    <w:rsid w:val="00E62928"/>
    <w:rsid w:val="00E62ADA"/>
    <w:rsid w:val="00E62C9B"/>
    <w:rsid w:val="00E62F47"/>
    <w:rsid w:val="00E633DA"/>
    <w:rsid w:val="00E633F3"/>
    <w:rsid w:val="00E6375C"/>
    <w:rsid w:val="00E63C18"/>
    <w:rsid w:val="00E6453C"/>
    <w:rsid w:val="00E645FB"/>
    <w:rsid w:val="00E648F1"/>
    <w:rsid w:val="00E649C4"/>
    <w:rsid w:val="00E64A80"/>
    <w:rsid w:val="00E64C5E"/>
    <w:rsid w:val="00E64D79"/>
    <w:rsid w:val="00E64EDC"/>
    <w:rsid w:val="00E65257"/>
    <w:rsid w:val="00E6527B"/>
    <w:rsid w:val="00E657A5"/>
    <w:rsid w:val="00E65939"/>
    <w:rsid w:val="00E65E25"/>
    <w:rsid w:val="00E660B6"/>
    <w:rsid w:val="00E66228"/>
    <w:rsid w:val="00E662F5"/>
    <w:rsid w:val="00E6670F"/>
    <w:rsid w:val="00E66BC0"/>
    <w:rsid w:val="00E66C23"/>
    <w:rsid w:val="00E670E1"/>
    <w:rsid w:val="00E67C59"/>
    <w:rsid w:val="00E70B80"/>
    <w:rsid w:val="00E712BD"/>
    <w:rsid w:val="00E7189C"/>
    <w:rsid w:val="00E71F37"/>
    <w:rsid w:val="00E71FBD"/>
    <w:rsid w:val="00E7224F"/>
    <w:rsid w:val="00E723B1"/>
    <w:rsid w:val="00E7251E"/>
    <w:rsid w:val="00E7269D"/>
    <w:rsid w:val="00E72977"/>
    <w:rsid w:val="00E72AD8"/>
    <w:rsid w:val="00E72E8B"/>
    <w:rsid w:val="00E72F25"/>
    <w:rsid w:val="00E72FC8"/>
    <w:rsid w:val="00E731D3"/>
    <w:rsid w:val="00E732BE"/>
    <w:rsid w:val="00E73327"/>
    <w:rsid w:val="00E733F8"/>
    <w:rsid w:val="00E736AB"/>
    <w:rsid w:val="00E73B8E"/>
    <w:rsid w:val="00E73EC5"/>
    <w:rsid w:val="00E741EC"/>
    <w:rsid w:val="00E7438A"/>
    <w:rsid w:val="00E744BC"/>
    <w:rsid w:val="00E74537"/>
    <w:rsid w:val="00E748BC"/>
    <w:rsid w:val="00E74968"/>
    <w:rsid w:val="00E74BD5"/>
    <w:rsid w:val="00E75240"/>
    <w:rsid w:val="00E75CDA"/>
    <w:rsid w:val="00E76030"/>
    <w:rsid w:val="00E7606D"/>
    <w:rsid w:val="00E764D3"/>
    <w:rsid w:val="00E76660"/>
    <w:rsid w:val="00E7668C"/>
    <w:rsid w:val="00E767E2"/>
    <w:rsid w:val="00E76990"/>
    <w:rsid w:val="00E76F7A"/>
    <w:rsid w:val="00E771DA"/>
    <w:rsid w:val="00E772F4"/>
    <w:rsid w:val="00E77492"/>
    <w:rsid w:val="00E77595"/>
    <w:rsid w:val="00E7775B"/>
    <w:rsid w:val="00E77C94"/>
    <w:rsid w:val="00E77CF7"/>
    <w:rsid w:val="00E77DA6"/>
    <w:rsid w:val="00E800AB"/>
    <w:rsid w:val="00E8019B"/>
    <w:rsid w:val="00E805BC"/>
    <w:rsid w:val="00E806E0"/>
    <w:rsid w:val="00E8079F"/>
    <w:rsid w:val="00E80D10"/>
    <w:rsid w:val="00E81175"/>
    <w:rsid w:val="00E813A5"/>
    <w:rsid w:val="00E816B4"/>
    <w:rsid w:val="00E823A3"/>
    <w:rsid w:val="00E826C3"/>
    <w:rsid w:val="00E82B09"/>
    <w:rsid w:val="00E82C38"/>
    <w:rsid w:val="00E82FBF"/>
    <w:rsid w:val="00E82FEB"/>
    <w:rsid w:val="00E833F9"/>
    <w:rsid w:val="00E8355E"/>
    <w:rsid w:val="00E83887"/>
    <w:rsid w:val="00E83D71"/>
    <w:rsid w:val="00E83E64"/>
    <w:rsid w:val="00E84231"/>
    <w:rsid w:val="00E846FD"/>
    <w:rsid w:val="00E84B8A"/>
    <w:rsid w:val="00E84FF7"/>
    <w:rsid w:val="00E85083"/>
    <w:rsid w:val="00E85213"/>
    <w:rsid w:val="00E855FC"/>
    <w:rsid w:val="00E85679"/>
    <w:rsid w:val="00E86054"/>
    <w:rsid w:val="00E8611A"/>
    <w:rsid w:val="00E86127"/>
    <w:rsid w:val="00E861D2"/>
    <w:rsid w:val="00E861F5"/>
    <w:rsid w:val="00E862EC"/>
    <w:rsid w:val="00E867AF"/>
    <w:rsid w:val="00E86DCC"/>
    <w:rsid w:val="00E87344"/>
    <w:rsid w:val="00E873F3"/>
    <w:rsid w:val="00E8770B"/>
    <w:rsid w:val="00E87969"/>
    <w:rsid w:val="00E87CCD"/>
    <w:rsid w:val="00E87DE0"/>
    <w:rsid w:val="00E904A3"/>
    <w:rsid w:val="00E90745"/>
    <w:rsid w:val="00E90C1F"/>
    <w:rsid w:val="00E90EC9"/>
    <w:rsid w:val="00E9122C"/>
    <w:rsid w:val="00E91535"/>
    <w:rsid w:val="00E91861"/>
    <w:rsid w:val="00E918F8"/>
    <w:rsid w:val="00E91C41"/>
    <w:rsid w:val="00E91F21"/>
    <w:rsid w:val="00E92107"/>
    <w:rsid w:val="00E92FFB"/>
    <w:rsid w:val="00E93B47"/>
    <w:rsid w:val="00E93C38"/>
    <w:rsid w:val="00E93DD9"/>
    <w:rsid w:val="00E9442A"/>
    <w:rsid w:val="00E946D5"/>
    <w:rsid w:val="00E9481F"/>
    <w:rsid w:val="00E94CB0"/>
    <w:rsid w:val="00E950A2"/>
    <w:rsid w:val="00E95830"/>
    <w:rsid w:val="00E95C34"/>
    <w:rsid w:val="00E95E89"/>
    <w:rsid w:val="00E960B2"/>
    <w:rsid w:val="00E9654E"/>
    <w:rsid w:val="00E96550"/>
    <w:rsid w:val="00E96E41"/>
    <w:rsid w:val="00E9769A"/>
    <w:rsid w:val="00E97754"/>
    <w:rsid w:val="00E978AD"/>
    <w:rsid w:val="00E978DB"/>
    <w:rsid w:val="00E97980"/>
    <w:rsid w:val="00E97C81"/>
    <w:rsid w:val="00EA037A"/>
    <w:rsid w:val="00EA0B32"/>
    <w:rsid w:val="00EA0FE4"/>
    <w:rsid w:val="00EA136C"/>
    <w:rsid w:val="00EA144C"/>
    <w:rsid w:val="00EA1508"/>
    <w:rsid w:val="00EA1639"/>
    <w:rsid w:val="00EA2202"/>
    <w:rsid w:val="00EA27F0"/>
    <w:rsid w:val="00EA2B76"/>
    <w:rsid w:val="00EA2D53"/>
    <w:rsid w:val="00EA33D1"/>
    <w:rsid w:val="00EA3831"/>
    <w:rsid w:val="00EA38D9"/>
    <w:rsid w:val="00EA451F"/>
    <w:rsid w:val="00EA4E1C"/>
    <w:rsid w:val="00EA5539"/>
    <w:rsid w:val="00EA5CE1"/>
    <w:rsid w:val="00EA5CE8"/>
    <w:rsid w:val="00EA5E24"/>
    <w:rsid w:val="00EA5F60"/>
    <w:rsid w:val="00EA60A3"/>
    <w:rsid w:val="00EA61C3"/>
    <w:rsid w:val="00EA63C3"/>
    <w:rsid w:val="00EA6623"/>
    <w:rsid w:val="00EA66D8"/>
    <w:rsid w:val="00EA703C"/>
    <w:rsid w:val="00EA70E2"/>
    <w:rsid w:val="00EA7895"/>
    <w:rsid w:val="00EA79E5"/>
    <w:rsid w:val="00EB03DF"/>
    <w:rsid w:val="00EB0DD0"/>
    <w:rsid w:val="00EB1042"/>
    <w:rsid w:val="00EB12EA"/>
    <w:rsid w:val="00EB1667"/>
    <w:rsid w:val="00EB16A2"/>
    <w:rsid w:val="00EB1891"/>
    <w:rsid w:val="00EB1964"/>
    <w:rsid w:val="00EB1A1A"/>
    <w:rsid w:val="00EB1CCC"/>
    <w:rsid w:val="00EB1D30"/>
    <w:rsid w:val="00EB1D8E"/>
    <w:rsid w:val="00EB2018"/>
    <w:rsid w:val="00EB20D9"/>
    <w:rsid w:val="00EB2837"/>
    <w:rsid w:val="00EB2C7A"/>
    <w:rsid w:val="00EB31EA"/>
    <w:rsid w:val="00EB3488"/>
    <w:rsid w:val="00EB3C1A"/>
    <w:rsid w:val="00EB3DAA"/>
    <w:rsid w:val="00EB3EAB"/>
    <w:rsid w:val="00EB4739"/>
    <w:rsid w:val="00EB497F"/>
    <w:rsid w:val="00EB4D4F"/>
    <w:rsid w:val="00EB5037"/>
    <w:rsid w:val="00EB5376"/>
    <w:rsid w:val="00EB53B7"/>
    <w:rsid w:val="00EB5801"/>
    <w:rsid w:val="00EB5C0B"/>
    <w:rsid w:val="00EB5C51"/>
    <w:rsid w:val="00EB60BC"/>
    <w:rsid w:val="00EB6306"/>
    <w:rsid w:val="00EB63F7"/>
    <w:rsid w:val="00EB6585"/>
    <w:rsid w:val="00EB67FC"/>
    <w:rsid w:val="00EB6E9E"/>
    <w:rsid w:val="00EB6F0E"/>
    <w:rsid w:val="00EB70CC"/>
    <w:rsid w:val="00EB74B3"/>
    <w:rsid w:val="00EB7693"/>
    <w:rsid w:val="00EB7786"/>
    <w:rsid w:val="00EB7967"/>
    <w:rsid w:val="00EB7AA0"/>
    <w:rsid w:val="00EB7B1B"/>
    <w:rsid w:val="00EC02EE"/>
    <w:rsid w:val="00EC0733"/>
    <w:rsid w:val="00EC0C00"/>
    <w:rsid w:val="00EC0E50"/>
    <w:rsid w:val="00EC1092"/>
    <w:rsid w:val="00EC112A"/>
    <w:rsid w:val="00EC13F1"/>
    <w:rsid w:val="00EC1DB5"/>
    <w:rsid w:val="00EC2F8F"/>
    <w:rsid w:val="00EC3223"/>
    <w:rsid w:val="00EC3D89"/>
    <w:rsid w:val="00EC3E58"/>
    <w:rsid w:val="00EC3EB0"/>
    <w:rsid w:val="00EC4442"/>
    <w:rsid w:val="00EC45B6"/>
    <w:rsid w:val="00EC4603"/>
    <w:rsid w:val="00EC4800"/>
    <w:rsid w:val="00EC4907"/>
    <w:rsid w:val="00EC4AC9"/>
    <w:rsid w:val="00EC4BB9"/>
    <w:rsid w:val="00EC4D6C"/>
    <w:rsid w:val="00EC4F07"/>
    <w:rsid w:val="00EC501B"/>
    <w:rsid w:val="00EC5150"/>
    <w:rsid w:val="00EC5693"/>
    <w:rsid w:val="00EC56E2"/>
    <w:rsid w:val="00EC5AC9"/>
    <w:rsid w:val="00EC5C7C"/>
    <w:rsid w:val="00EC6011"/>
    <w:rsid w:val="00EC6658"/>
    <w:rsid w:val="00EC6899"/>
    <w:rsid w:val="00EC6C0F"/>
    <w:rsid w:val="00EC6C2B"/>
    <w:rsid w:val="00EC762B"/>
    <w:rsid w:val="00EC7AA7"/>
    <w:rsid w:val="00EC7AEB"/>
    <w:rsid w:val="00EC7C01"/>
    <w:rsid w:val="00ED01E8"/>
    <w:rsid w:val="00ED0283"/>
    <w:rsid w:val="00ED0977"/>
    <w:rsid w:val="00ED0A69"/>
    <w:rsid w:val="00ED0EA2"/>
    <w:rsid w:val="00ED12DD"/>
    <w:rsid w:val="00ED1735"/>
    <w:rsid w:val="00ED1BAA"/>
    <w:rsid w:val="00ED1C3D"/>
    <w:rsid w:val="00ED1C52"/>
    <w:rsid w:val="00ED1D1D"/>
    <w:rsid w:val="00ED2050"/>
    <w:rsid w:val="00ED24E0"/>
    <w:rsid w:val="00ED275E"/>
    <w:rsid w:val="00ED287D"/>
    <w:rsid w:val="00ED353E"/>
    <w:rsid w:val="00ED3621"/>
    <w:rsid w:val="00ED3AA3"/>
    <w:rsid w:val="00ED3FAA"/>
    <w:rsid w:val="00ED4092"/>
    <w:rsid w:val="00ED50EC"/>
    <w:rsid w:val="00ED545B"/>
    <w:rsid w:val="00ED5543"/>
    <w:rsid w:val="00ED5989"/>
    <w:rsid w:val="00ED5C24"/>
    <w:rsid w:val="00ED5D07"/>
    <w:rsid w:val="00ED5F53"/>
    <w:rsid w:val="00ED5FFF"/>
    <w:rsid w:val="00ED633B"/>
    <w:rsid w:val="00ED6420"/>
    <w:rsid w:val="00ED691A"/>
    <w:rsid w:val="00ED6A0A"/>
    <w:rsid w:val="00ED75A7"/>
    <w:rsid w:val="00ED7EF0"/>
    <w:rsid w:val="00ED7F48"/>
    <w:rsid w:val="00EE01C5"/>
    <w:rsid w:val="00EE0526"/>
    <w:rsid w:val="00EE08A0"/>
    <w:rsid w:val="00EE0ABC"/>
    <w:rsid w:val="00EE1294"/>
    <w:rsid w:val="00EE12E3"/>
    <w:rsid w:val="00EE2720"/>
    <w:rsid w:val="00EE27C1"/>
    <w:rsid w:val="00EE2E49"/>
    <w:rsid w:val="00EE2F00"/>
    <w:rsid w:val="00EE3082"/>
    <w:rsid w:val="00EE341F"/>
    <w:rsid w:val="00EE366B"/>
    <w:rsid w:val="00EE36F0"/>
    <w:rsid w:val="00EE40AE"/>
    <w:rsid w:val="00EE41B2"/>
    <w:rsid w:val="00EE41CA"/>
    <w:rsid w:val="00EE42A3"/>
    <w:rsid w:val="00EE4615"/>
    <w:rsid w:val="00EE4657"/>
    <w:rsid w:val="00EE4B2B"/>
    <w:rsid w:val="00EE54C8"/>
    <w:rsid w:val="00EE585E"/>
    <w:rsid w:val="00EE58FB"/>
    <w:rsid w:val="00EE5A36"/>
    <w:rsid w:val="00EE5B19"/>
    <w:rsid w:val="00EE5FCF"/>
    <w:rsid w:val="00EE624A"/>
    <w:rsid w:val="00EE6393"/>
    <w:rsid w:val="00EE63C3"/>
    <w:rsid w:val="00EE6A70"/>
    <w:rsid w:val="00EE6AE2"/>
    <w:rsid w:val="00EE6BA3"/>
    <w:rsid w:val="00EE6D38"/>
    <w:rsid w:val="00EE6D3A"/>
    <w:rsid w:val="00EE7663"/>
    <w:rsid w:val="00EE79AA"/>
    <w:rsid w:val="00EE7E6A"/>
    <w:rsid w:val="00EF002A"/>
    <w:rsid w:val="00EF00DD"/>
    <w:rsid w:val="00EF0189"/>
    <w:rsid w:val="00EF0297"/>
    <w:rsid w:val="00EF0496"/>
    <w:rsid w:val="00EF0514"/>
    <w:rsid w:val="00EF05C9"/>
    <w:rsid w:val="00EF0B46"/>
    <w:rsid w:val="00EF0DCF"/>
    <w:rsid w:val="00EF11E7"/>
    <w:rsid w:val="00EF1349"/>
    <w:rsid w:val="00EF13D6"/>
    <w:rsid w:val="00EF1A75"/>
    <w:rsid w:val="00EF1ED6"/>
    <w:rsid w:val="00EF1FC3"/>
    <w:rsid w:val="00EF2A4E"/>
    <w:rsid w:val="00EF2C0E"/>
    <w:rsid w:val="00EF37CD"/>
    <w:rsid w:val="00EF3A44"/>
    <w:rsid w:val="00EF3A45"/>
    <w:rsid w:val="00EF3B76"/>
    <w:rsid w:val="00EF3C13"/>
    <w:rsid w:val="00EF3D44"/>
    <w:rsid w:val="00EF42C0"/>
    <w:rsid w:val="00EF46A4"/>
    <w:rsid w:val="00EF49E7"/>
    <w:rsid w:val="00EF4A33"/>
    <w:rsid w:val="00EF5269"/>
    <w:rsid w:val="00EF53B3"/>
    <w:rsid w:val="00EF5696"/>
    <w:rsid w:val="00EF56FA"/>
    <w:rsid w:val="00EF5DE7"/>
    <w:rsid w:val="00EF6035"/>
    <w:rsid w:val="00EF61FA"/>
    <w:rsid w:val="00EF63FB"/>
    <w:rsid w:val="00EF646E"/>
    <w:rsid w:val="00EF669D"/>
    <w:rsid w:val="00EF6915"/>
    <w:rsid w:val="00EF6B7F"/>
    <w:rsid w:val="00EF6BBF"/>
    <w:rsid w:val="00EF6F3E"/>
    <w:rsid w:val="00EF6FE3"/>
    <w:rsid w:val="00EF73E0"/>
    <w:rsid w:val="00EF74F0"/>
    <w:rsid w:val="00F00343"/>
    <w:rsid w:val="00F0053C"/>
    <w:rsid w:val="00F00D44"/>
    <w:rsid w:val="00F012C3"/>
    <w:rsid w:val="00F01438"/>
    <w:rsid w:val="00F01528"/>
    <w:rsid w:val="00F017E9"/>
    <w:rsid w:val="00F0188A"/>
    <w:rsid w:val="00F01E2B"/>
    <w:rsid w:val="00F02111"/>
    <w:rsid w:val="00F0214E"/>
    <w:rsid w:val="00F02180"/>
    <w:rsid w:val="00F021E8"/>
    <w:rsid w:val="00F02389"/>
    <w:rsid w:val="00F02967"/>
    <w:rsid w:val="00F03041"/>
    <w:rsid w:val="00F03DEB"/>
    <w:rsid w:val="00F03E1C"/>
    <w:rsid w:val="00F040F2"/>
    <w:rsid w:val="00F04403"/>
    <w:rsid w:val="00F04559"/>
    <w:rsid w:val="00F0470A"/>
    <w:rsid w:val="00F04787"/>
    <w:rsid w:val="00F051B6"/>
    <w:rsid w:val="00F05970"/>
    <w:rsid w:val="00F05E6D"/>
    <w:rsid w:val="00F05FDD"/>
    <w:rsid w:val="00F061B9"/>
    <w:rsid w:val="00F06A5B"/>
    <w:rsid w:val="00F071A4"/>
    <w:rsid w:val="00F072DC"/>
    <w:rsid w:val="00F0750E"/>
    <w:rsid w:val="00F0771C"/>
    <w:rsid w:val="00F0795C"/>
    <w:rsid w:val="00F07BB7"/>
    <w:rsid w:val="00F07E57"/>
    <w:rsid w:val="00F10200"/>
    <w:rsid w:val="00F10572"/>
    <w:rsid w:val="00F112A3"/>
    <w:rsid w:val="00F11464"/>
    <w:rsid w:val="00F11477"/>
    <w:rsid w:val="00F11982"/>
    <w:rsid w:val="00F11C8B"/>
    <w:rsid w:val="00F11F21"/>
    <w:rsid w:val="00F12288"/>
    <w:rsid w:val="00F12491"/>
    <w:rsid w:val="00F1271C"/>
    <w:rsid w:val="00F128A8"/>
    <w:rsid w:val="00F128AD"/>
    <w:rsid w:val="00F1297F"/>
    <w:rsid w:val="00F12A10"/>
    <w:rsid w:val="00F12F44"/>
    <w:rsid w:val="00F13257"/>
    <w:rsid w:val="00F133EC"/>
    <w:rsid w:val="00F13AE6"/>
    <w:rsid w:val="00F13EDB"/>
    <w:rsid w:val="00F148AC"/>
    <w:rsid w:val="00F14915"/>
    <w:rsid w:val="00F14B7D"/>
    <w:rsid w:val="00F14D82"/>
    <w:rsid w:val="00F14E68"/>
    <w:rsid w:val="00F15002"/>
    <w:rsid w:val="00F15109"/>
    <w:rsid w:val="00F15237"/>
    <w:rsid w:val="00F156ED"/>
    <w:rsid w:val="00F15BCC"/>
    <w:rsid w:val="00F15CD5"/>
    <w:rsid w:val="00F15D1D"/>
    <w:rsid w:val="00F162E3"/>
    <w:rsid w:val="00F165DA"/>
    <w:rsid w:val="00F1679D"/>
    <w:rsid w:val="00F167A1"/>
    <w:rsid w:val="00F1695D"/>
    <w:rsid w:val="00F1733B"/>
    <w:rsid w:val="00F17527"/>
    <w:rsid w:val="00F175A8"/>
    <w:rsid w:val="00F17744"/>
    <w:rsid w:val="00F17EF3"/>
    <w:rsid w:val="00F204C9"/>
    <w:rsid w:val="00F206D9"/>
    <w:rsid w:val="00F20A98"/>
    <w:rsid w:val="00F20B9C"/>
    <w:rsid w:val="00F21126"/>
    <w:rsid w:val="00F2147D"/>
    <w:rsid w:val="00F21777"/>
    <w:rsid w:val="00F220E3"/>
    <w:rsid w:val="00F22912"/>
    <w:rsid w:val="00F22BAC"/>
    <w:rsid w:val="00F22C15"/>
    <w:rsid w:val="00F22E08"/>
    <w:rsid w:val="00F22EB6"/>
    <w:rsid w:val="00F2372E"/>
    <w:rsid w:val="00F23E58"/>
    <w:rsid w:val="00F24C2E"/>
    <w:rsid w:val="00F24CFB"/>
    <w:rsid w:val="00F250AC"/>
    <w:rsid w:val="00F254D0"/>
    <w:rsid w:val="00F26800"/>
    <w:rsid w:val="00F26A66"/>
    <w:rsid w:val="00F26ACE"/>
    <w:rsid w:val="00F26C96"/>
    <w:rsid w:val="00F270B1"/>
    <w:rsid w:val="00F27144"/>
    <w:rsid w:val="00F2748B"/>
    <w:rsid w:val="00F276C5"/>
    <w:rsid w:val="00F2780D"/>
    <w:rsid w:val="00F27B7F"/>
    <w:rsid w:val="00F30096"/>
    <w:rsid w:val="00F30129"/>
    <w:rsid w:val="00F31002"/>
    <w:rsid w:val="00F31082"/>
    <w:rsid w:val="00F310A9"/>
    <w:rsid w:val="00F3135E"/>
    <w:rsid w:val="00F31579"/>
    <w:rsid w:val="00F31B5E"/>
    <w:rsid w:val="00F32092"/>
    <w:rsid w:val="00F324A4"/>
    <w:rsid w:val="00F325A0"/>
    <w:rsid w:val="00F32980"/>
    <w:rsid w:val="00F32B51"/>
    <w:rsid w:val="00F330AF"/>
    <w:rsid w:val="00F3355D"/>
    <w:rsid w:val="00F3388D"/>
    <w:rsid w:val="00F33AF4"/>
    <w:rsid w:val="00F33EAA"/>
    <w:rsid w:val="00F34073"/>
    <w:rsid w:val="00F34B1A"/>
    <w:rsid w:val="00F34B8D"/>
    <w:rsid w:val="00F34D7D"/>
    <w:rsid w:val="00F34F27"/>
    <w:rsid w:val="00F34FDE"/>
    <w:rsid w:val="00F35154"/>
    <w:rsid w:val="00F35494"/>
    <w:rsid w:val="00F35D3C"/>
    <w:rsid w:val="00F35DA5"/>
    <w:rsid w:val="00F36192"/>
    <w:rsid w:val="00F361D3"/>
    <w:rsid w:val="00F363B6"/>
    <w:rsid w:val="00F3662A"/>
    <w:rsid w:val="00F36813"/>
    <w:rsid w:val="00F36D02"/>
    <w:rsid w:val="00F370C8"/>
    <w:rsid w:val="00F3753C"/>
    <w:rsid w:val="00F40141"/>
    <w:rsid w:val="00F40407"/>
    <w:rsid w:val="00F40B37"/>
    <w:rsid w:val="00F4176A"/>
    <w:rsid w:val="00F41F2D"/>
    <w:rsid w:val="00F41F47"/>
    <w:rsid w:val="00F424AA"/>
    <w:rsid w:val="00F427D7"/>
    <w:rsid w:val="00F42CCD"/>
    <w:rsid w:val="00F42EB2"/>
    <w:rsid w:val="00F43003"/>
    <w:rsid w:val="00F4319D"/>
    <w:rsid w:val="00F43406"/>
    <w:rsid w:val="00F4347C"/>
    <w:rsid w:val="00F43A3A"/>
    <w:rsid w:val="00F43AEE"/>
    <w:rsid w:val="00F44959"/>
    <w:rsid w:val="00F44DDD"/>
    <w:rsid w:val="00F4517E"/>
    <w:rsid w:val="00F45485"/>
    <w:rsid w:val="00F45813"/>
    <w:rsid w:val="00F45937"/>
    <w:rsid w:val="00F459C7"/>
    <w:rsid w:val="00F46299"/>
    <w:rsid w:val="00F46A27"/>
    <w:rsid w:val="00F46CD9"/>
    <w:rsid w:val="00F46CF4"/>
    <w:rsid w:val="00F4709C"/>
    <w:rsid w:val="00F5061E"/>
    <w:rsid w:val="00F50890"/>
    <w:rsid w:val="00F50EDE"/>
    <w:rsid w:val="00F51221"/>
    <w:rsid w:val="00F51820"/>
    <w:rsid w:val="00F5185D"/>
    <w:rsid w:val="00F5189E"/>
    <w:rsid w:val="00F52625"/>
    <w:rsid w:val="00F52CC1"/>
    <w:rsid w:val="00F5312D"/>
    <w:rsid w:val="00F5319E"/>
    <w:rsid w:val="00F53852"/>
    <w:rsid w:val="00F53880"/>
    <w:rsid w:val="00F539FC"/>
    <w:rsid w:val="00F53AF0"/>
    <w:rsid w:val="00F54243"/>
    <w:rsid w:val="00F54361"/>
    <w:rsid w:val="00F5438C"/>
    <w:rsid w:val="00F54A26"/>
    <w:rsid w:val="00F54CAA"/>
    <w:rsid w:val="00F55396"/>
    <w:rsid w:val="00F554D1"/>
    <w:rsid w:val="00F554D7"/>
    <w:rsid w:val="00F555B2"/>
    <w:rsid w:val="00F55988"/>
    <w:rsid w:val="00F5646E"/>
    <w:rsid w:val="00F567E3"/>
    <w:rsid w:val="00F56902"/>
    <w:rsid w:val="00F56E23"/>
    <w:rsid w:val="00F5702F"/>
    <w:rsid w:val="00F6035F"/>
    <w:rsid w:val="00F60558"/>
    <w:rsid w:val="00F60979"/>
    <w:rsid w:val="00F609CA"/>
    <w:rsid w:val="00F60BFF"/>
    <w:rsid w:val="00F60CB9"/>
    <w:rsid w:val="00F60CD4"/>
    <w:rsid w:val="00F60D7D"/>
    <w:rsid w:val="00F60F40"/>
    <w:rsid w:val="00F60FE2"/>
    <w:rsid w:val="00F61327"/>
    <w:rsid w:val="00F61586"/>
    <w:rsid w:val="00F615C6"/>
    <w:rsid w:val="00F61BA6"/>
    <w:rsid w:val="00F62113"/>
    <w:rsid w:val="00F6237E"/>
    <w:rsid w:val="00F62526"/>
    <w:rsid w:val="00F62CC2"/>
    <w:rsid w:val="00F63412"/>
    <w:rsid w:val="00F64172"/>
    <w:rsid w:val="00F64514"/>
    <w:rsid w:val="00F645EB"/>
    <w:rsid w:val="00F6496F"/>
    <w:rsid w:val="00F655BD"/>
    <w:rsid w:val="00F655D7"/>
    <w:rsid w:val="00F657D5"/>
    <w:rsid w:val="00F65833"/>
    <w:rsid w:val="00F65A20"/>
    <w:rsid w:val="00F65FFF"/>
    <w:rsid w:val="00F66678"/>
    <w:rsid w:val="00F6677A"/>
    <w:rsid w:val="00F66BAA"/>
    <w:rsid w:val="00F66EB1"/>
    <w:rsid w:val="00F670F2"/>
    <w:rsid w:val="00F67168"/>
    <w:rsid w:val="00F67192"/>
    <w:rsid w:val="00F674F8"/>
    <w:rsid w:val="00F6793F"/>
    <w:rsid w:val="00F679AE"/>
    <w:rsid w:val="00F67BE7"/>
    <w:rsid w:val="00F67C45"/>
    <w:rsid w:val="00F67E8C"/>
    <w:rsid w:val="00F70567"/>
    <w:rsid w:val="00F71601"/>
    <w:rsid w:val="00F719C6"/>
    <w:rsid w:val="00F71E6A"/>
    <w:rsid w:val="00F7233D"/>
    <w:rsid w:val="00F727C9"/>
    <w:rsid w:val="00F72AA7"/>
    <w:rsid w:val="00F72B5A"/>
    <w:rsid w:val="00F72DAE"/>
    <w:rsid w:val="00F72E60"/>
    <w:rsid w:val="00F7309F"/>
    <w:rsid w:val="00F73476"/>
    <w:rsid w:val="00F73820"/>
    <w:rsid w:val="00F73ECA"/>
    <w:rsid w:val="00F73EF1"/>
    <w:rsid w:val="00F7424F"/>
    <w:rsid w:val="00F74711"/>
    <w:rsid w:val="00F761B6"/>
    <w:rsid w:val="00F764A8"/>
    <w:rsid w:val="00F76783"/>
    <w:rsid w:val="00F76AA3"/>
    <w:rsid w:val="00F76B8B"/>
    <w:rsid w:val="00F76D60"/>
    <w:rsid w:val="00F776A3"/>
    <w:rsid w:val="00F77B93"/>
    <w:rsid w:val="00F8017E"/>
    <w:rsid w:val="00F801A4"/>
    <w:rsid w:val="00F8067B"/>
    <w:rsid w:val="00F809EA"/>
    <w:rsid w:val="00F80AF6"/>
    <w:rsid w:val="00F80BE7"/>
    <w:rsid w:val="00F80C55"/>
    <w:rsid w:val="00F80FF3"/>
    <w:rsid w:val="00F81227"/>
    <w:rsid w:val="00F81B34"/>
    <w:rsid w:val="00F82230"/>
    <w:rsid w:val="00F82C09"/>
    <w:rsid w:val="00F8375C"/>
    <w:rsid w:val="00F8406A"/>
    <w:rsid w:val="00F84729"/>
    <w:rsid w:val="00F84B17"/>
    <w:rsid w:val="00F8518E"/>
    <w:rsid w:val="00F8566D"/>
    <w:rsid w:val="00F857D1"/>
    <w:rsid w:val="00F857E0"/>
    <w:rsid w:val="00F85C41"/>
    <w:rsid w:val="00F863C7"/>
    <w:rsid w:val="00F865EC"/>
    <w:rsid w:val="00F8683D"/>
    <w:rsid w:val="00F86F3A"/>
    <w:rsid w:val="00F872DA"/>
    <w:rsid w:val="00F87337"/>
    <w:rsid w:val="00F873B4"/>
    <w:rsid w:val="00F878DB"/>
    <w:rsid w:val="00F87C96"/>
    <w:rsid w:val="00F87CBC"/>
    <w:rsid w:val="00F902E4"/>
    <w:rsid w:val="00F909EB"/>
    <w:rsid w:val="00F90B92"/>
    <w:rsid w:val="00F90C30"/>
    <w:rsid w:val="00F91008"/>
    <w:rsid w:val="00F91245"/>
    <w:rsid w:val="00F912DB"/>
    <w:rsid w:val="00F914D4"/>
    <w:rsid w:val="00F91C9A"/>
    <w:rsid w:val="00F92D1E"/>
    <w:rsid w:val="00F92D5C"/>
    <w:rsid w:val="00F92F1B"/>
    <w:rsid w:val="00F92FCF"/>
    <w:rsid w:val="00F93019"/>
    <w:rsid w:val="00F9309D"/>
    <w:rsid w:val="00F93147"/>
    <w:rsid w:val="00F935E6"/>
    <w:rsid w:val="00F93DD8"/>
    <w:rsid w:val="00F93ED3"/>
    <w:rsid w:val="00F93FCA"/>
    <w:rsid w:val="00F94598"/>
    <w:rsid w:val="00F94B5B"/>
    <w:rsid w:val="00F9529B"/>
    <w:rsid w:val="00F955E4"/>
    <w:rsid w:val="00F95824"/>
    <w:rsid w:val="00F95D64"/>
    <w:rsid w:val="00F97A81"/>
    <w:rsid w:val="00F97F33"/>
    <w:rsid w:val="00FA004E"/>
    <w:rsid w:val="00FA048B"/>
    <w:rsid w:val="00FA0752"/>
    <w:rsid w:val="00FA075A"/>
    <w:rsid w:val="00FA0829"/>
    <w:rsid w:val="00FA17F1"/>
    <w:rsid w:val="00FA1A90"/>
    <w:rsid w:val="00FA1BF0"/>
    <w:rsid w:val="00FA1CAF"/>
    <w:rsid w:val="00FA1F10"/>
    <w:rsid w:val="00FA2230"/>
    <w:rsid w:val="00FA2B03"/>
    <w:rsid w:val="00FA2C3F"/>
    <w:rsid w:val="00FA3019"/>
    <w:rsid w:val="00FA32D6"/>
    <w:rsid w:val="00FA3524"/>
    <w:rsid w:val="00FA3741"/>
    <w:rsid w:val="00FA37AB"/>
    <w:rsid w:val="00FA3D05"/>
    <w:rsid w:val="00FA3D1C"/>
    <w:rsid w:val="00FA426B"/>
    <w:rsid w:val="00FA4788"/>
    <w:rsid w:val="00FA4D2F"/>
    <w:rsid w:val="00FA51FF"/>
    <w:rsid w:val="00FA52C7"/>
    <w:rsid w:val="00FA5456"/>
    <w:rsid w:val="00FA5B82"/>
    <w:rsid w:val="00FA5C6A"/>
    <w:rsid w:val="00FA5DC8"/>
    <w:rsid w:val="00FA5DDA"/>
    <w:rsid w:val="00FA616B"/>
    <w:rsid w:val="00FA65F1"/>
    <w:rsid w:val="00FA6B0F"/>
    <w:rsid w:val="00FA6DEC"/>
    <w:rsid w:val="00FA6F57"/>
    <w:rsid w:val="00FA749F"/>
    <w:rsid w:val="00FA790D"/>
    <w:rsid w:val="00FA79C2"/>
    <w:rsid w:val="00FA79D6"/>
    <w:rsid w:val="00FB02E8"/>
    <w:rsid w:val="00FB053A"/>
    <w:rsid w:val="00FB0969"/>
    <w:rsid w:val="00FB0D70"/>
    <w:rsid w:val="00FB13B4"/>
    <w:rsid w:val="00FB153F"/>
    <w:rsid w:val="00FB19A2"/>
    <w:rsid w:val="00FB1BB8"/>
    <w:rsid w:val="00FB1C05"/>
    <w:rsid w:val="00FB1CF3"/>
    <w:rsid w:val="00FB1F00"/>
    <w:rsid w:val="00FB21B5"/>
    <w:rsid w:val="00FB25B7"/>
    <w:rsid w:val="00FB27D0"/>
    <w:rsid w:val="00FB281B"/>
    <w:rsid w:val="00FB2B9A"/>
    <w:rsid w:val="00FB3083"/>
    <w:rsid w:val="00FB3A04"/>
    <w:rsid w:val="00FB3DA3"/>
    <w:rsid w:val="00FB40C2"/>
    <w:rsid w:val="00FB41E9"/>
    <w:rsid w:val="00FB42D9"/>
    <w:rsid w:val="00FB42EE"/>
    <w:rsid w:val="00FB44CE"/>
    <w:rsid w:val="00FB4603"/>
    <w:rsid w:val="00FB4618"/>
    <w:rsid w:val="00FB4CED"/>
    <w:rsid w:val="00FB5697"/>
    <w:rsid w:val="00FB5D11"/>
    <w:rsid w:val="00FB5F58"/>
    <w:rsid w:val="00FB653A"/>
    <w:rsid w:val="00FB699D"/>
    <w:rsid w:val="00FB6E52"/>
    <w:rsid w:val="00FB6EE9"/>
    <w:rsid w:val="00FB71EC"/>
    <w:rsid w:val="00FB7A6A"/>
    <w:rsid w:val="00FB7BA0"/>
    <w:rsid w:val="00FC0171"/>
    <w:rsid w:val="00FC028E"/>
    <w:rsid w:val="00FC03CE"/>
    <w:rsid w:val="00FC07BB"/>
    <w:rsid w:val="00FC0972"/>
    <w:rsid w:val="00FC0D41"/>
    <w:rsid w:val="00FC0E69"/>
    <w:rsid w:val="00FC15FF"/>
    <w:rsid w:val="00FC185B"/>
    <w:rsid w:val="00FC198E"/>
    <w:rsid w:val="00FC1A6B"/>
    <w:rsid w:val="00FC1B75"/>
    <w:rsid w:val="00FC1CCF"/>
    <w:rsid w:val="00FC1F84"/>
    <w:rsid w:val="00FC25C6"/>
    <w:rsid w:val="00FC2670"/>
    <w:rsid w:val="00FC2B4B"/>
    <w:rsid w:val="00FC2DFF"/>
    <w:rsid w:val="00FC2EF9"/>
    <w:rsid w:val="00FC3219"/>
    <w:rsid w:val="00FC4347"/>
    <w:rsid w:val="00FC4379"/>
    <w:rsid w:val="00FC44B7"/>
    <w:rsid w:val="00FC4962"/>
    <w:rsid w:val="00FC4A56"/>
    <w:rsid w:val="00FC4A82"/>
    <w:rsid w:val="00FC4C72"/>
    <w:rsid w:val="00FC4E05"/>
    <w:rsid w:val="00FC4FB3"/>
    <w:rsid w:val="00FC574F"/>
    <w:rsid w:val="00FC5A09"/>
    <w:rsid w:val="00FC5F6E"/>
    <w:rsid w:val="00FC66C3"/>
    <w:rsid w:val="00FC6784"/>
    <w:rsid w:val="00FC6829"/>
    <w:rsid w:val="00FC6E2B"/>
    <w:rsid w:val="00FC6EE0"/>
    <w:rsid w:val="00FC7030"/>
    <w:rsid w:val="00FC7966"/>
    <w:rsid w:val="00FC7A3F"/>
    <w:rsid w:val="00FC7BDF"/>
    <w:rsid w:val="00FC7DAB"/>
    <w:rsid w:val="00FC7ECA"/>
    <w:rsid w:val="00FD087E"/>
    <w:rsid w:val="00FD0BAE"/>
    <w:rsid w:val="00FD1341"/>
    <w:rsid w:val="00FD13C8"/>
    <w:rsid w:val="00FD1587"/>
    <w:rsid w:val="00FD1AEE"/>
    <w:rsid w:val="00FD1BCE"/>
    <w:rsid w:val="00FD238A"/>
    <w:rsid w:val="00FD240B"/>
    <w:rsid w:val="00FD246E"/>
    <w:rsid w:val="00FD2734"/>
    <w:rsid w:val="00FD2C4E"/>
    <w:rsid w:val="00FD3153"/>
    <w:rsid w:val="00FD31D8"/>
    <w:rsid w:val="00FD31E9"/>
    <w:rsid w:val="00FD344F"/>
    <w:rsid w:val="00FD3AD3"/>
    <w:rsid w:val="00FD4005"/>
    <w:rsid w:val="00FD401E"/>
    <w:rsid w:val="00FD41B7"/>
    <w:rsid w:val="00FD43DD"/>
    <w:rsid w:val="00FD4448"/>
    <w:rsid w:val="00FD46E0"/>
    <w:rsid w:val="00FD4E3D"/>
    <w:rsid w:val="00FD54F2"/>
    <w:rsid w:val="00FD550E"/>
    <w:rsid w:val="00FD5B94"/>
    <w:rsid w:val="00FD6132"/>
    <w:rsid w:val="00FD63FB"/>
    <w:rsid w:val="00FD6587"/>
    <w:rsid w:val="00FD69E7"/>
    <w:rsid w:val="00FD757B"/>
    <w:rsid w:val="00FD7746"/>
    <w:rsid w:val="00FD7850"/>
    <w:rsid w:val="00FE01A4"/>
    <w:rsid w:val="00FE0559"/>
    <w:rsid w:val="00FE095D"/>
    <w:rsid w:val="00FE0A1F"/>
    <w:rsid w:val="00FE0D59"/>
    <w:rsid w:val="00FE15CD"/>
    <w:rsid w:val="00FE1999"/>
    <w:rsid w:val="00FE2440"/>
    <w:rsid w:val="00FE275C"/>
    <w:rsid w:val="00FE3563"/>
    <w:rsid w:val="00FE36AF"/>
    <w:rsid w:val="00FE374C"/>
    <w:rsid w:val="00FE375F"/>
    <w:rsid w:val="00FE3A14"/>
    <w:rsid w:val="00FE3AF0"/>
    <w:rsid w:val="00FE3B78"/>
    <w:rsid w:val="00FE3D83"/>
    <w:rsid w:val="00FE3F16"/>
    <w:rsid w:val="00FE4280"/>
    <w:rsid w:val="00FE4A7C"/>
    <w:rsid w:val="00FE5928"/>
    <w:rsid w:val="00FE594D"/>
    <w:rsid w:val="00FE5B3D"/>
    <w:rsid w:val="00FE5D4F"/>
    <w:rsid w:val="00FE5DFF"/>
    <w:rsid w:val="00FE6009"/>
    <w:rsid w:val="00FE6394"/>
    <w:rsid w:val="00FE69F5"/>
    <w:rsid w:val="00FE6CAC"/>
    <w:rsid w:val="00FE7254"/>
    <w:rsid w:val="00FE7406"/>
    <w:rsid w:val="00FE742D"/>
    <w:rsid w:val="00FE76AE"/>
    <w:rsid w:val="00FE7A22"/>
    <w:rsid w:val="00FE7D4C"/>
    <w:rsid w:val="00FE7FB7"/>
    <w:rsid w:val="00FF0284"/>
    <w:rsid w:val="00FF057A"/>
    <w:rsid w:val="00FF07B8"/>
    <w:rsid w:val="00FF0A92"/>
    <w:rsid w:val="00FF0B23"/>
    <w:rsid w:val="00FF128B"/>
    <w:rsid w:val="00FF158A"/>
    <w:rsid w:val="00FF1ECF"/>
    <w:rsid w:val="00FF1FF4"/>
    <w:rsid w:val="00FF2127"/>
    <w:rsid w:val="00FF212F"/>
    <w:rsid w:val="00FF22F1"/>
    <w:rsid w:val="00FF2746"/>
    <w:rsid w:val="00FF300A"/>
    <w:rsid w:val="00FF3605"/>
    <w:rsid w:val="00FF3C28"/>
    <w:rsid w:val="00FF4255"/>
    <w:rsid w:val="00FF4CC5"/>
    <w:rsid w:val="00FF4D29"/>
    <w:rsid w:val="00FF507D"/>
    <w:rsid w:val="00FF513C"/>
    <w:rsid w:val="00FF56E8"/>
    <w:rsid w:val="00FF56FC"/>
    <w:rsid w:val="00FF58EF"/>
    <w:rsid w:val="00FF5B53"/>
    <w:rsid w:val="00FF62DE"/>
    <w:rsid w:val="00FF641B"/>
    <w:rsid w:val="00FF6748"/>
    <w:rsid w:val="00FF684F"/>
    <w:rsid w:val="00FF6898"/>
    <w:rsid w:val="00FF6984"/>
    <w:rsid w:val="00FF6F51"/>
    <w:rsid w:val="00FF74E4"/>
    <w:rsid w:val="00FF7519"/>
    <w:rsid w:val="00FF7876"/>
    <w:rsid w:val="017FF785"/>
    <w:rsid w:val="0198985C"/>
    <w:rsid w:val="019B7E04"/>
    <w:rsid w:val="01A5E2B7"/>
    <w:rsid w:val="01B9DB56"/>
    <w:rsid w:val="01D78D5B"/>
    <w:rsid w:val="01D7E199"/>
    <w:rsid w:val="01E1BBCA"/>
    <w:rsid w:val="02095D43"/>
    <w:rsid w:val="021015F8"/>
    <w:rsid w:val="022741BD"/>
    <w:rsid w:val="023B02DC"/>
    <w:rsid w:val="02490A8B"/>
    <w:rsid w:val="024DA151"/>
    <w:rsid w:val="02522606"/>
    <w:rsid w:val="025E2F63"/>
    <w:rsid w:val="02641CAF"/>
    <w:rsid w:val="0282405C"/>
    <w:rsid w:val="02A5A37E"/>
    <w:rsid w:val="02AE24DB"/>
    <w:rsid w:val="02D9DCA5"/>
    <w:rsid w:val="030257E5"/>
    <w:rsid w:val="0306F464"/>
    <w:rsid w:val="0333B0FB"/>
    <w:rsid w:val="033C5643"/>
    <w:rsid w:val="034F90D7"/>
    <w:rsid w:val="03B098E4"/>
    <w:rsid w:val="03C6428C"/>
    <w:rsid w:val="03C7EA08"/>
    <w:rsid w:val="03D39F87"/>
    <w:rsid w:val="03EED3D9"/>
    <w:rsid w:val="03F83D19"/>
    <w:rsid w:val="03FB5254"/>
    <w:rsid w:val="040316F5"/>
    <w:rsid w:val="0428A105"/>
    <w:rsid w:val="043A95FD"/>
    <w:rsid w:val="043D2B11"/>
    <w:rsid w:val="0459150F"/>
    <w:rsid w:val="046A76C6"/>
    <w:rsid w:val="049F30FF"/>
    <w:rsid w:val="04A2AD89"/>
    <w:rsid w:val="04A610B7"/>
    <w:rsid w:val="04AE7FD0"/>
    <w:rsid w:val="04B33637"/>
    <w:rsid w:val="04CFE83C"/>
    <w:rsid w:val="04D3F9C6"/>
    <w:rsid w:val="04EA081B"/>
    <w:rsid w:val="0506C332"/>
    <w:rsid w:val="05242B2B"/>
    <w:rsid w:val="053BECB1"/>
    <w:rsid w:val="054CE395"/>
    <w:rsid w:val="05A97245"/>
    <w:rsid w:val="05D52243"/>
    <w:rsid w:val="05E5C59D"/>
    <w:rsid w:val="05FF3E78"/>
    <w:rsid w:val="060454E1"/>
    <w:rsid w:val="06073EDA"/>
    <w:rsid w:val="060D705C"/>
    <w:rsid w:val="06152FB1"/>
    <w:rsid w:val="061B6797"/>
    <w:rsid w:val="0667A8C9"/>
    <w:rsid w:val="066FC825"/>
    <w:rsid w:val="06C13511"/>
    <w:rsid w:val="06E4FA72"/>
    <w:rsid w:val="07148E28"/>
    <w:rsid w:val="071EEA1B"/>
    <w:rsid w:val="073DFB8B"/>
    <w:rsid w:val="075200CA"/>
    <w:rsid w:val="0755321A"/>
    <w:rsid w:val="076088F9"/>
    <w:rsid w:val="07625BC7"/>
    <w:rsid w:val="07685610"/>
    <w:rsid w:val="0771A9D2"/>
    <w:rsid w:val="079934FC"/>
    <w:rsid w:val="07A0D354"/>
    <w:rsid w:val="07A76E16"/>
    <w:rsid w:val="07B791CF"/>
    <w:rsid w:val="07C1817A"/>
    <w:rsid w:val="07CAC1B5"/>
    <w:rsid w:val="07EC60B4"/>
    <w:rsid w:val="07FDBB95"/>
    <w:rsid w:val="081CD35D"/>
    <w:rsid w:val="0829C214"/>
    <w:rsid w:val="08341399"/>
    <w:rsid w:val="08564F1E"/>
    <w:rsid w:val="085BCBED"/>
    <w:rsid w:val="08AF4569"/>
    <w:rsid w:val="08B7F8A4"/>
    <w:rsid w:val="08B9A5D4"/>
    <w:rsid w:val="08BFFCD5"/>
    <w:rsid w:val="08CEC68F"/>
    <w:rsid w:val="0908A98D"/>
    <w:rsid w:val="0910354B"/>
    <w:rsid w:val="09367F6F"/>
    <w:rsid w:val="0947A15A"/>
    <w:rsid w:val="094CDF9D"/>
    <w:rsid w:val="094E3436"/>
    <w:rsid w:val="09E8A1B6"/>
    <w:rsid w:val="0A09BC55"/>
    <w:rsid w:val="0A1497FB"/>
    <w:rsid w:val="0A451168"/>
    <w:rsid w:val="0A4C2EEA"/>
    <w:rsid w:val="0A517AAC"/>
    <w:rsid w:val="0A60EF90"/>
    <w:rsid w:val="0A72111F"/>
    <w:rsid w:val="0A72D5A9"/>
    <w:rsid w:val="0ABE9DA7"/>
    <w:rsid w:val="0AEE4802"/>
    <w:rsid w:val="0AFF08AC"/>
    <w:rsid w:val="0B053CC3"/>
    <w:rsid w:val="0B19A476"/>
    <w:rsid w:val="0B1ACFBA"/>
    <w:rsid w:val="0B2E3FCB"/>
    <w:rsid w:val="0B587FDE"/>
    <w:rsid w:val="0B60F06D"/>
    <w:rsid w:val="0B709674"/>
    <w:rsid w:val="0B8B0162"/>
    <w:rsid w:val="0BB65E1F"/>
    <w:rsid w:val="0BBDCC90"/>
    <w:rsid w:val="0BC70520"/>
    <w:rsid w:val="0BD18B5C"/>
    <w:rsid w:val="0BD4793B"/>
    <w:rsid w:val="0BEC2B7A"/>
    <w:rsid w:val="0BF4A1A2"/>
    <w:rsid w:val="0BFC4FB7"/>
    <w:rsid w:val="0BFF165B"/>
    <w:rsid w:val="0C14A617"/>
    <w:rsid w:val="0C34982F"/>
    <w:rsid w:val="0C3B2B1B"/>
    <w:rsid w:val="0C3BDEC4"/>
    <w:rsid w:val="0C3CB831"/>
    <w:rsid w:val="0C5330DC"/>
    <w:rsid w:val="0C5C9A1A"/>
    <w:rsid w:val="0C5D06ED"/>
    <w:rsid w:val="0CA10D24"/>
    <w:rsid w:val="0CABE99E"/>
    <w:rsid w:val="0CB66245"/>
    <w:rsid w:val="0CBFFD32"/>
    <w:rsid w:val="0CC286B3"/>
    <w:rsid w:val="0CDB4B03"/>
    <w:rsid w:val="0CDE69EB"/>
    <w:rsid w:val="0D0B7421"/>
    <w:rsid w:val="0D0E3C38"/>
    <w:rsid w:val="0D32DFF5"/>
    <w:rsid w:val="0D402870"/>
    <w:rsid w:val="0D48A829"/>
    <w:rsid w:val="0D68B628"/>
    <w:rsid w:val="0D78942F"/>
    <w:rsid w:val="0D7DEB93"/>
    <w:rsid w:val="0D7FDE43"/>
    <w:rsid w:val="0DB11A44"/>
    <w:rsid w:val="0DCCFB94"/>
    <w:rsid w:val="0DCF7203"/>
    <w:rsid w:val="0DD8CC7C"/>
    <w:rsid w:val="0DF0BD25"/>
    <w:rsid w:val="0DF95CEA"/>
    <w:rsid w:val="0E064B4B"/>
    <w:rsid w:val="0E2537B1"/>
    <w:rsid w:val="0E686B2B"/>
    <w:rsid w:val="0E971A29"/>
    <w:rsid w:val="0EB7425E"/>
    <w:rsid w:val="0EBC12D9"/>
    <w:rsid w:val="0EBDA5EA"/>
    <w:rsid w:val="0ECEE1AA"/>
    <w:rsid w:val="0ED53B36"/>
    <w:rsid w:val="0EED35A0"/>
    <w:rsid w:val="0F1FA00D"/>
    <w:rsid w:val="0F2A5263"/>
    <w:rsid w:val="0F32C5A8"/>
    <w:rsid w:val="0F389587"/>
    <w:rsid w:val="0F488C23"/>
    <w:rsid w:val="0F4BB2B4"/>
    <w:rsid w:val="0F51E10C"/>
    <w:rsid w:val="0F5CD86F"/>
    <w:rsid w:val="0F6DA0DE"/>
    <w:rsid w:val="0F94E5E7"/>
    <w:rsid w:val="0FA620BE"/>
    <w:rsid w:val="0FAFD5CC"/>
    <w:rsid w:val="0FB0E24B"/>
    <w:rsid w:val="0FDA04F6"/>
    <w:rsid w:val="0FED2669"/>
    <w:rsid w:val="10014ED2"/>
    <w:rsid w:val="100F8733"/>
    <w:rsid w:val="101AD94B"/>
    <w:rsid w:val="103DD0CC"/>
    <w:rsid w:val="105C1350"/>
    <w:rsid w:val="1060724A"/>
    <w:rsid w:val="1071283D"/>
    <w:rsid w:val="1083D97F"/>
    <w:rsid w:val="10A99956"/>
    <w:rsid w:val="10DC0F16"/>
    <w:rsid w:val="10E340BC"/>
    <w:rsid w:val="1101EBE5"/>
    <w:rsid w:val="110D7EC8"/>
    <w:rsid w:val="1124F149"/>
    <w:rsid w:val="11303165"/>
    <w:rsid w:val="1133B5C3"/>
    <w:rsid w:val="113E4270"/>
    <w:rsid w:val="1140EC83"/>
    <w:rsid w:val="11451DA1"/>
    <w:rsid w:val="1177A78D"/>
    <w:rsid w:val="118062FF"/>
    <w:rsid w:val="11885C13"/>
    <w:rsid w:val="1189D368"/>
    <w:rsid w:val="11A13FF5"/>
    <w:rsid w:val="11A36B3D"/>
    <w:rsid w:val="11A8CF2A"/>
    <w:rsid w:val="11B98F54"/>
    <w:rsid w:val="11FBEAC6"/>
    <w:rsid w:val="120E6F09"/>
    <w:rsid w:val="12196445"/>
    <w:rsid w:val="1235B412"/>
    <w:rsid w:val="1275A8D5"/>
    <w:rsid w:val="12914442"/>
    <w:rsid w:val="12A0F3C6"/>
    <w:rsid w:val="12E97CA8"/>
    <w:rsid w:val="12F9B567"/>
    <w:rsid w:val="130CFFA1"/>
    <w:rsid w:val="131062F5"/>
    <w:rsid w:val="13126437"/>
    <w:rsid w:val="132B65CB"/>
    <w:rsid w:val="1337789D"/>
    <w:rsid w:val="134A8C87"/>
    <w:rsid w:val="1352B518"/>
    <w:rsid w:val="135638B3"/>
    <w:rsid w:val="13654257"/>
    <w:rsid w:val="13872248"/>
    <w:rsid w:val="140CEC83"/>
    <w:rsid w:val="1436989C"/>
    <w:rsid w:val="143FEE75"/>
    <w:rsid w:val="14509546"/>
    <w:rsid w:val="14577579"/>
    <w:rsid w:val="145FF3C7"/>
    <w:rsid w:val="14601906"/>
    <w:rsid w:val="14628D7E"/>
    <w:rsid w:val="1479192A"/>
    <w:rsid w:val="148A68D4"/>
    <w:rsid w:val="14C9440F"/>
    <w:rsid w:val="14CB571E"/>
    <w:rsid w:val="14E26C6C"/>
    <w:rsid w:val="14F6414C"/>
    <w:rsid w:val="150C5F66"/>
    <w:rsid w:val="151FA6A5"/>
    <w:rsid w:val="157288D6"/>
    <w:rsid w:val="1577CA97"/>
    <w:rsid w:val="157F54E9"/>
    <w:rsid w:val="1590C53B"/>
    <w:rsid w:val="159DE340"/>
    <w:rsid w:val="15A0A664"/>
    <w:rsid w:val="15B0DA5B"/>
    <w:rsid w:val="15B4AAC0"/>
    <w:rsid w:val="15C13CE3"/>
    <w:rsid w:val="15D81D8B"/>
    <w:rsid w:val="15DBA389"/>
    <w:rsid w:val="15E2486C"/>
    <w:rsid w:val="1611A9FB"/>
    <w:rsid w:val="16261716"/>
    <w:rsid w:val="16398A48"/>
    <w:rsid w:val="16723810"/>
    <w:rsid w:val="167E3CCD"/>
    <w:rsid w:val="1680E5FF"/>
    <w:rsid w:val="16A264B8"/>
    <w:rsid w:val="16B53B88"/>
    <w:rsid w:val="16D88F82"/>
    <w:rsid w:val="16E6AF2E"/>
    <w:rsid w:val="16F969E5"/>
    <w:rsid w:val="170A4AAD"/>
    <w:rsid w:val="170E6362"/>
    <w:rsid w:val="172164A1"/>
    <w:rsid w:val="1725369D"/>
    <w:rsid w:val="17685600"/>
    <w:rsid w:val="17709367"/>
    <w:rsid w:val="178B87AD"/>
    <w:rsid w:val="178F163B"/>
    <w:rsid w:val="17950153"/>
    <w:rsid w:val="17985FF2"/>
    <w:rsid w:val="17A1867D"/>
    <w:rsid w:val="17AF5B83"/>
    <w:rsid w:val="17B0B9EC"/>
    <w:rsid w:val="17B0F3FE"/>
    <w:rsid w:val="17DE4F08"/>
    <w:rsid w:val="17FED6EE"/>
    <w:rsid w:val="18088971"/>
    <w:rsid w:val="182AD7CB"/>
    <w:rsid w:val="18304BE4"/>
    <w:rsid w:val="18469AFC"/>
    <w:rsid w:val="185D00EB"/>
    <w:rsid w:val="187A19AB"/>
    <w:rsid w:val="18818DBA"/>
    <w:rsid w:val="18B735DD"/>
    <w:rsid w:val="18BFC249"/>
    <w:rsid w:val="18D9116F"/>
    <w:rsid w:val="191A61CC"/>
    <w:rsid w:val="19323E90"/>
    <w:rsid w:val="1951F972"/>
    <w:rsid w:val="195EE5A9"/>
    <w:rsid w:val="196E8DD8"/>
    <w:rsid w:val="19999A21"/>
    <w:rsid w:val="199CB532"/>
    <w:rsid w:val="19B5DD8F"/>
    <w:rsid w:val="19C60C14"/>
    <w:rsid w:val="19E98920"/>
    <w:rsid w:val="19F7A123"/>
    <w:rsid w:val="19F971CA"/>
    <w:rsid w:val="1A5117DD"/>
    <w:rsid w:val="1A5C4CCE"/>
    <w:rsid w:val="1A656849"/>
    <w:rsid w:val="1A7B9F3E"/>
    <w:rsid w:val="1AC04097"/>
    <w:rsid w:val="1AC3869A"/>
    <w:rsid w:val="1AD00BC4"/>
    <w:rsid w:val="1AFC3AE0"/>
    <w:rsid w:val="1B017494"/>
    <w:rsid w:val="1B124DA8"/>
    <w:rsid w:val="1B161537"/>
    <w:rsid w:val="1B21455C"/>
    <w:rsid w:val="1B30B5AE"/>
    <w:rsid w:val="1B6A6613"/>
    <w:rsid w:val="1B80DA72"/>
    <w:rsid w:val="1B821687"/>
    <w:rsid w:val="1B9A95E1"/>
    <w:rsid w:val="1B9D2BD4"/>
    <w:rsid w:val="1BB1BA6D"/>
    <w:rsid w:val="1BC2AD98"/>
    <w:rsid w:val="1BD4301B"/>
    <w:rsid w:val="1BE5DB31"/>
    <w:rsid w:val="1BF2CA0F"/>
    <w:rsid w:val="1C2C2543"/>
    <w:rsid w:val="1C39F788"/>
    <w:rsid w:val="1C5902A7"/>
    <w:rsid w:val="1C677657"/>
    <w:rsid w:val="1C70C1B6"/>
    <w:rsid w:val="1C7937D5"/>
    <w:rsid w:val="1C7C41B1"/>
    <w:rsid w:val="1C86313F"/>
    <w:rsid w:val="1C9AF110"/>
    <w:rsid w:val="1CAC00AD"/>
    <w:rsid w:val="1CE92C50"/>
    <w:rsid w:val="1CEA827E"/>
    <w:rsid w:val="1D70007C"/>
    <w:rsid w:val="1DEDD2EF"/>
    <w:rsid w:val="1DF601BA"/>
    <w:rsid w:val="1E1758AC"/>
    <w:rsid w:val="1E5F3271"/>
    <w:rsid w:val="1E831F81"/>
    <w:rsid w:val="1ED236A3"/>
    <w:rsid w:val="1EEA781E"/>
    <w:rsid w:val="1EF2CA3B"/>
    <w:rsid w:val="1EFD6EAB"/>
    <w:rsid w:val="1F16083F"/>
    <w:rsid w:val="1F1C5676"/>
    <w:rsid w:val="1F385F20"/>
    <w:rsid w:val="1F50C5EC"/>
    <w:rsid w:val="1FD36B65"/>
    <w:rsid w:val="1FE8719F"/>
    <w:rsid w:val="1FFC0775"/>
    <w:rsid w:val="2043DEDA"/>
    <w:rsid w:val="204C8009"/>
    <w:rsid w:val="20500E2C"/>
    <w:rsid w:val="2057C6F7"/>
    <w:rsid w:val="205EC34B"/>
    <w:rsid w:val="2075F48A"/>
    <w:rsid w:val="208822E7"/>
    <w:rsid w:val="208F5254"/>
    <w:rsid w:val="2096DF1E"/>
    <w:rsid w:val="20A7A13E"/>
    <w:rsid w:val="20D38346"/>
    <w:rsid w:val="20D5AF21"/>
    <w:rsid w:val="20D981BE"/>
    <w:rsid w:val="20D9B1AB"/>
    <w:rsid w:val="20DD3B07"/>
    <w:rsid w:val="20DECD80"/>
    <w:rsid w:val="20E987C5"/>
    <w:rsid w:val="21332E46"/>
    <w:rsid w:val="2142D500"/>
    <w:rsid w:val="214CE342"/>
    <w:rsid w:val="21697F67"/>
    <w:rsid w:val="219EE473"/>
    <w:rsid w:val="21ACC4E0"/>
    <w:rsid w:val="21C09565"/>
    <w:rsid w:val="21C1438B"/>
    <w:rsid w:val="21D58D4D"/>
    <w:rsid w:val="21EA84B5"/>
    <w:rsid w:val="2265710D"/>
    <w:rsid w:val="22658AA0"/>
    <w:rsid w:val="22717CBE"/>
    <w:rsid w:val="2281363D"/>
    <w:rsid w:val="2291B25E"/>
    <w:rsid w:val="22A36902"/>
    <w:rsid w:val="231E5585"/>
    <w:rsid w:val="232BA613"/>
    <w:rsid w:val="232F7EF2"/>
    <w:rsid w:val="235E894B"/>
    <w:rsid w:val="239241DD"/>
    <w:rsid w:val="23C38E19"/>
    <w:rsid w:val="23D5F4AF"/>
    <w:rsid w:val="23E2E37A"/>
    <w:rsid w:val="23EA0657"/>
    <w:rsid w:val="23FCE0D0"/>
    <w:rsid w:val="23FFE7A9"/>
    <w:rsid w:val="24066160"/>
    <w:rsid w:val="24327CE2"/>
    <w:rsid w:val="2435EE12"/>
    <w:rsid w:val="2448C711"/>
    <w:rsid w:val="2449C4B5"/>
    <w:rsid w:val="24606E26"/>
    <w:rsid w:val="24614D65"/>
    <w:rsid w:val="24654CF4"/>
    <w:rsid w:val="2488D16C"/>
    <w:rsid w:val="249BF625"/>
    <w:rsid w:val="24AEEC9A"/>
    <w:rsid w:val="24FA03AA"/>
    <w:rsid w:val="251A93BE"/>
    <w:rsid w:val="252DE362"/>
    <w:rsid w:val="252F8A05"/>
    <w:rsid w:val="2534D2D6"/>
    <w:rsid w:val="2535B8FC"/>
    <w:rsid w:val="25CC059F"/>
    <w:rsid w:val="25D6854E"/>
    <w:rsid w:val="25DEFAA4"/>
    <w:rsid w:val="25DF43D9"/>
    <w:rsid w:val="2620D1BF"/>
    <w:rsid w:val="2632E663"/>
    <w:rsid w:val="263672EB"/>
    <w:rsid w:val="26510F48"/>
    <w:rsid w:val="26A4918D"/>
    <w:rsid w:val="26FAF8CA"/>
    <w:rsid w:val="272DD739"/>
    <w:rsid w:val="2744017C"/>
    <w:rsid w:val="2762280D"/>
    <w:rsid w:val="276A343B"/>
    <w:rsid w:val="276DF2E1"/>
    <w:rsid w:val="27A39B49"/>
    <w:rsid w:val="27B5A2DF"/>
    <w:rsid w:val="27C0FE95"/>
    <w:rsid w:val="27C9FDE3"/>
    <w:rsid w:val="27D48220"/>
    <w:rsid w:val="27F40A59"/>
    <w:rsid w:val="2829B6AD"/>
    <w:rsid w:val="28545C12"/>
    <w:rsid w:val="2867DE12"/>
    <w:rsid w:val="287BA819"/>
    <w:rsid w:val="28840C54"/>
    <w:rsid w:val="289C609F"/>
    <w:rsid w:val="28A2BB4C"/>
    <w:rsid w:val="28D358CC"/>
    <w:rsid w:val="28D47E2B"/>
    <w:rsid w:val="28EA3912"/>
    <w:rsid w:val="28F97830"/>
    <w:rsid w:val="28F9E02E"/>
    <w:rsid w:val="29085269"/>
    <w:rsid w:val="29147CE0"/>
    <w:rsid w:val="29220645"/>
    <w:rsid w:val="292E69B1"/>
    <w:rsid w:val="297A510C"/>
    <w:rsid w:val="298C987B"/>
    <w:rsid w:val="29F14426"/>
    <w:rsid w:val="2A2861C9"/>
    <w:rsid w:val="2A35A006"/>
    <w:rsid w:val="2A413C82"/>
    <w:rsid w:val="2A4E8384"/>
    <w:rsid w:val="2AB43846"/>
    <w:rsid w:val="2AB63897"/>
    <w:rsid w:val="2ADED5E9"/>
    <w:rsid w:val="2AEA6A59"/>
    <w:rsid w:val="2B1731DC"/>
    <w:rsid w:val="2B26B361"/>
    <w:rsid w:val="2B49C3C3"/>
    <w:rsid w:val="2B6F2633"/>
    <w:rsid w:val="2B772868"/>
    <w:rsid w:val="2BA030C7"/>
    <w:rsid w:val="2BD9190E"/>
    <w:rsid w:val="2C04D82F"/>
    <w:rsid w:val="2C0AF98E"/>
    <w:rsid w:val="2C156869"/>
    <w:rsid w:val="2C1DDA82"/>
    <w:rsid w:val="2C7AA64A"/>
    <w:rsid w:val="2C7E8244"/>
    <w:rsid w:val="2C9A4ED9"/>
    <w:rsid w:val="2C9AB380"/>
    <w:rsid w:val="2CA34ACA"/>
    <w:rsid w:val="2CBB5645"/>
    <w:rsid w:val="2CC79B8A"/>
    <w:rsid w:val="2CFAB15E"/>
    <w:rsid w:val="2D2B00A0"/>
    <w:rsid w:val="2D5759F8"/>
    <w:rsid w:val="2D629AB9"/>
    <w:rsid w:val="2D85753D"/>
    <w:rsid w:val="2D9F0C56"/>
    <w:rsid w:val="2DAC395A"/>
    <w:rsid w:val="2DB0361A"/>
    <w:rsid w:val="2DBB89E5"/>
    <w:rsid w:val="2DD4835E"/>
    <w:rsid w:val="2DF06AB1"/>
    <w:rsid w:val="2DFEEC3C"/>
    <w:rsid w:val="2E2E1DBD"/>
    <w:rsid w:val="2E305703"/>
    <w:rsid w:val="2E5FA848"/>
    <w:rsid w:val="2E603661"/>
    <w:rsid w:val="2E8B8AFB"/>
    <w:rsid w:val="2E998F21"/>
    <w:rsid w:val="2EA1025F"/>
    <w:rsid w:val="2EDFAEA6"/>
    <w:rsid w:val="2EF7058E"/>
    <w:rsid w:val="2EF91766"/>
    <w:rsid w:val="2EFF8547"/>
    <w:rsid w:val="2EFFE554"/>
    <w:rsid w:val="2F05A19E"/>
    <w:rsid w:val="2F0E46C0"/>
    <w:rsid w:val="2F1C4913"/>
    <w:rsid w:val="2F2FF09B"/>
    <w:rsid w:val="2F3DC25F"/>
    <w:rsid w:val="2F3DFD16"/>
    <w:rsid w:val="2F4BDF0B"/>
    <w:rsid w:val="2F4E0C35"/>
    <w:rsid w:val="2F67FBC5"/>
    <w:rsid w:val="2FB3E320"/>
    <w:rsid w:val="2FD50E3A"/>
    <w:rsid w:val="2FDB046B"/>
    <w:rsid w:val="2FF34290"/>
    <w:rsid w:val="2FFB0AA3"/>
    <w:rsid w:val="30047CC3"/>
    <w:rsid w:val="3019F40C"/>
    <w:rsid w:val="301BC8AF"/>
    <w:rsid w:val="3020AD16"/>
    <w:rsid w:val="30289BAD"/>
    <w:rsid w:val="3038470A"/>
    <w:rsid w:val="30433D94"/>
    <w:rsid w:val="3053FB00"/>
    <w:rsid w:val="306C8528"/>
    <w:rsid w:val="30C06A63"/>
    <w:rsid w:val="30CF3E43"/>
    <w:rsid w:val="31012887"/>
    <w:rsid w:val="3134FA7E"/>
    <w:rsid w:val="315C8525"/>
    <w:rsid w:val="315C85A8"/>
    <w:rsid w:val="318F124D"/>
    <w:rsid w:val="31C9C8E3"/>
    <w:rsid w:val="31CAAD50"/>
    <w:rsid w:val="31D5493F"/>
    <w:rsid w:val="31FEF3BD"/>
    <w:rsid w:val="32063710"/>
    <w:rsid w:val="3226AAC8"/>
    <w:rsid w:val="324A2167"/>
    <w:rsid w:val="326012C3"/>
    <w:rsid w:val="32C6F1AC"/>
    <w:rsid w:val="32E70485"/>
    <w:rsid w:val="32F63D99"/>
    <w:rsid w:val="3354D5A8"/>
    <w:rsid w:val="335F0A84"/>
    <w:rsid w:val="336A5409"/>
    <w:rsid w:val="338F7AF8"/>
    <w:rsid w:val="33A1BA9E"/>
    <w:rsid w:val="33A4046E"/>
    <w:rsid w:val="33B9CE0D"/>
    <w:rsid w:val="33BD2CCB"/>
    <w:rsid w:val="33BDF05C"/>
    <w:rsid w:val="33C31D81"/>
    <w:rsid w:val="33CCD828"/>
    <w:rsid w:val="33D4B1B2"/>
    <w:rsid w:val="33D7EF61"/>
    <w:rsid w:val="34071729"/>
    <w:rsid w:val="343B19C2"/>
    <w:rsid w:val="343C0356"/>
    <w:rsid w:val="343C476C"/>
    <w:rsid w:val="347F388D"/>
    <w:rsid w:val="34A124E5"/>
    <w:rsid w:val="34A5D714"/>
    <w:rsid w:val="34B8C6A4"/>
    <w:rsid w:val="34DB7BA8"/>
    <w:rsid w:val="3513ED4E"/>
    <w:rsid w:val="3517C569"/>
    <w:rsid w:val="352C3203"/>
    <w:rsid w:val="3580C5A3"/>
    <w:rsid w:val="35812B2D"/>
    <w:rsid w:val="35D1180D"/>
    <w:rsid w:val="35D5A6D2"/>
    <w:rsid w:val="35FE2CF1"/>
    <w:rsid w:val="3601AC22"/>
    <w:rsid w:val="362136FC"/>
    <w:rsid w:val="362D077C"/>
    <w:rsid w:val="3682B3A1"/>
    <w:rsid w:val="368622D4"/>
    <w:rsid w:val="368BFF2F"/>
    <w:rsid w:val="369217AD"/>
    <w:rsid w:val="3698D950"/>
    <w:rsid w:val="369AA01D"/>
    <w:rsid w:val="369BE9A4"/>
    <w:rsid w:val="36A30084"/>
    <w:rsid w:val="36A7EB06"/>
    <w:rsid w:val="36B5D9BF"/>
    <w:rsid w:val="36D697BE"/>
    <w:rsid w:val="36DC4086"/>
    <w:rsid w:val="36E10205"/>
    <w:rsid w:val="36EC47F5"/>
    <w:rsid w:val="36EFAF10"/>
    <w:rsid w:val="36F5FB82"/>
    <w:rsid w:val="37127E64"/>
    <w:rsid w:val="3723A4F5"/>
    <w:rsid w:val="37315F08"/>
    <w:rsid w:val="3740FCE9"/>
    <w:rsid w:val="3745BEAF"/>
    <w:rsid w:val="3748D444"/>
    <w:rsid w:val="3749905E"/>
    <w:rsid w:val="376B8699"/>
    <w:rsid w:val="376ED707"/>
    <w:rsid w:val="377A032B"/>
    <w:rsid w:val="377DE721"/>
    <w:rsid w:val="379B90E2"/>
    <w:rsid w:val="37A114F6"/>
    <w:rsid w:val="37B2506A"/>
    <w:rsid w:val="37B272C4"/>
    <w:rsid w:val="37D7877F"/>
    <w:rsid w:val="37F0F7DD"/>
    <w:rsid w:val="37F112BA"/>
    <w:rsid w:val="380741C3"/>
    <w:rsid w:val="380F1E6E"/>
    <w:rsid w:val="3814F70D"/>
    <w:rsid w:val="38171CDA"/>
    <w:rsid w:val="383C6CD3"/>
    <w:rsid w:val="3850D2BC"/>
    <w:rsid w:val="386CBA7F"/>
    <w:rsid w:val="387E01DC"/>
    <w:rsid w:val="38901CA1"/>
    <w:rsid w:val="389EBA9A"/>
    <w:rsid w:val="38AAC6E7"/>
    <w:rsid w:val="38ACEB18"/>
    <w:rsid w:val="38B616D8"/>
    <w:rsid w:val="38C540D4"/>
    <w:rsid w:val="38CFE49B"/>
    <w:rsid w:val="38D05439"/>
    <w:rsid w:val="38E2B387"/>
    <w:rsid w:val="392DD6AB"/>
    <w:rsid w:val="394A60DA"/>
    <w:rsid w:val="397453FF"/>
    <w:rsid w:val="39913696"/>
    <w:rsid w:val="3991AAC7"/>
    <w:rsid w:val="399A2432"/>
    <w:rsid w:val="399A2A80"/>
    <w:rsid w:val="39B4D64B"/>
    <w:rsid w:val="39BC8268"/>
    <w:rsid w:val="3A0BF389"/>
    <w:rsid w:val="3A14B24B"/>
    <w:rsid w:val="3A4AB36A"/>
    <w:rsid w:val="3A4D00EF"/>
    <w:rsid w:val="3A587A4A"/>
    <w:rsid w:val="3A743ED2"/>
    <w:rsid w:val="3A7CBDFD"/>
    <w:rsid w:val="3AABD459"/>
    <w:rsid w:val="3B35D0A9"/>
    <w:rsid w:val="3B35F493"/>
    <w:rsid w:val="3B39CB6E"/>
    <w:rsid w:val="3B48EF54"/>
    <w:rsid w:val="3B82E737"/>
    <w:rsid w:val="3BA723D0"/>
    <w:rsid w:val="3C07A001"/>
    <w:rsid w:val="3C14260B"/>
    <w:rsid w:val="3C5F1147"/>
    <w:rsid w:val="3C747BEF"/>
    <w:rsid w:val="3C7EA4BE"/>
    <w:rsid w:val="3CB976ED"/>
    <w:rsid w:val="3CC15C1A"/>
    <w:rsid w:val="3CC91AB0"/>
    <w:rsid w:val="3CCE8485"/>
    <w:rsid w:val="3CE28F91"/>
    <w:rsid w:val="3CF10FF3"/>
    <w:rsid w:val="3CF367C4"/>
    <w:rsid w:val="3CFD11B3"/>
    <w:rsid w:val="3D0EAAB6"/>
    <w:rsid w:val="3D60D23E"/>
    <w:rsid w:val="3D89EA49"/>
    <w:rsid w:val="3DA43596"/>
    <w:rsid w:val="3DA6DAF1"/>
    <w:rsid w:val="3DAEFA4D"/>
    <w:rsid w:val="3DB21B83"/>
    <w:rsid w:val="3DBF4134"/>
    <w:rsid w:val="3DC6CD45"/>
    <w:rsid w:val="3DF272D5"/>
    <w:rsid w:val="3DFC4E01"/>
    <w:rsid w:val="3DFDEB60"/>
    <w:rsid w:val="3E125ECD"/>
    <w:rsid w:val="3E163419"/>
    <w:rsid w:val="3E1CF186"/>
    <w:rsid w:val="3E5D0BB8"/>
    <w:rsid w:val="3E5E93BC"/>
    <w:rsid w:val="3E611F55"/>
    <w:rsid w:val="3E6A3AD0"/>
    <w:rsid w:val="3E722856"/>
    <w:rsid w:val="3E7647AD"/>
    <w:rsid w:val="3EA8202B"/>
    <w:rsid w:val="3EC77F8D"/>
    <w:rsid w:val="3EE96F04"/>
    <w:rsid w:val="3EF7C016"/>
    <w:rsid w:val="3F0629D8"/>
    <w:rsid w:val="3F1516DE"/>
    <w:rsid w:val="3F1E35C3"/>
    <w:rsid w:val="3F221BAA"/>
    <w:rsid w:val="3F2FC9E3"/>
    <w:rsid w:val="3F499E35"/>
    <w:rsid w:val="3F77640C"/>
    <w:rsid w:val="3F8AD407"/>
    <w:rsid w:val="3F9630BC"/>
    <w:rsid w:val="3F96B209"/>
    <w:rsid w:val="3FB4E03F"/>
    <w:rsid w:val="3FD20B35"/>
    <w:rsid w:val="3FD6D88E"/>
    <w:rsid w:val="3FE10653"/>
    <w:rsid w:val="3FEE0DA7"/>
    <w:rsid w:val="3FF043A7"/>
    <w:rsid w:val="40186E35"/>
    <w:rsid w:val="4034B275"/>
    <w:rsid w:val="4051F28C"/>
    <w:rsid w:val="4058A30D"/>
    <w:rsid w:val="4061B2C8"/>
    <w:rsid w:val="407E40EE"/>
    <w:rsid w:val="40820629"/>
    <w:rsid w:val="4088F5AA"/>
    <w:rsid w:val="40AE7D46"/>
    <w:rsid w:val="40BC2DC9"/>
    <w:rsid w:val="40CB1438"/>
    <w:rsid w:val="40D00582"/>
    <w:rsid w:val="40DE7BB3"/>
    <w:rsid w:val="40DFA9A8"/>
    <w:rsid w:val="40E89509"/>
    <w:rsid w:val="414A4D23"/>
    <w:rsid w:val="414ED859"/>
    <w:rsid w:val="41606DDE"/>
    <w:rsid w:val="416FDED6"/>
    <w:rsid w:val="41878540"/>
    <w:rsid w:val="41B9AC2C"/>
    <w:rsid w:val="41CC8F30"/>
    <w:rsid w:val="41D3EA86"/>
    <w:rsid w:val="41DD2014"/>
    <w:rsid w:val="41F1D000"/>
    <w:rsid w:val="421B1B04"/>
    <w:rsid w:val="421FC430"/>
    <w:rsid w:val="42533937"/>
    <w:rsid w:val="42B488E4"/>
    <w:rsid w:val="42C6336F"/>
    <w:rsid w:val="42CE52CB"/>
    <w:rsid w:val="42D5ECE4"/>
    <w:rsid w:val="42EAD6CC"/>
    <w:rsid w:val="42FC4CF2"/>
    <w:rsid w:val="43309D9E"/>
    <w:rsid w:val="436C5337"/>
    <w:rsid w:val="43785877"/>
    <w:rsid w:val="437A22FC"/>
    <w:rsid w:val="43B726AB"/>
    <w:rsid w:val="43BB29F2"/>
    <w:rsid w:val="43BB9491"/>
    <w:rsid w:val="43DF5D59"/>
    <w:rsid w:val="4422ABE0"/>
    <w:rsid w:val="44465FCD"/>
    <w:rsid w:val="444A9743"/>
    <w:rsid w:val="4456CEDF"/>
    <w:rsid w:val="4469A1DF"/>
    <w:rsid w:val="446F4618"/>
    <w:rsid w:val="447B06FE"/>
    <w:rsid w:val="448FF16E"/>
    <w:rsid w:val="44944565"/>
    <w:rsid w:val="449906D7"/>
    <w:rsid w:val="44A2C8E4"/>
    <w:rsid w:val="44CB9C02"/>
    <w:rsid w:val="44DCD6D9"/>
    <w:rsid w:val="44E06DBB"/>
    <w:rsid w:val="44E7A628"/>
    <w:rsid w:val="44F58EFC"/>
    <w:rsid w:val="4523A9FC"/>
    <w:rsid w:val="452ECD92"/>
    <w:rsid w:val="4561DAB8"/>
    <w:rsid w:val="45790717"/>
    <w:rsid w:val="457A869A"/>
    <w:rsid w:val="458D4A84"/>
    <w:rsid w:val="45B63E6A"/>
    <w:rsid w:val="45BB603B"/>
    <w:rsid w:val="45CC662A"/>
    <w:rsid w:val="45F29F40"/>
    <w:rsid w:val="45F9C22C"/>
    <w:rsid w:val="460BD493"/>
    <w:rsid w:val="460F8647"/>
    <w:rsid w:val="461FEE3B"/>
    <w:rsid w:val="464490D9"/>
    <w:rsid w:val="465740F2"/>
    <w:rsid w:val="466A82EC"/>
    <w:rsid w:val="46886946"/>
    <w:rsid w:val="469B1797"/>
    <w:rsid w:val="46E71A6E"/>
    <w:rsid w:val="46F020DE"/>
    <w:rsid w:val="46F7AA82"/>
    <w:rsid w:val="470E0AEE"/>
    <w:rsid w:val="472028C3"/>
    <w:rsid w:val="47270BE3"/>
    <w:rsid w:val="473D1843"/>
    <w:rsid w:val="474DBD37"/>
    <w:rsid w:val="475E05F2"/>
    <w:rsid w:val="476A338B"/>
    <w:rsid w:val="4782F98F"/>
    <w:rsid w:val="47932F7B"/>
    <w:rsid w:val="479EAB9A"/>
    <w:rsid w:val="47A518D5"/>
    <w:rsid w:val="47B6F615"/>
    <w:rsid w:val="47D051FA"/>
    <w:rsid w:val="47E23814"/>
    <w:rsid w:val="4802102A"/>
    <w:rsid w:val="4808FDBA"/>
    <w:rsid w:val="482129F8"/>
    <w:rsid w:val="483F1C78"/>
    <w:rsid w:val="484689F1"/>
    <w:rsid w:val="4853C63C"/>
    <w:rsid w:val="4862D784"/>
    <w:rsid w:val="489C132C"/>
    <w:rsid w:val="48A384E5"/>
    <w:rsid w:val="48BBF924"/>
    <w:rsid w:val="48BFF183"/>
    <w:rsid w:val="48C2E045"/>
    <w:rsid w:val="48C486A2"/>
    <w:rsid w:val="48CE0282"/>
    <w:rsid w:val="48D5AD66"/>
    <w:rsid w:val="48FE24F6"/>
    <w:rsid w:val="4931F158"/>
    <w:rsid w:val="4942BDA8"/>
    <w:rsid w:val="4960C1AE"/>
    <w:rsid w:val="496EC03C"/>
    <w:rsid w:val="4970ACB1"/>
    <w:rsid w:val="4979AB0E"/>
    <w:rsid w:val="497E1F7B"/>
    <w:rsid w:val="49B3569E"/>
    <w:rsid w:val="49C11299"/>
    <w:rsid w:val="49C9001F"/>
    <w:rsid w:val="49CF273D"/>
    <w:rsid w:val="4A0AAEA6"/>
    <w:rsid w:val="4A0FD0B5"/>
    <w:rsid w:val="4A328537"/>
    <w:rsid w:val="4A3630A2"/>
    <w:rsid w:val="4A3A3993"/>
    <w:rsid w:val="4A438E38"/>
    <w:rsid w:val="4A49E7B2"/>
    <w:rsid w:val="4A509559"/>
    <w:rsid w:val="4A5B4C14"/>
    <w:rsid w:val="4A9B70C1"/>
    <w:rsid w:val="4AB4C25E"/>
    <w:rsid w:val="4ACD86AE"/>
    <w:rsid w:val="4ADAD5C7"/>
    <w:rsid w:val="4AE322C1"/>
    <w:rsid w:val="4AFA447F"/>
    <w:rsid w:val="4AFE4E17"/>
    <w:rsid w:val="4B27CB75"/>
    <w:rsid w:val="4B32F000"/>
    <w:rsid w:val="4B461A13"/>
    <w:rsid w:val="4B499E71"/>
    <w:rsid w:val="4B49E97E"/>
    <w:rsid w:val="4B69140A"/>
    <w:rsid w:val="4B927B1F"/>
    <w:rsid w:val="4BBF436F"/>
    <w:rsid w:val="4BC25475"/>
    <w:rsid w:val="4BCBDB28"/>
    <w:rsid w:val="4BEC126F"/>
    <w:rsid w:val="4BF9B3E3"/>
    <w:rsid w:val="4BFBE7BD"/>
    <w:rsid w:val="4C027F89"/>
    <w:rsid w:val="4C1736CA"/>
    <w:rsid w:val="4C2BF715"/>
    <w:rsid w:val="4C2DC6CA"/>
    <w:rsid w:val="4C4D1B1E"/>
    <w:rsid w:val="4C6ACAA7"/>
    <w:rsid w:val="4C6EB705"/>
    <w:rsid w:val="4C72DE5F"/>
    <w:rsid w:val="4CCEC061"/>
    <w:rsid w:val="4CD35362"/>
    <w:rsid w:val="4CDC6EDD"/>
    <w:rsid w:val="4CFFB2BA"/>
    <w:rsid w:val="4D0E0D35"/>
    <w:rsid w:val="4D1E3E9E"/>
    <w:rsid w:val="4D4DDC09"/>
    <w:rsid w:val="4D83E4DC"/>
    <w:rsid w:val="4DFC4FB0"/>
    <w:rsid w:val="4DFC9ABD"/>
    <w:rsid w:val="4E1271CB"/>
    <w:rsid w:val="4E14D4C3"/>
    <w:rsid w:val="4E1A20ED"/>
    <w:rsid w:val="4E1CB519"/>
    <w:rsid w:val="4E27779C"/>
    <w:rsid w:val="4E2F2F6E"/>
    <w:rsid w:val="4E42315F"/>
    <w:rsid w:val="4E51909E"/>
    <w:rsid w:val="4E637CAF"/>
    <w:rsid w:val="4E754B67"/>
    <w:rsid w:val="4E884C20"/>
    <w:rsid w:val="4EADAC19"/>
    <w:rsid w:val="4EC5F7DE"/>
    <w:rsid w:val="4ECCE285"/>
    <w:rsid w:val="4EE247AA"/>
    <w:rsid w:val="4EE7278F"/>
    <w:rsid w:val="4EE82DAF"/>
    <w:rsid w:val="4F02DEDC"/>
    <w:rsid w:val="4F480D87"/>
    <w:rsid w:val="4F5AE62E"/>
    <w:rsid w:val="4F754570"/>
    <w:rsid w:val="4F7E158F"/>
    <w:rsid w:val="4F8782DD"/>
    <w:rsid w:val="4FA1D0BB"/>
    <w:rsid w:val="4FCCF05C"/>
    <w:rsid w:val="4FDE01C0"/>
    <w:rsid w:val="4FE0681D"/>
    <w:rsid w:val="501DDC47"/>
    <w:rsid w:val="5027548A"/>
    <w:rsid w:val="503428EB"/>
    <w:rsid w:val="503B890E"/>
    <w:rsid w:val="5061FEBB"/>
    <w:rsid w:val="508E556E"/>
    <w:rsid w:val="509436AF"/>
    <w:rsid w:val="50A1C6BB"/>
    <w:rsid w:val="50D1B469"/>
    <w:rsid w:val="50DB00EB"/>
    <w:rsid w:val="50EC37AB"/>
    <w:rsid w:val="5107595A"/>
    <w:rsid w:val="51241710"/>
    <w:rsid w:val="516D2FE5"/>
    <w:rsid w:val="51893160"/>
    <w:rsid w:val="519F67C8"/>
    <w:rsid w:val="51DF5AED"/>
    <w:rsid w:val="51E287E5"/>
    <w:rsid w:val="51FAA77E"/>
    <w:rsid w:val="520A7C7A"/>
    <w:rsid w:val="52243CE9"/>
    <w:rsid w:val="5231108C"/>
    <w:rsid w:val="525BC0AA"/>
    <w:rsid w:val="527A570E"/>
    <w:rsid w:val="5288080C"/>
    <w:rsid w:val="52894CA1"/>
    <w:rsid w:val="528E4531"/>
    <w:rsid w:val="52C6920D"/>
    <w:rsid w:val="53109EB2"/>
    <w:rsid w:val="53126B77"/>
    <w:rsid w:val="532D7848"/>
    <w:rsid w:val="534474B0"/>
    <w:rsid w:val="5348C9B1"/>
    <w:rsid w:val="534EF596"/>
    <w:rsid w:val="53811D3C"/>
    <w:rsid w:val="53A295BE"/>
    <w:rsid w:val="53B33329"/>
    <w:rsid w:val="53CDD348"/>
    <w:rsid w:val="53F5E529"/>
    <w:rsid w:val="54072536"/>
    <w:rsid w:val="54096575"/>
    <w:rsid w:val="54254ED8"/>
    <w:rsid w:val="54316E8F"/>
    <w:rsid w:val="5434C806"/>
    <w:rsid w:val="54433C92"/>
    <w:rsid w:val="545271BE"/>
    <w:rsid w:val="546CF2A9"/>
    <w:rsid w:val="54C048AC"/>
    <w:rsid w:val="54E1BFCC"/>
    <w:rsid w:val="54E2CB15"/>
    <w:rsid w:val="54E48CEB"/>
    <w:rsid w:val="54E5B4FD"/>
    <w:rsid w:val="54F629EF"/>
    <w:rsid w:val="550BDFAA"/>
    <w:rsid w:val="552B48C1"/>
    <w:rsid w:val="55326BFE"/>
    <w:rsid w:val="55363E05"/>
    <w:rsid w:val="55530439"/>
    <w:rsid w:val="557537DE"/>
    <w:rsid w:val="5581D8B2"/>
    <w:rsid w:val="558640DF"/>
    <w:rsid w:val="5587FEA8"/>
    <w:rsid w:val="55B0F6AC"/>
    <w:rsid w:val="55CEF963"/>
    <w:rsid w:val="55DED010"/>
    <w:rsid w:val="55F2B042"/>
    <w:rsid w:val="5603BB1F"/>
    <w:rsid w:val="56109F3E"/>
    <w:rsid w:val="5647BA52"/>
    <w:rsid w:val="56641249"/>
    <w:rsid w:val="5682232E"/>
    <w:rsid w:val="5687B6F1"/>
    <w:rsid w:val="568A428A"/>
    <w:rsid w:val="56A78327"/>
    <w:rsid w:val="56EDC584"/>
    <w:rsid w:val="56F630A0"/>
    <w:rsid w:val="5707ECC4"/>
    <w:rsid w:val="570E7291"/>
    <w:rsid w:val="571A23BA"/>
    <w:rsid w:val="572A9808"/>
    <w:rsid w:val="575320FC"/>
    <w:rsid w:val="5764DD20"/>
    <w:rsid w:val="57771416"/>
    <w:rsid w:val="57871849"/>
    <w:rsid w:val="579957EE"/>
    <w:rsid w:val="57A02BB4"/>
    <w:rsid w:val="57BE61B2"/>
    <w:rsid w:val="57F0BDA5"/>
    <w:rsid w:val="57FB2E6A"/>
    <w:rsid w:val="58030550"/>
    <w:rsid w:val="5819F4F8"/>
    <w:rsid w:val="581B7C0A"/>
    <w:rsid w:val="582B2E61"/>
    <w:rsid w:val="58320F5F"/>
    <w:rsid w:val="584C6D5F"/>
    <w:rsid w:val="584E8CE1"/>
    <w:rsid w:val="585D1F08"/>
    <w:rsid w:val="5865141D"/>
    <w:rsid w:val="5873D66B"/>
    <w:rsid w:val="58A18E52"/>
    <w:rsid w:val="58B30044"/>
    <w:rsid w:val="58BBA31E"/>
    <w:rsid w:val="58BEDDC0"/>
    <w:rsid w:val="58CFA6EF"/>
    <w:rsid w:val="58DA9659"/>
    <w:rsid w:val="5900AD81"/>
    <w:rsid w:val="5915ED6A"/>
    <w:rsid w:val="59182CA2"/>
    <w:rsid w:val="5924CEB8"/>
    <w:rsid w:val="593A3DB4"/>
    <w:rsid w:val="5975DE02"/>
    <w:rsid w:val="59774BC7"/>
    <w:rsid w:val="59A13C0E"/>
    <w:rsid w:val="59A6F018"/>
    <w:rsid w:val="59C047AC"/>
    <w:rsid w:val="59D0998B"/>
    <w:rsid w:val="59E7CA08"/>
    <w:rsid w:val="59F1B177"/>
    <w:rsid w:val="59F216B1"/>
    <w:rsid w:val="59FC40A3"/>
    <w:rsid w:val="5A1DADBB"/>
    <w:rsid w:val="5A3417D9"/>
    <w:rsid w:val="5A59565E"/>
    <w:rsid w:val="5A626A4E"/>
    <w:rsid w:val="5A7D87A8"/>
    <w:rsid w:val="5AA75167"/>
    <w:rsid w:val="5ABE2CC7"/>
    <w:rsid w:val="5AC6BC5D"/>
    <w:rsid w:val="5ACB0B6B"/>
    <w:rsid w:val="5ACE40C1"/>
    <w:rsid w:val="5AE5D9A4"/>
    <w:rsid w:val="5AECF405"/>
    <w:rsid w:val="5AF57449"/>
    <w:rsid w:val="5AFD99DD"/>
    <w:rsid w:val="5B09F6B3"/>
    <w:rsid w:val="5B23FA2D"/>
    <w:rsid w:val="5B8DE712"/>
    <w:rsid w:val="5B9CCF88"/>
    <w:rsid w:val="5BAB2666"/>
    <w:rsid w:val="5BBE0637"/>
    <w:rsid w:val="5BEAA106"/>
    <w:rsid w:val="5C0052EC"/>
    <w:rsid w:val="5C10DBB5"/>
    <w:rsid w:val="5C7F7AD9"/>
    <w:rsid w:val="5C88CA28"/>
    <w:rsid w:val="5C8B82FD"/>
    <w:rsid w:val="5C966C94"/>
    <w:rsid w:val="5CA1630D"/>
    <w:rsid w:val="5CC3435B"/>
    <w:rsid w:val="5CD3D18D"/>
    <w:rsid w:val="5CE81F69"/>
    <w:rsid w:val="5CF13681"/>
    <w:rsid w:val="5D079A3C"/>
    <w:rsid w:val="5D119E2C"/>
    <w:rsid w:val="5D2D4B44"/>
    <w:rsid w:val="5D58E28B"/>
    <w:rsid w:val="5D5BE66F"/>
    <w:rsid w:val="5D5C2D0A"/>
    <w:rsid w:val="5D6B5046"/>
    <w:rsid w:val="5D759ECE"/>
    <w:rsid w:val="5D867167"/>
    <w:rsid w:val="5DAE077C"/>
    <w:rsid w:val="5DDA505A"/>
    <w:rsid w:val="5DDEA344"/>
    <w:rsid w:val="5DE6559A"/>
    <w:rsid w:val="5E007A16"/>
    <w:rsid w:val="5E03F3DD"/>
    <w:rsid w:val="5E05732A"/>
    <w:rsid w:val="5E19F58F"/>
    <w:rsid w:val="5E259628"/>
    <w:rsid w:val="5E61D5C0"/>
    <w:rsid w:val="5E673BCA"/>
    <w:rsid w:val="5E67B468"/>
    <w:rsid w:val="5E80B48C"/>
    <w:rsid w:val="5E876454"/>
    <w:rsid w:val="5E88A212"/>
    <w:rsid w:val="5E9347C2"/>
    <w:rsid w:val="5E998442"/>
    <w:rsid w:val="5EA5D510"/>
    <w:rsid w:val="5EC6099B"/>
    <w:rsid w:val="5EDA3D26"/>
    <w:rsid w:val="5EF1653A"/>
    <w:rsid w:val="5F0720A7"/>
    <w:rsid w:val="5F14F6E7"/>
    <w:rsid w:val="5F23E144"/>
    <w:rsid w:val="5F28028E"/>
    <w:rsid w:val="5F41EA57"/>
    <w:rsid w:val="5F5405A2"/>
    <w:rsid w:val="5F5DB80F"/>
    <w:rsid w:val="5F7EFBF1"/>
    <w:rsid w:val="5F97F4DF"/>
    <w:rsid w:val="5F9BA7F2"/>
    <w:rsid w:val="5FC06E04"/>
    <w:rsid w:val="5FE200A2"/>
    <w:rsid w:val="5FFE1D06"/>
    <w:rsid w:val="6032AE61"/>
    <w:rsid w:val="60351633"/>
    <w:rsid w:val="604E656D"/>
    <w:rsid w:val="605F20D2"/>
    <w:rsid w:val="608098B0"/>
    <w:rsid w:val="6080B2CB"/>
    <w:rsid w:val="608416F0"/>
    <w:rsid w:val="60D26A1D"/>
    <w:rsid w:val="60DA1650"/>
    <w:rsid w:val="60F82ACC"/>
    <w:rsid w:val="60FF0D09"/>
    <w:rsid w:val="6118DFF3"/>
    <w:rsid w:val="613186CC"/>
    <w:rsid w:val="61320850"/>
    <w:rsid w:val="613466CA"/>
    <w:rsid w:val="614B99DE"/>
    <w:rsid w:val="6155B97A"/>
    <w:rsid w:val="61707595"/>
    <w:rsid w:val="617B894E"/>
    <w:rsid w:val="61881B37"/>
    <w:rsid w:val="6190D5D9"/>
    <w:rsid w:val="61A71A77"/>
    <w:rsid w:val="61CF1D16"/>
    <w:rsid w:val="61EB803C"/>
    <w:rsid w:val="62121E24"/>
    <w:rsid w:val="621CE19E"/>
    <w:rsid w:val="6222A349"/>
    <w:rsid w:val="622AED37"/>
    <w:rsid w:val="62301628"/>
    <w:rsid w:val="62357418"/>
    <w:rsid w:val="623CB97B"/>
    <w:rsid w:val="624217CF"/>
    <w:rsid w:val="62730AE7"/>
    <w:rsid w:val="6283C4DA"/>
    <w:rsid w:val="629B1657"/>
    <w:rsid w:val="62B19DA6"/>
    <w:rsid w:val="62DDF8C1"/>
    <w:rsid w:val="62F6C0FC"/>
    <w:rsid w:val="62F9E9C1"/>
    <w:rsid w:val="6313E064"/>
    <w:rsid w:val="633B258B"/>
    <w:rsid w:val="635C1335"/>
    <w:rsid w:val="638EB394"/>
    <w:rsid w:val="63998891"/>
    <w:rsid w:val="63A1E7C2"/>
    <w:rsid w:val="63A7E3D4"/>
    <w:rsid w:val="63B52FC7"/>
    <w:rsid w:val="63BC0C54"/>
    <w:rsid w:val="63C0B99B"/>
    <w:rsid w:val="63C0F436"/>
    <w:rsid w:val="63D14479"/>
    <w:rsid w:val="63E11714"/>
    <w:rsid w:val="640AFA4A"/>
    <w:rsid w:val="64155B7A"/>
    <w:rsid w:val="6424122B"/>
    <w:rsid w:val="642C4A0D"/>
    <w:rsid w:val="6436ADCB"/>
    <w:rsid w:val="643F45DE"/>
    <w:rsid w:val="6440E43C"/>
    <w:rsid w:val="64436028"/>
    <w:rsid w:val="646B6602"/>
    <w:rsid w:val="646E70D9"/>
    <w:rsid w:val="647ABDD8"/>
    <w:rsid w:val="64A0825A"/>
    <w:rsid w:val="64A9C18E"/>
    <w:rsid w:val="64B32A10"/>
    <w:rsid w:val="64C87825"/>
    <w:rsid w:val="64EBA4BC"/>
    <w:rsid w:val="64F0CF83"/>
    <w:rsid w:val="6509E506"/>
    <w:rsid w:val="6566F854"/>
    <w:rsid w:val="6582647C"/>
    <w:rsid w:val="6590BD95"/>
    <w:rsid w:val="65A67C43"/>
    <w:rsid w:val="65A87A1C"/>
    <w:rsid w:val="65AC47BD"/>
    <w:rsid w:val="65AF6CDA"/>
    <w:rsid w:val="65B7B222"/>
    <w:rsid w:val="65E8EAC5"/>
    <w:rsid w:val="65E96FE7"/>
    <w:rsid w:val="65EBA689"/>
    <w:rsid w:val="65ED0D22"/>
    <w:rsid w:val="65F71B1C"/>
    <w:rsid w:val="65FE7F8F"/>
    <w:rsid w:val="6603FA89"/>
    <w:rsid w:val="66152248"/>
    <w:rsid w:val="6617FB2D"/>
    <w:rsid w:val="66193CE6"/>
    <w:rsid w:val="6619DAE7"/>
    <w:rsid w:val="663BF5FA"/>
    <w:rsid w:val="667F6A1C"/>
    <w:rsid w:val="6694ACDC"/>
    <w:rsid w:val="66A433D4"/>
    <w:rsid w:val="66D7F4AD"/>
    <w:rsid w:val="66EBA794"/>
    <w:rsid w:val="6733BA34"/>
    <w:rsid w:val="674A2E1B"/>
    <w:rsid w:val="67509DB6"/>
    <w:rsid w:val="6754E9C2"/>
    <w:rsid w:val="6755BA97"/>
    <w:rsid w:val="6768D0FA"/>
    <w:rsid w:val="677DBB6A"/>
    <w:rsid w:val="679DBF1F"/>
    <w:rsid w:val="67D408D2"/>
    <w:rsid w:val="67D4142B"/>
    <w:rsid w:val="67EB412C"/>
    <w:rsid w:val="67F33232"/>
    <w:rsid w:val="67FAB634"/>
    <w:rsid w:val="6805578C"/>
    <w:rsid w:val="68331497"/>
    <w:rsid w:val="683CFBF0"/>
    <w:rsid w:val="68496A70"/>
    <w:rsid w:val="68608180"/>
    <w:rsid w:val="688FE1C8"/>
    <w:rsid w:val="68B18FBD"/>
    <w:rsid w:val="68E9137E"/>
    <w:rsid w:val="68F1A72E"/>
    <w:rsid w:val="68F48D73"/>
    <w:rsid w:val="68FAB716"/>
    <w:rsid w:val="690CEEE1"/>
    <w:rsid w:val="6950C321"/>
    <w:rsid w:val="695E2BF3"/>
    <w:rsid w:val="695F21C4"/>
    <w:rsid w:val="696BD421"/>
    <w:rsid w:val="6984F417"/>
    <w:rsid w:val="69A62236"/>
    <w:rsid w:val="69A9B2F1"/>
    <w:rsid w:val="69B0164B"/>
    <w:rsid w:val="69C332F2"/>
    <w:rsid w:val="69D6D62D"/>
    <w:rsid w:val="69DD9968"/>
    <w:rsid w:val="69F1E5DB"/>
    <w:rsid w:val="69F547B3"/>
    <w:rsid w:val="6A00D89C"/>
    <w:rsid w:val="6A0BC233"/>
    <w:rsid w:val="6A0E9950"/>
    <w:rsid w:val="6A141A49"/>
    <w:rsid w:val="6A2C2569"/>
    <w:rsid w:val="6A2CBA75"/>
    <w:rsid w:val="6A457298"/>
    <w:rsid w:val="6A45D73F"/>
    <w:rsid w:val="6A4CD5F5"/>
    <w:rsid w:val="6A63D86F"/>
    <w:rsid w:val="6A708274"/>
    <w:rsid w:val="6A91F1EE"/>
    <w:rsid w:val="6ABCE10A"/>
    <w:rsid w:val="6AF7E0EA"/>
    <w:rsid w:val="6B104D19"/>
    <w:rsid w:val="6B207D68"/>
    <w:rsid w:val="6B2C9675"/>
    <w:rsid w:val="6B58FD86"/>
    <w:rsid w:val="6B638E14"/>
    <w:rsid w:val="6B67251A"/>
    <w:rsid w:val="6B6AF86A"/>
    <w:rsid w:val="6B716623"/>
    <w:rsid w:val="6B81EBA6"/>
    <w:rsid w:val="6B8AC2B7"/>
    <w:rsid w:val="6B95DC1F"/>
    <w:rsid w:val="6BCCAD89"/>
    <w:rsid w:val="6BE24B31"/>
    <w:rsid w:val="6BF269A6"/>
    <w:rsid w:val="6C0C2C8D"/>
    <w:rsid w:val="6C1996B4"/>
    <w:rsid w:val="6C41BFB0"/>
    <w:rsid w:val="6C58B16B"/>
    <w:rsid w:val="6C5C57D3"/>
    <w:rsid w:val="6CA8DDCE"/>
    <w:rsid w:val="6CE36408"/>
    <w:rsid w:val="6CEBD486"/>
    <w:rsid w:val="6CF13B37"/>
    <w:rsid w:val="6CFF59C9"/>
    <w:rsid w:val="6D0C4B3D"/>
    <w:rsid w:val="6D0CB303"/>
    <w:rsid w:val="6D2018E9"/>
    <w:rsid w:val="6D3E136F"/>
    <w:rsid w:val="6D4B73D0"/>
    <w:rsid w:val="6D5A9A0C"/>
    <w:rsid w:val="6DA60799"/>
    <w:rsid w:val="6DD4E8EA"/>
    <w:rsid w:val="6E032479"/>
    <w:rsid w:val="6E292C87"/>
    <w:rsid w:val="6E31E63F"/>
    <w:rsid w:val="6E43FA11"/>
    <w:rsid w:val="6E5ED12D"/>
    <w:rsid w:val="6E7A9641"/>
    <w:rsid w:val="6E84E8DE"/>
    <w:rsid w:val="6E8D8B05"/>
    <w:rsid w:val="6E96D856"/>
    <w:rsid w:val="6EA97694"/>
    <w:rsid w:val="6ED5BC37"/>
    <w:rsid w:val="6F326231"/>
    <w:rsid w:val="6F4D97D5"/>
    <w:rsid w:val="6F75A29F"/>
    <w:rsid w:val="6F858E58"/>
    <w:rsid w:val="6F89C0E9"/>
    <w:rsid w:val="6F8DD687"/>
    <w:rsid w:val="6FA3403E"/>
    <w:rsid w:val="6FB9DA05"/>
    <w:rsid w:val="6FD9BDE2"/>
    <w:rsid w:val="6FD9DFAF"/>
    <w:rsid w:val="6FE6A430"/>
    <w:rsid w:val="6FF81DEE"/>
    <w:rsid w:val="7009AD92"/>
    <w:rsid w:val="70180007"/>
    <w:rsid w:val="7018F475"/>
    <w:rsid w:val="7029C956"/>
    <w:rsid w:val="702C2885"/>
    <w:rsid w:val="703709E2"/>
    <w:rsid w:val="7041EEC1"/>
    <w:rsid w:val="70648937"/>
    <w:rsid w:val="70664128"/>
    <w:rsid w:val="70822B96"/>
    <w:rsid w:val="7084040A"/>
    <w:rsid w:val="70EB09E8"/>
    <w:rsid w:val="71080D2D"/>
    <w:rsid w:val="710CFC15"/>
    <w:rsid w:val="712363F1"/>
    <w:rsid w:val="7123E356"/>
    <w:rsid w:val="713D576F"/>
    <w:rsid w:val="717299E6"/>
    <w:rsid w:val="7190F8F7"/>
    <w:rsid w:val="7196DC31"/>
    <w:rsid w:val="71AF25DA"/>
    <w:rsid w:val="71C5A47E"/>
    <w:rsid w:val="71DA39EE"/>
    <w:rsid w:val="71EE90CF"/>
    <w:rsid w:val="7202115A"/>
    <w:rsid w:val="72044AD8"/>
    <w:rsid w:val="7234E9D1"/>
    <w:rsid w:val="7236C40E"/>
    <w:rsid w:val="723CC965"/>
    <w:rsid w:val="7241A76E"/>
    <w:rsid w:val="72509BB4"/>
    <w:rsid w:val="7257F602"/>
    <w:rsid w:val="727B80F4"/>
    <w:rsid w:val="72B7A076"/>
    <w:rsid w:val="72B9EEEA"/>
    <w:rsid w:val="72CE35A4"/>
    <w:rsid w:val="72DE3B99"/>
    <w:rsid w:val="72E707AF"/>
    <w:rsid w:val="730541D3"/>
    <w:rsid w:val="730D6E28"/>
    <w:rsid w:val="731980FA"/>
    <w:rsid w:val="731E44F2"/>
    <w:rsid w:val="7341F1F9"/>
    <w:rsid w:val="734AA0EA"/>
    <w:rsid w:val="734E397F"/>
    <w:rsid w:val="73590EA2"/>
    <w:rsid w:val="73595583"/>
    <w:rsid w:val="736EAAA4"/>
    <w:rsid w:val="738060D9"/>
    <w:rsid w:val="73A4C427"/>
    <w:rsid w:val="73E053BB"/>
    <w:rsid w:val="73EBC071"/>
    <w:rsid w:val="7407F708"/>
    <w:rsid w:val="740BAF74"/>
    <w:rsid w:val="742BE3EB"/>
    <w:rsid w:val="7433D171"/>
    <w:rsid w:val="743A4B7D"/>
    <w:rsid w:val="74516496"/>
    <w:rsid w:val="745ED158"/>
    <w:rsid w:val="7465F9F2"/>
    <w:rsid w:val="746B9343"/>
    <w:rsid w:val="7471EC9E"/>
    <w:rsid w:val="7476F2E4"/>
    <w:rsid w:val="748D4B28"/>
    <w:rsid w:val="749146B1"/>
    <w:rsid w:val="74D6FC56"/>
    <w:rsid w:val="750CEF1D"/>
    <w:rsid w:val="753C3DE4"/>
    <w:rsid w:val="756F630A"/>
    <w:rsid w:val="75B9807C"/>
    <w:rsid w:val="75BB7E6C"/>
    <w:rsid w:val="75F00309"/>
    <w:rsid w:val="762A92E2"/>
    <w:rsid w:val="7635949A"/>
    <w:rsid w:val="76382033"/>
    <w:rsid w:val="765DD33A"/>
    <w:rsid w:val="7681ED7E"/>
    <w:rsid w:val="768226A0"/>
    <w:rsid w:val="76835075"/>
    <w:rsid w:val="76963E84"/>
    <w:rsid w:val="769B6A09"/>
    <w:rsid w:val="76A193EB"/>
    <w:rsid w:val="76A5C597"/>
    <w:rsid w:val="77196B11"/>
    <w:rsid w:val="77258BEE"/>
    <w:rsid w:val="77285698"/>
    <w:rsid w:val="776264E7"/>
    <w:rsid w:val="7762D104"/>
    <w:rsid w:val="7773ADD6"/>
    <w:rsid w:val="77AE12A8"/>
    <w:rsid w:val="77E11121"/>
    <w:rsid w:val="77E7DE9B"/>
    <w:rsid w:val="77F6A727"/>
    <w:rsid w:val="77F9538E"/>
    <w:rsid w:val="77FB971A"/>
    <w:rsid w:val="7801B92E"/>
    <w:rsid w:val="78317F0A"/>
    <w:rsid w:val="78578B57"/>
    <w:rsid w:val="785B077C"/>
    <w:rsid w:val="78653825"/>
    <w:rsid w:val="7867775B"/>
    <w:rsid w:val="786BBF4A"/>
    <w:rsid w:val="786E4F83"/>
    <w:rsid w:val="787DF640"/>
    <w:rsid w:val="7880B2A8"/>
    <w:rsid w:val="78C19086"/>
    <w:rsid w:val="78ECCC13"/>
    <w:rsid w:val="78EDFC71"/>
    <w:rsid w:val="78EFE6D6"/>
    <w:rsid w:val="79074294"/>
    <w:rsid w:val="790D77E1"/>
    <w:rsid w:val="79173EF5"/>
    <w:rsid w:val="791E36DA"/>
    <w:rsid w:val="79567B70"/>
    <w:rsid w:val="796EEEF8"/>
    <w:rsid w:val="797FEFFD"/>
    <w:rsid w:val="798D8676"/>
    <w:rsid w:val="79942FE2"/>
    <w:rsid w:val="799E8562"/>
    <w:rsid w:val="79C87496"/>
    <w:rsid w:val="79D825BB"/>
    <w:rsid w:val="7A061940"/>
    <w:rsid w:val="7A0874A0"/>
    <w:rsid w:val="7A0A28EA"/>
    <w:rsid w:val="7A0B94BD"/>
    <w:rsid w:val="7A3BB99C"/>
    <w:rsid w:val="7A4552FD"/>
    <w:rsid w:val="7A5B9662"/>
    <w:rsid w:val="7A7797E9"/>
    <w:rsid w:val="7ABB4C05"/>
    <w:rsid w:val="7AF52F9D"/>
    <w:rsid w:val="7B0312BA"/>
    <w:rsid w:val="7B0DE2B5"/>
    <w:rsid w:val="7B2FF184"/>
    <w:rsid w:val="7B4541BB"/>
    <w:rsid w:val="7B547F5A"/>
    <w:rsid w:val="7B6DFFE1"/>
    <w:rsid w:val="7B8BB32E"/>
    <w:rsid w:val="7B9FB204"/>
    <w:rsid w:val="7BAF8B27"/>
    <w:rsid w:val="7BD1811E"/>
    <w:rsid w:val="7C04E80C"/>
    <w:rsid w:val="7C1B9C51"/>
    <w:rsid w:val="7C3650DC"/>
    <w:rsid w:val="7C3E7EAF"/>
    <w:rsid w:val="7C81D674"/>
    <w:rsid w:val="7CCE4360"/>
    <w:rsid w:val="7CDBC872"/>
    <w:rsid w:val="7CE1B448"/>
    <w:rsid w:val="7CE1D883"/>
    <w:rsid w:val="7CE6F0C4"/>
    <w:rsid w:val="7D01B05E"/>
    <w:rsid w:val="7D033633"/>
    <w:rsid w:val="7D11EF8A"/>
    <w:rsid w:val="7D8982A7"/>
    <w:rsid w:val="7D9A7EA4"/>
    <w:rsid w:val="7DD8B956"/>
    <w:rsid w:val="7E1D43F4"/>
    <w:rsid w:val="7E1E5F87"/>
    <w:rsid w:val="7E2ECE6F"/>
    <w:rsid w:val="7E332536"/>
    <w:rsid w:val="7E3F17CE"/>
    <w:rsid w:val="7E552AEC"/>
    <w:rsid w:val="7E56652D"/>
    <w:rsid w:val="7E6C544E"/>
    <w:rsid w:val="7EA00651"/>
    <w:rsid w:val="7EA6F98B"/>
    <w:rsid w:val="7EB78A42"/>
    <w:rsid w:val="7EDEDCA0"/>
    <w:rsid w:val="7EF4292B"/>
    <w:rsid w:val="7EFE6889"/>
    <w:rsid w:val="7F525810"/>
    <w:rsid w:val="7F558016"/>
    <w:rsid w:val="7F5A8CBA"/>
    <w:rsid w:val="7F63B12E"/>
    <w:rsid w:val="7F687BB5"/>
    <w:rsid w:val="7F68B7EA"/>
    <w:rsid w:val="7F70F88C"/>
    <w:rsid w:val="7F79C0EB"/>
    <w:rsid w:val="7F8FE4A9"/>
    <w:rsid w:val="7FA18675"/>
    <w:rsid w:val="7FAA4AC8"/>
    <w:rsid w:val="7FBF1659"/>
    <w:rsid w:val="7FC5F047"/>
    <w:rsid w:val="7FD29F93"/>
    <w:rsid w:val="7FE91A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E50862"/>
  <w15:docId w15:val="{3852A3C2-369C-451C-A0D1-353FE79D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08A"/>
    <w:rPr>
      <w:sz w:val="24"/>
      <w:szCs w:val="24"/>
    </w:rPr>
  </w:style>
  <w:style w:type="paragraph" w:styleId="Heading1">
    <w:name w:val="heading 1"/>
    <w:basedOn w:val="Normal"/>
    <w:next w:val="Normal"/>
    <w:link w:val="Heading1Char"/>
    <w:qFormat/>
    <w:rsid w:val="00857FB7"/>
    <w:pPr>
      <w:keepNext/>
      <w:keepLines/>
      <w:spacing w:before="480"/>
      <w:outlineLvl w:val="0"/>
    </w:pPr>
    <w:rPr>
      <w:rFonts w:ascii="Calibri Light" w:eastAsia="MS Gothic" w:hAnsi="Calibri Light"/>
      <w:b/>
      <w:bCs/>
      <w:color w:val="2E74B5"/>
      <w:sz w:val="28"/>
      <w:szCs w:val="28"/>
    </w:rPr>
  </w:style>
  <w:style w:type="paragraph" w:styleId="Heading2">
    <w:name w:val="heading 2"/>
    <w:basedOn w:val="Normal"/>
    <w:next w:val="Normal"/>
    <w:link w:val="Heading2Char"/>
    <w:qFormat/>
    <w:rsid w:val="00D84313"/>
    <w:pPr>
      <w:keepNext/>
      <w:keepLines/>
      <w:spacing w:before="200"/>
      <w:outlineLvl w:val="1"/>
    </w:pPr>
    <w:rPr>
      <w:rFonts w:ascii="Calibri Light" w:eastAsia="MS Gothic" w:hAnsi="Calibri Light"/>
      <w:b/>
      <w:bCs/>
      <w:color w:val="5B9BD5"/>
      <w:sz w:val="26"/>
      <w:szCs w:val="26"/>
    </w:rPr>
  </w:style>
  <w:style w:type="paragraph" w:styleId="Heading4">
    <w:name w:val="heading 4"/>
    <w:basedOn w:val="Normal"/>
    <w:next w:val="Normal"/>
    <w:qFormat/>
    <w:rsid w:val="00F655D7"/>
    <w:pPr>
      <w:keepNext/>
      <w:outlineLvl w:val="3"/>
    </w:pPr>
    <w:rPr>
      <w:b/>
      <w:sz w:val="20"/>
      <w:szCs w:val="20"/>
    </w:rPr>
  </w:style>
  <w:style w:type="paragraph" w:styleId="Heading7">
    <w:name w:val="heading 7"/>
    <w:basedOn w:val="Normal"/>
    <w:next w:val="Normal"/>
    <w:link w:val="Heading7Char"/>
    <w:semiHidden/>
    <w:unhideWhenUsed/>
    <w:qFormat/>
    <w:rsid w:val="00A06706"/>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A0670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0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206D9"/>
    <w:rPr>
      <w:color w:val="0000FF"/>
      <w:u w:val="none"/>
    </w:rPr>
  </w:style>
  <w:style w:type="paragraph" w:customStyle="1" w:styleId="SingleTxt">
    <w:name w:val="__Single Txt"/>
    <w:basedOn w:val="Normal"/>
    <w:rsid w:val="00F206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paragraph" w:customStyle="1" w:styleId="H1">
    <w:name w:val="_ H_1"/>
    <w:basedOn w:val="Normal"/>
    <w:next w:val="SingleTxt"/>
    <w:rsid w:val="00F206D9"/>
    <w:pPr>
      <w:keepNext/>
      <w:keepLines/>
      <w:suppressAutoHyphens/>
      <w:spacing w:line="270" w:lineRule="exact"/>
      <w:outlineLvl w:val="0"/>
    </w:pPr>
    <w:rPr>
      <w:b/>
      <w:spacing w:val="4"/>
      <w:w w:val="103"/>
      <w:kern w:val="14"/>
      <w:szCs w:val="20"/>
      <w:lang w:val="en-GB"/>
    </w:rPr>
  </w:style>
  <w:style w:type="paragraph" w:customStyle="1" w:styleId="DualTxtCharChar1CharChar">
    <w:name w:val="__Dual Txt Char Char1 Char Char"/>
    <w:basedOn w:val="Normal"/>
    <w:rsid w:val="00F206D9"/>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MS Mincho"/>
      <w:spacing w:val="4"/>
      <w:w w:val="103"/>
      <w:kern w:val="14"/>
      <w:sz w:val="20"/>
      <w:szCs w:val="20"/>
      <w:lang w:val="en-GB"/>
    </w:rPr>
  </w:style>
  <w:style w:type="character" w:styleId="FootnoteReference">
    <w:name w:val="footnote reference"/>
    <w:aliases w:val="ftref,BVI fnr,Footnotes refss,Footnote symbol,Times 10 Point,Exposant 3 Point,Footnote symboFußnotenzeichen,Footnote sign,Footnote Reference Superscript,Footnote Ref,16 Point,Superscript 6 Point,Error-Fußnotenzeichen5,Footnote,SUPERS"/>
    <w:link w:val="Char2"/>
    <w:qFormat/>
    <w:rsid w:val="00F206D9"/>
    <w:rPr>
      <w:vertAlign w:val="superscript"/>
    </w:rPr>
  </w:style>
  <w:style w:type="paragraph" w:styleId="Header">
    <w:name w:val="header"/>
    <w:basedOn w:val="Normal"/>
    <w:link w:val="HeaderChar"/>
    <w:uiPriority w:val="99"/>
    <w:rsid w:val="00F206D9"/>
    <w:pPr>
      <w:tabs>
        <w:tab w:val="center" w:pos="4320"/>
        <w:tab w:val="right" w:pos="8640"/>
      </w:tabs>
    </w:pPr>
  </w:style>
  <w:style w:type="paragraph" w:styleId="Footer">
    <w:name w:val="footer"/>
    <w:basedOn w:val="Normal"/>
    <w:link w:val="FooterChar"/>
    <w:uiPriority w:val="99"/>
    <w:rsid w:val="00F206D9"/>
    <w:pPr>
      <w:tabs>
        <w:tab w:val="center" w:pos="4320"/>
        <w:tab w:val="right" w:pos="8640"/>
      </w:tabs>
    </w:pPr>
  </w:style>
  <w:style w:type="character" w:styleId="PageNumber">
    <w:name w:val="page number"/>
    <w:basedOn w:val="DefaultParagraphFont"/>
    <w:uiPriority w:val="99"/>
    <w:rsid w:val="00F206D9"/>
  </w:style>
  <w:style w:type="paragraph" w:customStyle="1" w:styleId="HCh">
    <w:name w:val="_ H _Ch"/>
    <w:basedOn w:val="Normal"/>
    <w:next w:val="Normal"/>
    <w:rsid w:val="00F206D9"/>
    <w:pPr>
      <w:keepNext/>
      <w:keepLines/>
      <w:suppressAutoHyphens/>
      <w:spacing w:line="300" w:lineRule="exact"/>
      <w:outlineLvl w:val="0"/>
    </w:pPr>
    <w:rPr>
      <w:rFonts w:eastAsia="MS Mincho"/>
      <w:b/>
      <w:spacing w:val="-2"/>
      <w:w w:val="103"/>
      <w:kern w:val="14"/>
      <w:sz w:val="28"/>
      <w:szCs w:val="20"/>
      <w:lang w:val="en-GB"/>
    </w:rPr>
  </w:style>
  <w:style w:type="paragraph" w:customStyle="1" w:styleId="H56">
    <w:name w:val="_ H_5/6"/>
    <w:basedOn w:val="Normal"/>
    <w:next w:val="Normal"/>
    <w:rsid w:val="00F206D9"/>
    <w:pPr>
      <w:keepNext/>
      <w:keepLines/>
      <w:tabs>
        <w:tab w:val="right" w:pos="360"/>
      </w:tabs>
      <w:suppressAutoHyphens/>
      <w:spacing w:line="240" w:lineRule="exact"/>
      <w:outlineLvl w:val="4"/>
    </w:pPr>
    <w:rPr>
      <w:rFonts w:eastAsia="MS Mincho"/>
      <w:spacing w:val="4"/>
      <w:w w:val="103"/>
      <w:kern w:val="14"/>
      <w:sz w:val="20"/>
      <w:szCs w:val="20"/>
      <w:lang w:val="en-GB"/>
    </w:rPr>
  </w:style>
  <w:style w:type="paragraph" w:customStyle="1" w:styleId="XLarge">
    <w:name w:val="XLarge"/>
    <w:basedOn w:val="Normal"/>
    <w:rsid w:val="00F206D9"/>
    <w:pPr>
      <w:keepNext/>
      <w:keepLines/>
      <w:tabs>
        <w:tab w:val="right" w:leader="dot" w:pos="360"/>
      </w:tabs>
      <w:suppressAutoHyphens/>
      <w:spacing w:line="390" w:lineRule="exact"/>
      <w:outlineLvl w:val="0"/>
    </w:pPr>
    <w:rPr>
      <w:rFonts w:eastAsia="MS Mincho"/>
      <w:b/>
      <w:spacing w:val="-4"/>
      <w:w w:val="98"/>
      <w:kern w:val="14"/>
      <w:sz w:val="40"/>
      <w:szCs w:val="20"/>
      <w:lang w:val="en-GB"/>
    </w:rPr>
  </w:style>
  <w:style w:type="character" w:styleId="FollowedHyperlink">
    <w:name w:val="FollowedHyperlink"/>
    <w:rsid w:val="000202C2"/>
    <w:rPr>
      <w:color w:val="0000FF"/>
      <w:u w:val="none"/>
    </w:rPr>
  </w:style>
  <w:style w:type="paragraph" w:styleId="FootnoteText">
    <w:name w:val="footnote text"/>
    <w:aliases w:val="FOOTNOTES,fn,single space,f,Char Char Char,Char Char,Char ChaFootnote Text,Footnote Text Char1,Footnote Text Char Char,ft Char Char,single space Char Char,footnote text Char Char,ft,Geneva,footnote text, Char,Footnotes,Footnote ak,fn cafc"/>
    <w:basedOn w:val="Normal"/>
    <w:link w:val="FootnoteTextChar"/>
    <w:uiPriority w:val="99"/>
    <w:qFormat/>
    <w:rsid w:val="00CF45A0"/>
    <w:rPr>
      <w:sz w:val="20"/>
      <w:szCs w:val="20"/>
    </w:rPr>
  </w:style>
  <w:style w:type="paragraph" w:styleId="PlainText">
    <w:name w:val="Plain Text"/>
    <w:basedOn w:val="Normal"/>
    <w:link w:val="PlainTextChar"/>
    <w:uiPriority w:val="99"/>
    <w:rsid w:val="00A3606B"/>
    <w:rPr>
      <w:rFonts w:ascii="Courier New" w:eastAsia="MS Mincho" w:hAnsi="Courier New" w:cs="Courier New"/>
      <w:sz w:val="20"/>
      <w:szCs w:val="20"/>
      <w:lang w:eastAsia="zh-TW"/>
    </w:rPr>
  </w:style>
  <w:style w:type="paragraph" w:customStyle="1" w:styleId="HM">
    <w:name w:val="_ H __M"/>
    <w:basedOn w:val="HCh"/>
    <w:next w:val="Normal"/>
    <w:rsid w:val="00F655D7"/>
    <w:pPr>
      <w:spacing w:line="360" w:lineRule="exact"/>
    </w:pPr>
    <w:rPr>
      <w:rFonts w:eastAsia="Times New Roman"/>
      <w:spacing w:val="-3"/>
      <w:w w:val="99"/>
      <w:sz w:val="34"/>
    </w:rPr>
  </w:style>
  <w:style w:type="paragraph" w:styleId="BalloonText">
    <w:name w:val="Balloon Text"/>
    <w:basedOn w:val="Normal"/>
    <w:link w:val="BalloonTextChar"/>
    <w:uiPriority w:val="99"/>
    <w:rsid w:val="00C13BF6"/>
    <w:rPr>
      <w:rFonts w:ascii="Tahoma" w:hAnsi="Tahoma" w:cs="Tahoma"/>
      <w:sz w:val="16"/>
      <w:szCs w:val="16"/>
    </w:rPr>
  </w:style>
  <w:style w:type="character" w:customStyle="1" w:styleId="BalloonTextChar">
    <w:name w:val="Balloon Text Char"/>
    <w:link w:val="BalloonText"/>
    <w:uiPriority w:val="99"/>
    <w:rsid w:val="00C13BF6"/>
    <w:rPr>
      <w:rFonts w:ascii="Tahoma" w:hAnsi="Tahoma" w:cs="Tahoma"/>
      <w:sz w:val="16"/>
      <w:szCs w:val="16"/>
    </w:rPr>
  </w:style>
  <w:style w:type="character" w:styleId="CommentReference">
    <w:name w:val="annotation reference"/>
    <w:uiPriority w:val="99"/>
    <w:rsid w:val="00692739"/>
    <w:rPr>
      <w:sz w:val="16"/>
      <w:szCs w:val="16"/>
    </w:rPr>
  </w:style>
  <w:style w:type="paragraph" w:styleId="CommentText">
    <w:name w:val="annotation text"/>
    <w:basedOn w:val="Normal"/>
    <w:link w:val="CommentTextChar"/>
    <w:uiPriority w:val="99"/>
    <w:rsid w:val="00692739"/>
    <w:rPr>
      <w:sz w:val="20"/>
      <w:szCs w:val="20"/>
    </w:rPr>
  </w:style>
  <w:style w:type="character" w:customStyle="1" w:styleId="CommentTextChar">
    <w:name w:val="Comment Text Char"/>
    <w:basedOn w:val="DefaultParagraphFont"/>
    <w:link w:val="CommentText"/>
    <w:uiPriority w:val="99"/>
    <w:rsid w:val="00692739"/>
  </w:style>
  <w:style w:type="paragraph" w:styleId="CommentSubject">
    <w:name w:val="annotation subject"/>
    <w:basedOn w:val="CommentText"/>
    <w:next w:val="CommentText"/>
    <w:link w:val="CommentSubjectChar"/>
    <w:rsid w:val="00692739"/>
    <w:rPr>
      <w:b/>
      <w:bCs/>
    </w:rPr>
  </w:style>
  <w:style w:type="character" w:customStyle="1" w:styleId="CommentSubjectChar">
    <w:name w:val="Comment Subject Char"/>
    <w:link w:val="CommentSubject"/>
    <w:rsid w:val="00692739"/>
    <w:rPr>
      <w:b/>
      <w:bCs/>
    </w:rPr>
  </w:style>
  <w:style w:type="paragraph" w:customStyle="1" w:styleId="ColorfulList-Accent11">
    <w:name w:val="Colorful List - Accent 11"/>
    <w:aliases w:val="List Paragraph (numbered (a)),WB Para,List Paragraph1,Lapis Bulleted List,Dot pt,F5 List Paragraph,No Spacing1,List Paragraph Char Char Char,Indicator Text,Numbered Para 1,Bullet 1,List Paragraph12"/>
    <w:basedOn w:val="Normal"/>
    <w:link w:val="ColorfulList-Accent1Char"/>
    <w:uiPriority w:val="34"/>
    <w:qFormat/>
    <w:rsid w:val="004E0E75"/>
    <w:pPr>
      <w:ind w:left="720"/>
      <w:contextualSpacing/>
    </w:pPr>
  </w:style>
  <w:style w:type="character" w:customStyle="1" w:styleId="Heading1Char">
    <w:name w:val="Heading 1 Char"/>
    <w:link w:val="Heading1"/>
    <w:rsid w:val="00857FB7"/>
    <w:rPr>
      <w:rFonts w:ascii="Calibri Light" w:eastAsia="MS Gothic" w:hAnsi="Calibri Light" w:cs="Times New Roman"/>
      <w:b/>
      <w:bCs/>
      <w:color w:val="2E74B5"/>
      <w:sz w:val="28"/>
      <w:szCs w:val="28"/>
    </w:rPr>
  </w:style>
  <w:style w:type="paragraph" w:styleId="BodyTextIndent3">
    <w:name w:val="Body Text Indent 3"/>
    <w:basedOn w:val="Normal"/>
    <w:link w:val="BodyTextIndent3Char"/>
    <w:uiPriority w:val="99"/>
    <w:unhideWhenUsed/>
    <w:rsid w:val="005E18ED"/>
    <w:pPr>
      <w:spacing w:after="120" w:line="276" w:lineRule="auto"/>
      <w:ind w:left="360"/>
    </w:pPr>
    <w:rPr>
      <w:rFonts w:ascii="Calibri" w:eastAsia="Calibri" w:hAnsi="Calibri" w:cs="Arial"/>
      <w:sz w:val="16"/>
      <w:szCs w:val="16"/>
      <w:lang w:val="en-GB"/>
    </w:rPr>
  </w:style>
  <w:style w:type="character" w:customStyle="1" w:styleId="BodyTextIndent3Char">
    <w:name w:val="Body Text Indent 3 Char"/>
    <w:link w:val="BodyTextIndent3"/>
    <w:uiPriority w:val="99"/>
    <w:rsid w:val="005E18ED"/>
    <w:rPr>
      <w:rFonts w:ascii="Calibri" w:eastAsia="Calibri" w:hAnsi="Calibri" w:cs="Arial"/>
      <w:sz w:val="16"/>
      <w:szCs w:val="16"/>
      <w:lang w:val="en-GB"/>
    </w:rPr>
  </w:style>
  <w:style w:type="paragraph" w:customStyle="1" w:styleId="Default">
    <w:name w:val="Default"/>
    <w:rsid w:val="00853516"/>
    <w:pPr>
      <w:autoSpaceDE w:val="0"/>
      <w:autoSpaceDN w:val="0"/>
      <w:adjustRightInd w:val="0"/>
    </w:pPr>
    <w:rPr>
      <w:rFonts w:eastAsia="Calibri"/>
      <w:color w:val="000000"/>
      <w:sz w:val="24"/>
      <w:szCs w:val="24"/>
    </w:rPr>
  </w:style>
  <w:style w:type="paragraph" w:customStyle="1" w:styleId="CarCarChar">
    <w:name w:val="Car Car Char"/>
    <w:basedOn w:val="Heading2"/>
    <w:rsid w:val="00D84313"/>
    <w:pPr>
      <w:keepLines w:val="0"/>
      <w:pageBreakBefore/>
      <w:tabs>
        <w:tab w:val="left" w:pos="850"/>
        <w:tab w:val="left" w:pos="1191"/>
        <w:tab w:val="left" w:pos="1531"/>
      </w:tabs>
      <w:spacing w:before="120" w:after="120"/>
      <w:jc w:val="center"/>
    </w:pPr>
    <w:rPr>
      <w:rFonts w:ascii="Tahoma" w:eastAsia="Times New Roman" w:hAnsi="Tahoma" w:cs="Tahoma"/>
      <w:bCs w:val="0"/>
      <w:color w:val="FFFFFF"/>
      <w:spacing w:val="20"/>
      <w:sz w:val="22"/>
      <w:szCs w:val="22"/>
      <w:lang w:val="en-GB" w:eastAsia="zh-CN"/>
    </w:rPr>
  </w:style>
  <w:style w:type="character" w:customStyle="1" w:styleId="ColorfulList-Accent1Char">
    <w:name w:val="Colorful List - Accent 1 Char"/>
    <w:aliases w:val="List Paragraph (numbered (a)) Char,WB Para Char,List Paragraph1 Char,Lapis Bulleted List Char,Dot pt Char,F5 List Paragraph Char,No Spacing1 Char,List Paragraph Char Char Char Char,Indicator Text Char,Numbered Para 1 Char"/>
    <w:link w:val="ColorfulList-Accent11"/>
    <w:uiPriority w:val="34"/>
    <w:qFormat/>
    <w:rsid w:val="00D84313"/>
    <w:rPr>
      <w:sz w:val="24"/>
      <w:szCs w:val="24"/>
    </w:rPr>
  </w:style>
  <w:style w:type="character" w:customStyle="1" w:styleId="Heading2Char">
    <w:name w:val="Heading 2 Char"/>
    <w:link w:val="Heading2"/>
    <w:semiHidden/>
    <w:rsid w:val="00D84313"/>
    <w:rPr>
      <w:rFonts w:ascii="Calibri Light" w:eastAsia="MS Gothic" w:hAnsi="Calibri Light" w:cs="Times New Roman"/>
      <w:b/>
      <w:bCs/>
      <w:color w:val="5B9BD5"/>
      <w:sz w:val="26"/>
      <w:szCs w:val="26"/>
    </w:rPr>
  </w:style>
  <w:style w:type="paragraph" w:customStyle="1" w:styleId="CarCarChar2">
    <w:name w:val="Car Car Char2"/>
    <w:basedOn w:val="Heading2"/>
    <w:rsid w:val="00E14541"/>
    <w:pPr>
      <w:keepLines w:val="0"/>
      <w:pageBreakBefore/>
      <w:tabs>
        <w:tab w:val="left" w:pos="850"/>
        <w:tab w:val="left" w:pos="1191"/>
        <w:tab w:val="left" w:pos="1531"/>
      </w:tabs>
      <w:spacing w:before="120" w:after="120"/>
      <w:jc w:val="center"/>
    </w:pPr>
    <w:rPr>
      <w:rFonts w:ascii="Tahoma" w:eastAsia="Times New Roman" w:hAnsi="Tahoma" w:cs="Tahoma"/>
      <w:bCs w:val="0"/>
      <w:color w:val="FFFFFF"/>
      <w:spacing w:val="20"/>
      <w:sz w:val="22"/>
      <w:szCs w:val="22"/>
      <w:lang w:val="en-GB" w:eastAsia="zh-CN"/>
    </w:rPr>
  </w:style>
  <w:style w:type="paragraph" w:customStyle="1" w:styleId="CarCarChar1">
    <w:name w:val="Car Car Char1"/>
    <w:basedOn w:val="Heading2"/>
    <w:rsid w:val="004942FB"/>
    <w:pPr>
      <w:keepLines w:val="0"/>
      <w:pageBreakBefore/>
      <w:tabs>
        <w:tab w:val="left" w:pos="850"/>
        <w:tab w:val="left" w:pos="1191"/>
        <w:tab w:val="left" w:pos="1531"/>
      </w:tabs>
      <w:spacing w:before="120" w:after="120"/>
      <w:jc w:val="center"/>
    </w:pPr>
    <w:rPr>
      <w:rFonts w:ascii="Tahoma" w:eastAsia="Times New Roman" w:hAnsi="Tahoma" w:cs="Tahoma"/>
      <w:bCs w:val="0"/>
      <w:color w:val="FFFFFF"/>
      <w:spacing w:val="20"/>
      <w:sz w:val="22"/>
      <w:szCs w:val="22"/>
      <w:lang w:val="en-GB" w:eastAsia="zh-CN"/>
    </w:rPr>
  </w:style>
  <w:style w:type="character" w:customStyle="1" w:styleId="HeaderChar">
    <w:name w:val="Header Char"/>
    <w:link w:val="Header"/>
    <w:uiPriority w:val="99"/>
    <w:rsid w:val="006861F9"/>
    <w:rPr>
      <w:sz w:val="24"/>
      <w:szCs w:val="24"/>
    </w:rPr>
  </w:style>
  <w:style w:type="character" w:customStyle="1" w:styleId="FooterChar">
    <w:name w:val="Footer Char"/>
    <w:link w:val="Footer"/>
    <w:uiPriority w:val="99"/>
    <w:rsid w:val="002979FA"/>
    <w:rPr>
      <w:sz w:val="24"/>
      <w:szCs w:val="24"/>
    </w:rPr>
  </w:style>
  <w:style w:type="paragraph" w:customStyle="1" w:styleId="SM">
    <w:name w:val="__S_M"/>
    <w:basedOn w:val="Normal"/>
    <w:next w:val="Normal"/>
    <w:rsid w:val="00621D8E"/>
    <w:pPr>
      <w:keepNext/>
      <w:keepLines/>
      <w:tabs>
        <w:tab w:val="right" w:leader="dot" w:pos="360"/>
      </w:tabs>
      <w:suppressAutoHyphens/>
      <w:spacing w:line="390" w:lineRule="exact"/>
      <w:ind w:left="1267" w:right="1267"/>
      <w:outlineLvl w:val="0"/>
    </w:pPr>
    <w:rPr>
      <w:rFonts w:eastAsia="Calibri"/>
      <w:b/>
      <w:spacing w:val="-4"/>
      <w:w w:val="98"/>
      <w:kern w:val="14"/>
      <w:sz w:val="40"/>
      <w:szCs w:val="20"/>
      <w:lang w:val="en-GB"/>
    </w:rPr>
  </w:style>
  <w:style w:type="paragraph" w:customStyle="1" w:styleId="ReleaseDate">
    <w:name w:val="Release Date"/>
    <w:next w:val="Footer"/>
    <w:rsid w:val="00621D8E"/>
    <w:rPr>
      <w:rFonts w:eastAsia="Calibri"/>
      <w:spacing w:val="4"/>
      <w:w w:val="103"/>
      <w:kern w:val="14"/>
      <w:lang w:val="en-GB"/>
    </w:rPr>
  </w:style>
  <w:style w:type="paragraph" w:customStyle="1" w:styleId="normal2">
    <w:name w:val="normal 2"/>
    <w:basedOn w:val="Normal"/>
    <w:link w:val="normal2Char"/>
    <w:qFormat/>
    <w:rsid w:val="004E0E75"/>
    <w:pPr>
      <w:numPr>
        <w:numId w:val="1"/>
      </w:numPr>
      <w:tabs>
        <w:tab w:val="left" w:pos="1620"/>
      </w:tabs>
      <w:autoSpaceDE w:val="0"/>
      <w:autoSpaceDN w:val="0"/>
      <w:adjustRightInd w:val="0"/>
      <w:spacing w:before="120"/>
      <w:ind w:right="446"/>
      <w:jc w:val="both"/>
    </w:pPr>
    <w:rPr>
      <w:w w:val="103"/>
      <w:sz w:val="20"/>
      <w:szCs w:val="20"/>
      <w:lang w:val="en-GB"/>
    </w:rPr>
  </w:style>
  <w:style w:type="character" w:customStyle="1" w:styleId="normal2Char">
    <w:name w:val="normal 2 Char"/>
    <w:link w:val="normal2"/>
    <w:rsid w:val="00F20A98"/>
    <w:rPr>
      <w:w w:val="103"/>
      <w:lang w:val="en-GB"/>
    </w:rPr>
  </w:style>
  <w:style w:type="paragraph" w:customStyle="1" w:styleId="bulletnormal">
    <w:name w:val="bullet normal"/>
    <w:basedOn w:val="Normal"/>
    <w:link w:val="bulletnormalChar"/>
    <w:qFormat/>
    <w:rsid w:val="004E0E75"/>
    <w:pPr>
      <w:numPr>
        <w:numId w:val="2"/>
      </w:numPr>
      <w:ind w:right="86"/>
    </w:pPr>
    <w:rPr>
      <w:rFonts w:eastAsia="ヒラギノ角ゴ Pro W3"/>
      <w:color w:val="000000"/>
      <w:sz w:val="20"/>
      <w:szCs w:val="20"/>
    </w:rPr>
  </w:style>
  <w:style w:type="character" w:customStyle="1" w:styleId="bulletnormalChar">
    <w:name w:val="bullet normal Char"/>
    <w:link w:val="bulletnormal"/>
    <w:rsid w:val="00F20A98"/>
    <w:rPr>
      <w:rFonts w:eastAsia="ヒラギノ角ゴ Pro W3"/>
      <w:color w:val="000000"/>
    </w:rPr>
  </w:style>
  <w:style w:type="character" w:customStyle="1" w:styleId="apple-converted-space">
    <w:name w:val="apple-converted-space"/>
    <w:rsid w:val="004E0E75"/>
  </w:style>
  <w:style w:type="paragraph" w:styleId="Revision">
    <w:name w:val="Revision"/>
    <w:hidden/>
    <w:uiPriority w:val="99"/>
    <w:semiHidden/>
    <w:rsid w:val="004E0E75"/>
    <w:rPr>
      <w:sz w:val="24"/>
      <w:szCs w:val="24"/>
    </w:rPr>
  </w:style>
  <w:style w:type="paragraph" w:styleId="ListParagraph">
    <w:name w:val="List Paragraph"/>
    <w:aliases w:val="Bullets,Bullet Points,MAIN CONTENT,L,Paragraphe de liste1,3,List 100s,Bul"/>
    <w:basedOn w:val="Normal"/>
    <w:uiPriority w:val="34"/>
    <w:qFormat/>
    <w:rsid w:val="00A302A6"/>
    <w:pPr>
      <w:ind w:left="720"/>
      <w:contextualSpacing/>
    </w:pPr>
  </w:style>
  <w:style w:type="paragraph" w:styleId="NormalWeb">
    <w:name w:val="Normal (Web)"/>
    <w:basedOn w:val="Normal"/>
    <w:uiPriority w:val="99"/>
    <w:unhideWhenUsed/>
    <w:rsid w:val="00B22D6A"/>
    <w:pPr>
      <w:spacing w:before="100" w:beforeAutospacing="1" w:after="100" w:afterAutospacing="1"/>
    </w:pPr>
  </w:style>
  <w:style w:type="paragraph" w:customStyle="1" w:styleId="paragraph">
    <w:name w:val="paragraph"/>
    <w:basedOn w:val="Normal"/>
    <w:rsid w:val="000F7D3D"/>
    <w:pPr>
      <w:spacing w:before="100" w:beforeAutospacing="1" w:after="100" w:afterAutospacing="1"/>
    </w:pPr>
  </w:style>
  <w:style w:type="character" w:customStyle="1" w:styleId="normaltextrun">
    <w:name w:val="normaltextrun"/>
    <w:basedOn w:val="DefaultParagraphFont"/>
    <w:rsid w:val="000F7D3D"/>
  </w:style>
  <w:style w:type="character" w:customStyle="1" w:styleId="eop">
    <w:name w:val="eop"/>
    <w:basedOn w:val="DefaultParagraphFont"/>
    <w:rsid w:val="000F7D3D"/>
  </w:style>
  <w:style w:type="character" w:customStyle="1" w:styleId="spellingerror">
    <w:name w:val="spellingerror"/>
    <w:basedOn w:val="DefaultParagraphFont"/>
    <w:rsid w:val="000F7D3D"/>
  </w:style>
  <w:style w:type="character" w:customStyle="1" w:styleId="FootnoteTextChar">
    <w:name w:val="Footnote Text Char"/>
    <w:aliases w:val="FOOTNOTES Char,fn Char,single space Char,f Char,Char Char Char Char,Char Char Char1,Char ChaFootnote Text Char,Footnote Text Char1 Char,Footnote Text Char Char Char,ft Char Char Char,single space Char Char Char,ft Char,Geneva Char"/>
    <w:basedOn w:val="DefaultParagraphFont"/>
    <w:link w:val="FootnoteText"/>
    <w:uiPriority w:val="99"/>
    <w:rsid w:val="00CA5269"/>
  </w:style>
  <w:style w:type="character" w:customStyle="1" w:styleId="Heading7Char">
    <w:name w:val="Heading 7 Char"/>
    <w:basedOn w:val="DefaultParagraphFont"/>
    <w:link w:val="Heading7"/>
    <w:semiHidden/>
    <w:rsid w:val="00A06706"/>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rsid w:val="00A06706"/>
    <w:rPr>
      <w:rFonts w:asciiTheme="majorHAnsi" w:eastAsiaTheme="majorEastAsia" w:hAnsiTheme="majorHAnsi" w:cstheme="majorBidi"/>
      <w:color w:val="272727" w:themeColor="text1" w:themeTint="D8"/>
      <w:sz w:val="21"/>
      <w:szCs w:val="21"/>
    </w:rPr>
  </w:style>
  <w:style w:type="paragraph" w:customStyle="1" w:styleId="Char2">
    <w:name w:val="Char2"/>
    <w:basedOn w:val="Normal"/>
    <w:link w:val="FootnoteReference"/>
    <w:uiPriority w:val="99"/>
    <w:rsid w:val="00DE112F"/>
    <w:pPr>
      <w:spacing w:after="160" w:line="240" w:lineRule="exact"/>
      <w:jc w:val="both"/>
    </w:pPr>
    <w:rPr>
      <w:sz w:val="20"/>
      <w:szCs w:val="20"/>
      <w:vertAlign w:val="superscript"/>
    </w:rPr>
  </w:style>
  <w:style w:type="character" w:styleId="Emphasis">
    <w:name w:val="Emphasis"/>
    <w:basedOn w:val="DefaultParagraphFont"/>
    <w:uiPriority w:val="20"/>
    <w:qFormat/>
    <w:rsid w:val="00AA6FD5"/>
    <w:rPr>
      <w:i/>
      <w:iCs/>
    </w:rPr>
  </w:style>
  <w:style w:type="character" w:customStyle="1" w:styleId="UnresolvedMention1">
    <w:name w:val="Unresolved Mention1"/>
    <w:basedOn w:val="DefaultParagraphFont"/>
    <w:uiPriority w:val="99"/>
    <w:semiHidden/>
    <w:unhideWhenUsed/>
    <w:rsid w:val="00495D7F"/>
    <w:rPr>
      <w:color w:val="808080"/>
      <w:shd w:val="clear" w:color="auto" w:fill="E6E6E6"/>
    </w:rPr>
  </w:style>
  <w:style w:type="character" w:customStyle="1" w:styleId="EmailStyle24">
    <w:name w:val="EmailStyle24"/>
    <w:basedOn w:val="DefaultParagraphFont"/>
    <w:rsid w:val="00E22DBD"/>
    <w:rPr>
      <w:rFonts w:ascii="Arial" w:hAnsi="Arial" w:cs="Arial" w:hint="default"/>
      <w:color w:val="000000"/>
    </w:rPr>
  </w:style>
  <w:style w:type="character" w:customStyle="1" w:styleId="A8">
    <w:name w:val="A8"/>
    <w:uiPriority w:val="99"/>
    <w:rsid w:val="001858B1"/>
    <w:rPr>
      <w:rFonts w:cs="Adobe Caslon Pro"/>
      <w:color w:val="000000"/>
      <w:sz w:val="12"/>
      <w:szCs w:val="12"/>
    </w:rPr>
  </w:style>
  <w:style w:type="character" w:customStyle="1" w:styleId="A4">
    <w:name w:val="A4"/>
    <w:uiPriority w:val="99"/>
    <w:rsid w:val="00C56AA9"/>
    <w:rPr>
      <w:rFonts w:cs="Myriad Pro"/>
      <w:color w:val="000000"/>
      <w:sz w:val="16"/>
      <w:szCs w:val="16"/>
    </w:rPr>
  </w:style>
  <w:style w:type="paragraph" w:customStyle="1" w:styleId="xmsonormal">
    <w:name w:val="x_msonormal"/>
    <w:basedOn w:val="Normal"/>
    <w:rsid w:val="00AF00AD"/>
    <w:rPr>
      <w:rFonts w:ascii="Calibri" w:eastAsiaTheme="minorHAnsi" w:hAnsi="Calibri" w:cs="Calibri"/>
      <w:sz w:val="22"/>
      <w:szCs w:val="22"/>
    </w:rPr>
  </w:style>
  <w:style w:type="character" w:customStyle="1" w:styleId="st">
    <w:name w:val="st"/>
    <w:basedOn w:val="DefaultParagraphFont"/>
    <w:rsid w:val="00BA54E5"/>
  </w:style>
  <w:style w:type="character" w:customStyle="1" w:styleId="entry-title">
    <w:name w:val="entry-title"/>
    <w:basedOn w:val="DefaultParagraphFont"/>
    <w:rsid w:val="00BA54E5"/>
  </w:style>
  <w:style w:type="character" w:styleId="Strong">
    <w:name w:val="Strong"/>
    <w:basedOn w:val="DefaultParagraphFont"/>
    <w:uiPriority w:val="22"/>
    <w:qFormat/>
    <w:rsid w:val="00BB1F60"/>
    <w:rPr>
      <w:b/>
      <w:bCs/>
    </w:rPr>
  </w:style>
  <w:style w:type="paragraph" w:customStyle="1" w:styleId="BVIfnrCarCar">
    <w:name w:val="BVI fnr Car Car"/>
    <w:aliases w:val="BVI fnr Car,BVI fnr Car Car Car Car,BVI fnr Char Char Char Char Char Char Char, BVI fnr Car Car, BVI fnr Car Car Car Car, BVI fnr Char Char Char Char Char Char Char"/>
    <w:basedOn w:val="Normal"/>
    <w:uiPriority w:val="99"/>
    <w:rsid w:val="00EA27F0"/>
    <w:pPr>
      <w:spacing w:after="160" w:line="240" w:lineRule="exact"/>
    </w:pPr>
    <w:rPr>
      <w:rFonts w:asciiTheme="minorHAnsi" w:eastAsiaTheme="minorHAnsi" w:hAnsiTheme="minorHAnsi" w:cstheme="minorBidi"/>
      <w:sz w:val="22"/>
      <w:szCs w:val="22"/>
      <w:vertAlign w:val="superscript"/>
    </w:rPr>
  </w:style>
  <w:style w:type="paragraph" w:styleId="EndnoteText">
    <w:name w:val="endnote text"/>
    <w:basedOn w:val="Normal"/>
    <w:link w:val="EndnoteTextChar"/>
    <w:uiPriority w:val="99"/>
    <w:semiHidden/>
    <w:unhideWhenUsed/>
    <w:rsid w:val="00195CA0"/>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195CA0"/>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195CA0"/>
    <w:rPr>
      <w:vertAlign w:val="superscript"/>
    </w:rPr>
  </w:style>
  <w:style w:type="paragraph" w:styleId="Title">
    <w:name w:val="Title"/>
    <w:basedOn w:val="Normal"/>
    <w:next w:val="Normal"/>
    <w:link w:val="TitleChar"/>
    <w:uiPriority w:val="10"/>
    <w:qFormat/>
    <w:rsid w:val="002F580C"/>
    <w:pPr>
      <w:pBdr>
        <w:top w:val="nil"/>
        <w:left w:val="nil"/>
        <w:bottom w:val="nil"/>
        <w:right w:val="nil"/>
        <w:between w:val="nil"/>
        <w:bar w:val="nil"/>
      </w:pBdr>
      <w:contextualSpacing/>
    </w:pPr>
    <w:rPr>
      <w:rFonts w:asciiTheme="majorHAnsi" w:eastAsiaTheme="majorEastAsia" w:hAnsiTheme="majorHAnsi" w:cstheme="majorBidi"/>
      <w:spacing w:val="-10"/>
      <w:kern w:val="28"/>
      <w:sz w:val="56"/>
      <w:szCs w:val="56"/>
      <w:bdr w:val="nil"/>
    </w:rPr>
  </w:style>
  <w:style w:type="character" w:customStyle="1" w:styleId="TitleChar">
    <w:name w:val="Title Char"/>
    <w:basedOn w:val="DefaultParagraphFont"/>
    <w:link w:val="Title"/>
    <w:uiPriority w:val="10"/>
    <w:rsid w:val="002F580C"/>
    <w:rPr>
      <w:rFonts w:asciiTheme="majorHAnsi" w:eastAsiaTheme="majorEastAsia" w:hAnsiTheme="majorHAnsi" w:cstheme="majorBidi"/>
      <w:spacing w:val="-10"/>
      <w:kern w:val="28"/>
      <w:sz w:val="56"/>
      <w:szCs w:val="56"/>
      <w:bdr w:val="nil"/>
    </w:rPr>
  </w:style>
  <w:style w:type="character" w:customStyle="1" w:styleId="italic">
    <w:name w:val="italic"/>
    <w:basedOn w:val="DefaultParagraphFont"/>
    <w:rsid w:val="00C651CC"/>
  </w:style>
  <w:style w:type="character" w:customStyle="1" w:styleId="authors">
    <w:name w:val="authors"/>
    <w:basedOn w:val="DefaultParagraphFont"/>
    <w:rsid w:val="008E314A"/>
  </w:style>
  <w:style w:type="character" w:customStyle="1" w:styleId="PlainTextChar">
    <w:name w:val="Plain Text Char"/>
    <w:basedOn w:val="DefaultParagraphFont"/>
    <w:link w:val="PlainText"/>
    <w:uiPriority w:val="99"/>
    <w:rsid w:val="00E95830"/>
    <w:rPr>
      <w:rFonts w:ascii="Courier New" w:eastAsia="MS Mincho" w:hAnsi="Courier New" w:cs="Courier New"/>
      <w:lang w:eastAsia="zh-TW"/>
    </w:rPr>
  </w:style>
  <w:style w:type="character" w:styleId="UnresolvedMention">
    <w:name w:val="Unresolved Mention"/>
    <w:basedOn w:val="DefaultParagraphFont"/>
    <w:uiPriority w:val="99"/>
    <w:unhideWhenUsed/>
    <w:rsid w:val="00672310"/>
    <w:rPr>
      <w:color w:val="605E5C"/>
      <w:shd w:val="clear" w:color="auto" w:fill="E1DFDD"/>
    </w:rPr>
  </w:style>
  <w:style w:type="paragraph" w:customStyle="1" w:styleId="xxmsonormal">
    <w:name w:val="x_xmsonormal"/>
    <w:basedOn w:val="Normal"/>
    <w:rsid w:val="00EB31EA"/>
    <w:rPr>
      <w:rFonts w:ascii="Calibri" w:eastAsiaTheme="minorHAnsi" w:hAnsi="Calibri" w:cs="Calibri"/>
      <w:sz w:val="22"/>
      <w:szCs w:val="22"/>
    </w:rPr>
  </w:style>
  <w:style w:type="paragraph" w:customStyle="1" w:styleId="Body">
    <w:name w:val="Body"/>
    <w:rsid w:val="00EB31EA"/>
    <w:pPr>
      <w:pBdr>
        <w:top w:val="nil"/>
        <w:left w:val="nil"/>
        <w:bottom w:val="nil"/>
        <w:right w:val="nil"/>
        <w:between w:val="nil"/>
        <w:bar w:val="nil"/>
      </w:pBdr>
      <w:suppressAutoHyphens/>
      <w:spacing w:before="120" w:after="120" w:line="240" w:lineRule="exact"/>
      <w:ind w:left="1224"/>
      <w:jc w:val="both"/>
    </w:pPr>
    <w:rPr>
      <w:rFonts w:eastAsia="Arial Unicode MS" w:hAnsi="Arial Unicode MS" w:cs="Arial Unicode MS"/>
      <w:color w:val="000000"/>
      <w:spacing w:val="3"/>
      <w:kern w:val="14"/>
      <w:u w:color="000000"/>
      <w:bdr w:val="nil"/>
    </w:rPr>
  </w:style>
  <w:style w:type="character" w:customStyle="1" w:styleId="highlight">
    <w:name w:val="highlight"/>
    <w:basedOn w:val="DefaultParagraphFont"/>
    <w:rsid w:val="00866AA5"/>
  </w:style>
  <w:style w:type="character" w:customStyle="1" w:styleId="A5">
    <w:name w:val="A5"/>
    <w:uiPriority w:val="99"/>
    <w:rsid w:val="00D27DCB"/>
    <w:rPr>
      <w:rFonts w:cs="Roboto Light"/>
      <w:color w:val="000000"/>
      <w:sz w:val="12"/>
      <w:szCs w:val="12"/>
    </w:rPr>
  </w:style>
  <w:style w:type="paragraph" w:customStyle="1" w:styleId="field-item">
    <w:name w:val="field-item"/>
    <w:basedOn w:val="Normal"/>
    <w:rsid w:val="00F15237"/>
    <w:pPr>
      <w:spacing w:before="100" w:beforeAutospacing="1" w:after="100" w:afterAutospacing="1"/>
    </w:pPr>
  </w:style>
  <w:style w:type="paragraph" w:customStyle="1" w:styleId="BVIfnrCharCharChar">
    <w:name w:val="BVI fnr Char Char Char"/>
    <w:aliases w:val="ftref Char Char Char,16 Point Char Char Char,Superscript 6 Point Char Char Char"/>
    <w:basedOn w:val="Normal"/>
    <w:rsid w:val="00027A71"/>
    <w:pPr>
      <w:spacing w:before="120" w:after="160" w:line="240" w:lineRule="exact"/>
      <w:jc w:val="both"/>
    </w:pPr>
    <w:rPr>
      <w:rFonts w:asciiTheme="minorHAnsi" w:eastAsiaTheme="minorHAnsi" w:hAnsiTheme="minorHAnsi" w:cstheme="minorBidi"/>
      <w:sz w:val="22"/>
      <w:szCs w:val="22"/>
      <w:vertAlign w:val="superscript"/>
    </w:rPr>
  </w:style>
  <w:style w:type="paragraph" w:customStyle="1" w:styleId="footnote">
    <w:name w:val="_footnote"/>
    <w:basedOn w:val="FootnoteText"/>
    <w:link w:val="footnoteChar"/>
    <w:qFormat/>
    <w:rsid w:val="00027A71"/>
    <w:pPr>
      <w:spacing w:before="160"/>
      <w:ind w:left="-288" w:right="86"/>
      <w:contextualSpacing/>
      <w:jc w:val="both"/>
    </w:pPr>
    <w:rPr>
      <w:rFonts w:asciiTheme="minorHAnsi" w:eastAsiaTheme="minorHAnsi" w:hAnsiTheme="minorHAnsi" w:cstheme="minorHAnsi"/>
      <w:noProof/>
      <w:sz w:val="18"/>
      <w:szCs w:val="18"/>
      <w:lang w:val="en-GB"/>
    </w:rPr>
  </w:style>
  <w:style w:type="character" w:customStyle="1" w:styleId="footnoteChar">
    <w:name w:val="_footnote Char"/>
    <w:basedOn w:val="DefaultParagraphFont"/>
    <w:link w:val="footnote"/>
    <w:rsid w:val="00027A71"/>
    <w:rPr>
      <w:rFonts w:asciiTheme="minorHAnsi" w:eastAsiaTheme="minorHAnsi" w:hAnsiTheme="minorHAnsi" w:cstheme="minorHAnsi"/>
      <w:noProof/>
      <w:sz w:val="18"/>
      <w:szCs w:val="18"/>
      <w:lang w:val="en-GB"/>
    </w:rPr>
  </w:style>
  <w:style w:type="paragraph" w:styleId="BodyText">
    <w:name w:val="Body Text"/>
    <w:basedOn w:val="Normal"/>
    <w:link w:val="BodyTextChar"/>
    <w:unhideWhenUsed/>
    <w:rsid w:val="00D646A7"/>
    <w:pPr>
      <w:spacing w:after="120"/>
    </w:pPr>
  </w:style>
  <w:style w:type="character" w:customStyle="1" w:styleId="BodyTextChar">
    <w:name w:val="Body Text Char"/>
    <w:basedOn w:val="DefaultParagraphFont"/>
    <w:link w:val="BodyText"/>
    <w:rsid w:val="00D646A7"/>
    <w:rPr>
      <w:sz w:val="24"/>
      <w:szCs w:val="24"/>
    </w:rPr>
  </w:style>
  <w:style w:type="paragraph" w:customStyle="1" w:styleId="Recommendationtext">
    <w:name w:val="Recommendation text"/>
    <w:basedOn w:val="BodyText"/>
    <w:rsid w:val="00D646A7"/>
    <w:pPr>
      <w:widowControl w:val="0"/>
      <w:spacing w:before="120" w:after="0"/>
      <w:jc w:val="both"/>
    </w:pPr>
    <w:rPr>
      <w:rFonts w:ascii="Calibri" w:hAnsi="Calibri"/>
      <w:b/>
      <w:bCs/>
      <w:sz w:val="22"/>
      <w:szCs w:val="22"/>
      <w:lang w:val="en-GB"/>
    </w:rPr>
  </w:style>
  <w:style w:type="paragraph" w:customStyle="1" w:styleId="Normal0">
    <w:name w:val="Normal0"/>
    <w:basedOn w:val="Normal"/>
    <w:qFormat/>
    <w:rsid w:val="005C6CFB"/>
    <w:pPr>
      <w:suppressAutoHyphens/>
      <w:spacing w:before="120" w:after="120" w:line="240" w:lineRule="exact"/>
      <w:jc w:val="both"/>
    </w:pPr>
    <w:rPr>
      <w:rFonts w:eastAsia="Calibri"/>
      <w:noProof/>
      <w:spacing w:val="4"/>
      <w:w w:val="103"/>
      <w:kern w:val="14"/>
      <w:sz w:val="20"/>
      <w:szCs w:val="20"/>
      <w:lang w:val="en-GB"/>
    </w:rPr>
  </w:style>
  <w:style w:type="character" w:styleId="Mention">
    <w:name w:val="Mention"/>
    <w:basedOn w:val="DefaultParagraphFont"/>
    <w:uiPriority w:val="99"/>
    <w:unhideWhenUsed/>
    <w:rsid w:val="00E05B0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41034">
      <w:bodyDiv w:val="1"/>
      <w:marLeft w:val="0"/>
      <w:marRight w:val="0"/>
      <w:marTop w:val="0"/>
      <w:marBottom w:val="0"/>
      <w:divBdr>
        <w:top w:val="none" w:sz="0" w:space="0" w:color="auto"/>
        <w:left w:val="none" w:sz="0" w:space="0" w:color="auto"/>
        <w:bottom w:val="none" w:sz="0" w:space="0" w:color="auto"/>
        <w:right w:val="none" w:sz="0" w:space="0" w:color="auto"/>
      </w:divBdr>
    </w:div>
    <w:div w:id="81418915">
      <w:bodyDiv w:val="1"/>
      <w:marLeft w:val="0"/>
      <w:marRight w:val="0"/>
      <w:marTop w:val="0"/>
      <w:marBottom w:val="0"/>
      <w:divBdr>
        <w:top w:val="none" w:sz="0" w:space="0" w:color="auto"/>
        <w:left w:val="none" w:sz="0" w:space="0" w:color="auto"/>
        <w:bottom w:val="none" w:sz="0" w:space="0" w:color="auto"/>
        <w:right w:val="none" w:sz="0" w:space="0" w:color="auto"/>
      </w:divBdr>
    </w:div>
    <w:div w:id="148640003">
      <w:bodyDiv w:val="1"/>
      <w:marLeft w:val="0"/>
      <w:marRight w:val="0"/>
      <w:marTop w:val="0"/>
      <w:marBottom w:val="0"/>
      <w:divBdr>
        <w:top w:val="none" w:sz="0" w:space="0" w:color="auto"/>
        <w:left w:val="none" w:sz="0" w:space="0" w:color="auto"/>
        <w:bottom w:val="none" w:sz="0" w:space="0" w:color="auto"/>
        <w:right w:val="none" w:sz="0" w:space="0" w:color="auto"/>
      </w:divBdr>
      <w:divsChild>
        <w:div w:id="470245569">
          <w:marLeft w:val="0"/>
          <w:marRight w:val="0"/>
          <w:marTop w:val="0"/>
          <w:marBottom w:val="0"/>
          <w:divBdr>
            <w:top w:val="none" w:sz="0" w:space="0" w:color="auto"/>
            <w:left w:val="none" w:sz="0" w:space="0" w:color="auto"/>
            <w:bottom w:val="none" w:sz="0" w:space="0" w:color="auto"/>
            <w:right w:val="none" w:sz="0" w:space="0" w:color="auto"/>
          </w:divBdr>
        </w:div>
        <w:div w:id="888999784">
          <w:marLeft w:val="0"/>
          <w:marRight w:val="0"/>
          <w:marTop w:val="0"/>
          <w:marBottom w:val="0"/>
          <w:divBdr>
            <w:top w:val="none" w:sz="0" w:space="0" w:color="auto"/>
            <w:left w:val="none" w:sz="0" w:space="0" w:color="auto"/>
            <w:bottom w:val="none" w:sz="0" w:space="0" w:color="auto"/>
            <w:right w:val="none" w:sz="0" w:space="0" w:color="auto"/>
          </w:divBdr>
        </w:div>
        <w:div w:id="989478189">
          <w:marLeft w:val="0"/>
          <w:marRight w:val="0"/>
          <w:marTop w:val="0"/>
          <w:marBottom w:val="0"/>
          <w:divBdr>
            <w:top w:val="none" w:sz="0" w:space="0" w:color="auto"/>
            <w:left w:val="none" w:sz="0" w:space="0" w:color="auto"/>
            <w:bottom w:val="none" w:sz="0" w:space="0" w:color="auto"/>
            <w:right w:val="none" w:sz="0" w:space="0" w:color="auto"/>
          </w:divBdr>
        </w:div>
        <w:div w:id="1131945210">
          <w:marLeft w:val="0"/>
          <w:marRight w:val="0"/>
          <w:marTop w:val="0"/>
          <w:marBottom w:val="0"/>
          <w:divBdr>
            <w:top w:val="none" w:sz="0" w:space="0" w:color="auto"/>
            <w:left w:val="none" w:sz="0" w:space="0" w:color="auto"/>
            <w:bottom w:val="none" w:sz="0" w:space="0" w:color="auto"/>
            <w:right w:val="none" w:sz="0" w:space="0" w:color="auto"/>
          </w:divBdr>
        </w:div>
        <w:div w:id="1318874705">
          <w:marLeft w:val="0"/>
          <w:marRight w:val="0"/>
          <w:marTop w:val="0"/>
          <w:marBottom w:val="0"/>
          <w:divBdr>
            <w:top w:val="none" w:sz="0" w:space="0" w:color="auto"/>
            <w:left w:val="none" w:sz="0" w:space="0" w:color="auto"/>
            <w:bottom w:val="none" w:sz="0" w:space="0" w:color="auto"/>
            <w:right w:val="none" w:sz="0" w:space="0" w:color="auto"/>
          </w:divBdr>
        </w:div>
        <w:div w:id="1929849611">
          <w:marLeft w:val="0"/>
          <w:marRight w:val="0"/>
          <w:marTop w:val="0"/>
          <w:marBottom w:val="0"/>
          <w:divBdr>
            <w:top w:val="none" w:sz="0" w:space="0" w:color="auto"/>
            <w:left w:val="none" w:sz="0" w:space="0" w:color="auto"/>
            <w:bottom w:val="none" w:sz="0" w:space="0" w:color="auto"/>
            <w:right w:val="none" w:sz="0" w:space="0" w:color="auto"/>
          </w:divBdr>
        </w:div>
      </w:divsChild>
    </w:div>
    <w:div w:id="223026182">
      <w:bodyDiv w:val="1"/>
      <w:marLeft w:val="0"/>
      <w:marRight w:val="0"/>
      <w:marTop w:val="0"/>
      <w:marBottom w:val="0"/>
      <w:divBdr>
        <w:top w:val="none" w:sz="0" w:space="0" w:color="auto"/>
        <w:left w:val="none" w:sz="0" w:space="0" w:color="auto"/>
        <w:bottom w:val="none" w:sz="0" w:space="0" w:color="auto"/>
        <w:right w:val="none" w:sz="0" w:space="0" w:color="auto"/>
      </w:divBdr>
    </w:div>
    <w:div w:id="232737055">
      <w:bodyDiv w:val="1"/>
      <w:marLeft w:val="0"/>
      <w:marRight w:val="0"/>
      <w:marTop w:val="0"/>
      <w:marBottom w:val="0"/>
      <w:divBdr>
        <w:top w:val="none" w:sz="0" w:space="0" w:color="auto"/>
        <w:left w:val="none" w:sz="0" w:space="0" w:color="auto"/>
        <w:bottom w:val="none" w:sz="0" w:space="0" w:color="auto"/>
        <w:right w:val="none" w:sz="0" w:space="0" w:color="auto"/>
      </w:divBdr>
    </w:div>
    <w:div w:id="298656089">
      <w:bodyDiv w:val="1"/>
      <w:marLeft w:val="0"/>
      <w:marRight w:val="0"/>
      <w:marTop w:val="0"/>
      <w:marBottom w:val="0"/>
      <w:divBdr>
        <w:top w:val="none" w:sz="0" w:space="0" w:color="auto"/>
        <w:left w:val="none" w:sz="0" w:space="0" w:color="auto"/>
        <w:bottom w:val="none" w:sz="0" w:space="0" w:color="auto"/>
        <w:right w:val="none" w:sz="0" w:space="0" w:color="auto"/>
      </w:divBdr>
    </w:div>
    <w:div w:id="302662504">
      <w:bodyDiv w:val="1"/>
      <w:marLeft w:val="0"/>
      <w:marRight w:val="0"/>
      <w:marTop w:val="0"/>
      <w:marBottom w:val="0"/>
      <w:divBdr>
        <w:top w:val="none" w:sz="0" w:space="0" w:color="auto"/>
        <w:left w:val="none" w:sz="0" w:space="0" w:color="auto"/>
        <w:bottom w:val="none" w:sz="0" w:space="0" w:color="auto"/>
        <w:right w:val="none" w:sz="0" w:space="0" w:color="auto"/>
      </w:divBdr>
    </w:div>
    <w:div w:id="360329333">
      <w:bodyDiv w:val="1"/>
      <w:marLeft w:val="0"/>
      <w:marRight w:val="0"/>
      <w:marTop w:val="0"/>
      <w:marBottom w:val="0"/>
      <w:divBdr>
        <w:top w:val="none" w:sz="0" w:space="0" w:color="auto"/>
        <w:left w:val="none" w:sz="0" w:space="0" w:color="auto"/>
        <w:bottom w:val="none" w:sz="0" w:space="0" w:color="auto"/>
        <w:right w:val="none" w:sz="0" w:space="0" w:color="auto"/>
      </w:divBdr>
    </w:div>
    <w:div w:id="372972260">
      <w:bodyDiv w:val="1"/>
      <w:marLeft w:val="0"/>
      <w:marRight w:val="0"/>
      <w:marTop w:val="0"/>
      <w:marBottom w:val="0"/>
      <w:divBdr>
        <w:top w:val="none" w:sz="0" w:space="0" w:color="auto"/>
        <w:left w:val="none" w:sz="0" w:space="0" w:color="auto"/>
        <w:bottom w:val="none" w:sz="0" w:space="0" w:color="auto"/>
        <w:right w:val="none" w:sz="0" w:space="0" w:color="auto"/>
      </w:divBdr>
    </w:div>
    <w:div w:id="389967223">
      <w:bodyDiv w:val="1"/>
      <w:marLeft w:val="0"/>
      <w:marRight w:val="0"/>
      <w:marTop w:val="0"/>
      <w:marBottom w:val="0"/>
      <w:divBdr>
        <w:top w:val="none" w:sz="0" w:space="0" w:color="auto"/>
        <w:left w:val="none" w:sz="0" w:space="0" w:color="auto"/>
        <w:bottom w:val="none" w:sz="0" w:space="0" w:color="auto"/>
        <w:right w:val="none" w:sz="0" w:space="0" w:color="auto"/>
      </w:divBdr>
    </w:div>
    <w:div w:id="409279952">
      <w:bodyDiv w:val="1"/>
      <w:marLeft w:val="0"/>
      <w:marRight w:val="0"/>
      <w:marTop w:val="0"/>
      <w:marBottom w:val="0"/>
      <w:divBdr>
        <w:top w:val="none" w:sz="0" w:space="0" w:color="auto"/>
        <w:left w:val="none" w:sz="0" w:space="0" w:color="auto"/>
        <w:bottom w:val="none" w:sz="0" w:space="0" w:color="auto"/>
        <w:right w:val="none" w:sz="0" w:space="0" w:color="auto"/>
      </w:divBdr>
    </w:div>
    <w:div w:id="415594723">
      <w:bodyDiv w:val="1"/>
      <w:marLeft w:val="0"/>
      <w:marRight w:val="0"/>
      <w:marTop w:val="0"/>
      <w:marBottom w:val="0"/>
      <w:divBdr>
        <w:top w:val="none" w:sz="0" w:space="0" w:color="auto"/>
        <w:left w:val="none" w:sz="0" w:space="0" w:color="auto"/>
        <w:bottom w:val="none" w:sz="0" w:space="0" w:color="auto"/>
        <w:right w:val="none" w:sz="0" w:space="0" w:color="auto"/>
      </w:divBdr>
    </w:div>
    <w:div w:id="442072155">
      <w:bodyDiv w:val="1"/>
      <w:marLeft w:val="0"/>
      <w:marRight w:val="0"/>
      <w:marTop w:val="0"/>
      <w:marBottom w:val="0"/>
      <w:divBdr>
        <w:top w:val="none" w:sz="0" w:space="0" w:color="auto"/>
        <w:left w:val="none" w:sz="0" w:space="0" w:color="auto"/>
        <w:bottom w:val="none" w:sz="0" w:space="0" w:color="auto"/>
        <w:right w:val="none" w:sz="0" w:space="0" w:color="auto"/>
      </w:divBdr>
    </w:div>
    <w:div w:id="547836133">
      <w:bodyDiv w:val="1"/>
      <w:marLeft w:val="0"/>
      <w:marRight w:val="0"/>
      <w:marTop w:val="0"/>
      <w:marBottom w:val="0"/>
      <w:divBdr>
        <w:top w:val="none" w:sz="0" w:space="0" w:color="auto"/>
        <w:left w:val="none" w:sz="0" w:space="0" w:color="auto"/>
        <w:bottom w:val="none" w:sz="0" w:space="0" w:color="auto"/>
        <w:right w:val="none" w:sz="0" w:space="0" w:color="auto"/>
      </w:divBdr>
    </w:div>
    <w:div w:id="576938849">
      <w:bodyDiv w:val="1"/>
      <w:marLeft w:val="0"/>
      <w:marRight w:val="0"/>
      <w:marTop w:val="0"/>
      <w:marBottom w:val="0"/>
      <w:divBdr>
        <w:top w:val="none" w:sz="0" w:space="0" w:color="auto"/>
        <w:left w:val="none" w:sz="0" w:space="0" w:color="auto"/>
        <w:bottom w:val="none" w:sz="0" w:space="0" w:color="auto"/>
        <w:right w:val="none" w:sz="0" w:space="0" w:color="auto"/>
      </w:divBdr>
    </w:div>
    <w:div w:id="582489188">
      <w:bodyDiv w:val="1"/>
      <w:marLeft w:val="0"/>
      <w:marRight w:val="0"/>
      <w:marTop w:val="0"/>
      <w:marBottom w:val="0"/>
      <w:divBdr>
        <w:top w:val="none" w:sz="0" w:space="0" w:color="auto"/>
        <w:left w:val="none" w:sz="0" w:space="0" w:color="auto"/>
        <w:bottom w:val="none" w:sz="0" w:space="0" w:color="auto"/>
        <w:right w:val="none" w:sz="0" w:space="0" w:color="auto"/>
      </w:divBdr>
    </w:div>
    <w:div w:id="672952659">
      <w:bodyDiv w:val="1"/>
      <w:marLeft w:val="0"/>
      <w:marRight w:val="0"/>
      <w:marTop w:val="0"/>
      <w:marBottom w:val="0"/>
      <w:divBdr>
        <w:top w:val="none" w:sz="0" w:space="0" w:color="auto"/>
        <w:left w:val="none" w:sz="0" w:space="0" w:color="auto"/>
        <w:bottom w:val="none" w:sz="0" w:space="0" w:color="auto"/>
        <w:right w:val="none" w:sz="0" w:space="0" w:color="auto"/>
      </w:divBdr>
    </w:div>
    <w:div w:id="704331953">
      <w:bodyDiv w:val="1"/>
      <w:marLeft w:val="0"/>
      <w:marRight w:val="0"/>
      <w:marTop w:val="0"/>
      <w:marBottom w:val="0"/>
      <w:divBdr>
        <w:top w:val="none" w:sz="0" w:space="0" w:color="auto"/>
        <w:left w:val="none" w:sz="0" w:space="0" w:color="auto"/>
        <w:bottom w:val="none" w:sz="0" w:space="0" w:color="auto"/>
        <w:right w:val="none" w:sz="0" w:space="0" w:color="auto"/>
      </w:divBdr>
    </w:div>
    <w:div w:id="724179682">
      <w:bodyDiv w:val="1"/>
      <w:marLeft w:val="0"/>
      <w:marRight w:val="0"/>
      <w:marTop w:val="0"/>
      <w:marBottom w:val="0"/>
      <w:divBdr>
        <w:top w:val="none" w:sz="0" w:space="0" w:color="auto"/>
        <w:left w:val="none" w:sz="0" w:space="0" w:color="auto"/>
        <w:bottom w:val="none" w:sz="0" w:space="0" w:color="auto"/>
        <w:right w:val="none" w:sz="0" w:space="0" w:color="auto"/>
      </w:divBdr>
    </w:div>
    <w:div w:id="733940497">
      <w:bodyDiv w:val="1"/>
      <w:marLeft w:val="0"/>
      <w:marRight w:val="0"/>
      <w:marTop w:val="0"/>
      <w:marBottom w:val="0"/>
      <w:divBdr>
        <w:top w:val="none" w:sz="0" w:space="0" w:color="auto"/>
        <w:left w:val="none" w:sz="0" w:space="0" w:color="auto"/>
        <w:bottom w:val="none" w:sz="0" w:space="0" w:color="auto"/>
        <w:right w:val="none" w:sz="0" w:space="0" w:color="auto"/>
      </w:divBdr>
    </w:div>
    <w:div w:id="741490868">
      <w:bodyDiv w:val="1"/>
      <w:marLeft w:val="0"/>
      <w:marRight w:val="0"/>
      <w:marTop w:val="0"/>
      <w:marBottom w:val="0"/>
      <w:divBdr>
        <w:top w:val="none" w:sz="0" w:space="0" w:color="auto"/>
        <w:left w:val="none" w:sz="0" w:space="0" w:color="auto"/>
        <w:bottom w:val="none" w:sz="0" w:space="0" w:color="auto"/>
        <w:right w:val="none" w:sz="0" w:space="0" w:color="auto"/>
      </w:divBdr>
    </w:div>
    <w:div w:id="756171877">
      <w:bodyDiv w:val="1"/>
      <w:marLeft w:val="0"/>
      <w:marRight w:val="0"/>
      <w:marTop w:val="0"/>
      <w:marBottom w:val="0"/>
      <w:divBdr>
        <w:top w:val="none" w:sz="0" w:space="0" w:color="auto"/>
        <w:left w:val="none" w:sz="0" w:space="0" w:color="auto"/>
        <w:bottom w:val="none" w:sz="0" w:space="0" w:color="auto"/>
        <w:right w:val="none" w:sz="0" w:space="0" w:color="auto"/>
      </w:divBdr>
    </w:div>
    <w:div w:id="778449133">
      <w:bodyDiv w:val="1"/>
      <w:marLeft w:val="0"/>
      <w:marRight w:val="0"/>
      <w:marTop w:val="0"/>
      <w:marBottom w:val="0"/>
      <w:divBdr>
        <w:top w:val="none" w:sz="0" w:space="0" w:color="auto"/>
        <w:left w:val="none" w:sz="0" w:space="0" w:color="auto"/>
        <w:bottom w:val="none" w:sz="0" w:space="0" w:color="auto"/>
        <w:right w:val="none" w:sz="0" w:space="0" w:color="auto"/>
      </w:divBdr>
    </w:div>
    <w:div w:id="806702296">
      <w:bodyDiv w:val="1"/>
      <w:marLeft w:val="0"/>
      <w:marRight w:val="0"/>
      <w:marTop w:val="0"/>
      <w:marBottom w:val="0"/>
      <w:divBdr>
        <w:top w:val="none" w:sz="0" w:space="0" w:color="auto"/>
        <w:left w:val="none" w:sz="0" w:space="0" w:color="auto"/>
        <w:bottom w:val="none" w:sz="0" w:space="0" w:color="auto"/>
        <w:right w:val="none" w:sz="0" w:space="0" w:color="auto"/>
      </w:divBdr>
    </w:div>
    <w:div w:id="861017258">
      <w:bodyDiv w:val="1"/>
      <w:marLeft w:val="0"/>
      <w:marRight w:val="0"/>
      <w:marTop w:val="0"/>
      <w:marBottom w:val="0"/>
      <w:divBdr>
        <w:top w:val="none" w:sz="0" w:space="0" w:color="auto"/>
        <w:left w:val="none" w:sz="0" w:space="0" w:color="auto"/>
        <w:bottom w:val="none" w:sz="0" w:space="0" w:color="auto"/>
        <w:right w:val="none" w:sz="0" w:space="0" w:color="auto"/>
      </w:divBdr>
    </w:div>
    <w:div w:id="889540917">
      <w:bodyDiv w:val="1"/>
      <w:marLeft w:val="0"/>
      <w:marRight w:val="0"/>
      <w:marTop w:val="0"/>
      <w:marBottom w:val="0"/>
      <w:divBdr>
        <w:top w:val="none" w:sz="0" w:space="0" w:color="auto"/>
        <w:left w:val="none" w:sz="0" w:space="0" w:color="auto"/>
        <w:bottom w:val="none" w:sz="0" w:space="0" w:color="auto"/>
        <w:right w:val="none" w:sz="0" w:space="0" w:color="auto"/>
      </w:divBdr>
    </w:div>
    <w:div w:id="891620142">
      <w:bodyDiv w:val="1"/>
      <w:marLeft w:val="0"/>
      <w:marRight w:val="0"/>
      <w:marTop w:val="0"/>
      <w:marBottom w:val="0"/>
      <w:divBdr>
        <w:top w:val="none" w:sz="0" w:space="0" w:color="auto"/>
        <w:left w:val="none" w:sz="0" w:space="0" w:color="auto"/>
        <w:bottom w:val="none" w:sz="0" w:space="0" w:color="auto"/>
        <w:right w:val="none" w:sz="0" w:space="0" w:color="auto"/>
      </w:divBdr>
    </w:div>
    <w:div w:id="891769562">
      <w:bodyDiv w:val="1"/>
      <w:marLeft w:val="0"/>
      <w:marRight w:val="0"/>
      <w:marTop w:val="0"/>
      <w:marBottom w:val="0"/>
      <w:divBdr>
        <w:top w:val="none" w:sz="0" w:space="0" w:color="auto"/>
        <w:left w:val="none" w:sz="0" w:space="0" w:color="auto"/>
        <w:bottom w:val="none" w:sz="0" w:space="0" w:color="auto"/>
        <w:right w:val="none" w:sz="0" w:space="0" w:color="auto"/>
      </w:divBdr>
    </w:div>
    <w:div w:id="914165602">
      <w:bodyDiv w:val="1"/>
      <w:marLeft w:val="0"/>
      <w:marRight w:val="0"/>
      <w:marTop w:val="0"/>
      <w:marBottom w:val="0"/>
      <w:divBdr>
        <w:top w:val="none" w:sz="0" w:space="0" w:color="auto"/>
        <w:left w:val="none" w:sz="0" w:space="0" w:color="auto"/>
        <w:bottom w:val="none" w:sz="0" w:space="0" w:color="auto"/>
        <w:right w:val="none" w:sz="0" w:space="0" w:color="auto"/>
      </w:divBdr>
    </w:div>
    <w:div w:id="922686375">
      <w:bodyDiv w:val="1"/>
      <w:marLeft w:val="0"/>
      <w:marRight w:val="0"/>
      <w:marTop w:val="0"/>
      <w:marBottom w:val="0"/>
      <w:divBdr>
        <w:top w:val="none" w:sz="0" w:space="0" w:color="auto"/>
        <w:left w:val="none" w:sz="0" w:space="0" w:color="auto"/>
        <w:bottom w:val="none" w:sz="0" w:space="0" w:color="auto"/>
        <w:right w:val="none" w:sz="0" w:space="0" w:color="auto"/>
      </w:divBdr>
    </w:div>
    <w:div w:id="935400164">
      <w:bodyDiv w:val="1"/>
      <w:marLeft w:val="0"/>
      <w:marRight w:val="0"/>
      <w:marTop w:val="0"/>
      <w:marBottom w:val="0"/>
      <w:divBdr>
        <w:top w:val="none" w:sz="0" w:space="0" w:color="auto"/>
        <w:left w:val="none" w:sz="0" w:space="0" w:color="auto"/>
        <w:bottom w:val="none" w:sz="0" w:space="0" w:color="auto"/>
        <w:right w:val="none" w:sz="0" w:space="0" w:color="auto"/>
      </w:divBdr>
    </w:div>
    <w:div w:id="940793310">
      <w:bodyDiv w:val="1"/>
      <w:marLeft w:val="0"/>
      <w:marRight w:val="0"/>
      <w:marTop w:val="0"/>
      <w:marBottom w:val="0"/>
      <w:divBdr>
        <w:top w:val="none" w:sz="0" w:space="0" w:color="auto"/>
        <w:left w:val="none" w:sz="0" w:space="0" w:color="auto"/>
        <w:bottom w:val="none" w:sz="0" w:space="0" w:color="auto"/>
        <w:right w:val="none" w:sz="0" w:space="0" w:color="auto"/>
      </w:divBdr>
    </w:div>
    <w:div w:id="950697906">
      <w:bodyDiv w:val="1"/>
      <w:marLeft w:val="0"/>
      <w:marRight w:val="0"/>
      <w:marTop w:val="0"/>
      <w:marBottom w:val="0"/>
      <w:divBdr>
        <w:top w:val="none" w:sz="0" w:space="0" w:color="auto"/>
        <w:left w:val="none" w:sz="0" w:space="0" w:color="auto"/>
        <w:bottom w:val="none" w:sz="0" w:space="0" w:color="auto"/>
        <w:right w:val="none" w:sz="0" w:space="0" w:color="auto"/>
      </w:divBdr>
    </w:div>
    <w:div w:id="960724271">
      <w:bodyDiv w:val="1"/>
      <w:marLeft w:val="0"/>
      <w:marRight w:val="0"/>
      <w:marTop w:val="0"/>
      <w:marBottom w:val="0"/>
      <w:divBdr>
        <w:top w:val="none" w:sz="0" w:space="0" w:color="auto"/>
        <w:left w:val="none" w:sz="0" w:space="0" w:color="auto"/>
        <w:bottom w:val="none" w:sz="0" w:space="0" w:color="auto"/>
        <w:right w:val="none" w:sz="0" w:space="0" w:color="auto"/>
      </w:divBdr>
    </w:div>
    <w:div w:id="967858983">
      <w:bodyDiv w:val="1"/>
      <w:marLeft w:val="0"/>
      <w:marRight w:val="0"/>
      <w:marTop w:val="0"/>
      <w:marBottom w:val="0"/>
      <w:divBdr>
        <w:top w:val="none" w:sz="0" w:space="0" w:color="auto"/>
        <w:left w:val="none" w:sz="0" w:space="0" w:color="auto"/>
        <w:bottom w:val="none" w:sz="0" w:space="0" w:color="auto"/>
        <w:right w:val="none" w:sz="0" w:space="0" w:color="auto"/>
      </w:divBdr>
    </w:div>
    <w:div w:id="974288178">
      <w:bodyDiv w:val="1"/>
      <w:marLeft w:val="0"/>
      <w:marRight w:val="0"/>
      <w:marTop w:val="0"/>
      <w:marBottom w:val="0"/>
      <w:divBdr>
        <w:top w:val="none" w:sz="0" w:space="0" w:color="auto"/>
        <w:left w:val="none" w:sz="0" w:space="0" w:color="auto"/>
        <w:bottom w:val="none" w:sz="0" w:space="0" w:color="auto"/>
        <w:right w:val="none" w:sz="0" w:space="0" w:color="auto"/>
      </w:divBdr>
    </w:div>
    <w:div w:id="993529594">
      <w:bodyDiv w:val="1"/>
      <w:marLeft w:val="0"/>
      <w:marRight w:val="0"/>
      <w:marTop w:val="0"/>
      <w:marBottom w:val="0"/>
      <w:divBdr>
        <w:top w:val="none" w:sz="0" w:space="0" w:color="auto"/>
        <w:left w:val="none" w:sz="0" w:space="0" w:color="auto"/>
        <w:bottom w:val="none" w:sz="0" w:space="0" w:color="auto"/>
        <w:right w:val="none" w:sz="0" w:space="0" w:color="auto"/>
      </w:divBdr>
    </w:div>
    <w:div w:id="996566455">
      <w:bodyDiv w:val="1"/>
      <w:marLeft w:val="0"/>
      <w:marRight w:val="0"/>
      <w:marTop w:val="0"/>
      <w:marBottom w:val="0"/>
      <w:divBdr>
        <w:top w:val="none" w:sz="0" w:space="0" w:color="auto"/>
        <w:left w:val="none" w:sz="0" w:space="0" w:color="auto"/>
        <w:bottom w:val="none" w:sz="0" w:space="0" w:color="auto"/>
        <w:right w:val="none" w:sz="0" w:space="0" w:color="auto"/>
      </w:divBdr>
    </w:div>
    <w:div w:id="998391096">
      <w:bodyDiv w:val="1"/>
      <w:marLeft w:val="0"/>
      <w:marRight w:val="0"/>
      <w:marTop w:val="0"/>
      <w:marBottom w:val="0"/>
      <w:divBdr>
        <w:top w:val="none" w:sz="0" w:space="0" w:color="auto"/>
        <w:left w:val="none" w:sz="0" w:space="0" w:color="auto"/>
        <w:bottom w:val="none" w:sz="0" w:space="0" w:color="auto"/>
        <w:right w:val="none" w:sz="0" w:space="0" w:color="auto"/>
      </w:divBdr>
    </w:div>
    <w:div w:id="1003240510">
      <w:bodyDiv w:val="1"/>
      <w:marLeft w:val="0"/>
      <w:marRight w:val="0"/>
      <w:marTop w:val="0"/>
      <w:marBottom w:val="0"/>
      <w:divBdr>
        <w:top w:val="none" w:sz="0" w:space="0" w:color="auto"/>
        <w:left w:val="none" w:sz="0" w:space="0" w:color="auto"/>
        <w:bottom w:val="none" w:sz="0" w:space="0" w:color="auto"/>
        <w:right w:val="none" w:sz="0" w:space="0" w:color="auto"/>
      </w:divBdr>
    </w:div>
    <w:div w:id="1007562843">
      <w:bodyDiv w:val="1"/>
      <w:marLeft w:val="0"/>
      <w:marRight w:val="0"/>
      <w:marTop w:val="0"/>
      <w:marBottom w:val="0"/>
      <w:divBdr>
        <w:top w:val="none" w:sz="0" w:space="0" w:color="auto"/>
        <w:left w:val="none" w:sz="0" w:space="0" w:color="auto"/>
        <w:bottom w:val="none" w:sz="0" w:space="0" w:color="auto"/>
        <w:right w:val="none" w:sz="0" w:space="0" w:color="auto"/>
      </w:divBdr>
    </w:div>
    <w:div w:id="1068920554">
      <w:bodyDiv w:val="1"/>
      <w:marLeft w:val="0"/>
      <w:marRight w:val="0"/>
      <w:marTop w:val="0"/>
      <w:marBottom w:val="0"/>
      <w:divBdr>
        <w:top w:val="none" w:sz="0" w:space="0" w:color="auto"/>
        <w:left w:val="none" w:sz="0" w:space="0" w:color="auto"/>
        <w:bottom w:val="none" w:sz="0" w:space="0" w:color="auto"/>
        <w:right w:val="none" w:sz="0" w:space="0" w:color="auto"/>
      </w:divBdr>
    </w:div>
    <w:div w:id="1110465400">
      <w:bodyDiv w:val="1"/>
      <w:marLeft w:val="0"/>
      <w:marRight w:val="0"/>
      <w:marTop w:val="0"/>
      <w:marBottom w:val="0"/>
      <w:divBdr>
        <w:top w:val="none" w:sz="0" w:space="0" w:color="auto"/>
        <w:left w:val="none" w:sz="0" w:space="0" w:color="auto"/>
        <w:bottom w:val="none" w:sz="0" w:space="0" w:color="auto"/>
        <w:right w:val="none" w:sz="0" w:space="0" w:color="auto"/>
      </w:divBdr>
    </w:div>
    <w:div w:id="1112365192">
      <w:bodyDiv w:val="1"/>
      <w:marLeft w:val="0"/>
      <w:marRight w:val="0"/>
      <w:marTop w:val="0"/>
      <w:marBottom w:val="0"/>
      <w:divBdr>
        <w:top w:val="none" w:sz="0" w:space="0" w:color="auto"/>
        <w:left w:val="none" w:sz="0" w:space="0" w:color="auto"/>
        <w:bottom w:val="none" w:sz="0" w:space="0" w:color="auto"/>
        <w:right w:val="none" w:sz="0" w:space="0" w:color="auto"/>
      </w:divBdr>
    </w:div>
    <w:div w:id="1205630005">
      <w:bodyDiv w:val="1"/>
      <w:marLeft w:val="0"/>
      <w:marRight w:val="0"/>
      <w:marTop w:val="0"/>
      <w:marBottom w:val="0"/>
      <w:divBdr>
        <w:top w:val="none" w:sz="0" w:space="0" w:color="auto"/>
        <w:left w:val="none" w:sz="0" w:space="0" w:color="auto"/>
        <w:bottom w:val="none" w:sz="0" w:space="0" w:color="auto"/>
        <w:right w:val="none" w:sz="0" w:space="0" w:color="auto"/>
      </w:divBdr>
    </w:div>
    <w:div w:id="1213614308">
      <w:bodyDiv w:val="1"/>
      <w:marLeft w:val="0"/>
      <w:marRight w:val="0"/>
      <w:marTop w:val="0"/>
      <w:marBottom w:val="0"/>
      <w:divBdr>
        <w:top w:val="none" w:sz="0" w:space="0" w:color="auto"/>
        <w:left w:val="none" w:sz="0" w:space="0" w:color="auto"/>
        <w:bottom w:val="none" w:sz="0" w:space="0" w:color="auto"/>
        <w:right w:val="none" w:sz="0" w:space="0" w:color="auto"/>
      </w:divBdr>
    </w:div>
    <w:div w:id="1229538470">
      <w:bodyDiv w:val="1"/>
      <w:marLeft w:val="0"/>
      <w:marRight w:val="0"/>
      <w:marTop w:val="0"/>
      <w:marBottom w:val="0"/>
      <w:divBdr>
        <w:top w:val="none" w:sz="0" w:space="0" w:color="auto"/>
        <w:left w:val="none" w:sz="0" w:space="0" w:color="auto"/>
        <w:bottom w:val="none" w:sz="0" w:space="0" w:color="auto"/>
        <w:right w:val="none" w:sz="0" w:space="0" w:color="auto"/>
      </w:divBdr>
    </w:div>
    <w:div w:id="1230385554">
      <w:bodyDiv w:val="1"/>
      <w:marLeft w:val="0"/>
      <w:marRight w:val="0"/>
      <w:marTop w:val="0"/>
      <w:marBottom w:val="0"/>
      <w:divBdr>
        <w:top w:val="none" w:sz="0" w:space="0" w:color="auto"/>
        <w:left w:val="none" w:sz="0" w:space="0" w:color="auto"/>
        <w:bottom w:val="none" w:sz="0" w:space="0" w:color="auto"/>
        <w:right w:val="none" w:sz="0" w:space="0" w:color="auto"/>
      </w:divBdr>
    </w:div>
    <w:div w:id="1251158636">
      <w:bodyDiv w:val="1"/>
      <w:marLeft w:val="0"/>
      <w:marRight w:val="0"/>
      <w:marTop w:val="0"/>
      <w:marBottom w:val="0"/>
      <w:divBdr>
        <w:top w:val="none" w:sz="0" w:space="0" w:color="auto"/>
        <w:left w:val="none" w:sz="0" w:space="0" w:color="auto"/>
        <w:bottom w:val="none" w:sz="0" w:space="0" w:color="auto"/>
        <w:right w:val="none" w:sz="0" w:space="0" w:color="auto"/>
      </w:divBdr>
    </w:div>
    <w:div w:id="1261791168">
      <w:bodyDiv w:val="1"/>
      <w:marLeft w:val="0"/>
      <w:marRight w:val="0"/>
      <w:marTop w:val="0"/>
      <w:marBottom w:val="0"/>
      <w:divBdr>
        <w:top w:val="none" w:sz="0" w:space="0" w:color="auto"/>
        <w:left w:val="none" w:sz="0" w:space="0" w:color="auto"/>
        <w:bottom w:val="none" w:sz="0" w:space="0" w:color="auto"/>
        <w:right w:val="none" w:sz="0" w:space="0" w:color="auto"/>
      </w:divBdr>
    </w:div>
    <w:div w:id="1269434570">
      <w:bodyDiv w:val="1"/>
      <w:marLeft w:val="0"/>
      <w:marRight w:val="0"/>
      <w:marTop w:val="0"/>
      <w:marBottom w:val="0"/>
      <w:divBdr>
        <w:top w:val="none" w:sz="0" w:space="0" w:color="auto"/>
        <w:left w:val="none" w:sz="0" w:space="0" w:color="auto"/>
        <w:bottom w:val="none" w:sz="0" w:space="0" w:color="auto"/>
        <w:right w:val="none" w:sz="0" w:space="0" w:color="auto"/>
      </w:divBdr>
    </w:div>
    <w:div w:id="1370257232">
      <w:bodyDiv w:val="1"/>
      <w:marLeft w:val="0"/>
      <w:marRight w:val="0"/>
      <w:marTop w:val="0"/>
      <w:marBottom w:val="0"/>
      <w:divBdr>
        <w:top w:val="none" w:sz="0" w:space="0" w:color="auto"/>
        <w:left w:val="none" w:sz="0" w:space="0" w:color="auto"/>
        <w:bottom w:val="none" w:sz="0" w:space="0" w:color="auto"/>
        <w:right w:val="none" w:sz="0" w:space="0" w:color="auto"/>
      </w:divBdr>
    </w:div>
    <w:div w:id="1376664836">
      <w:bodyDiv w:val="1"/>
      <w:marLeft w:val="0"/>
      <w:marRight w:val="0"/>
      <w:marTop w:val="0"/>
      <w:marBottom w:val="0"/>
      <w:divBdr>
        <w:top w:val="none" w:sz="0" w:space="0" w:color="auto"/>
        <w:left w:val="none" w:sz="0" w:space="0" w:color="auto"/>
        <w:bottom w:val="none" w:sz="0" w:space="0" w:color="auto"/>
        <w:right w:val="none" w:sz="0" w:space="0" w:color="auto"/>
      </w:divBdr>
    </w:div>
    <w:div w:id="1432822119">
      <w:bodyDiv w:val="1"/>
      <w:marLeft w:val="0"/>
      <w:marRight w:val="0"/>
      <w:marTop w:val="0"/>
      <w:marBottom w:val="0"/>
      <w:divBdr>
        <w:top w:val="none" w:sz="0" w:space="0" w:color="auto"/>
        <w:left w:val="none" w:sz="0" w:space="0" w:color="auto"/>
        <w:bottom w:val="none" w:sz="0" w:space="0" w:color="auto"/>
        <w:right w:val="none" w:sz="0" w:space="0" w:color="auto"/>
      </w:divBdr>
    </w:div>
    <w:div w:id="1470246612">
      <w:bodyDiv w:val="1"/>
      <w:marLeft w:val="0"/>
      <w:marRight w:val="0"/>
      <w:marTop w:val="0"/>
      <w:marBottom w:val="0"/>
      <w:divBdr>
        <w:top w:val="none" w:sz="0" w:space="0" w:color="auto"/>
        <w:left w:val="none" w:sz="0" w:space="0" w:color="auto"/>
        <w:bottom w:val="none" w:sz="0" w:space="0" w:color="auto"/>
        <w:right w:val="none" w:sz="0" w:space="0" w:color="auto"/>
      </w:divBdr>
    </w:div>
    <w:div w:id="1617105408">
      <w:bodyDiv w:val="1"/>
      <w:marLeft w:val="0"/>
      <w:marRight w:val="0"/>
      <w:marTop w:val="0"/>
      <w:marBottom w:val="0"/>
      <w:divBdr>
        <w:top w:val="none" w:sz="0" w:space="0" w:color="auto"/>
        <w:left w:val="none" w:sz="0" w:space="0" w:color="auto"/>
        <w:bottom w:val="none" w:sz="0" w:space="0" w:color="auto"/>
        <w:right w:val="none" w:sz="0" w:space="0" w:color="auto"/>
      </w:divBdr>
    </w:div>
    <w:div w:id="1617517869">
      <w:bodyDiv w:val="1"/>
      <w:marLeft w:val="0"/>
      <w:marRight w:val="0"/>
      <w:marTop w:val="0"/>
      <w:marBottom w:val="0"/>
      <w:divBdr>
        <w:top w:val="none" w:sz="0" w:space="0" w:color="auto"/>
        <w:left w:val="none" w:sz="0" w:space="0" w:color="auto"/>
        <w:bottom w:val="none" w:sz="0" w:space="0" w:color="auto"/>
        <w:right w:val="none" w:sz="0" w:space="0" w:color="auto"/>
      </w:divBdr>
    </w:div>
    <w:div w:id="1622110335">
      <w:bodyDiv w:val="1"/>
      <w:marLeft w:val="0"/>
      <w:marRight w:val="0"/>
      <w:marTop w:val="0"/>
      <w:marBottom w:val="0"/>
      <w:divBdr>
        <w:top w:val="none" w:sz="0" w:space="0" w:color="auto"/>
        <w:left w:val="none" w:sz="0" w:space="0" w:color="auto"/>
        <w:bottom w:val="none" w:sz="0" w:space="0" w:color="auto"/>
        <w:right w:val="none" w:sz="0" w:space="0" w:color="auto"/>
      </w:divBdr>
    </w:div>
    <w:div w:id="1627810548">
      <w:bodyDiv w:val="1"/>
      <w:marLeft w:val="0"/>
      <w:marRight w:val="0"/>
      <w:marTop w:val="0"/>
      <w:marBottom w:val="0"/>
      <w:divBdr>
        <w:top w:val="none" w:sz="0" w:space="0" w:color="auto"/>
        <w:left w:val="none" w:sz="0" w:space="0" w:color="auto"/>
        <w:bottom w:val="none" w:sz="0" w:space="0" w:color="auto"/>
        <w:right w:val="none" w:sz="0" w:space="0" w:color="auto"/>
      </w:divBdr>
    </w:div>
    <w:div w:id="1628779271">
      <w:bodyDiv w:val="1"/>
      <w:marLeft w:val="0"/>
      <w:marRight w:val="0"/>
      <w:marTop w:val="0"/>
      <w:marBottom w:val="0"/>
      <w:divBdr>
        <w:top w:val="none" w:sz="0" w:space="0" w:color="auto"/>
        <w:left w:val="none" w:sz="0" w:space="0" w:color="auto"/>
        <w:bottom w:val="none" w:sz="0" w:space="0" w:color="auto"/>
        <w:right w:val="none" w:sz="0" w:space="0" w:color="auto"/>
      </w:divBdr>
      <w:divsChild>
        <w:div w:id="52043046">
          <w:marLeft w:val="0"/>
          <w:marRight w:val="0"/>
          <w:marTop w:val="0"/>
          <w:marBottom w:val="0"/>
          <w:divBdr>
            <w:top w:val="none" w:sz="0" w:space="0" w:color="auto"/>
            <w:left w:val="none" w:sz="0" w:space="0" w:color="auto"/>
            <w:bottom w:val="none" w:sz="0" w:space="0" w:color="auto"/>
            <w:right w:val="none" w:sz="0" w:space="0" w:color="auto"/>
          </w:divBdr>
        </w:div>
        <w:div w:id="107043476">
          <w:marLeft w:val="0"/>
          <w:marRight w:val="0"/>
          <w:marTop w:val="0"/>
          <w:marBottom w:val="0"/>
          <w:divBdr>
            <w:top w:val="none" w:sz="0" w:space="0" w:color="auto"/>
            <w:left w:val="none" w:sz="0" w:space="0" w:color="auto"/>
            <w:bottom w:val="none" w:sz="0" w:space="0" w:color="auto"/>
            <w:right w:val="none" w:sz="0" w:space="0" w:color="auto"/>
          </w:divBdr>
        </w:div>
        <w:div w:id="115486988">
          <w:marLeft w:val="0"/>
          <w:marRight w:val="0"/>
          <w:marTop w:val="0"/>
          <w:marBottom w:val="0"/>
          <w:divBdr>
            <w:top w:val="none" w:sz="0" w:space="0" w:color="auto"/>
            <w:left w:val="none" w:sz="0" w:space="0" w:color="auto"/>
            <w:bottom w:val="none" w:sz="0" w:space="0" w:color="auto"/>
            <w:right w:val="none" w:sz="0" w:space="0" w:color="auto"/>
          </w:divBdr>
        </w:div>
        <w:div w:id="192038606">
          <w:marLeft w:val="0"/>
          <w:marRight w:val="0"/>
          <w:marTop w:val="0"/>
          <w:marBottom w:val="0"/>
          <w:divBdr>
            <w:top w:val="none" w:sz="0" w:space="0" w:color="auto"/>
            <w:left w:val="none" w:sz="0" w:space="0" w:color="auto"/>
            <w:bottom w:val="none" w:sz="0" w:space="0" w:color="auto"/>
            <w:right w:val="none" w:sz="0" w:space="0" w:color="auto"/>
          </w:divBdr>
        </w:div>
        <w:div w:id="285041530">
          <w:marLeft w:val="0"/>
          <w:marRight w:val="0"/>
          <w:marTop w:val="0"/>
          <w:marBottom w:val="0"/>
          <w:divBdr>
            <w:top w:val="none" w:sz="0" w:space="0" w:color="auto"/>
            <w:left w:val="none" w:sz="0" w:space="0" w:color="auto"/>
            <w:bottom w:val="none" w:sz="0" w:space="0" w:color="auto"/>
            <w:right w:val="none" w:sz="0" w:space="0" w:color="auto"/>
          </w:divBdr>
        </w:div>
        <w:div w:id="312178278">
          <w:marLeft w:val="0"/>
          <w:marRight w:val="0"/>
          <w:marTop w:val="0"/>
          <w:marBottom w:val="0"/>
          <w:divBdr>
            <w:top w:val="none" w:sz="0" w:space="0" w:color="auto"/>
            <w:left w:val="none" w:sz="0" w:space="0" w:color="auto"/>
            <w:bottom w:val="none" w:sz="0" w:space="0" w:color="auto"/>
            <w:right w:val="none" w:sz="0" w:space="0" w:color="auto"/>
          </w:divBdr>
        </w:div>
        <w:div w:id="362292222">
          <w:marLeft w:val="0"/>
          <w:marRight w:val="0"/>
          <w:marTop w:val="0"/>
          <w:marBottom w:val="0"/>
          <w:divBdr>
            <w:top w:val="none" w:sz="0" w:space="0" w:color="auto"/>
            <w:left w:val="none" w:sz="0" w:space="0" w:color="auto"/>
            <w:bottom w:val="none" w:sz="0" w:space="0" w:color="auto"/>
            <w:right w:val="none" w:sz="0" w:space="0" w:color="auto"/>
          </w:divBdr>
        </w:div>
        <w:div w:id="639502452">
          <w:marLeft w:val="0"/>
          <w:marRight w:val="0"/>
          <w:marTop w:val="0"/>
          <w:marBottom w:val="0"/>
          <w:divBdr>
            <w:top w:val="none" w:sz="0" w:space="0" w:color="auto"/>
            <w:left w:val="none" w:sz="0" w:space="0" w:color="auto"/>
            <w:bottom w:val="none" w:sz="0" w:space="0" w:color="auto"/>
            <w:right w:val="none" w:sz="0" w:space="0" w:color="auto"/>
          </w:divBdr>
        </w:div>
        <w:div w:id="647172885">
          <w:marLeft w:val="0"/>
          <w:marRight w:val="0"/>
          <w:marTop w:val="0"/>
          <w:marBottom w:val="0"/>
          <w:divBdr>
            <w:top w:val="none" w:sz="0" w:space="0" w:color="auto"/>
            <w:left w:val="none" w:sz="0" w:space="0" w:color="auto"/>
            <w:bottom w:val="none" w:sz="0" w:space="0" w:color="auto"/>
            <w:right w:val="none" w:sz="0" w:space="0" w:color="auto"/>
          </w:divBdr>
        </w:div>
        <w:div w:id="842671781">
          <w:marLeft w:val="0"/>
          <w:marRight w:val="0"/>
          <w:marTop w:val="0"/>
          <w:marBottom w:val="0"/>
          <w:divBdr>
            <w:top w:val="none" w:sz="0" w:space="0" w:color="auto"/>
            <w:left w:val="none" w:sz="0" w:space="0" w:color="auto"/>
            <w:bottom w:val="none" w:sz="0" w:space="0" w:color="auto"/>
            <w:right w:val="none" w:sz="0" w:space="0" w:color="auto"/>
          </w:divBdr>
        </w:div>
        <w:div w:id="869028536">
          <w:marLeft w:val="0"/>
          <w:marRight w:val="0"/>
          <w:marTop w:val="0"/>
          <w:marBottom w:val="0"/>
          <w:divBdr>
            <w:top w:val="none" w:sz="0" w:space="0" w:color="auto"/>
            <w:left w:val="none" w:sz="0" w:space="0" w:color="auto"/>
            <w:bottom w:val="none" w:sz="0" w:space="0" w:color="auto"/>
            <w:right w:val="none" w:sz="0" w:space="0" w:color="auto"/>
          </w:divBdr>
        </w:div>
        <w:div w:id="903226367">
          <w:marLeft w:val="0"/>
          <w:marRight w:val="0"/>
          <w:marTop w:val="0"/>
          <w:marBottom w:val="0"/>
          <w:divBdr>
            <w:top w:val="none" w:sz="0" w:space="0" w:color="auto"/>
            <w:left w:val="none" w:sz="0" w:space="0" w:color="auto"/>
            <w:bottom w:val="none" w:sz="0" w:space="0" w:color="auto"/>
            <w:right w:val="none" w:sz="0" w:space="0" w:color="auto"/>
          </w:divBdr>
        </w:div>
        <w:div w:id="981157598">
          <w:marLeft w:val="0"/>
          <w:marRight w:val="0"/>
          <w:marTop w:val="0"/>
          <w:marBottom w:val="0"/>
          <w:divBdr>
            <w:top w:val="none" w:sz="0" w:space="0" w:color="auto"/>
            <w:left w:val="none" w:sz="0" w:space="0" w:color="auto"/>
            <w:bottom w:val="none" w:sz="0" w:space="0" w:color="auto"/>
            <w:right w:val="none" w:sz="0" w:space="0" w:color="auto"/>
          </w:divBdr>
        </w:div>
        <w:div w:id="1007557566">
          <w:marLeft w:val="0"/>
          <w:marRight w:val="0"/>
          <w:marTop w:val="0"/>
          <w:marBottom w:val="0"/>
          <w:divBdr>
            <w:top w:val="none" w:sz="0" w:space="0" w:color="auto"/>
            <w:left w:val="none" w:sz="0" w:space="0" w:color="auto"/>
            <w:bottom w:val="none" w:sz="0" w:space="0" w:color="auto"/>
            <w:right w:val="none" w:sz="0" w:space="0" w:color="auto"/>
          </w:divBdr>
        </w:div>
        <w:div w:id="1053389738">
          <w:marLeft w:val="0"/>
          <w:marRight w:val="0"/>
          <w:marTop w:val="0"/>
          <w:marBottom w:val="0"/>
          <w:divBdr>
            <w:top w:val="none" w:sz="0" w:space="0" w:color="auto"/>
            <w:left w:val="none" w:sz="0" w:space="0" w:color="auto"/>
            <w:bottom w:val="none" w:sz="0" w:space="0" w:color="auto"/>
            <w:right w:val="none" w:sz="0" w:space="0" w:color="auto"/>
          </w:divBdr>
        </w:div>
        <w:div w:id="1106582695">
          <w:marLeft w:val="0"/>
          <w:marRight w:val="0"/>
          <w:marTop w:val="0"/>
          <w:marBottom w:val="0"/>
          <w:divBdr>
            <w:top w:val="none" w:sz="0" w:space="0" w:color="auto"/>
            <w:left w:val="none" w:sz="0" w:space="0" w:color="auto"/>
            <w:bottom w:val="none" w:sz="0" w:space="0" w:color="auto"/>
            <w:right w:val="none" w:sz="0" w:space="0" w:color="auto"/>
          </w:divBdr>
        </w:div>
        <w:div w:id="1116362804">
          <w:marLeft w:val="0"/>
          <w:marRight w:val="0"/>
          <w:marTop w:val="0"/>
          <w:marBottom w:val="0"/>
          <w:divBdr>
            <w:top w:val="none" w:sz="0" w:space="0" w:color="auto"/>
            <w:left w:val="none" w:sz="0" w:space="0" w:color="auto"/>
            <w:bottom w:val="none" w:sz="0" w:space="0" w:color="auto"/>
            <w:right w:val="none" w:sz="0" w:space="0" w:color="auto"/>
          </w:divBdr>
        </w:div>
        <w:div w:id="1126581583">
          <w:marLeft w:val="0"/>
          <w:marRight w:val="0"/>
          <w:marTop w:val="0"/>
          <w:marBottom w:val="0"/>
          <w:divBdr>
            <w:top w:val="none" w:sz="0" w:space="0" w:color="auto"/>
            <w:left w:val="none" w:sz="0" w:space="0" w:color="auto"/>
            <w:bottom w:val="none" w:sz="0" w:space="0" w:color="auto"/>
            <w:right w:val="none" w:sz="0" w:space="0" w:color="auto"/>
          </w:divBdr>
        </w:div>
        <w:div w:id="1134366509">
          <w:marLeft w:val="0"/>
          <w:marRight w:val="0"/>
          <w:marTop w:val="0"/>
          <w:marBottom w:val="0"/>
          <w:divBdr>
            <w:top w:val="none" w:sz="0" w:space="0" w:color="auto"/>
            <w:left w:val="none" w:sz="0" w:space="0" w:color="auto"/>
            <w:bottom w:val="none" w:sz="0" w:space="0" w:color="auto"/>
            <w:right w:val="none" w:sz="0" w:space="0" w:color="auto"/>
          </w:divBdr>
        </w:div>
        <w:div w:id="1148521092">
          <w:marLeft w:val="0"/>
          <w:marRight w:val="0"/>
          <w:marTop w:val="0"/>
          <w:marBottom w:val="0"/>
          <w:divBdr>
            <w:top w:val="none" w:sz="0" w:space="0" w:color="auto"/>
            <w:left w:val="none" w:sz="0" w:space="0" w:color="auto"/>
            <w:bottom w:val="none" w:sz="0" w:space="0" w:color="auto"/>
            <w:right w:val="none" w:sz="0" w:space="0" w:color="auto"/>
          </w:divBdr>
        </w:div>
        <w:div w:id="1150831429">
          <w:marLeft w:val="0"/>
          <w:marRight w:val="0"/>
          <w:marTop w:val="0"/>
          <w:marBottom w:val="0"/>
          <w:divBdr>
            <w:top w:val="none" w:sz="0" w:space="0" w:color="auto"/>
            <w:left w:val="none" w:sz="0" w:space="0" w:color="auto"/>
            <w:bottom w:val="none" w:sz="0" w:space="0" w:color="auto"/>
            <w:right w:val="none" w:sz="0" w:space="0" w:color="auto"/>
          </w:divBdr>
        </w:div>
        <w:div w:id="1184901836">
          <w:marLeft w:val="0"/>
          <w:marRight w:val="0"/>
          <w:marTop w:val="0"/>
          <w:marBottom w:val="0"/>
          <w:divBdr>
            <w:top w:val="none" w:sz="0" w:space="0" w:color="auto"/>
            <w:left w:val="none" w:sz="0" w:space="0" w:color="auto"/>
            <w:bottom w:val="none" w:sz="0" w:space="0" w:color="auto"/>
            <w:right w:val="none" w:sz="0" w:space="0" w:color="auto"/>
          </w:divBdr>
        </w:div>
        <w:div w:id="1193107108">
          <w:marLeft w:val="0"/>
          <w:marRight w:val="0"/>
          <w:marTop w:val="0"/>
          <w:marBottom w:val="0"/>
          <w:divBdr>
            <w:top w:val="none" w:sz="0" w:space="0" w:color="auto"/>
            <w:left w:val="none" w:sz="0" w:space="0" w:color="auto"/>
            <w:bottom w:val="none" w:sz="0" w:space="0" w:color="auto"/>
            <w:right w:val="none" w:sz="0" w:space="0" w:color="auto"/>
          </w:divBdr>
        </w:div>
        <w:div w:id="1362589449">
          <w:marLeft w:val="0"/>
          <w:marRight w:val="0"/>
          <w:marTop w:val="0"/>
          <w:marBottom w:val="0"/>
          <w:divBdr>
            <w:top w:val="none" w:sz="0" w:space="0" w:color="auto"/>
            <w:left w:val="none" w:sz="0" w:space="0" w:color="auto"/>
            <w:bottom w:val="none" w:sz="0" w:space="0" w:color="auto"/>
            <w:right w:val="none" w:sz="0" w:space="0" w:color="auto"/>
          </w:divBdr>
        </w:div>
        <w:div w:id="1368988866">
          <w:marLeft w:val="0"/>
          <w:marRight w:val="0"/>
          <w:marTop w:val="0"/>
          <w:marBottom w:val="0"/>
          <w:divBdr>
            <w:top w:val="none" w:sz="0" w:space="0" w:color="auto"/>
            <w:left w:val="none" w:sz="0" w:space="0" w:color="auto"/>
            <w:bottom w:val="none" w:sz="0" w:space="0" w:color="auto"/>
            <w:right w:val="none" w:sz="0" w:space="0" w:color="auto"/>
          </w:divBdr>
        </w:div>
        <w:div w:id="1425493519">
          <w:marLeft w:val="0"/>
          <w:marRight w:val="0"/>
          <w:marTop w:val="0"/>
          <w:marBottom w:val="0"/>
          <w:divBdr>
            <w:top w:val="none" w:sz="0" w:space="0" w:color="auto"/>
            <w:left w:val="none" w:sz="0" w:space="0" w:color="auto"/>
            <w:bottom w:val="none" w:sz="0" w:space="0" w:color="auto"/>
            <w:right w:val="none" w:sz="0" w:space="0" w:color="auto"/>
          </w:divBdr>
        </w:div>
        <w:div w:id="1442799440">
          <w:marLeft w:val="0"/>
          <w:marRight w:val="0"/>
          <w:marTop w:val="0"/>
          <w:marBottom w:val="0"/>
          <w:divBdr>
            <w:top w:val="none" w:sz="0" w:space="0" w:color="auto"/>
            <w:left w:val="none" w:sz="0" w:space="0" w:color="auto"/>
            <w:bottom w:val="none" w:sz="0" w:space="0" w:color="auto"/>
            <w:right w:val="none" w:sz="0" w:space="0" w:color="auto"/>
          </w:divBdr>
        </w:div>
        <w:div w:id="1466967168">
          <w:marLeft w:val="0"/>
          <w:marRight w:val="0"/>
          <w:marTop w:val="0"/>
          <w:marBottom w:val="0"/>
          <w:divBdr>
            <w:top w:val="none" w:sz="0" w:space="0" w:color="auto"/>
            <w:left w:val="none" w:sz="0" w:space="0" w:color="auto"/>
            <w:bottom w:val="none" w:sz="0" w:space="0" w:color="auto"/>
            <w:right w:val="none" w:sz="0" w:space="0" w:color="auto"/>
          </w:divBdr>
        </w:div>
        <w:div w:id="1493914661">
          <w:marLeft w:val="0"/>
          <w:marRight w:val="0"/>
          <w:marTop w:val="0"/>
          <w:marBottom w:val="0"/>
          <w:divBdr>
            <w:top w:val="none" w:sz="0" w:space="0" w:color="auto"/>
            <w:left w:val="none" w:sz="0" w:space="0" w:color="auto"/>
            <w:bottom w:val="none" w:sz="0" w:space="0" w:color="auto"/>
            <w:right w:val="none" w:sz="0" w:space="0" w:color="auto"/>
          </w:divBdr>
        </w:div>
        <w:div w:id="1511529485">
          <w:marLeft w:val="0"/>
          <w:marRight w:val="0"/>
          <w:marTop w:val="0"/>
          <w:marBottom w:val="0"/>
          <w:divBdr>
            <w:top w:val="none" w:sz="0" w:space="0" w:color="auto"/>
            <w:left w:val="none" w:sz="0" w:space="0" w:color="auto"/>
            <w:bottom w:val="none" w:sz="0" w:space="0" w:color="auto"/>
            <w:right w:val="none" w:sz="0" w:space="0" w:color="auto"/>
          </w:divBdr>
        </w:div>
        <w:div w:id="1570533994">
          <w:marLeft w:val="0"/>
          <w:marRight w:val="0"/>
          <w:marTop w:val="0"/>
          <w:marBottom w:val="0"/>
          <w:divBdr>
            <w:top w:val="none" w:sz="0" w:space="0" w:color="auto"/>
            <w:left w:val="none" w:sz="0" w:space="0" w:color="auto"/>
            <w:bottom w:val="none" w:sz="0" w:space="0" w:color="auto"/>
            <w:right w:val="none" w:sz="0" w:space="0" w:color="auto"/>
          </w:divBdr>
        </w:div>
        <w:div w:id="1574004144">
          <w:marLeft w:val="0"/>
          <w:marRight w:val="0"/>
          <w:marTop w:val="0"/>
          <w:marBottom w:val="0"/>
          <w:divBdr>
            <w:top w:val="none" w:sz="0" w:space="0" w:color="auto"/>
            <w:left w:val="none" w:sz="0" w:space="0" w:color="auto"/>
            <w:bottom w:val="none" w:sz="0" w:space="0" w:color="auto"/>
            <w:right w:val="none" w:sz="0" w:space="0" w:color="auto"/>
          </w:divBdr>
        </w:div>
        <w:div w:id="1620457554">
          <w:marLeft w:val="0"/>
          <w:marRight w:val="0"/>
          <w:marTop w:val="0"/>
          <w:marBottom w:val="0"/>
          <w:divBdr>
            <w:top w:val="none" w:sz="0" w:space="0" w:color="auto"/>
            <w:left w:val="none" w:sz="0" w:space="0" w:color="auto"/>
            <w:bottom w:val="none" w:sz="0" w:space="0" w:color="auto"/>
            <w:right w:val="none" w:sz="0" w:space="0" w:color="auto"/>
          </w:divBdr>
        </w:div>
        <w:div w:id="1623732426">
          <w:marLeft w:val="0"/>
          <w:marRight w:val="0"/>
          <w:marTop w:val="0"/>
          <w:marBottom w:val="0"/>
          <w:divBdr>
            <w:top w:val="none" w:sz="0" w:space="0" w:color="auto"/>
            <w:left w:val="none" w:sz="0" w:space="0" w:color="auto"/>
            <w:bottom w:val="none" w:sz="0" w:space="0" w:color="auto"/>
            <w:right w:val="none" w:sz="0" w:space="0" w:color="auto"/>
          </w:divBdr>
        </w:div>
        <w:div w:id="1648896133">
          <w:marLeft w:val="0"/>
          <w:marRight w:val="0"/>
          <w:marTop w:val="0"/>
          <w:marBottom w:val="0"/>
          <w:divBdr>
            <w:top w:val="none" w:sz="0" w:space="0" w:color="auto"/>
            <w:left w:val="none" w:sz="0" w:space="0" w:color="auto"/>
            <w:bottom w:val="none" w:sz="0" w:space="0" w:color="auto"/>
            <w:right w:val="none" w:sz="0" w:space="0" w:color="auto"/>
          </w:divBdr>
        </w:div>
        <w:div w:id="1761490856">
          <w:marLeft w:val="0"/>
          <w:marRight w:val="0"/>
          <w:marTop w:val="0"/>
          <w:marBottom w:val="0"/>
          <w:divBdr>
            <w:top w:val="none" w:sz="0" w:space="0" w:color="auto"/>
            <w:left w:val="none" w:sz="0" w:space="0" w:color="auto"/>
            <w:bottom w:val="none" w:sz="0" w:space="0" w:color="auto"/>
            <w:right w:val="none" w:sz="0" w:space="0" w:color="auto"/>
          </w:divBdr>
        </w:div>
        <w:div w:id="1788962992">
          <w:marLeft w:val="0"/>
          <w:marRight w:val="0"/>
          <w:marTop w:val="0"/>
          <w:marBottom w:val="0"/>
          <w:divBdr>
            <w:top w:val="none" w:sz="0" w:space="0" w:color="auto"/>
            <w:left w:val="none" w:sz="0" w:space="0" w:color="auto"/>
            <w:bottom w:val="none" w:sz="0" w:space="0" w:color="auto"/>
            <w:right w:val="none" w:sz="0" w:space="0" w:color="auto"/>
          </w:divBdr>
        </w:div>
        <w:div w:id="1896692972">
          <w:marLeft w:val="0"/>
          <w:marRight w:val="0"/>
          <w:marTop w:val="0"/>
          <w:marBottom w:val="0"/>
          <w:divBdr>
            <w:top w:val="none" w:sz="0" w:space="0" w:color="auto"/>
            <w:left w:val="none" w:sz="0" w:space="0" w:color="auto"/>
            <w:bottom w:val="none" w:sz="0" w:space="0" w:color="auto"/>
            <w:right w:val="none" w:sz="0" w:space="0" w:color="auto"/>
          </w:divBdr>
        </w:div>
        <w:div w:id="2135638376">
          <w:marLeft w:val="0"/>
          <w:marRight w:val="0"/>
          <w:marTop w:val="0"/>
          <w:marBottom w:val="0"/>
          <w:divBdr>
            <w:top w:val="none" w:sz="0" w:space="0" w:color="auto"/>
            <w:left w:val="none" w:sz="0" w:space="0" w:color="auto"/>
            <w:bottom w:val="none" w:sz="0" w:space="0" w:color="auto"/>
            <w:right w:val="none" w:sz="0" w:space="0" w:color="auto"/>
          </w:divBdr>
        </w:div>
      </w:divsChild>
    </w:div>
    <w:div w:id="1647201882">
      <w:bodyDiv w:val="1"/>
      <w:marLeft w:val="0"/>
      <w:marRight w:val="0"/>
      <w:marTop w:val="0"/>
      <w:marBottom w:val="0"/>
      <w:divBdr>
        <w:top w:val="none" w:sz="0" w:space="0" w:color="auto"/>
        <w:left w:val="none" w:sz="0" w:space="0" w:color="auto"/>
        <w:bottom w:val="none" w:sz="0" w:space="0" w:color="auto"/>
        <w:right w:val="none" w:sz="0" w:space="0" w:color="auto"/>
      </w:divBdr>
    </w:div>
    <w:div w:id="1652127174">
      <w:bodyDiv w:val="1"/>
      <w:marLeft w:val="0"/>
      <w:marRight w:val="0"/>
      <w:marTop w:val="0"/>
      <w:marBottom w:val="0"/>
      <w:divBdr>
        <w:top w:val="none" w:sz="0" w:space="0" w:color="auto"/>
        <w:left w:val="none" w:sz="0" w:space="0" w:color="auto"/>
        <w:bottom w:val="none" w:sz="0" w:space="0" w:color="auto"/>
        <w:right w:val="none" w:sz="0" w:space="0" w:color="auto"/>
      </w:divBdr>
    </w:div>
    <w:div w:id="1691762553">
      <w:bodyDiv w:val="1"/>
      <w:marLeft w:val="0"/>
      <w:marRight w:val="0"/>
      <w:marTop w:val="0"/>
      <w:marBottom w:val="0"/>
      <w:divBdr>
        <w:top w:val="none" w:sz="0" w:space="0" w:color="auto"/>
        <w:left w:val="none" w:sz="0" w:space="0" w:color="auto"/>
        <w:bottom w:val="none" w:sz="0" w:space="0" w:color="auto"/>
        <w:right w:val="none" w:sz="0" w:space="0" w:color="auto"/>
      </w:divBdr>
    </w:div>
    <w:div w:id="1697150561">
      <w:bodyDiv w:val="1"/>
      <w:marLeft w:val="0"/>
      <w:marRight w:val="0"/>
      <w:marTop w:val="0"/>
      <w:marBottom w:val="0"/>
      <w:divBdr>
        <w:top w:val="none" w:sz="0" w:space="0" w:color="auto"/>
        <w:left w:val="none" w:sz="0" w:space="0" w:color="auto"/>
        <w:bottom w:val="none" w:sz="0" w:space="0" w:color="auto"/>
        <w:right w:val="none" w:sz="0" w:space="0" w:color="auto"/>
      </w:divBdr>
    </w:div>
    <w:div w:id="1740053464">
      <w:bodyDiv w:val="1"/>
      <w:marLeft w:val="0"/>
      <w:marRight w:val="0"/>
      <w:marTop w:val="0"/>
      <w:marBottom w:val="0"/>
      <w:divBdr>
        <w:top w:val="none" w:sz="0" w:space="0" w:color="auto"/>
        <w:left w:val="none" w:sz="0" w:space="0" w:color="auto"/>
        <w:bottom w:val="none" w:sz="0" w:space="0" w:color="auto"/>
        <w:right w:val="none" w:sz="0" w:space="0" w:color="auto"/>
      </w:divBdr>
    </w:div>
    <w:div w:id="1745255683">
      <w:bodyDiv w:val="1"/>
      <w:marLeft w:val="0"/>
      <w:marRight w:val="0"/>
      <w:marTop w:val="0"/>
      <w:marBottom w:val="0"/>
      <w:divBdr>
        <w:top w:val="none" w:sz="0" w:space="0" w:color="auto"/>
        <w:left w:val="none" w:sz="0" w:space="0" w:color="auto"/>
        <w:bottom w:val="none" w:sz="0" w:space="0" w:color="auto"/>
        <w:right w:val="none" w:sz="0" w:space="0" w:color="auto"/>
      </w:divBdr>
    </w:div>
    <w:div w:id="1760716799">
      <w:bodyDiv w:val="1"/>
      <w:marLeft w:val="0"/>
      <w:marRight w:val="0"/>
      <w:marTop w:val="0"/>
      <w:marBottom w:val="0"/>
      <w:divBdr>
        <w:top w:val="none" w:sz="0" w:space="0" w:color="auto"/>
        <w:left w:val="none" w:sz="0" w:space="0" w:color="auto"/>
        <w:bottom w:val="none" w:sz="0" w:space="0" w:color="auto"/>
        <w:right w:val="none" w:sz="0" w:space="0" w:color="auto"/>
      </w:divBdr>
    </w:div>
    <w:div w:id="1782920203">
      <w:bodyDiv w:val="1"/>
      <w:marLeft w:val="0"/>
      <w:marRight w:val="0"/>
      <w:marTop w:val="0"/>
      <w:marBottom w:val="0"/>
      <w:divBdr>
        <w:top w:val="none" w:sz="0" w:space="0" w:color="auto"/>
        <w:left w:val="none" w:sz="0" w:space="0" w:color="auto"/>
        <w:bottom w:val="none" w:sz="0" w:space="0" w:color="auto"/>
        <w:right w:val="none" w:sz="0" w:space="0" w:color="auto"/>
      </w:divBdr>
    </w:div>
    <w:div w:id="1790926892">
      <w:bodyDiv w:val="1"/>
      <w:marLeft w:val="0"/>
      <w:marRight w:val="0"/>
      <w:marTop w:val="0"/>
      <w:marBottom w:val="0"/>
      <w:divBdr>
        <w:top w:val="none" w:sz="0" w:space="0" w:color="auto"/>
        <w:left w:val="none" w:sz="0" w:space="0" w:color="auto"/>
        <w:bottom w:val="none" w:sz="0" w:space="0" w:color="auto"/>
        <w:right w:val="none" w:sz="0" w:space="0" w:color="auto"/>
      </w:divBdr>
    </w:div>
    <w:div w:id="1848009808">
      <w:bodyDiv w:val="1"/>
      <w:marLeft w:val="0"/>
      <w:marRight w:val="0"/>
      <w:marTop w:val="0"/>
      <w:marBottom w:val="0"/>
      <w:divBdr>
        <w:top w:val="none" w:sz="0" w:space="0" w:color="auto"/>
        <w:left w:val="none" w:sz="0" w:space="0" w:color="auto"/>
        <w:bottom w:val="none" w:sz="0" w:space="0" w:color="auto"/>
        <w:right w:val="none" w:sz="0" w:space="0" w:color="auto"/>
      </w:divBdr>
    </w:div>
    <w:div w:id="1860700280">
      <w:bodyDiv w:val="1"/>
      <w:marLeft w:val="0"/>
      <w:marRight w:val="0"/>
      <w:marTop w:val="0"/>
      <w:marBottom w:val="0"/>
      <w:divBdr>
        <w:top w:val="none" w:sz="0" w:space="0" w:color="auto"/>
        <w:left w:val="none" w:sz="0" w:space="0" w:color="auto"/>
        <w:bottom w:val="none" w:sz="0" w:space="0" w:color="auto"/>
        <w:right w:val="none" w:sz="0" w:space="0" w:color="auto"/>
      </w:divBdr>
    </w:div>
    <w:div w:id="1948199521">
      <w:bodyDiv w:val="1"/>
      <w:marLeft w:val="0"/>
      <w:marRight w:val="0"/>
      <w:marTop w:val="0"/>
      <w:marBottom w:val="0"/>
      <w:divBdr>
        <w:top w:val="none" w:sz="0" w:space="0" w:color="auto"/>
        <w:left w:val="none" w:sz="0" w:space="0" w:color="auto"/>
        <w:bottom w:val="none" w:sz="0" w:space="0" w:color="auto"/>
        <w:right w:val="none" w:sz="0" w:space="0" w:color="auto"/>
      </w:divBdr>
    </w:div>
    <w:div w:id="1968466952">
      <w:bodyDiv w:val="1"/>
      <w:marLeft w:val="0"/>
      <w:marRight w:val="0"/>
      <w:marTop w:val="0"/>
      <w:marBottom w:val="0"/>
      <w:divBdr>
        <w:top w:val="none" w:sz="0" w:space="0" w:color="auto"/>
        <w:left w:val="none" w:sz="0" w:space="0" w:color="auto"/>
        <w:bottom w:val="none" w:sz="0" w:space="0" w:color="auto"/>
        <w:right w:val="none" w:sz="0" w:space="0" w:color="auto"/>
      </w:divBdr>
    </w:div>
    <w:div w:id="1988896883">
      <w:bodyDiv w:val="1"/>
      <w:marLeft w:val="0"/>
      <w:marRight w:val="0"/>
      <w:marTop w:val="0"/>
      <w:marBottom w:val="0"/>
      <w:divBdr>
        <w:top w:val="none" w:sz="0" w:space="0" w:color="auto"/>
        <w:left w:val="none" w:sz="0" w:space="0" w:color="auto"/>
        <w:bottom w:val="none" w:sz="0" w:space="0" w:color="auto"/>
        <w:right w:val="none" w:sz="0" w:space="0" w:color="auto"/>
      </w:divBdr>
    </w:div>
    <w:div w:id="1998655059">
      <w:bodyDiv w:val="1"/>
      <w:marLeft w:val="0"/>
      <w:marRight w:val="0"/>
      <w:marTop w:val="0"/>
      <w:marBottom w:val="0"/>
      <w:divBdr>
        <w:top w:val="none" w:sz="0" w:space="0" w:color="auto"/>
        <w:left w:val="none" w:sz="0" w:space="0" w:color="auto"/>
        <w:bottom w:val="none" w:sz="0" w:space="0" w:color="auto"/>
        <w:right w:val="none" w:sz="0" w:space="0" w:color="auto"/>
      </w:divBdr>
    </w:div>
    <w:div w:id="2003966878">
      <w:bodyDiv w:val="1"/>
      <w:marLeft w:val="0"/>
      <w:marRight w:val="0"/>
      <w:marTop w:val="0"/>
      <w:marBottom w:val="0"/>
      <w:divBdr>
        <w:top w:val="none" w:sz="0" w:space="0" w:color="auto"/>
        <w:left w:val="none" w:sz="0" w:space="0" w:color="auto"/>
        <w:bottom w:val="none" w:sz="0" w:space="0" w:color="auto"/>
        <w:right w:val="none" w:sz="0" w:space="0" w:color="auto"/>
      </w:divBdr>
    </w:div>
    <w:div w:id="2021202626">
      <w:bodyDiv w:val="1"/>
      <w:marLeft w:val="0"/>
      <w:marRight w:val="0"/>
      <w:marTop w:val="0"/>
      <w:marBottom w:val="0"/>
      <w:divBdr>
        <w:top w:val="none" w:sz="0" w:space="0" w:color="auto"/>
        <w:left w:val="none" w:sz="0" w:space="0" w:color="auto"/>
        <w:bottom w:val="none" w:sz="0" w:space="0" w:color="auto"/>
        <w:right w:val="none" w:sz="0" w:space="0" w:color="auto"/>
      </w:divBdr>
    </w:div>
    <w:div w:id="2022968968">
      <w:bodyDiv w:val="1"/>
      <w:marLeft w:val="0"/>
      <w:marRight w:val="0"/>
      <w:marTop w:val="0"/>
      <w:marBottom w:val="0"/>
      <w:divBdr>
        <w:top w:val="none" w:sz="0" w:space="0" w:color="auto"/>
        <w:left w:val="none" w:sz="0" w:space="0" w:color="auto"/>
        <w:bottom w:val="none" w:sz="0" w:space="0" w:color="auto"/>
        <w:right w:val="none" w:sz="0" w:space="0" w:color="auto"/>
      </w:divBdr>
    </w:div>
    <w:div w:id="2029023197">
      <w:bodyDiv w:val="1"/>
      <w:marLeft w:val="0"/>
      <w:marRight w:val="0"/>
      <w:marTop w:val="0"/>
      <w:marBottom w:val="0"/>
      <w:divBdr>
        <w:top w:val="none" w:sz="0" w:space="0" w:color="auto"/>
        <w:left w:val="none" w:sz="0" w:space="0" w:color="auto"/>
        <w:bottom w:val="none" w:sz="0" w:space="0" w:color="auto"/>
        <w:right w:val="none" w:sz="0" w:space="0" w:color="auto"/>
      </w:divBdr>
    </w:div>
    <w:div w:id="2088725617">
      <w:bodyDiv w:val="1"/>
      <w:marLeft w:val="0"/>
      <w:marRight w:val="0"/>
      <w:marTop w:val="0"/>
      <w:marBottom w:val="0"/>
      <w:divBdr>
        <w:top w:val="none" w:sz="0" w:space="0" w:color="auto"/>
        <w:left w:val="none" w:sz="0" w:space="0" w:color="auto"/>
        <w:bottom w:val="none" w:sz="0" w:space="0" w:color="auto"/>
        <w:right w:val="none" w:sz="0" w:space="0" w:color="auto"/>
      </w:divBdr>
    </w:div>
    <w:div w:id="2097046637">
      <w:bodyDiv w:val="1"/>
      <w:marLeft w:val="0"/>
      <w:marRight w:val="0"/>
      <w:marTop w:val="0"/>
      <w:marBottom w:val="0"/>
      <w:divBdr>
        <w:top w:val="none" w:sz="0" w:space="0" w:color="auto"/>
        <w:left w:val="none" w:sz="0" w:space="0" w:color="auto"/>
        <w:bottom w:val="none" w:sz="0" w:space="0" w:color="auto"/>
        <w:right w:val="none" w:sz="0" w:space="0" w:color="auto"/>
      </w:divBdr>
    </w:div>
    <w:div w:id="2115130935">
      <w:bodyDiv w:val="1"/>
      <w:marLeft w:val="0"/>
      <w:marRight w:val="0"/>
      <w:marTop w:val="0"/>
      <w:marBottom w:val="0"/>
      <w:divBdr>
        <w:top w:val="none" w:sz="0" w:space="0" w:color="auto"/>
        <w:left w:val="none" w:sz="0" w:space="0" w:color="auto"/>
        <w:bottom w:val="none" w:sz="0" w:space="0" w:color="auto"/>
        <w:right w:val="none" w:sz="0" w:space="0" w:color="auto"/>
      </w:divBdr>
    </w:div>
    <w:div w:id="2134134293">
      <w:bodyDiv w:val="1"/>
      <w:marLeft w:val="0"/>
      <w:marRight w:val="0"/>
      <w:marTop w:val="0"/>
      <w:marBottom w:val="0"/>
      <w:divBdr>
        <w:top w:val="none" w:sz="0" w:space="0" w:color="auto"/>
        <w:left w:val="none" w:sz="0" w:space="0" w:color="auto"/>
        <w:bottom w:val="none" w:sz="0" w:space="0" w:color="auto"/>
        <w:right w:val="none" w:sz="0" w:space="0" w:color="auto"/>
      </w:divBdr>
    </w:div>
    <w:div w:id="214075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daptation-undp.org/resources/project-brief-fact-sheet/undp-issues-brief-nature-based-climate-solutions" TargetMode="External"/><Relationship Id="rId18" Type="http://schemas.openxmlformats.org/officeDocument/2006/relationships/hyperlink" Target="https://www.latinamerica.undp.org/content/rblac/en/home/climate-and-disaster-resilience/early-warning-system.html"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daptation-undp.org/resources/urban-climate-resilience" TargetMode="External"/><Relationship Id="rId17" Type="http://schemas.openxmlformats.org/officeDocument/2006/relationships/hyperlink" Target="https://undpgefpims.org/attachments/5724/215412/1721759/1731543/Signed%20Project%20Document%20GCF%20Bangladesh_27.12.18.pdf" TargetMode="External"/><Relationship Id="rId25" Type="http://schemas.openxmlformats.org/officeDocument/2006/relationships/hyperlink" Target="https://www.adaptation-undp.org/abou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ac.unwomen.org/en/digiteca/publicaciones/2020/06/de-las-palabras-a-la-accion-soluciones-innovadoras-naturaleza-accion-climatica-e-igualdad-de-genero" TargetMode="External"/><Relationship Id="rId20" Type="http://schemas.openxmlformats.org/officeDocument/2006/relationships/header" Target="head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daptation-undp.org/resources/project-brief-fact-sheet/undp-issues-brief-resilient-food-and-agriculture" TargetMode="External"/><Relationship Id="rId24" Type="http://schemas.openxmlformats.org/officeDocument/2006/relationships/header" Target="header3.xml"/><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www.fao.org/3/cb0699en/cb0699en.pdf" TargetMode="External"/><Relationship Id="rId23" Type="http://schemas.openxmlformats.org/officeDocument/2006/relationships/footer" Target="footer2.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www.bb.undp.org/content/barbados/en/home/projects/EnGenDER.html"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aptation-undp.org/resources/project-brief-fact-sheet/undp-issues-brief-nature-based-climate-solutions"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footer" Target="footer4.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undp.org/content/undp/en/home/news-centre/news/2020/UNDP_issues_new_guidance_for_private_equity_funds_to_look_beyond_bottom_line.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8B26D169D6104DA00165834CC3D050" ma:contentTypeVersion="12" ma:contentTypeDescription="Create a new document." ma:contentTypeScope="" ma:versionID="5875af6ffcefde981feb8024d4a34992">
  <xsd:schema xmlns:xsd="http://www.w3.org/2001/XMLSchema" xmlns:xs="http://www.w3.org/2001/XMLSchema" xmlns:p="http://schemas.microsoft.com/office/2006/metadata/properties" xmlns:ns3="b55f5e85-a9af-4c92-b5f3-f0e88fa03f98" xmlns:ns4="1919caa9-550f-4faa-b55d-ef5f9b61dbfe" targetNamespace="http://schemas.microsoft.com/office/2006/metadata/properties" ma:root="true" ma:fieldsID="394172546fa68da88bbd1ee70ccad226" ns3:_="" ns4:_="">
    <xsd:import namespace="b55f5e85-a9af-4c92-b5f3-f0e88fa03f98"/>
    <xsd:import namespace="1919caa9-550f-4faa-b55d-ef5f9b61d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5f5e85-a9af-4c92-b5f3-f0e88fa03f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19caa9-550f-4faa-b55d-ef5f9b61dbf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E9ED1-D052-4D39-8388-485F5F43D9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6BAAFF-B5F4-4226-86EE-F9F57016E296}">
  <ds:schemaRefs>
    <ds:schemaRef ds:uri="http://schemas.microsoft.com/sharepoint/v3/contenttype/forms"/>
  </ds:schemaRefs>
</ds:datastoreItem>
</file>

<file path=customXml/itemProps3.xml><?xml version="1.0" encoding="utf-8"?>
<ds:datastoreItem xmlns:ds="http://schemas.openxmlformats.org/officeDocument/2006/customXml" ds:itemID="{8009E70E-5B41-4D84-A132-546A766EF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5f5e85-a9af-4c92-b5f3-f0e88fa03f98"/>
    <ds:schemaRef ds:uri="1919caa9-550f-4faa-b55d-ef5f9b61d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DF14DF-A1F1-4A48-BC88-677542B2E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9089</Words>
  <Characters>51808</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DP/2017/22</vt:lpstr>
    </vt:vector>
  </TitlesOfParts>
  <Company/>
  <LinksUpToDate>false</LinksUpToDate>
  <CharactersWithSpaces>60776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DP/2017/22</dc:title>
  <dc:subject>Management response to the joint assessment of UNDP institutional effectiveness</dc:subject>
  <dc:creator>UNDP</dc:creator>
  <cp:keywords>17-06227</cp:keywords>
  <cp:lastModifiedBy>Sujeeta Bajracharya</cp:lastModifiedBy>
  <cp:revision>2</cp:revision>
  <cp:lastPrinted>2019-04-23T23:02:00Z</cp:lastPrinted>
  <dcterms:created xsi:type="dcterms:W3CDTF">2021-01-18T10:43:00Z</dcterms:created>
  <dcterms:modified xsi:type="dcterms:W3CDTF">2021-01-18T10:43:00Z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ease Date">
    <vt:lpwstr>240417</vt:lpwstr>
  </property>
  <property fmtid="{D5CDD505-2E9C-101B-9397-08002B2CF9AE}" pid="3" name="JobNo">
    <vt:lpwstr>1906518E</vt:lpwstr>
  </property>
  <property fmtid="{D5CDD505-2E9C-101B-9397-08002B2CF9AE}" pid="4" name="ODSRefJobNo">
    <vt:lpwstr>1911396E</vt:lpwstr>
  </property>
  <property fmtid="{D5CDD505-2E9C-101B-9397-08002B2CF9AE}" pid="5" name="Symbol1">
    <vt:lpwstr>DP/2019/17</vt:lpwstr>
  </property>
  <property fmtid="{D5CDD505-2E9C-101B-9397-08002B2CF9AE}" pid="6" name="Symbol2">
    <vt:lpwstr/>
  </property>
  <property fmtid="{D5CDD505-2E9C-101B-9397-08002B2CF9AE}" pid="7" name="ContentTypeId">
    <vt:lpwstr>0x010100768B26D169D6104DA00165834CC3D050</vt:lpwstr>
  </property>
</Properties>
</file>