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B6A6" w14:textId="4BC00C17" w:rsidR="00AA7009" w:rsidRPr="001078BE" w:rsidRDefault="00D66F55" w:rsidP="00E21B56">
      <w:pPr>
        <w:autoSpaceDE w:val="0"/>
        <w:autoSpaceDN w:val="0"/>
        <w:adjustRightInd w:val="0"/>
        <w:spacing w:after="0" w:line="240" w:lineRule="auto"/>
        <w:jc w:val="center"/>
        <w:rPr>
          <w:rFonts w:ascii="Cambria" w:eastAsiaTheme="minorEastAsia" w:hAnsi="Cambria" w:cs="CIDFont+F4"/>
          <w:b/>
          <w:bCs/>
          <w:sz w:val="32"/>
          <w:szCs w:val="32"/>
          <w:lang w:val="en-GB"/>
        </w:rPr>
      </w:pPr>
      <w:r w:rsidRPr="001078BE">
        <w:rPr>
          <w:rFonts w:ascii="Cambria" w:hAnsi="Cambria"/>
          <w:b/>
          <w:sz w:val="32"/>
          <w:szCs w:val="32"/>
          <w:lang w:val="en-GB"/>
        </w:rPr>
        <w:t>Management response t</w:t>
      </w:r>
      <w:r w:rsidR="00F73041" w:rsidRPr="001078BE">
        <w:rPr>
          <w:rFonts w:ascii="Cambria" w:hAnsi="Cambria"/>
          <w:b/>
          <w:sz w:val="32"/>
          <w:szCs w:val="32"/>
          <w:lang w:val="en-GB"/>
        </w:rPr>
        <w:t>o the Disaster Resilience for Pacific Small Island Developing States (RESPAC)</w:t>
      </w:r>
    </w:p>
    <w:p w14:paraId="2CB80010" w14:textId="77777777" w:rsidR="00E12F50" w:rsidRPr="001078BE" w:rsidRDefault="00E12F50" w:rsidP="00F02961">
      <w:pPr>
        <w:spacing w:after="0" w:line="240" w:lineRule="auto"/>
        <w:jc w:val="both"/>
        <w:rPr>
          <w:rFonts w:ascii="Cambria" w:hAnsi="Cambria"/>
          <w:b/>
          <w:highlight w:val="lightGray"/>
          <w:lang w:val="en-GB"/>
        </w:rPr>
      </w:pPr>
    </w:p>
    <w:p w14:paraId="585D213A" w14:textId="77777777" w:rsidR="00F07654" w:rsidRPr="001078BE" w:rsidRDefault="00F07654" w:rsidP="00F07654">
      <w:pPr>
        <w:spacing w:after="5" w:line="248" w:lineRule="auto"/>
        <w:ind w:left="2880" w:hanging="2880"/>
        <w:jc w:val="both"/>
        <w:rPr>
          <w:rFonts w:ascii="Cambria" w:eastAsia="Garamond" w:hAnsi="Cambria" w:cs="Garamond"/>
          <w:color w:val="000000"/>
          <w:lang w:val="en-GB"/>
        </w:rPr>
      </w:pPr>
    </w:p>
    <w:p w14:paraId="6478B5F2" w14:textId="711A6566" w:rsidR="00F07654" w:rsidRPr="001078BE" w:rsidRDefault="00F07654" w:rsidP="003B11F5">
      <w:pPr>
        <w:spacing w:after="5" w:line="248" w:lineRule="auto"/>
        <w:ind w:left="5040" w:hanging="5040"/>
        <w:jc w:val="both"/>
        <w:rPr>
          <w:rFonts w:ascii="Cambria" w:eastAsia="Garamond" w:hAnsi="Cambria" w:cs="Garamond"/>
          <w:color w:val="000000"/>
          <w:lang w:val="en-GB"/>
        </w:rPr>
      </w:pPr>
      <w:r w:rsidRPr="001078BE">
        <w:rPr>
          <w:rFonts w:ascii="Cambria" w:eastAsia="Garamond" w:hAnsi="Cambria" w:cs="Garamond"/>
          <w:color w:val="000000"/>
          <w:lang w:val="en-GB"/>
        </w:rPr>
        <w:t xml:space="preserve">Project Title: </w:t>
      </w:r>
      <w:r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Disaster Resilience in the Pacific Small Island Developing States RESPAC</w:t>
      </w:r>
    </w:p>
    <w:p w14:paraId="51C1E344" w14:textId="62F61299" w:rsidR="00F07654" w:rsidRPr="001078BE" w:rsidRDefault="00CC18C7" w:rsidP="00F07654">
      <w:pPr>
        <w:spacing w:after="5" w:line="248" w:lineRule="auto"/>
        <w:ind w:left="10" w:hanging="10"/>
        <w:jc w:val="both"/>
        <w:rPr>
          <w:rFonts w:ascii="Cambria" w:eastAsia="Garamond" w:hAnsi="Cambria" w:cs="Garamond"/>
          <w:color w:val="000000"/>
          <w:lang w:val="en-GB"/>
        </w:rPr>
      </w:pPr>
      <w:r w:rsidRPr="001078BE">
        <w:rPr>
          <w:rFonts w:ascii="Cambria" w:eastAsia="Garamond" w:hAnsi="Cambria" w:cs="Garamond"/>
          <w:color w:val="000000"/>
          <w:lang w:val="en-GB"/>
        </w:rPr>
        <w:tab/>
      </w:r>
      <w:r w:rsidR="00CC327D" w:rsidRPr="001078BE">
        <w:rPr>
          <w:rFonts w:ascii="Cambria" w:eastAsia="Garamond" w:hAnsi="Cambria" w:cs="Garamond"/>
          <w:color w:val="000000"/>
          <w:lang w:val="en-GB"/>
        </w:rPr>
        <w:t xml:space="preserve">Project ID: </w:t>
      </w:r>
      <w:r w:rsidRPr="001078BE">
        <w:rPr>
          <w:rFonts w:ascii="Cambria" w:eastAsia="Garamond" w:hAnsi="Cambria" w:cs="Garamond"/>
          <w:color w:val="000000"/>
          <w:lang w:val="en-GB"/>
        </w:rPr>
        <w:tab/>
      </w:r>
      <w:r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t>111184</w:t>
      </w:r>
    </w:p>
    <w:p w14:paraId="163896F9" w14:textId="51F49793" w:rsidR="00F07654" w:rsidRPr="001078BE" w:rsidRDefault="00CC327D" w:rsidP="00F07654">
      <w:pPr>
        <w:spacing w:after="5" w:line="248" w:lineRule="auto"/>
        <w:ind w:left="10" w:hanging="10"/>
        <w:jc w:val="both"/>
        <w:rPr>
          <w:rFonts w:ascii="Cambria" w:eastAsia="Garamond" w:hAnsi="Cambria" w:cs="Garamond"/>
          <w:color w:val="000000"/>
          <w:lang w:val="en-GB"/>
        </w:rPr>
      </w:pPr>
      <w:r w:rsidRPr="001078BE">
        <w:rPr>
          <w:rFonts w:ascii="Cambria" w:eastAsia="Garamond" w:hAnsi="Cambria" w:cs="Garamond"/>
          <w:color w:val="000000"/>
          <w:lang w:val="en-GB"/>
        </w:rPr>
        <w:t xml:space="preserve">Terminal </w:t>
      </w:r>
      <w:r w:rsidR="001078BE" w:rsidRPr="001078BE">
        <w:rPr>
          <w:rFonts w:ascii="Cambria" w:eastAsia="Garamond" w:hAnsi="Cambria" w:cs="Garamond"/>
          <w:color w:val="000000"/>
          <w:lang w:val="en-GB"/>
        </w:rPr>
        <w:t>Evaluation</w:t>
      </w:r>
      <w:r w:rsidR="00F07654" w:rsidRPr="001078BE">
        <w:rPr>
          <w:rFonts w:ascii="Cambria" w:eastAsia="Garamond" w:hAnsi="Cambria" w:cs="Garamond"/>
          <w:color w:val="000000"/>
          <w:lang w:val="en-GB"/>
        </w:rPr>
        <w:t xml:space="preserve"> Mission Completion Date:</w:t>
      </w:r>
      <w:r w:rsidR="00CC18C7"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26 March 2021</w:t>
      </w:r>
    </w:p>
    <w:p w14:paraId="14049E2F" w14:textId="57F9688D" w:rsidR="00F07654" w:rsidRPr="001078BE" w:rsidRDefault="00F07654" w:rsidP="00F07654">
      <w:pPr>
        <w:spacing w:after="5" w:line="248" w:lineRule="auto"/>
        <w:ind w:left="10" w:hanging="10"/>
        <w:jc w:val="both"/>
        <w:rPr>
          <w:rFonts w:ascii="Cambria" w:eastAsia="Garamond" w:hAnsi="Cambria" w:cs="Garamond"/>
          <w:color w:val="000000"/>
          <w:lang w:val="en-GB"/>
        </w:rPr>
      </w:pPr>
      <w:r w:rsidRPr="001078BE">
        <w:rPr>
          <w:rFonts w:ascii="Cambria" w:eastAsia="Garamond" w:hAnsi="Cambria" w:cs="Garamond"/>
          <w:color w:val="000000"/>
          <w:lang w:val="en-GB"/>
        </w:rPr>
        <w:t xml:space="preserve">Date of Issue of Management Response:  </w:t>
      </w:r>
      <w:r w:rsidRPr="001078BE">
        <w:rPr>
          <w:rFonts w:ascii="Cambria" w:eastAsia="Garamond" w:hAnsi="Cambria" w:cs="Garamond"/>
          <w:color w:val="000000"/>
          <w:lang w:val="en-GB"/>
        </w:rPr>
        <w:tab/>
      </w:r>
      <w:r w:rsidR="003B11F5" w:rsidRPr="001078BE">
        <w:rPr>
          <w:rFonts w:ascii="Cambria" w:eastAsia="Garamond" w:hAnsi="Cambria" w:cs="Garamond"/>
          <w:color w:val="000000"/>
          <w:lang w:val="en-GB"/>
        </w:rPr>
        <w:tab/>
      </w:r>
      <w:r w:rsidR="005A7C23">
        <w:rPr>
          <w:rFonts w:ascii="Cambria" w:eastAsia="Garamond" w:hAnsi="Cambria" w:cs="Garamond"/>
          <w:color w:val="000000"/>
          <w:lang w:val="en-GB"/>
        </w:rPr>
        <w:t>16</w:t>
      </w:r>
      <w:r w:rsidR="003B11F5" w:rsidRPr="001078BE">
        <w:rPr>
          <w:rFonts w:ascii="Cambria" w:eastAsia="Garamond" w:hAnsi="Cambria" w:cs="Garamond"/>
          <w:color w:val="000000"/>
          <w:lang w:val="en-GB"/>
        </w:rPr>
        <w:t>May 2021</w:t>
      </w:r>
    </w:p>
    <w:p w14:paraId="10352EBE" w14:textId="77777777" w:rsidR="00F07654" w:rsidRPr="001078BE" w:rsidRDefault="00F07654" w:rsidP="00F07654">
      <w:pPr>
        <w:spacing w:after="0"/>
        <w:rPr>
          <w:rFonts w:ascii="Cambria" w:eastAsia="Garamond" w:hAnsi="Cambria" w:cs="Garamond"/>
          <w:color w:val="000000"/>
          <w:lang w:val="en-GB"/>
        </w:rPr>
      </w:pPr>
      <w:r w:rsidRPr="001078BE">
        <w:rPr>
          <w:rFonts w:ascii="Cambria" w:eastAsia="Garamond" w:hAnsi="Cambria" w:cs="Garamond"/>
          <w:color w:val="000000"/>
          <w:lang w:val="en-GB"/>
        </w:rPr>
        <w:t xml:space="preserve"> </w:t>
      </w:r>
    </w:p>
    <w:tbl>
      <w:tblPr>
        <w:tblW w:w="8394" w:type="dxa"/>
        <w:tblLayout w:type="fixed"/>
        <w:tblLook w:val="0400" w:firstRow="0" w:lastRow="0" w:firstColumn="0" w:lastColumn="0" w:noHBand="0" w:noVBand="1"/>
      </w:tblPr>
      <w:tblGrid>
        <w:gridCol w:w="2881"/>
        <w:gridCol w:w="5513"/>
      </w:tblGrid>
      <w:tr w:rsidR="00F07654" w:rsidRPr="001078BE" w14:paraId="2886B5EF" w14:textId="77777777" w:rsidTr="00F07654">
        <w:trPr>
          <w:trHeight w:val="324"/>
        </w:trPr>
        <w:tc>
          <w:tcPr>
            <w:tcW w:w="2881" w:type="dxa"/>
            <w:tcBorders>
              <w:top w:val="nil"/>
              <w:left w:val="nil"/>
              <w:bottom w:val="nil"/>
              <w:right w:val="nil"/>
            </w:tcBorders>
          </w:tcPr>
          <w:p w14:paraId="634EF54E" w14:textId="77777777" w:rsidR="00F07654" w:rsidRPr="001078BE" w:rsidRDefault="00F07654" w:rsidP="00F07654">
            <w:pPr>
              <w:rPr>
                <w:rFonts w:ascii="Cambria" w:eastAsia="Garamond" w:hAnsi="Cambria" w:cs="Garamond"/>
                <w:color w:val="000000"/>
                <w:lang w:val="en-GB"/>
              </w:rPr>
            </w:pPr>
            <w:r w:rsidRPr="001078BE">
              <w:rPr>
                <w:rFonts w:ascii="Cambria" w:eastAsia="Garamond" w:hAnsi="Cambria" w:cs="Garamond"/>
                <w:color w:val="000000"/>
                <w:lang w:val="en-GB"/>
              </w:rPr>
              <w:t xml:space="preserve">Prepared by:  </w:t>
            </w:r>
          </w:p>
        </w:tc>
        <w:tc>
          <w:tcPr>
            <w:tcW w:w="5513" w:type="dxa"/>
            <w:tcBorders>
              <w:top w:val="nil"/>
              <w:left w:val="nil"/>
              <w:bottom w:val="nil"/>
              <w:right w:val="nil"/>
            </w:tcBorders>
          </w:tcPr>
          <w:p w14:paraId="672599B5" w14:textId="77777777" w:rsidR="00F07654" w:rsidRPr="001078BE" w:rsidRDefault="00F07654" w:rsidP="00553D6C">
            <w:pPr>
              <w:ind w:left="720"/>
              <w:rPr>
                <w:rFonts w:ascii="Cambria" w:eastAsia="Arial" w:hAnsi="Cambria" w:cs="Arial"/>
                <w:color w:val="000000"/>
                <w:lang w:val="en-GB"/>
              </w:rPr>
            </w:pPr>
            <w:r w:rsidRPr="001078BE">
              <w:rPr>
                <w:rFonts w:ascii="Cambria" w:eastAsia="Garamond" w:hAnsi="Cambria" w:cs="Garamond"/>
                <w:color w:val="000000"/>
                <w:lang w:val="en-GB"/>
              </w:rPr>
              <w:t>Resilience and Sustainable Unit, UNDP Pacific Office, Suva, Fiji</w:t>
            </w:r>
            <w:r w:rsidRPr="001078BE">
              <w:rPr>
                <w:rFonts w:ascii="Cambria" w:eastAsia="Arial" w:hAnsi="Cambria" w:cs="Arial"/>
                <w:i/>
                <w:color w:val="000000"/>
                <w:sz w:val="18"/>
                <w:szCs w:val="18"/>
                <w:lang w:val="en-GB"/>
              </w:rPr>
              <w:t xml:space="preserve"> </w:t>
            </w:r>
          </w:p>
        </w:tc>
      </w:tr>
      <w:tr w:rsidR="00F07654" w:rsidRPr="001078BE" w14:paraId="2AFD3F06" w14:textId="77777777" w:rsidTr="00F07654">
        <w:trPr>
          <w:trHeight w:val="448"/>
        </w:trPr>
        <w:tc>
          <w:tcPr>
            <w:tcW w:w="2881" w:type="dxa"/>
            <w:tcBorders>
              <w:top w:val="nil"/>
              <w:left w:val="nil"/>
              <w:bottom w:val="nil"/>
              <w:right w:val="nil"/>
            </w:tcBorders>
            <w:vAlign w:val="center"/>
          </w:tcPr>
          <w:p w14:paraId="52FE4AFE" w14:textId="77777777" w:rsidR="00F07654" w:rsidRPr="001078BE" w:rsidRDefault="00F07654" w:rsidP="00F07654">
            <w:pPr>
              <w:rPr>
                <w:rFonts w:ascii="Cambria" w:eastAsia="Garamond" w:hAnsi="Cambria" w:cs="Garamond"/>
                <w:color w:val="000000"/>
                <w:lang w:val="en-GB"/>
              </w:rPr>
            </w:pPr>
            <w:r w:rsidRPr="001078BE">
              <w:rPr>
                <w:rFonts w:ascii="Cambria" w:eastAsia="Garamond" w:hAnsi="Cambria" w:cs="Garamond"/>
                <w:color w:val="000000"/>
                <w:lang w:val="en-GB"/>
              </w:rPr>
              <w:t xml:space="preserve">Contributors:  </w:t>
            </w:r>
          </w:p>
        </w:tc>
        <w:tc>
          <w:tcPr>
            <w:tcW w:w="5513" w:type="dxa"/>
            <w:tcBorders>
              <w:top w:val="nil"/>
              <w:left w:val="nil"/>
              <w:bottom w:val="nil"/>
              <w:right w:val="nil"/>
            </w:tcBorders>
            <w:vAlign w:val="center"/>
          </w:tcPr>
          <w:p w14:paraId="008FE2D2" w14:textId="78A45B80" w:rsidR="00F07654" w:rsidRPr="001078BE" w:rsidRDefault="00F07654" w:rsidP="00553D6C">
            <w:pPr>
              <w:ind w:left="720"/>
              <w:jc w:val="both"/>
              <w:rPr>
                <w:rFonts w:ascii="Cambria" w:eastAsia="Garamond" w:hAnsi="Cambria" w:cs="Garamond"/>
                <w:color w:val="000000"/>
                <w:lang w:val="en-GB"/>
              </w:rPr>
            </w:pPr>
            <w:r w:rsidRPr="001078BE">
              <w:rPr>
                <w:rFonts w:ascii="Cambria" w:eastAsia="Garamond" w:hAnsi="Cambria" w:cs="Garamond"/>
                <w:color w:val="000000"/>
                <w:lang w:val="en-GB"/>
              </w:rPr>
              <w:t xml:space="preserve">RSD Team Leader </w:t>
            </w:r>
            <w:proofErr w:type="spellStart"/>
            <w:r w:rsidRPr="001078BE">
              <w:rPr>
                <w:rFonts w:ascii="Cambria" w:eastAsia="Garamond" w:hAnsi="Cambria" w:cs="Garamond"/>
                <w:color w:val="000000"/>
                <w:lang w:val="en-GB"/>
              </w:rPr>
              <w:t>a.i</w:t>
            </w:r>
            <w:r w:rsidR="001078BE">
              <w:rPr>
                <w:rFonts w:ascii="Cambria" w:eastAsia="Garamond" w:hAnsi="Cambria" w:cs="Garamond"/>
                <w:color w:val="000000"/>
                <w:lang w:val="en-GB"/>
              </w:rPr>
              <w:t>.</w:t>
            </w:r>
            <w:proofErr w:type="spellEnd"/>
            <w:r w:rsidRPr="001078BE">
              <w:rPr>
                <w:rFonts w:ascii="Cambria" w:eastAsia="Garamond" w:hAnsi="Cambria" w:cs="Garamond"/>
                <w:color w:val="000000"/>
                <w:lang w:val="en-GB"/>
              </w:rPr>
              <w:t>, Project Management Unit</w:t>
            </w:r>
            <w:r w:rsidRPr="001078BE">
              <w:rPr>
                <w:rFonts w:ascii="Cambria" w:eastAsia="Garamond" w:hAnsi="Cambria" w:cs="Garamond"/>
                <w:i/>
                <w:color w:val="000000"/>
                <w:lang w:val="en-GB"/>
              </w:rPr>
              <w:t xml:space="preserve">, </w:t>
            </w:r>
            <w:r w:rsidRPr="001078BE">
              <w:rPr>
                <w:rFonts w:ascii="Cambria" w:eastAsia="Garamond" w:hAnsi="Cambria" w:cs="Garamond"/>
                <w:iCs/>
                <w:color w:val="000000"/>
                <w:lang w:val="en-GB"/>
              </w:rPr>
              <w:t>CO Monitoring and Evaluation</w:t>
            </w:r>
          </w:p>
        </w:tc>
      </w:tr>
      <w:tr w:rsidR="00F07654" w:rsidRPr="001078BE" w14:paraId="1511C25E" w14:textId="77777777" w:rsidTr="00F07654">
        <w:trPr>
          <w:trHeight w:val="326"/>
        </w:trPr>
        <w:tc>
          <w:tcPr>
            <w:tcW w:w="2881" w:type="dxa"/>
            <w:tcBorders>
              <w:top w:val="nil"/>
              <w:left w:val="nil"/>
              <w:bottom w:val="nil"/>
              <w:right w:val="nil"/>
            </w:tcBorders>
            <w:vAlign w:val="bottom"/>
          </w:tcPr>
          <w:p w14:paraId="50678D84" w14:textId="77777777" w:rsidR="00F07654" w:rsidRPr="001078BE" w:rsidRDefault="00F07654" w:rsidP="00F07654">
            <w:pPr>
              <w:rPr>
                <w:rFonts w:ascii="Cambria" w:eastAsia="Garamond" w:hAnsi="Cambria" w:cs="Garamond"/>
                <w:color w:val="000000"/>
                <w:lang w:val="en-GB"/>
              </w:rPr>
            </w:pPr>
            <w:r w:rsidRPr="001078BE">
              <w:rPr>
                <w:rFonts w:ascii="Cambria" w:eastAsia="Garamond" w:hAnsi="Cambria" w:cs="Garamond"/>
                <w:color w:val="000000"/>
                <w:lang w:val="en-GB"/>
              </w:rPr>
              <w:t xml:space="preserve">Cleared by:  </w:t>
            </w:r>
          </w:p>
        </w:tc>
        <w:tc>
          <w:tcPr>
            <w:tcW w:w="5513" w:type="dxa"/>
            <w:tcBorders>
              <w:top w:val="nil"/>
              <w:left w:val="nil"/>
              <w:bottom w:val="nil"/>
              <w:right w:val="nil"/>
            </w:tcBorders>
            <w:vAlign w:val="bottom"/>
          </w:tcPr>
          <w:p w14:paraId="2FACD91C" w14:textId="64B115F6" w:rsidR="00F07654" w:rsidRPr="001078BE" w:rsidRDefault="00F07654" w:rsidP="00553D6C">
            <w:pPr>
              <w:ind w:left="720"/>
              <w:rPr>
                <w:rFonts w:ascii="Cambria" w:eastAsia="Garamond" w:hAnsi="Cambria" w:cs="Garamond"/>
                <w:color w:val="000000"/>
                <w:lang w:val="en-GB"/>
              </w:rPr>
            </w:pPr>
            <w:r w:rsidRPr="001078BE">
              <w:rPr>
                <w:rFonts w:ascii="Cambria" w:eastAsia="Garamond" w:hAnsi="Cambria" w:cs="Garamond"/>
                <w:color w:val="000000"/>
                <w:lang w:val="en-GB"/>
              </w:rPr>
              <w:t xml:space="preserve">Deputy Resident Representative </w:t>
            </w:r>
            <w:proofErr w:type="spellStart"/>
            <w:r w:rsidRPr="001078BE">
              <w:rPr>
                <w:rFonts w:ascii="Cambria" w:eastAsia="Garamond" w:hAnsi="Cambria" w:cs="Garamond"/>
                <w:color w:val="000000"/>
                <w:lang w:val="en-GB"/>
              </w:rPr>
              <w:t>a.i</w:t>
            </w:r>
            <w:r w:rsidR="001078BE">
              <w:rPr>
                <w:rFonts w:ascii="Cambria" w:eastAsia="Garamond" w:hAnsi="Cambria" w:cs="Garamond"/>
                <w:color w:val="000000"/>
                <w:lang w:val="en-GB"/>
              </w:rPr>
              <w:t>.</w:t>
            </w:r>
            <w:proofErr w:type="spellEnd"/>
          </w:p>
        </w:tc>
      </w:tr>
    </w:tbl>
    <w:p w14:paraId="28B907BA" w14:textId="1E1E8A06" w:rsidR="00F07654" w:rsidRPr="001078BE" w:rsidRDefault="00F07654" w:rsidP="00223A38">
      <w:pPr>
        <w:spacing w:after="0" w:line="240" w:lineRule="auto"/>
        <w:jc w:val="both"/>
        <w:rPr>
          <w:b/>
          <w:highlight w:val="lightGray"/>
          <w:lang w:val="en-GB"/>
        </w:rPr>
      </w:pPr>
    </w:p>
    <w:p w14:paraId="67E2305A" w14:textId="67470FD6" w:rsidR="00E72287" w:rsidRPr="001078BE" w:rsidRDefault="00E72287" w:rsidP="00E72287">
      <w:pPr>
        <w:keepNext/>
        <w:keepLines/>
        <w:spacing w:after="14" w:line="249" w:lineRule="auto"/>
        <w:ind w:left="-5" w:hanging="10"/>
        <w:jc w:val="both"/>
        <w:rPr>
          <w:rFonts w:eastAsia="Garamond" w:cs="Garamond"/>
          <w:bCs/>
          <w:color w:val="000000"/>
          <w:sz w:val="32"/>
          <w:szCs w:val="32"/>
          <w:lang w:val="en-GB"/>
        </w:rPr>
      </w:pPr>
      <w:r w:rsidRPr="001078BE">
        <w:rPr>
          <w:rFonts w:eastAsia="Garamond" w:cs="Garamond"/>
          <w:b/>
          <w:color w:val="000000"/>
          <w:sz w:val="32"/>
          <w:szCs w:val="32"/>
          <w:lang w:val="en-GB"/>
        </w:rPr>
        <w:lastRenderedPageBreak/>
        <w:t xml:space="preserve">Context, </w:t>
      </w:r>
      <w:proofErr w:type="gramStart"/>
      <w:r w:rsidRPr="001078BE">
        <w:rPr>
          <w:rFonts w:eastAsia="Garamond" w:cs="Garamond"/>
          <w:b/>
          <w:color w:val="000000"/>
          <w:sz w:val="32"/>
          <w:szCs w:val="32"/>
          <w:lang w:val="en-GB"/>
        </w:rPr>
        <w:t>background</w:t>
      </w:r>
      <w:proofErr w:type="gramEnd"/>
      <w:r w:rsidRPr="001078BE">
        <w:rPr>
          <w:rFonts w:eastAsia="Garamond" w:cs="Garamond"/>
          <w:b/>
          <w:color w:val="000000"/>
          <w:sz w:val="32"/>
          <w:szCs w:val="32"/>
          <w:lang w:val="en-GB"/>
        </w:rPr>
        <w:t xml:space="preserve"> and findings</w:t>
      </w:r>
    </w:p>
    <w:p w14:paraId="31D19048" w14:textId="77777777" w:rsidR="009C5C5A" w:rsidRPr="001078BE" w:rsidRDefault="009C5C5A" w:rsidP="00E72287">
      <w:pPr>
        <w:keepNext/>
        <w:keepLines/>
        <w:spacing w:after="14" w:line="249" w:lineRule="auto"/>
        <w:ind w:left="-5" w:hanging="10"/>
        <w:jc w:val="both"/>
        <w:rPr>
          <w:lang w:val="en-GB"/>
        </w:rPr>
      </w:pPr>
    </w:p>
    <w:p w14:paraId="5AB4DBF8" w14:textId="2EDB657F" w:rsidR="00F73041" w:rsidRPr="001078BE" w:rsidRDefault="00F73041" w:rsidP="00E72287">
      <w:pPr>
        <w:keepNext/>
        <w:keepLines/>
        <w:spacing w:after="14" w:line="249" w:lineRule="auto"/>
        <w:ind w:left="-5" w:hanging="10"/>
        <w:jc w:val="both"/>
        <w:rPr>
          <w:lang w:val="en-GB"/>
        </w:rPr>
      </w:pPr>
      <w:r w:rsidRPr="001078BE">
        <w:rPr>
          <w:lang w:val="en-GB"/>
        </w:rPr>
        <w:t xml:space="preserve">The Disaster Resilience in the Pacific SIDS (RESPAC) project is funded by the Russian Federation, with a total project budget of USD7,500,000. </w:t>
      </w:r>
    </w:p>
    <w:p w14:paraId="0FD51A73" w14:textId="77777777" w:rsidR="00F73041" w:rsidRPr="001078BE" w:rsidRDefault="00F73041" w:rsidP="00E72287">
      <w:pPr>
        <w:keepNext/>
        <w:keepLines/>
        <w:spacing w:after="14" w:line="249" w:lineRule="auto"/>
        <w:ind w:left="-5" w:hanging="10"/>
        <w:jc w:val="both"/>
        <w:rPr>
          <w:lang w:val="en-GB"/>
        </w:rPr>
      </w:pPr>
    </w:p>
    <w:p w14:paraId="71F4A2FA" w14:textId="6767AFEE" w:rsidR="00F73041" w:rsidRPr="001078BE" w:rsidRDefault="00F73041" w:rsidP="00E72287">
      <w:pPr>
        <w:keepNext/>
        <w:keepLines/>
        <w:spacing w:after="14" w:line="249" w:lineRule="auto"/>
        <w:ind w:left="-5" w:hanging="10"/>
        <w:jc w:val="both"/>
        <w:rPr>
          <w:lang w:val="en-GB"/>
        </w:rPr>
      </w:pPr>
      <w:r w:rsidRPr="001078BE">
        <w:rPr>
          <w:lang w:val="en-GB"/>
        </w:rPr>
        <w:t>The purpose and direction of the project is set out in the Project Document (ProDoc) which states that the project aims to:</w:t>
      </w:r>
    </w:p>
    <w:p w14:paraId="6A2502AB" w14:textId="77777777" w:rsidR="00F73041" w:rsidRPr="001078BE" w:rsidRDefault="00F73041" w:rsidP="00E72287">
      <w:pPr>
        <w:keepNext/>
        <w:keepLines/>
        <w:spacing w:after="14" w:line="249" w:lineRule="auto"/>
        <w:ind w:left="-5" w:hanging="10"/>
        <w:jc w:val="both"/>
        <w:rPr>
          <w:lang w:val="en-GB"/>
        </w:rPr>
      </w:pPr>
    </w:p>
    <w:p w14:paraId="115810BE" w14:textId="0B8EF8F0" w:rsidR="00F73041" w:rsidRPr="001078BE" w:rsidRDefault="00F73041" w:rsidP="00A71B6C">
      <w:pPr>
        <w:keepNext/>
        <w:keepLines/>
        <w:spacing w:after="14" w:line="249" w:lineRule="auto"/>
        <w:ind w:left="715" w:firstLine="725"/>
        <w:jc w:val="both"/>
        <w:rPr>
          <w:b/>
          <w:bCs/>
          <w:lang w:val="en-GB"/>
        </w:rPr>
      </w:pPr>
      <w:r w:rsidRPr="001078BE">
        <w:rPr>
          <w:b/>
          <w:bCs/>
          <w:lang w:val="en-GB"/>
        </w:rPr>
        <w:t>Improve Pacific SIDS resilience to Climate related hazards</w:t>
      </w:r>
    </w:p>
    <w:p w14:paraId="283284EE" w14:textId="77777777" w:rsidR="00F73041" w:rsidRPr="001078BE" w:rsidRDefault="00F73041" w:rsidP="00E72287">
      <w:pPr>
        <w:keepNext/>
        <w:keepLines/>
        <w:spacing w:after="14" w:line="249" w:lineRule="auto"/>
        <w:ind w:left="-5" w:hanging="10"/>
        <w:jc w:val="both"/>
        <w:rPr>
          <w:lang w:val="en-GB"/>
        </w:rPr>
      </w:pPr>
    </w:p>
    <w:p w14:paraId="064B7533" w14:textId="77777777" w:rsidR="00F73041" w:rsidRPr="001078BE" w:rsidRDefault="00F73041" w:rsidP="00E72287">
      <w:pPr>
        <w:keepNext/>
        <w:keepLines/>
        <w:spacing w:after="14" w:line="249" w:lineRule="auto"/>
        <w:ind w:left="-5" w:hanging="10"/>
        <w:jc w:val="both"/>
        <w:rPr>
          <w:lang w:val="en-GB"/>
        </w:rPr>
      </w:pPr>
      <w:r w:rsidRPr="001078BE">
        <w:rPr>
          <w:lang w:val="en-GB"/>
        </w:rPr>
        <w:t xml:space="preserve"> The overall project goal is to: </w:t>
      </w:r>
    </w:p>
    <w:p w14:paraId="69B8FAAB" w14:textId="77777777" w:rsidR="00F73041" w:rsidRPr="001078BE" w:rsidRDefault="00F73041" w:rsidP="00E72287">
      <w:pPr>
        <w:keepNext/>
        <w:keepLines/>
        <w:spacing w:after="14" w:line="249" w:lineRule="auto"/>
        <w:ind w:left="-5" w:hanging="10"/>
        <w:jc w:val="both"/>
        <w:rPr>
          <w:lang w:val="en-GB"/>
        </w:rPr>
      </w:pPr>
    </w:p>
    <w:p w14:paraId="4B28BD6A" w14:textId="4C596E77" w:rsidR="00F73041" w:rsidRPr="001078BE" w:rsidRDefault="00A71B6C" w:rsidP="00E72287">
      <w:pPr>
        <w:keepNext/>
        <w:keepLines/>
        <w:spacing w:after="14" w:line="249" w:lineRule="auto"/>
        <w:ind w:left="-5" w:hanging="10"/>
        <w:jc w:val="both"/>
        <w:rPr>
          <w:lang w:val="en-GB"/>
        </w:rPr>
      </w:pPr>
      <w:r w:rsidRPr="001078BE">
        <w:rPr>
          <w:lang w:val="en-GB"/>
        </w:rPr>
        <w:t>E</w:t>
      </w:r>
      <w:r w:rsidR="00F73041" w:rsidRPr="001078BE">
        <w:rPr>
          <w:lang w:val="en-GB"/>
        </w:rPr>
        <w:t>ffectively address the consequences of, and responses to, climate related hazards</w:t>
      </w:r>
      <w:r w:rsidRPr="001078BE">
        <w:rPr>
          <w:lang w:val="en-GB"/>
        </w:rPr>
        <w:t>.</w:t>
      </w:r>
      <w:r w:rsidR="00F73041" w:rsidRPr="001078BE">
        <w:rPr>
          <w:lang w:val="en-GB"/>
        </w:rPr>
        <w:t xml:space="preserve"> RESPAC has three main Outputs as outlined below, along with a Project Management component: </w:t>
      </w:r>
    </w:p>
    <w:p w14:paraId="4FAD7363" w14:textId="77777777" w:rsidR="00F73041" w:rsidRPr="001078BE" w:rsidRDefault="00F73041" w:rsidP="00E72287">
      <w:pPr>
        <w:keepNext/>
        <w:keepLines/>
        <w:spacing w:after="14" w:line="249" w:lineRule="auto"/>
        <w:ind w:left="-5" w:hanging="10"/>
        <w:jc w:val="both"/>
        <w:rPr>
          <w:lang w:val="en-GB"/>
        </w:rPr>
      </w:pPr>
    </w:p>
    <w:p w14:paraId="6CE975DE" w14:textId="77777777" w:rsidR="009C5C5A" w:rsidRPr="001078BE" w:rsidRDefault="00F73041" w:rsidP="009C5C5A">
      <w:pPr>
        <w:keepNext/>
        <w:keepLines/>
        <w:spacing w:after="14" w:line="249" w:lineRule="auto"/>
        <w:ind w:left="2160" w:hanging="1440"/>
        <w:jc w:val="both"/>
        <w:rPr>
          <w:lang w:val="en-GB"/>
        </w:rPr>
      </w:pPr>
      <w:r w:rsidRPr="001078BE">
        <w:rPr>
          <w:lang w:val="en-GB"/>
        </w:rPr>
        <w:t xml:space="preserve">Output 1: </w:t>
      </w:r>
      <w:r w:rsidR="009C5C5A" w:rsidRPr="001078BE">
        <w:rPr>
          <w:lang w:val="en-GB"/>
        </w:rPr>
        <w:tab/>
      </w:r>
      <w:r w:rsidRPr="001078BE">
        <w:rPr>
          <w:lang w:val="en-GB"/>
        </w:rPr>
        <w:t xml:space="preserve">Strengthened early warning systems and climate monitoring capacity in selected </w:t>
      </w:r>
      <w:proofErr w:type="gramStart"/>
      <w:r w:rsidRPr="001078BE">
        <w:rPr>
          <w:lang w:val="en-GB"/>
        </w:rPr>
        <w:t>PICs;</w:t>
      </w:r>
      <w:proofErr w:type="gramEnd"/>
      <w:r w:rsidRPr="001078BE">
        <w:rPr>
          <w:lang w:val="en-GB"/>
        </w:rPr>
        <w:t xml:space="preserve"> </w:t>
      </w:r>
    </w:p>
    <w:p w14:paraId="79C094B6" w14:textId="535BB91D" w:rsidR="00F73041" w:rsidRPr="001078BE" w:rsidRDefault="00F73041" w:rsidP="009C5C5A">
      <w:pPr>
        <w:keepNext/>
        <w:keepLines/>
        <w:spacing w:after="14" w:line="249" w:lineRule="auto"/>
        <w:ind w:left="2160" w:hanging="1440"/>
        <w:jc w:val="both"/>
        <w:rPr>
          <w:lang w:val="en-GB"/>
        </w:rPr>
      </w:pPr>
      <w:r w:rsidRPr="001078BE">
        <w:rPr>
          <w:lang w:val="en-GB"/>
        </w:rPr>
        <w:t xml:space="preserve">Output 2: </w:t>
      </w:r>
      <w:r w:rsidR="009C5C5A" w:rsidRPr="001078BE">
        <w:rPr>
          <w:lang w:val="en-GB"/>
        </w:rPr>
        <w:tab/>
      </w:r>
      <w:r w:rsidRPr="001078BE">
        <w:rPr>
          <w:lang w:val="en-GB"/>
        </w:rPr>
        <w:t xml:space="preserve">Preparedness and planning mechanisms and tools to manage disaster recovery processes strengthened at regional, </w:t>
      </w:r>
      <w:proofErr w:type="gramStart"/>
      <w:r w:rsidRPr="001078BE">
        <w:rPr>
          <w:lang w:val="en-GB"/>
        </w:rPr>
        <w:t>national</w:t>
      </w:r>
      <w:proofErr w:type="gramEnd"/>
      <w:r w:rsidRPr="001078BE">
        <w:rPr>
          <w:lang w:val="en-GB"/>
        </w:rPr>
        <w:t xml:space="preserve"> and local level; </w:t>
      </w:r>
      <w:r w:rsidR="009C5C5A" w:rsidRPr="001078BE">
        <w:rPr>
          <w:lang w:val="en-GB"/>
        </w:rPr>
        <w:t>and</w:t>
      </w:r>
    </w:p>
    <w:p w14:paraId="6699F7F7" w14:textId="00D963EF" w:rsidR="00F73041" w:rsidRPr="001078BE" w:rsidRDefault="00F73041" w:rsidP="009C5C5A">
      <w:pPr>
        <w:keepNext/>
        <w:keepLines/>
        <w:spacing w:after="14" w:line="249" w:lineRule="auto"/>
        <w:ind w:left="2160" w:hanging="1440"/>
        <w:jc w:val="both"/>
        <w:rPr>
          <w:lang w:val="en-GB"/>
        </w:rPr>
      </w:pPr>
      <w:r w:rsidRPr="001078BE">
        <w:rPr>
          <w:lang w:val="en-GB"/>
        </w:rPr>
        <w:t xml:space="preserve">Output 3: </w:t>
      </w:r>
      <w:r w:rsidR="009C5C5A" w:rsidRPr="001078BE">
        <w:rPr>
          <w:lang w:val="en-GB"/>
        </w:rPr>
        <w:tab/>
      </w:r>
      <w:r w:rsidRPr="001078BE">
        <w:rPr>
          <w:lang w:val="en-GB"/>
        </w:rPr>
        <w:t xml:space="preserve">Increased use of financial instruments to manage and share disaster related risk and fund post disaster recovery efforts. </w:t>
      </w:r>
    </w:p>
    <w:p w14:paraId="6A903991" w14:textId="77777777" w:rsidR="00F73041" w:rsidRPr="001078BE" w:rsidRDefault="00F73041" w:rsidP="00E72287">
      <w:pPr>
        <w:keepNext/>
        <w:keepLines/>
        <w:spacing w:after="14" w:line="249" w:lineRule="auto"/>
        <w:ind w:left="-5" w:hanging="10"/>
        <w:jc w:val="both"/>
        <w:rPr>
          <w:lang w:val="en-GB"/>
        </w:rPr>
      </w:pPr>
    </w:p>
    <w:p w14:paraId="2C3780E6" w14:textId="01071397" w:rsidR="00E72287" w:rsidRPr="001078BE" w:rsidRDefault="00F73041" w:rsidP="00E72287">
      <w:pPr>
        <w:keepNext/>
        <w:keepLines/>
        <w:spacing w:after="14" w:line="249" w:lineRule="auto"/>
        <w:ind w:left="-5" w:hanging="10"/>
        <w:jc w:val="both"/>
        <w:rPr>
          <w:lang w:val="en-GB"/>
        </w:rPr>
      </w:pPr>
      <w:r w:rsidRPr="001078BE">
        <w:rPr>
          <w:lang w:val="en-GB"/>
        </w:rPr>
        <w:t>The initiation phase of the project started in June 2016 and the project was intended to complete its activities by December 2019, however a no-cost extension was approved in mid-2019 for closure in December 2020</w:t>
      </w:r>
      <w:r w:rsidR="00A864FE" w:rsidRPr="001078BE">
        <w:rPr>
          <w:lang w:val="en-GB"/>
        </w:rPr>
        <w:t>, Further no-cost extensions were approved for 31 March and due to lockdown in Fiji and Vanuatu until end of May</w:t>
      </w:r>
      <w:r w:rsidRPr="001078BE">
        <w:rPr>
          <w:lang w:val="en-GB"/>
        </w:rPr>
        <w:t>. Fourteen countries and one territory in the Pacific Islands region are eligible for support from the project: Cook Islands, Federated States of Micronesia, Fiji</w:t>
      </w:r>
      <w:r w:rsidR="00A71B6C" w:rsidRPr="001078BE">
        <w:rPr>
          <w:lang w:val="en-GB"/>
        </w:rPr>
        <w:t>, Kiribati, Nauru</w:t>
      </w:r>
      <w:r w:rsidRPr="001078BE">
        <w:rPr>
          <w:lang w:val="en-GB"/>
        </w:rPr>
        <w:t>, Niue</w:t>
      </w:r>
      <w:r w:rsidR="00A71B6C" w:rsidRPr="001078BE">
        <w:rPr>
          <w:lang w:val="en-GB"/>
        </w:rPr>
        <w:t>, Palau, Papua New Guinea</w:t>
      </w:r>
      <w:r w:rsidRPr="001078BE">
        <w:rPr>
          <w:lang w:val="en-GB"/>
        </w:rPr>
        <w:t xml:space="preserve">, Republic of the Marshall Islands, Samoa, </w:t>
      </w:r>
      <w:r w:rsidR="00A71B6C" w:rsidRPr="001078BE">
        <w:rPr>
          <w:lang w:val="en-GB"/>
        </w:rPr>
        <w:t xml:space="preserve">Solomon Islands, </w:t>
      </w:r>
      <w:r w:rsidRPr="001078BE">
        <w:rPr>
          <w:lang w:val="en-GB"/>
        </w:rPr>
        <w:t>Tonga, Tuvalu, Vanuatu and Tokelau.</w:t>
      </w:r>
    </w:p>
    <w:p w14:paraId="07873CD6" w14:textId="6A3591F6" w:rsidR="009A0254" w:rsidRPr="001078BE" w:rsidRDefault="009A0254" w:rsidP="00E72287">
      <w:pPr>
        <w:keepNext/>
        <w:keepLines/>
        <w:spacing w:after="14" w:line="249" w:lineRule="auto"/>
        <w:ind w:left="-5" w:hanging="10"/>
        <w:jc w:val="both"/>
        <w:rPr>
          <w:lang w:val="en-GB"/>
        </w:rPr>
      </w:pPr>
    </w:p>
    <w:p w14:paraId="39264FB5" w14:textId="02B1B3D3"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t>The project has proven to be well implemented, with a collaborative approach that has successfully addressed the specific targets / indicators set out in the project design. The collaboration and partnerships with existing Pacific regional agencies and institutions have been particularly effective. The project has moved beyond the specific targets to addressing broader regional needs as they have been identified. The project has acted as a catalyst for the mobilisation of additional funds to address key risks and national needs.</w:t>
      </w:r>
    </w:p>
    <w:p w14:paraId="0DCCB1FE" w14:textId="77777777"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t>Overall, the project has been pro-active in its work, and its approach has been highly valued by participating countries and territories, as well as project partners. Stakeholders commented on the high level of flexibility and responsiveness of the project and the project team, perhaps uniquely so for projects of this type.</w:t>
      </w:r>
    </w:p>
    <w:p w14:paraId="242D683C" w14:textId="764C639C"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t>COVID-19 has impacted on project delivery throughout 2020, and additional project time has allowed outstanding elements to be completed in early 2021.</w:t>
      </w:r>
    </w:p>
    <w:p w14:paraId="78748166" w14:textId="77777777" w:rsidR="009A0254" w:rsidRPr="001078BE" w:rsidRDefault="009A0254" w:rsidP="009A0254">
      <w:pPr>
        <w:keepNext/>
        <w:keepLines/>
        <w:spacing w:after="14" w:line="249" w:lineRule="auto"/>
        <w:ind w:left="-5" w:hanging="10"/>
        <w:jc w:val="both"/>
        <w:rPr>
          <w:rFonts w:eastAsia="Garamond" w:cs="Garamond"/>
          <w:bCs/>
          <w:color w:val="000000"/>
          <w:lang w:val="en-GB"/>
        </w:rPr>
      </w:pPr>
    </w:p>
    <w:p w14:paraId="7BD59023" w14:textId="77777777" w:rsidR="009A0254" w:rsidRPr="001078BE" w:rsidRDefault="009A0254">
      <w:pPr>
        <w:spacing w:after="0" w:line="240" w:lineRule="auto"/>
        <w:rPr>
          <w:rFonts w:eastAsia="Garamond" w:cs="Garamond"/>
          <w:bCs/>
          <w:color w:val="000000"/>
          <w:lang w:val="en-GB"/>
        </w:rPr>
      </w:pPr>
      <w:r w:rsidRPr="001078BE">
        <w:rPr>
          <w:rFonts w:eastAsia="Garamond" w:cs="Garamond"/>
          <w:bCs/>
          <w:color w:val="000000"/>
          <w:lang w:val="en-GB"/>
        </w:rPr>
        <w:br w:type="page"/>
      </w:r>
    </w:p>
    <w:p w14:paraId="66423ACC" w14:textId="28951F11"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lastRenderedPageBreak/>
        <w:t>Findings for key evaluation criteria are summarised below:</w:t>
      </w:r>
    </w:p>
    <w:p w14:paraId="15D686F1" w14:textId="77777777"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t>Relevance: The project is highly relevant to the needs of the region and addresses key areas of risk and vulnerability for Pacific islands countries and territories. The Key development priority areas addressed are:</w:t>
      </w:r>
    </w:p>
    <w:p w14:paraId="6203956E" w14:textId="77777777" w:rsidR="009A0254" w:rsidRPr="001078BE" w:rsidRDefault="009A0254" w:rsidP="009A0254">
      <w:pPr>
        <w:keepNext/>
        <w:keepLines/>
        <w:spacing w:after="14" w:line="249" w:lineRule="auto"/>
        <w:ind w:left="-5" w:firstLine="725"/>
        <w:jc w:val="both"/>
        <w:rPr>
          <w:rFonts w:eastAsia="Garamond" w:cs="Garamond"/>
          <w:bCs/>
          <w:color w:val="000000"/>
          <w:lang w:val="en-GB"/>
        </w:rPr>
      </w:pPr>
      <w:r w:rsidRPr="001078BE">
        <w:rPr>
          <w:rFonts w:eastAsia="Garamond" w:cs="Garamond"/>
          <w:bCs/>
          <w:color w:val="000000"/>
          <w:lang w:val="en-GB"/>
        </w:rPr>
        <w:t>• Climate data and monitoring</w:t>
      </w:r>
    </w:p>
    <w:p w14:paraId="3E887A8C" w14:textId="77777777" w:rsidR="009A0254" w:rsidRPr="001078BE" w:rsidRDefault="009A0254" w:rsidP="009A0254">
      <w:pPr>
        <w:keepNext/>
        <w:keepLines/>
        <w:spacing w:after="14" w:line="249" w:lineRule="auto"/>
        <w:ind w:left="-5" w:firstLine="725"/>
        <w:jc w:val="both"/>
        <w:rPr>
          <w:rFonts w:eastAsia="Garamond" w:cs="Garamond"/>
          <w:bCs/>
          <w:color w:val="000000"/>
          <w:lang w:val="en-GB"/>
        </w:rPr>
      </w:pPr>
      <w:r w:rsidRPr="001078BE">
        <w:rPr>
          <w:rFonts w:eastAsia="Garamond" w:cs="Garamond"/>
          <w:bCs/>
          <w:color w:val="000000"/>
          <w:lang w:val="en-GB"/>
        </w:rPr>
        <w:t>• Early warning and preparedness</w:t>
      </w:r>
    </w:p>
    <w:p w14:paraId="14D221AE" w14:textId="77777777" w:rsidR="009A0254" w:rsidRPr="001078BE" w:rsidRDefault="009A0254" w:rsidP="009A0254">
      <w:pPr>
        <w:keepNext/>
        <w:keepLines/>
        <w:spacing w:after="14" w:line="249" w:lineRule="auto"/>
        <w:ind w:left="-5" w:firstLine="725"/>
        <w:jc w:val="both"/>
        <w:rPr>
          <w:rFonts w:eastAsia="Garamond" w:cs="Garamond"/>
          <w:bCs/>
          <w:color w:val="000000"/>
          <w:lang w:val="en-GB"/>
        </w:rPr>
      </w:pPr>
      <w:r w:rsidRPr="001078BE">
        <w:rPr>
          <w:rFonts w:eastAsia="Garamond" w:cs="Garamond"/>
          <w:bCs/>
          <w:color w:val="000000"/>
          <w:lang w:val="en-GB"/>
        </w:rPr>
        <w:t>• Resilient recovery</w:t>
      </w:r>
    </w:p>
    <w:p w14:paraId="5C62DB5D" w14:textId="77777777"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t>The project design is well aligned with key UNDP strategies (</w:t>
      </w:r>
      <w:proofErr w:type="gramStart"/>
      <w:r w:rsidRPr="001078BE">
        <w:rPr>
          <w:rFonts w:eastAsia="Garamond" w:cs="Garamond"/>
          <w:bCs/>
          <w:color w:val="000000"/>
          <w:lang w:val="en-GB"/>
        </w:rPr>
        <w:t>in particular the</w:t>
      </w:r>
      <w:proofErr w:type="gramEnd"/>
      <w:r w:rsidRPr="001078BE">
        <w:rPr>
          <w:rFonts w:eastAsia="Garamond" w:cs="Garamond"/>
          <w:bCs/>
          <w:color w:val="000000"/>
          <w:lang w:val="en-GB"/>
        </w:rPr>
        <w:t xml:space="preserve"> sub-regional program document (SRDP) for the Pacific island countries and territories 2018 to 2022, and United Nations Development Assistance Framework) and Pacific regional strategies.</w:t>
      </w:r>
    </w:p>
    <w:p w14:paraId="57865FBE" w14:textId="77777777"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t>Effectiveness: The project is on track to achieve all the cumulative annual indicator targets by the end of the project.</w:t>
      </w:r>
    </w:p>
    <w:p w14:paraId="5913D782" w14:textId="77777777"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t>Efficiency: Project implementation started slowly but by mid-2020 approximately 91% of total funds had been utilized. Management arrangements have operated with efficiency and flexibility.</w:t>
      </w:r>
    </w:p>
    <w:p w14:paraId="693F8E1C" w14:textId="77777777"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t>Impact: Project impacts are expected over the long term. At the same time the project has assisted in direct disaster response and in this context project reports indicate that RESPAC has contributed to supporting recovery needs for over 10,000 families, in Fiji, Kiribati, Solomon Islands, Tonga, Tuvalu and Vanuatu.</w:t>
      </w:r>
    </w:p>
    <w:p w14:paraId="0091ED8F" w14:textId="463BB9FD" w:rsidR="009A0254" w:rsidRPr="001078BE" w:rsidRDefault="009A0254" w:rsidP="009A0254">
      <w:pPr>
        <w:keepNext/>
        <w:keepLines/>
        <w:spacing w:after="14" w:line="249" w:lineRule="auto"/>
        <w:ind w:left="-5" w:hanging="10"/>
        <w:jc w:val="both"/>
        <w:rPr>
          <w:rFonts w:eastAsia="Garamond" w:cs="Garamond"/>
          <w:bCs/>
          <w:color w:val="000000"/>
          <w:lang w:val="en-GB"/>
        </w:rPr>
      </w:pPr>
      <w:r w:rsidRPr="001078BE">
        <w:rPr>
          <w:rFonts w:eastAsia="Garamond" w:cs="Garamond"/>
          <w:bCs/>
          <w:color w:val="000000"/>
          <w:lang w:val="en-GB"/>
        </w:rPr>
        <w:t>Sustainability: For the Pacific Islands region, risk and vulnerability are ongoing, particularly in relation to climate change. Some project outputs can be maintained at national level but only within national budget constraints. Sustainability cannot be assured without ongoing need for continued institutional support for Pacific Island governments.</w:t>
      </w:r>
    </w:p>
    <w:p w14:paraId="4CD2CFBA" w14:textId="77777777" w:rsidR="00F07654" w:rsidRPr="001078BE" w:rsidRDefault="00F07654" w:rsidP="00223A38">
      <w:pPr>
        <w:spacing w:after="0" w:line="240" w:lineRule="auto"/>
        <w:jc w:val="both"/>
        <w:rPr>
          <w:b/>
          <w:highlight w:val="lightGray"/>
          <w:lang w:val="en-GB"/>
        </w:rPr>
      </w:pPr>
    </w:p>
    <w:p w14:paraId="73804807" w14:textId="0C06B5C7" w:rsidR="00D66F55" w:rsidRPr="001078BE" w:rsidRDefault="00D66F55" w:rsidP="00D66F55">
      <w:pPr>
        <w:rPr>
          <w:b/>
          <w:sz w:val="32"/>
          <w:szCs w:val="32"/>
          <w:lang w:val="en-GB"/>
        </w:rPr>
      </w:pPr>
      <w:r w:rsidRPr="001078BE">
        <w:rPr>
          <w:b/>
          <w:sz w:val="32"/>
          <w:szCs w:val="32"/>
          <w:lang w:val="en-GB"/>
        </w:rPr>
        <w:t>Recommendations and management response</w:t>
      </w: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4"/>
        <w:gridCol w:w="1663"/>
        <w:gridCol w:w="1590"/>
        <w:gridCol w:w="2375"/>
        <w:gridCol w:w="2072"/>
      </w:tblGrid>
      <w:tr w:rsidR="00222497" w:rsidRPr="001078BE" w14:paraId="668E8CDF" w14:textId="77777777" w:rsidTr="00EB59C4">
        <w:trPr>
          <w:trHeight w:val="135"/>
        </w:trPr>
        <w:tc>
          <w:tcPr>
            <w:tcW w:w="3074" w:type="dxa"/>
            <w:shd w:val="clear" w:color="auto" w:fill="F3F3F3"/>
          </w:tcPr>
          <w:p w14:paraId="475BD7D7" w14:textId="4AA3A59B" w:rsidR="00222497" w:rsidRPr="001078BE" w:rsidRDefault="00F73041" w:rsidP="00222497">
            <w:pPr>
              <w:tabs>
                <w:tab w:val="left" w:pos="1080"/>
              </w:tabs>
              <w:spacing w:line="240" w:lineRule="auto"/>
              <w:jc w:val="both"/>
              <w:rPr>
                <w:b/>
                <w:sz w:val="20"/>
                <w:szCs w:val="20"/>
                <w:lang w:val="en-GB"/>
              </w:rPr>
            </w:pPr>
            <w:r w:rsidRPr="001078BE">
              <w:rPr>
                <w:b/>
                <w:sz w:val="20"/>
                <w:szCs w:val="20"/>
                <w:lang w:val="en-GB"/>
              </w:rPr>
              <w:t xml:space="preserve">Final Terminal Evaluation </w:t>
            </w:r>
            <w:r w:rsidR="00222497" w:rsidRPr="001078BE">
              <w:rPr>
                <w:b/>
                <w:sz w:val="20"/>
                <w:szCs w:val="20"/>
                <w:lang w:val="en-GB"/>
              </w:rPr>
              <w:t>Recommendation</w:t>
            </w:r>
          </w:p>
        </w:tc>
        <w:tc>
          <w:tcPr>
            <w:tcW w:w="7700" w:type="dxa"/>
            <w:gridSpan w:val="4"/>
            <w:shd w:val="clear" w:color="auto" w:fill="F3F3F3"/>
          </w:tcPr>
          <w:p w14:paraId="5A36A02C" w14:textId="42232875" w:rsidR="00F73041" w:rsidRPr="001078BE" w:rsidRDefault="00F73041" w:rsidP="00222497">
            <w:pPr>
              <w:tabs>
                <w:tab w:val="left" w:pos="1080"/>
              </w:tabs>
              <w:spacing w:line="240" w:lineRule="auto"/>
              <w:jc w:val="both"/>
              <w:rPr>
                <w:lang w:val="en-GB"/>
              </w:rPr>
            </w:pPr>
            <w:r w:rsidRPr="001078BE">
              <w:rPr>
                <w:lang w:val="en-GB"/>
              </w:rPr>
              <w:t>Recommendation 1: In relation to future Project design to address some of the design issues encountered in the project, the TE recommends that UNDP consider the following in future project design:</w:t>
            </w:r>
          </w:p>
          <w:p w14:paraId="5DBB4C2E" w14:textId="77777777" w:rsidR="00F73041" w:rsidRPr="001078BE" w:rsidRDefault="00F73041" w:rsidP="00222497">
            <w:pPr>
              <w:tabs>
                <w:tab w:val="left" w:pos="1080"/>
              </w:tabs>
              <w:spacing w:line="240" w:lineRule="auto"/>
              <w:jc w:val="both"/>
              <w:rPr>
                <w:lang w:val="en-GB"/>
              </w:rPr>
            </w:pPr>
            <w:r w:rsidRPr="001078BE">
              <w:rPr>
                <w:lang w:val="en-GB"/>
              </w:rPr>
              <w:t xml:space="preserve"> • Include a coherent overall design concept that links activities and targets with high level goals and aspirations that set the scene for project activities </w:t>
            </w:r>
          </w:p>
          <w:p w14:paraId="7295A5ED" w14:textId="77777777" w:rsidR="00F73041" w:rsidRPr="001078BE" w:rsidRDefault="00F73041" w:rsidP="00222497">
            <w:pPr>
              <w:tabs>
                <w:tab w:val="left" w:pos="1080"/>
              </w:tabs>
              <w:spacing w:line="240" w:lineRule="auto"/>
              <w:jc w:val="both"/>
              <w:rPr>
                <w:lang w:val="en-GB"/>
              </w:rPr>
            </w:pPr>
            <w:r w:rsidRPr="001078BE">
              <w:rPr>
                <w:lang w:val="en-GB"/>
              </w:rPr>
              <w:t xml:space="preserve">• Include explicit provisions to address inclusion of women, youth and vulnerable people in project activities and outcomes, as well as reporting </w:t>
            </w:r>
          </w:p>
          <w:p w14:paraId="3BC5668C" w14:textId="34401FC2" w:rsidR="00F73041" w:rsidRPr="001078BE" w:rsidRDefault="00F73041" w:rsidP="00222497">
            <w:pPr>
              <w:tabs>
                <w:tab w:val="left" w:pos="1080"/>
              </w:tabs>
              <w:spacing w:line="240" w:lineRule="auto"/>
              <w:jc w:val="both"/>
              <w:rPr>
                <w:lang w:val="en-GB"/>
              </w:rPr>
            </w:pPr>
            <w:r w:rsidRPr="001078BE">
              <w:rPr>
                <w:lang w:val="en-GB"/>
              </w:rPr>
              <w:t>• Include appropriate M&amp;E provisions, including realistic indictors and targets that support clear reporting that, taken together, can be used to assist project management</w:t>
            </w:r>
          </w:p>
          <w:p w14:paraId="29741D23" w14:textId="720B6F9A" w:rsidR="00222497" w:rsidRPr="001078BE" w:rsidRDefault="00F73041" w:rsidP="00222497">
            <w:pPr>
              <w:tabs>
                <w:tab w:val="left" w:pos="1080"/>
              </w:tabs>
              <w:spacing w:line="240" w:lineRule="auto"/>
              <w:jc w:val="both"/>
              <w:rPr>
                <w:b/>
                <w:sz w:val="20"/>
                <w:szCs w:val="20"/>
                <w:lang w:val="en-GB"/>
              </w:rPr>
            </w:pPr>
            <w:r w:rsidRPr="001078BE">
              <w:rPr>
                <w:lang w:val="en-GB"/>
              </w:rPr>
              <w:t>• Incorporate flexibility and clear opportunities for stakeholder (i.e. participating country and territory) input into project management decisions</w:t>
            </w:r>
          </w:p>
        </w:tc>
      </w:tr>
      <w:tr w:rsidR="00222497" w:rsidRPr="001078BE" w14:paraId="617BF034" w14:textId="77777777" w:rsidTr="00EB59C4">
        <w:trPr>
          <w:trHeight w:val="135"/>
        </w:trPr>
        <w:tc>
          <w:tcPr>
            <w:tcW w:w="3074" w:type="dxa"/>
            <w:shd w:val="clear" w:color="auto" w:fill="F3F3F3"/>
          </w:tcPr>
          <w:p w14:paraId="66E2FBE0" w14:textId="1FA4DB41" w:rsidR="00222497" w:rsidRPr="001078BE" w:rsidRDefault="00222497" w:rsidP="00222497">
            <w:pPr>
              <w:tabs>
                <w:tab w:val="left" w:pos="1080"/>
              </w:tabs>
              <w:spacing w:line="240" w:lineRule="auto"/>
              <w:jc w:val="both"/>
              <w:rPr>
                <w:b/>
                <w:sz w:val="20"/>
                <w:szCs w:val="20"/>
                <w:lang w:val="en-GB"/>
              </w:rPr>
            </w:pPr>
            <w:r w:rsidRPr="001078BE">
              <w:rPr>
                <w:b/>
                <w:sz w:val="20"/>
                <w:szCs w:val="20"/>
                <w:lang w:val="en-GB"/>
              </w:rPr>
              <w:t>Management Response</w:t>
            </w:r>
          </w:p>
        </w:tc>
        <w:tc>
          <w:tcPr>
            <w:tcW w:w="7700" w:type="dxa"/>
            <w:gridSpan w:val="4"/>
            <w:shd w:val="clear" w:color="auto" w:fill="F3F3F3"/>
          </w:tcPr>
          <w:p w14:paraId="79EBADEA" w14:textId="7F4751E0" w:rsidR="00222497" w:rsidRPr="001078BE" w:rsidRDefault="00F5099F" w:rsidP="00222497">
            <w:pPr>
              <w:tabs>
                <w:tab w:val="left" w:pos="1080"/>
              </w:tabs>
              <w:spacing w:line="240" w:lineRule="auto"/>
              <w:jc w:val="both"/>
              <w:rPr>
                <w:bCs/>
                <w:sz w:val="20"/>
                <w:szCs w:val="20"/>
                <w:lang w:val="en-GB"/>
              </w:rPr>
            </w:pPr>
            <w:r>
              <w:rPr>
                <w:bCs/>
                <w:sz w:val="20"/>
                <w:szCs w:val="20"/>
                <w:lang w:val="en-GB"/>
              </w:rPr>
              <w:t>A</w:t>
            </w:r>
            <w:r w:rsidR="00117A23" w:rsidRPr="001078BE">
              <w:rPr>
                <w:bCs/>
                <w:sz w:val="20"/>
                <w:szCs w:val="20"/>
                <w:lang w:val="en-GB"/>
              </w:rPr>
              <w:t>gre</w:t>
            </w:r>
            <w:r w:rsidR="00F73041" w:rsidRPr="001078BE">
              <w:rPr>
                <w:bCs/>
                <w:sz w:val="20"/>
                <w:szCs w:val="20"/>
                <w:lang w:val="en-GB"/>
              </w:rPr>
              <w:t xml:space="preserve">e. The listed recommendations to enhance project design will be </w:t>
            </w:r>
            <w:proofErr w:type="gramStart"/>
            <w:r w:rsidR="00F73041" w:rsidRPr="001078BE">
              <w:rPr>
                <w:bCs/>
                <w:sz w:val="20"/>
                <w:szCs w:val="20"/>
                <w:lang w:val="en-GB"/>
              </w:rPr>
              <w:t>taken into account</w:t>
            </w:r>
            <w:proofErr w:type="gramEnd"/>
            <w:r w:rsidR="00F73041" w:rsidRPr="001078BE">
              <w:rPr>
                <w:bCs/>
                <w:sz w:val="20"/>
                <w:szCs w:val="20"/>
                <w:lang w:val="en-GB"/>
              </w:rPr>
              <w:t xml:space="preserve"> for future project designs o</w:t>
            </w:r>
            <w:r w:rsidR="009A0254" w:rsidRPr="001078BE">
              <w:rPr>
                <w:bCs/>
                <w:sz w:val="20"/>
                <w:szCs w:val="20"/>
                <w:lang w:val="en-GB"/>
              </w:rPr>
              <w:t>f</w:t>
            </w:r>
            <w:r w:rsidR="00F73041" w:rsidRPr="001078BE">
              <w:rPr>
                <w:bCs/>
                <w:sz w:val="20"/>
                <w:szCs w:val="20"/>
                <w:lang w:val="en-GB"/>
              </w:rPr>
              <w:t xml:space="preserve"> development projects</w:t>
            </w:r>
          </w:p>
        </w:tc>
      </w:tr>
      <w:tr w:rsidR="000605FF" w:rsidRPr="001078BE" w14:paraId="523D869D" w14:textId="77777777" w:rsidTr="00527879">
        <w:trPr>
          <w:trHeight w:val="135"/>
        </w:trPr>
        <w:tc>
          <w:tcPr>
            <w:tcW w:w="3074" w:type="dxa"/>
            <w:vMerge w:val="restart"/>
            <w:shd w:val="clear" w:color="auto" w:fill="F3F3F3"/>
          </w:tcPr>
          <w:p w14:paraId="5DF37A93"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Key action(s)</w:t>
            </w:r>
          </w:p>
        </w:tc>
        <w:tc>
          <w:tcPr>
            <w:tcW w:w="1663" w:type="dxa"/>
            <w:vMerge w:val="restart"/>
            <w:shd w:val="clear" w:color="auto" w:fill="F3F3F3"/>
          </w:tcPr>
          <w:p w14:paraId="60B248F8"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Completion date</w:t>
            </w:r>
          </w:p>
        </w:tc>
        <w:tc>
          <w:tcPr>
            <w:tcW w:w="1590" w:type="dxa"/>
            <w:vMerge w:val="restart"/>
            <w:shd w:val="clear" w:color="auto" w:fill="F3F3F3"/>
          </w:tcPr>
          <w:p w14:paraId="32A63DB1"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Responsible unit(s)</w:t>
            </w:r>
          </w:p>
        </w:tc>
        <w:tc>
          <w:tcPr>
            <w:tcW w:w="4447" w:type="dxa"/>
            <w:gridSpan w:val="2"/>
            <w:shd w:val="clear" w:color="auto" w:fill="F3F3F3"/>
          </w:tcPr>
          <w:p w14:paraId="2E9982D9"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Tracking</w:t>
            </w:r>
            <w:r w:rsidRPr="001078BE">
              <w:rPr>
                <w:rStyle w:val="FootnoteReference"/>
                <w:b/>
                <w:lang w:val="en-GB"/>
              </w:rPr>
              <w:footnoteReference w:id="2"/>
            </w:r>
          </w:p>
        </w:tc>
      </w:tr>
      <w:tr w:rsidR="000605FF" w:rsidRPr="001078BE" w14:paraId="42B5CBD2" w14:textId="77777777" w:rsidTr="00527879">
        <w:trPr>
          <w:trHeight w:val="135"/>
        </w:trPr>
        <w:tc>
          <w:tcPr>
            <w:tcW w:w="3074" w:type="dxa"/>
            <w:vMerge/>
            <w:shd w:val="clear" w:color="auto" w:fill="F3F3F3"/>
          </w:tcPr>
          <w:p w14:paraId="1D620F54" w14:textId="77777777" w:rsidR="000605FF" w:rsidRPr="001078BE" w:rsidRDefault="000605FF" w:rsidP="004A70FA">
            <w:pPr>
              <w:tabs>
                <w:tab w:val="left" w:pos="1080"/>
              </w:tabs>
              <w:spacing w:line="240" w:lineRule="auto"/>
              <w:rPr>
                <w:sz w:val="20"/>
                <w:szCs w:val="20"/>
                <w:lang w:val="en-GB"/>
              </w:rPr>
            </w:pPr>
          </w:p>
        </w:tc>
        <w:tc>
          <w:tcPr>
            <w:tcW w:w="1663" w:type="dxa"/>
            <w:vMerge/>
            <w:shd w:val="clear" w:color="auto" w:fill="F3F3F3"/>
          </w:tcPr>
          <w:p w14:paraId="55F2B845" w14:textId="77777777" w:rsidR="000605FF" w:rsidRPr="001078BE" w:rsidRDefault="000605FF" w:rsidP="004A70FA">
            <w:pPr>
              <w:tabs>
                <w:tab w:val="left" w:pos="1080"/>
              </w:tabs>
              <w:spacing w:line="240" w:lineRule="auto"/>
              <w:rPr>
                <w:b/>
                <w:sz w:val="20"/>
                <w:szCs w:val="20"/>
                <w:lang w:val="en-GB"/>
              </w:rPr>
            </w:pPr>
          </w:p>
        </w:tc>
        <w:tc>
          <w:tcPr>
            <w:tcW w:w="1590" w:type="dxa"/>
            <w:vMerge/>
            <w:shd w:val="clear" w:color="auto" w:fill="F3F3F3"/>
          </w:tcPr>
          <w:p w14:paraId="5B941617" w14:textId="77777777" w:rsidR="000605FF" w:rsidRPr="001078BE" w:rsidRDefault="000605FF" w:rsidP="004A70FA">
            <w:pPr>
              <w:tabs>
                <w:tab w:val="left" w:pos="1080"/>
              </w:tabs>
              <w:spacing w:line="240" w:lineRule="auto"/>
              <w:rPr>
                <w:b/>
                <w:sz w:val="20"/>
                <w:szCs w:val="20"/>
                <w:lang w:val="en-GB"/>
              </w:rPr>
            </w:pPr>
          </w:p>
        </w:tc>
        <w:tc>
          <w:tcPr>
            <w:tcW w:w="2375" w:type="dxa"/>
          </w:tcPr>
          <w:p w14:paraId="5B206731"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Comments</w:t>
            </w:r>
          </w:p>
        </w:tc>
        <w:tc>
          <w:tcPr>
            <w:tcW w:w="2072" w:type="dxa"/>
          </w:tcPr>
          <w:p w14:paraId="05239FCA" w14:textId="77777777" w:rsidR="000605FF" w:rsidRPr="001078BE" w:rsidRDefault="000605FF" w:rsidP="004A70FA">
            <w:pPr>
              <w:tabs>
                <w:tab w:val="left" w:pos="1080"/>
              </w:tabs>
              <w:spacing w:line="240" w:lineRule="auto"/>
              <w:jc w:val="center"/>
              <w:rPr>
                <w:b/>
                <w:sz w:val="20"/>
                <w:szCs w:val="20"/>
                <w:lang w:val="en-GB"/>
              </w:rPr>
            </w:pPr>
            <w:r w:rsidRPr="001078BE">
              <w:rPr>
                <w:b/>
                <w:sz w:val="20"/>
                <w:szCs w:val="20"/>
                <w:lang w:val="en-GB"/>
              </w:rPr>
              <w:t>Status</w:t>
            </w:r>
            <w:r w:rsidRPr="001078BE">
              <w:rPr>
                <w:rStyle w:val="FootnoteReference"/>
                <w:b/>
                <w:lang w:val="en-GB"/>
              </w:rPr>
              <w:footnoteReference w:id="3"/>
            </w:r>
          </w:p>
        </w:tc>
      </w:tr>
      <w:tr w:rsidR="00EB59C4" w:rsidRPr="001078BE" w14:paraId="29C518A2" w14:textId="77777777" w:rsidTr="00F02961">
        <w:trPr>
          <w:trHeight w:val="646"/>
        </w:trPr>
        <w:tc>
          <w:tcPr>
            <w:tcW w:w="3074" w:type="dxa"/>
          </w:tcPr>
          <w:p w14:paraId="5358FD0C" w14:textId="653D7236" w:rsidR="00EB59C4" w:rsidRPr="001078BE" w:rsidRDefault="00EB59C4" w:rsidP="00EB59C4">
            <w:pPr>
              <w:tabs>
                <w:tab w:val="left" w:pos="1080"/>
              </w:tabs>
              <w:spacing w:after="0" w:line="240" w:lineRule="auto"/>
              <w:rPr>
                <w:rFonts w:cs="Arial"/>
                <w:color w:val="244061" w:themeColor="accent1" w:themeShade="80"/>
                <w:sz w:val="18"/>
                <w:szCs w:val="18"/>
                <w:lang w:val="en-GB"/>
              </w:rPr>
            </w:pPr>
            <w:r w:rsidRPr="001078BE">
              <w:rPr>
                <w:rFonts w:cs="Arial"/>
                <w:color w:val="244061" w:themeColor="accent1" w:themeShade="80"/>
                <w:sz w:val="18"/>
                <w:szCs w:val="18"/>
                <w:lang w:val="en-GB"/>
              </w:rPr>
              <w:t xml:space="preserve">1.1 </w:t>
            </w:r>
            <w:r w:rsidR="00F73041" w:rsidRPr="001078BE">
              <w:rPr>
                <w:rFonts w:cs="Arial"/>
                <w:color w:val="244061" w:themeColor="accent1" w:themeShade="80"/>
                <w:sz w:val="18"/>
                <w:szCs w:val="18"/>
                <w:lang w:val="en-GB"/>
              </w:rPr>
              <w:t xml:space="preserve">Future project documents will undergo rigorous PREPAC reviews and comments </w:t>
            </w:r>
          </w:p>
        </w:tc>
        <w:tc>
          <w:tcPr>
            <w:tcW w:w="1663" w:type="dxa"/>
          </w:tcPr>
          <w:p w14:paraId="17F09352" w14:textId="40737520" w:rsidR="00EB59C4" w:rsidRPr="001078BE" w:rsidRDefault="00F73041" w:rsidP="00EB59C4">
            <w:pPr>
              <w:tabs>
                <w:tab w:val="left" w:pos="1080"/>
              </w:tabs>
              <w:spacing w:after="0" w:line="240" w:lineRule="auto"/>
              <w:rPr>
                <w:rFonts w:cs="Arial"/>
                <w:color w:val="244061" w:themeColor="accent1" w:themeShade="80"/>
                <w:sz w:val="18"/>
                <w:szCs w:val="18"/>
                <w:lang w:val="en-GB"/>
              </w:rPr>
            </w:pPr>
            <w:r w:rsidRPr="001078BE">
              <w:rPr>
                <w:rFonts w:cs="Arial"/>
                <w:color w:val="244061" w:themeColor="accent1" w:themeShade="80"/>
                <w:sz w:val="18"/>
                <w:szCs w:val="18"/>
                <w:lang w:val="en-GB"/>
              </w:rPr>
              <w:t>December 2021</w:t>
            </w:r>
          </w:p>
        </w:tc>
        <w:tc>
          <w:tcPr>
            <w:tcW w:w="1590" w:type="dxa"/>
          </w:tcPr>
          <w:p w14:paraId="03508217" w14:textId="64F2FFAF" w:rsidR="00EB59C4" w:rsidRPr="001078BE" w:rsidRDefault="00CE7A8B" w:rsidP="00EB59C4">
            <w:pPr>
              <w:tabs>
                <w:tab w:val="left" w:pos="1080"/>
              </w:tabs>
              <w:spacing w:after="0" w:line="240" w:lineRule="auto"/>
              <w:jc w:val="center"/>
              <w:rPr>
                <w:rFonts w:cs="Arial"/>
                <w:color w:val="244061" w:themeColor="accent1" w:themeShade="80"/>
                <w:sz w:val="18"/>
                <w:szCs w:val="18"/>
                <w:lang w:val="en-GB"/>
              </w:rPr>
            </w:pPr>
            <w:r>
              <w:rPr>
                <w:rFonts w:cs="Arial"/>
                <w:color w:val="244061" w:themeColor="accent1" w:themeShade="80"/>
                <w:sz w:val="18"/>
                <w:szCs w:val="18"/>
                <w:lang w:val="en-GB"/>
              </w:rPr>
              <w:t xml:space="preserve">UNDP, </w:t>
            </w:r>
            <w:r w:rsidR="00F73041" w:rsidRPr="001078BE">
              <w:rPr>
                <w:rFonts w:cs="Arial"/>
                <w:color w:val="244061" w:themeColor="accent1" w:themeShade="80"/>
                <w:sz w:val="18"/>
                <w:szCs w:val="18"/>
                <w:lang w:val="en-GB"/>
              </w:rPr>
              <w:t>IRMU</w:t>
            </w:r>
          </w:p>
        </w:tc>
        <w:tc>
          <w:tcPr>
            <w:tcW w:w="2375" w:type="dxa"/>
          </w:tcPr>
          <w:p w14:paraId="429B62E7" w14:textId="2D137829" w:rsidR="00EB59C4" w:rsidRPr="001078BE" w:rsidRDefault="00EB59C4" w:rsidP="00EB59C4">
            <w:pPr>
              <w:tabs>
                <w:tab w:val="left" w:pos="1080"/>
              </w:tabs>
              <w:spacing w:after="0" w:line="240" w:lineRule="auto"/>
              <w:rPr>
                <w:rFonts w:cs="Arial"/>
                <w:color w:val="244061" w:themeColor="accent1" w:themeShade="80"/>
                <w:sz w:val="18"/>
                <w:szCs w:val="18"/>
                <w:lang w:val="en-GB"/>
              </w:rPr>
            </w:pPr>
          </w:p>
        </w:tc>
        <w:tc>
          <w:tcPr>
            <w:tcW w:w="2072" w:type="dxa"/>
          </w:tcPr>
          <w:p w14:paraId="5E2E1AC0" w14:textId="12CF12DE" w:rsidR="00EB59C4" w:rsidRPr="001078BE" w:rsidRDefault="00EB59C4" w:rsidP="00EB59C4">
            <w:pPr>
              <w:tabs>
                <w:tab w:val="left" w:pos="1080"/>
              </w:tabs>
              <w:spacing w:after="0" w:line="240" w:lineRule="auto"/>
              <w:rPr>
                <w:rFonts w:cs="Arial"/>
                <w:color w:val="244061" w:themeColor="accent1" w:themeShade="80"/>
                <w:sz w:val="18"/>
                <w:szCs w:val="18"/>
                <w:lang w:val="en-GB"/>
              </w:rPr>
            </w:pPr>
          </w:p>
        </w:tc>
      </w:tr>
    </w:tbl>
    <w:p w14:paraId="78783F6C" w14:textId="3D784678" w:rsidR="006C688B" w:rsidRPr="001078BE" w:rsidRDefault="006C688B" w:rsidP="00F02961">
      <w:pPr>
        <w:spacing w:after="0" w:line="240" w:lineRule="auto"/>
        <w:jc w:val="both"/>
        <w:rPr>
          <w:rFonts w:ascii="Myriad Pro" w:hAnsi="Myriad Pro"/>
          <w:b/>
          <w:highlight w:val="lightGray"/>
          <w:lang w:val="en-GB"/>
        </w:rPr>
      </w:pPr>
    </w:p>
    <w:p w14:paraId="4A3445D5" w14:textId="77777777" w:rsidR="0088049F" w:rsidRPr="001078BE" w:rsidRDefault="0088049F" w:rsidP="00F02961">
      <w:pPr>
        <w:spacing w:after="0" w:line="240" w:lineRule="auto"/>
        <w:jc w:val="both"/>
        <w:rPr>
          <w:rFonts w:ascii="Myriad Pro" w:hAnsi="Myriad Pro"/>
          <w:b/>
          <w:highlight w:val="lightGray"/>
          <w:lang w:val="en-GB"/>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4"/>
        <w:gridCol w:w="1663"/>
        <w:gridCol w:w="1590"/>
        <w:gridCol w:w="2375"/>
        <w:gridCol w:w="2072"/>
      </w:tblGrid>
      <w:tr w:rsidR="00117A23" w:rsidRPr="001078BE" w14:paraId="7806A4B5" w14:textId="77777777" w:rsidTr="00EB59C4">
        <w:trPr>
          <w:trHeight w:val="135"/>
        </w:trPr>
        <w:tc>
          <w:tcPr>
            <w:tcW w:w="3074" w:type="dxa"/>
            <w:shd w:val="clear" w:color="auto" w:fill="F3F3F3"/>
          </w:tcPr>
          <w:p w14:paraId="666299D5" w14:textId="4176E1E2" w:rsidR="00117A23" w:rsidRPr="001078BE" w:rsidRDefault="00F73041" w:rsidP="00EB59C4">
            <w:pPr>
              <w:tabs>
                <w:tab w:val="left" w:pos="1080"/>
              </w:tabs>
              <w:spacing w:line="240" w:lineRule="auto"/>
              <w:jc w:val="both"/>
              <w:rPr>
                <w:b/>
                <w:sz w:val="20"/>
                <w:szCs w:val="20"/>
                <w:lang w:val="en-GB"/>
              </w:rPr>
            </w:pPr>
            <w:r w:rsidRPr="001078BE">
              <w:rPr>
                <w:b/>
                <w:sz w:val="20"/>
                <w:szCs w:val="20"/>
                <w:lang w:val="en-GB"/>
              </w:rPr>
              <w:t>Final Terminal Evaluation Recommendation</w:t>
            </w:r>
          </w:p>
        </w:tc>
        <w:tc>
          <w:tcPr>
            <w:tcW w:w="7700" w:type="dxa"/>
            <w:gridSpan w:val="4"/>
            <w:shd w:val="clear" w:color="auto" w:fill="F3F3F3"/>
          </w:tcPr>
          <w:p w14:paraId="6FB46EAC" w14:textId="748D6A4C" w:rsidR="00117A23" w:rsidRPr="001078BE" w:rsidRDefault="00F73041" w:rsidP="00EB59C4">
            <w:pPr>
              <w:tabs>
                <w:tab w:val="left" w:pos="1080"/>
              </w:tabs>
              <w:spacing w:line="240" w:lineRule="auto"/>
              <w:jc w:val="both"/>
              <w:rPr>
                <w:b/>
                <w:sz w:val="20"/>
                <w:szCs w:val="20"/>
                <w:lang w:val="en-GB"/>
              </w:rPr>
            </w:pPr>
            <w:r w:rsidRPr="001078BE">
              <w:rPr>
                <w:lang w:val="en-GB"/>
              </w:rPr>
              <w:t>Recommendation 2: In relation to future Project implementation Where procurement is a significant component of the project design, the TE recommends that specific expertise (or resources) be assigned to this aspect of the project to ensure quality [fitness for purpose] and timeliness in the procurement of goods and services</w:t>
            </w:r>
          </w:p>
        </w:tc>
      </w:tr>
      <w:tr w:rsidR="00117A23" w:rsidRPr="001078BE" w14:paraId="05AD73EB" w14:textId="77777777" w:rsidTr="00EB59C4">
        <w:trPr>
          <w:trHeight w:val="135"/>
        </w:trPr>
        <w:tc>
          <w:tcPr>
            <w:tcW w:w="3074" w:type="dxa"/>
            <w:shd w:val="clear" w:color="auto" w:fill="F3F3F3"/>
          </w:tcPr>
          <w:p w14:paraId="31E9A712" w14:textId="77777777" w:rsidR="00117A23" w:rsidRPr="001078BE" w:rsidRDefault="00117A23" w:rsidP="00EB59C4">
            <w:pPr>
              <w:tabs>
                <w:tab w:val="left" w:pos="1080"/>
              </w:tabs>
              <w:spacing w:line="240" w:lineRule="auto"/>
              <w:jc w:val="both"/>
              <w:rPr>
                <w:b/>
                <w:sz w:val="20"/>
                <w:szCs w:val="20"/>
                <w:lang w:val="en-GB"/>
              </w:rPr>
            </w:pPr>
            <w:r w:rsidRPr="001078BE">
              <w:rPr>
                <w:b/>
                <w:sz w:val="20"/>
                <w:szCs w:val="20"/>
                <w:lang w:val="en-GB"/>
              </w:rPr>
              <w:t>Management Response</w:t>
            </w:r>
          </w:p>
        </w:tc>
        <w:tc>
          <w:tcPr>
            <w:tcW w:w="7700" w:type="dxa"/>
            <w:gridSpan w:val="4"/>
            <w:shd w:val="clear" w:color="auto" w:fill="F3F3F3"/>
          </w:tcPr>
          <w:p w14:paraId="6BBB25FE" w14:textId="0E9708CF" w:rsidR="00117A23" w:rsidRPr="001078BE" w:rsidRDefault="00F5099F" w:rsidP="00EB59C4">
            <w:pPr>
              <w:tabs>
                <w:tab w:val="left" w:pos="1080"/>
              </w:tabs>
              <w:spacing w:line="240" w:lineRule="auto"/>
              <w:jc w:val="both"/>
              <w:rPr>
                <w:bCs/>
                <w:sz w:val="20"/>
                <w:szCs w:val="20"/>
                <w:lang w:val="en-GB"/>
              </w:rPr>
            </w:pPr>
            <w:r>
              <w:rPr>
                <w:bCs/>
                <w:sz w:val="20"/>
                <w:szCs w:val="20"/>
                <w:lang w:val="en-GB"/>
              </w:rPr>
              <w:t>A</w:t>
            </w:r>
            <w:r w:rsidR="00117A23" w:rsidRPr="001078BE">
              <w:rPr>
                <w:bCs/>
                <w:sz w:val="20"/>
                <w:szCs w:val="20"/>
                <w:lang w:val="en-GB"/>
              </w:rPr>
              <w:t>gree.</w:t>
            </w:r>
            <w:r w:rsidR="00F73041" w:rsidRPr="001078BE">
              <w:rPr>
                <w:bCs/>
                <w:sz w:val="20"/>
                <w:szCs w:val="20"/>
                <w:lang w:val="en-GB"/>
              </w:rPr>
              <w:t xml:space="preserve"> The above recommendation on specific expertise be assigned to specific scale of projects to support effective implementation of the project will be </w:t>
            </w:r>
            <w:proofErr w:type="gramStart"/>
            <w:r w:rsidR="00F73041" w:rsidRPr="001078BE">
              <w:rPr>
                <w:bCs/>
                <w:sz w:val="20"/>
                <w:szCs w:val="20"/>
                <w:lang w:val="en-GB"/>
              </w:rPr>
              <w:t>taken into account</w:t>
            </w:r>
            <w:proofErr w:type="gramEnd"/>
            <w:r w:rsidR="00F73041" w:rsidRPr="001078BE">
              <w:rPr>
                <w:bCs/>
                <w:sz w:val="20"/>
                <w:szCs w:val="20"/>
                <w:lang w:val="en-GB"/>
              </w:rPr>
              <w:t xml:space="preserve"> for future projects.</w:t>
            </w:r>
          </w:p>
        </w:tc>
      </w:tr>
      <w:tr w:rsidR="00117A23" w:rsidRPr="001078BE" w14:paraId="61F2CB9F" w14:textId="77777777" w:rsidTr="00EB59C4">
        <w:trPr>
          <w:trHeight w:val="135"/>
        </w:trPr>
        <w:tc>
          <w:tcPr>
            <w:tcW w:w="3074" w:type="dxa"/>
            <w:vMerge w:val="restart"/>
            <w:shd w:val="clear" w:color="auto" w:fill="F3F3F3"/>
          </w:tcPr>
          <w:p w14:paraId="6A44AE8C" w14:textId="77777777" w:rsidR="00117A23" w:rsidRPr="001078BE" w:rsidRDefault="00117A23" w:rsidP="00EB59C4">
            <w:pPr>
              <w:tabs>
                <w:tab w:val="left" w:pos="1080"/>
              </w:tabs>
              <w:spacing w:line="240" w:lineRule="auto"/>
              <w:jc w:val="center"/>
              <w:rPr>
                <w:b/>
                <w:sz w:val="20"/>
                <w:szCs w:val="20"/>
                <w:lang w:val="en-GB"/>
              </w:rPr>
            </w:pPr>
            <w:r w:rsidRPr="001078BE">
              <w:rPr>
                <w:b/>
                <w:sz w:val="20"/>
                <w:szCs w:val="20"/>
                <w:lang w:val="en-GB"/>
              </w:rPr>
              <w:t>Key action(s)</w:t>
            </w:r>
          </w:p>
        </w:tc>
        <w:tc>
          <w:tcPr>
            <w:tcW w:w="1663" w:type="dxa"/>
            <w:vMerge w:val="restart"/>
            <w:shd w:val="clear" w:color="auto" w:fill="F3F3F3"/>
          </w:tcPr>
          <w:p w14:paraId="67E92931" w14:textId="77777777" w:rsidR="00117A23" w:rsidRPr="001078BE" w:rsidRDefault="00117A23" w:rsidP="00EB59C4">
            <w:pPr>
              <w:tabs>
                <w:tab w:val="left" w:pos="1080"/>
              </w:tabs>
              <w:spacing w:line="240" w:lineRule="auto"/>
              <w:jc w:val="center"/>
              <w:rPr>
                <w:b/>
                <w:sz w:val="20"/>
                <w:szCs w:val="20"/>
                <w:lang w:val="en-GB"/>
              </w:rPr>
            </w:pPr>
            <w:r w:rsidRPr="001078BE">
              <w:rPr>
                <w:b/>
                <w:sz w:val="20"/>
                <w:szCs w:val="20"/>
                <w:lang w:val="en-GB"/>
              </w:rPr>
              <w:t>Completion date</w:t>
            </w:r>
          </w:p>
        </w:tc>
        <w:tc>
          <w:tcPr>
            <w:tcW w:w="1590" w:type="dxa"/>
            <w:vMerge w:val="restart"/>
            <w:shd w:val="clear" w:color="auto" w:fill="F3F3F3"/>
          </w:tcPr>
          <w:p w14:paraId="76DE320F" w14:textId="77777777" w:rsidR="00117A23" w:rsidRPr="001078BE" w:rsidRDefault="00117A23" w:rsidP="00EB59C4">
            <w:pPr>
              <w:tabs>
                <w:tab w:val="left" w:pos="1080"/>
              </w:tabs>
              <w:spacing w:line="240" w:lineRule="auto"/>
              <w:jc w:val="center"/>
              <w:rPr>
                <w:b/>
                <w:sz w:val="20"/>
                <w:szCs w:val="20"/>
                <w:lang w:val="en-GB"/>
              </w:rPr>
            </w:pPr>
            <w:r w:rsidRPr="001078BE">
              <w:rPr>
                <w:b/>
                <w:sz w:val="20"/>
                <w:szCs w:val="20"/>
                <w:lang w:val="en-GB"/>
              </w:rPr>
              <w:t>Responsible unit(s)</w:t>
            </w:r>
          </w:p>
        </w:tc>
        <w:tc>
          <w:tcPr>
            <w:tcW w:w="4447" w:type="dxa"/>
            <w:gridSpan w:val="2"/>
            <w:shd w:val="clear" w:color="auto" w:fill="F3F3F3"/>
          </w:tcPr>
          <w:p w14:paraId="453373EB" w14:textId="77777777" w:rsidR="00117A23" w:rsidRPr="001078BE" w:rsidRDefault="00117A23" w:rsidP="00EB59C4">
            <w:pPr>
              <w:tabs>
                <w:tab w:val="left" w:pos="1080"/>
              </w:tabs>
              <w:spacing w:line="240" w:lineRule="auto"/>
              <w:jc w:val="center"/>
              <w:rPr>
                <w:b/>
                <w:sz w:val="20"/>
                <w:szCs w:val="20"/>
                <w:lang w:val="en-GB"/>
              </w:rPr>
            </w:pPr>
            <w:r w:rsidRPr="001078BE">
              <w:rPr>
                <w:b/>
                <w:sz w:val="20"/>
                <w:szCs w:val="20"/>
                <w:lang w:val="en-GB"/>
              </w:rPr>
              <w:t>Tracking</w:t>
            </w:r>
            <w:r w:rsidRPr="001078BE">
              <w:rPr>
                <w:rStyle w:val="FootnoteReference"/>
                <w:b/>
                <w:lang w:val="en-GB"/>
              </w:rPr>
              <w:footnoteReference w:id="4"/>
            </w:r>
          </w:p>
        </w:tc>
      </w:tr>
      <w:tr w:rsidR="00117A23" w:rsidRPr="001078BE" w14:paraId="22A5EB93" w14:textId="77777777" w:rsidTr="00EB59C4">
        <w:trPr>
          <w:trHeight w:val="135"/>
        </w:trPr>
        <w:tc>
          <w:tcPr>
            <w:tcW w:w="3074" w:type="dxa"/>
            <w:vMerge/>
            <w:shd w:val="clear" w:color="auto" w:fill="F3F3F3"/>
          </w:tcPr>
          <w:p w14:paraId="3A7A7704" w14:textId="77777777" w:rsidR="00117A23" w:rsidRPr="001078BE" w:rsidRDefault="00117A23" w:rsidP="00EB59C4">
            <w:pPr>
              <w:tabs>
                <w:tab w:val="left" w:pos="1080"/>
              </w:tabs>
              <w:spacing w:line="240" w:lineRule="auto"/>
              <w:rPr>
                <w:sz w:val="20"/>
                <w:szCs w:val="20"/>
                <w:lang w:val="en-GB"/>
              </w:rPr>
            </w:pPr>
          </w:p>
        </w:tc>
        <w:tc>
          <w:tcPr>
            <w:tcW w:w="1663" w:type="dxa"/>
            <w:vMerge/>
            <w:shd w:val="clear" w:color="auto" w:fill="F3F3F3"/>
          </w:tcPr>
          <w:p w14:paraId="0734AFA5" w14:textId="77777777" w:rsidR="00117A23" w:rsidRPr="001078BE" w:rsidRDefault="00117A23" w:rsidP="00EB59C4">
            <w:pPr>
              <w:tabs>
                <w:tab w:val="left" w:pos="1080"/>
              </w:tabs>
              <w:spacing w:line="240" w:lineRule="auto"/>
              <w:rPr>
                <w:b/>
                <w:sz w:val="20"/>
                <w:szCs w:val="20"/>
                <w:lang w:val="en-GB"/>
              </w:rPr>
            </w:pPr>
          </w:p>
        </w:tc>
        <w:tc>
          <w:tcPr>
            <w:tcW w:w="1590" w:type="dxa"/>
            <w:vMerge/>
            <w:shd w:val="clear" w:color="auto" w:fill="F3F3F3"/>
          </w:tcPr>
          <w:p w14:paraId="0B430298" w14:textId="77777777" w:rsidR="00117A23" w:rsidRPr="001078BE" w:rsidRDefault="00117A23" w:rsidP="00EB59C4">
            <w:pPr>
              <w:tabs>
                <w:tab w:val="left" w:pos="1080"/>
              </w:tabs>
              <w:spacing w:line="240" w:lineRule="auto"/>
              <w:rPr>
                <w:b/>
                <w:sz w:val="20"/>
                <w:szCs w:val="20"/>
                <w:lang w:val="en-GB"/>
              </w:rPr>
            </w:pPr>
          </w:p>
        </w:tc>
        <w:tc>
          <w:tcPr>
            <w:tcW w:w="2375" w:type="dxa"/>
          </w:tcPr>
          <w:p w14:paraId="24C736CB" w14:textId="77777777" w:rsidR="00117A23" w:rsidRPr="001078BE" w:rsidRDefault="00117A23" w:rsidP="00EB59C4">
            <w:pPr>
              <w:tabs>
                <w:tab w:val="left" w:pos="1080"/>
              </w:tabs>
              <w:spacing w:line="240" w:lineRule="auto"/>
              <w:jc w:val="center"/>
              <w:rPr>
                <w:b/>
                <w:sz w:val="20"/>
                <w:szCs w:val="20"/>
                <w:lang w:val="en-GB"/>
              </w:rPr>
            </w:pPr>
            <w:r w:rsidRPr="001078BE">
              <w:rPr>
                <w:b/>
                <w:sz w:val="20"/>
                <w:szCs w:val="20"/>
                <w:lang w:val="en-GB"/>
              </w:rPr>
              <w:t>Comments</w:t>
            </w:r>
          </w:p>
        </w:tc>
        <w:tc>
          <w:tcPr>
            <w:tcW w:w="2072" w:type="dxa"/>
          </w:tcPr>
          <w:p w14:paraId="098DDEB8" w14:textId="77777777" w:rsidR="00117A23" w:rsidRPr="001078BE" w:rsidRDefault="00117A23" w:rsidP="00EB59C4">
            <w:pPr>
              <w:tabs>
                <w:tab w:val="left" w:pos="1080"/>
              </w:tabs>
              <w:spacing w:line="240" w:lineRule="auto"/>
              <w:jc w:val="center"/>
              <w:rPr>
                <w:b/>
                <w:sz w:val="20"/>
                <w:szCs w:val="20"/>
                <w:lang w:val="en-GB"/>
              </w:rPr>
            </w:pPr>
            <w:r w:rsidRPr="001078BE">
              <w:rPr>
                <w:b/>
                <w:sz w:val="20"/>
                <w:szCs w:val="20"/>
                <w:lang w:val="en-GB"/>
              </w:rPr>
              <w:t>Status</w:t>
            </w:r>
            <w:r w:rsidRPr="001078BE">
              <w:rPr>
                <w:rStyle w:val="FootnoteReference"/>
                <w:b/>
                <w:lang w:val="en-GB"/>
              </w:rPr>
              <w:footnoteReference w:id="5"/>
            </w:r>
          </w:p>
        </w:tc>
      </w:tr>
      <w:tr w:rsidR="00117A23" w:rsidRPr="001078BE" w14:paraId="2DD43AB6" w14:textId="77777777" w:rsidTr="00EB59C4">
        <w:trPr>
          <w:trHeight w:val="646"/>
        </w:trPr>
        <w:tc>
          <w:tcPr>
            <w:tcW w:w="3074" w:type="dxa"/>
          </w:tcPr>
          <w:p w14:paraId="524B18C1" w14:textId="76C1E70B" w:rsidR="00117A23" w:rsidRPr="001078BE" w:rsidRDefault="00657C14" w:rsidP="00EB59C4">
            <w:pPr>
              <w:tabs>
                <w:tab w:val="left" w:pos="1080"/>
              </w:tabs>
              <w:spacing w:after="0" w:line="240" w:lineRule="auto"/>
              <w:rPr>
                <w:rFonts w:cs="Arial"/>
                <w:color w:val="244061" w:themeColor="accent1" w:themeShade="80"/>
                <w:sz w:val="18"/>
                <w:szCs w:val="18"/>
                <w:lang w:val="en-GB"/>
              </w:rPr>
            </w:pPr>
            <w:r w:rsidRPr="001078BE">
              <w:rPr>
                <w:rFonts w:cs="Arial"/>
                <w:color w:val="244061" w:themeColor="accent1" w:themeShade="80"/>
                <w:sz w:val="18"/>
                <w:szCs w:val="18"/>
                <w:lang w:val="en-GB"/>
              </w:rPr>
              <w:t xml:space="preserve">2.1 </w:t>
            </w:r>
            <w:r w:rsidR="00F73041" w:rsidRPr="001078BE">
              <w:rPr>
                <w:rFonts w:cs="Arial"/>
                <w:color w:val="244061" w:themeColor="accent1" w:themeShade="80"/>
                <w:sz w:val="18"/>
                <w:szCs w:val="18"/>
                <w:lang w:val="en-GB"/>
              </w:rPr>
              <w:t xml:space="preserve">For future projects on </w:t>
            </w:r>
            <w:r w:rsidR="00964FC9" w:rsidRPr="001078BE">
              <w:rPr>
                <w:rFonts w:cs="Arial"/>
                <w:color w:val="244061" w:themeColor="accent1" w:themeShade="80"/>
                <w:sz w:val="18"/>
                <w:szCs w:val="18"/>
                <w:lang w:val="en-GB"/>
              </w:rPr>
              <w:t>similar</w:t>
            </w:r>
            <w:r w:rsidR="00F73041" w:rsidRPr="001078BE">
              <w:rPr>
                <w:rFonts w:cs="Arial"/>
                <w:color w:val="244061" w:themeColor="accent1" w:themeShade="80"/>
                <w:sz w:val="18"/>
                <w:szCs w:val="18"/>
                <w:lang w:val="en-GB"/>
              </w:rPr>
              <w:t xml:space="preserve"> scale, procurement plan will be established as part of the project design phase</w:t>
            </w:r>
            <w:r w:rsidR="00964FC9" w:rsidRPr="001078BE">
              <w:rPr>
                <w:rFonts w:cs="Arial"/>
                <w:color w:val="244061" w:themeColor="accent1" w:themeShade="80"/>
                <w:sz w:val="18"/>
                <w:szCs w:val="18"/>
                <w:lang w:val="en-GB"/>
              </w:rPr>
              <w:t xml:space="preserve"> before project is submitted for LPAC</w:t>
            </w:r>
          </w:p>
        </w:tc>
        <w:tc>
          <w:tcPr>
            <w:tcW w:w="1663" w:type="dxa"/>
          </w:tcPr>
          <w:p w14:paraId="2601805A" w14:textId="54A9D7BA" w:rsidR="00117A23" w:rsidRPr="001078BE" w:rsidRDefault="00964FC9" w:rsidP="00EB59C4">
            <w:pPr>
              <w:tabs>
                <w:tab w:val="left" w:pos="1080"/>
              </w:tabs>
              <w:spacing w:after="0" w:line="240" w:lineRule="auto"/>
              <w:rPr>
                <w:rFonts w:cs="Arial"/>
                <w:color w:val="244061" w:themeColor="accent1" w:themeShade="80"/>
                <w:sz w:val="18"/>
                <w:szCs w:val="18"/>
                <w:lang w:val="en-GB"/>
              </w:rPr>
            </w:pPr>
            <w:r w:rsidRPr="001078BE">
              <w:rPr>
                <w:rFonts w:cs="Arial"/>
                <w:color w:val="244061" w:themeColor="accent1" w:themeShade="80"/>
                <w:sz w:val="18"/>
                <w:szCs w:val="18"/>
                <w:lang w:val="en-GB"/>
              </w:rPr>
              <w:t>December 2021</w:t>
            </w:r>
          </w:p>
        </w:tc>
        <w:tc>
          <w:tcPr>
            <w:tcW w:w="1590" w:type="dxa"/>
          </w:tcPr>
          <w:p w14:paraId="22A5C72D" w14:textId="605A15E2" w:rsidR="00B1179A" w:rsidRPr="001078BE" w:rsidRDefault="00964FC9" w:rsidP="00657C14">
            <w:pPr>
              <w:tabs>
                <w:tab w:val="left" w:pos="1080"/>
              </w:tabs>
              <w:spacing w:after="0" w:line="240" w:lineRule="auto"/>
              <w:jc w:val="center"/>
              <w:rPr>
                <w:rFonts w:cs="Arial"/>
                <w:color w:val="244061" w:themeColor="accent1" w:themeShade="80"/>
                <w:sz w:val="18"/>
                <w:szCs w:val="18"/>
                <w:lang w:val="en-GB"/>
              </w:rPr>
            </w:pPr>
            <w:r w:rsidRPr="001078BE">
              <w:rPr>
                <w:rFonts w:cs="Arial"/>
                <w:color w:val="244061" w:themeColor="accent1" w:themeShade="80"/>
                <w:sz w:val="18"/>
                <w:szCs w:val="18"/>
                <w:lang w:val="en-GB"/>
              </w:rPr>
              <w:t>UNDP, Procurement Unit</w:t>
            </w:r>
          </w:p>
        </w:tc>
        <w:tc>
          <w:tcPr>
            <w:tcW w:w="2375" w:type="dxa"/>
          </w:tcPr>
          <w:p w14:paraId="4CD6D1F4" w14:textId="77777777" w:rsidR="00117A23" w:rsidRPr="001078BE" w:rsidRDefault="00117A23" w:rsidP="00EB59C4">
            <w:pPr>
              <w:tabs>
                <w:tab w:val="left" w:pos="1080"/>
              </w:tabs>
              <w:spacing w:after="0" w:line="240" w:lineRule="auto"/>
              <w:rPr>
                <w:rFonts w:cs="Arial"/>
                <w:color w:val="244061" w:themeColor="accent1" w:themeShade="80"/>
                <w:sz w:val="18"/>
                <w:szCs w:val="18"/>
                <w:lang w:val="en-GB"/>
              </w:rPr>
            </w:pPr>
          </w:p>
        </w:tc>
        <w:tc>
          <w:tcPr>
            <w:tcW w:w="2072" w:type="dxa"/>
          </w:tcPr>
          <w:p w14:paraId="684157DA" w14:textId="77777777" w:rsidR="00117A23" w:rsidRPr="001078BE" w:rsidRDefault="00117A23" w:rsidP="00EB59C4">
            <w:pPr>
              <w:tabs>
                <w:tab w:val="left" w:pos="1080"/>
              </w:tabs>
              <w:spacing w:after="0" w:line="240" w:lineRule="auto"/>
              <w:rPr>
                <w:rFonts w:cs="Arial"/>
                <w:color w:val="244061" w:themeColor="accent1" w:themeShade="80"/>
                <w:sz w:val="18"/>
                <w:szCs w:val="18"/>
                <w:lang w:val="en-GB"/>
              </w:rPr>
            </w:pPr>
          </w:p>
        </w:tc>
      </w:tr>
    </w:tbl>
    <w:p w14:paraId="5B638D3F" w14:textId="152E8F6B" w:rsidR="00117A23" w:rsidRPr="001078BE" w:rsidRDefault="00117A23" w:rsidP="00F02961">
      <w:pPr>
        <w:spacing w:after="0" w:line="240" w:lineRule="auto"/>
        <w:jc w:val="both"/>
        <w:rPr>
          <w:rFonts w:ascii="Myriad Pro" w:hAnsi="Myriad Pro"/>
          <w:b/>
          <w:highlight w:val="lightGray"/>
          <w:lang w:val="en-GB"/>
        </w:rPr>
      </w:pPr>
    </w:p>
    <w:p w14:paraId="71DCC4D6" w14:textId="77777777" w:rsidR="0088049F" w:rsidRPr="001078BE" w:rsidRDefault="0088049F" w:rsidP="00F02961">
      <w:pPr>
        <w:spacing w:after="0" w:line="240" w:lineRule="auto"/>
        <w:jc w:val="both"/>
        <w:rPr>
          <w:rFonts w:ascii="Myriad Pro" w:hAnsi="Myriad Pro"/>
          <w:b/>
          <w:highlight w:val="lightGray"/>
          <w:lang w:val="en-GB"/>
        </w:rPr>
      </w:pPr>
    </w:p>
    <w:tbl>
      <w:tblPr>
        <w:tblW w:w="10774" w:type="dxa"/>
        <w:tblInd w:w="-7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10"/>
        <w:gridCol w:w="1612"/>
        <w:gridCol w:w="1436"/>
        <w:gridCol w:w="2194"/>
        <w:gridCol w:w="2122"/>
      </w:tblGrid>
      <w:tr w:rsidR="008A5DE2" w:rsidRPr="001078BE" w14:paraId="1DF01CF7" w14:textId="77777777" w:rsidTr="00964FC9">
        <w:trPr>
          <w:trHeight w:val="135"/>
        </w:trPr>
        <w:tc>
          <w:tcPr>
            <w:tcW w:w="3410" w:type="dxa"/>
            <w:tcBorders>
              <w:top w:val="single" w:sz="6" w:space="0" w:color="auto"/>
              <w:bottom w:val="single" w:sz="6" w:space="0" w:color="auto"/>
              <w:right w:val="single" w:sz="6" w:space="0" w:color="auto"/>
            </w:tcBorders>
            <w:shd w:val="clear" w:color="auto" w:fill="F3F3F3"/>
          </w:tcPr>
          <w:p w14:paraId="71081980" w14:textId="51EC4E48" w:rsidR="008A5DE2" w:rsidRPr="001078BE" w:rsidRDefault="00964FC9" w:rsidP="008A5DE2">
            <w:pPr>
              <w:tabs>
                <w:tab w:val="left" w:pos="1080"/>
              </w:tabs>
              <w:spacing w:line="240" w:lineRule="auto"/>
              <w:jc w:val="both"/>
              <w:rPr>
                <w:b/>
                <w:sz w:val="20"/>
                <w:szCs w:val="20"/>
                <w:lang w:val="en-GB"/>
              </w:rPr>
            </w:pPr>
            <w:r w:rsidRPr="001078BE">
              <w:rPr>
                <w:b/>
                <w:sz w:val="20"/>
                <w:szCs w:val="20"/>
                <w:lang w:val="en-GB"/>
              </w:rPr>
              <w:t>Final Terminal Evaluation Recommendation</w:t>
            </w:r>
          </w:p>
        </w:tc>
        <w:tc>
          <w:tcPr>
            <w:tcW w:w="7364" w:type="dxa"/>
            <w:gridSpan w:val="4"/>
            <w:tcBorders>
              <w:top w:val="single" w:sz="6" w:space="0" w:color="auto"/>
              <w:left w:val="single" w:sz="6" w:space="0" w:color="auto"/>
              <w:bottom w:val="single" w:sz="6" w:space="0" w:color="auto"/>
            </w:tcBorders>
            <w:shd w:val="clear" w:color="auto" w:fill="F3F3F3"/>
          </w:tcPr>
          <w:p w14:paraId="5EC746B3" w14:textId="1AA8D9B8" w:rsidR="008A5DE2" w:rsidRPr="001078BE" w:rsidRDefault="00964FC9" w:rsidP="008A5DE2">
            <w:pPr>
              <w:tabs>
                <w:tab w:val="left" w:pos="1080"/>
              </w:tabs>
              <w:spacing w:line="240" w:lineRule="auto"/>
              <w:jc w:val="both"/>
              <w:rPr>
                <w:b/>
                <w:sz w:val="20"/>
                <w:szCs w:val="20"/>
                <w:lang w:val="en-GB"/>
              </w:rPr>
            </w:pPr>
            <w:r w:rsidRPr="001078BE">
              <w:rPr>
                <w:lang w:val="en-GB"/>
              </w:rPr>
              <w:t>Recommendation 3: On sustainability recognizing that there will be an ongoing need for support in the sectors targeted by this project, the TE recommends that UNDP work with donors to develop a follow-up project that continues and/or scales up the work, in line with relevant regional strategies and plans.</w:t>
            </w:r>
          </w:p>
        </w:tc>
      </w:tr>
      <w:tr w:rsidR="008A5DE2" w:rsidRPr="001078BE" w14:paraId="15919678" w14:textId="77777777" w:rsidTr="00964FC9">
        <w:trPr>
          <w:trHeight w:val="135"/>
        </w:trPr>
        <w:tc>
          <w:tcPr>
            <w:tcW w:w="3410" w:type="dxa"/>
            <w:tcBorders>
              <w:top w:val="single" w:sz="6" w:space="0" w:color="auto"/>
              <w:bottom w:val="single" w:sz="6" w:space="0" w:color="auto"/>
              <w:right w:val="single" w:sz="6" w:space="0" w:color="auto"/>
            </w:tcBorders>
            <w:shd w:val="clear" w:color="auto" w:fill="F3F3F3"/>
          </w:tcPr>
          <w:p w14:paraId="53253D1E" w14:textId="6A2DF79C" w:rsidR="008A5DE2" w:rsidRPr="001078BE" w:rsidRDefault="008A5DE2" w:rsidP="008A5DE2">
            <w:pPr>
              <w:tabs>
                <w:tab w:val="left" w:pos="1080"/>
              </w:tabs>
              <w:spacing w:line="240" w:lineRule="auto"/>
              <w:jc w:val="both"/>
              <w:rPr>
                <w:b/>
                <w:sz w:val="20"/>
                <w:szCs w:val="20"/>
                <w:lang w:val="en-GB"/>
              </w:rPr>
            </w:pPr>
            <w:r w:rsidRPr="001078BE">
              <w:rPr>
                <w:b/>
                <w:sz w:val="20"/>
                <w:szCs w:val="20"/>
                <w:lang w:val="en-GB"/>
              </w:rPr>
              <w:t>Management response</w:t>
            </w:r>
          </w:p>
        </w:tc>
        <w:tc>
          <w:tcPr>
            <w:tcW w:w="7364" w:type="dxa"/>
            <w:gridSpan w:val="4"/>
            <w:tcBorders>
              <w:top w:val="single" w:sz="6" w:space="0" w:color="auto"/>
              <w:left w:val="single" w:sz="6" w:space="0" w:color="auto"/>
              <w:bottom w:val="single" w:sz="6" w:space="0" w:color="auto"/>
            </w:tcBorders>
            <w:shd w:val="clear" w:color="auto" w:fill="F3F3F3"/>
          </w:tcPr>
          <w:p w14:paraId="6291FC86" w14:textId="6534BA40" w:rsidR="008A5DE2" w:rsidRPr="001078BE" w:rsidRDefault="00964FC9" w:rsidP="008A5DE2">
            <w:pPr>
              <w:tabs>
                <w:tab w:val="left" w:pos="1080"/>
              </w:tabs>
              <w:spacing w:line="240" w:lineRule="auto"/>
              <w:jc w:val="both"/>
              <w:rPr>
                <w:bCs/>
                <w:sz w:val="20"/>
                <w:szCs w:val="20"/>
                <w:lang w:val="en-GB"/>
              </w:rPr>
            </w:pPr>
            <w:r w:rsidRPr="001078BE">
              <w:rPr>
                <w:bCs/>
                <w:sz w:val="20"/>
                <w:szCs w:val="20"/>
                <w:lang w:val="en-GB"/>
              </w:rPr>
              <w:t>Agree. This will be further informed through the final board meeting discussion for this project.</w:t>
            </w:r>
          </w:p>
        </w:tc>
      </w:tr>
      <w:tr w:rsidR="004D7B9C" w:rsidRPr="001078BE" w14:paraId="130DF827" w14:textId="77777777" w:rsidTr="00964FC9">
        <w:trPr>
          <w:trHeight w:val="135"/>
        </w:trPr>
        <w:tc>
          <w:tcPr>
            <w:tcW w:w="3410" w:type="dxa"/>
            <w:vMerge w:val="restart"/>
            <w:tcBorders>
              <w:top w:val="single" w:sz="6" w:space="0" w:color="auto"/>
              <w:bottom w:val="single" w:sz="6" w:space="0" w:color="auto"/>
              <w:right w:val="single" w:sz="6" w:space="0" w:color="auto"/>
            </w:tcBorders>
            <w:shd w:val="clear" w:color="auto" w:fill="F3F3F3"/>
          </w:tcPr>
          <w:p w14:paraId="4119A699" w14:textId="77777777" w:rsidR="001C1EF5" w:rsidRPr="001078BE" w:rsidRDefault="001C1EF5" w:rsidP="00FA45AA">
            <w:pPr>
              <w:tabs>
                <w:tab w:val="left" w:pos="1080"/>
              </w:tabs>
              <w:spacing w:line="240" w:lineRule="auto"/>
              <w:jc w:val="center"/>
              <w:rPr>
                <w:b/>
                <w:sz w:val="20"/>
                <w:szCs w:val="20"/>
                <w:lang w:val="en-GB"/>
              </w:rPr>
            </w:pPr>
            <w:r w:rsidRPr="001078BE">
              <w:rPr>
                <w:b/>
                <w:sz w:val="20"/>
                <w:szCs w:val="20"/>
                <w:lang w:val="en-GB"/>
              </w:rPr>
              <w:t>Key action(s)</w:t>
            </w:r>
          </w:p>
        </w:tc>
        <w:tc>
          <w:tcPr>
            <w:tcW w:w="1612" w:type="dxa"/>
            <w:vMerge w:val="restart"/>
            <w:tcBorders>
              <w:top w:val="single" w:sz="6" w:space="0" w:color="auto"/>
              <w:left w:val="single" w:sz="6" w:space="0" w:color="auto"/>
              <w:bottom w:val="single" w:sz="6" w:space="0" w:color="auto"/>
              <w:right w:val="single" w:sz="6" w:space="0" w:color="auto"/>
            </w:tcBorders>
            <w:shd w:val="clear" w:color="auto" w:fill="F3F3F3"/>
          </w:tcPr>
          <w:p w14:paraId="10191BDE" w14:textId="77777777" w:rsidR="001C1EF5" w:rsidRPr="001078BE" w:rsidRDefault="001C1EF5" w:rsidP="00FA45AA">
            <w:pPr>
              <w:tabs>
                <w:tab w:val="left" w:pos="1080"/>
              </w:tabs>
              <w:spacing w:line="240" w:lineRule="auto"/>
              <w:jc w:val="center"/>
              <w:rPr>
                <w:b/>
                <w:sz w:val="20"/>
                <w:szCs w:val="20"/>
                <w:lang w:val="en-GB"/>
              </w:rPr>
            </w:pPr>
            <w:r w:rsidRPr="001078BE">
              <w:rPr>
                <w:b/>
                <w:sz w:val="20"/>
                <w:szCs w:val="20"/>
                <w:lang w:val="en-GB"/>
              </w:rPr>
              <w:t>Completion date</w:t>
            </w:r>
          </w:p>
        </w:tc>
        <w:tc>
          <w:tcPr>
            <w:tcW w:w="1436" w:type="dxa"/>
            <w:vMerge w:val="restart"/>
            <w:tcBorders>
              <w:top w:val="single" w:sz="6" w:space="0" w:color="auto"/>
              <w:left w:val="single" w:sz="6" w:space="0" w:color="auto"/>
              <w:bottom w:val="single" w:sz="6" w:space="0" w:color="auto"/>
              <w:right w:val="single" w:sz="6" w:space="0" w:color="auto"/>
            </w:tcBorders>
            <w:shd w:val="clear" w:color="auto" w:fill="F3F3F3"/>
          </w:tcPr>
          <w:p w14:paraId="2E4ED6C9" w14:textId="77777777" w:rsidR="001C1EF5" w:rsidRPr="001078BE" w:rsidRDefault="001C1EF5" w:rsidP="00FA45AA">
            <w:pPr>
              <w:tabs>
                <w:tab w:val="left" w:pos="1080"/>
              </w:tabs>
              <w:spacing w:line="240" w:lineRule="auto"/>
              <w:jc w:val="center"/>
              <w:rPr>
                <w:b/>
                <w:sz w:val="20"/>
                <w:szCs w:val="20"/>
                <w:lang w:val="en-GB"/>
              </w:rPr>
            </w:pPr>
            <w:r w:rsidRPr="001078BE">
              <w:rPr>
                <w:b/>
                <w:sz w:val="20"/>
                <w:szCs w:val="20"/>
                <w:lang w:val="en-GB"/>
              </w:rPr>
              <w:t>Responsible unit(s)</w:t>
            </w:r>
          </w:p>
        </w:tc>
        <w:tc>
          <w:tcPr>
            <w:tcW w:w="4316" w:type="dxa"/>
            <w:gridSpan w:val="2"/>
            <w:tcBorders>
              <w:top w:val="single" w:sz="6" w:space="0" w:color="auto"/>
              <w:left w:val="single" w:sz="6" w:space="0" w:color="auto"/>
              <w:bottom w:val="single" w:sz="6" w:space="0" w:color="auto"/>
            </w:tcBorders>
            <w:shd w:val="clear" w:color="auto" w:fill="F3F3F3"/>
          </w:tcPr>
          <w:p w14:paraId="2192AD45" w14:textId="77777777" w:rsidR="001C1EF5" w:rsidRPr="001078BE" w:rsidRDefault="001C1EF5" w:rsidP="00FA45AA">
            <w:pPr>
              <w:tabs>
                <w:tab w:val="left" w:pos="1080"/>
              </w:tabs>
              <w:spacing w:line="240" w:lineRule="auto"/>
              <w:jc w:val="center"/>
              <w:rPr>
                <w:b/>
                <w:sz w:val="20"/>
                <w:szCs w:val="20"/>
                <w:lang w:val="en-GB"/>
              </w:rPr>
            </w:pPr>
            <w:r w:rsidRPr="001078BE">
              <w:rPr>
                <w:b/>
                <w:sz w:val="20"/>
                <w:szCs w:val="20"/>
                <w:lang w:val="en-GB"/>
              </w:rPr>
              <w:t>Tracking</w:t>
            </w:r>
          </w:p>
        </w:tc>
      </w:tr>
      <w:tr w:rsidR="004D7B9C" w:rsidRPr="001078BE" w14:paraId="71D7052F" w14:textId="77777777" w:rsidTr="00964FC9">
        <w:trPr>
          <w:trHeight w:val="135"/>
        </w:trPr>
        <w:tc>
          <w:tcPr>
            <w:tcW w:w="3410" w:type="dxa"/>
            <w:vMerge/>
            <w:tcBorders>
              <w:top w:val="single" w:sz="6" w:space="0" w:color="auto"/>
              <w:bottom w:val="single" w:sz="6" w:space="0" w:color="auto"/>
              <w:right w:val="single" w:sz="6" w:space="0" w:color="auto"/>
            </w:tcBorders>
            <w:shd w:val="clear" w:color="auto" w:fill="F3F3F3"/>
          </w:tcPr>
          <w:p w14:paraId="19F5999B" w14:textId="77777777" w:rsidR="001C1EF5" w:rsidRPr="001078BE" w:rsidRDefault="001C1EF5" w:rsidP="00FA45AA">
            <w:pPr>
              <w:tabs>
                <w:tab w:val="left" w:pos="1080"/>
              </w:tabs>
              <w:spacing w:line="240" w:lineRule="auto"/>
              <w:rPr>
                <w:sz w:val="20"/>
                <w:szCs w:val="20"/>
                <w:lang w:val="en-GB"/>
              </w:rPr>
            </w:pPr>
          </w:p>
        </w:tc>
        <w:tc>
          <w:tcPr>
            <w:tcW w:w="1612" w:type="dxa"/>
            <w:vMerge/>
            <w:tcBorders>
              <w:top w:val="single" w:sz="6" w:space="0" w:color="auto"/>
              <w:left w:val="single" w:sz="6" w:space="0" w:color="auto"/>
              <w:bottom w:val="single" w:sz="6" w:space="0" w:color="auto"/>
              <w:right w:val="single" w:sz="6" w:space="0" w:color="auto"/>
            </w:tcBorders>
            <w:shd w:val="clear" w:color="auto" w:fill="F3F3F3"/>
          </w:tcPr>
          <w:p w14:paraId="7E1293F0" w14:textId="77777777" w:rsidR="001C1EF5" w:rsidRPr="001078BE" w:rsidRDefault="001C1EF5" w:rsidP="00FA45AA">
            <w:pPr>
              <w:tabs>
                <w:tab w:val="left" w:pos="1080"/>
              </w:tabs>
              <w:spacing w:line="240" w:lineRule="auto"/>
              <w:rPr>
                <w:b/>
                <w:sz w:val="20"/>
                <w:szCs w:val="20"/>
                <w:lang w:val="en-GB"/>
              </w:rPr>
            </w:pPr>
          </w:p>
        </w:tc>
        <w:tc>
          <w:tcPr>
            <w:tcW w:w="1436" w:type="dxa"/>
            <w:vMerge/>
            <w:tcBorders>
              <w:top w:val="single" w:sz="6" w:space="0" w:color="auto"/>
              <w:left w:val="single" w:sz="6" w:space="0" w:color="auto"/>
              <w:bottom w:val="single" w:sz="6" w:space="0" w:color="auto"/>
              <w:right w:val="single" w:sz="6" w:space="0" w:color="auto"/>
            </w:tcBorders>
            <w:shd w:val="clear" w:color="auto" w:fill="F3F3F3"/>
          </w:tcPr>
          <w:p w14:paraId="29C26D14" w14:textId="77777777" w:rsidR="001C1EF5" w:rsidRPr="001078BE" w:rsidRDefault="001C1EF5" w:rsidP="00FA45AA">
            <w:pPr>
              <w:tabs>
                <w:tab w:val="left" w:pos="1080"/>
              </w:tabs>
              <w:spacing w:line="240" w:lineRule="auto"/>
              <w:rPr>
                <w:b/>
                <w:sz w:val="20"/>
                <w:szCs w:val="20"/>
                <w:lang w:val="en-GB"/>
              </w:rPr>
            </w:pPr>
          </w:p>
        </w:tc>
        <w:tc>
          <w:tcPr>
            <w:tcW w:w="2194" w:type="dxa"/>
            <w:tcBorders>
              <w:top w:val="single" w:sz="6" w:space="0" w:color="auto"/>
              <w:left w:val="single" w:sz="6" w:space="0" w:color="auto"/>
              <w:bottom w:val="single" w:sz="6" w:space="0" w:color="auto"/>
              <w:right w:val="single" w:sz="6" w:space="0" w:color="auto"/>
            </w:tcBorders>
          </w:tcPr>
          <w:p w14:paraId="22DF5ABB" w14:textId="77777777" w:rsidR="001C1EF5" w:rsidRPr="001078BE" w:rsidRDefault="001C1EF5" w:rsidP="00FA45AA">
            <w:pPr>
              <w:tabs>
                <w:tab w:val="left" w:pos="1080"/>
              </w:tabs>
              <w:spacing w:line="240" w:lineRule="auto"/>
              <w:jc w:val="center"/>
              <w:rPr>
                <w:b/>
                <w:sz w:val="20"/>
                <w:szCs w:val="20"/>
                <w:lang w:val="en-GB"/>
              </w:rPr>
            </w:pPr>
            <w:r w:rsidRPr="001078BE">
              <w:rPr>
                <w:b/>
                <w:sz w:val="20"/>
                <w:szCs w:val="20"/>
                <w:lang w:val="en-GB"/>
              </w:rPr>
              <w:t>Comments</w:t>
            </w:r>
          </w:p>
        </w:tc>
        <w:tc>
          <w:tcPr>
            <w:tcW w:w="2122" w:type="dxa"/>
            <w:tcBorders>
              <w:top w:val="single" w:sz="6" w:space="0" w:color="auto"/>
              <w:left w:val="single" w:sz="6" w:space="0" w:color="auto"/>
              <w:bottom w:val="single" w:sz="6" w:space="0" w:color="auto"/>
            </w:tcBorders>
          </w:tcPr>
          <w:p w14:paraId="6DA86FD4" w14:textId="77777777" w:rsidR="001C1EF5" w:rsidRPr="001078BE" w:rsidRDefault="001C1EF5" w:rsidP="00FA45AA">
            <w:pPr>
              <w:tabs>
                <w:tab w:val="left" w:pos="1080"/>
              </w:tabs>
              <w:spacing w:line="240" w:lineRule="auto"/>
              <w:jc w:val="center"/>
              <w:rPr>
                <w:b/>
                <w:sz w:val="20"/>
                <w:szCs w:val="20"/>
                <w:lang w:val="en-GB"/>
              </w:rPr>
            </w:pPr>
            <w:r w:rsidRPr="001078BE">
              <w:rPr>
                <w:b/>
                <w:sz w:val="20"/>
                <w:szCs w:val="20"/>
                <w:lang w:val="en-GB"/>
              </w:rPr>
              <w:t>Status</w:t>
            </w:r>
          </w:p>
        </w:tc>
      </w:tr>
      <w:tr w:rsidR="00A4206D" w:rsidRPr="001078BE" w14:paraId="09C6AED7" w14:textId="77777777" w:rsidTr="00964FC9">
        <w:tc>
          <w:tcPr>
            <w:tcW w:w="3410" w:type="dxa"/>
            <w:tcBorders>
              <w:top w:val="single" w:sz="6" w:space="0" w:color="auto"/>
              <w:bottom w:val="single" w:sz="6" w:space="0" w:color="auto"/>
              <w:right w:val="single" w:sz="6" w:space="0" w:color="auto"/>
            </w:tcBorders>
          </w:tcPr>
          <w:p w14:paraId="71FEF98D" w14:textId="747A4A64" w:rsidR="00A4206D" w:rsidRPr="001078BE" w:rsidRDefault="00964FC9" w:rsidP="00F02961">
            <w:pPr>
              <w:tabs>
                <w:tab w:val="left" w:pos="1080"/>
              </w:tabs>
              <w:spacing w:after="0" w:line="240" w:lineRule="auto"/>
              <w:rPr>
                <w:rFonts w:cs="Arial"/>
                <w:color w:val="244061" w:themeColor="accent1" w:themeShade="80"/>
                <w:sz w:val="18"/>
                <w:szCs w:val="18"/>
                <w:lang w:val="en-GB"/>
              </w:rPr>
            </w:pPr>
            <w:r w:rsidRPr="001078BE">
              <w:rPr>
                <w:rFonts w:cs="Arial"/>
                <w:color w:val="244061" w:themeColor="accent1" w:themeShade="80"/>
                <w:sz w:val="18"/>
                <w:szCs w:val="18"/>
                <w:lang w:val="en-GB"/>
              </w:rPr>
              <w:t xml:space="preserve">Sustainable Plan will be devised to determine </w:t>
            </w:r>
            <w:proofErr w:type="gramStart"/>
            <w:r w:rsidRPr="001078BE">
              <w:rPr>
                <w:rFonts w:cs="Arial"/>
                <w:color w:val="244061" w:themeColor="accent1" w:themeShade="80"/>
                <w:sz w:val="18"/>
                <w:szCs w:val="18"/>
                <w:lang w:val="en-GB"/>
              </w:rPr>
              <w:t>key way</w:t>
            </w:r>
            <w:proofErr w:type="gramEnd"/>
            <w:r w:rsidRPr="001078BE">
              <w:rPr>
                <w:rFonts w:cs="Arial"/>
                <w:color w:val="244061" w:themeColor="accent1" w:themeShade="80"/>
                <w:sz w:val="18"/>
                <w:szCs w:val="18"/>
                <w:lang w:val="en-GB"/>
              </w:rPr>
              <w:t xml:space="preserve"> forward</w:t>
            </w:r>
          </w:p>
        </w:tc>
        <w:tc>
          <w:tcPr>
            <w:tcW w:w="1612" w:type="dxa"/>
            <w:tcBorders>
              <w:top w:val="single" w:sz="6" w:space="0" w:color="auto"/>
              <w:left w:val="single" w:sz="6" w:space="0" w:color="auto"/>
              <w:bottom w:val="single" w:sz="6" w:space="0" w:color="auto"/>
              <w:right w:val="single" w:sz="6" w:space="0" w:color="auto"/>
            </w:tcBorders>
          </w:tcPr>
          <w:p w14:paraId="5DB89D51" w14:textId="28716C24" w:rsidR="00A4206D" w:rsidRPr="001078BE" w:rsidRDefault="008C5F1E" w:rsidP="00F02961">
            <w:pPr>
              <w:tabs>
                <w:tab w:val="left" w:pos="1080"/>
              </w:tabs>
              <w:spacing w:after="0" w:line="240" w:lineRule="auto"/>
              <w:rPr>
                <w:rFonts w:cs="Arial"/>
                <w:color w:val="244061" w:themeColor="accent1" w:themeShade="80"/>
                <w:sz w:val="18"/>
                <w:szCs w:val="18"/>
                <w:lang w:val="en-GB"/>
              </w:rPr>
            </w:pPr>
            <w:r w:rsidRPr="001078BE">
              <w:rPr>
                <w:rFonts w:cs="Arial"/>
                <w:color w:val="244061" w:themeColor="accent1" w:themeShade="80"/>
                <w:sz w:val="18"/>
                <w:szCs w:val="18"/>
                <w:lang w:val="en-GB"/>
              </w:rPr>
              <w:t>June 2021</w:t>
            </w:r>
          </w:p>
        </w:tc>
        <w:tc>
          <w:tcPr>
            <w:tcW w:w="1436" w:type="dxa"/>
            <w:tcBorders>
              <w:top w:val="single" w:sz="6" w:space="0" w:color="auto"/>
              <w:left w:val="single" w:sz="6" w:space="0" w:color="auto"/>
              <w:bottom w:val="single" w:sz="6" w:space="0" w:color="auto"/>
              <w:right w:val="single" w:sz="6" w:space="0" w:color="auto"/>
            </w:tcBorders>
          </w:tcPr>
          <w:p w14:paraId="0E781973" w14:textId="5C607B50" w:rsidR="00321C54" w:rsidRPr="001078BE" w:rsidRDefault="00964FC9" w:rsidP="00F02961">
            <w:pPr>
              <w:tabs>
                <w:tab w:val="left" w:pos="1080"/>
              </w:tabs>
              <w:spacing w:after="0" w:line="240" w:lineRule="auto"/>
              <w:jc w:val="center"/>
              <w:rPr>
                <w:rFonts w:cs="Arial"/>
                <w:color w:val="244061" w:themeColor="accent1" w:themeShade="80"/>
                <w:sz w:val="18"/>
                <w:szCs w:val="18"/>
                <w:lang w:val="en-GB"/>
              </w:rPr>
            </w:pPr>
            <w:r w:rsidRPr="001078BE">
              <w:rPr>
                <w:rFonts w:cs="Arial"/>
                <w:color w:val="244061" w:themeColor="accent1" w:themeShade="80"/>
                <w:sz w:val="18"/>
                <w:szCs w:val="18"/>
                <w:lang w:val="en-GB"/>
              </w:rPr>
              <w:t xml:space="preserve">PMU/RSD/Govt </w:t>
            </w:r>
          </w:p>
        </w:tc>
        <w:tc>
          <w:tcPr>
            <w:tcW w:w="2194" w:type="dxa"/>
            <w:tcBorders>
              <w:top w:val="single" w:sz="6" w:space="0" w:color="auto"/>
              <w:left w:val="single" w:sz="6" w:space="0" w:color="auto"/>
              <w:bottom w:val="single" w:sz="6" w:space="0" w:color="auto"/>
              <w:right w:val="single" w:sz="6" w:space="0" w:color="auto"/>
            </w:tcBorders>
          </w:tcPr>
          <w:p w14:paraId="30750F45" w14:textId="77777777" w:rsidR="00A4206D" w:rsidRPr="001078BE" w:rsidRDefault="00A4206D" w:rsidP="00F02961">
            <w:pPr>
              <w:tabs>
                <w:tab w:val="left" w:pos="1080"/>
              </w:tabs>
              <w:spacing w:after="0" w:line="240" w:lineRule="auto"/>
              <w:rPr>
                <w:rFonts w:cs="Arial"/>
                <w:color w:val="244061" w:themeColor="accent1" w:themeShade="80"/>
                <w:sz w:val="18"/>
                <w:szCs w:val="18"/>
                <w:lang w:val="en-GB"/>
              </w:rPr>
            </w:pPr>
          </w:p>
        </w:tc>
        <w:tc>
          <w:tcPr>
            <w:tcW w:w="2122" w:type="dxa"/>
            <w:tcBorders>
              <w:top w:val="single" w:sz="6" w:space="0" w:color="auto"/>
              <w:left w:val="single" w:sz="6" w:space="0" w:color="auto"/>
              <w:bottom w:val="single" w:sz="6" w:space="0" w:color="auto"/>
            </w:tcBorders>
          </w:tcPr>
          <w:p w14:paraId="15D79047" w14:textId="77777777" w:rsidR="00A4206D" w:rsidRPr="001078BE" w:rsidRDefault="00A4206D" w:rsidP="00F02961">
            <w:pPr>
              <w:tabs>
                <w:tab w:val="left" w:pos="1080"/>
              </w:tabs>
              <w:spacing w:after="0" w:line="240" w:lineRule="auto"/>
              <w:rPr>
                <w:rFonts w:cs="Arial"/>
                <w:color w:val="244061" w:themeColor="accent1" w:themeShade="80"/>
                <w:sz w:val="18"/>
                <w:szCs w:val="18"/>
                <w:lang w:val="en-GB"/>
              </w:rPr>
            </w:pPr>
          </w:p>
        </w:tc>
      </w:tr>
    </w:tbl>
    <w:p w14:paraId="2AD141B8" w14:textId="77777777" w:rsidR="00FB1F54" w:rsidRPr="001078BE" w:rsidRDefault="00FB1F54" w:rsidP="00964FC9">
      <w:pPr>
        <w:spacing w:after="0" w:line="240" w:lineRule="auto"/>
        <w:jc w:val="both"/>
        <w:rPr>
          <w:b/>
          <w:highlight w:val="lightGray"/>
          <w:lang w:val="en-GB"/>
        </w:rPr>
      </w:pPr>
    </w:p>
    <w:sectPr w:rsidR="00FB1F54" w:rsidRPr="001078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D7F0F" w14:textId="77777777" w:rsidR="007A3FE5" w:rsidRDefault="007A3FE5" w:rsidP="00D66F55">
      <w:pPr>
        <w:spacing w:after="0" w:line="240" w:lineRule="auto"/>
      </w:pPr>
      <w:r>
        <w:separator/>
      </w:r>
    </w:p>
  </w:endnote>
  <w:endnote w:type="continuationSeparator" w:id="0">
    <w:p w14:paraId="0A1F4287" w14:textId="77777777" w:rsidR="007A3FE5" w:rsidRDefault="007A3FE5" w:rsidP="00D66F55">
      <w:pPr>
        <w:spacing w:after="0" w:line="240" w:lineRule="auto"/>
      </w:pPr>
      <w:r>
        <w:continuationSeparator/>
      </w:r>
    </w:p>
  </w:endnote>
  <w:endnote w:type="continuationNotice" w:id="1">
    <w:p w14:paraId="1B546326" w14:textId="77777777" w:rsidR="007A3FE5" w:rsidRDefault="007A3F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IDFont+F4">
    <w:altName w:val="Calibri"/>
    <w:charset w:val="00"/>
    <w:family w:val="auto"/>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393584"/>
      <w:docPartObj>
        <w:docPartGallery w:val="Page Numbers (Bottom of Page)"/>
        <w:docPartUnique/>
      </w:docPartObj>
    </w:sdtPr>
    <w:sdtEndPr>
      <w:rPr>
        <w:noProof/>
      </w:rPr>
    </w:sdtEndPr>
    <w:sdtContent>
      <w:p w14:paraId="488B8D65" w14:textId="7552C764" w:rsidR="00F73041" w:rsidRDefault="00F73041">
        <w:pPr>
          <w:pStyle w:val="Footer"/>
        </w:pPr>
        <w:r>
          <w:fldChar w:fldCharType="begin"/>
        </w:r>
        <w:r>
          <w:instrText xml:space="preserve"> PAGE   \* MERGEFORMAT </w:instrText>
        </w:r>
        <w:r>
          <w:fldChar w:fldCharType="separate"/>
        </w:r>
        <w:r>
          <w:rPr>
            <w:noProof/>
          </w:rPr>
          <w:t>1</w:t>
        </w:r>
        <w:r>
          <w:rPr>
            <w:noProof/>
          </w:rPr>
          <w:fldChar w:fldCharType="end"/>
        </w:r>
      </w:p>
    </w:sdtContent>
  </w:sdt>
  <w:p w14:paraId="1143D9D6" w14:textId="77777777" w:rsidR="00F73041" w:rsidRDefault="00F73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0330" w14:textId="77777777" w:rsidR="007A3FE5" w:rsidRDefault="007A3FE5" w:rsidP="00D66F55">
      <w:pPr>
        <w:spacing w:after="0" w:line="240" w:lineRule="auto"/>
      </w:pPr>
      <w:r>
        <w:separator/>
      </w:r>
    </w:p>
  </w:footnote>
  <w:footnote w:type="continuationSeparator" w:id="0">
    <w:p w14:paraId="29AA5D52" w14:textId="77777777" w:rsidR="007A3FE5" w:rsidRDefault="007A3FE5" w:rsidP="00D66F55">
      <w:pPr>
        <w:spacing w:after="0" w:line="240" w:lineRule="auto"/>
      </w:pPr>
      <w:r>
        <w:continuationSeparator/>
      </w:r>
    </w:p>
  </w:footnote>
  <w:footnote w:type="continuationNotice" w:id="1">
    <w:p w14:paraId="0CEAC4ED" w14:textId="77777777" w:rsidR="007A3FE5" w:rsidRDefault="007A3FE5">
      <w:pPr>
        <w:spacing w:after="0" w:line="240" w:lineRule="auto"/>
      </w:pPr>
    </w:p>
  </w:footnote>
  <w:footnote w:id="2">
    <w:p w14:paraId="1E3833EE" w14:textId="77777777" w:rsidR="00F73041" w:rsidRPr="00060E35" w:rsidRDefault="00F73041" w:rsidP="000605FF">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3">
    <w:p w14:paraId="6D2CF45F" w14:textId="77777777" w:rsidR="00F73041" w:rsidRPr="00060E35" w:rsidRDefault="00F73041" w:rsidP="000605FF">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 w:id="4">
    <w:p w14:paraId="698BCD82" w14:textId="77777777" w:rsidR="00F73041" w:rsidRPr="00060E35" w:rsidRDefault="00F73041" w:rsidP="00117A23">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5">
    <w:p w14:paraId="3357E60B" w14:textId="77777777" w:rsidR="00F73041" w:rsidRPr="00060E35" w:rsidRDefault="00F73041" w:rsidP="00117A23">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137"/>
    <w:multiLevelType w:val="hybridMultilevel"/>
    <w:tmpl w:val="B158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056A"/>
    <w:multiLevelType w:val="hybridMultilevel"/>
    <w:tmpl w:val="F4D2CA04"/>
    <w:lvl w:ilvl="0" w:tplc="04090001">
      <w:start w:val="1"/>
      <w:numFmt w:val="bullet"/>
      <w:lvlText w:val=""/>
      <w:lvlJc w:val="left"/>
      <w:pPr>
        <w:ind w:left="360" w:hanging="360"/>
      </w:pPr>
      <w:rPr>
        <w:rFonts w:ascii="Symbol" w:hAnsi="Symbol" w:hint="default"/>
        <w:color w:val="244061"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8367E"/>
    <w:multiLevelType w:val="hybridMultilevel"/>
    <w:tmpl w:val="89087B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8642BA"/>
    <w:multiLevelType w:val="hybridMultilevel"/>
    <w:tmpl w:val="22A2F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1695C"/>
    <w:multiLevelType w:val="hybridMultilevel"/>
    <w:tmpl w:val="BF300B18"/>
    <w:lvl w:ilvl="0" w:tplc="1078255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3207"/>
    <w:multiLevelType w:val="multilevel"/>
    <w:tmpl w:val="EAEAA354"/>
    <w:styleLink w:val="C4Headings"/>
    <w:lvl w:ilvl="0">
      <w:start w:val="1"/>
      <w:numFmt w:val="decimal"/>
      <w:lvlText w:val="%1."/>
      <w:lvlJc w:val="left"/>
      <w:pPr>
        <w:ind w:left="0" w:firstLine="0"/>
      </w:pPr>
      <w:rPr>
        <w:rFonts w:ascii="Arial Bold" w:hAnsi="Arial Bold" w:hint="default"/>
        <w:b/>
        <w:i w:val="0"/>
        <w:sz w:val="24"/>
      </w:rPr>
    </w:lvl>
    <w:lvl w:ilvl="1">
      <w:start w:val="1"/>
      <w:numFmt w:val="decimal"/>
      <w:lvlText w:val="%1.%2."/>
      <w:lvlJc w:val="left"/>
      <w:pPr>
        <w:ind w:left="0" w:firstLine="0"/>
      </w:pPr>
      <w:rPr>
        <w:rFonts w:ascii="Arial" w:hAnsi="Arial" w:hint="default"/>
        <w:b w:val="0"/>
        <w:i/>
        <w:sz w:val="24"/>
      </w:rPr>
    </w:lvl>
    <w:lvl w:ilvl="2">
      <w:start w:val="1"/>
      <w:numFmt w:val="decimal"/>
      <w:lvlText w:val="%1.%2.%3."/>
      <w:lvlJc w:val="left"/>
      <w:pPr>
        <w:ind w:left="0" w:firstLine="0"/>
      </w:pPr>
      <w:rPr>
        <w:rFonts w:ascii="Arial" w:hAnsi="Arial" w:hint="default"/>
        <w:b w:val="0"/>
        <w:i w:val="0"/>
        <w:sz w:val="24"/>
        <w:u w:val="none"/>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27A773C"/>
    <w:multiLevelType w:val="hybridMultilevel"/>
    <w:tmpl w:val="6FD820F0"/>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385503"/>
    <w:multiLevelType w:val="hybridMultilevel"/>
    <w:tmpl w:val="CA6ACFF6"/>
    <w:lvl w:ilvl="0" w:tplc="C4E4E32E">
      <w:start w:val="1"/>
      <w:numFmt w:val="bullet"/>
      <w:pStyle w:val="C41stOrderBullets"/>
      <w:lvlText w:val=""/>
      <w:lvlJc w:val="left"/>
      <w:pPr>
        <w:ind w:left="831" w:hanging="360"/>
      </w:pPr>
      <w:rPr>
        <w:rFonts w:ascii="Symbol" w:hAnsi="Symbol" w:hint="default"/>
        <w:sz w:val="18"/>
        <w:szCs w:val="18"/>
      </w:rPr>
    </w:lvl>
    <w:lvl w:ilvl="1" w:tplc="C9D0E93C">
      <w:start w:val="1"/>
      <w:numFmt w:val="bullet"/>
      <w:pStyle w:val="C42ndorderbullets"/>
      <w:lvlText w:val="○"/>
      <w:lvlJc w:val="left"/>
      <w:pPr>
        <w:ind w:left="1551" w:hanging="360"/>
      </w:pPr>
      <w:rPr>
        <w:rFonts w:ascii="Arial" w:hAnsi="Arial"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8" w15:restartNumberingAfterBreak="0">
    <w:nsid w:val="16DD58FD"/>
    <w:multiLevelType w:val="multilevel"/>
    <w:tmpl w:val="5606B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32147"/>
    <w:multiLevelType w:val="hybridMultilevel"/>
    <w:tmpl w:val="D4B4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D7A86"/>
    <w:multiLevelType w:val="hybridMultilevel"/>
    <w:tmpl w:val="80C0BF4C"/>
    <w:lvl w:ilvl="0" w:tplc="08090003">
      <w:start w:val="1"/>
      <w:numFmt w:val="bullet"/>
      <w:lvlText w:val="o"/>
      <w:lvlJc w:val="left"/>
      <w:pPr>
        <w:ind w:left="901" w:hanging="360"/>
      </w:pPr>
      <w:rPr>
        <w:rFonts w:ascii="Courier New" w:hAnsi="Courier New" w:cs="Courier New"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 w15:restartNumberingAfterBreak="0">
    <w:nsid w:val="1A5A21BA"/>
    <w:multiLevelType w:val="multilevel"/>
    <w:tmpl w:val="74AC8D7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1428" w:hanging="720"/>
      </w:pPr>
      <w:rPr>
        <w:rFonts w:ascii="Arial" w:hAnsi="Arial" w:cs="Arial" w:hint="default"/>
        <w:color w:val="000000" w:themeColor="text1"/>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AE91521"/>
    <w:multiLevelType w:val="hybridMultilevel"/>
    <w:tmpl w:val="EA44B4C4"/>
    <w:lvl w:ilvl="0" w:tplc="0046CA2E">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4A75E3"/>
    <w:multiLevelType w:val="hybridMultilevel"/>
    <w:tmpl w:val="D506C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1322F"/>
    <w:multiLevelType w:val="multilevel"/>
    <w:tmpl w:val="0424529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C103C"/>
    <w:multiLevelType w:val="hybridMultilevel"/>
    <w:tmpl w:val="F0F6C34E"/>
    <w:lvl w:ilvl="0" w:tplc="200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211720"/>
    <w:multiLevelType w:val="hybridMultilevel"/>
    <w:tmpl w:val="7156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82F8B"/>
    <w:multiLevelType w:val="hybridMultilevel"/>
    <w:tmpl w:val="4FFA92F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15:restartNumberingAfterBreak="0">
    <w:nsid w:val="27995A74"/>
    <w:multiLevelType w:val="hybridMultilevel"/>
    <w:tmpl w:val="9A30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A78C1"/>
    <w:multiLevelType w:val="hybridMultilevel"/>
    <w:tmpl w:val="BE985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AA1E64"/>
    <w:multiLevelType w:val="hybridMultilevel"/>
    <w:tmpl w:val="342CC6D2"/>
    <w:lvl w:ilvl="0" w:tplc="08090003">
      <w:start w:val="1"/>
      <w:numFmt w:val="bullet"/>
      <w:lvlText w:val="o"/>
      <w:lvlJc w:val="left"/>
      <w:pPr>
        <w:ind w:left="683" w:hanging="360"/>
      </w:pPr>
      <w:rPr>
        <w:rFonts w:ascii="Courier New" w:hAnsi="Courier New" w:cs="Courier New"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21" w15:restartNumberingAfterBreak="0">
    <w:nsid w:val="3AB615EB"/>
    <w:multiLevelType w:val="hybridMultilevel"/>
    <w:tmpl w:val="F9A4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33526"/>
    <w:multiLevelType w:val="hybridMultilevel"/>
    <w:tmpl w:val="1F6A9650"/>
    <w:lvl w:ilvl="0" w:tplc="4D1A611A">
      <w:start w:val="1"/>
      <w:numFmt w:val="decimal"/>
      <w:pStyle w:val="Numberlist"/>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3C1C4A50"/>
    <w:multiLevelType w:val="hybridMultilevel"/>
    <w:tmpl w:val="2676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D1EE2"/>
    <w:multiLevelType w:val="hybridMultilevel"/>
    <w:tmpl w:val="A98A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C3A4A"/>
    <w:multiLevelType w:val="hybridMultilevel"/>
    <w:tmpl w:val="E4FC2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EB4404"/>
    <w:multiLevelType w:val="hybridMultilevel"/>
    <w:tmpl w:val="2B04A962"/>
    <w:lvl w:ilvl="0" w:tplc="20000001">
      <w:start w:val="1"/>
      <w:numFmt w:val="bullet"/>
      <w:lvlText w:val=""/>
      <w:lvlJc w:val="left"/>
      <w:pPr>
        <w:ind w:left="901" w:hanging="360"/>
      </w:pPr>
      <w:rPr>
        <w:rFonts w:ascii="Symbol" w:hAnsi="Symbol" w:hint="default"/>
      </w:rPr>
    </w:lvl>
    <w:lvl w:ilvl="1" w:tplc="20000003" w:tentative="1">
      <w:start w:val="1"/>
      <w:numFmt w:val="bullet"/>
      <w:lvlText w:val="o"/>
      <w:lvlJc w:val="left"/>
      <w:pPr>
        <w:ind w:left="1621" w:hanging="360"/>
      </w:pPr>
      <w:rPr>
        <w:rFonts w:ascii="Courier New" w:hAnsi="Courier New" w:cs="Courier New" w:hint="default"/>
      </w:rPr>
    </w:lvl>
    <w:lvl w:ilvl="2" w:tplc="20000005" w:tentative="1">
      <w:start w:val="1"/>
      <w:numFmt w:val="bullet"/>
      <w:lvlText w:val=""/>
      <w:lvlJc w:val="left"/>
      <w:pPr>
        <w:ind w:left="2341" w:hanging="360"/>
      </w:pPr>
      <w:rPr>
        <w:rFonts w:ascii="Wingdings" w:hAnsi="Wingdings" w:hint="default"/>
      </w:rPr>
    </w:lvl>
    <w:lvl w:ilvl="3" w:tplc="20000001" w:tentative="1">
      <w:start w:val="1"/>
      <w:numFmt w:val="bullet"/>
      <w:lvlText w:val=""/>
      <w:lvlJc w:val="left"/>
      <w:pPr>
        <w:ind w:left="3061" w:hanging="360"/>
      </w:pPr>
      <w:rPr>
        <w:rFonts w:ascii="Symbol" w:hAnsi="Symbol" w:hint="default"/>
      </w:rPr>
    </w:lvl>
    <w:lvl w:ilvl="4" w:tplc="20000003" w:tentative="1">
      <w:start w:val="1"/>
      <w:numFmt w:val="bullet"/>
      <w:lvlText w:val="o"/>
      <w:lvlJc w:val="left"/>
      <w:pPr>
        <w:ind w:left="3781" w:hanging="360"/>
      </w:pPr>
      <w:rPr>
        <w:rFonts w:ascii="Courier New" w:hAnsi="Courier New" w:cs="Courier New" w:hint="default"/>
      </w:rPr>
    </w:lvl>
    <w:lvl w:ilvl="5" w:tplc="20000005" w:tentative="1">
      <w:start w:val="1"/>
      <w:numFmt w:val="bullet"/>
      <w:lvlText w:val=""/>
      <w:lvlJc w:val="left"/>
      <w:pPr>
        <w:ind w:left="4501" w:hanging="360"/>
      </w:pPr>
      <w:rPr>
        <w:rFonts w:ascii="Wingdings" w:hAnsi="Wingdings" w:hint="default"/>
      </w:rPr>
    </w:lvl>
    <w:lvl w:ilvl="6" w:tplc="20000001" w:tentative="1">
      <w:start w:val="1"/>
      <w:numFmt w:val="bullet"/>
      <w:lvlText w:val=""/>
      <w:lvlJc w:val="left"/>
      <w:pPr>
        <w:ind w:left="5221" w:hanging="360"/>
      </w:pPr>
      <w:rPr>
        <w:rFonts w:ascii="Symbol" w:hAnsi="Symbol" w:hint="default"/>
      </w:rPr>
    </w:lvl>
    <w:lvl w:ilvl="7" w:tplc="20000003" w:tentative="1">
      <w:start w:val="1"/>
      <w:numFmt w:val="bullet"/>
      <w:lvlText w:val="o"/>
      <w:lvlJc w:val="left"/>
      <w:pPr>
        <w:ind w:left="5941" w:hanging="360"/>
      </w:pPr>
      <w:rPr>
        <w:rFonts w:ascii="Courier New" w:hAnsi="Courier New" w:cs="Courier New" w:hint="default"/>
      </w:rPr>
    </w:lvl>
    <w:lvl w:ilvl="8" w:tplc="20000005" w:tentative="1">
      <w:start w:val="1"/>
      <w:numFmt w:val="bullet"/>
      <w:lvlText w:val=""/>
      <w:lvlJc w:val="left"/>
      <w:pPr>
        <w:ind w:left="6661" w:hanging="360"/>
      </w:pPr>
      <w:rPr>
        <w:rFonts w:ascii="Wingdings" w:hAnsi="Wingdings" w:hint="default"/>
      </w:rPr>
    </w:lvl>
  </w:abstractNum>
  <w:abstractNum w:abstractNumId="27" w15:restartNumberingAfterBreak="0">
    <w:nsid w:val="62A636C2"/>
    <w:multiLevelType w:val="hybridMultilevel"/>
    <w:tmpl w:val="E1504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4F1B28"/>
    <w:multiLevelType w:val="hybridMultilevel"/>
    <w:tmpl w:val="2444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AB24A4"/>
    <w:multiLevelType w:val="hybridMultilevel"/>
    <w:tmpl w:val="3356FA0E"/>
    <w:lvl w:ilvl="0" w:tplc="9D868A5E">
      <w:start w:val="1"/>
      <w:numFmt w:val="decimal"/>
      <w:pStyle w:val="C4NumberedList"/>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2C2908"/>
    <w:multiLevelType w:val="hybridMultilevel"/>
    <w:tmpl w:val="89E20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EF8352A"/>
    <w:multiLevelType w:val="hybridMultilevel"/>
    <w:tmpl w:val="98DE0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2"/>
  </w:num>
  <w:num w:numId="3">
    <w:abstractNumId w:val="3"/>
  </w:num>
  <w:num w:numId="4">
    <w:abstractNumId w:val="27"/>
  </w:num>
  <w:num w:numId="5">
    <w:abstractNumId w:val="31"/>
  </w:num>
  <w:num w:numId="6">
    <w:abstractNumId w:val="8"/>
  </w:num>
  <w:num w:numId="7">
    <w:abstractNumId w:val="30"/>
  </w:num>
  <w:num w:numId="8">
    <w:abstractNumId w:val="4"/>
  </w:num>
  <w:num w:numId="9">
    <w:abstractNumId w:val="13"/>
  </w:num>
  <w:num w:numId="10">
    <w:abstractNumId w:val="1"/>
  </w:num>
  <w:num w:numId="11">
    <w:abstractNumId w:val="18"/>
  </w:num>
  <w:num w:numId="12">
    <w:abstractNumId w:val="28"/>
  </w:num>
  <w:num w:numId="13">
    <w:abstractNumId w:val="25"/>
  </w:num>
  <w:num w:numId="14">
    <w:abstractNumId w:val="9"/>
  </w:num>
  <w:num w:numId="15">
    <w:abstractNumId w:val="12"/>
  </w:num>
  <w:num w:numId="16">
    <w:abstractNumId w:val="19"/>
  </w:num>
  <w:num w:numId="17">
    <w:abstractNumId w:val="7"/>
  </w:num>
  <w:num w:numId="18">
    <w:abstractNumId w:val="0"/>
  </w:num>
  <w:num w:numId="19">
    <w:abstractNumId w:val="24"/>
  </w:num>
  <w:num w:numId="20">
    <w:abstractNumId w:val="17"/>
  </w:num>
  <w:num w:numId="21">
    <w:abstractNumId w:val="23"/>
  </w:num>
  <w:num w:numId="22">
    <w:abstractNumId w:val="20"/>
  </w:num>
  <w:num w:numId="23">
    <w:abstractNumId w:val="29"/>
  </w:num>
  <w:num w:numId="24">
    <w:abstractNumId w:val="29"/>
    <w:lvlOverride w:ilvl="0">
      <w:startOverride w:val="1"/>
    </w:lvlOverride>
  </w:num>
  <w:num w:numId="25">
    <w:abstractNumId w:val="16"/>
  </w:num>
  <w:num w:numId="26">
    <w:abstractNumId w:val="14"/>
  </w:num>
  <w:num w:numId="27">
    <w:abstractNumId w:val="10"/>
  </w:num>
  <w:num w:numId="28">
    <w:abstractNumId w:val="21"/>
  </w:num>
  <w:num w:numId="29">
    <w:abstractNumId w:val="11"/>
  </w:num>
  <w:num w:numId="30">
    <w:abstractNumId w:val="5"/>
  </w:num>
  <w:num w:numId="31">
    <w:abstractNumId w:val="5"/>
    <w:lvlOverride w:ilvl="0">
      <w:lvl w:ilvl="0">
        <w:start w:val="1"/>
        <w:numFmt w:val="decimal"/>
        <w:lvlText w:val="%1."/>
        <w:lvlJc w:val="left"/>
        <w:pPr>
          <w:ind w:left="0" w:firstLine="0"/>
        </w:pPr>
        <w:rPr>
          <w:rFonts w:ascii="Arial Bold" w:hAnsi="Arial Bold" w:hint="default"/>
          <w:b/>
          <w:i w:val="0"/>
          <w:sz w:val="22"/>
          <w:szCs w:val="22"/>
        </w:rPr>
      </w:lvl>
    </w:lvlOverride>
    <w:lvlOverride w:ilvl="1">
      <w:lvl w:ilvl="1">
        <w:start w:val="1"/>
        <w:numFmt w:val="decimal"/>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0" w:firstLine="0"/>
        </w:pPr>
        <w:rPr>
          <w:rFonts w:ascii="Arial" w:hAnsi="Arial" w:hint="default"/>
          <w:b w:val="0"/>
          <w:i w:val="0"/>
          <w:sz w:val="22"/>
          <w:szCs w:val="22"/>
          <w:u w:val="none"/>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2">
    <w:abstractNumId w:val="7"/>
  </w:num>
  <w:num w:numId="33">
    <w:abstractNumId w:val="2"/>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55"/>
    <w:rsid w:val="000001E7"/>
    <w:rsid w:val="00002F76"/>
    <w:rsid w:val="000039ED"/>
    <w:rsid w:val="00004C8C"/>
    <w:rsid w:val="00007FEE"/>
    <w:rsid w:val="00011586"/>
    <w:rsid w:val="00011BBA"/>
    <w:rsid w:val="000138CF"/>
    <w:rsid w:val="00021121"/>
    <w:rsid w:val="00023371"/>
    <w:rsid w:val="00024A3F"/>
    <w:rsid w:val="00026A1E"/>
    <w:rsid w:val="000321BD"/>
    <w:rsid w:val="0004067B"/>
    <w:rsid w:val="0004189C"/>
    <w:rsid w:val="00042615"/>
    <w:rsid w:val="00043455"/>
    <w:rsid w:val="00046067"/>
    <w:rsid w:val="00046356"/>
    <w:rsid w:val="00052E8D"/>
    <w:rsid w:val="00053315"/>
    <w:rsid w:val="00053F1F"/>
    <w:rsid w:val="00054F45"/>
    <w:rsid w:val="00056EC4"/>
    <w:rsid w:val="000605FF"/>
    <w:rsid w:val="00062C16"/>
    <w:rsid w:val="000646C3"/>
    <w:rsid w:val="00064CEA"/>
    <w:rsid w:val="00067C70"/>
    <w:rsid w:val="00071FD5"/>
    <w:rsid w:val="0007699D"/>
    <w:rsid w:val="000804C1"/>
    <w:rsid w:val="00085CC6"/>
    <w:rsid w:val="00086A3D"/>
    <w:rsid w:val="0009089F"/>
    <w:rsid w:val="000908FF"/>
    <w:rsid w:val="00092018"/>
    <w:rsid w:val="00093E9B"/>
    <w:rsid w:val="00094E4A"/>
    <w:rsid w:val="000962A0"/>
    <w:rsid w:val="00096E89"/>
    <w:rsid w:val="000A0BAE"/>
    <w:rsid w:val="000A5522"/>
    <w:rsid w:val="000B0183"/>
    <w:rsid w:val="000B6B1C"/>
    <w:rsid w:val="000B75DD"/>
    <w:rsid w:val="000C1598"/>
    <w:rsid w:val="000C1B31"/>
    <w:rsid w:val="000C71A6"/>
    <w:rsid w:val="000C7440"/>
    <w:rsid w:val="000D0315"/>
    <w:rsid w:val="000D35AE"/>
    <w:rsid w:val="000D4822"/>
    <w:rsid w:val="000D7E3C"/>
    <w:rsid w:val="000E1DFE"/>
    <w:rsid w:val="000E4E24"/>
    <w:rsid w:val="000E6E03"/>
    <w:rsid w:val="000E6E7C"/>
    <w:rsid w:val="000E7C65"/>
    <w:rsid w:val="000F49A6"/>
    <w:rsid w:val="000F79DE"/>
    <w:rsid w:val="00101609"/>
    <w:rsid w:val="00104AFD"/>
    <w:rsid w:val="00105C00"/>
    <w:rsid w:val="001078BE"/>
    <w:rsid w:val="001123F4"/>
    <w:rsid w:val="001128B8"/>
    <w:rsid w:val="00117A23"/>
    <w:rsid w:val="00117D89"/>
    <w:rsid w:val="00125C67"/>
    <w:rsid w:val="00132884"/>
    <w:rsid w:val="00137C8A"/>
    <w:rsid w:val="00140518"/>
    <w:rsid w:val="00141114"/>
    <w:rsid w:val="00141D27"/>
    <w:rsid w:val="001430D3"/>
    <w:rsid w:val="001440A3"/>
    <w:rsid w:val="001475DE"/>
    <w:rsid w:val="00147D70"/>
    <w:rsid w:val="001504F7"/>
    <w:rsid w:val="0015283B"/>
    <w:rsid w:val="00153250"/>
    <w:rsid w:val="00153274"/>
    <w:rsid w:val="00153EA5"/>
    <w:rsid w:val="0015411F"/>
    <w:rsid w:val="00155F2D"/>
    <w:rsid w:val="001561C8"/>
    <w:rsid w:val="00156C2B"/>
    <w:rsid w:val="00157C1B"/>
    <w:rsid w:val="00161C76"/>
    <w:rsid w:val="00161F12"/>
    <w:rsid w:val="0016270B"/>
    <w:rsid w:val="001644B7"/>
    <w:rsid w:val="00164652"/>
    <w:rsid w:val="00166EBB"/>
    <w:rsid w:val="00171DB5"/>
    <w:rsid w:val="0017271F"/>
    <w:rsid w:val="00173706"/>
    <w:rsid w:val="00173E59"/>
    <w:rsid w:val="00174D6B"/>
    <w:rsid w:val="00174D9E"/>
    <w:rsid w:val="00176D08"/>
    <w:rsid w:val="0018076D"/>
    <w:rsid w:val="00183BE6"/>
    <w:rsid w:val="00184643"/>
    <w:rsid w:val="001879E5"/>
    <w:rsid w:val="0019155F"/>
    <w:rsid w:val="001A28F9"/>
    <w:rsid w:val="001A7B6E"/>
    <w:rsid w:val="001B0F8E"/>
    <w:rsid w:val="001B395A"/>
    <w:rsid w:val="001C1EF5"/>
    <w:rsid w:val="001C42B8"/>
    <w:rsid w:val="001C741C"/>
    <w:rsid w:val="001C78CC"/>
    <w:rsid w:val="001D0410"/>
    <w:rsid w:val="001D1448"/>
    <w:rsid w:val="001D1770"/>
    <w:rsid w:val="001D4C79"/>
    <w:rsid w:val="001D7568"/>
    <w:rsid w:val="001D7CDD"/>
    <w:rsid w:val="001D7E1F"/>
    <w:rsid w:val="001E179B"/>
    <w:rsid w:val="001E3E7C"/>
    <w:rsid w:val="001E71D2"/>
    <w:rsid w:val="001F178A"/>
    <w:rsid w:val="001F1DDC"/>
    <w:rsid w:val="001F2DE3"/>
    <w:rsid w:val="001F5AFD"/>
    <w:rsid w:val="001F6FB5"/>
    <w:rsid w:val="001F76F0"/>
    <w:rsid w:val="001F7C2A"/>
    <w:rsid w:val="001F7D41"/>
    <w:rsid w:val="00201B07"/>
    <w:rsid w:val="002037C7"/>
    <w:rsid w:val="00204F84"/>
    <w:rsid w:val="00205043"/>
    <w:rsid w:val="00207907"/>
    <w:rsid w:val="00213AA5"/>
    <w:rsid w:val="00216E96"/>
    <w:rsid w:val="0021723F"/>
    <w:rsid w:val="00217255"/>
    <w:rsid w:val="00217502"/>
    <w:rsid w:val="00220B4C"/>
    <w:rsid w:val="0022247A"/>
    <w:rsid w:val="00222497"/>
    <w:rsid w:val="002233E1"/>
    <w:rsid w:val="00223A38"/>
    <w:rsid w:val="00223AF7"/>
    <w:rsid w:val="00227FCB"/>
    <w:rsid w:val="002323CB"/>
    <w:rsid w:val="00233718"/>
    <w:rsid w:val="00233A3E"/>
    <w:rsid w:val="00235692"/>
    <w:rsid w:val="00237C06"/>
    <w:rsid w:val="00240263"/>
    <w:rsid w:val="00241149"/>
    <w:rsid w:val="002429C5"/>
    <w:rsid w:val="00257FBE"/>
    <w:rsid w:val="00262D1B"/>
    <w:rsid w:val="00264297"/>
    <w:rsid w:val="00266207"/>
    <w:rsid w:val="00270383"/>
    <w:rsid w:val="00273804"/>
    <w:rsid w:val="0027677F"/>
    <w:rsid w:val="002817D4"/>
    <w:rsid w:val="00281E33"/>
    <w:rsid w:val="00284237"/>
    <w:rsid w:val="00293FB6"/>
    <w:rsid w:val="002941FF"/>
    <w:rsid w:val="0029422B"/>
    <w:rsid w:val="00297074"/>
    <w:rsid w:val="002A1A61"/>
    <w:rsid w:val="002A38B8"/>
    <w:rsid w:val="002A3EB9"/>
    <w:rsid w:val="002A4837"/>
    <w:rsid w:val="002A4B81"/>
    <w:rsid w:val="002B3A20"/>
    <w:rsid w:val="002B5E78"/>
    <w:rsid w:val="002D12A7"/>
    <w:rsid w:val="002D12DA"/>
    <w:rsid w:val="002D190A"/>
    <w:rsid w:val="002D1CC9"/>
    <w:rsid w:val="002D3EE8"/>
    <w:rsid w:val="002D407D"/>
    <w:rsid w:val="002D71B4"/>
    <w:rsid w:val="002E2AFC"/>
    <w:rsid w:val="002E3268"/>
    <w:rsid w:val="002E38EC"/>
    <w:rsid w:val="002E781B"/>
    <w:rsid w:val="002E7AA7"/>
    <w:rsid w:val="002F062B"/>
    <w:rsid w:val="002F4B7D"/>
    <w:rsid w:val="002F6450"/>
    <w:rsid w:val="002F7681"/>
    <w:rsid w:val="0030032A"/>
    <w:rsid w:val="00300CCD"/>
    <w:rsid w:val="003042A8"/>
    <w:rsid w:val="00306409"/>
    <w:rsid w:val="00307262"/>
    <w:rsid w:val="00311B66"/>
    <w:rsid w:val="00314262"/>
    <w:rsid w:val="00316892"/>
    <w:rsid w:val="0031749B"/>
    <w:rsid w:val="00317563"/>
    <w:rsid w:val="00317A01"/>
    <w:rsid w:val="00320D2E"/>
    <w:rsid w:val="00320DFD"/>
    <w:rsid w:val="00321C54"/>
    <w:rsid w:val="00326A7D"/>
    <w:rsid w:val="003275B7"/>
    <w:rsid w:val="00332C2D"/>
    <w:rsid w:val="00333AA2"/>
    <w:rsid w:val="0033553C"/>
    <w:rsid w:val="0033733D"/>
    <w:rsid w:val="00345319"/>
    <w:rsid w:val="0035202D"/>
    <w:rsid w:val="003542C3"/>
    <w:rsid w:val="00361F73"/>
    <w:rsid w:val="00362C09"/>
    <w:rsid w:val="00362CEA"/>
    <w:rsid w:val="0036397B"/>
    <w:rsid w:val="00363B54"/>
    <w:rsid w:val="00363E46"/>
    <w:rsid w:val="00367E19"/>
    <w:rsid w:val="00371AA4"/>
    <w:rsid w:val="00372AAA"/>
    <w:rsid w:val="00372DC2"/>
    <w:rsid w:val="00373334"/>
    <w:rsid w:val="00375878"/>
    <w:rsid w:val="0038246F"/>
    <w:rsid w:val="00382A20"/>
    <w:rsid w:val="00383C75"/>
    <w:rsid w:val="00383D21"/>
    <w:rsid w:val="00391F69"/>
    <w:rsid w:val="003936CD"/>
    <w:rsid w:val="00395CB1"/>
    <w:rsid w:val="00396F5C"/>
    <w:rsid w:val="003A1267"/>
    <w:rsid w:val="003A578F"/>
    <w:rsid w:val="003B11F5"/>
    <w:rsid w:val="003B573E"/>
    <w:rsid w:val="003B6C87"/>
    <w:rsid w:val="003B73CE"/>
    <w:rsid w:val="003C43E3"/>
    <w:rsid w:val="003C5AC4"/>
    <w:rsid w:val="003D0C00"/>
    <w:rsid w:val="003D0D9B"/>
    <w:rsid w:val="003D470C"/>
    <w:rsid w:val="003D4AD1"/>
    <w:rsid w:val="003D5744"/>
    <w:rsid w:val="003D76BC"/>
    <w:rsid w:val="003E0749"/>
    <w:rsid w:val="003E1E0D"/>
    <w:rsid w:val="003E7205"/>
    <w:rsid w:val="003F2F1E"/>
    <w:rsid w:val="003F3F9E"/>
    <w:rsid w:val="003F526C"/>
    <w:rsid w:val="003F538E"/>
    <w:rsid w:val="0040051D"/>
    <w:rsid w:val="00401D9B"/>
    <w:rsid w:val="004035A6"/>
    <w:rsid w:val="00403900"/>
    <w:rsid w:val="0040693D"/>
    <w:rsid w:val="00407A03"/>
    <w:rsid w:val="00407B1F"/>
    <w:rsid w:val="0042123A"/>
    <w:rsid w:val="00424E9A"/>
    <w:rsid w:val="00425EA8"/>
    <w:rsid w:val="004311A3"/>
    <w:rsid w:val="0043343A"/>
    <w:rsid w:val="004344B6"/>
    <w:rsid w:val="00434E77"/>
    <w:rsid w:val="00435567"/>
    <w:rsid w:val="004365D0"/>
    <w:rsid w:val="00436BFE"/>
    <w:rsid w:val="00437C18"/>
    <w:rsid w:val="00437E7A"/>
    <w:rsid w:val="0044078F"/>
    <w:rsid w:val="0044120F"/>
    <w:rsid w:val="00442FA5"/>
    <w:rsid w:val="0044400F"/>
    <w:rsid w:val="00446A33"/>
    <w:rsid w:val="004502F1"/>
    <w:rsid w:val="00455BB5"/>
    <w:rsid w:val="00462656"/>
    <w:rsid w:val="004670FF"/>
    <w:rsid w:val="00471042"/>
    <w:rsid w:val="00471D7E"/>
    <w:rsid w:val="00472724"/>
    <w:rsid w:val="004727BF"/>
    <w:rsid w:val="00473AA0"/>
    <w:rsid w:val="00476BFA"/>
    <w:rsid w:val="004821D7"/>
    <w:rsid w:val="004826B5"/>
    <w:rsid w:val="00483034"/>
    <w:rsid w:val="00483661"/>
    <w:rsid w:val="004836F2"/>
    <w:rsid w:val="00486F65"/>
    <w:rsid w:val="00487154"/>
    <w:rsid w:val="00487162"/>
    <w:rsid w:val="00487DA5"/>
    <w:rsid w:val="004919ED"/>
    <w:rsid w:val="00492B2D"/>
    <w:rsid w:val="00492EA6"/>
    <w:rsid w:val="00497672"/>
    <w:rsid w:val="004A4306"/>
    <w:rsid w:val="004A451E"/>
    <w:rsid w:val="004A4788"/>
    <w:rsid w:val="004A5CE6"/>
    <w:rsid w:val="004A6747"/>
    <w:rsid w:val="004A70FA"/>
    <w:rsid w:val="004B00D4"/>
    <w:rsid w:val="004B177C"/>
    <w:rsid w:val="004B200A"/>
    <w:rsid w:val="004B2E57"/>
    <w:rsid w:val="004B3FF4"/>
    <w:rsid w:val="004B4264"/>
    <w:rsid w:val="004B668C"/>
    <w:rsid w:val="004C210A"/>
    <w:rsid w:val="004C24E2"/>
    <w:rsid w:val="004C267F"/>
    <w:rsid w:val="004C298E"/>
    <w:rsid w:val="004C5560"/>
    <w:rsid w:val="004D22E1"/>
    <w:rsid w:val="004D5DDB"/>
    <w:rsid w:val="004D7B9C"/>
    <w:rsid w:val="004E078B"/>
    <w:rsid w:val="004E394E"/>
    <w:rsid w:val="004E6076"/>
    <w:rsid w:val="004F1D03"/>
    <w:rsid w:val="004F286E"/>
    <w:rsid w:val="00500856"/>
    <w:rsid w:val="00500FFE"/>
    <w:rsid w:val="00502F30"/>
    <w:rsid w:val="00504326"/>
    <w:rsid w:val="0050590D"/>
    <w:rsid w:val="005103D9"/>
    <w:rsid w:val="00510A34"/>
    <w:rsid w:val="00513281"/>
    <w:rsid w:val="00513462"/>
    <w:rsid w:val="0052582A"/>
    <w:rsid w:val="00527879"/>
    <w:rsid w:val="00527E36"/>
    <w:rsid w:val="00533587"/>
    <w:rsid w:val="00534567"/>
    <w:rsid w:val="005345C4"/>
    <w:rsid w:val="00541CAB"/>
    <w:rsid w:val="00542BB6"/>
    <w:rsid w:val="00542BC0"/>
    <w:rsid w:val="0054587E"/>
    <w:rsid w:val="00546CF4"/>
    <w:rsid w:val="00550DD6"/>
    <w:rsid w:val="00551DB3"/>
    <w:rsid w:val="0055322B"/>
    <w:rsid w:val="00553D6C"/>
    <w:rsid w:val="005540CE"/>
    <w:rsid w:val="00562DBA"/>
    <w:rsid w:val="00563AE1"/>
    <w:rsid w:val="00567949"/>
    <w:rsid w:val="005708A8"/>
    <w:rsid w:val="00570EB0"/>
    <w:rsid w:val="0057183B"/>
    <w:rsid w:val="00572F53"/>
    <w:rsid w:val="005732C8"/>
    <w:rsid w:val="00573A51"/>
    <w:rsid w:val="005744DF"/>
    <w:rsid w:val="005765C4"/>
    <w:rsid w:val="00577540"/>
    <w:rsid w:val="00577D4C"/>
    <w:rsid w:val="00580794"/>
    <w:rsid w:val="00582CED"/>
    <w:rsid w:val="00587889"/>
    <w:rsid w:val="00591726"/>
    <w:rsid w:val="005926FE"/>
    <w:rsid w:val="00592A8E"/>
    <w:rsid w:val="00592B8A"/>
    <w:rsid w:val="00596A7E"/>
    <w:rsid w:val="005A29BA"/>
    <w:rsid w:val="005A511F"/>
    <w:rsid w:val="005A7C23"/>
    <w:rsid w:val="005B0FB3"/>
    <w:rsid w:val="005B1042"/>
    <w:rsid w:val="005B1CE0"/>
    <w:rsid w:val="005B2C84"/>
    <w:rsid w:val="005B2D2B"/>
    <w:rsid w:val="005B4851"/>
    <w:rsid w:val="005B5C7F"/>
    <w:rsid w:val="005C23F9"/>
    <w:rsid w:val="005C380A"/>
    <w:rsid w:val="005C39B6"/>
    <w:rsid w:val="005C7573"/>
    <w:rsid w:val="005D1B7A"/>
    <w:rsid w:val="005D239E"/>
    <w:rsid w:val="005D5F8D"/>
    <w:rsid w:val="005D633F"/>
    <w:rsid w:val="005D6530"/>
    <w:rsid w:val="005F2880"/>
    <w:rsid w:val="005F2FE6"/>
    <w:rsid w:val="005F44CA"/>
    <w:rsid w:val="00601151"/>
    <w:rsid w:val="00601B9A"/>
    <w:rsid w:val="00601DD8"/>
    <w:rsid w:val="00601F86"/>
    <w:rsid w:val="00601FAD"/>
    <w:rsid w:val="00606B04"/>
    <w:rsid w:val="00607B2D"/>
    <w:rsid w:val="00610721"/>
    <w:rsid w:val="00614556"/>
    <w:rsid w:val="0062364A"/>
    <w:rsid w:val="00626D2D"/>
    <w:rsid w:val="00627505"/>
    <w:rsid w:val="00627C7B"/>
    <w:rsid w:val="00630B06"/>
    <w:rsid w:val="00630D9C"/>
    <w:rsid w:val="00633BAD"/>
    <w:rsid w:val="00633F57"/>
    <w:rsid w:val="00637FFA"/>
    <w:rsid w:val="006432AF"/>
    <w:rsid w:val="0064381C"/>
    <w:rsid w:val="00643FB7"/>
    <w:rsid w:val="00646C24"/>
    <w:rsid w:val="00650E09"/>
    <w:rsid w:val="00650E9E"/>
    <w:rsid w:val="00650F7A"/>
    <w:rsid w:val="0065166D"/>
    <w:rsid w:val="006518F3"/>
    <w:rsid w:val="006566AB"/>
    <w:rsid w:val="00657C14"/>
    <w:rsid w:val="00665941"/>
    <w:rsid w:val="00667846"/>
    <w:rsid w:val="00670206"/>
    <w:rsid w:val="0067129D"/>
    <w:rsid w:val="006725E3"/>
    <w:rsid w:val="006737D3"/>
    <w:rsid w:val="006738BF"/>
    <w:rsid w:val="00675572"/>
    <w:rsid w:val="006772A4"/>
    <w:rsid w:val="0067741B"/>
    <w:rsid w:val="00677C6B"/>
    <w:rsid w:val="00681C70"/>
    <w:rsid w:val="0068228D"/>
    <w:rsid w:val="00683E76"/>
    <w:rsid w:val="00684FFE"/>
    <w:rsid w:val="00685434"/>
    <w:rsid w:val="00686B05"/>
    <w:rsid w:val="0068728A"/>
    <w:rsid w:val="00690633"/>
    <w:rsid w:val="00694DB9"/>
    <w:rsid w:val="006A1F9F"/>
    <w:rsid w:val="006A3083"/>
    <w:rsid w:val="006A5E0A"/>
    <w:rsid w:val="006A669B"/>
    <w:rsid w:val="006A6AEF"/>
    <w:rsid w:val="006A726C"/>
    <w:rsid w:val="006A72D6"/>
    <w:rsid w:val="006B20C8"/>
    <w:rsid w:val="006B4EC6"/>
    <w:rsid w:val="006B7339"/>
    <w:rsid w:val="006C1A47"/>
    <w:rsid w:val="006C22E6"/>
    <w:rsid w:val="006C6380"/>
    <w:rsid w:val="006C688B"/>
    <w:rsid w:val="006C728A"/>
    <w:rsid w:val="006C76B4"/>
    <w:rsid w:val="006D2365"/>
    <w:rsid w:val="006D265B"/>
    <w:rsid w:val="006D2DB8"/>
    <w:rsid w:val="006D5157"/>
    <w:rsid w:val="006D5776"/>
    <w:rsid w:val="006D7063"/>
    <w:rsid w:val="006D787A"/>
    <w:rsid w:val="006E1ECF"/>
    <w:rsid w:val="006E24A7"/>
    <w:rsid w:val="006E5800"/>
    <w:rsid w:val="006E665A"/>
    <w:rsid w:val="006F1BF8"/>
    <w:rsid w:val="006F1F42"/>
    <w:rsid w:val="006F4A6C"/>
    <w:rsid w:val="007009C1"/>
    <w:rsid w:val="00700C4C"/>
    <w:rsid w:val="00702C2F"/>
    <w:rsid w:val="00702DA4"/>
    <w:rsid w:val="007041AE"/>
    <w:rsid w:val="00704907"/>
    <w:rsid w:val="00705363"/>
    <w:rsid w:val="00705DEA"/>
    <w:rsid w:val="00707ADF"/>
    <w:rsid w:val="00711636"/>
    <w:rsid w:val="00713702"/>
    <w:rsid w:val="0071516E"/>
    <w:rsid w:val="0072035A"/>
    <w:rsid w:val="0072128A"/>
    <w:rsid w:val="0072288E"/>
    <w:rsid w:val="007244D3"/>
    <w:rsid w:val="007259C0"/>
    <w:rsid w:val="0072611B"/>
    <w:rsid w:val="00727609"/>
    <w:rsid w:val="00732215"/>
    <w:rsid w:val="007331A8"/>
    <w:rsid w:val="0073320A"/>
    <w:rsid w:val="00734FEE"/>
    <w:rsid w:val="00737A39"/>
    <w:rsid w:val="00740133"/>
    <w:rsid w:val="007445F9"/>
    <w:rsid w:val="0075205D"/>
    <w:rsid w:val="00760CE6"/>
    <w:rsid w:val="00763534"/>
    <w:rsid w:val="00765000"/>
    <w:rsid w:val="0077214F"/>
    <w:rsid w:val="00773E3D"/>
    <w:rsid w:val="00774647"/>
    <w:rsid w:val="00774FF8"/>
    <w:rsid w:val="00775682"/>
    <w:rsid w:val="00776478"/>
    <w:rsid w:val="00781C2C"/>
    <w:rsid w:val="00784123"/>
    <w:rsid w:val="007842D0"/>
    <w:rsid w:val="00792265"/>
    <w:rsid w:val="0079544D"/>
    <w:rsid w:val="007A28FA"/>
    <w:rsid w:val="007A3FE5"/>
    <w:rsid w:val="007A5495"/>
    <w:rsid w:val="007A735C"/>
    <w:rsid w:val="007B4755"/>
    <w:rsid w:val="007B6D5A"/>
    <w:rsid w:val="007C104B"/>
    <w:rsid w:val="007C11BC"/>
    <w:rsid w:val="007C2FA0"/>
    <w:rsid w:val="007C30C4"/>
    <w:rsid w:val="007C5AC3"/>
    <w:rsid w:val="007D2298"/>
    <w:rsid w:val="007E049F"/>
    <w:rsid w:val="007E0AE8"/>
    <w:rsid w:val="007E4CAC"/>
    <w:rsid w:val="007F26DF"/>
    <w:rsid w:val="007F294D"/>
    <w:rsid w:val="007F2B94"/>
    <w:rsid w:val="007F51FD"/>
    <w:rsid w:val="0080144F"/>
    <w:rsid w:val="00801CAA"/>
    <w:rsid w:val="00811361"/>
    <w:rsid w:val="00811637"/>
    <w:rsid w:val="008162B8"/>
    <w:rsid w:val="0082261E"/>
    <w:rsid w:val="00824A9B"/>
    <w:rsid w:val="008262CB"/>
    <w:rsid w:val="00827296"/>
    <w:rsid w:val="00827AEF"/>
    <w:rsid w:val="00832595"/>
    <w:rsid w:val="008359D3"/>
    <w:rsid w:val="0083624C"/>
    <w:rsid w:val="00837040"/>
    <w:rsid w:val="00841517"/>
    <w:rsid w:val="00842421"/>
    <w:rsid w:val="008430B0"/>
    <w:rsid w:val="00845BC6"/>
    <w:rsid w:val="00846792"/>
    <w:rsid w:val="008528E6"/>
    <w:rsid w:val="00852FD6"/>
    <w:rsid w:val="008538A0"/>
    <w:rsid w:val="00855119"/>
    <w:rsid w:val="0085566B"/>
    <w:rsid w:val="008556C1"/>
    <w:rsid w:val="008557FB"/>
    <w:rsid w:val="008559FA"/>
    <w:rsid w:val="00857A22"/>
    <w:rsid w:val="008705A6"/>
    <w:rsid w:val="00871D5E"/>
    <w:rsid w:val="00872761"/>
    <w:rsid w:val="00872F8F"/>
    <w:rsid w:val="0088049F"/>
    <w:rsid w:val="00880E82"/>
    <w:rsid w:val="00881CB7"/>
    <w:rsid w:val="00884A96"/>
    <w:rsid w:val="00885852"/>
    <w:rsid w:val="00885C35"/>
    <w:rsid w:val="008864EE"/>
    <w:rsid w:val="008871A5"/>
    <w:rsid w:val="00890EC1"/>
    <w:rsid w:val="00893A3A"/>
    <w:rsid w:val="00893B2F"/>
    <w:rsid w:val="00893E4F"/>
    <w:rsid w:val="00895D83"/>
    <w:rsid w:val="008962DA"/>
    <w:rsid w:val="008A04AA"/>
    <w:rsid w:val="008A115F"/>
    <w:rsid w:val="008A403C"/>
    <w:rsid w:val="008A41C2"/>
    <w:rsid w:val="008A5DE2"/>
    <w:rsid w:val="008A724C"/>
    <w:rsid w:val="008B00AA"/>
    <w:rsid w:val="008B2C45"/>
    <w:rsid w:val="008B3946"/>
    <w:rsid w:val="008B5A6A"/>
    <w:rsid w:val="008C0927"/>
    <w:rsid w:val="008C1071"/>
    <w:rsid w:val="008C2A58"/>
    <w:rsid w:val="008C2BCC"/>
    <w:rsid w:val="008C56C5"/>
    <w:rsid w:val="008C5F1E"/>
    <w:rsid w:val="008D1F87"/>
    <w:rsid w:val="008D2C7F"/>
    <w:rsid w:val="008D3BEA"/>
    <w:rsid w:val="008D49C8"/>
    <w:rsid w:val="008D6E23"/>
    <w:rsid w:val="008D6F93"/>
    <w:rsid w:val="008E0281"/>
    <w:rsid w:val="008E14A6"/>
    <w:rsid w:val="008F39DD"/>
    <w:rsid w:val="008F3DDF"/>
    <w:rsid w:val="008F512C"/>
    <w:rsid w:val="00900AB9"/>
    <w:rsid w:val="0090192A"/>
    <w:rsid w:val="00903F68"/>
    <w:rsid w:val="0090497D"/>
    <w:rsid w:val="00905328"/>
    <w:rsid w:val="00905C27"/>
    <w:rsid w:val="00905CB4"/>
    <w:rsid w:val="00907099"/>
    <w:rsid w:val="0091151D"/>
    <w:rsid w:val="009123A4"/>
    <w:rsid w:val="00913461"/>
    <w:rsid w:val="00914EBD"/>
    <w:rsid w:val="00916365"/>
    <w:rsid w:val="0091721B"/>
    <w:rsid w:val="00921B7D"/>
    <w:rsid w:val="00922B27"/>
    <w:rsid w:val="009258A2"/>
    <w:rsid w:val="00925BF4"/>
    <w:rsid w:val="0092706F"/>
    <w:rsid w:val="00932B90"/>
    <w:rsid w:val="00932FF7"/>
    <w:rsid w:val="00935254"/>
    <w:rsid w:val="0093554A"/>
    <w:rsid w:val="00936882"/>
    <w:rsid w:val="009378F0"/>
    <w:rsid w:val="00942298"/>
    <w:rsid w:val="009435D7"/>
    <w:rsid w:val="009435FB"/>
    <w:rsid w:val="00944284"/>
    <w:rsid w:val="009454C0"/>
    <w:rsid w:val="009475BE"/>
    <w:rsid w:val="00950C4C"/>
    <w:rsid w:val="00951E99"/>
    <w:rsid w:val="00953328"/>
    <w:rsid w:val="00953357"/>
    <w:rsid w:val="00955FCE"/>
    <w:rsid w:val="009623D1"/>
    <w:rsid w:val="00964077"/>
    <w:rsid w:val="009642D2"/>
    <w:rsid w:val="00964DE3"/>
    <w:rsid w:val="00964FC9"/>
    <w:rsid w:val="009651F1"/>
    <w:rsid w:val="009655D4"/>
    <w:rsid w:val="009660E4"/>
    <w:rsid w:val="0097398E"/>
    <w:rsid w:val="00973AA7"/>
    <w:rsid w:val="00975CAF"/>
    <w:rsid w:val="00982DF3"/>
    <w:rsid w:val="009929F8"/>
    <w:rsid w:val="0099351A"/>
    <w:rsid w:val="00993792"/>
    <w:rsid w:val="00993A31"/>
    <w:rsid w:val="00993F29"/>
    <w:rsid w:val="009A0254"/>
    <w:rsid w:val="009A0F9B"/>
    <w:rsid w:val="009A3B10"/>
    <w:rsid w:val="009A4135"/>
    <w:rsid w:val="009A58D3"/>
    <w:rsid w:val="009A6D6E"/>
    <w:rsid w:val="009A6E42"/>
    <w:rsid w:val="009A72D8"/>
    <w:rsid w:val="009A7F7C"/>
    <w:rsid w:val="009B2206"/>
    <w:rsid w:val="009B4D39"/>
    <w:rsid w:val="009B536C"/>
    <w:rsid w:val="009B67FA"/>
    <w:rsid w:val="009C0B0A"/>
    <w:rsid w:val="009C3581"/>
    <w:rsid w:val="009C3BAE"/>
    <w:rsid w:val="009C5C5A"/>
    <w:rsid w:val="009D0E93"/>
    <w:rsid w:val="009D1901"/>
    <w:rsid w:val="009D1C1E"/>
    <w:rsid w:val="009D2283"/>
    <w:rsid w:val="009D2695"/>
    <w:rsid w:val="009D4745"/>
    <w:rsid w:val="009D490F"/>
    <w:rsid w:val="009D63F9"/>
    <w:rsid w:val="009E1233"/>
    <w:rsid w:val="009E1445"/>
    <w:rsid w:val="009E3BEF"/>
    <w:rsid w:val="009E710C"/>
    <w:rsid w:val="009E742A"/>
    <w:rsid w:val="009F1D4E"/>
    <w:rsid w:val="009F2E44"/>
    <w:rsid w:val="009F494F"/>
    <w:rsid w:val="009F4B0D"/>
    <w:rsid w:val="009F612C"/>
    <w:rsid w:val="00A02728"/>
    <w:rsid w:val="00A03F52"/>
    <w:rsid w:val="00A045A2"/>
    <w:rsid w:val="00A07840"/>
    <w:rsid w:val="00A11356"/>
    <w:rsid w:val="00A131D5"/>
    <w:rsid w:val="00A1566A"/>
    <w:rsid w:val="00A17AEE"/>
    <w:rsid w:val="00A20128"/>
    <w:rsid w:val="00A2131F"/>
    <w:rsid w:val="00A227B9"/>
    <w:rsid w:val="00A22FB2"/>
    <w:rsid w:val="00A2310D"/>
    <w:rsid w:val="00A32713"/>
    <w:rsid w:val="00A330E1"/>
    <w:rsid w:val="00A3435F"/>
    <w:rsid w:val="00A3500E"/>
    <w:rsid w:val="00A4058D"/>
    <w:rsid w:val="00A406CC"/>
    <w:rsid w:val="00A40764"/>
    <w:rsid w:val="00A4206D"/>
    <w:rsid w:val="00A425CB"/>
    <w:rsid w:val="00A43B02"/>
    <w:rsid w:val="00A45874"/>
    <w:rsid w:val="00A5430E"/>
    <w:rsid w:val="00A5503B"/>
    <w:rsid w:val="00A55A65"/>
    <w:rsid w:val="00A56289"/>
    <w:rsid w:val="00A62276"/>
    <w:rsid w:val="00A64072"/>
    <w:rsid w:val="00A64DA5"/>
    <w:rsid w:val="00A664DD"/>
    <w:rsid w:val="00A672DC"/>
    <w:rsid w:val="00A67798"/>
    <w:rsid w:val="00A67EBD"/>
    <w:rsid w:val="00A71B6C"/>
    <w:rsid w:val="00A71B92"/>
    <w:rsid w:val="00A7211A"/>
    <w:rsid w:val="00A73FBA"/>
    <w:rsid w:val="00A76A7C"/>
    <w:rsid w:val="00A81992"/>
    <w:rsid w:val="00A84EFC"/>
    <w:rsid w:val="00A864FE"/>
    <w:rsid w:val="00A86F4B"/>
    <w:rsid w:val="00A9113B"/>
    <w:rsid w:val="00A925EF"/>
    <w:rsid w:val="00A96652"/>
    <w:rsid w:val="00AA12C1"/>
    <w:rsid w:val="00AA36F8"/>
    <w:rsid w:val="00AA41C4"/>
    <w:rsid w:val="00AA46D8"/>
    <w:rsid w:val="00AA681B"/>
    <w:rsid w:val="00AA7009"/>
    <w:rsid w:val="00AB0EEA"/>
    <w:rsid w:val="00AB1203"/>
    <w:rsid w:val="00AB2119"/>
    <w:rsid w:val="00AB365C"/>
    <w:rsid w:val="00AB3F82"/>
    <w:rsid w:val="00AB4CA2"/>
    <w:rsid w:val="00AB5059"/>
    <w:rsid w:val="00AC1A98"/>
    <w:rsid w:val="00AC2CDD"/>
    <w:rsid w:val="00AC48D1"/>
    <w:rsid w:val="00AC5E3F"/>
    <w:rsid w:val="00AC6869"/>
    <w:rsid w:val="00AC718D"/>
    <w:rsid w:val="00AD2A37"/>
    <w:rsid w:val="00AD3075"/>
    <w:rsid w:val="00AD4F4D"/>
    <w:rsid w:val="00AD6302"/>
    <w:rsid w:val="00AE1E70"/>
    <w:rsid w:val="00AE1F33"/>
    <w:rsid w:val="00AE1FE4"/>
    <w:rsid w:val="00AE48F4"/>
    <w:rsid w:val="00AE6D90"/>
    <w:rsid w:val="00AE6E70"/>
    <w:rsid w:val="00AE7A07"/>
    <w:rsid w:val="00AF1B39"/>
    <w:rsid w:val="00AF1DDE"/>
    <w:rsid w:val="00AF1DF0"/>
    <w:rsid w:val="00AF35DA"/>
    <w:rsid w:val="00AF39C6"/>
    <w:rsid w:val="00AF4766"/>
    <w:rsid w:val="00B0029E"/>
    <w:rsid w:val="00B03CDB"/>
    <w:rsid w:val="00B04C65"/>
    <w:rsid w:val="00B05D87"/>
    <w:rsid w:val="00B06029"/>
    <w:rsid w:val="00B07CE9"/>
    <w:rsid w:val="00B1179A"/>
    <w:rsid w:val="00B14484"/>
    <w:rsid w:val="00B149CE"/>
    <w:rsid w:val="00B16903"/>
    <w:rsid w:val="00B1695E"/>
    <w:rsid w:val="00B16A17"/>
    <w:rsid w:val="00B2091E"/>
    <w:rsid w:val="00B210FC"/>
    <w:rsid w:val="00B212A8"/>
    <w:rsid w:val="00B23A9B"/>
    <w:rsid w:val="00B23BFD"/>
    <w:rsid w:val="00B26A48"/>
    <w:rsid w:val="00B30FA4"/>
    <w:rsid w:val="00B319FD"/>
    <w:rsid w:val="00B32434"/>
    <w:rsid w:val="00B35677"/>
    <w:rsid w:val="00B36834"/>
    <w:rsid w:val="00B37228"/>
    <w:rsid w:val="00B4342A"/>
    <w:rsid w:val="00B4515A"/>
    <w:rsid w:val="00B46C2A"/>
    <w:rsid w:val="00B56A22"/>
    <w:rsid w:val="00B61FF3"/>
    <w:rsid w:val="00B65A8E"/>
    <w:rsid w:val="00B67516"/>
    <w:rsid w:val="00B70612"/>
    <w:rsid w:val="00B74CC4"/>
    <w:rsid w:val="00B77090"/>
    <w:rsid w:val="00B77750"/>
    <w:rsid w:val="00B77759"/>
    <w:rsid w:val="00B80A6F"/>
    <w:rsid w:val="00B83A16"/>
    <w:rsid w:val="00B852C2"/>
    <w:rsid w:val="00B91B8F"/>
    <w:rsid w:val="00B94BAD"/>
    <w:rsid w:val="00B97207"/>
    <w:rsid w:val="00BA0B3A"/>
    <w:rsid w:val="00BA1998"/>
    <w:rsid w:val="00BA1C79"/>
    <w:rsid w:val="00BA2582"/>
    <w:rsid w:val="00BA3D71"/>
    <w:rsid w:val="00BA79E3"/>
    <w:rsid w:val="00BB3065"/>
    <w:rsid w:val="00BB68CE"/>
    <w:rsid w:val="00BB6BC2"/>
    <w:rsid w:val="00BB7446"/>
    <w:rsid w:val="00BC4D00"/>
    <w:rsid w:val="00BC5313"/>
    <w:rsid w:val="00BC564B"/>
    <w:rsid w:val="00BC5EF2"/>
    <w:rsid w:val="00BC6F14"/>
    <w:rsid w:val="00BD15D3"/>
    <w:rsid w:val="00BD1FC2"/>
    <w:rsid w:val="00BD40B3"/>
    <w:rsid w:val="00BD597F"/>
    <w:rsid w:val="00BE2DD6"/>
    <w:rsid w:val="00BE3D32"/>
    <w:rsid w:val="00BE4221"/>
    <w:rsid w:val="00BE67AF"/>
    <w:rsid w:val="00BE6E2A"/>
    <w:rsid w:val="00C00380"/>
    <w:rsid w:val="00C077D8"/>
    <w:rsid w:val="00C10573"/>
    <w:rsid w:val="00C14B76"/>
    <w:rsid w:val="00C14F51"/>
    <w:rsid w:val="00C17904"/>
    <w:rsid w:val="00C24288"/>
    <w:rsid w:val="00C27F23"/>
    <w:rsid w:val="00C310C2"/>
    <w:rsid w:val="00C3318B"/>
    <w:rsid w:val="00C33D8F"/>
    <w:rsid w:val="00C35D5F"/>
    <w:rsid w:val="00C369C9"/>
    <w:rsid w:val="00C40959"/>
    <w:rsid w:val="00C42029"/>
    <w:rsid w:val="00C4210B"/>
    <w:rsid w:val="00C42BE1"/>
    <w:rsid w:val="00C42D00"/>
    <w:rsid w:val="00C438A9"/>
    <w:rsid w:val="00C45041"/>
    <w:rsid w:val="00C46617"/>
    <w:rsid w:val="00C46E7F"/>
    <w:rsid w:val="00C472C6"/>
    <w:rsid w:val="00C543E4"/>
    <w:rsid w:val="00C54F26"/>
    <w:rsid w:val="00C569D9"/>
    <w:rsid w:val="00C57A3E"/>
    <w:rsid w:val="00C57E54"/>
    <w:rsid w:val="00C60478"/>
    <w:rsid w:val="00C60DB8"/>
    <w:rsid w:val="00C61B70"/>
    <w:rsid w:val="00C63B66"/>
    <w:rsid w:val="00C657B1"/>
    <w:rsid w:val="00C71260"/>
    <w:rsid w:val="00C76A60"/>
    <w:rsid w:val="00C76E49"/>
    <w:rsid w:val="00C76F88"/>
    <w:rsid w:val="00C77BFD"/>
    <w:rsid w:val="00C82F50"/>
    <w:rsid w:val="00C83C67"/>
    <w:rsid w:val="00C84310"/>
    <w:rsid w:val="00C8714A"/>
    <w:rsid w:val="00C9403C"/>
    <w:rsid w:val="00C94FFC"/>
    <w:rsid w:val="00CA052A"/>
    <w:rsid w:val="00CA0A97"/>
    <w:rsid w:val="00CA0EA5"/>
    <w:rsid w:val="00CA408A"/>
    <w:rsid w:val="00CA4DAB"/>
    <w:rsid w:val="00CA61E7"/>
    <w:rsid w:val="00CA74A3"/>
    <w:rsid w:val="00CB0D6A"/>
    <w:rsid w:val="00CB0E34"/>
    <w:rsid w:val="00CB49BD"/>
    <w:rsid w:val="00CB7BD8"/>
    <w:rsid w:val="00CC18C7"/>
    <w:rsid w:val="00CC327D"/>
    <w:rsid w:val="00CC438D"/>
    <w:rsid w:val="00CC4649"/>
    <w:rsid w:val="00CD1747"/>
    <w:rsid w:val="00CD34C7"/>
    <w:rsid w:val="00CD6F5E"/>
    <w:rsid w:val="00CE0CBB"/>
    <w:rsid w:val="00CE1139"/>
    <w:rsid w:val="00CE2C8C"/>
    <w:rsid w:val="00CE7A8B"/>
    <w:rsid w:val="00CF0317"/>
    <w:rsid w:val="00CF32ED"/>
    <w:rsid w:val="00CF3846"/>
    <w:rsid w:val="00CF3882"/>
    <w:rsid w:val="00CF5564"/>
    <w:rsid w:val="00CF5BD6"/>
    <w:rsid w:val="00CF6225"/>
    <w:rsid w:val="00D03F56"/>
    <w:rsid w:val="00D0519E"/>
    <w:rsid w:val="00D076ED"/>
    <w:rsid w:val="00D1342A"/>
    <w:rsid w:val="00D13EA5"/>
    <w:rsid w:val="00D16F4A"/>
    <w:rsid w:val="00D224A8"/>
    <w:rsid w:val="00D224ED"/>
    <w:rsid w:val="00D24E56"/>
    <w:rsid w:val="00D24F85"/>
    <w:rsid w:val="00D32925"/>
    <w:rsid w:val="00D351E5"/>
    <w:rsid w:val="00D431AD"/>
    <w:rsid w:val="00D432D2"/>
    <w:rsid w:val="00D43C3D"/>
    <w:rsid w:val="00D533F2"/>
    <w:rsid w:val="00D5380B"/>
    <w:rsid w:val="00D53A0B"/>
    <w:rsid w:val="00D57BA4"/>
    <w:rsid w:val="00D651B3"/>
    <w:rsid w:val="00D66000"/>
    <w:rsid w:val="00D66F55"/>
    <w:rsid w:val="00D72065"/>
    <w:rsid w:val="00D76F1A"/>
    <w:rsid w:val="00D8221E"/>
    <w:rsid w:val="00D85304"/>
    <w:rsid w:val="00D8545F"/>
    <w:rsid w:val="00D90433"/>
    <w:rsid w:val="00D93E35"/>
    <w:rsid w:val="00D94540"/>
    <w:rsid w:val="00D94CC2"/>
    <w:rsid w:val="00D96BAA"/>
    <w:rsid w:val="00D96C7B"/>
    <w:rsid w:val="00DA2640"/>
    <w:rsid w:val="00DA3080"/>
    <w:rsid w:val="00DA3356"/>
    <w:rsid w:val="00DA3C80"/>
    <w:rsid w:val="00DA5DC5"/>
    <w:rsid w:val="00DB0914"/>
    <w:rsid w:val="00DB20A4"/>
    <w:rsid w:val="00DB3DD5"/>
    <w:rsid w:val="00DB4D3F"/>
    <w:rsid w:val="00DC0836"/>
    <w:rsid w:val="00DC098C"/>
    <w:rsid w:val="00DC4EE2"/>
    <w:rsid w:val="00DC51E4"/>
    <w:rsid w:val="00DC77AC"/>
    <w:rsid w:val="00DD3B61"/>
    <w:rsid w:val="00DE1281"/>
    <w:rsid w:val="00DE261F"/>
    <w:rsid w:val="00DE2F69"/>
    <w:rsid w:val="00DE39F1"/>
    <w:rsid w:val="00DE79C9"/>
    <w:rsid w:val="00DF30EA"/>
    <w:rsid w:val="00DF517B"/>
    <w:rsid w:val="00DF5F11"/>
    <w:rsid w:val="00E0302F"/>
    <w:rsid w:val="00E03087"/>
    <w:rsid w:val="00E03FDD"/>
    <w:rsid w:val="00E04341"/>
    <w:rsid w:val="00E045A1"/>
    <w:rsid w:val="00E07287"/>
    <w:rsid w:val="00E07AF6"/>
    <w:rsid w:val="00E10B18"/>
    <w:rsid w:val="00E11289"/>
    <w:rsid w:val="00E114BF"/>
    <w:rsid w:val="00E12F50"/>
    <w:rsid w:val="00E13941"/>
    <w:rsid w:val="00E147D7"/>
    <w:rsid w:val="00E155C0"/>
    <w:rsid w:val="00E17F0F"/>
    <w:rsid w:val="00E21B56"/>
    <w:rsid w:val="00E21F94"/>
    <w:rsid w:val="00E246D6"/>
    <w:rsid w:val="00E33E61"/>
    <w:rsid w:val="00E34CD8"/>
    <w:rsid w:val="00E41BF5"/>
    <w:rsid w:val="00E4233D"/>
    <w:rsid w:val="00E448C2"/>
    <w:rsid w:val="00E44936"/>
    <w:rsid w:val="00E470FE"/>
    <w:rsid w:val="00E51E2E"/>
    <w:rsid w:val="00E55020"/>
    <w:rsid w:val="00E55613"/>
    <w:rsid w:val="00E61033"/>
    <w:rsid w:val="00E6152A"/>
    <w:rsid w:val="00E61ACE"/>
    <w:rsid w:val="00E6282F"/>
    <w:rsid w:val="00E63E34"/>
    <w:rsid w:val="00E66F2A"/>
    <w:rsid w:val="00E67A89"/>
    <w:rsid w:val="00E72287"/>
    <w:rsid w:val="00E7315D"/>
    <w:rsid w:val="00E745D3"/>
    <w:rsid w:val="00E76924"/>
    <w:rsid w:val="00E76C6C"/>
    <w:rsid w:val="00E84057"/>
    <w:rsid w:val="00E84277"/>
    <w:rsid w:val="00E84845"/>
    <w:rsid w:val="00E84E18"/>
    <w:rsid w:val="00E9205C"/>
    <w:rsid w:val="00E92D4A"/>
    <w:rsid w:val="00E978BB"/>
    <w:rsid w:val="00EA5A11"/>
    <w:rsid w:val="00EA77E7"/>
    <w:rsid w:val="00EB124E"/>
    <w:rsid w:val="00EB20B3"/>
    <w:rsid w:val="00EB59C4"/>
    <w:rsid w:val="00EB7072"/>
    <w:rsid w:val="00EB7FFB"/>
    <w:rsid w:val="00EC271D"/>
    <w:rsid w:val="00EC4481"/>
    <w:rsid w:val="00EC4572"/>
    <w:rsid w:val="00EC4653"/>
    <w:rsid w:val="00EC4A89"/>
    <w:rsid w:val="00EC7B2A"/>
    <w:rsid w:val="00EC7E41"/>
    <w:rsid w:val="00ED0299"/>
    <w:rsid w:val="00ED1BB4"/>
    <w:rsid w:val="00ED228F"/>
    <w:rsid w:val="00ED567C"/>
    <w:rsid w:val="00ED6B62"/>
    <w:rsid w:val="00ED747B"/>
    <w:rsid w:val="00EE2DD5"/>
    <w:rsid w:val="00EE41CD"/>
    <w:rsid w:val="00EE6D3A"/>
    <w:rsid w:val="00EF5464"/>
    <w:rsid w:val="00EF5D85"/>
    <w:rsid w:val="00EF64A3"/>
    <w:rsid w:val="00EF70E4"/>
    <w:rsid w:val="00F003C2"/>
    <w:rsid w:val="00F00C6A"/>
    <w:rsid w:val="00F01D1E"/>
    <w:rsid w:val="00F02961"/>
    <w:rsid w:val="00F02A02"/>
    <w:rsid w:val="00F0617D"/>
    <w:rsid w:val="00F064F2"/>
    <w:rsid w:val="00F0654E"/>
    <w:rsid w:val="00F07654"/>
    <w:rsid w:val="00F0779C"/>
    <w:rsid w:val="00F10509"/>
    <w:rsid w:val="00F12FD2"/>
    <w:rsid w:val="00F13591"/>
    <w:rsid w:val="00F135FA"/>
    <w:rsid w:val="00F14A12"/>
    <w:rsid w:val="00F1514B"/>
    <w:rsid w:val="00F15D69"/>
    <w:rsid w:val="00F1615D"/>
    <w:rsid w:val="00F221D4"/>
    <w:rsid w:val="00F26795"/>
    <w:rsid w:val="00F27B49"/>
    <w:rsid w:val="00F32155"/>
    <w:rsid w:val="00F354A7"/>
    <w:rsid w:val="00F35759"/>
    <w:rsid w:val="00F364F1"/>
    <w:rsid w:val="00F41FDD"/>
    <w:rsid w:val="00F4383C"/>
    <w:rsid w:val="00F46819"/>
    <w:rsid w:val="00F50599"/>
    <w:rsid w:val="00F5099F"/>
    <w:rsid w:val="00F5180E"/>
    <w:rsid w:val="00F54A4B"/>
    <w:rsid w:val="00F62100"/>
    <w:rsid w:val="00F63DFF"/>
    <w:rsid w:val="00F651F0"/>
    <w:rsid w:val="00F6525F"/>
    <w:rsid w:val="00F655CC"/>
    <w:rsid w:val="00F71726"/>
    <w:rsid w:val="00F7197C"/>
    <w:rsid w:val="00F73041"/>
    <w:rsid w:val="00F8121A"/>
    <w:rsid w:val="00F83B77"/>
    <w:rsid w:val="00F84E00"/>
    <w:rsid w:val="00F91938"/>
    <w:rsid w:val="00F9286C"/>
    <w:rsid w:val="00F92A11"/>
    <w:rsid w:val="00F968B3"/>
    <w:rsid w:val="00F97AE9"/>
    <w:rsid w:val="00FA2E35"/>
    <w:rsid w:val="00FA45AA"/>
    <w:rsid w:val="00FA59A9"/>
    <w:rsid w:val="00FA6AC9"/>
    <w:rsid w:val="00FA71DF"/>
    <w:rsid w:val="00FB138E"/>
    <w:rsid w:val="00FB1F54"/>
    <w:rsid w:val="00FB38DF"/>
    <w:rsid w:val="00FB4276"/>
    <w:rsid w:val="00FB46B9"/>
    <w:rsid w:val="00FB4889"/>
    <w:rsid w:val="00FB5E62"/>
    <w:rsid w:val="00FB717F"/>
    <w:rsid w:val="00FC146B"/>
    <w:rsid w:val="00FC3C2C"/>
    <w:rsid w:val="00FC7604"/>
    <w:rsid w:val="00FD01B3"/>
    <w:rsid w:val="00FD0F4A"/>
    <w:rsid w:val="00FD1C14"/>
    <w:rsid w:val="00FE282B"/>
    <w:rsid w:val="00FE3FBF"/>
    <w:rsid w:val="00FE433F"/>
    <w:rsid w:val="00FE44E8"/>
    <w:rsid w:val="00FE5E0B"/>
    <w:rsid w:val="00FE6F02"/>
    <w:rsid w:val="00FF169C"/>
    <w:rsid w:val="00FF25EC"/>
    <w:rsid w:val="00FF26FC"/>
    <w:rsid w:val="00FF30BA"/>
    <w:rsid w:val="00FF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30"/>
  <w15:docId w15:val="{2BA0E454-C7CC-412D-8172-39A31FD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A425CB"/>
    <w:pPr>
      <w:keepNext/>
      <w:keepLines/>
      <w:spacing w:before="120" w:after="120"/>
      <w:jc w:val="both"/>
      <w:outlineLvl w:val="0"/>
    </w:pPr>
    <w:rPr>
      <w:rFonts w:ascii="Arial" w:eastAsiaTheme="majorEastAsia" w:hAnsi="Arial" w:cstheme="majorBidi"/>
      <w:b/>
      <w:color w:val="000000" w:themeColor="text1"/>
      <w:szCs w:val="24"/>
      <w:lang w:val="en-GB"/>
    </w:rPr>
  </w:style>
  <w:style w:type="paragraph" w:styleId="Heading2">
    <w:name w:val="heading 2"/>
    <w:basedOn w:val="Normal"/>
    <w:next w:val="Normal"/>
    <w:link w:val="Heading2Char"/>
    <w:uiPriority w:val="9"/>
    <w:qFormat/>
    <w:rsid w:val="00D66F55"/>
    <w:pPr>
      <w:keepNext/>
      <w:keepLines/>
      <w:spacing w:after="0" w:line="240" w:lineRule="auto"/>
      <w:outlineLvl w:val="1"/>
    </w:pPr>
    <w:rPr>
      <w:rFonts w:ascii="Garamond" w:eastAsiaTheme="majorEastAsia" w:hAnsi="Garamond" w:cstheme="majorBidi"/>
      <w:b/>
      <w:bCs/>
      <w:sz w:val="26"/>
      <w:szCs w:val="26"/>
    </w:rPr>
  </w:style>
  <w:style w:type="paragraph" w:styleId="Heading4">
    <w:name w:val="heading 4"/>
    <w:basedOn w:val="Normal"/>
    <w:next w:val="Normal"/>
    <w:link w:val="Heading4Char"/>
    <w:uiPriority w:val="9"/>
    <w:unhideWhenUsed/>
    <w:qFormat/>
    <w:rsid w:val="0088585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425CB"/>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lang w:val="en-GB"/>
    </w:rPr>
  </w:style>
  <w:style w:type="paragraph" w:styleId="Heading6">
    <w:name w:val="heading 6"/>
    <w:basedOn w:val="Normal"/>
    <w:next w:val="Normal"/>
    <w:link w:val="Heading6Char"/>
    <w:uiPriority w:val="9"/>
    <w:semiHidden/>
    <w:unhideWhenUsed/>
    <w:qFormat/>
    <w:rsid w:val="00A425CB"/>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lang w:val="en-GB"/>
    </w:rPr>
  </w:style>
  <w:style w:type="paragraph" w:styleId="Heading7">
    <w:name w:val="heading 7"/>
    <w:basedOn w:val="Normal"/>
    <w:next w:val="Normal"/>
    <w:link w:val="Heading7Char"/>
    <w:uiPriority w:val="9"/>
    <w:semiHidden/>
    <w:unhideWhenUsed/>
    <w:qFormat/>
    <w:rsid w:val="00A425CB"/>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lang w:val="en-GB"/>
    </w:rPr>
  </w:style>
  <w:style w:type="paragraph" w:styleId="Heading8">
    <w:name w:val="heading 8"/>
    <w:basedOn w:val="Normal"/>
    <w:next w:val="Normal"/>
    <w:link w:val="Heading8Char"/>
    <w:uiPriority w:val="9"/>
    <w:semiHidden/>
    <w:unhideWhenUsed/>
    <w:qFormat/>
    <w:rsid w:val="00A425CB"/>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425CB"/>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Char Char Char Char Car Car,Footnote text,Footnote + Arial,10 pt,Black,(NECG) Footnote Reference,footnote ref,Style 6,BVI fnr"/>
    <w:uiPriority w:val="99"/>
    <w:qFormat/>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qFormat/>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ColorfulList-Accent1Char">
    <w:name w:val="Colorful List - Accent 1 Char"/>
    <w:aliases w:val="List Paragraph1 Char,Dot pt Char,Bullet Points Char,No Spacing1 Char,List Paragraph Char Char Char Char,Indicator Text Char,Numbered Para 1 Char,Bullet 1 Char,MAIN CONTENT Char,List Paragraph12 Char,OBC Bullet Char,L Char"/>
    <w:link w:val="ColorfulList-Accent1"/>
    <w:uiPriority w:val="34"/>
    <w:qFormat/>
    <w:rsid w:val="00223A38"/>
    <w:rPr>
      <w:sz w:val="22"/>
      <w:szCs w:val="22"/>
      <w:lang w:eastAsia="en-US"/>
    </w:rPr>
  </w:style>
  <w:style w:type="table" w:styleId="ColorfulList-Accent1">
    <w:name w:val="Colorful List Accent 1"/>
    <w:basedOn w:val="TableNormal"/>
    <w:link w:val="ColorfulList-Accent1Char"/>
    <w:uiPriority w:val="34"/>
    <w:semiHidden/>
    <w:unhideWhenUsed/>
    <w:rsid w:val="00223A38"/>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ghtGrid-Accent31">
    <w:name w:val="Light Grid - Accent 31"/>
    <w:aliases w:val="Bullit,Bullets"/>
    <w:basedOn w:val="Normal"/>
    <w:uiPriority w:val="34"/>
    <w:qFormat/>
    <w:rsid w:val="00633F57"/>
    <w:pPr>
      <w:ind w:left="720"/>
      <w:contextualSpacing/>
    </w:pPr>
    <w:rPr>
      <w:rFonts w:ascii="Calibri" w:eastAsia="Times New Roman" w:hAnsi="Calibri" w:cs="Times New Roman"/>
    </w:rPr>
  </w:style>
  <w:style w:type="paragraph" w:customStyle="1" w:styleId="Numberlist">
    <w:name w:val="Number list"/>
    <w:basedOn w:val="ListParagraph"/>
    <w:link w:val="NumberlistChar"/>
    <w:qFormat/>
    <w:rsid w:val="002037C7"/>
    <w:pPr>
      <w:numPr>
        <w:numId w:val="2"/>
      </w:numPr>
      <w:spacing w:after="120" w:line="240" w:lineRule="auto"/>
      <w:contextualSpacing w:val="0"/>
      <w:jc w:val="both"/>
    </w:pPr>
    <w:rPr>
      <w:rFonts w:eastAsiaTheme="minorEastAsia"/>
      <w:szCs w:val="20"/>
      <w:lang w:val="en-GB"/>
    </w:rPr>
  </w:style>
  <w:style w:type="character" w:customStyle="1" w:styleId="NumberlistChar">
    <w:name w:val="Number list Char"/>
    <w:basedOn w:val="DefaultParagraphFont"/>
    <w:link w:val="Numberlist"/>
    <w:rsid w:val="002037C7"/>
    <w:rPr>
      <w:sz w:val="22"/>
      <w:szCs w:val="20"/>
      <w:lang w:val="en-GB"/>
    </w:rPr>
  </w:style>
  <w:style w:type="paragraph" w:styleId="ListParagraph">
    <w:name w:val="List Paragraph"/>
    <w:aliases w:val="C4 List Level One,List Paragraph1,Evidence on Demand bullet points,List Paragraph (numbered (a)),List Paragraph 1,Numbered List Paragraph,Indent Paragraph,Citation List,Table/Figure Heading,En tête 1,Numbered Paragraph,L,Dot pt"/>
    <w:basedOn w:val="Normal"/>
    <w:uiPriority w:val="34"/>
    <w:qFormat/>
    <w:rsid w:val="002037C7"/>
    <w:pPr>
      <w:ind w:left="720"/>
      <w:contextualSpacing/>
    </w:pPr>
  </w:style>
  <w:style w:type="character" w:styleId="CommentReference">
    <w:name w:val="annotation reference"/>
    <w:basedOn w:val="DefaultParagraphFont"/>
    <w:uiPriority w:val="99"/>
    <w:semiHidden/>
    <w:unhideWhenUsed/>
    <w:rsid w:val="005D6530"/>
    <w:rPr>
      <w:sz w:val="16"/>
      <w:szCs w:val="16"/>
    </w:rPr>
  </w:style>
  <w:style w:type="paragraph" w:styleId="CommentText">
    <w:name w:val="annotation text"/>
    <w:basedOn w:val="Normal"/>
    <w:link w:val="CommentTextChar"/>
    <w:uiPriority w:val="99"/>
    <w:unhideWhenUsed/>
    <w:rsid w:val="005D6530"/>
    <w:pPr>
      <w:spacing w:line="240" w:lineRule="auto"/>
    </w:pPr>
    <w:rPr>
      <w:sz w:val="20"/>
      <w:szCs w:val="20"/>
    </w:rPr>
  </w:style>
  <w:style w:type="character" w:customStyle="1" w:styleId="CommentTextChar">
    <w:name w:val="Comment Text Char"/>
    <w:basedOn w:val="DefaultParagraphFont"/>
    <w:link w:val="CommentText"/>
    <w:uiPriority w:val="99"/>
    <w:rsid w:val="005D65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6530"/>
    <w:rPr>
      <w:b/>
      <w:bCs/>
    </w:rPr>
  </w:style>
  <w:style w:type="character" w:customStyle="1" w:styleId="CommentSubjectChar">
    <w:name w:val="Comment Subject Char"/>
    <w:basedOn w:val="CommentTextChar"/>
    <w:link w:val="CommentSubject"/>
    <w:uiPriority w:val="99"/>
    <w:semiHidden/>
    <w:rsid w:val="005D6530"/>
    <w:rPr>
      <w:rFonts w:eastAsiaTheme="minorHAnsi"/>
      <w:b/>
      <w:bCs/>
      <w:sz w:val="20"/>
      <w:szCs w:val="20"/>
    </w:rPr>
  </w:style>
  <w:style w:type="paragraph" w:styleId="BalloonText">
    <w:name w:val="Balloon Text"/>
    <w:basedOn w:val="Normal"/>
    <w:link w:val="BalloonTextChar"/>
    <w:uiPriority w:val="99"/>
    <w:semiHidden/>
    <w:unhideWhenUsed/>
    <w:rsid w:val="005D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30"/>
    <w:rPr>
      <w:rFonts w:ascii="Segoe UI" w:eastAsiaTheme="minorHAnsi" w:hAnsi="Segoe UI" w:cs="Segoe UI"/>
      <w:sz w:val="18"/>
      <w:szCs w:val="18"/>
    </w:rPr>
  </w:style>
  <w:style w:type="paragraph" w:styleId="Revision">
    <w:name w:val="Revision"/>
    <w:hidden/>
    <w:uiPriority w:val="99"/>
    <w:semiHidden/>
    <w:rsid w:val="00541CAB"/>
    <w:rPr>
      <w:rFonts w:eastAsiaTheme="minorHAnsi"/>
      <w:sz w:val="22"/>
      <w:szCs w:val="22"/>
    </w:rPr>
  </w:style>
  <w:style w:type="paragraph" w:customStyle="1" w:styleId="Default">
    <w:name w:val="Default"/>
    <w:rsid w:val="00A1566A"/>
    <w:pPr>
      <w:autoSpaceDE w:val="0"/>
      <w:autoSpaceDN w:val="0"/>
      <w:adjustRightInd w:val="0"/>
    </w:pPr>
    <w:rPr>
      <w:rFonts w:ascii="Book Antiqua" w:hAnsi="Book Antiqua" w:cs="Book Antiqua"/>
      <w:color w:val="000000"/>
    </w:rPr>
  </w:style>
  <w:style w:type="paragraph" w:customStyle="1" w:styleId="EONumberedparagraph">
    <w:name w:val="EO Numbered paragraph"/>
    <w:basedOn w:val="BodyText"/>
    <w:link w:val="EONumberedparagraphChar"/>
    <w:autoRedefine/>
    <w:qFormat/>
    <w:rsid w:val="008D6F93"/>
    <w:pPr>
      <w:spacing w:after="320" w:line="240" w:lineRule="auto"/>
      <w:jc w:val="both"/>
    </w:pPr>
    <w:rPr>
      <w:rFonts w:ascii="Calibri" w:eastAsia="Tw Cen MT" w:hAnsi="Calibri" w:cs="Calibri"/>
      <w:bCs/>
      <w:iCs/>
      <w:noProof/>
      <w:color w:val="000000"/>
      <w:sz w:val="20"/>
      <w:szCs w:val="20"/>
      <w:shd w:val="clear" w:color="auto" w:fill="FFFFFF"/>
      <w:lang w:val="en-CA" w:eastAsia="en-GB" w:bidi="km-KH"/>
    </w:rPr>
  </w:style>
  <w:style w:type="character" w:customStyle="1" w:styleId="EONumberedparagraphChar">
    <w:name w:val="EO Numbered paragraph Char"/>
    <w:link w:val="EONumberedparagraph"/>
    <w:rsid w:val="008D6F93"/>
    <w:rPr>
      <w:rFonts w:ascii="Calibri" w:eastAsia="Tw Cen MT" w:hAnsi="Calibri" w:cs="Calibri"/>
      <w:bCs/>
      <w:iCs/>
      <w:noProof/>
      <w:color w:val="000000"/>
      <w:sz w:val="20"/>
      <w:szCs w:val="20"/>
      <w:lang w:val="en-CA" w:eastAsia="en-GB" w:bidi="km-KH"/>
    </w:rPr>
  </w:style>
  <w:style w:type="paragraph" w:styleId="BodyText">
    <w:name w:val="Body Text"/>
    <w:basedOn w:val="Normal"/>
    <w:link w:val="BodyTextChar"/>
    <w:uiPriority w:val="99"/>
    <w:semiHidden/>
    <w:unhideWhenUsed/>
    <w:rsid w:val="008D6F93"/>
    <w:pPr>
      <w:spacing w:after="120"/>
    </w:pPr>
  </w:style>
  <w:style w:type="character" w:customStyle="1" w:styleId="BodyTextChar">
    <w:name w:val="Body Text Char"/>
    <w:basedOn w:val="DefaultParagraphFont"/>
    <w:link w:val="BodyText"/>
    <w:uiPriority w:val="99"/>
    <w:semiHidden/>
    <w:rsid w:val="008D6F93"/>
    <w:rPr>
      <w:rFonts w:eastAsiaTheme="minorHAnsi"/>
      <w:sz w:val="22"/>
      <w:szCs w:val="22"/>
    </w:rPr>
  </w:style>
  <w:style w:type="character" w:customStyle="1" w:styleId="UnresolvedMention1">
    <w:name w:val="Unresolved Mention1"/>
    <w:basedOn w:val="DefaultParagraphFont"/>
    <w:uiPriority w:val="99"/>
    <w:unhideWhenUsed/>
    <w:rsid w:val="00DA2640"/>
    <w:rPr>
      <w:color w:val="605E5C"/>
      <w:shd w:val="clear" w:color="auto" w:fill="E1DFDD"/>
    </w:rPr>
  </w:style>
  <w:style w:type="paragraph" w:styleId="Header">
    <w:name w:val="header"/>
    <w:basedOn w:val="Normal"/>
    <w:link w:val="HeaderChar"/>
    <w:uiPriority w:val="99"/>
    <w:unhideWhenUsed/>
    <w:rsid w:val="00F9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11"/>
    <w:rPr>
      <w:rFonts w:eastAsiaTheme="minorHAnsi"/>
      <w:sz w:val="22"/>
      <w:szCs w:val="22"/>
    </w:rPr>
  </w:style>
  <w:style w:type="paragraph" w:styleId="Footer">
    <w:name w:val="footer"/>
    <w:basedOn w:val="Normal"/>
    <w:link w:val="FooterChar"/>
    <w:uiPriority w:val="99"/>
    <w:unhideWhenUsed/>
    <w:rsid w:val="00F9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11"/>
    <w:rPr>
      <w:rFonts w:eastAsiaTheme="minorHAnsi"/>
      <w:sz w:val="22"/>
      <w:szCs w:val="22"/>
    </w:rPr>
  </w:style>
  <w:style w:type="character" w:customStyle="1" w:styleId="Mention1">
    <w:name w:val="Mention1"/>
    <w:basedOn w:val="DefaultParagraphFont"/>
    <w:uiPriority w:val="99"/>
    <w:unhideWhenUsed/>
    <w:rsid w:val="00F92A11"/>
    <w:rPr>
      <w:color w:val="2B579A"/>
      <w:shd w:val="clear" w:color="auto" w:fill="E1DFDD"/>
    </w:rPr>
  </w:style>
  <w:style w:type="paragraph" w:customStyle="1" w:styleId="C41stOrderBullets">
    <w:name w:val="C4 1st Order Bullets"/>
    <w:basedOn w:val="Normal"/>
    <w:link w:val="C41stOrderBulletsChar"/>
    <w:qFormat/>
    <w:rsid w:val="00527879"/>
    <w:pPr>
      <w:numPr>
        <w:numId w:val="17"/>
      </w:numPr>
      <w:spacing w:after="0" w:line="240" w:lineRule="auto"/>
      <w:jc w:val="both"/>
    </w:pPr>
    <w:rPr>
      <w:rFonts w:ascii="Arial" w:eastAsiaTheme="minorEastAsia" w:hAnsi="Arial" w:cs="Arial"/>
      <w:szCs w:val="20"/>
      <w:lang w:val="en-GB"/>
    </w:rPr>
  </w:style>
  <w:style w:type="paragraph" w:customStyle="1" w:styleId="C42ndorderbullets">
    <w:name w:val="C4 2nd order bullets"/>
    <w:basedOn w:val="C41stOrderBullets"/>
    <w:qFormat/>
    <w:rsid w:val="00527879"/>
    <w:pPr>
      <w:numPr>
        <w:ilvl w:val="1"/>
      </w:numPr>
      <w:ind w:left="757"/>
    </w:pPr>
  </w:style>
  <w:style w:type="character" w:customStyle="1" w:styleId="Heading4Char">
    <w:name w:val="Heading 4 Char"/>
    <w:basedOn w:val="DefaultParagraphFont"/>
    <w:link w:val="Heading4"/>
    <w:uiPriority w:val="9"/>
    <w:rsid w:val="00885852"/>
    <w:rPr>
      <w:rFonts w:asciiTheme="majorHAnsi" w:eastAsiaTheme="majorEastAsia" w:hAnsiTheme="majorHAnsi" w:cstheme="majorBidi"/>
      <w:i/>
      <w:iCs/>
      <w:color w:val="365F91" w:themeColor="accent1" w:themeShade="BF"/>
      <w:sz w:val="22"/>
      <w:szCs w:val="22"/>
    </w:rPr>
  </w:style>
  <w:style w:type="paragraph" w:customStyle="1" w:styleId="C4NumberedList">
    <w:name w:val="C4 Numbered List"/>
    <w:basedOn w:val="Normal"/>
    <w:qFormat/>
    <w:rsid w:val="002E2AFC"/>
    <w:pPr>
      <w:numPr>
        <w:numId w:val="23"/>
      </w:numPr>
      <w:spacing w:after="0" w:line="240" w:lineRule="auto"/>
      <w:ind w:left="397" w:hanging="397"/>
      <w:jc w:val="both"/>
    </w:pPr>
    <w:rPr>
      <w:rFonts w:ascii="Arial" w:eastAsiaTheme="minorEastAsia" w:hAnsi="Arial" w:cs="Arial"/>
      <w:szCs w:val="20"/>
      <w:lang w:val="en-GB"/>
    </w:rPr>
  </w:style>
  <w:style w:type="character" w:customStyle="1" w:styleId="Heading1Char">
    <w:name w:val="Heading 1 Char"/>
    <w:basedOn w:val="DefaultParagraphFont"/>
    <w:link w:val="Heading1"/>
    <w:uiPriority w:val="9"/>
    <w:rsid w:val="00A425CB"/>
    <w:rPr>
      <w:rFonts w:ascii="Arial" w:eastAsiaTheme="majorEastAsia" w:hAnsi="Arial" w:cstheme="majorBidi"/>
      <w:b/>
      <w:color w:val="000000" w:themeColor="text1"/>
      <w:sz w:val="22"/>
      <w:lang w:val="en-GB"/>
    </w:rPr>
  </w:style>
  <w:style w:type="character" w:customStyle="1" w:styleId="Heading5Char">
    <w:name w:val="Heading 5 Char"/>
    <w:basedOn w:val="DefaultParagraphFont"/>
    <w:link w:val="Heading5"/>
    <w:uiPriority w:val="9"/>
    <w:semiHidden/>
    <w:rsid w:val="00A425CB"/>
    <w:rPr>
      <w:rFonts w:asciiTheme="majorHAnsi" w:eastAsiaTheme="majorEastAsia" w:hAnsiTheme="majorHAnsi" w:cstheme="majorBidi"/>
      <w:color w:val="365F91" w:themeColor="accent1" w:themeShade="BF"/>
      <w:sz w:val="22"/>
      <w:szCs w:val="22"/>
      <w:lang w:val="en-GB"/>
    </w:rPr>
  </w:style>
  <w:style w:type="character" w:customStyle="1" w:styleId="Heading6Char">
    <w:name w:val="Heading 6 Char"/>
    <w:basedOn w:val="DefaultParagraphFont"/>
    <w:link w:val="Heading6"/>
    <w:uiPriority w:val="9"/>
    <w:semiHidden/>
    <w:rsid w:val="00A425CB"/>
    <w:rPr>
      <w:rFonts w:asciiTheme="majorHAnsi" w:eastAsiaTheme="majorEastAsia" w:hAnsiTheme="majorHAnsi" w:cstheme="majorBidi"/>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425CB"/>
    <w:rPr>
      <w:rFonts w:asciiTheme="majorHAnsi" w:eastAsiaTheme="majorEastAsia" w:hAnsiTheme="majorHAnsi" w:cstheme="majorBidi"/>
      <w:i/>
      <w:iCs/>
      <w:color w:val="243F60" w:themeColor="accent1" w:themeShade="7F"/>
      <w:sz w:val="22"/>
      <w:szCs w:val="22"/>
      <w:lang w:val="en-GB"/>
    </w:rPr>
  </w:style>
  <w:style w:type="character" w:customStyle="1" w:styleId="Heading8Char">
    <w:name w:val="Heading 8 Char"/>
    <w:basedOn w:val="DefaultParagraphFont"/>
    <w:link w:val="Heading8"/>
    <w:uiPriority w:val="9"/>
    <w:semiHidden/>
    <w:rsid w:val="00A425C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425CB"/>
    <w:rPr>
      <w:rFonts w:asciiTheme="majorHAnsi" w:eastAsiaTheme="majorEastAsia" w:hAnsiTheme="majorHAnsi" w:cstheme="majorBidi"/>
      <w:i/>
      <w:iCs/>
      <w:color w:val="272727" w:themeColor="text1" w:themeTint="D8"/>
      <w:sz w:val="21"/>
      <w:szCs w:val="21"/>
      <w:lang w:val="en-GB"/>
    </w:rPr>
  </w:style>
  <w:style w:type="character" w:customStyle="1" w:styleId="C41stOrderBulletsChar">
    <w:name w:val="C4 1st Order Bullets Char"/>
    <w:basedOn w:val="DefaultParagraphFont"/>
    <w:link w:val="C41stOrderBullets"/>
    <w:rsid w:val="00A425CB"/>
    <w:rPr>
      <w:rFonts w:ascii="Arial" w:hAnsi="Arial" w:cs="Arial"/>
      <w:sz w:val="22"/>
      <w:szCs w:val="20"/>
      <w:lang w:val="en-GB"/>
    </w:rPr>
  </w:style>
  <w:style w:type="numbering" w:customStyle="1" w:styleId="C4Headings">
    <w:name w:val="C4 Headings"/>
    <w:basedOn w:val="NoList"/>
    <w:uiPriority w:val="99"/>
    <w:rsid w:val="00A425C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dede9c042d249445c5e8672db5ae006f">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b30b010edb2a7d1202ba098b60b5d45"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495F-6499-476C-9586-954E4061F076}">
  <ds:schemaRefs>
    <ds:schemaRef ds:uri="http://schemas.microsoft.com/sharepoint/v3/contenttype/forms"/>
  </ds:schemaRefs>
</ds:datastoreItem>
</file>

<file path=customXml/itemProps2.xml><?xml version="1.0" encoding="utf-8"?>
<ds:datastoreItem xmlns:ds="http://schemas.openxmlformats.org/officeDocument/2006/customXml" ds:itemID="{5E03D032-623D-46CD-A76C-778D0794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668DD-D19D-4949-B8C4-1C3224CC71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17977-3BC2-41CB-BDC3-A01108DF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UNDP-GEF MTR Management Response Template_EN</vt:lpstr>
    </vt:vector>
  </TitlesOfParts>
  <Company>UNDP-GEF</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MTR Management Response Template_EN</dc:title>
  <dc:subject/>
  <dc:creator>Stephanie Ullrich</dc:creator>
  <cp:keywords/>
  <dc:description/>
  <cp:lastModifiedBy>Merewalesi Laveti</cp:lastModifiedBy>
  <cp:revision>2</cp:revision>
  <cp:lastPrinted>2020-12-01T21:29:00Z</cp:lastPrinted>
  <dcterms:created xsi:type="dcterms:W3CDTF">2021-05-15T22:36:00Z</dcterms:created>
  <dcterms:modified xsi:type="dcterms:W3CDTF">2021-05-15T22:36:00Z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45a8dc47-343e-41e8-85b5-d0a64851413e</vt:lpwstr>
  </property>
</Properties>
</file>