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DA05" w14:textId="31B19851" w:rsidR="00E61BD7" w:rsidRPr="00D60D1F" w:rsidRDefault="00E61BD7" w:rsidP="00816E18">
      <w:pPr>
        <w:pStyle w:val="G-heading2"/>
        <w:numPr>
          <w:ilvl w:val="0"/>
          <w:numId w:val="0"/>
        </w:numPr>
        <w:jc w:val="center"/>
      </w:pPr>
      <w:bookmarkStart w:id="0" w:name="_Toc533099722"/>
      <w:r w:rsidRPr="00D60D1F">
        <w:t>Management response</w:t>
      </w:r>
      <w:bookmarkEnd w:id="0"/>
    </w:p>
    <w:p w14:paraId="720ABB78" w14:textId="77777777" w:rsidR="00E61BD7" w:rsidRPr="00BF5D14" w:rsidRDefault="00E61BD7" w:rsidP="00E61BD7">
      <w:pPr>
        <w:spacing w:after="0" w:line="240" w:lineRule="auto"/>
        <w:jc w:val="both"/>
        <w:rPr>
          <w:rFonts w:cstheme="minorHAnsi"/>
          <w:b/>
        </w:rPr>
      </w:pPr>
    </w:p>
    <w:p w14:paraId="20C6D9A4" w14:textId="086C6718"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p>
    <w:p w14:paraId="729889D3" w14:textId="040B3177" w:rsidR="00E61BD7" w:rsidRDefault="00816E18" w:rsidP="00816E18">
      <w:pPr>
        <w:spacing w:after="0" w:line="240" w:lineRule="auto"/>
        <w:jc w:val="both"/>
        <w:rPr>
          <w:rFonts w:cstheme="minorHAnsi"/>
          <w:b/>
        </w:rPr>
      </w:pPr>
      <w:r w:rsidRPr="00816E18">
        <w:rPr>
          <w:rFonts w:cstheme="minorHAnsi"/>
          <w:b/>
        </w:rPr>
        <w:t>Final Evaluation for the Green Economic Development Project – II Phase</w:t>
      </w:r>
    </w:p>
    <w:p w14:paraId="3C75546F" w14:textId="77777777" w:rsidR="00816E18" w:rsidRPr="00BF5D14" w:rsidRDefault="00816E18" w:rsidP="00816E18">
      <w:pPr>
        <w:spacing w:after="0" w:line="240" w:lineRule="auto"/>
        <w:jc w:val="both"/>
        <w:rPr>
          <w:rFonts w:cstheme="minorHAnsi"/>
        </w:rPr>
      </w:pPr>
    </w:p>
    <w:p w14:paraId="178AFCB1" w14:textId="1F1A062F" w:rsidR="00816E18"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C10609">
        <w:rPr>
          <w:rFonts w:cstheme="minorHAnsi"/>
        </w:rPr>
        <w:t xml:space="preserve">Arnesa </w:t>
      </w:r>
      <w:proofErr w:type="spellStart"/>
      <w:r w:rsidR="00C10609">
        <w:rPr>
          <w:rFonts w:cstheme="minorHAnsi"/>
        </w:rPr>
        <w:t>Borčak</w:t>
      </w:r>
      <w:proofErr w:type="spellEnd"/>
      <w:r w:rsidR="00AA287F">
        <w:rPr>
          <w:rFonts w:cstheme="minorHAnsi"/>
        </w:rPr>
        <w:t>, Project Manager</w:t>
      </w:r>
    </w:p>
    <w:p w14:paraId="2EB47A39" w14:textId="0AC1F5DC" w:rsidR="00816E18" w:rsidRDefault="00816E18" w:rsidP="00E61BD7">
      <w:pPr>
        <w:tabs>
          <w:tab w:val="left" w:pos="4320"/>
          <w:tab w:val="left" w:pos="7200"/>
        </w:tabs>
        <w:spacing w:after="0" w:line="240" w:lineRule="auto"/>
        <w:jc w:val="both"/>
        <w:rPr>
          <w:rFonts w:cstheme="minorHAnsi"/>
        </w:rPr>
      </w:pPr>
      <w:r w:rsidRPr="00816E18">
        <w:rPr>
          <w:rFonts w:cstheme="minorHAnsi"/>
        </w:rPr>
        <w:t>Green Economic Development Project – II Phase</w:t>
      </w:r>
    </w:p>
    <w:p w14:paraId="4E01AB6C" w14:textId="75D9AD5D" w:rsidR="00816E18" w:rsidRDefault="00816E18" w:rsidP="00E61BD7">
      <w:pPr>
        <w:tabs>
          <w:tab w:val="left" w:pos="4320"/>
          <w:tab w:val="left" w:pos="7200"/>
        </w:tabs>
        <w:spacing w:after="0" w:line="240" w:lineRule="auto"/>
        <w:jc w:val="both"/>
        <w:rPr>
          <w:rFonts w:cstheme="minorHAnsi"/>
        </w:rPr>
      </w:pPr>
      <w:r>
        <w:rPr>
          <w:rFonts w:cstheme="minorHAnsi"/>
        </w:rPr>
        <w:t>UNDP Country Office Bosnia and Herzegovina</w:t>
      </w:r>
    </w:p>
    <w:p w14:paraId="60EC46EE" w14:textId="5CC19D72"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ab/>
      </w:r>
    </w:p>
    <w:p w14:paraId="40AB5DAC" w14:textId="3ADCCD7C" w:rsidR="00AA287F"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C10609">
        <w:rPr>
          <w:rFonts w:cstheme="minorHAnsi"/>
        </w:rPr>
        <w:t xml:space="preserve"> </w:t>
      </w:r>
      <w:proofErr w:type="spellStart"/>
      <w:r w:rsidR="00AA287F">
        <w:rPr>
          <w:rFonts w:cstheme="minorHAnsi"/>
        </w:rPr>
        <w:t>Raduška</w:t>
      </w:r>
      <w:proofErr w:type="spellEnd"/>
      <w:r w:rsidR="00AA287F">
        <w:rPr>
          <w:rFonts w:cstheme="minorHAnsi"/>
        </w:rPr>
        <w:t xml:space="preserve"> </w:t>
      </w:r>
      <w:proofErr w:type="spellStart"/>
      <w:r w:rsidR="00AA287F">
        <w:rPr>
          <w:rFonts w:cstheme="minorHAnsi"/>
        </w:rPr>
        <w:t>Cupać</w:t>
      </w:r>
      <w:proofErr w:type="spellEnd"/>
    </w:p>
    <w:p w14:paraId="43C3DBE6" w14:textId="5F7C783C" w:rsidR="00816E18" w:rsidRDefault="00816E18" w:rsidP="00E61BD7">
      <w:pPr>
        <w:tabs>
          <w:tab w:val="left" w:pos="4320"/>
          <w:tab w:val="left" w:pos="7200"/>
        </w:tabs>
        <w:spacing w:after="0" w:line="240" w:lineRule="auto"/>
        <w:jc w:val="both"/>
        <w:rPr>
          <w:rFonts w:cstheme="minorHAnsi"/>
        </w:rPr>
      </w:pPr>
      <w:r w:rsidRPr="00BF5D14">
        <w:rPr>
          <w:rFonts w:cstheme="minorHAnsi"/>
        </w:rPr>
        <w:t>Position:</w:t>
      </w:r>
      <w:r>
        <w:rPr>
          <w:rFonts w:cstheme="minorHAnsi"/>
        </w:rPr>
        <w:t xml:space="preserve"> Sector Leader</w:t>
      </w:r>
    </w:p>
    <w:p w14:paraId="451D855D" w14:textId="2D8C14F8" w:rsidR="00816E18" w:rsidRDefault="00816E18" w:rsidP="00E61BD7">
      <w:pPr>
        <w:tabs>
          <w:tab w:val="left" w:pos="4320"/>
          <w:tab w:val="left" w:pos="7200"/>
        </w:tabs>
        <w:spacing w:after="0" w:line="240" w:lineRule="auto"/>
        <w:jc w:val="both"/>
        <w:rPr>
          <w:rFonts w:cstheme="minorHAnsi"/>
        </w:rPr>
      </w:pPr>
      <w:r>
        <w:rPr>
          <w:rFonts w:cstheme="minorHAnsi"/>
        </w:rPr>
        <w:t xml:space="preserve">Energy and Environment Sector </w:t>
      </w:r>
    </w:p>
    <w:p w14:paraId="636A0C39" w14:textId="1BC711F1" w:rsidR="00E61BD7" w:rsidRPr="00BF5D14" w:rsidRDefault="00816E18" w:rsidP="00E61BD7">
      <w:pPr>
        <w:tabs>
          <w:tab w:val="left" w:pos="4320"/>
          <w:tab w:val="left" w:pos="7200"/>
        </w:tabs>
        <w:spacing w:after="0" w:line="240" w:lineRule="auto"/>
        <w:jc w:val="both"/>
        <w:rPr>
          <w:rFonts w:cstheme="minorHAnsi"/>
        </w:rPr>
      </w:pPr>
      <w:r w:rsidRPr="00816E18">
        <w:rPr>
          <w:rFonts w:cstheme="minorHAnsi"/>
        </w:rPr>
        <w:t>UNDP Country Office Bosnia and Herzegovina</w:t>
      </w:r>
      <w:r w:rsidR="00E61BD7" w:rsidRPr="00BF5D14">
        <w:rPr>
          <w:rFonts w:cstheme="minorHAnsi"/>
        </w:rPr>
        <w:tab/>
      </w:r>
      <w:r w:rsidR="00E61BD7" w:rsidRPr="00BF5D14">
        <w:rPr>
          <w:rFonts w:cstheme="minorHAnsi"/>
        </w:rPr>
        <w:tab/>
      </w:r>
    </w:p>
    <w:p w14:paraId="7B8C3F00" w14:textId="77777777" w:rsidR="00816E18" w:rsidRDefault="00816E18" w:rsidP="00E61BD7">
      <w:pPr>
        <w:tabs>
          <w:tab w:val="left" w:pos="4320"/>
          <w:tab w:val="left" w:pos="7200"/>
        </w:tabs>
        <w:spacing w:after="0" w:line="240" w:lineRule="auto"/>
        <w:jc w:val="both"/>
        <w:rPr>
          <w:rFonts w:cstheme="minorHAnsi"/>
        </w:rPr>
      </w:pPr>
    </w:p>
    <w:p w14:paraId="5CA036F7" w14:textId="2C134D61" w:rsidR="00AA287F"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C10609">
        <w:rPr>
          <w:rFonts w:cstheme="minorHAnsi"/>
        </w:rPr>
        <w:t xml:space="preserve"> Amra Zorlak</w:t>
      </w:r>
    </w:p>
    <w:p w14:paraId="0969908E" w14:textId="77777777" w:rsidR="00AA287F" w:rsidRDefault="00AA287F" w:rsidP="00AA287F">
      <w:pPr>
        <w:tabs>
          <w:tab w:val="left" w:pos="4320"/>
          <w:tab w:val="left" w:pos="7200"/>
        </w:tabs>
        <w:spacing w:after="0" w:line="240" w:lineRule="auto"/>
        <w:jc w:val="both"/>
        <w:rPr>
          <w:rFonts w:cstheme="minorHAnsi"/>
        </w:rPr>
      </w:pPr>
      <w:r>
        <w:rPr>
          <w:rFonts w:cstheme="minorHAnsi"/>
        </w:rPr>
        <w:t xml:space="preserve">Monitoring and Evaluation Analyst </w:t>
      </w:r>
    </w:p>
    <w:p w14:paraId="7663D8E5" w14:textId="3F0804EC" w:rsidR="00E61BD7" w:rsidRPr="00BF5D14" w:rsidRDefault="00AA287F" w:rsidP="00AA287F">
      <w:pPr>
        <w:tabs>
          <w:tab w:val="left" w:pos="4320"/>
          <w:tab w:val="left" w:pos="7200"/>
        </w:tabs>
        <w:spacing w:after="0" w:line="240" w:lineRule="auto"/>
        <w:jc w:val="both"/>
        <w:rPr>
          <w:rFonts w:cstheme="minorHAnsi"/>
        </w:rPr>
      </w:pPr>
      <w:r>
        <w:rPr>
          <w:rFonts w:cstheme="minorHAnsi"/>
        </w:rPr>
        <w:t>UNDP Bosnia and Herzegovina</w:t>
      </w:r>
      <w:r w:rsidR="00E61BD7" w:rsidRPr="00BF5D14">
        <w:rPr>
          <w:rFonts w:cstheme="minorHAnsi"/>
        </w:rPr>
        <w:tab/>
      </w:r>
    </w:p>
    <w:p w14:paraId="6F84C27F"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5"/>
        <w:gridCol w:w="1831"/>
        <w:gridCol w:w="1753"/>
        <w:gridCol w:w="1613"/>
        <w:gridCol w:w="1194"/>
      </w:tblGrid>
      <w:tr w:rsidR="00E61BD7" w:rsidRPr="008711DF" w14:paraId="07D6102F" w14:textId="77777777" w:rsidTr="00F56AAF">
        <w:tc>
          <w:tcPr>
            <w:tcW w:w="9016" w:type="dxa"/>
            <w:gridSpan w:val="5"/>
            <w:shd w:val="clear" w:color="auto" w:fill="EAF6F3"/>
          </w:tcPr>
          <w:p w14:paraId="593DD104" w14:textId="77777777" w:rsidR="00464AE5" w:rsidRDefault="00E61BD7" w:rsidP="00280BFC">
            <w:pPr>
              <w:jc w:val="both"/>
              <w:rPr>
                <w:rFonts w:ascii="Myriad Pro" w:hAnsi="Myriad Pro" w:cs="Times New Roman"/>
                <w:color w:val="000000" w:themeColor="text1"/>
              </w:rPr>
            </w:pPr>
            <w:r w:rsidRPr="008711DF">
              <w:rPr>
                <w:rFonts w:cstheme="minorHAnsi"/>
                <w:b/>
                <w:color w:val="185262"/>
              </w:rPr>
              <w:t xml:space="preserve">Evaluation recommendation 1. </w:t>
            </w:r>
            <w:r w:rsidR="00280BFC" w:rsidRPr="00860DD6">
              <w:rPr>
                <w:rFonts w:ascii="Myriad Pro" w:hAnsi="Myriad Pro" w:cs="Times New Roman"/>
                <w:color w:val="000000" w:themeColor="text1"/>
              </w:rPr>
              <w:t xml:space="preserve"> </w:t>
            </w:r>
          </w:p>
          <w:p w14:paraId="77009B78" w14:textId="281C1AD3" w:rsidR="00280BFC" w:rsidRPr="00860DD6" w:rsidRDefault="00280BFC" w:rsidP="00280BFC">
            <w:pPr>
              <w:jc w:val="both"/>
              <w:rPr>
                <w:rFonts w:ascii="Myriad Pro" w:hAnsi="Myriad Pro" w:cs="Times New Roman"/>
                <w:color w:val="000000" w:themeColor="text1"/>
              </w:rPr>
            </w:pPr>
            <w:r w:rsidRPr="00860DD6">
              <w:rPr>
                <w:rFonts w:ascii="Myriad Pro" w:hAnsi="Myriad Pro" w:cs="Times New Roman"/>
                <w:color w:val="000000" w:themeColor="text1"/>
              </w:rPr>
              <w:t>The project’s foremost attention at this stage</w:t>
            </w:r>
            <w:r>
              <w:rPr>
                <w:rFonts w:ascii="Myriad Pro" w:hAnsi="Myriad Pro" w:cs="Times New Roman"/>
                <w:color w:val="000000" w:themeColor="text1"/>
              </w:rPr>
              <w:t xml:space="preserve"> (before commencing the GED III phase)</w:t>
            </w:r>
            <w:r w:rsidRPr="00860DD6">
              <w:rPr>
                <w:rFonts w:ascii="Myriad Pro" w:hAnsi="Myriad Pro" w:cs="Times New Roman"/>
                <w:color w:val="000000" w:themeColor="text1"/>
              </w:rPr>
              <w:t xml:space="preserve"> should be on completing by the end of 2021 the outstanding activities outlined in section 3.3.2 of this report.</w:t>
            </w:r>
          </w:p>
          <w:p w14:paraId="16915AAF" w14:textId="630A5EF2" w:rsidR="00280BFC" w:rsidRDefault="00280BFC" w:rsidP="00464AE5">
            <w:pPr>
              <w:spacing w:after="0" w:line="240" w:lineRule="auto"/>
              <w:jc w:val="both"/>
              <w:rPr>
                <w:rFonts w:ascii="Myriad Pro" w:hAnsi="Myriad Pro" w:cs="Times New Roman"/>
                <w:color w:val="000000" w:themeColor="text1"/>
              </w:rPr>
            </w:pPr>
            <w:r w:rsidRPr="00464AE5">
              <w:rPr>
                <w:rFonts w:ascii="Myriad Pro" w:hAnsi="Myriad Pro" w:cs="Times New Roman"/>
                <w:color w:val="000000" w:themeColor="text1"/>
              </w:rPr>
              <w:t xml:space="preserve">As a first step, the project team should establish more specifically and firmly through their work plan which of the remaining activities are feasible to be completed under the current phase until the end of 2021 and which activities could be carried over into the new phase. This information should be based on a sound analysis of the various factors around these activities, including clear timelines and goalposts, presented clearly in a document. </w:t>
            </w:r>
          </w:p>
          <w:p w14:paraId="1FE957FC" w14:textId="77777777" w:rsidR="00464AE5" w:rsidRPr="00464AE5" w:rsidRDefault="00464AE5" w:rsidP="00464AE5">
            <w:pPr>
              <w:spacing w:after="0" w:line="240" w:lineRule="auto"/>
              <w:jc w:val="both"/>
              <w:rPr>
                <w:rFonts w:ascii="Myriad Pro" w:hAnsi="Myriad Pro" w:cs="Times New Roman"/>
                <w:color w:val="000000" w:themeColor="text1"/>
              </w:rPr>
            </w:pPr>
          </w:p>
          <w:p w14:paraId="6CFE06E0" w14:textId="77777777" w:rsidR="00280BFC" w:rsidRPr="00464AE5" w:rsidRDefault="00280BFC" w:rsidP="00464AE5">
            <w:pPr>
              <w:spacing w:after="0" w:line="240" w:lineRule="auto"/>
              <w:jc w:val="both"/>
              <w:rPr>
                <w:rFonts w:ascii="Myriad Pro" w:hAnsi="Myriad Pro" w:cs="Times New Roman"/>
                <w:b/>
                <w:bCs/>
                <w:color w:val="000000" w:themeColor="text1"/>
              </w:rPr>
            </w:pPr>
            <w:r w:rsidRPr="00464AE5">
              <w:rPr>
                <w:rFonts w:ascii="Myriad Pro" w:hAnsi="Myriad Pro" w:cs="Times New Roman"/>
                <w:color w:val="000000" w:themeColor="text1"/>
              </w:rPr>
              <w:t>The project team should also seek to obtain clear commitments from the respective government counterparts on pending key decisions – such as the approval of the rulebooks, by-laws, etc. A clearer sense of when these decisions are expected to be made will be useful at this stage and should be reflected in the planning documents.</w:t>
            </w:r>
          </w:p>
          <w:p w14:paraId="53268556" w14:textId="685AAEA4" w:rsidR="00E61BD7" w:rsidRPr="008711DF" w:rsidRDefault="00E61BD7" w:rsidP="00260FE5">
            <w:pPr>
              <w:tabs>
                <w:tab w:val="left" w:pos="1080"/>
              </w:tabs>
              <w:spacing w:after="0" w:line="240" w:lineRule="auto"/>
              <w:jc w:val="both"/>
              <w:rPr>
                <w:rFonts w:cstheme="minorHAnsi"/>
                <w:color w:val="185262"/>
              </w:rPr>
            </w:pPr>
          </w:p>
        </w:tc>
      </w:tr>
      <w:tr w:rsidR="00E61BD7" w:rsidRPr="008711DF" w14:paraId="7FA9B14C" w14:textId="77777777" w:rsidTr="00F56AAF">
        <w:tc>
          <w:tcPr>
            <w:tcW w:w="9016" w:type="dxa"/>
            <w:gridSpan w:val="5"/>
            <w:shd w:val="clear" w:color="auto" w:fill="EAF6F3"/>
          </w:tcPr>
          <w:p w14:paraId="3A3789AE" w14:textId="29EF5EC9"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280BFC">
              <w:rPr>
                <w:rFonts w:cstheme="minorHAnsi"/>
                <w:b/>
                <w:color w:val="185262"/>
              </w:rPr>
              <w:t>Accepted</w:t>
            </w:r>
          </w:p>
        </w:tc>
      </w:tr>
      <w:tr w:rsidR="00E61BD7" w:rsidRPr="008711DF" w14:paraId="2A0EB9FA" w14:textId="77777777" w:rsidTr="00F56AAF">
        <w:trPr>
          <w:trHeight w:val="135"/>
        </w:trPr>
        <w:tc>
          <w:tcPr>
            <w:tcW w:w="2812" w:type="dxa"/>
            <w:vMerge w:val="restart"/>
            <w:shd w:val="clear" w:color="auto" w:fill="EAF6F3"/>
          </w:tcPr>
          <w:p w14:paraId="2C03AFB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5" w:type="dxa"/>
            <w:vMerge w:val="restart"/>
            <w:shd w:val="clear" w:color="auto" w:fill="EAF6F3"/>
          </w:tcPr>
          <w:p w14:paraId="2477CF2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43" w:type="dxa"/>
            <w:vMerge w:val="restart"/>
            <w:shd w:val="clear" w:color="auto" w:fill="EAF6F3"/>
          </w:tcPr>
          <w:p w14:paraId="2353BBD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6" w:type="dxa"/>
            <w:gridSpan w:val="2"/>
            <w:shd w:val="clear" w:color="auto" w:fill="EAF6F3"/>
          </w:tcPr>
          <w:p w14:paraId="5E597C9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46BD2D86" w14:textId="77777777" w:rsidTr="00F56AAF">
        <w:trPr>
          <w:trHeight w:val="135"/>
        </w:trPr>
        <w:tc>
          <w:tcPr>
            <w:tcW w:w="2812" w:type="dxa"/>
            <w:vMerge/>
            <w:shd w:val="clear" w:color="auto" w:fill="F3F3F3"/>
          </w:tcPr>
          <w:p w14:paraId="120179F9" w14:textId="77777777" w:rsidR="00E61BD7" w:rsidRPr="008711DF" w:rsidRDefault="00E61BD7" w:rsidP="00260FE5">
            <w:pPr>
              <w:tabs>
                <w:tab w:val="left" w:pos="1080"/>
              </w:tabs>
              <w:spacing w:after="0" w:line="240" w:lineRule="auto"/>
              <w:jc w:val="both"/>
              <w:rPr>
                <w:rFonts w:cstheme="minorHAnsi"/>
                <w:color w:val="185262"/>
              </w:rPr>
            </w:pPr>
          </w:p>
        </w:tc>
        <w:tc>
          <w:tcPr>
            <w:tcW w:w="1945" w:type="dxa"/>
            <w:vMerge/>
            <w:shd w:val="clear" w:color="auto" w:fill="F3F3F3"/>
          </w:tcPr>
          <w:p w14:paraId="5DB10A3D" w14:textId="77777777" w:rsidR="00E61BD7" w:rsidRPr="008711DF" w:rsidRDefault="00E61BD7" w:rsidP="00260FE5">
            <w:pPr>
              <w:tabs>
                <w:tab w:val="left" w:pos="1080"/>
              </w:tabs>
              <w:spacing w:after="0" w:line="240" w:lineRule="auto"/>
              <w:jc w:val="both"/>
              <w:rPr>
                <w:rFonts w:cstheme="minorHAnsi"/>
                <w:b/>
                <w:color w:val="185262"/>
              </w:rPr>
            </w:pPr>
          </w:p>
        </w:tc>
        <w:tc>
          <w:tcPr>
            <w:tcW w:w="1843" w:type="dxa"/>
            <w:vMerge/>
            <w:shd w:val="clear" w:color="auto" w:fill="F3F3F3"/>
          </w:tcPr>
          <w:p w14:paraId="6BE2BC9F" w14:textId="77777777" w:rsidR="00E61BD7" w:rsidRPr="008711DF" w:rsidRDefault="00E61BD7" w:rsidP="00260FE5">
            <w:pPr>
              <w:tabs>
                <w:tab w:val="left" w:pos="1080"/>
              </w:tabs>
              <w:spacing w:after="0" w:line="240" w:lineRule="auto"/>
              <w:jc w:val="both"/>
              <w:rPr>
                <w:rFonts w:cstheme="minorHAnsi"/>
                <w:b/>
                <w:color w:val="185262"/>
              </w:rPr>
            </w:pPr>
          </w:p>
        </w:tc>
        <w:tc>
          <w:tcPr>
            <w:tcW w:w="1222" w:type="dxa"/>
          </w:tcPr>
          <w:p w14:paraId="746B004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7F62F1B"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A7A092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E61BD7" w:rsidRPr="008711DF" w14:paraId="0425681C" w14:textId="77777777" w:rsidTr="00F56AAF">
        <w:tc>
          <w:tcPr>
            <w:tcW w:w="2812" w:type="dxa"/>
          </w:tcPr>
          <w:p w14:paraId="1ACE8E16" w14:textId="1413EBF2" w:rsidR="00280BFC" w:rsidRPr="00280BFC" w:rsidRDefault="00F56AAF" w:rsidP="007D687B">
            <w:pPr>
              <w:tabs>
                <w:tab w:val="left" w:pos="1080"/>
              </w:tabs>
              <w:spacing w:after="0" w:line="240" w:lineRule="auto"/>
              <w:jc w:val="both"/>
              <w:rPr>
                <w:rFonts w:cstheme="minorHAnsi"/>
                <w:color w:val="185262"/>
                <w:lang w:val="en-US"/>
              </w:rPr>
            </w:pPr>
            <w:r>
              <w:rPr>
                <w:rFonts w:cstheme="minorHAnsi"/>
                <w:color w:val="185262"/>
                <w:lang w:val="en-US"/>
              </w:rPr>
              <w:t xml:space="preserve">1.1 </w:t>
            </w:r>
            <w:r w:rsidR="00280BFC" w:rsidRPr="00280BFC">
              <w:rPr>
                <w:rFonts w:cstheme="minorHAnsi"/>
                <w:color w:val="185262"/>
                <w:lang w:val="en-US"/>
              </w:rPr>
              <w:t>Conduct detailed analysis of remaining</w:t>
            </w:r>
            <w:r w:rsidR="00816E18">
              <w:rPr>
                <w:rFonts w:cstheme="minorHAnsi"/>
                <w:color w:val="185262"/>
                <w:lang w:val="en-US"/>
              </w:rPr>
              <w:t xml:space="preserve"> project</w:t>
            </w:r>
            <w:r w:rsidR="00280BFC" w:rsidRPr="00280BFC">
              <w:rPr>
                <w:rFonts w:cstheme="minorHAnsi"/>
                <w:color w:val="185262"/>
                <w:lang w:val="en-US"/>
              </w:rPr>
              <w:t xml:space="preserve"> activities</w:t>
            </w:r>
            <w:r w:rsidR="00816E18">
              <w:rPr>
                <w:rFonts w:cstheme="minorHAnsi"/>
                <w:color w:val="185262"/>
                <w:lang w:val="en-US"/>
              </w:rPr>
              <w:t xml:space="preserve"> and i</w:t>
            </w:r>
            <w:r w:rsidR="00280BFC" w:rsidRPr="00280BFC">
              <w:rPr>
                <w:rFonts w:cstheme="minorHAnsi"/>
                <w:color w:val="185262"/>
                <w:lang w:val="en-US"/>
              </w:rPr>
              <w:t>dentif</w:t>
            </w:r>
            <w:r w:rsidR="00816E18">
              <w:rPr>
                <w:rFonts w:cstheme="minorHAnsi"/>
                <w:color w:val="185262"/>
                <w:lang w:val="en-US"/>
              </w:rPr>
              <w:t xml:space="preserve">y </w:t>
            </w:r>
            <w:r w:rsidR="00280BFC" w:rsidRPr="00280BFC">
              <w:rPr>
                <w:rFonts w:cstheme="minorHAnsi"/>
                <w:color w:val="185262"/>
                <w:lang w:val="en-US"/>
              </w:rPr>
              <w:t xml:space="preserve">possible challenges during </w:t>
            </w:r>
            <w:proofErr w:type="gramStart"/>
            <w:r w:rsidR="00280BFC" w:rsidRPr="00280BFC">
              <w:rPr>
                <w:rFonts w:cstheme="minorHAnsi"/>
                <w:color w:val="185262"/>
                <w:lang w:val="en-US"/>
              </w:rPr>
              <w:t>implementation;</w:t>
            </w:r>
            <w:proofErr w:type="gramEnd"/>
          </w:p>
          <w:p w14:paraId="012D9CAA" w14:textId="4F1A19CC" w:rsidR="00280BFC" w:rsidRPr="00280BFC" w:rsidRDefault="00280BFC" w:rsidP="007D687B">
            <w:pPr>
              <w:tabs>
                <w:tab w:val="left" w:pos="1080"/>
              </w:tabs>
              <w:spacing w:after="0" w:line="240" w:lineRule="auto"/>
              <w:jc w:val="both"/>
              <w:rPr>
                <w:rFonts w:cstheme="minorHAnsi"/>
                <w:color w:val="185262"/>
                <w:lang w:val="en-US"/>
              </w:rPr>
            </w:pPr>
            <w:r w:rsidRPr="00280BFC">
              <w:rPr>
                <w:rFonts w:cstheme="minorHAnsi"/>
                <w:color w:val="185262"/>
                <w:lang w:val="en-US"/>
              </w:rPr>
              <w:t>Definition of feasible and optimal action plan</w:t>
            </w:r>
            <w:r w:rsidRPr="00280BFC">
              <w:rPr>
                <w:rFonts w:cstheme="minorHAnsi"/>
                <w:color w:val="185262"/>
                <w:lang w:val="bs-Latn-BA"/>
              </w:rPr>
              <w:t>,</w:t>
            </w:r>
            <w:r w:rsidR="00F56AAF">
              <w:rPr>
                <w:rFonts w:cstheme="minorHAnsi"/>
                <w:color w:val="185262"/>
                <w:lang w:val="bs-Latn-BA"/>
              </w:rPr>
              <w:t xml:space="preserve"> </w:t>
            </w:r>
            <w:proofErr w:type="spellStart"/>
            <w:r w:rsidR="00F56AAF">
              <w:rPr>
                <w:rFonts w:cstheme="minorHAnsi"/>
                <w:color w:val="185262"/>
                <w:lang w:val="bs-Latn-BA"/>
              </w:rPr>
              <w:t>including</w:t>
            </w:r>
            <w:proofErr w:type="spellEnd"/>
            <w:r w:rsidRPr="00280BFC">
              <w:rPr>
                <w:rFonts w:cstheme="minorHAnsi"/>
                <w:color w:val="185262"/>
                <w:lang w:val="en-US"/>
              </w:rPr>
              <w:t xml:space="preserve"> </w:t>
            </w:r>
            <w:proofErr w:type="gramStart"/>
            <w:r w:rsidRPr="00280BFC">
              <w:rPr>
                <w:rFonts w:cstheme="minorHAnsi"/>
                <w:color w:val="185262"/>
                <w:lang w:val="en-US"/>
              </w:rPr>
              <w:t>deadlines;</w:t>
            </w:r>
            <w:proofErr w:type="gramEnd"/>
          </w:p>
          <w:p w14:paraId="62885527" w14:textId="779CD5B9" w:rsidR="00E61BD7" w:rsidRPr="00280BFC" w:rsidRDefault="00E61BD7" w:rsidP="00F56AAF">
            <w:pPr>
              <w:tabs>
                <w:tab w:val="left" w:pos="1080"/>
              </w:tabs>
              <w:spacing w:after="0" w:line="240" w:lineRule="auto"/>
              <w:jc w:val="both"/>
              <w:rPr>
                <w:rFonts w:cstheme="minorHAnsi"/>
                <w:color w:val="185262"/>
                <w:lang w:val="en-US"/>
              </w:rPr>
            </w:pPr>
          </w:p>
        </w:tc>
        <w:tc>
          <w:tcPr>
            <w:tcW w:w="1945" w:type="dxa"/>
          </w:tcPr>
          <w:p w14:paraId="2337B374" w14:textId="6EF008E3" w:rsidR="00E61BD7" w:rsidRPr="008711DF" w:rsidRDefault="007D687B" w:rsidP="007D687B">
            <w:pPr>
              <w:tabs>
                <w:tab w:val="left" w:pos="1080"/>
              </w:tabs>
              <w:spacing w:after="0" w:line="240" w:lineRule="auto"/>
              <w:jc w:val="center"/>
              <w:rPr>
                <w:rFonts w:cstheme="minorHAnsi"/>
                <w:color w:val="185262"/>
              </w:rPr>
            </w:pPr>
            <w:r>
              <w:rPr>
                <w:rFonts w:cstheme="minorHAnsi"/>
                <w:color w:val="185262"/>
              </w:rPr>
              <w:t>December 2022</w:t>
            </w:r>
          </w:p>
        </w:tc>
        <w:tc>
          <w:tcPr>
            <w:tcW w:w="1843" w:type="dxa"/>
          </w:tcPr>
          <w:p w14:paraId="2AEC2D67" w14:textId="73CAF6A6" w:rsidR="00E61BD7" w:rsidRPr="008711DF" w:rsidRDefault="007D687B" w:rsidP="00260FE5">
            <w:pPr>
              <w:tabs>
                <w:tab w:val="left" w:pos="1080"/>
              </w:tabs>
              <w:spacing w:after="0" w:line="240" w:lineRule="auto"/>
              <w:jc w:val="both"/>
              <w:rPr>
                <w:rFonts w:cstheme="minorHAnsi"/>
                <w:color w:val="185262"/>
              </w:rPr>
            </w:pPr>
            <w:r>
              <w:rPr>
                <w:rFonts w:cstheme="minorHAnsi"/>
                <w:color w:val="185262"/>
              </w:rPr>
              <w:t>UNDP</w:t>
            </w:r>
            <w:r w:rsidR="00816E18">
              <w:rPr>
                <w:rFonts w:cstheme="minorHAnsi"/>
                <w:color w:val="185262"/>
              </w:rPr>
              <w:t xml:space="preserve"> Project Team</w:t>
            </w:r>
          </w:p>
        </w:tc>
        <w:tc>
          <w:tcPr>
            <w:tcW w:w="1222" w:type="dxa"/>
          </w:tcPr>
          <w:p w14:paraId="41968E1A" w14:textId="34B5BBF5" w:rsidR="00E61BD7" w:rsidRPr="008711DF" w:rsidRDefault="00222416" w:rsidP="00260FE5">
            <w:pPr>
              <w:tabs>
                <w:tab w:val="left" w:pos="1080"/>
              </w:tabs>
              <w:spacing w:after="0" w:line="240" w:lineRule="auto"/>
              <w:jc w:val="both"/>
              <w:rPr>
                <w:rFonts w:cstheme="minorHAnsi"/>
                <w:color w:val="185262"/>
              </w:rPr>
            </w:pPr>
            <w:r>
              <w:rPr>
                <w:rFonts w:cstheme="minorHAnsi"/>
                <w:color w:val="185262"/>
              </w:rPr>
              <w:t xml:space="preserve">Analysis of project activities undertaken; </w:t>
            </w:r>
          </w:p>
        </w:tc>
        <w:tc>
          <w:tcPr>
            <w:tcW w:w="1194" w:type="dxa"/>
          </w:tcPr>
          <w:p w14:paraId="47D65270" w14:textId="488A2E4C" w:rsidR="00E61BD7" w:rsidRPr="008711DF" w:rsidRDefault="00816E18" w:rsidP="00260FE5">
            <w:pPr>
              <w:tabs>
                <w:tab w:val="left" w:pos="1080"/>
              </w:tabs>
              <w:spacing w:after="0" w:line="240" w:lineRule="auto"/>
              <w:jc w:val="both"/>
              <w:rPr>
                <w:rFonts w:cstheme="minorHAnsi"/>
                <w:color w:val="185262"/>
              </w:rPr>
            </w:pPr>
            <w:r>
              <w:rPr>
                <w:rFonts w:cstheme="minorHAnsi"/>
                <w:color w:val="185262"/>
              </w:rPr>
              <w:t xml:space="preserve">Initiated </w:t>
            </w:r>
          </w:p>
        </w:tc>
      </w:tr>
      <w:tr w:rsidR="00E61BD7" w:rsidRPr="008711DF" w14:paraId="14030852" w14:textId="77777777" w:rsidTr="00F56AAF">
        <w:tc>
          <w:tcPr>
            <w:tcW w:w="2812" w:type="dxa"/>
          </w:tcPr>
          <w:p w14:paraId="2A17B059" w14:textId="5E1DE8C5" w:rsidR="00E61BD7" w:rsidRPr="00280BFC" w:rsidRDefault="00F56AAF" w:rsidP="007D687B">
            <w:pPr>
              <w:tabs>
                <w:tab w:val="left" w:pos="1080"/>
              </w:tabs>
              <w:spacing w:after="0" w:line="240" w:lineRule="auto"/>
              <w:jc w:val="both"/>
              <w:rPr>
                <w:rFonts w:cstheme="minorHAnsi"/>
                <w:color w:val="185262"/>
                <w:lang w:val="en-US"/>
              </w:rPr>
            </w:pPr>
            <w:r>
              <w:rPr>
                <w:rFonts w:cstheme="minorHAnsi"/>
                <w:color w:val="185262"/>
                <w:lang w:val="en-US"/>
              </w:rPr>
              <w:lastRenderedPageBreak/>
              <w:t xml:space="preserve">1.2 </w:t>
            </w:r>
            <w:r w:rsidRPr="00F56AAF">
              <w:rPr>
                <w:rFonts w:cstheme="minorHAnsi"/>
                <w:color w:val="185262"/>
                <w:lang w:val="en-US"/>
              </w:rPr>
              <w:t>Secure active participation from the respective government counterparts in the process of development and finalization of the activities.</w:t>
            </w:r>
          </w:p>
        </w:tc>
        <w:tc>
          <w:tcPr>
            <w:tcW w:w="1945" w:type="dxa"/>
          </w:tcPr>
          <w:p w14:paraId="2FD38ABB" w14:textId="77777777" w:rsidR="00E61BD7" w:rsidRDefault="00E61BD7" w:rsidP="00260FE5">
            <w:pPr>
              <w:tabs>
                <w:tab w:val="left" w:pos="1080"/>
              </w:tabs>
              <w:spacing w:after="0" w:line="240" w:lineRule="auto"/>
              <w:jc w:val="both"/>
              <w:rPr>
                <w:rFonts w:cstheme="minorHAnsi"/>
                <w:color w:val="185262"/>
              </w:rPr>
            </w:pPr>
          </w:p>
          <w:p w14:paraId="69D50652" w14:textId="52853C45" w:rsidR="00997522" w:rsidRPr="00997522" w:rsidRDefault="00997522" w:rsidP="00997522">
            <w:pPr>
              <w:rPr>
                <w:rFonts w:cstheme="minorHAnsi"/>
              </w:rPr>
            </w:pPr>
            <w:r>
              <w:rPr>
                <w:rFonts w:cstheme="minorHAnsi"/>
              </w:rPr>
              <w:t>December 2022</w:t>
            </w:r>
          </w:p>
        </w:tc>
        <w:tc>
          <w:tcPr>
            <w:tcW w:w="1843" w:type="dxa"/>
          </w:tcPr>
          <w:p w14:paraId="2C605646" w14:textId="0C9C55AD" w:rsidR="00E61BD7" w:rsidRPr="008711DF" w:rsidRDefault="00997522" w:rsidP="00260FE5">
            <w:pPr>
              <w:tabs>
                <w:tab w:val="left" w:pos="1080"/>
              </w:tabs>
              <w:spacing w:after="0" w:line="240" w:lineRule="auto"/>
              <w:jc w:val="both"/>
              <w:rPr>
                <w:rFonts w:cstheme="minorHAnsi"/>
                <w:color w:val="185262"/>
              </w:rPr>
            </w:pPr>
            <w:r w:rsidRPr="00997522">
              <w:rPr>
                <w:rFonts w:cstheme="minorHAnsi"/>
                <w:color w:val="185262"/>
              </w:rPr>
              <w:t>UNDP Project Team</w:t>
            </w:r>
          </w:p>
        </w:tc>
        <w:tc>
          <w:tcPr>
            <w:tcW w:w="1222" w:type="dxa"/>
          </w:tcPr>
          <w:p w14:paraId="06DA9725" w14:textId="2769A55C" w:rsidR="00E61BD7" w:rsidRPr="008711DF" w:rsidRDefault="00222416" w:rsidP="00260FE5">
            <w:pPr>
              <w:tabs>
                <w:tab w:val="left" w:pos="1080"/>
              </w:tabs>
              <w:spacing w:after="0" w:line="240" w:lineRule="auto"/>
              <w:jc w:val="both"/>
              <w:rPr>
                <w:rFonts w:cstheme="minorHAnsi"/>
                <w:color w:val="185262"/>
              </w:rPr>
            </w:pPr>
            <w:r>
              <w:rPr>
                <w:rFonts w:cstheme="minorHAnsi"/>
                <w:color w:val="185262"/>
              </w:rPr>
              <w:t>Continuous communication with stakeholders maintained;</w:t>
            </w:r>
          </w:p>
        </w:tc>
        <w:tc>
          <w:tcPr>
            <w:tcW w:w="1194" w:type="dxa"/>
          </w:tcPr>
          <w:p w14:paraId="0AE52682" w14:textId="1C904983" w:rsidR="00E61BD7" w:rsidRPr="008711DF" w:rsidRDefault="00997522" w:rsidP="00260FE5">
            <w:pPr>
              <w:tabs>
                <w:tab w:val="left" w:pos="1080"/>
              </w:tabs>
              <w:spacing w:after="0" w:line="240" w:lineRule="auto"/>
              <w:jc w:val="both"/>
              <w:rPr>
                <w:rFonts w:cstheme="minorHAnsi"/>
                <w:color w:val="185262"/>
              </w:rPr>
            </w:pPr>
            <w:r>
              <w:rPr>
                <w:rFonts w:cstheme="minorHAnsi"/>
                <w:color w:val="185262"/>
              </w:rPr>
              <w:t>Initiated</w:t>
            </w:r>
          </w:p>
        </w:tc>
      </w:tr>
    </w:tbl>
    <w:p w14:paraId="0AAB0720"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75"/>
        <w:gridCol w:w="1798"/>
        <w:gridCol w:w="1736"/>
        <w:gridCol w:w="1613"/>
        <w:gridCol w:w="1194"/>
      </w:tblGrid>
      <w:tr w:rsidR="00E61BD7" w:rsidRPr="008711DF" w14:paraId="69BBB675" w14:textId="77777777" w:rsidTr="00F56AAF">
        <w:tc>
          <w:tcPr>
            <w:tcW w:w="9016" w:type="dxa"/>
            <w:gridSpan w:val="5"/>
            <w:shd w:val="clear" w:color="auto" w:fill="EAF6F3"/>
          </w:tcPr>
          <w:p w14:paraId="68947684" w14:textId="77777777" w:rsidR="00464AE5"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2. </w:t>
            </w:r>
          </w:p>
          <w:p w14:paraId="4F58666C" w14:textId="2920C0E2" w:rsidR="00E61BD7" w:rsidRDefault="007D687B" w:rsidP="00260FE5">
            <w:pPr>
              <w:tabs>
                <w:tab w:val="left" w:pos="1080"/>
              </w:tabs>
              <w:spacing w:after="0" w:line="240" w:lineRule="auto"/>
              <w:jc w:val="both"/>
              <w:rPr>
                <w:rFonts w:cstheme="minorHAnsi"/>
                <w:b/>
                <w:color w:val="185262"/>
              </w:rPr>
            </w:pPr>
            <w:r>
              <w:rPr>
                <w:rFonts w:cstheme="minorHAnsi"/>
                <w:b/>
                <w:color w:val="185262"/>
              </w:rPr>
              <w:t xml:space="preserve"> </w:t>
            </w:r>
          </w:p>
          <w:p w14:paraId="1EE56D30" w14:textId="77777777" w:rsidR="007D687B" w:rsidRDefault="007D687B" w:rsidP="007D687B">
            <w:pPr>
              <w:jc w:val="both"/>
              <w:rPr>
                <w:rFonts w:ascii="Myriad Pro" w:hAnsi="Myriad Pro" w:cs="Times New Roman"/>
              </w:rPr>
            </w:pPr>
            <w:r>
              <w:rPr>
                <w:rFonts w:ascii="Myriad Pro" w:hAnsi="Myriad Pro" w:cs="Times New Roman"/>
              </w:rPr>
              <w:t>Looking forward to GED III, the UNDP CO should maintain and further strengthen c</w:t>
            </w:r>
            <w:r w:rsidRPr="00437823">
              <w:rPr>
                <w:rFonts w:ascii="Myriad Pro" w:hAnsi="Myriad Pro" w:cs="Times New Roman"/>
              </w:rPr>
              <w:t xml:space="preserve">oordination </w:t>
            </w:r>
            <w:r>
              <w:rPr>
                <w:rFonts w:ascii="Myriad Pro" w:hAnsi="Myriad Pro" w:cs="Times New Roman"/>
              </w:rPr>
              <w:t>with all relevant stakeholders operating in the EE area.</w:t>
            </w:r>
          </w:p>
          <w:p w14:paraId="5DC035F4" w14:textId="77777777" w:rsidR="007D687B" w:rsidRPr="00464AE5" w:rsidRDefault="007D687B" w:rsidP="00464AE5">
            <w:pPr>
              <w:spacing w:after="0" w:line="240" w:lineRule="auto"/>
              <w:jc w:val="both"/>
              <w:rPr>
                <w:rFonts w:ascii="Myriad Pro" w:hAnsi="Myriad Pro" w:cs="Times New Roman"/>
              </w:rPr>
            </w:pPr>
            <w:r w:rsidRPr="00464AE5">
              <w:rPr>
                <w:rFonts w:ascii="Myriad Pro" w:hAnsi="Myriad Pro" w:cs="Times New Roman"/>
              </w:rPr>
              <w:t xml:space="preserve">The GED project is already well-coordinated with the other UNDP projects and with the WB’s BEEPS programme. However, stronger cooperation should be forged under GED III with other players in this area, especially with the upcoming </w:t>
            </w:r>
            <w:proofErr w:type="spellStart"/>
            <w:r w:rsidRPr="00464AE5">
              <w:rPr>
                <w:rFonts w:ascii="Myriad Pro" w:hAnsi="Myriad Pro" w:cs="Times New Roman"/>
              </w:rPr>
              <w:t>KfW</w:t>
            </w:r>
            <w:proofErr w:type="spellEnd"/>
            <w:r w:rsidRPr="00464AE5">
              <w:rPr>
                <w:rFonts w:ascii="Myriad Pro" w:hAnsi="Myriad Pro" w:cs="Times New Roman"/>
              </w:rPr>
              <w:t xml:space="preserve"> and EBRD activities.</w:t>
            </w:r>
          </w:p>
          <w:p w14:paraId="1188CA2D" w14:textId="77777777" w:rsidR="00464AE5" w:rsidRDefault="00464AE5" w:rsidP="00464AE5">
            <w:pPr>
              <w:spacing w:after="0" w:line="240" w:lineRule="auto"/>
              <w:jc w:val="both"/>
              <w:rPr>
                <w:rFonts w:ascii="Myriad Pro" w:hAnsi="Myriad Pro" w:cs="Times New Roman"/>
              </w:rPr>
            </w:pPr>
          </w:p>
          <w:p w14:paraId="5F83233C" w14:textId="22938CAF" w:rsidR="007D687B" w:rsidRPr="00464AE5" w:rsidRDefault="007D687B" w:rsidP="00464AE5">
            <w:pPr>
              <w:spacing w:after="0" w:line="240" w:lineRule="auto"/>
              <w:jc w:val="both"/>
              <w:rPr>
                <w:rFonts w:ascii="Myriad Pro" w:hAnsi="Myriad Pro" w:cs="Times New Roman"/>
              </w:rPr>
            </w:pPr>
            <w:r w:rsidRPr="00464AE5">
              <w:rPr>
                <w:rFonts w:ascii="Myriad Pro" w:hAnsi="Myriad Pro" w:cs="Times New Roman"/>
              </w:rPr>
              <w:t>Under GED III, UNDP and the Swedish embassy should join efforts in strengthening the coordination platform with all development partners in this area. The idea of the “</w:t>
            </w:r>
            <w:r w:rsidRPr="00464AE5">
              <w:rPr>
                <w:rFonts w:ascii="Myriad Pro" w:hAnsi="Myriad Pro" w:cs="Times New Roman"/>
                <w:i/>
                <w:iCs/>
              </w:rPr>
              <w:t>Revolving Fund</w:t>
            </w:r>
            <w:r w:rsidRPr="00464AE5">
              <w:rPr>
                <w:rFonts w:ascii="Myriad Pro" w:hAnsi="Myriad Pro" w:cs="Times New Roman"/>
              </w:rPr>
              <w:t xml:space="preserve">” that is under discussion between the Ministry of Spatial Planning in the Federation and the </w:t>
            </w:r>
            <w:proofErr w:type="spellStart"/>
            <w:r w:rsidRPr="00464AE5">
              <w:rPr>
                <w:rFonts w:ascii="Myriad Pro" w:hAnsi="Myriad Pro" w:cs="Times New Roman"/>
              </w:rPr>
              <w:t>KfW</w:t>
            </w:r>
            <w:proofErr w:type="spellEnd"/>
            <w:r w:rsidRPr="00464AE5">
              <w:rPr>
                <w:rFonts w:ascii="Myriad Pro" w:hAnsi="Myriad Pro" w:cs="Times New Roman"/>
              </w:rPr>
              <w:t xml:space="preserve"> should be discussed more widely, especially in the context of the GED project’s efforts to support the establishment of the revolving funds under the two environmental funds. The KFW-supported concept only concerns the public building sector, whereas the “revolving fund” concept under the environmental funds pursued for years under the GED project is more comprehensive in nature and inclusive of the public buildings. UNDP CO and the Swedish Embassy, jointly with the respective counterparts, should forge a harmonized approach on the revolving fund issue. Also, UNDP and the Swedish Embassy should advocate for a more systematic approach to the establishment/operationalization of the revolving fund in the Federation and </w:t>
            </w:r>
            <w:proofErr w:type="spellStart"/>
            <w:r w:rsidRPr="00464AE5">
              <w:rPr>
                <w:rFonts w:ascii="Myriad Pro" w:hAnsi="Myriad Pro" w:cs="Times New Roman"/>
              </w:rPr>
              <w:t>Republika</w:t>
            </w:r>
            <w:proofErr w:type="spellEnd"/>
            <w:r w:rsidRPr="00464AE5">
              <w:rPr>
                <w:rFonts w:ascii="Myriad Pro" w:hAnsi="Myriad Pro" w:cs="Times New Roman"/>
              </w:rPr>
              <w:t xml:space="preserve"> Srpska. In both entities, the GED platform and the existing infrastructure of environmental funds represents a solid foundation on which to ground activities on the establishment of revolving funds.</w:t>
            </w:r>
          </w:p>
          <w:p w14:paraId="5E3D1E2E" w14:textId="76DE75C1" w:rsidR="007D687B" w:rsidRPr="008711DF" w:rsidRDefault="007D687B" w:rsidP="00260FE5">
            <w:pPr>
              <w:tabs>
                <w:tab w:val="left" w:pos="1080"/>
              </w:tabs>
              <w:spacing w:after="0" w:line="240" w:lineRule="auto"/>
              <w:jc w:val="both"/>
              <w:rPr>
                <w:rFonts w:cstheme="minorHAnsi"/>
                <w:color w:val="185262"/>
              </w:rPr>
            </w:pPr>
          </w:p>
        </w:tc>
      </w:tr>
      <w:tr w:rsidR="00E61BD7" w:rsidRPr="008711DF" w14:paraId="5C94B473" w14:textId="77777777" w:rsidTr="00F56AAF">
        <w:tc>
          <w:tcPr>
            <w:tcW w:w="9016" w:type="dxa"/>
            <w:gridSpan w:val="5"/>
            <w:shd w:val="clear" w:color="auto" w:fill="EAF6F3"/>
          </w:tcPr>
          <w:p w14:paraId="615387FC" w14:textId="3A41A22A"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Management response:</w:t>
            </w:r>
            <w:r w:rsidR="00141C49">
              <w:rPr>
                <w:rFonts w:cstheme="minorHAnsi"/>
                <w:color w:val="185262"/>
              </w:rPr>
              <w:t xml:space="preserve"> Accepted</w:t>
            </w:r>
          </w:p>
        </w:tc>
      </w:tr>
      <w:tr w:rsidR="00E61BD7" w:rsidRPr="008711DF" w14:paraId="5D3EA098" w14:textId="77777777" w:rsidTr="00F56AAF">
        <w:trPr>
          <w:trHeight w:val="135"/>
        </w:trPr>
        <w:tc>
          <w:tcPr>
            <w:tcW w:w="2859" w:type="dxa"/>
            <w:vMerge w:val="restart"/>
            <w:shd w:val="clear" w:color="auto" w:fill="EAF6F3"/>
          </w:tcPr>
          <w:p w14:paraId="4FDB7AD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11" w:type="dxa"/>
            <w:vMerge w:val="restart"/>
            <w:shd w:val="clear" w:color="auto" w:fill="EAF6F3"/>
          </w:tcPr>
          <w:p w14:paraId="3203720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27" w:type="dxa"/>
            <w:vMerge w:val="restart"/>
            <w:shd w:val="clear" w:color="auto" w:fill="EAF6F3"/>
          </w:tcPr>
          <w:p w14:paraId="49394E2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9" w:type="dxa"/>
            <w:gridSpan w:val="2"/>
            <w:shd w:val="clear" w:color="auto" w:fill="EAF6F3"/>
          </w:tcPr>
          <w:p w14:paraId="36790EE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0D21969D" w14:textId="77777777" w:rsidTr="00F56AAF">
        <w:trPr>
          <w:trHeight w:val="135"/>
        </w:trPr>
        <w:tc>
          <w:tcPr>
            <w:tcW w:w="2859" w:type="dxa"/>
            <w:vMerge/>
            <w:shd w:val="clear" w:color="auto" w:fill="F3F3F3"/>
          </w:tcPr>
          <w:p w14:paraId="46A3C2C8" w14:textId="77777777" w:rsidR="00E61BD7" w:rsidRPr="008711DF" w:rsidRDefault="00E61BD7" w:rsidP="00260FE5">
            <w:pPr>
              <w:tabs>
                <w:tab w:val="left" w:pos="1080"/>
              </w:tabs>
              <w:spacing w:after="0" w:line="240" w:lineRule="auto"/>
              <w:jc w:val="both"/>
              <w:rPr>
                <w:rFonts w:cstheme="minorHAnsi"/>
                <w:color w:val="185262"/>
              </w:rPr>
            </w:pPr>
          </w:p>
        </w:tc>
        <w:tc>
          <w:tcPr>
            <w:tcW w:w="1911" w:type="dxa"/>
            <w:vMerge/>
            <w:shd w:val="clear" w:color="auto" w:fill="F3F3F3"/>
          </w:tcPr>
          <w:p w14:paraId="13744B26" w14:textId="77777777" w:rsidR="00E61BD7" w:rsidRPr="008711DF" w:rsidRDefault="00E61BD7" w:rsidP="00260FE5">
            <w:pPr>
              <w:tabs>
                <w:tab w:val="left" w:pos="1080"/>
              </w:tabs>
              <w:spacing w:after="0" w:line="240" w:lineRule="auto"/>
              <w:jc w:val="both"/>
              <w:rPr>
                <w:rFonts w:cstheme="minorHAnsi"/>
                <w:b/>
                <w:color w:val="185262"/>
              </w:rPr>
            </w:pPr>
          </w:p>
        </w:tc>
        <w:tc>
          <w:tcPr>
            <w:tcW w:w="1827" w:type="dxa"/>
            <w:vMerge/>
            <w:shd w:val="clear" w:color="auto" w:fill="F3F3F3"/>
          </w:tcPr>
          <w:p w14:paraId="6F73B822" w14:textId="77777777" w:rsidR="00E61BD7" w:rsidRPr="008711DF" w:rsidRDefault="00E61BD7" w:rsidP="00260FE5">
            <w:pPr>
              <w:tabs>
                <w:tab w:val="left" w:pos="1080"/>
              </w:tabs>
              <w:spacing w:after="0" w:line="240" w:lineRule="auto"/>
              <w:jc w:val="both"/>
              <w:rPr>
                <w:rFonts w:cstheme="minorHAnsi"/>
                <w:b/>
                <w:color w:val="185262"/>
              </w:rPr>
            </w:pPr>
          </w:p>
        </w:tc>
        <w:tc>
          <w:tcPr>
            <w:tcW w:w="1225" w:type="dxa"/>
          </w:tcPr>
          <w:p w14:paraId="456BED8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8854E8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79CEA2BC" w14:textId="77777777" w:rsidTr="00F56AAF">
        <w:tc>
          <w:tcPr>
            <w:tcW w:w="2859" w:type="dxa"/>
          </w:tcPr>
          <w:p w14:paraId="7B3B2327" w14:textId="318EB901" w:rsidR="007D687B" w:rsidRPr="007D687B" w:rsidRDefault="00E61BD7" w:rsidP="007D687B">
            <w:pPr>
              <w:tabs>
                <w:tab w:val="left" w:pos="1080"/>
              </w:tabs>
              <w:spacing w:after="0"/>
              <w:rPr>
                <w:rFonts w:cstheme="minorHAnsi"/>
                <w:color w:val="185262"/>
                <w:lang w:val="en-US"/>
              </w:rPr>
            </w:pPr>
            <w:r w:rsidRPr="008711DF">
              <w:rPr>
                <w:rFonts w:cstheme="minorHAnsi"/>
                <w:color w:val="185262"/>
              </w:rPr>
              <w:t xml:space="preserve">2.1 </w:t>
            </w:r>
            <w:r w:rsidR="007D687B" w:rsidRPr="007D687B">
              <w:rPr>
                <w:rFonts w:cstheme="minorHAnsi"/>
                <w:color w:val="185262"/>
                <w:lang w:val="en-US"/>
              </w:rPr>
              <w:t>Apply the lessons learned from the cooperation with the World Bank B</w:t>
            </w:r>
            <w:r w:rsidR="00F56AAF">
              <w:rPr>
                <w:rFonts w:cstheme="minorHAnsi"/>
                <w:color w:val="185262"/>
                <w:lang w:val="en-US"/>
              </w:rPr>
              <w:t>osnia Energy Efficiency Projects (BEEP)</w:t>
            </w:r>
            <w:r w:rsidR="007D687B" w:rsidRPr="007D687B">
              <w:rPr>
                <w:rFonts w:cstheme="minorHAnsi"/>
                <w:color w:val="185262"/>
                <w:lang w:val="en-US"/>
              </w:rPr>
              <w:t xml:space="preserve"> by communicating and coordinating the activities with EBRD and </w:t>
            </w:r>
            <w:proofErr w:type="spellStart"/>
            <w:r w:rsidR="007D687B" w:rsidRPr="007D687B">
              <w:rPr>
                <w:rFonts w:cstheme="minorHAnsi"/>
                <w:color w:val="185262"/>
                <w:lang w:val="en-US"/>
              </w:rPr>
              <w:t>KfW</w:t>
            </w:r>
            <w:proofErr w:type="spellEnd"/>
            <w:r w:rsidR="007D687B" w:rsidRPr="007D687B">
              <w:rPr>
                <w:rFonts w:cstheme="minorHAnsi"/>
                <w:color w:val="185262"/>
                <w:lang w:val="bs-Latn-BA"/>
              </w:rPr>
              <w:t>,</w:t>
            </w:r>
            <w:r w:rsidR="007D687B" w:rsidRPr="007D687B">
              <w:rPr>
                <w:rFonts w:cstheme="minorHAnsi"/>
                <w:color w:val="185262"/>
                <w:lang w:val="en-US"/>
              </w:rPr>
              <w:t xml:space="preserve"> in order to maximize the </w:t>
            </w:r>
            <w:proofErr w:type="gramStart"/>
            <w:r w:rsidR="007D687B" w:rsidRPr="007D687B">
              <w:rPr>
                <w:rFonts w:cstheme="minorHAnsi"/>
                <w:color w:val="185262"/>
                <w:lang w:val="en-US"/>
              </w:rPr>
              <w:t>accomplishments;</w:t>
            </w:r>
            <w:proofErr w:type="gramEnd"/>
          </w:p>
          <w:p w14:paraId="5C9BC027" w14:textId="429D08F1" w:rsidR="00E61BD7" w:rsidRPr="008711DF" w:rsidRDefault="00E61BD7" w:rsidP="00F56AAF">
            <w:pPr>
              <w:tabs>
                <w:tab w:val="left" w:pos="1080"/>
              </w:tabs>
              <w:spacing w:after="0" w:line="240" w:lineRule="auto"/>
              <w:jc w:val="both"/>
              <w:rPr>
                <w:rFonts w:cstheme="minorHAnsi"/>
                <w:color w:val="185262"/>
              </w:rPr>
            </w:pPr>
          </w:p>
        </w:tc>
        <w:tc>
          <w:tcPr>
            <w:tcW w:w="1911" w:type="dxa"/>
          </w:tcPr>
          <w:p w14:paraId="5E277E12" w14:textId="7E70B818" w:rsidR="00E61BD7" w:rsidRPr="008711DF" w:rsidRDefault="007D687B" w:rsidP="00260FE5">
            <w:pPr>
              <w:tabs>
                <w:tab w:val="left" w:pos="1080"/>
              </w:tabs>
              <w:spacing w:after="0" w:line="240" w:lineRule="auto"/>
              <w:jc w:val="both"/>
              <w:rPr>
                <w:rFonts w:cstheme="minorHAnsi"/>
                <w:color w:val="185262"/>
              </w:rPr>
            </w:pPr>
            <w:r>
              <w:rPr>
                <w:rFonts w:cstheme="minorHAnsi"/>
                <w:color w:val="185262"/>
              </w:rPr>
              <w:t>December 2021</w:t>
            </w:r>
          </w:p>
        </w:tc>
        <w:tc>
          <w:tcPr>
            <w:tcW w:w="1827" w:type="dxa"/>
          </w:tcPr>
          <w:p w14:paraId="2C1C5394" w14:textId="3BE790BF" w:rsidR="00E61BD7" w:rsidRPr="008711DF" w:rsidRDefault="007D687B" w:rsidP="00260FE5">
            <w:pPr>
              <w:tabs>
                <w:tab w:val="left" w:pos="1080"/>
              </w:tabs>
              <w:spacing w:after="0" w:line="240" w:lineRule="auto"/>
              <w:jc w:val="both"/>
              <w:rPr>
                <w:rFonts w:cstheme="minorHAnsi"/>
                <w:color w:val="185262"/>
              </w:rPr>
            </w:pPr>
            <w:r>
              <w:rPr>
                <w:rFonts w:cstheme="minorHAnsi"/>
                <w:color w:val="185262"/>
              </w:rPr>
              <w:t>UNDP</w:t>
            </w:r>
            <w:r w:rsidR="00F56AAF">
              <w:rPr>
                <w:rFonts w:cstheme="minorHAnsi"/>
                <w:color w:val="185262"/>
              </w:rPr>
              <w:t xml:space="preserve"> Project Team</w:t>
            </w:r>
          </w:p>
        </w:tc>
        <w:tc>
          <w:tcPr>
            <w:tcW w:w="1225" w:type="dxa"/>
          </w:tcPr>
          <w:p w14:paraId="55BF22D7" w14:textId="61E0855D" w:rsidR="00E61BD7" w:rsidRPr="008711DF" w:rsidRDefault="00222416" w:rsidP="00260FE5">
            <w:pPr>
              <w:tabs>
                <w:tab w:val="left" w:pos="1080"/>
              </w:tabs>
              <w:spacing w:after="0" w:line="240" w:lineRule="auto"/>
              <w:jc w:val="both"/>
              <w:rPr>
                <w:rFonts w:cstheme="minorHAnsi"/>
                <w:color w:val="185262"/>
              </w:rPr>
            </w:pPr>
            <w:r>
              <w:rPr>
                <w:rFonts w:cstheme="minorHAnsi"/>
                <w:color w:val="185262"/>
              </w:rPr>
              <w:t>Regular communication with World Bank and EBRD is maintained through joint work on implementing energy efficiency measures in public buildings;</w:t>
            </w:r>
          </w:p>
        </w:tc>
        <w:tc>
          <w:tcPr>
            <w:tcW w:w="1194" w:type="dxa"/>
          </w:tcPr>
          <w:p w14:paraId="20A87649" w14:textId="36978BE7" w:rsidR="00E61BD7" w:rsidRPr="008711DF" w:rsidRDefault="00F56AAF" w:rsidP="00260FE5">
            <w:pPr>
              <w:tabs>
                <w:tab w:val="left" w:pos="1080"/>
              </w:tabs>
              <w:spacing w:after="0" w:line="240" w:lineRule="auto"/>
              <w:jc w:val="both"/>
              <w:rPr>
                <w:rFonts w:cstheme="minorHAnsi"/>
                <w:color w:val="185262"/>
              </w:rPr>
            </w:pPr>
            <w:r>
              <w:rPr>
                <w:rFonts w:cstheme="minorHAnsi"/>
                <w:color w:val="185262"/>
              </w:rPr>
              <w:t>Initiated</w:t>
            </w:r>
          </w:p>
        </w:tc>
      </w:tr>
      <w:tr w:rsidR="00E61BD7" w:rsidRPr="008711DF" w14:paraId="3924C504" w14:textId="77777777" w:rsidTr="00F56AAF">
        <w:tc>
          <w:tcPr>
            <w:tcW w:w="2859" w:type="dxa"/>
          </w:tcPr>
          <w:p w14:paraId="07460CCC" w14:textId="203F6DF3"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2.2 </w:t>
            </w:r>
            <w:r w:rsidR="00F56AAF" w:rsidRPr="00F56AAF">
              <w:rPr>
                <w:rFonts w:cstheme="minorHAnsi"/>
                <w:color w:val="185262"/>
              </w:rPr>
              <w:t xml:space="preserve">Organize meeting with Environmental protection Funds Managers and </w:t>
            </w:r>
            <w:r w:rsidR="00F56AAF" w:rsidRPr="00F56AAF">
              <w:rPr>
                <w:rFonts w:cstheme="minorHAnsi"/>
                <w:color w:val="185262"/>
              </w:rPr>
              <w:lastRenderedPageBreak/>
              <w:t xml:space="preserve">relevant ministries from both entities, Ambassador of </w:t>
            </w:r>
            <w:proofErr w:type="gramStart"/>
            <w:r w:rsidR="00F56AAF" w:rsidRPr="00F56AAF">
              <w:rPr>
                <w:rFonts w:cstheme="minorHAnsi"/>
                <w:color w:val="185262"/>
              </w:rPr>
              <w:t>Sweden</w:t>
            </w:r>
            <w:proofErr w:type="gramEnd"/>
            <w:r w:rsidR="00F56AAF" w:rsidRPr="00F56AAF">
              <w:rPr>
                <w:rFonts w:cstheme="minorHAnsi"/>
                <w:color w:val="185262"/>
              </w:rPr>
              <w:t xml:space="preserve"> and UNDP Resident Representative, with the purpose of advocating the re-opening and launching of the Revolving Fund;</w:t>
            </w:r>
          </w:p>
        </w:tc>
        <w:tc>
          <w:tcPr>
            <w:tcW w:w="1911" w:type="dxa"/>
          </w:tcPr>
          <w:p w14:paraId="2565A363" w14:textId="61269D4A" w:rsidR="00E61BD7" w:rsidRPr="008711DF" w:rsidRDefault="00F56AAF" w:rsidP="00260FE5">
            <w:pPr>
              <w:tabs>
                <w:tab w:val="left" w:pos="1080"/>
              </w:tabs>
              <w:spacing w:after="0" w:line="240" w:lineRule="auto"/>
              <w:jc w:val="both"/>
              <w:rPr>
                <w:rFonts w:cstheme="minorHAnsi"/>
                <w:color w:val="185262"/>
              </w:rPr>
            </w:pPr>
            <w:r>
              <w:rPr>
                <w:rFonts w:cstheme="minorHAnsi"/>
                <w:color w:val="185262"/>
              </w:rPr>
              <w:lastRenderedPageBreak/>
              <w:t>December 2021</w:t>
            </w:r>
          </w:p>
        </w:tc>
        <w:tc>
          <w:tcPr>
            <w:tcW w:w="1827" w:type="dxa"/>
          </w:tcPr>
          <w:p w14:paraId="4739C60F" w14:textId="4E1F3374" w:rsidR="00E61BD7" w:rsidRPr="008711DF" w:rsidRDefault="00F56AAF" w:rsidP="00260FE5">
            <w:pPr>
              <w:tabs>
                <w:tab w:val="left" w:pos="1080"/>
              </w:tabs>
              <w:spacing w:after="0" w:line="240" w:lineRule="auto"/>
              <w:jc w:val="both"/>
              <w:rPr>
                <w:rFonts w:cstheme="minorHAnsi"/>
                <w:color w:val="185262"/>
              </w:rPr>
            </w:pPr>
            <w:r>
              <w:rPr>
                <w:rFonts w:cstheme="minorHAnsi"/>
                <w:color w:val="185262"/>
              </w:rPr>
              <w:t>UNDP Project Team</w:t>
            </w:r>
          </w:p>
        </w:tc>
        <w:tc>
          <w:tcPr>
            <w:tcW w:w="1225" w:type="dxa"/>
          </w:tcPr>
          <w:p w14:paraId="0E701707" w14:textId="788EE4C0" w:rsidR="00E61BD7" w:rsidRPr="008711DF" w:rsidRDefault="00222416" w:rsidP="00260FE5">
            <w:pPr>
              <w:tabs>
                <w:tab w:val="left" w:pos="1080"/>
              </w:tabs>
              <w:spacing w:after="0" w:line="240" w:lineRule="auto"/>
              <w:jc w:val="both"/>
              <w:rPr>
                <w:rFonts w:cstheme="minorHAnsi"/>
                <w:color w:val="185262"/>
              </w:rPr>
            </w:pPr>
            <w:r>
              <w:rPr>
                <w:rFonts w:cstheme="minorHAnsi"/>
                <w:color w:val="185262"/>
              </w:rPr>
              <w:t>No progress yet</w:t>
            </w:r>
          </w:p>
        </w:tc>
        <w:tc>
          <w:tcPr>
            <w:tcW w:w="1194" w:type="dxa"/>
          </w:tcPr>
          <w:p w14:paraId="7D301865" w14:textId="022565A4" w:rsidR="00E61BD7" w:rsidRPr="008711DF" w:rsidRDefault="00705F62" w:rsidP="00260FE5">
            <w:pPr>
              <w:tabs>
                <w:tab w:val="left" w:pos="1080"/>
              </w:tabs>
              <w:spacing w:after="0" w:line="240" w:lineRule="auto"/>
              <w:jc w:val="both"/>
              <w:rPr>
                <w:rFonts w:cstheme="minorHAnsi"/>
                <w:color w:val="185262"/>
              </w:rPr>
            </w:pPr>
            <w:r>
              <w:rPr>
                <w:rFonts w:cstheme="minorHAnsi"/>
                <w:color w:val="185262"/>
              </w:rPr>
              <w:t>Initiated</w:t>
            </w:r>
          </w:p>
        </w:tc>
      </w:tr>
    </w:tbl>
    <w:p w14:paraId="6982A000"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46"/>
        <w:gridCol w:w="1280"/>
        <w:gridCol w:w="1634"/>
        <w:gridCol w:w="1462"/>
        <w:gridCol w:w="1194"/>
      </w:tblGrid>
      <w:tr w:rsidR="00E61BD7" w:rsidRPr="008711DF" w14:paraId="01BA1C61" w14:textId="77777777" w:rsidTr="007D687B">
        <w:tc>
          <w:tcPr>
            <w:tcW w:w="9016" w:type="dxa"/>
            <w:gridSpan w:val="5"/>
            <w:shd w:val="clear" w:color="auto" w:fill="EAF6F3"/>
          </w:tcPr>
          <w:p w14:paraId="5D0EE3A8" w14:textId="76764415" w:rsidR="00E61BD7" w:rsidRDefault="00E61BD7" w:rsidP="00260FE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p>
          <w:p w14:paraId="321EBEC9" w14:textId="77777777" w:rsidR="005F1BBD" w:rsidRDefault="005F1BBD" w:rsidP="00260FE5">
            <w:pPr>
              <w:tabs>
                <w:tab w:val="left" w:pos="1080"/>
              </w:tabs>
              <w:spacing w:after="0" w:line="240" w:lineRule="auto"/>
              <w:jc w:val="both"/>
              <w:rPr>
                <w:rFonts w:cstheme="minorHAnsi"/>
                <w:b/>
                <w:color w:val="185262"/>
              </w:rPr>
            </w:pPr>
          </w:p>
          <w:p w14:paraId="1F4085F7" w14:textId="77777777" w:rsidR="007D687B" w:rsidRPr="00464AE5" w:rsidRDefault="007D687B" w:rsidP="00464AE5">
            <w:pPr>
              <w:spacing w:after="0" w:line="240" w:lineRule="auto"/>
              <w:jc w:val="both"/>
              <w:rPr>
                <w:rFonts w:ascii="Myriad Pro" w:hAnsi="Myriad Pro" w:cs="Times New Roman"/>
              </w:rPr>
            </w:pPr>
            <w:r w:rsidRPr="00464AE5">
              <w:rPr>
                <w:rFonts w:ascii="Myriad Pro" w:hAnsi="Myriad Pro" w:cs="Times New Roman"/>
              </w:rPr>
              <w:t xml:space="preserve">Under GED III, the project should aim for greater sustainability by ensuring the establishment of a durable and well-functioning loan mechanism for EE investments in buildings that enables building owners to remove the budgetary restrictions that often constrain their options. </w:t>
            </w:r>
          </w:p>
          <w:p w14:paraId="6E62EC3D" w14:textId="77777777" w:rsidR="00464AE5" w:rsidRDefault="00464AE5" w:rsidP="00464AE5">
            <w:pPr>
              <w:spacing w:after="0" w:line="240" w:lineRule="auto"/>
              <w:jc w:val="both"/>
              <w:rPr>
                <w:rFonts w:ascii="Myriad Pro" w:hAnsi="Myriad Pro" w:cs="Times New Roman"/>
              </w:rPr>
            </w:pPr>
          </w:p>
          <w:p w14:paraId="6BC4BEDA" w14:textId="0E585935" w:rsidR="007D687B" w:rsidRPr="00464AE5" w:rsidRDefault="007D687B" w:rsidP="00464AE5">
            <w:pPr>
              <w:spacing w:after="0" w:line="240" w:lineRule="auto"/>
              <w:jc w:val="both"/>
              <w:rPr>
                <w:rFonts w:ascii="Myriad Pro" w:hAnsi="Myriad Pro" w:cs="Times New Roman"/>
              </w:rPr>
            </w:pPr>
            <w:r w:rsidRPr="00464AE5">
              <w:rPr>
                <w:rFonts w:ascii="Myriad Pro" w:hAnsi="Myriad Pro" w:cs="Times New Roman"/>
              </w:rPr>
              <w:t xml:space="preserve">When it comes to the SME sector (which will be a key target of the project’s third phase), a market-based based approach to energy efficiency investments will be crucial. Also, the de-risking subsidy of interest rates for commercials loans in the SME sector foreseen under GEF III should be pursued towards greater involvement of the commercial banking sector into the financing of EE investments. </w:t>
            </w:r>
          </w:p>
          <w:p w14:paraId="03EC3B88" w14:textId="77777777" w:rsidR="00464AE5" w:rsidRDefault="00464AE5" w:rsidP="007D687B">
            <w:pPr>
              <w:tabs>
                <w:tab w:val="left" w:pos="1080"/>
              </w:tabs>
              <w:spacing w:after="0" w:line="240" w:lineRule="auto"/>
              <w:jc w:val="both"/>
              <w:rPr>
                <w:rFonts w:ascii="Myriad Pro" w:hAnsi="Myriad Pro" w:cs="Times New Roman"/>
              </w:rPr>
            </w:pPr>
          </w:p>
          <w:p w14:paraId="53410DC5" w14:textId="640DE3E2" w:rsidR="007D687B" w:rsidRPr="008711DF" w:rsidRDefault="007D687B" w:rsidP="007D687B">
            <w:pPr>
              <w:tabs>
                <w:tab w:val="left" w:pos="1080"/>
              </w:tabs>
              <w:spacing w:after="0" w:line="240" w:lineRule="auto"/>
              <w:jc w:val="both"/>
              <w:rPr>
                <w:rFonts w:cstheme="minorHAnsi"/>
                <w:b/>
                <w:color w:val="185262"/>
              </w:rPr>
            </w:pPr>
            <w:r w:rsidRPr="00B10372">
              <w:rPr>
                <w:rFonts w:ascii="Myriad Pro" w:hAnsi="Myriad Pro" w:cs="Times New Roman"/>
              </w:rPr>
              <w:t>Greater involvement of commercial banks in energy efficiency investments under GED III will be key for the sustainability of achievements in the EE area.</w:t>
            </w:r>
          </w:p>
        </w:tc>
      </w:tr>
      <w:tr w:rsidR="00E61BD7" w:rsidRPr="008711DF" w14:paraId="27226ABD" w14:textId="77777777" w:rsidTr="007D687B">
        <w:tc>
          <w:tcPr>
            <w:tcW w:w="9016" w:type="dxa"/>
            <w:gridSpan w:val="5"/>
            <w:shd w:val="clear" w:color="auto" w:fill="EAF6F3"/>
          </w:tcPr>
          <w:p w14:paraId="5BDF7899" w14:textId="77777777"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tc>
      </w:tr>
      <w:tr w:rsidR="00E61BD7" w:rsidRPr="008711DF" w14:paraId="3323C309" w14:textId="77777777" w:rsidTr="00997522">
        <w:trPr>
          <w:trHeight w:val="135"/>
        </w:trPr>
        <w:tc>
          <w:tcPr>
            <w:tcW w:w="3648" w:type="dxa"/>
            <w:vMerge w:val="restart"/>
            <w:shd w:val="clear" w:color="auto" w:fill="EAF6F3"/>
          </w:tcPr>
          <w:p w14:paraId="6E65A76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280" w:type="dxa"/>
            <w:vMerge w:val="restart"/>
            <w:shd w:val="clear" w:color="auto" w:fill="EAF6F3"/>
          </w:tcPr>
          <w:p w14:paraId="4CD3227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676" w:type="dxa"/>
            <w:vMerge w:val="restart"/>
            <w:shd w:val="clear" w:color="auto" w:fill="EAF6F3"/>
          </w:tcPr>
          <w:p w14:paraId="5ADDC3D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2" w:type="dxa"/>
            <w:gridSpan w:val="2"/>
            <w:shd w:val="clear" w:color="auto" w:fill="EAF6F3"/>
          </w:tcPr>
          <w:p w14:paraId="08AEC0B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549C4B7E" w14:textId="77777777" w:rsidTr="00997522">
        <w:trPr>
          <w:trHeight w:val="849"/>
        </w:trPr>
        <w:tc>
          <w:tcPr>
            <w:tcW w:w="3648" w:type="dxa"/>
            <w:vMerge/>
            <w:shd w:val="clear" w:color="auto" w:fill="F3F3F3"/>
          </w:tcPr>
          <w:p w14:paraId="7DFDFD98" w14:textId="77777777" w:rsidR="00E61BD7" w:rsidRPr="008711DF" w:rsidRDefault="00E61BD7" w:rsidP="00260FE5">
            <w:pPr>
              <w:tabs>
                <w:tab w:val="left" w:pos="1080"/>
              </w:tabs>
              <w:spacing w:after="0" w:line="240" w:lineRule="auto"/>
              <w:jc w:val="both"/>
              <w:rPr>
                <w:rFonts w:cstheme="minorHAnsi"/>
                <w:color w:val="185262"/>
              </w:rPr>
            </w:pPr>
          </w:p>
        </w:tc>
        <w:tc>
          <w:tcPr>
            <w:tcW w:w="1280" w:type="dxa"/>
            <w:vMerge/>
            <w:shd w:val="clear" w:color="auto" w:fill="F3F3F3"/>
          </w:tcPr>
          <w:p w14:paraId="13F69B72" w14:textId="77777777" w:rsidR="00E61BD7" w:rsidRPr="008711DF" w:rsidRDefault="00E61BD7" w:rsidP="00260FE5">
            <w:pPr>
              <w:tabs>
                <w:tab w:val="left" w:pos="1080"/>
              </w:tabs>
              <w:spacing w:after="0" w:line="240" w:lineRule="auto"/>
              <w:jc w:val="both"/>
              <w:rPr>
                <w:rFonts w:cstheme="minorHAnsi"/>
                <w:b/>
                <w:color w:val="185262"/>
              </w:rPr>
            </w:pPr>
          </w:p>
        </w:tc>
        <w:tc>
          <w:tcPr>
            <w:tcW w:w="1676" w:type="dxa"/>
            <w:vMerge/>
            <w:shd w:val="clear" w:color="auto" w:fill="F3F3F3"/>
          </w:tcPr>
          <w:p w14:paraId="76B61530" w14:textId="77777777" w:rsidR="00E61BD7" w:rsidRPr="008711DF" w:rsidRDefault="00E61BD7" w:rsidP="00260FE5">
            <w:pPr>
              <w:tabs>
                <w:tab w:val="left" w:pos="1080"/>
              </w:tabs>
              <w:spacing w:after="0" w:line="240" w:lineRule="auto"/>
              <w:jc w:val="both"/>
              <w:rPr>
                <w:rFonts w:cstheme="minorHAnsi"/>
                <w:b/>
                <w:color w:val="185262"/>
              </w:rPr>
            </w:pPr>
          </w:p>
        </w:tc>
        <w:tc>
          <w:tcPr>
            <w:tcW w:w="1218" w:type="dxa"/>
          </w:tcPr>
          <w:p w14:paraId="4257DC2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FA5BEF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728061A0" w14:textId="77777777" w:rsidTr="00997522">
        <w:tc>
          <w:tcPr>
            <w:tcW w:w="3648" w:type="dxa"/>
          </w:tcPr>
          <w:p w14:paraId="6037742D" w14:textId="6E623FE7" w:rsidR="007D687B" w:rsidRPr="007D687B" w:rsidRDefault="00E61BD7" w:rsidP="00997522">
            <w:pPr>
              <w:tabs>
                <w:tab w:val="left" w:pos="1080"/>
              </w:tabs>
              <w:spacing w:after="0" w:line="240" w:lineRule="auto"/>
              <w:rPr>
                <w:rFonts w:cstheme="minorHAnsi"/>
                <w:color w:val="185262"/>
                <w:lang w:val="en-US"/>
              </w:rPr>
            </w:pPr>
            <w:r w:rsidRPr="008711DF">
              <w:rPr>
                <w:rFonts w:cstheme="minorHAnsi"/>
                <w:color w:val="185262"/>
              </w:rPr>
              <w:t xml:space="preserve">3.1 </w:t>
            </w:r>
            <w:r w:rsidR="007D687B" w:rsidRPr="007D687B">
              <w:rPr>
                <w:rFonts w:cstheme="minorHAnsi"/>
                <w:color w:val="185262"/>
                <w:lang w:val="en-US"/>
              </w:rPr>
              <w:t>Green Finance Incentive Scheme will be used for interest rate subvention/return</w:t>
            </w:r>
            <w:r w:rsidR="007D687B" w:rsidRPr="007D687B">
              <w:rPr>
                <w:rFonts w:cstheme="minorHAnsi"/>
                <w:color w:val="185262"/>
                <w:lang w:val="bs-Latn-BA"/>
              </w:rPr>
              <w:t xml:space="preserve">, </w:t>
            </w:r>
            <w:r w:rsidR="007D687B" w:rsidRPr="007D687B">
              <w:rPr>
                <w:rFonts w:cstheme="minorHAnsi"/>
                <w:color w:val="185262"/>
                <w:lang w:val="en-US"/>
              </w:rPr>
              <w:t xml:space="preserve">serving as a financial de-risking </w:t>
            </w:r>
            <w:proofErr w:type="gramStart"/>
            <w:r w:rsidR="007D687B" w:rsidRPr="007D687B">
              <w:rPr>
                <w:rFonts w:cstheme="minorHAnsi"/>
                <w:color w:val="185262"/>
                <w:lang w:val="en-US"/>
              </w:rPr>
              <w:t>instrument</w:t>
            </w:r>
            <w:r w:rsidR="007D687B" w:rsidRPr="007D687B">
              <w:rPr>
                <w:rFonts w:cstheme="minorHAnsi"/>
                <w:color w:val="185262"/>
                <w:lang w:val="bs-Latn-BA"/>
              </w:rPr>
              <w:t>;</w:t>
            </w:r>
            <w:proofErr w:type="gramEnd"/>
            <w:r w:rsidR="007D687B" w:rsidRPr="007D687B">
              <w:rPr>
                <w:rFonts w:cstheme="minorHAnsi"/>
                <w:color w:val="185262"/>
                <w:lang w:val="bs-Latn-BA"/>
              </w:rPr>
              <w:t xml:space="preserve"> </w:t>
            </w:r>
          </w:p>
          <w:p w14:paraId="0B091657" w14:textId="253099FA" w:rsidR="00E61BD7" w:rsidRPr="008711DF" w:rsidRDefault="00E61BD7" w:rsidP="007D687B">
            <w:pPr>
              <w:tabs>
                <w:tab w:val="left" w:pos="1080"/>
              </w:tabs>
              <w:spacing w:after="0" w:line="240" w:lineRule="auto"/>
              <w:jc w:val="both"/>
              <w:rPr>
                <w:rFonts w:cstheme="minorHAnsi"/>
                <w:color w:val="185262"/>
              </w:rPr>
            </w:pPr>
          </w:p>
        </w:tc>
        <w:tc>
          <w:tcPr>
            <w:tcW w:w="1280" w:type="dxa"/>
          </w:tcPr>
          <w:p w14:paraId="76AABADA" w14:textId="525C8FE2" w:rsidR="00E61BD7" w:rsidRPr="008711DF" w:rsidRDefault="00C10609" w:rsidP="00260FE5">
            <w:pPr>
              <w:tabs>
                <w:tab w:val="left" w:pos="1080"/>
              </w:tabs>
              <w:spacing w:after="0" w:line="240" w:lineRule="auto"/>
              <w:jc w:val="both"/>
              <w:rPr>
                <w:rFonts w:cstheme="minorHAnsi"/>
                <w:color w:val="185262"/>
              </w:rPr>
            </w:pPr>
            <w:r>
              <w:rPr>
                <w:rFonts w:cstheme="minorHAnsi"/>
                <w:color w:val="185262"/>
              </w:rPr>
              <w:t>December 2022</w:t>
            </w:r>
          </w:p>
        </w:tc>
        <w:tc>
          <w:tcPr>
            <w:tcW w:w="1676" w:type="dxa"/>
          </w:tcPr>
          <w:p w14:paraId="0ECF46B1" w14:textId="7B7B37C4" w:rsidR="00E61BD7" w:rsidRPr="008711DF" w:rsidRDefault="00C10609" w:rsidP="00260FE5">
            <w:pPr>
              <w:tabs>
                <w:tab w:val="left" w:pos="1080"/>
              </w:tabs>
              <w:spacing w:after="0" w:line="240" w:lineRule="auto"/>
              <w:jc w:val="both"/>
              <w:rPr>
                <w:rFonts w:cstheme="minorHAnsi"/>
                <w:color w:val="185262"/>
              </w:rPr>
            </w:pPr>
            <w:r>
              <w:rPr>
                <w:rFonts w:cstheme="minorHAnsi"/>
                <w:color w:val="185262"/>
              </w:rPr>
              <w:t xml:space="preserve">UNDP </w:t>
            </w:r>
            <w:r w:rsidR="00997522">
              <w:rPr>
                <w:rFonts w:cstheme="minorHAnsi"/>
                <w:color w:val="185262"/>
              </w:rPr>
              <w:t xml:space="preserve">Project Team </w:t>
            </w:r>
            <w:r>
              <w:rPr>
                <w:rFonts w:cstheme="minorHAnsi"/>
                <w:color w:val="185262"/>
              </w:rPr>
              <w:t>through</w:t>
            </w:r>
            <w:r w:rsidR="00997522">
              <w:rPr>
                <w:rFonts w:cstheme="minorHAnsi"/>
                <w:color w:val="185262"/>
              </w:rPr>
              <w:t xml:space="preserve"> the Project’s</w:t>
            </w:r>
            <w:r>
              <w:rPr>
                <w:rFonts w:cstheme="minorHAnsi"/>
                <w:color w:val="185262"/>
              </w:rPr>
              <w:t xml:space="preserve"> 3</w:t>
            </w:r>
            <w:r w:rsidRPr="00C10609">
              <w:rPr>
                <w:rFonts w:cstheme="minorHAnsi"/>
                <w:color w:val="185262"/>
                <w:vertAlign w:val="superscript"/>
              </w:rPr>
              <w:t>rd</w:t>
            </w:r>
            <w:r>
              <w:rPr>
                <w:rFonts w:cstheme="minorHAnsi"/>
                <w:color w:val="185262"/>
              </w:rPr>
              <w:t xml:space="preserve"> phase </w:t>
            </w:r>
          </w:p>
        </w:tc>
        <w:tc>
          <w:tcPr>
            <w:tcW w:w="1218" w:type="dxa"/>
          </w:tcPr>
          <w:p w14:paraId="40D7B3C4"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2E183A46" w14:textId="764AA8ED" w:rsidR="00E61BD7" w:rsidRPr="008711DF" w:rsidRDefault="00222416" w:rsidP="00260FE5">
            <w:pPr>
              <w:tabs>
                <w:tab w:val="left" w:pos="1080"/>
              </w:tabs>
              <w:spacing w:after="0" w:line="240" w:lineRule="auto"/>
              <w:jc w:val="both"/>
              <w:rPr>
                <w:rFonts w:cstheme="minorHAnsi"/>
                <w:color w:val="185262"/>
              </w:rPr>
            </w:pPr>
            <w:r>
              <w:rPr>
                <w:rFonts w:cstheme="minorHAnsi"/>
                <w:color w:val="185262"/>
              </w:rPr>
              <w:t>Not initiated</w:t>
            </w:r>
          </w:p>
        </w:tc>
      </w:tr>
      <w:tr w:rsidR="00E61BD7" w:rsidRPr="008711DF" w14:paraId="2F06A403" w14:textId="77777777" w:rsidTr="00997522">
        <w:tc>
          <w:tcPr>
            <w:tcW w:w="3648" w:type="dxa"/>
          </w:tcPr>
          <w:p w14:paraId="422E1AEE" w14:textId="293F8FD3"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3.2</w:t>
            </w:r>
            <w:r w:rsidR="00997522">
              <w:rPr>
                <w:rFonts w:cstheme="minorHAnsi"/>
                <w:color w:val="185262"/>
              </w:rPr>
              <w:t xml:space="preserve"> </w:t>
            </w:r>
            <w:r w:rsidR="00997522" w:rsidRPr="00997522">
              <w:rPr>
                <w:rFonts w:cstheme="minorHAnsi"/>
                <w:color w:val="185262"/>
              </w:rPr>
              <w:t>Analyse potential cooperation with IFIs providing loans through commercial banks</w:t>
            </w:r>
            <w:r w:rsidR="00222416">
              <w:rPr>
                <w:rFonts w:cstheme="minorHAnsi"/>
                <w:color w:val="185262"/>
              </w:rPr>
              <w:t>.</w:t>
            </w:r>
          </w:p>
        </w:tc>
        <w:tc>
          <w:tcPr>
            <w:tcW w:w="1280" w:type="dxa"/>
          </w:tcPr>
          <w:p w14:paraId="7DCBF433" w14:textId="0CCFD95D" w:rsidR="00E61BD7" w:rsidRPr="008711DF" w:rsidRDefault="00997522" w:rsidP="00260FE5">
            <w:pPr>
              <w:tabs>
                <w:tab w:val="left" w:pos="1080"/>
              </w:tabs>
              <w:spacing w:after="0" w:line="240" w:lineRule="auto"/>
              <w:jc w:val="both"/>
              <w:rPr>
                <w:rFonts w:cstheme="minorHAnsi"/>
                <w:color w:val="185262"/>
              </w:rPr>
            </w:pPr>
            <w:r>
              <w:rPr>
                <w:rFonts w:cstheme="minorHAnsi"/>
                <w:color w:val="185262"/>
              </w:rPr>
              <w:t>December 2022</w:t>
            </w:r>
          </w:p>
        </w:tc>
        <w:tc>
          <w:tcPr>
            <w:tcW w:w="1676" w:type="dxa"/>
          </w:tcPr>
          <w:p w14:paraId="14643D45" w14:textId="2BBABA0C" w:rsidR="00E61BD7" w:rsidRPr="008711DF" w:rsidRDefault="00997522" w:rsidP="00260FE5">
            <w:pPr>
              <w:tabs>
                <w:tab w:val="left" w:pos="1080"/>
              </w:tabs>
              <w:spacing w:after="0" w:line="240" w:lineRule="auto"/>
              <w:jc w:val="both"/>
              <w:rPr>
                <w:rFonts w:cstheme="minorHAnsi"/>
                <w:color w:val="185262"/>
              </w:rPr>
            </w:pPr>
            <w:r w:rsidRPr="00997522">
              <w:rPr>
                <w:rFonts w:cstheme="minorHAnsi"/>
                <w:color w:val="185262"/>
              </w:rPr>
              <w:t>UNDP Project Team through the Project’s 3rd phase</w:t>
            </w:r>
          </w:p>
        </w:tc>
        <w:tc>
          <w:tcPr>
            <w:tcW w:w="1218" w:type="dxa"/>
          </w:tcPr>
          <w:p w14:paraId="648F338A"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64B92D2B" w14:textId="68896150" w:rsidR="00E61BD7" w:rsidRPr="008711DF" w:rsidRDefault="00222416" w:rsidP="00260FE5">
            <w:pPr>
              <w:tabs>
                <w:tab w:val="left" w:pos="1080"/>
              </w:tabs>
              <w:spacing w:after="0" w:line="240" w:lineRule="auto"/>
              <w:jc w:val="both"/>
              <w:rPr>
                <w:rFonts w:cstheme="minorHAnsi"/>
                <w:color w:val="185262"/>
              </w:rPr>
            </w:pPr>
            <w:r>
              <w:rPr>
                <w:rFonts w:cstheme="minorHAnsi"/>
                <w:color w:val="185262"/>
              </w:rPr>
              <w:t>Not initiated</w:t>
            </w:r>
          </w:p>
        </w:tc>
      </w:tr>
      <w:tr w:rsidR="007D687B" w:rsidRPr="008711DF" w14:paraId="2D0073D4" w14:textId="77777777" w:rsidTr="007D687B">
        <w:tc>
          <w:tcPr>
            <w:tcW w:w="9016" w:type="dxa"/>
            <w:gridSpan w:val="5"/>
            <w:shd w:val="clear" w:color="auto" w:fill="EAF6F3"/>
          </w:tcPr>
          <w:p w14:paraId="4C11A2AB" w14:textId="6089E0E3" w:rsidR="007D687B" w:rsidRDefault="007D687B" w:rsidP="00C23EB1">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p>
          <w:p w14:paraId="24854353" w14:textId="77777777" w:rsidR="005F1BBD" w:rsidRDefault="005F1BBD" w:rsidP="00C23EB1">
            <w:pPr>
              <w:tabs>
                <w:tab w:val="left" w:pos="1080"/>
              </w:tabs>
              <w:spacing w:after="0" w:line="240" w:lineRule="auto"/>
              <w:jc w:val="both"/>
              <w:rPr>
                <w:rFonts w:cstheme="minorHAnsi"/>
                <w:b/>
                <w:color w:val="185262"/>
              </w:rPr>
            </w:pPr>
          </w:p>
          <w:p w14:paraId="11818406" w14:textId="77777777" w:rsidR="007D687B" w:rsidRDefault="007D687B" w:rsidP="007D687B">
            <w:pPr>
              <w:jc w:val="both"/>
              <w:rPr>
                <w:rFonts w:ascii="Myriad Pro" w:hAnsi="Myriad Pro" w:cs="Times New Roman"/>
              </w:rPr>
            </w:pPr>
            <w:r w:rsidRPr="00B67257">
              <w:rPr>
                <w:rFonts w:ascii="Myriad Pro" w:hAnsi="Myriad Pro" w:cs="Times New Roman"/>
              </w:rPr>
              <w:t xml:space="preserve">UNDP should consider more strategically the role of social norms as a crucial determinant of perceptions and decisions about </w:t>
            </w:r>
            <w:r>
              <w:rPr>
                <w:rFonts w:ascii="Myriad Pro" w:hAnsi="Myriad Pro" w:cs="Times New Roman"/>
              </w:rPr>
              <w:t>energy efficiency</w:t>
            </w:r>
            <w:r w:rsidRPr="00B67257">
              <w:rPr>
                <w:rFonts w:ascii="Myriad Pro" w:hAnsi="Myriad Pro" w:cs="Times New Roman"/>
              </w:rPr>
              <w:t xml:space="preserve">. </w:t>
            </w:r>
          </w:p>
          <w:p w14:paraId="50CE0B37" w14:textId="76B58B60" w:rsidR="007D687B" w:rsidRDefault="007D687B" w:rsidP="00464AE5">
            <w:pPr>
              <w:spacing w:after="0" w:line="240" w:lineRule="auto"/>
              <w:jc w:val="both"/>
              <w:rPr>
                <w:rFonts w:ascii="Myriad Pro" w:hAnsi="Myriad Pro" w:cs="Times New Roman"/>
              </w:rPr>
            </w:pPr>
            <w:r w:rsidRPr="00464AE5">
              <w:rPr>
                <w:rFonts w:ascii="Myriad Pro" w:hAnsi="Myriad Pro" w:cs="Times New Roman"/>
              </w:rPr>
              <w:t xml:space="preserve">UNDP interventions should be more focused on what </w:t>
            </w:r>
            <w:proofErr w:type="gramStart"/>
            <w:r w:rsidRPr="00464AE5">
              <w:rPr>
                <w:rFonts w:ascii="Myriad Pro" w:hAnsi="Myriad Pro" w:cs="Times New Roman"/>
              </w:rPr>
              <w:t>actually works</w:t>
            </w:r>
            <w:proofErr w:type="gramEnd"/>
            <w:r w:rsidRPr="00464AE5">
              <w:rPr>
                <w:rFonts w:ascii="Myriad Pro" w:hAnsi="Myriad Pro" w:cs="Times New Roman"/>
              </w:rPr>
              <w:t xml:space="preserve"> in practice and should be cognizant of the norms that prevail in the communities. This requires a more analytical and data-driven approach to awareness-raising and publicity activities, which so far seem to have been more generic in nature. </w:t>
            </w:r>
          </w:p>
          <w:p w14:paraId="2DB0E60D" w14:textId="77777777" w:rsidR="005F1BBD" w:rsidRPr="00464AE5" w:rsidRDefault="005F1BBD" w:rsidP="00464AE5">
            <w:pPr>
              <w:spacing w:after="0" w:line="240" w:lineRule="auto"/>
              <w:jc w:val="both"/>
              <w:rPr>
                <w:rFonts w:ascii="Myriad Pro" w:hAnsi="Myriad Pro" w:cs="Times New Roman"/>
              </w:rPr>
            </w:pPr>
          </w:p>
          <w:p w14:paraId="0F1ED5E5" w14:textId="708DC983" w:rsidR="007D687B" w:rsidRPr="008711DF" w:rsidRDefault="007D687B" w:rsidP="007D687B">
            <w:pPr>
              <w:tabs>
                <w:tab w:val="left" w:pos="1080"/>
              </w:tabs>
              <w:spacing w:after="0" w:line="240" w:lineRule="auto"/>
              <w:jc w:val="both"/>
              <w:rPr>
                <w:rFonts w:cstheme="minorHAnsi"/>
                <w:b/>
                <w:color w:val="185262"/>
              </w:rPr>
            </w:pPr>
            <w:r w:rsidRPr="00E6102C">
              <w:rPr>
                <w:rFonts w:ascii="Myriad Pro" w:hAnsi="Myriad Pro" w:cs="Times New Roman"/>
              </w:rPr>
              <w:t xml:space="preserve">In GED </w:t>
            </w:r>
            <w:r>
              <w:rPr>
                <w:rFonts w:ascii="Myriad Pro" w:hAnsi="Myriad Pro" w:cs="Times New Roman"/>
              </w:rPr>
              <w:t>III</w:t>
            </w:r>
            <w:r w:rsidRPr="00E6102C">
              <w:rPr>
                <w:rFonts w:ascii="Myriad Pro" w:hAnsi="Myriad Pro" w:cs="Times New Roman"/>
              </w:rPr>
              <w:t xml:space="preserve">, the issue of social norms and mentality could be approached more strategically by using more effectively the latest findings from experimental psychology and </w:t>
            </w:r>
            <w:r w:rsidR="00997522" w:rsidRPr="00E6102C">
              <w:rPr>
                <w:rFonts w:ascii="Myriad Pro" w:hAnsi="Myriad Pro" w:cs="Times New Roman"/>
              </w:rPr>
              <w:t>behavioural</w:t>
            </w:r>
            <w:r w:rsidRPr="00E6102C">
              <w:rPr>
                <w:rFonts w:ascii="Myriad Pro" w:hAnsi="Myriad Pro" w:cs="Times New Roman"/>
              </w:rPr>
              <w:t xml:space="preserve"> economics (</w:t>
            </w:r>
            <w:proofErr w:type="gramStart"/>
            <w:r w:rsidRPr="00E6102C">
              <w:rPr>
                <w:rFonts w:ascii="Myriad Pro" w:hAnsi="Myriad Pro" w:cs="Times New Roman"/>
              </w:rPr>
              <w:t>i.e.</w:t>
            </w:r>
            <w:proofErr w:type="gramEnd"/>
            <w:r w:rsidRPr="00E6102C">
              <w:rPr>
                <w:rFonts w:ascii="Myriad Pro" w:hAnsi="Myriad Pro" w:cs="Times New Roman"/>
              </w:rPr>
              <w:t xml:space="preserve"> Framing and Psychological Cues, Status Quo Bias/Inertia, Discounting the Future, etc.)</w:t>
            </w:r>
            <w:r>
              <w:rPr>
                <w:rFonts w:ascii="Myriad Pro" w:hAnsi="Myriad Pro" w:cs="Times New Roman"/>
              </w:rPr>
              <w:t>, rather than taking broader information-sharing approaches using large-scale marketing campaigns</w:t>
            </w:r>
          </w:p>
        </w:tc>
      </w:tr>
      <w:tr w:rsidR="007D687B" w:rsidRPr="008711DF" w14:paraId="11C4CC79" w14:textId="77777777" w:rsidTr="007D687B">
        <w:tc>
          <w:tcPr>
            <w:tcW w:w="9016" w:type="dxa"/>
            <w:gridSpan w:val="5"/>
            <w:shd w:val="clear" w:color="auto" w:fill="EAF6F3"/>
          </w:tcPr>
          <w:p w14:paraId="05686A5B" w14:textId="77777777" w:rsidR="007D687B" w:rsidRPr="008711DF" w:rsidRDefault="007D687B" w:rsidP="00C23EB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tc>
      </w:tr>
      <w:tr w:rsidR="007D687B" w:rsidRPr="008711DF" w14:paraId="4D6DD3C5" w14:textId="77777777" w:rsidTr="00997522">
        <w:trPr>
          <w:trHeight w:val="135"/>
        </w:trPr>
        <w:tc>
          <w:tcPr>
            <w:tcW w:w="3648" w:type="dxa"/>
            <w:vMerge w:val="restart"/>
            <w:shd w:val="clear" w:color="auto" w:fill="EAF6F3"/>
          </w:tcPr>
          <w:p w14:paraId="45E50643" w14:textId="77777777" w:rsidR="007D687B" w:rsidRPr="008711DF" w:rsidRDefault="007D687B" w:rsidP="00C23EB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280" w:type="dxa"/>
            <w:vMerge w:val="restart"/>
            <w:shd w:val="clear" w:color="auto" w:fill="EAF6F3"/>
          </w:tcPr>
          <w:p w14:paraId="7E2E1D0A" w14:textId="77777777" w:rsidR="007D687B" w:rsidRPr="008711DF" w:rsidRDefault="007D687B" w:rsidP="00C23EB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676" w:type="dxa"/>
            <w:vMerge w:val="restart"/>
            <w:shd w:val="clear" w:color="auto" w:fill="EAF6F3"/>
          </w:tcPr>
          <w:p w14:paraId="4A1D0DA1" w14:textId="77777777" w:rsidR="007D687B" w:rsidRPr="008711DF" w:rsidRDefault="007D687B" w:rsidP="00C23EB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2" w:type="dxa"/>
            <w:gridSpan w:val="2"/>
            <w:shd w:val="clear" w:color="auto" w:fill="EAF6F3"/>
          </w:tcPr>
          <w:p w14:paraId="57A0C336" w14:textId="77777777" w:rsidR="007D687B" w:rsidRPr="008711DF" w:rsidRDefault="007D687B" w:rsidP="00C23EB1">
            <w:pPr>
              <w:tabs>
                <w:tab w:val="left" w:pos="1080"/>
              </w:tabs>
              <w:spacing w:after="0" w:line="240" w:lineRule="auto"/>
              <w:jc w:val="both"/>
              <w:rPr>
                <w:rFonts w:cstheme="minorHAnsi"/>
                <w:b/>
                <w:color w:val="185262"/>
              </w:rPr>
            </w:pPr>
            <w:r w:rsidRPr="008711DF">
              <w:rPr>
                <w:rFonts w:cstheme="minorHAnsi"/>
                <w:b/>
                <w:color w:val="185262"/>
              </w:rPr>
              <w:t>Tracking</w:t>
            </w:r>
          </w:p>
        </w:tc>
      </w:tr>
      <w:tr w:rsidR="007D687B" w:rsidRPr="008711DF" w14:paraId="687102FE" w14:textId="77777777" w:rsidTr="00997522">
        <w:trPr>
          <w:trHeight w:val="135"/>
        </w:trPr>
        <w:tc>
          <w:tcPr>
            <w:tcW w:w="3648" w:type="dxa"/>
            <w:vMerge/>
            <w:shd w:val="clear" w:color="auto" w:fill="F3F3F3"/>
          </w:tcPr>
          <w:p w14:paraId="09620EA7" w14:textId="77777777" w:rsidR="007D687B" w:rsidRPr="008711DF" w:rsidRDefault="007D687B" w:rsidP="00C23EB1">
            <w:pPr>
              <w:tabs>
                <w:tab w:val="left" w:pos="1080"/>
              </w:tabs>
              <w:spacing w:after="0" w:line="240" w:lineRule="auto"/>
              <w:jc w:val="both"/>
              <w:rPr>
                <w:rFonts w:cstheme="minorHAnsi"/>
                <w:color w:val="185262"/>
              </w:rPr>
            </w:pPr>
          </w:p>
        </w:tc>
        <w:tc>
          <w:tcPr>
            <w:tcW w:w="1280" w:type="dxa"/>
            <w:vMerge/>
            <w:shd w:val="clear" w:color="auto" w:fill="F3F3F3"/>
          </w:tcPr>
          <w:p w14:paraId="11D8C73B" w14:textId="77777777" w:rsidR="007D687B" w:rsidRPr="008711DF" w:rsidRDefault="007D687B" w:rsidP="00C23EB1">
            <w:pPr>
              <w:tabs>
                <w:tab w:val="left" w:pos="1080"/>
              </w:tabs>
              <w:spacing w:after="0" w:line="240" w:lineRule="auto"/>
              <w:jc w:val="both"/>
              <w:rPr>
                <w:rFonts w:cstheme="minorHAnsi"/>
                <w:b/>
                <w:color w:val="185262"/>
              </w:rPr>
            </w:pPr>
          </w:p>
        </w:tc>
        <w:tc>
          <w:tcPr>
            <w:tcW w:w="1676" w:type="dxa"/>
            <w:vMerge/>
            <w:shd w:val="clear" w:color="auto" w:fill="F3F3F3"/>
          </w:tcPr>
          <w:p w14:paraId="445FDC81" w14:textId="77777777" w:rsidR="007D687B" w:rsidRPr="008711DF" w:rsidRDefault="007D687B" w:rsidP="00C23EB1">
            <w:pPr>
              <w:tabs>
                <w:tab w:val="left" w:pos="1080"/>
              </w:tabs>
              <w:spacing w:after="0" w:line="240" w:lineRule="auto"/>
              <w:jc w:val="both"/>
              <w:rPr>
                <w:rFonts w:cstheme="minorHAnsi"/>
                <w:b/>
                <w:color w:val="185262"/>
              </w:rPr>
            </w:pPr>
          </w:p>
        </w:tc>
        <w:tc>
          <w:tcPr>
            <w:tcW w:w="1218" w:type="dxa"/>
          </w:tcPr>
          <w:p w14:paraId="2C9B11F0" w14:textId="77777777" w:rsidR="007D687B" w:rsidRPr="008711DF" w:rsidRDefault="007D687B" w:rsidP="00C23EB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40BEC31" w14:textId="77777777" w:rsidR="007D687B" w:rsidRPr="008711DF" w:rsidRDefault="007D687B" w:rsidP="00C23EB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C10609" w:rsidRPr="008711DF" w14:paraId="592925E0" w14:textId="77777777" w:rsidTr="00997522">
        <w:tc>
          <w:tcPr>
            <w:tcW w:w="3648" w:type="dxa"/>
          </w:tcPr>
          <w:p w14:paraId="3FBFC20A" w14:textId="718659F6" w:rsidR="00C10609" w:rsidRPr="007D687B" w:rsidRDefault="00C10609" w:rsidP="00C10609">
            <w:pPr>
              <w:tabs>
                <w:tab w:val="left" w:pos="1080"/>
              </w:tabs>
              <w:spacing w:after="0" w:line="240" w:lineRule="auto"/>
              <w:rPr>
                <w:rFonts w:cstheme="minorHAnsi"/>
                <w:color w:val="185262"/>
                <w:lang w:val="bs-Latn-BA"/>
              </w:rPr>
            </w:pPr>
            <w:r w:rsidRPr="007D687B">
              <w:rPr>
                <w:rFonts w:cstheme="minorHAnsi"/>
                <w:color w:val="185262"/>
                <w:lang w:val="bs-Latn-BA"/>
              </w:rPr>
              <w:t xml:space="preserve">4.1  </w:t>
            </w:r>
            <w:proofErr w:type="spellStart"/>
            <w:r w:rsidRPr="007D687B">
              <w:rPr>
                <w:rFonts w:cstheme="minorHAnsi"/>
                <w:color w:val="185262"/>
                <w:lang w:val="bs-Latn-BA"/>
              </w:rPr>
              <w:t>Formal</w:t>
            </w:r>
            <w:proofErr w:type="spellEnd"/>
            <w:r w:rsidRPr="007D687B">
              <w:rPr>
                <w:rFonts w:cstheme="minorHAnsi"/>
                <w:color w:val="185262"/>
                <w:lang w:val="bs-Latn-BA"/>
              </w:rPr>
              <w:t xml:space="preserve"> </w:t>
            </w:r>
            <w:proofErr w:type="spellStart"/>
            <w:r w:rsidRPr="007D687B">
              <w:rPr>
                <w:rFonts w:cstheme="minorHAnsi"/>
                <w:color w:val="185262"/>
                <w:lang w:val="bs-Latn-BA"/>
              </w:rPr>
              <w:t>evaluations</w:t>
            </w:r>
            <w:proofErr w:type="spellEnd"/>
            <w:r w:rsidRPr="007D687B">
              <w:rPr>
                <w:rFonts w:cstheme="minorHAnsi"/>
                <w:color w:val="185262"/>
                <w:lang w:val="bs-Latn-BA"/>
              </w:rPr>
              <w:t xml:space="preserve"> </w:t>
            </w:r>
            <w:proofErr w:type="spellStart"/>
            <w:r w:rsidRPr="007D687B">
              <w:rPr>
                <w:rFonts w:cstheme="minorHAnsi"/>
                <w:color w:val="185262"/>
                <w:lang w:val="bs-Latn-BA"/>
              </w:rPr>
              <w:t>conducted</w:t>
            </w:r>
            <w:proofErr w:type="spellEnd"/>
            <w:r w:rsidRPr="007D687B">
              <w:rPr>
                <w:rFonts w:cstheme="minorHAnsi"/>
                <w:color w:val="185262"/>
                <w:lang w:val="bs-Latn-BA"/>
              </w:rPr>
              <w:t xml:space="preserve"> </w:t>
            </w:r>
            <w:proofErr w:type="spellStart"/>
            <w:r w:rsidRPr="007D687B">
              <w:rPr>
                <w:rFonts w:cstheme="minorHAnsi"/>
                <w:color w:val="185262"/>
                <w:lang w:val="bs-Latn-BA"/>
              </w:rPr>
              <w:t>by</w:t>
            </w:r>
            <w:proofErr w:type="spellEnd"/>
            <w:r w:rsidRPr="007D687B">
              <w:rPr>
                <w:rFonts w:cstheme="minorHAnsi"/>
                <w:color w:val="185262"/>
                <w:lang w:val="bs-Latn-BA"/>
              </w:rPr>
              <w:t xml:space="preserve"> independent evaluators and communications experts, as </w:t>
            </w:r>
            <w:proofErr w:type="spellStart"/>
            <w:r w:rsidRPr="007D687B">
              <w:rPr>
                <w:rFonts w:cstheme="minorHAnsi"/>
                <w:color w:val="185262"/>
                <w:lang w:val="bs-Latn-BA"/>
              </w:rPr>
              <w:t>well</w:t>
            </w:r>
            <w:proofErr w:type="spellEnd"/>
            <w:r w:rsidRPr="007D687B">
              <w:rPr>
                <w:rFonts w:cstheme="minorHAnsi"/>
                <w:color w:val="185262"/>
                <w:lang w:val="bs-Latn-BA"/>
              </w:rPr>
              <w:t xml:space="preserve"> as </w:t>
            </w:r>
            <w:proofErr w:type="spellStart"/>
            <w:r w:rsidRPr="007D687B">
              <w:rPr>
                <w:rFonts w:cstheme="minorHAnsi"/>
                <w:color w:val="185262"/>
                <w:lang w:val="bs-Latn-BA"/>
              </w:rPr>
              <w:t>by</w:t>
            </w:r>
            <w:proofErr w:type="spellEnd"/>
            <w:r w:rsidRPr="007D687B">
              <w:rPr>
                <w:rFonts w:cstheme="minorHAnsi"/>
                <w:color w:val="185262"/>
                <w:lang w:val="bs-Latn-BA"/>
              </w:rPr>
              <w:t xml:space="preserve"> </w:t>
            </w:r>
            <w:proofErr w:type="spellStart"/>
            <w:r w:rsidRPr="007D687B">
              <w:rPr>
                <w:rFonts w:cstheme="minorHAnsi"/>
                <w:color w:val="185262"/>
                <w:lang w:val="bs-Latn-BA"/>
              </w:rPr>
              <w:t>engaging</w:t>
            </w:r>
            <w:proofErr w:type="spellEnd"/>
            <w:r w:rsidRPr="007D687B">
              <w:rPr>
                <w:rFonts w:cstheme="minorHAnsi"/>
                <w:color w:val="185262"/>
                <w:lang w:val="bs-Latn-BA"/>
              </w:rPr>
              <w:t xml:space="preserve"> marketing </w:t>
            </w:r>
            <w:proofErr w:type="spellStart"/>
            <w:r w:rsidRPr="007D687B">
              <w:rPr>
                <w:rFonts w:cstheme="minorHAnsi"/>
                <w:color w:val="185262"/>
                <w:lang w:val="bs-Latn-BA"/>
              </w:rPr>
              <w:t>agency</w:t>
            </w:r>
            <w:proofErr w:type="spellEnd"/>
            <w:r w:rsidRPr="007D687B">
              <w:rPr>
                <w:rFonts w:cstheme="minorHAnsi"/>
                <w:color w:val="185262"/>
                <w:lang w:val="bs-Latn-BA"/>
              </w:rPr>
              <w:t xml:space="preserve"> to </w:t>
            </w:r>
            <w:proofErr w:type="spellStart"/>
            <w:r w:rsidRPr="007D687B">
              <w:rPr>
                <w:rFonts w:cstheme="minorHAnsi"/>
                <w:color w:val="185262"/>
                <w:lang w:val="bs-Latn-BA"/>
              </w:rPr>
              <w:t>conduct</w:t>
            </w:r>
            <w:proofErr w:type="spellEnd"/>
            <w:r w:rsidRPr="007D687B">
              <w:rPr>
                <w:rFonts w:cstheme="minorHAnsi"/>
                <w:color w:val="185262"/>
                <w:lang w:val="bs-Latn-BA"/>
              </w:rPr>
              <w:t xml:space="preserve"> </w:t>
            </w:r>
            <w:proofErr w:type="spellStart"/>
            <w:r w:rsidRPr="007D687B">
              <w:rPr>
                <w:rFonts w:cstheme="minorHAnsi"/>
                <w:color w:val="185262"/>
                <w:lang w:val="bs-Latn-BA"/>
              </w:rPr>
              <w:t>research</w:t>
            </w:r>
            <w:proofErr w:type="spellEnd"/>
            <w:r w:rsidRPr="007D687B">
              <w:rPr>
                <w:rFonts w:cstheme="minorHAnsi"/>
                <w:color w:val="185262"/>
                <w:lang w:val="bs-Latn-BA"/>
              </w:rPr>
              <w:t xml:space="preserve"> </w:t>
            </w:r>
            <w:proofErr w:type="spellStart"/>
            <w:r w:rsidRPr="007D687B">
              <w:rPr>
                <w:rFonts w:cstheme="minorHAnsi"/>
                <w:color w:val="185262"/>
                <w:lang w:val="bs-Latn-BA"/>
              </w:rPr>
              <w:t>targeting</w:t>
            </w:r>
            <w:proofErr w:type="spellEnd"/>
            <w:r w:rsidRPr="007D687B">
              <w:rPr>
                <w:rFonts w:cstheme="minorHAnsi"/>
                <w:color w:val="185262"/>
                <w:lang w:val="bs-Latn-BA"/>
              </w:rPr>
              <w:t xml:space="preserve"> </w:t>
            </w:r>
            <w:proofErr w:type="spellStart"/>
            <w:r w:rsidRPr="007D687B">
              <w:rPr>
                <w:rFonts w:cstheme="minorHAnsi"/>
                <w:color w:val="185262"/>
                <w:lang w:val="bs-Latn-BA"/>
              </w:rPr>
              <w:t>citizens</w:t>
            </w:r>
            <w:proofErr w:type="spellEnd"/>
            <w:r w:rsidRPr="007D687B">
              <w:rPr>
                <w:rFonts w:cstheme="minorHAnsi"/>
                <w:color w:val="185262"/>
                <w:lang w:val="bs-Latn-BA"/>
              </w:rPr>
              <w:t xml:space="preserve">; </w:t>
            </w:r>
          </w:p>
        </w:tc>
        <w:tc>
          <w:tcPr>
            <w:tcW w:w="1280" w:type="dxa"/>
          </w:tcPr>
          <w:p w14:paraId="3A83D32C" w14:textId="1F21E83B" w:rsidR="00C10609" w:rsidRPr="008711DF" w:rsidRDefault="00C10609" w:rsidP="00C10609">
            <w:pPr>
              <w:tabs>
                <w:tab w:val="left" w:pos="1080"/>
              </w:tabs>
              <w:spacing w:after="0" w:line="240" w:lineRule="auto"/>
              <w:jc w:val="both"/>
              <w:rPr>
                <w:rFonts w:cstheme="minorHAnsi"/>
                <w:color w:val="185262"/>
              </w:rPr>
            </w:pPr>
            <w:r>
              <w:rPr>
                <w:rFonts w:cstheme="minorHAnsi"/>
                <w:color w:val="185262"/>
              </w:rPr>
              <w:t>December 2022</w:t>
            </w:r>
          </w:p>
        </w:tc>
        <w:tc>
          <w:tcPr>
            <w:tcW w:w="1676" w:type="dxa"/>
          </w:tcPr>
          <w:p w14:paraId="6E491B25" w14:textId="7E64E323" w:rsidR="00C10609" w:rsidRPr="008711DF" w:rsidRDefault="00C10609" w:rsidP="00C10609">
            <w:pPr>
              <w:tabs>
                <w:tab w:val="left" w:pos="1080"/>
              </w:tabs>
              <w:spacing w:after="0" w:line="240" w:lineRule="auto"/>
              <w:jc w:val="both"/>
              <w:rPr>
                <w:rFonts w:cstheme="minorHAnsi"/>
                <w:color w:val="185262"/>
              </w:rPr>
            </w:pPr>
            <w:r>
              <w:rPr>
                <w:rFonts w:cstheme="minorHAnsi"/>
                <w:color w:val="185262"/>
              </w:rPr>
              <w:t>UNDP through GED 3</w:t>
            </w:r>
            <w:r w:rsidRPr="00C10609">
              <w:rPr>
                <w:rFonts w:cstheme="minorHAnsi"/>
                <w:color w:val="185262"/>
                <w:vertAlign w:val="superscript"/>
              </w:rPr>
              <w:t>rd</w:t>
            </w:r>
            <w:r>
              <w:rPr>
                <w:rFonts w:cstheme="minorHAnsi"/>
                <w:color w:val="185262"/>
              </w:rPr>
              <w:t xml:space="preserve"> phase </w:t>
            </w:r>
          </w:p>
        </w:tc>
        <w:tc>
          <w:tcPr>
            <w:tcW w:w="1218" w:type="dxa"/>
          </w:tcPr>
          <w:p w14:paraId="05A34452" w14:textId="2475F541" w:rsidR="00C10609" w:rsidRPr="008711DF" w:rsidRDefault="00222416" w:rsidP="00C10609">
            <w:pPr>
              <w:tabs>
                <w:tab w:val="left" w:pos="1080"/>
              </w:tabs>
              <w:spacing w:after="0" w:line="240" w:lineRule="auto"/>
              <w:jc w:val="both"/>
              <w:rPr>
                <w:rFonts w:cstheme="minorHAnsi"/>
                <w:color w:val="185262"/>
              </w:rPr>
            </w:pPr>
            <w:r>
              <w:rPr>
                <w:rFonts w:cstheme="minorHAnsi"/>
                <w:color w:val="185262"/>
              </w:rPr>
              <w:t xml:space="preserve">Focus groups organized with key stakeholders to understand their perspective and knowledge on energy efficiency management. Public research on energy efficiency which will serve as an input for design of media campaigns to increase knowledge on energy </w:t>
            </w:r>
            <w:r w:rsidR="00705F62">
              <w:rPr>
                <w:rFonts w:cstheme="minorHAnsi"/>
                <w:color w:val="185262"/>
              </w:rPr>
              <w:t>efficiency</w:t>
            </w:r>
            <w:r>
              <w:rPr>
                <w:rFonts w:cstheme="minorHAnsi"/>
                <w:color w:val="185262"/>
              </w:rPr>
              <w:t xml:space="preserve">. </w:t>
            </w:r>
          </w:p>
        </w:tc>
        <w:tc>
          <w:tcPr>
            <w:tcW w:w="1194" w:type="dxa"/>
          </w:tcPr>
          <w:p w14:paraId="6380A43A" w14:textId="497A4095" w:rsidR="00C10609" w:rsidRPr="008711DF" w:rsidRDefault="00222416" w:rsidP="00C10609">
            <w:pPr>
              <w:tabs>
                <w:tab w:val="left" w:pos="1080"/>
              </w:tabs>
              <w:spacing w:after="0" w:line="240" w:lineRule="auto"/>
              <w:jc w:val="both"/>
              <w:rPr>
                <w:rFonts w:cstheme="minorHAnsi"/>
                <w:color w:val="185262"/>
              </w:rPr>
            </w:pPr>
            <w:r>
              <w:rPr>
                <w:rFonts w:cstheme="minorHAnsi"/>
                <w:color w:val="185262"/>
              </w:rPr>
              <w:t xml:space="preserve">Initiated </w:t>
            </w:r>
          </w:p>
        </w:tc>
      </w:tr>
    </w:tbl>
    <w:p w14:paraId="0420B00E" w14:textId="77777777" w:rsidR="00E61BD7" w:rsidRPr="00BF5D14" w:rsidRDefault="00E61BD7" w:rsidP="00E61BD7">
      <w:pPr>
        <w:tabs>
          <w:tab w:val="left" w:pos="1080"/>
        </w:tabs>
        <w:spacing w:after="0" w:line="240" w:lineRule="auto"/>
        <w:jc w:val="both"/>
        <w:rPr>
          <w:rFonts w:cstheme="minorHAnsi"/>
          <w:lang w:eastAsia="ja-JP"/>
        </w:rPr>
      </w:pPr>
    </w:p>
    <w:sectPr w:rsidR="00E61BD7" w:rsidRPr="00BF5D14"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8D8"/>
    <w:multiLevelType w:val="hybridMultilevel"/>
    <w:tmpl w:val="B626625C"/>
    <w:lvl w:ilvl="0" w:tplc="D09A5282">
      <w:start w:val="1"/>
      <w:numFmt w:val="bullet"/>
      <w:lvlText w:val=""/>
      <w:lvlJc w:val="left"/>
      <w:pPr>
        <w:tabs>
          <w:tab w:val="num" w:pos="720"/>
        </w:tabs>
        <w:ind w:left="720" w:hanging="360"/>
      </w:pPr>
      <w:rPr>
        <w:rFonts w:ascii="Wingdings" w:hAnsi="Wingdings" w:hint="default"/>
      </w:rPr>
    </w:lvl>
    <w:lvl w:ilvl="1" w:tplc="98F0C156" w:tentative="1">
      <w:start w:val="1"/>
      <w:numFmt w:val="bullet"/>
      <w:lvlText w:val=""/>
      <w:lvlJc w:val="left"/>
      <w:pPr>
        <w:tabs>
          <w:tab w:val="num" w:pos="1440"/>
        </w:tabs>
        <w:ind w:left="1440" w:hanging="360"/>
      </w:pPr>
      <w:rPr>
        <w:rFonts w:ascii="Wingdings" w:hAnsi="Wingdings" w:hint="default"/>
      </w:rPr>
    </w:lvl>
    <w:lvl w:ilvl="2" w:tplc="AAF05D9E" w:tentative="1">
      <w:start w:val="1"/>
      <w:numFmt w:val="bullet"/>
      <w:lvlText w:val=""/>
      <w:lvlJc w:val="left"/>
      <w:pPr>
        <w:tabs>
          <w:tab w:val="num" w:pos="2160"/>
        </w:tabs>
        <w:ind w:left="2160" w:hanging="360"/>
      </w:pPr>
      <w:rPr>
        <w:rFonts w:ascii="Wingdings" w:hAnsi="Wingdings" w:hint="default"/>
      </w:rPr>
    </w:lvl>
    <w:lvl w:ilvl="3" w:tplc="DC96E1A6" w:tentative="1">
      <w:start w:val="1"/>
      <w:numFmt w:val="bullet"/>
      <w:lvlText w:val=""/>
      <w:lvlJc w:val="left"/>
      <w:pPr>
        <w:tabs>
          <w:tab w:val="num" w:pos="2880"/>
        </w:tabs>
        <w:ind w:left="2880" w:hanging="360"/>
      </w:pPr>
      <w:rPr>
        <w:rFonts w:ascii="Wingdings" w:hAnsi="Wingdings" w:hint="default"/>
      </w:rPr>
    </w:lvl>
    <w:lvl w:ilvl="4" w:tplc="4AF28096" w:tentative="1">
      <w:start w:val="1"/>
      <w:numFmt w:val="bullet"/>
      <w:lvlText w:val=""/>
      <w:lvlJc w:val="left"/>
      <w:pPr>
        <w:tabs>
          <w:tab w:val="num" w:pos="3600"/>
        </w:tabs>
        <w:ind w:left="3600" w:hanging="360"/>
      </w:pPr>
      <w:rPr>
        <w:rFonts w:ascii="Wingdings" w:hAnsi="Wingdings" w:hint="default"/>
      </w:rPr>
    </w:lvl>
    <w:lvl w:ilvl="5" w:tplc="70BC4EB0" w:tentative="1">
      <w:start w:val="1"/>
      <w:numFmt w:val="bullet"/>
      <w:lvlText w:val=""/>
      <w:lvlJc w:val="left"/>
      <w:pPr>
        <w:tabs>
          <w:tab w:val="num" w:pos="4320"/>
        </w:tabs>
        <w:ind w:left="4320" w:hanging="360"/>
      </w:pPr>
      <w:rPr>
        <w:rFonts w:ascii="Wingdings" w:hAnsi="Wingdings" w:hint="default"/>
      </w:rPr>
    </w:lvl>
    <w:lvl w:ilvl="6" w:tplc="0F56912C" w:tentative="1">
      <w:start w:val="1"/>
      <w:numFmt w:val="bullet"/>
      <w:lvlText w:val=""/>
      <w:lvlJc w:val="left"/>
      <w:pPr>
        <w:tabs>
          <w:tab w:val="num" w:pos="5040"/>
        </w:tabs>
        <w:ind w:left="5040" w:hanging="360"/>
      </w:pPr>
      <w:rPr>
        <w:rFonts w:ascii="Wingdings" w:hAnsi="Wingdings" w:hint="default"/>
      </w:rPr>
    </w:lvl>
    <w:lvl w:ilvl="7" w:tplc="BAF00CE0" w:tentative="1">
      <w:start w:val="1"/>
      <w:numFmt w:val="bullet"/>
      <w:lvlText w:val=""/>
      <w:lvlJc w:val="left"/>
      <w:pPr>
        <w:tabs>
          <w:tab w:val="num" w:pos="5760"/>
        </w:tabs>
        <w:ind w:left="5760" w:hanging="360"/>
      </w:pPr>
      <w:rPr>
        <w:rFonts w:ascii="Wingdings" w:hAnsi="Wingdings" w:hint="default"/>
      </w:rPr>
    </w:lvl>
    <w:lvl w:ilvl="8" w:tplc="44AC10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01F16"/>
    <w:multiLevelType w:val="hybridMultilevel"/>
    <w:tmpl w:val="6E1A4C92"/>
    <w:lvl w:ilvl="0" w:tplc="E0D4DCCA">
      <w:start w:val="1"/>
      <w:numFmt w:val="bullet"/>
      <w:lvlText w:val=""/>
      <w:lvlJc w:val="left"/>
      <w:pPr>
        <w:tabs>
          <w:tab w:val="num" w:pos="720"/>
        </w:tabs>
        <w:ind w:left="720" w:hanging="360"/>
      </w:pPr>
      <w:rPr>
        <w:rFonts w:ascii="Wingdings" w:hAnsi="Wingdings" w:hint="default"/>
      </w:rPr>
    </w:lvl>
    <w:lvl w:ilvl="1" w:tplc="E9E807A2" w:tentative="1">
      <w:start w:val="1"/>
      <w:numFmt w:val="bullet"/>
      <w:lvlText w:val=""/>
      <w:lvlJc w:val="left"/>
      <w:pPr>
        <w:tabs>
          <w:tab w:val="num" w:pos="1440"/>
        </w:tabs>
        <w:ind w:left="1440" w:hanging="360"/>
      </w:pPr>
      <w:rPr>
        <w:rFonts w:ascii="Wingdings" w:hAnsi="Wingdings" w:hint="default"/>
      </w:rPr>
    </w:lvl>
    <w:lvl w:ilvl="2" w:tplc="41A81D8E" w:tentative="1">
      <w:start w:val="1"/>
      <w:numFmt w:val="bullet"/>
      <w:lvlText w:val=""/>
      <w:lvlJc w:val="left"/>
      <w:pPr>
        <w:tabs>
          <w:tab w:val="num" w:pos="2160"/>
        </w:tabs>
        <w:ind w:left="2160" w:hanging="360"/>
      </w:pPr>
      <w:rPr>
        <w:rFonts w:ascii="Wingdings" w:hAnsi="Wingdings" w:hint="default"/>
      </w:rPr>
    </w:lvl>
    <w:lvl w:ilvl="3" w:tplc="535EA63A" w:tentative="1">
      <w:start w:val="1"/>
      <w:numFmt w:val="bullet"/>
      <w:lvlText w:val=""/>
      <w:lvlJc w:val="left"/>
      <w:pPr>
        <w:tabs>
          <w:tab w:val="num" w:pos="2880"/>
        </w:tabs>
        <w:ind w:left="2880" w:hanging="360"/>
      </w:pPr>
      <w:rPr>
        <w:rFonts w:ascii="Wingdings" w:hAnsi="Wingdings" w:hint="default"/>
      </w:rPr>
    </w:lvl>
    <w:lvl w:ilvl="4" w:tplc="743C8D94" w:tentative="1">
      <w:start w:val="1"/>
      <w:numFmt w:val="bullet"/>
      <w:lvlText w:val=""/>
      <w:lvlJc w:val="left"/>
      <w:pPr>
        <w:tabs>
          <w:tab w:val="num" w:pos="3600"/>
        </w:tabs>
        <w:ind w:left="3600" w:hanging="360"/>
      </w:pPr>
      <w:rPr>
        <w:rFonts w:ascii="Wingdings" w:hAnsi="Wingdings" w:hint="default"/>
      </w:rPr>
    </w:lvl>
    <w:lvl w:ilvl="5" w:tplc="E38614FC" w:tentative="1">
      <w:start w:val="1"/>
      <w:numFmt w:val="bullet"/>
      <w:lvlText w:val=""/>
      <w:lvlJc w:val="left"/>
      <w:pPr>
        <w:tabs>
          <w:tab w:val="num" w:pos="4320"/>
        </w:tabs>
        <w:ind w:left="4320" w:hanging="360"/>
      </w:pPr>
      <w:rPr>
        <w:rFonts w:ascii="Wingdings" w:hAnsi="Wingdings" w:hint="default"/>
      </w:rPr>
    </w:lvl>
    <w:lvl w:ilvl="6" w:tplc="57B094F6" w:tentative="1">
      <w:start w:val="1"/>
      <w:numFmt w:val="bullet"/>
      <w:lvlText w:val=""/>
      <w:lvlJc w:val="left"/>
      <w:pPr>
        <w:tabs>
          <w:tab w:val="num" w:pos="5040"/>
        </w:tabs>
        <w:ind w:left="5040" w:hanging="360"/>
      </w:pPr>
      <w:rPr>
        <w:rFonts w:ascii="Wingdings" w:hAnsi="Wingdings" w:hint="default"/>
      </w:rPr>
    </w:lvl>
    <w:lvl w:ilvl="7" w:tplc="073CF34E" w:tentative="1">
      <w:start w:val="1"/>
      <w:numFmt w:val="bullet"/>
      <w:lvlText w:val=""/>
      <w:lvlJc w:val="left"/>
      <w:pPr>
        <w:tabs>
          <w:tab w:val="num" w:pos="5760"/>
        </w:tabs>
        <w:ind w:left="5760" w:hanging="360"/>
      </w:pPr>
      <w:rPr>
        <w:rFonts w:ascii="Wingdings" w:hAnsi="Wingdings" w:hint="default"/>
      </w:rPr>
    </w:lvl>
    <w:lvl w:ilvl="8" w:tplc="9C8E9D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2513F38"/>
    <w:multiLevelType w:val="hybridMultilevel"/>
    <w:tmpl w:val="3C528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7939F0"/>
    <w:multiLevelType w:val="hybridMultilevel"/>
    <w:tmpl w:val="B7FCB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952C41"/>
    <w:multiLevelType w:val="hybridMultilevel"/>
    <w:tmpl w:val="FFC4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896A6B"/>
    <w:multiLevelType w:val="hybridMultilevel"/>
    <w:tmpl w:val="CE10DD24"/>
    <w:lvl w:ilvl="0" w:tplc="2BF822A6">
      <w:start w:val="1"/>
      <w:numFmt w:val="bullet"/>
      <w:lvlText w:val=""/>
      <w:lvlJc w:val="left"/>
      <w:pPr>
        <w:tabs>
          <w:tab w:val="num" w:pos="720"/>
        </w:tabs>
        <w:ind w:left="720" w:hanging="360"/>
      </w:pPr>
      <w:rPr>
        <w:rFonts w:ascii="Wingdings" w:hAnsi="Wingdings" w:hint="default"/>
      </w:rPr>
    </w:lvl>
    <w:lvl w:ilvl="1" w:tplc="BE9A8C6C" w:tentative="1">
      <w:start w:val="1"/>
      <w:numFmt w:val="bullet"/>
      <w:lvlText w:val=""/>
      <w:lvlJc w:val="left"/>
      <w:pPr>
        <w:tabs>
          <w:tab w:val="num" w:pos="1440"/>
        </w:tabs>
        <w:ind w:left="1440" w:hanging="360"/>
      </w:pPr>
      <w:rPr>
        <w:rFonts w:ascii="Wingdings" w:hAnsi="Wingdings" w:hint="default"/>
      </w:rPr>
    </w:lvl>
    <w:lvl w:ilvl="2" w:tplc="85CEA5AA" w:tentative="1">
      <w:start w:val="1"/>
      <w:numFmt w:val="bullet"/>
      <w:lvlText w:val=""/>
      <w:lvlJc w:val="left"/>
      <w:pPr>
        <w:tabs>
          <w:tab w:val="num" w:pos="2160"/>
        </w:tabs>
        <w:ind w:left="2160" w:hanging="360"/>
      </w:pPr>
      <w:rPr>
        <w:rFonts w:ascii="Wingdings" w:hAnsi="Wingdings" w:hint="default"/>
      </w:rPr>
    </w:lvl>
    <w:lvl w:ilvl="3" w:tplc="0EAAD51E" w:tentative="1">
      <w:start w:val="1"/>
      <w:numFmt w:val="bullet"/>
      <w:lvlText w:val=""/>
      <w:lvlJc w:val="left"/>
      <w:pPr>
        <w:tabs>
          <w:tab w:val="num" w:pos="2880"/>
        </w:tabs>
        <w:ind w:left="2880" w:hanging="360"/>
      </w:pPr>
      <w:rPr>
        <w:rFonts w:ascii="Wingdings" w:hAnsi="Wingdings" w:hint="default"/>
      </w:rPr>
    </w:lvl>
    <w:lvl w:ilvl="4" w:tplc="650CEA5E" w:tentative="1">
      <w:start w:val="1"/>
      <w:numFmt w:val="bullet"/>
      <w:lvlText w:val=""/>
      <w:lvlJc w:val="left"/>
      <w:pPr>
        <w:tabs>
          <w:tab w:val="num" w:pos="3600"/>
        </w:tabs>
        <w:ind w:left="3600" w:hanging="360"/>
      </w:pPr>
      <w:rPr>
        <w:rFonts w:ascii="Wingdings" w:hAnsi="Wingdings" w:hint="default"/>
      </w:rPr>
    </w:lvl>
    <w:lvl w:ilvl="5" w:tplc="A518021E" w:tentative="1">
      <w:start w:val="1"/>
      <w:numFmt w:val="bullet"/>
      <w:lvlText w:val=""/>
      <w:lvlJc w:val="left"/>
      <w:pPr>
        <w:tabs>
          <w:tab w:val="num" w:pos="4320"/>
        </w:tabs>
        <w:ind w:left="4320" w:hanging="360"/>
      </w:pPr>
      <w:rPr>
        <w:rFonts w:ascii="Wingdings" w:hAnsi="Wingdings" w:hint="default"/>
      </w:rPr>
    </w:lvl>
    <w:lvl w:ilvl="6" w:tplc="75604D9E" w:tentative="1">
      <w:start w:val="1"/>
      <w:numFmt w:val="bullet"/>
      <w:lvlText w:val=""/>
      <w:lvlJc w:val="left"/>
      <w:pPr>
        <w:tabs>
          <w:tab w:val="num" w:pos="5040"/>
        </w:tabs>
        <w:ind w:left="5040" w:hanging="360"/>
      </w:pPr>
      <w:rPr>
        <w:rFonts w:ascii="Wingdings" w:hAnsi="Wingdings" w:hint="default"/>
      </w:rPr>
    </w:lvl>
    <w:lvl w:ilvl="7" w:tplc="0F7092FC" w:tentative="1">
      <w:start w:val="1"/>
      <w:numFmt w:val="bullet"/>
      <w:lvlText w:val=""/>
      <w:lvlJc w:val="left"/>
      <w:pPr>
        <w:tabs>
          <w:tab w:val="num" w:pos="5760"/>
        </w:tabs>
        <w:ind w:left="5760" w:hanging="360"/>
      </w:pPr>
      <w:rPr>
        <w:rFonts w:ascii="Wingdings" w:hAnsi="Wingdings" w:hint="default"/>
      </w:rPr>
    </w:lvl>
    <w:lvl w:ilvl="8" w:tplc="33B881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A002D"/>
    <w:multiLevelType w:val="hybridMultilevel"/>
    <w:tmpl w:val="D166AE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49248D0"/>
    <w:multiLevelType w:val="hybridMultilevel"/>
    <w:tmpl w:val="28C46352"/>
    <w:lvl w:ilvl="0" w:tplc="94BC822E">
      <w:start w:val="1"/>
      <w:numFmt w:val="bullet"/>
      <w:lvlText w:val=""/>
      <w:lvlJc w:val="left"/>
      <w:pPr>
        <w:tabs>
          <w:tab w:val="num" w:pos="720"/>
        </w:tabs>
        <w:ind w:left="720" w:hanging="360"/>
      </w:pPr>
      <w:rPr>
        <w:rFonts w:ascii="Wingdings" w:hAnsi="Wingdings" w:hint="default"/>
      </w:rPr>
    </w:lvl>
    <w:lvl w:ilvl="1" w:tplc="A1387956" w:tentative="1">
      <w:start w:val="1"/>
      <w:numFmt w:val="bullet"/>
      <w:lvlText w:val=""/>
      <w:lvlJc w:val="left"/>
      <w:pPr>
        <w:tabs>
          <w:tab w:val="num" w:pos="1440"/>
        </w:tabs>
        <w:ind w:left="1440" w:hanging="360"/>
      </w:pPr>
      <w:rPr>
        <w:rFonts w:ascii="Wingdings" w:hAnsi="Wingdings" w:hint="default"/>
      </w:rPr>
    </w:lvl>
    <w:lvl w:ilvl="2" w:tplc="423EBBC0" w:tentative="1">
      <w:start w:val="1"/>
      <w:numFmt w:val="bullet"/>
      <w:lvlText w:val=""/>
      <w:lvlJc w:val="left"/>
      <w:pPr>
        <w:tabs>
          <w:tab w:val="num" w:pos="2160"/>
        </w:tabs>
        <w:ind w:left="2160" w:hanging="360"/>
      </w:pPr>
      <w:rPr>
        <w:rFonts w:ascii="Wingdings" w:hAnsi="Wingdings" w:hint="default"/>
      </w:rPr>
    </w:lvl>
    <w:lvl w:ilvl="3" w:tplc="666EFE44" w:tentative="1">
      <w:start w:val="1"/>
      <w:numFmt w:val="bullet"/>
      <w:lvlText w:val=""/>
      <w:lvlJc w:val="left"/>
      <w:pPr>
        <w:tabs>
          <w:tab w:val="num" w:pos="2880"/>
        </w:tabs>
        <w:ind w:left="2880" w:hanging="360"/>
      </w:pPr>
      <w:rPr>
        <w:rFonts w:ascii="Wingdings" w:hAnsi="Wingdings" w:hint="default"/>
      </w:rPr>
    </w:lvl>
    <w:lvl w:ilvl="4" w:tplc="19B6B0EA" w:tentative="1">
      <w:start w:val="1"/>
      <w:numFmt w:val="bullet"/>
      <w:lvlText w:val=""/>
      <w:lvlJc w:val="left"/>
      <w:pPr>
        <w:tabs>
          <w:tab w:val="num" w:pos="3600"/>
        </w:tabs>
        <w:ind w:left="3600" w:hanging="360"/>
      </w:pPr>
      <w:rPr>
        <w:rFonts w:ascii="Wingdings" w:hAnsi="Wingdings" w:hint="default"/>
      </w:rPr>
    </w:lvl>
    <w:lvl w:ilvl="5" w:tplc="98F215AA" w:tentative="1">
      <w:start w:val="1"/>
      <w:numFmt w:val="bullet"/>
      <w:lvlText w:val=""/>
      <w:lvlJc w:val="left"/>
      <w:pPr>
        <w:tabs>
          <w:tab w:val="num" w:pos="4320"/>
        </w:tabs>
        <w:ind w:left="4320" w:hanging="360"/>
      </w:pPr>
      <w:rPr>
        <w:rFonts w:ascii="Wingdings" w:hAnsi="Wingdings" w:hint="default"/>
      </w:rPr>
    </w:lvl>
    <w:lvl w:ilvl="6" w:tplc="7F68619A" w:tentative="1">
      <w:start w:val="1"/>
      <w:numFmt w:val="bullet"/>
      <w:lvlText w:val=""/>
      <w:lvlJc w:val="left"/>
      <w:pPr>
        <w:tabs>
          <w:tab w:val="num" w:pos="5040"/>
        </w:tabs>
        <w:ind w:left="5040" w:hanging="360"/>
      </w:pPr>
      <w:rPr>
        <w:rFonts w:ascii="Wingdings" w:hAnsi="Wingdings" w:hint="default"/>
      </w:rPr>
    </w:lvl>
    <w:lvl w:ilvl="7" w:tplc="E15661B2" w:tentative="1">
      <w:start w:val="1"/>
      <w:numFmt w:val="bullet"/>
      <w:lvlText w:val=""/>
      <w:lvlJc w:val="left"/>
      <w:pPr>
        <w:tabs>
          <w:tab w:val="num" w:pos="5760"/>
        </w:tabs>
        <w:ind w:left="5760" w:hanging="360"/>
      </w:pPr>
      <w:rPr>
        <w:rFonts w:ascii="Wingdings" w:hAnsi="Wingdings" w:hint="default"/>
      </w:rPr>
    </w:lvl>
    <w:lvl w:ilvl="8" w:tplc="480EA7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60501"/>
    <w:multiLevelType w:val="hybridMultilevel"/>
    <w:tmpl w:val="573AADAE"/>
    <w:lvl w:ilvl="0" w:tplc="814E12B0">
      <w:start w:val="1"/>
      <w:numFmt w:val="bullet"/>
      <w:lvlText w:val=""/>
      <w:lvlJc w:val="left"/>
      <w:pPr>
        <w:tabs>
          <w:tab w:val="num" w:pos="720"/>
        </w:tabs>
        <w:ind w:left="720" w:hanging="360"/>
      </w:pPr>
      <w:rPr>
        <w:rFonts w:ascii="Wingdings" w:hAnsi="Wingdings" w:hint="default"/>
      </w:rPr>
    </w:lvl>
    <w:lvl w:ilvl="1" w:tplc="2F9C0150" w:tentative="1">
      <w:start w:val="1"/>
      <w:numFmt w:val="bullet"/>
      <w:lvlText w:val=""/>
      <w:lvlJc w:val="left"/>
      <w:pPr>
        <w:tabs>
          <w:tab w:val="num" w:pos="1440"/>
        </w:tabs>
        <w:ind w:left="1440" w:hanging="360"/>
      </w:pPr>
      <w:rPr>
        <w:rFonts w:ascii="Wingdings" w:hAnsi="Wingdings" w:hint="default"/>
      </w:rPr>
    </w:lvl>
    <w:lvl w:ilvl="2" w:tplc="A22E6C1A" w:tentative="1">
      <w:start w:val="1"/>
      <w:numFmt w:val="bullet"/>
      <w:lvlText w:val=""/>
      <w:lvlJc w:val="left"/>
      <w:pPr>
        <w:tabs>
          <w:tab w:val="num" w:pos="2160"/>
        </w:tabs>
        <w:ind w:left="2160" w:hanging="360"/>
      </w:pPr>
      <w:rPr>
        <w:rFonts w:ascii="Wingdings" w:hAnsi="Wingdings" w:hint="default"/>
      </w:rPr>
    </w:lvl>
    <w:lvl w:ilvl="3" w:tplc="A6E08A82" w:tentative="1">
      <w:start w:val="1"/>
      <w:numFmt w:val="bullet"/>
      <w:lvlText w:val=""/>
      <w:lvlJc w:val="left"/>
      <w:pPr>
        <w:tabs>
          <w:tab w:val="num" w:pos="2880"/>
        </w:tabs>
        <w:ind w:left="2880" w:hanging="360"/>
      </w:pPr>
      <w:rPr>
        <w:rFonts w:ascii="Wingdings" w:hAnsi="Wingdings" w:hint="default"/>
      </w:rPr>
    </w:lvl>
    <w:lvl w:ilvl="4" w:tplc="279E260A" w:tentative="1">
      <w:start w:val="1"/>
      <w:numFmt w:val="bullet"/>
      <w:lvlText w:val=""/>
      <w:lvlJc w:val="left"/>
      <w:pPr>
        <w:tabs>
          <w:tab w:val="num" w:pos="3600"/>
        </w:tabs>
        <w:ind w:left="3600" w:hanging="360"/>
      </w:pPr>
      <w:rPr>
        <w:rFonts w:ascii="Wingdings" w:hAnsi="Wingdings" w:hint="default"/>
      </w:rPr>
    </w:lvl>
    <w:lvl w:ilvl="5" w:tplc="CC36CE18" w:tentative="1">
      <w:start w:val="1"/>
      <w:numFmt w:val="bullet"/>
      <w:lvlText w:val=""/>
      <w:lvlJc w:val="left"/>
      <w:pPr>
        <w:tabs>
          <w:tab w:val="num" w:pos="4320"/>
        </w:tabs>
        <w:ind w:left="4320" w:hanging="360"/>
      </w:pPr>
      <w:rPr>
        <w:rFonts w:ascii="Wingdings" w:hAnsi="Wingdings" w:hint="default"/>
      </w:rPr>
    </w:lvl>
    <w:lvl w:ilvl="6" w:tplc="25080B2C" w:tentative="1">
      <w:start w:val="1"/>
      <w:numFmt w:val="bullet"/>
      <w:lvlText w:val=""/>
      <w:lvlJc w:val="left"/>
      <w:pPr>
        <w:tabs>
          <w:tab w:val="num" w:pos="5040"/>
        </w:tabs>
        <w:ind w:left="5040" w:hanging="360"/>
      </w:pPr>
      <w:rPr>
        <w:rFonts w:ascii="Wingdings" w:hAnsi="Wingdings" w:hint="default"/>
      </w:rPr>
    </w:lvl>
    <w:lvl w:ilvl="7" w:tplc="E5D6F4EC" w:tentative="1">
      <w:start w:val="1"/>
      <w:numFmt w:val="bullet"/>
      <w:lvlText w:val=""/>
      <w:lvlJc w:val="left"/>
      <w:pPr>
        <w:tabs>
          <w:tab w:val="num" w:pos="5760"/>
        </w:tabs>
        <w:ind w:left="5760" w:hanging="360"/>
      </w:pPr>
      <w:rPr>
        <w:rFonts w:ascii="Wingdings" w:hAnsi="Wingdings" w:hint="default"/>
      </w:rPr>
    </w:lvl>
    <w:lvl w:ilvl="8" w:tplc="BD94743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2861"/>
    <w:rsid w:val="00033063"/>
    <w:rsid w:val="00141C49"/>
    <w:rsid w:val="001A4608"/>
    <w:rsid w:val="00222416"/>
    <w:rsid w:val="00280BFC"/>
    <w:rsid w:val="002E526A"/>
    <w:rsid w:val="00464AE5"/>
    <w:rsid w:val="00464DDA"/>
    <w:rsid w:val="004D74E2"/>
    <w:rsid w:val="005F1BBD"/>
    <w:rsid w:val="00705F62"/>
    <w:rsid w:val="007D687B"/>
    <w:rsid w:val="00816E18"/>
    <w:rsid w:val="00913922"/>
    <w:rsid w:val="00997522"/>
    <w:rsid w:val="00AA287F"/>
    <w:rsid w:val="00B70A05"/>
    <w:rsid w:val="00C10609"/>
    <w:rsid w:val="00C16653"/>
    <w:rsid w:val="00E61BD7"/>
    <w:rsid w:val="00F56AAF"/>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07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aliases w:val="List Paragraph1,Left Bullet L1,Bullets,List Paragraph (numbered (a)),Akapit z listą BS,WB Para,Dot pt,F5 List Paragraph,No Spacing1,List Paragraph Char Char Char,Indicator Text,Colorful List - Accent 11,Numbered Para 1,Bullet Points,3,6,L"/>
    <w:basedOn w:val="Normal"/>
    <w:link w:val="ListParagraphChar"/>
    <w:uiPriority w:val="34"/>
    <w:qFormat/>
    <w:rsid w:val="00280BFC"/>
    <w:pPr>
      <w:spacing w:after="200" w:line="276" w:lineRule="auto"/>
      <w:ind w:left="720"/>
      <w:contextualSpacing/>
    </w:pPr>
    <w:rPr>
      <w:lang w:val="en-CA"/>
    </w:rPr>
  </w:style>
  <w:style w:type="character" w:customStyle="1" w:styleId="ListParagraphChar">
    <w:name w:val="List Paragraph Char"/>
    <w:aliases w:val="List Paragraph1 Char,Left Bullet L1 Char,Bullets Char,List Paragraph (numbered (a)) Char,Akapit z listą BS Char,WB Para Char,Dot pt Char,F5 List Paragraph Char,No Spacing1 Char,List Paragraph Char Char Char Char,Indicator Text Char"/>
    <w:link w:val="ListParagraph"/>
    <w:uiPriority w:val="34"/>
    <w:qFormat/>
    <w:rsid w:val="00280BF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1391">
      <w:bodyDiv w:val="1"/>
      <w:marLeft w:val="0"/>
      <w:marRight w:val="0"/>
      <w:marTop w:val="0"/>
      <w:marBottom w:val="0"/>
      <w:divBdr>
        <w:top w:val="none" w:sz="0" w:space="0" w:color="auto"/>
        <w:left w:val="none" w:sz="0" w:space="0" w:color="auto"/>
        <w:bottom w:val="none" w:sz="0" w:space="0" w:color="auto"/>
        <w:right w:val="none" w:sz="0" w:space="0" w:color="auto"/>
      </w:divBdr>
      <w:divsChild>
        <w:div w:id="1890678815">
          <w:marLeft w:val="446"/>
          <w:marRight w:val="0"/>
          <w:marTop w:val="0"/>
          <w:marBottom w:val="200"/>
          <w:divBdr>
            <w:top w:val="none" w:sz="0" w:space="0" w:color="auto"/>
            <w:left w:val="none" w:sz="0" w:space="0" w:color="auto"/>
            <w:bottom w:val="none" w:sz="0" w:space="0" w:color="auto"/>
            <w:right w:val="none" w:sz="0" w:space="0" w:color="auto"/>
          </w:divBdr>
        </w:div>
        <w:div w:id="1544098682">
          <w:marLeft w:val="446"/>
          <w:marRight w:val="0"/>
          <w:marTop w:val="0"/>
          <w:marBottom w:val="200"/>
          <w:divBdr>
            <w:top w:val="none" w:sz="0" w:space="0" w:color="auto"/>
            <w:left w:val="none" w:sz="0" w:space="0" w:color="auto"/>
            <w:bottom w:val="none" w:sz="0" w:space="0" w:color="auto"/>
            <w:right w:val="none" w:sz="0" w:space="0" w:color="auto"/>
          </w:divBdr>
        </w:div>
        <w:div w:id="1981300092">
          <w:marLeft w:val="446"/>
          <w:marRight w:val="0"/>
          <w:marTop w:val="0"/>
          <w:marBottom w:val="200"/>
          <w:divBdr>
            <w:top w:val="none" w:sz="0" w:space="0" w:color="auto"/>
            <w:left w:val="none" w:sz="0" w:space="0" w:color="auto"/>
            <w:bottom w:val="none" w:sz="0" w:space="0" w:color="auto"/>
            <w:right w:val="none" w:sz="0" w:space="0" w:color="auto"/>
          </w:divBdr>
        </w:div>
        <w:div w:id="1784301036">
          <w:marLeft w:val="446"/>
          <w:marRight w:val="0"/>
          <w:marTop w:val="0"/>
          <w:marBottom w:val="200"/>
          <w:divBdr>
            <w:top w:val="none" w:sz="0" w:space="0" w:color="auto"/>
            <w:left w:val="none" w:sz="0" w:space="0" w:color="auto"/>
            <w:bottom w:val="none" w:sz="0" w:space="0" w:color="auto"/>
            <w:right w:val="none" w:sz="0" w:space="0" w:color="auto"/>
          </w:divBdr>
        </w:div>
        <w:div w:id="816072612">
          <w:marLeft w:val="446"/>
          <w:marRight w:val="0"/>
          <w:marTop w:val="0"/>
          <w:marBottom w:val="200"/>
          <w:divBdr>
            <w:top w:val="none" w:sz="0" w:space="0" w:color="auto"/>
            <w:left w:val="none" w:sz="0" w:space="0" w:color="auto"/>
            <w:bottom w:val="none" w:sz="0" w:space="0" w:color="auto"/>
            <w:right w:val="none" w:sz="0" w:space="0" w:color="auto"/>
          </w:divBdr>
        </w:div>
        <w:div w:id="1716465614">
          <w:marLeft w:val="446"/>
          <w:marRight w:val="0"/>
          <w:marTop w:val="0"/>
          <w:marBottom w:val="200"/>
          <w:divBdr>
            <w:top w:val="none" w:sz="0" w:space="0" w:color="auto"/>
            <w:left w:val="none" w:sz="0" w:space="0" w:color="auto"/>
            <w:bottom w:val="none" w:sz="0" w:space="0" w:color="auto"/>
            <w:right w:val="none" w:sz="0" w:space="0" w:color="auto"/>
          </w:divBdr>
        </w:div>
      </w:divsChild>
    </w:div>
    <w:div w:id="717045337">
      <w:bodyDiv w:val="1"/>
      <w:marLeft w:val="0"/>
      <w:marRight w:val="0"/>
      <w:marTop w:val="0"/>
      <w:marBottom w:val="0"/>
      <w:divBdr>
        <w:top w:val="none" w:sz="0" w:space="0" w:color="auto"/>
        <w:left w:val="none" w:sz="0" w:space="0" w:color="auto"/>
        <w:bottom w:val="none" w:sz="0" w:space="0" w:color="auto"/>
        <w:right w:val="none" w:sz="0" w:space="0" w:color="auto"/>
      </w:divBdr>
      <w:divsChild>
        <w:div w:id="909198215">
          <w:marLeft w:val="446"/>
          <w:marRight w:val="0"/>
          <w:marTop w:val="0"/>
          <w:marBottom w:val="200"/>
          <w:divBdr>
            <w:top w:val="none" w:sz="0" w:space="0" w:color="auto"/>
            <w:left w:val="none" w:sz="0" w:space="0" w:color="auto"/>
            <w:bottom w:val="none" w:sz="0" w:space="0" w:color="auto"/>
            <w:right w:val="none" w:sz="0" w:space="0" w:color="auto"/>
          </w:divBdr>
        </w:div>
      </w:divsChild>
    </w:div>
    <w:div w:id="1134953387">
      <w:bodyDiv w:val="1"/>
      <w:marLeft w:val="0"/>
      <w:marRight w:val="0"/>
      <w:marTop w:val="0"/>
      <w:marBottom w:val="0"/>
      <w:divBdr>
        <w:top w:val="none" w:sz="0" w:space="0" w:color="auto"/>
        <w:left w:val="none" w:sz="0" w:space="0" w:color="auto"/>
        <w:bottom w:val="none" w:sz="0" w:space="0" w:color="auto"/>
        <w:right w:val="none" w:sz="0" w:space="0" w:color="auto"/>
      </w:divBdr>
      <w:divsChild>
        <w:div w:id="1936745713">
          <w:marLeft w:val="446"/>
          <w:marRight w:val="0"/>
          <w:marTop w:val="0"/>
          <w:marBottom w:val="200"/>
          <w:divBdr>
            <w:top w:val="none" w:sz="0" w:space="0" w:color="auto"/>
            <w:left w:val="none" w:sz="0" w:space="0" w:color="auto"/>
            <w:bottom w:val="none" w:sz="0" w:space="0" w:color="auto"/>
            <w:right w:val="none" w:sz="0" w:space="0" w:color="auto"/>
          </w:divBdr>
        </w:div>
        <w:div w:id="2106611534">
          <w:marLeft w:val="446"/>
          <w:marRight w:val="0"/>
          <w:marTop w:val="0"/>
          <w:marBottom w:val="200"/>
          <w:divBdr>
            <w:top w:val="none" w:sz="0" w:space="0" w:color="auto"/>
            <w:left w:val="none" w:sz="0" w:space="0" w:color="auto"/>
            <w:bottom w:val="none" w:sz="0" w:space="0" w:color="auto"/>
            <w:right w:val="none" w:sz="0" w:space="0" w:color="auto"/>
          </w:divBdr>
        </w:div>
        <w:div w:id="1626234243">
          <w:marLeft w:val="446"/>
          <w:marRight w:val="0"/>
          <w:marTop w:val="0"/>
          <w:marBottom w:val="200"/>
          <w:divBdr>
            <w:top w:val="none" w:sz="0" w:space="0" w:color="auto"/>
            <w:left w:val="none" w:sz="0" w:space="0" w:color="auto"/>
            <w:bottom w:val="none" w:sz="0" w:space="0" w:color="auto"/>
            <w:right w:val="none" w:sz="0" w:space="0" w:color="auto"/>
          </w:divBdr>
        </w:div>
        <w:div w:id="2049376531">
          <w:marLeft w:val="446"/>
          <w:marRight w:val="0"/>
          <w:marTop w:val="0"/>
          <w:marBottom w:val="200"/>
          <w:divBdr>
            <w:top w:val="none" w:sz="0" w:space="0" w:color="auto"/>
            <w:left w:val="none" w:sz="0" w:space="0" w:color="auto"/>
            <w:bottom w:val="none" w:sz="0" w:space="0" w:color="auto"/>
            <w:right w:val="none" w:sz="0" w:space="0" w:color="auto"/>
          </w:divBdr>
        </w:div>
      </w:divsChild>
    </w:div>
    <w:div w:id="1658920363">
      <w:bodyDiv w:val="1"/>
      <w:marLeft w:val="0"/>
      <w:marRight w:val="0"/>
      <w:marTop w:val="0"/>
      <w:marBottom w:val="0"/>
      <w:divBdr>
        <w:top w:val="none" w:sz="0" w:space="0" w:color="auto"/>
        <w:left w:val="none" w:sz="0" w:space="0" w:color="auto"/>
        <w:bottom w:val="none" w:sz="0" w:space="0" w:color="auto"/>
        <w:right w:val="none" w:sz="0" w:space="0" w:color="auto"/>
      </w:divBdr>
      <w:divsChild>
        <w:div w:id="28916212">
          <w:marLeft w:val="446"/>
          <w:marRight w:val="0"/>
          <w:marTop w:val="0"/>
          <w:marBottom w:val="200"/>
          <w:divBdr>
            <w:top w:val="none" w:sz="0" w:space="0" w:color="auto"/>
            <w:left w:val="none" w:sz="0" w:space="0" w:color="auto"/>
            <w:bottom w:val="none" w:sz="0" w:space="0" w:color="auto"/>
            <w:right w:val="none" w:sz="0" w:space="0" w:color="auto"/>
          </w:divBdr>
        </w:div>
        <w:div w:id="1056665667">
          <w:marLeft w:val="446"/>
          <w:marRight w:val="0"/>
          <w:marTop w:val="0"/>
          <w:marBottom w:val="200"/>
          <w:divBdr>
            <w:top w:val="none" w:sz="0" w:space="0" w:color="auto"/>
            <w:left w:val="none" w:sz="0" w:space="0" w:color="auto"/>
            <w:bottom w:val="none" w:sz="0" w:space="0" w:color="auto"/>
            <w:right w:val="none" w:sz="0" w:space="0" w:color="auto"/>
          </w:divBdr>
        </w:div>
        <w:div w:id="423264120">
          <w:marLeft w:val="446"/>
          <w:marRight w:val="0"/>
          <w:marTop w:val="0"/>
          <w:marBottom w:val="200"/>
          <w:divBdr>
            <w:top w:val="none" w:sz="0" w:space="0" w:color="auto"/>
            <w:left w:val="none" w:sz="0" w:space="0" w:color="auto"/>
            <w:bottom w:val="none" w:sz="0" w:space="0" w:color="auto"/>
            <w:right w:val="none" w:sz="0" w:space="0" w:color="auto"/>
          </w:divBdr>
        </w:div>
        <w:div w:id="542055320">
          <w:marLeft w:val="446"/>
          <w:marRight w:val="0"/>
          <w:marTop w:val="0"/>
          <w:marBottom w:val="200"/>
          <w:divBdr>
            <w:top w:val="none" w:sz="0" w:space="0" w:color="auto"/>
            <w:left w:val="none" w:sz="0" w:space="0" w:color="auto"/>
            <w:bottom w:val="none" w:sz="0" w:space="0" w:color="auto"/>
            <w:right w:val="none" w:sz="0" w:space="0" w:color="auto"/>
          </w:divBdr>
        </w:div>
        <w:div w:id="1287659371">
          <w:marLeft w:val="446"/>
          <w:marRight w:val="0"/>
          <w:marTop w:val="0"/>
          <w:marBottom w:val="200"/>
          <w:divBdr>
            <w:top w:val="none" w:sz="0" w:space="0" w:color="auto"/>
            <w:left w:val="none" w:sz="0" w:space="0" w:color="auto"/>
            <w:bottom w:val="none" w:sz="0" w:space="0" w:color="auto"/>
            <w:right w:val="none" w:sz="0" w:space="0" w:color="auto"/>
          </w:divBdr>
        </w:div>
      </w:divsChild>
    </w:div>
    <w:div w:id="1857815549">
      <w:bodyDiv w:val="1"/>
      <w:marLeft w:val="0"/>
      <w:marRight w:val="0"/>
      <w:marTop w:val="0"/>
      <w:marBottom w:val="0"/>
      <w:divBdr>
        <w:top w:val="none" w:sz="0" w:space="0" w:color="auto"/>
        <w:left w:val="none" w:sz="0" w:space="0" w:color="auto"/>
        <w:bottom w:val="none" w:sz="0" w:space="0" w:color="auto"/>
        <w:right w:val="none" w:sz="0" w:space="0" w:color="auto"/>
      </w:divBdr>
      <w:divsChild>
        <w:div w:id="504978587">
          <w:marLeft w:val="446"/>
          <w:marRight w:val="0"/>
          <w:marTop w:val="0"/>
          <w:marBottom w:val="200"/>
          <w:divBdr>
            <w:top w:val="none" w:sz="0" w:space="0" w:color="auto"/>
            <w:left w:val="none" w:sz="0" w:space="0" w:color="auto"/>
            <w:bottom w:val="none" w:sz="0" w:space="0" w:color="auto"/>
            <w:right w:val="none" w:sz="0" w:space="0" w:color="auto"/>
          </w:divBdr>
        </w:div>
        <w:div w:id="1384019892">
          <w:marLeft w:val="446"/>
          <w:marRight w:val="0"/>
          <w:marTop w:val="0"/>
          <w:marBottom w:val="200"/>
          <w:divBdr>
            <w:top w:val="none" w:sz="0" w:space="0" w:color="auto"/>
            <w:left w:val="none" w:sz="0" w:space="0" w:color="auto"/>
            <w:bottom w:val="none" w:sz="0" w:space="0" w:color="auto"/>
            <w:right w:val="none" w:sz="0" w:space="0" w:color="auto"/>
          </w:divBdr>
        </w:div>
        <w:div w:id="1303194688">
          <w:marLeft w:val="446"/>
          <w:marRight w:val="0"/>
          <w:marTop w:val="0"/>
          <w:marBottom w:val="200"/>
          <w:divBdr>
            <w:top w:val="none" w:sz="0" w:space="0" w:color="auto"/>
            <w:left w:val="none" w:sz="0" w:space="0" w:color="auto"/>
            <w:bottom w:val="none" w:sz="0" w:space="0" w:color="auto"/>
            <w:right w:val="none" w:sz="0" w:space="0" w:color="auto"/>
          </w:divBdr>
        </w:div>
        <w:div w:id="877624265">
          <w:marLeft w:val="446"/>
          <w:marRight w:val="0"/>
          <w:marTop w:val="0"/>
          <w:marBottom w:val="200"/>
          <w:divBdr>
            <w:top w:val="none" w:sz="0" w:space="0" w:color="auto"/>
            <w:left w:val="none" w:sz="0" w:space="0" w:color="auto"/>
            <w:bottom w:val="none" w:sz="0" w:space="0" w:color="auto"/>
            <w:right w:val="none" w:sz="0" w:space="0" w:color="auto"/>
          </w:divBdr>
        </w:div>
      </w:divsChild>
    </w:div>
    <w:div w:id="2118481591">
      <w:bodyDiv w:val="1"/>
      <w:marLeft w:val="0"/>
      <w:marRight w:val="0"/>
      <w:marTop w:val="0"/>
      <w:marBottom w:val="0"/>
      <w:divBdr>
        <w:top w:val="none" w:sz="0" w:space="0" w:color="auto"/>
        <w:left w:val="none" w:sz="0" w:space="0" w:color="auto"/>
        <w:bottom w:val="none" w:sz="0" w:space="0" w:color="auto"/>
        <w:right w:val="none" w:sz="0" w:space="0" w:color="auto"/>
      </w:divBdr>
      <w:divsChild>
        <w:div w:id="1178497791">
          <w:marLeft w:val="446"/>
          <w:marRight w:val="0"/>
          <w:marTop w:val="0"/>
          <w:marBottom w:val="200"/>
          <w:divBdr>
            <w:top w:val="none" w:sz="0" w:space="0" w:color="auto"/>
            <w:left w:val="none" w:sz="0" w:space="0" w:color="auto"/>
            <w:bottom w:val="none" w:sz="0" w:space="0" w:color="auto"/>
            <w:right w:val="none" w:sz="0" w:space="0" w:color="auto"/>
          </w:divBdr>
        </w:div>
        <w:div w:id="222327337">
          <w:marLeft w:val="446"/>
          <w:marRight w:val="0"/>
          <w:marTop w:val="0"/>
          <w:marBottom w:val="200"/>
          <w:divBdr>
            <w:top w:val="none" w:sz="0" w:space="0" w:color="auto"/>
            <w:left w:val="none" w:sz="0" w:space="0" w:color="auto"/>
            <w:bottom w:val="none" w:sz="0" w:space="0" w:color="auto"/>
            <w:right w:val="none" w:sz="0" w:space="0" w:color="auto"/>
          </w:divBdr>
        </w:div>
        <w:div w:id="580869051">
          <w:marLeft w:val="446"/>
          <w:marRight w:val="0"/>
          <w:marTop w:val="0"/>
          <w:marBottom w:val="200"/>
          <w:divBdr>
            <w:top w:val="none" w:sz="0" w:space="0" w:color="auto"/>
            <w:left w:val="none" w:sz="0" w:space="0" w:color="auto"/>
            <w:bottom w:val="none" w:sz="0" w:space="0" w:color="auto"/>
            <w:right w:val="none" w:sz="0" w:space="0" w:color="auto"/>
          </w:divBdr>
        </w:div>
        <w:div w:id="1425688247">
          <w:marLeft w:val="446"/>
          <w:marRight w:val="0"/>
          <w:marTop w:val="0"/>
          <w:marBottom w:val="200"/>
          <w:divBdr>
            <w:top w:val="none" w:sz="0" w:space="0" w:color="auto"/>
            <w:left w:val="none" w:sz="0" w:space="0" w:color="auto"/>
            <w:bottom w:val="none" w:sz="0" w:space="0" w:color="auto"/>
            <w:right w:val="none" w:sz="0" w:space="0" w:color="auto"/>
          </w:divBdr>
        </w:div>
        <w:div w:id="419496817">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32JKWRRJAUXM-1812056266-68105</_dlc_DocId>
    <_dlc_DocIdUrl xmlns="de777af5-75c5-4059-8842-b3ca2d118c77">
      <Url>https://undp.sharepoint.com/teams/BIH/EE/_layouts/15/DocIdRedir.aspx?ID=32JKWRRJAUXM-1812056266-68105</Url>
      <Description>32JKWRRJAUXM-1812056266-68105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7FA97CA5D44542AF8049F70420372C" ma:contentTypeVersion="12" ma:contentTypeDescription="Create a new document." ma:contentTypeScope="" ma:versionID="28cad4ff078c28f0f5dab01542a39361">
  <xsd:schema xmlns:xsd="http://www.w3.org/2001/XMLSchema" xmlns:xs="http://www.w3.org/2001/XMLSchema" xmlns:p="http://schemas.microsoft.com/office/2006/metadata/properties" xmlns:ns2="f5320b2b-8db6-48fb-b10e-d9dc88535922" xmlns:ns3="de777af5-75c5-4059-8842-b3ca2d118c77" targetNamespace="http://schemas.microsoft.com/office/2006/metadata/properties" ma:root="true" ma:fieldsID="9f8b3750e573d9316f0b82006e055627" ns2:_="" ns3:_="">
    <xsd:import namespace="f5320b2b-8db6-48fb-b10e-d9dc8853592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b2b-8db6-48fb-b10e-d9dc88535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5E794-FF33-4304-8F96-6EDB1FF466B2}">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52A49FB2-9354-4E3E-B51B-1B65A8F70792}">
  <ds:schemaRefs>
    <ds:schemaRef ds:uri="http://schemas.microsoft.com/sharepoint/events"/>
  </ds:schemaRefs>
</ds:datastoreItem>
</file>

<file path=customXml/itemProps3.xml><?xml version="1.0" encoding="utf-8"?>
<ds:datastoreItem xmlns:ds="http://schemas.openxmlformats.org/officeDocument/2006/customXml" ds:itemID="{E34570C6-6E61-411C-BED4-CDB56030E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b2b-8db6-48fb-b10e-d9dc8853592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19686-FA00-4AC3-BA7E-3121EE2F5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Amra Zorlak</cp:lastModifiedBy>
  <cp:revision>2</cp:revision>
  <dcterms:created xsi:type="dcterms:W3CDTF">2021-05-20T14:37:00Z</dcterms:created>
  <dcterms:modified xsi:type="dcterms:W3CDTF">2021-05-20T14:37:00Z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0x010100387FA97CA5D44542AF8049F70420372C</vt:lpwstr>
  </property>
  <property fmtid="{D5CDD505-2E9C-101B-9397-08002B2CF9AE}" pid="3" name="_dlc_DocIdItemGuid">
    <vt:lpwstr>4e20b7cc-eec6-4eb2-8dd8-a8c2b8149e90</vt:lpwstr>
  </property>
</Properties>
</file>