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4DA83" w14:textId="15EFBC91" w:rsidR="00B91E23" w:rsidRDefault="00B91E23" w:rsidP="00936112">
      <w:pPr>
        <w:widowControl w:val="0"/>
        <w:spacing w:before="80" w:after="0" w:line="240" w:lineRule="auto"/>
        <w:jc w:val="center"/>
        <w:rPr>
          <w:rFonts w:eastAsia="Calibri" w:cstheme="minorHAnsi"/>
          <w:b/>
          <w:sz w:val="32"/>
          <w:szCs w:val="32"/>
          <w:lang w:val="en-US"/>
        </w:rPr>
      </w:pPr>
      <w:r w:rsidRPr="00B91E23">
        <w:rPr>
          <w:rFonts w:eastAsia="Calibri" w:cstheme="minorHAnsi"/>
          <w:b/>
          <w:sz w:val="32"/>
          <w:szCs w:val="32"/>
          <w:lang w:val="en-US"/>
        </w:rPr>
        <w:t>UNDP/GEF Terminal Evaluation</w:t>
      </w:r>
    </w:p>
    <w:p w14:paraId="2921CC83" w14:textId="6B68838D" w:rsidR="00B91E23" w:rsidRDefault="00B91E23" w:rsidP="00936112">
      <w:pPr>
        <w:widowControl w:val="0"/>
        <w:spacing w:before="80" w:after="0" w:line="240" w:lineRule="auto"/>
        <w:jc w:val="center"/>
        <w:rPr>
          <w:rFonts w:eastAsia="Calibri" w:cstheme="minorHAnsi"/>
          <w:b/>
          <w:sz w:val="32"/>
          <w:szCs w:val="32"/>
          <w:lang w:val="en-US"/>
        </w:rPr>
      </w:pPr>
      <w:r>
        <w:rPr>
          <w:rFonts w:eastAsia="Calibri" w:cstheme="minorHAnsi"/>
          <w:b/>
          <w:sz w:val="32"/>
          <w:szCs w:val="32"/>
          <w:lang w:val="en-US"/>
        </w:rPr>
        <w:t>Management Response</w:t>
      </w:r>
    </w:p>
    <w:p w14:paraId="367523B0" w14:textId="77777777" w:rsidR="00711FEE" w:rsidRPr="00936112" w:rsidRDefault="00711FEE" w:rsidP="00EF3F03">
      <w:pPr>
        <w:widowControl w:val="0"/>
        <w:spacing w:after="0" w:line="240" w:lineRule="auto"/>
        <w:ind w:left="144" w:right="7809"/>
        <w:rPr>
          <w:rFonts w:eastAsia="Calibri" w:cstheme="minorHAnsi"/>
          <w:spacing w:val="-1"/>
          <w:highlight w:val="lightGray"/>
          <w:lang w:val="en-US"/>
        </w:rPr>
      </w:pPr>
    </w:p>
    <w:p w14:paraId="3B502DF7" w14:textId="73DADA4D" w:rsidR="00F811EE" w:rsidRDefault="00C32928" w:rsidP="00936112">
      <w:pPr>
        <w:widowControl w:val="0"/>
        <w:spacing w:after="0" w:line="360" w:lineRule="auto"/>
        <w:rPr>
          <w:rFonts w:eastAsia="Calibri" w:cstheme="minorHAnsi"/>
          <w:spacing w:val="-1"/>
          <w:lang w:val="en-US"/>
        </w:rPr>
      </w:pPr>
      <w:r w:rsidRPr="00936112">
        <w:rPr>
          <w:rFonts w:eastAsia="Calibri" w:cstheme="minorHAnsi"/>
          <w:spacing w:val="-1"/>
          <w:lang w:val="en-US"/>
        </w:rPr>
        <w:t xml:space="preserve">Project Title: </w:t>
      </w:r>
      <w:r w:rsidR="00936112">
        <w:rPr>
          <w:rFonts w:eastAsia="Calibri" w:cstheme="minorHAnsi"/>
          <w:spacing w:val="-1"/>
          <w:lang w:val="en-US"/>
        </w:rPr>
        <w:t>BRA/</w:t>
      </w:r>
      <w:r w:rsidR="002C697C">
        <w:rPr>
          <w:rFonts w:eastAsia="Calibri" w:cstheme="minorHAnsi"/>
          <w:spacing w:val="-1"/>
          <w:lang w:val="en-US"/>
        </w:rPr>
        <w:t>10/G31</w:t>
      </w:r>
      <w:r w:rsidR="00936112">
        <w:rPr>
          <w:rFonts w:eastAsia="Calibri" w:cstheme="minorHAnsi"/>
          <w:spacing w:val="-1"/>
          <w:lang w:val="en-US"/>
        </w:rPr>
        <w:t xml:space="preserve"> - </w:t>
      </w:r>
      <w:r w:rsidR="002C697C" w:rsidRPr="002C697C">
        <w:rPr>
          <w:rFonts w:eastAsia="Calibri" w:cstheme="minorHAnsi"/>
          <w:spacing w:val="-1"/>
          <w:lang w:val="en-US"/>
        </w:rPr>
        <w:t>Sugarcane Renewable Energy (SUCRE)</w:t>
      </w:r>
    </w:p>
    <w:p w14:paraId="2276AD93" w14:textId="614C1D54" w:rsidR="00C32928" w:rsidRPr="00936112" w:rsidRDefault="00F811EE" w:rsidP="00936112">
      <w:pPr>
        <w:widowControl w:val="0"/>
        <w:spacing w:after="0" w:line="360" w:lineRule="auto"/>
        <w:rPr>
          <w:rFonts w:eastAsia="Calibri" w:cstheme="minorHAnsi"/>
          <w:spacing w:val="-1"/>
          <w:lang w:val="en-US"/>
        </w:rPr>
      </w:pPr>
      <w:r>
        <w:rPr>
          <w:rFonts w:eastAsia="Calibri" w:cstheme="minorHAnsi"/>
          <w:spacing w:val="-1"/>
          <w:lang w:val="en-US"/>
        </w:rPr>
        <w:t xml:space="preserve">Project </w:t>
      </w:r>
      <w:r w:rsidR="00C32928" w:rsidRPr="00936112">
        <w:rPr>
          <w:rFonts w:eastAsia="Calibri" w:cstheme="minorHAnsi"/>
          <w:spacing w:val="-1"/>
          <w:lang w:val="en-US"/>
        </w:rPr>
        <w:t>PIMS #:</w:t>
      </w:r>
      <w:r w:rsidR="00C04467" w:rsidRPr="00936112">
        <w:rPr>
          <w:rFonts w:eastAsia="Calibri" w:cstheme="minorHAnsi"/>
          <w:spacing w:val="-1"/>
          <w:lang w:val="en-US"/>
        </w:rPr>
        <w:t xml:space="preserve"> </w:t>
      </w:r>
      <w:r w:rsidR="002C697C">
        <w:rPr>
          <w:rFonts w:eastAsia="Calibri" w:cstheme="minorHAnsi"/>
          <w:spacing w:val="-1"/>
          <w:lang w:val="en-US"/>
        </w:rPr>
        <w:t>3515</w:t>
      </w:r>
    </w:p>
    <w:p w14:paraId="02E78BFE" w14:textId="13946A70" w:rsidR="00B91E23" w:rsidRPr="00B91E23" w:rsidRDefault="00B91E23" w:rsidP="00936112">
      <w:pPr>
        <w:widowControl w:val="0"/>
        <w:spacing w:after="0" w:line="360" w:lineRule="auto"/>
        <w:rPr>
          <w:rFonts w:eastAsia="Calibri" w:cstheme="minorHAnsi"/>
          <w:spacing w:val="-1"/>
          <w:highlight w:val="lightGray"/>
          <w:lang w:val="en-US"/>
        </w:rPr>
      </w:pPr>
      <w:r>
        <w:rPr>
          <w:rFonts w:eastAsia="Calibri" w:cstheme="minorHAnsi"/>
          <w:spacing w:val="-1"/>
          <w:lang w:val="en-US"/>
        </w:rPr>
        <w:t>Terminal Evaluation</w:t>
      </w:r>
      <w:r w:rsidR="00C32928" w:rsidRPr="00936112">
        <w:rPr>
          <w:rFonts w:eastAsia="Calibri" w:cstheme="minorHAnsi"/>
          <w:spacing w:val="-1"/>
          <w:lang w:val="en-US"/>
        </w:rPr>
        <w:t xml:space="preserve"> Completion </w:t>
      </w:r>
      <w:r w:rsidR="00C32928" w:rsidRPr="00B8620B">
        <w:rPr>
          <w:rFonts w:eastAsia="Calibri" w:cstheme="minorHAnsi"/>
          <w:spacing w:val="-1"/>
          <w:lang w:val="en-US"/>
        </w:rPr>
        <w:t xml:space="preserve">Date: </w:t>
      </w:r>
      <w:r w:rsidR="004A6CA6">
        <w:rPr>
          <w:rFonts w:eastAsia="Calibri" w:cstheme="minorHAnsi"/>
          <w:spacing w:val="-1"/>
          <w:lang w:val="en-US"/>
        </w:rPr>
        <w:t>December</w:t>
      </w:r>
      <w:r w:rsidRPr="00B8620B">
        <w:rPr>
          <w:rFonts w:eastAsia="Calibri" w:cstheme="minorHAnsi"/>
          <w:spacing w:val="-1"/>
          <w:lang w:val="en-US"/>
        </w:rPr>
        <w:t xml:space="preserve"> 20</w:t>
      </w:r>
      <w:r w:rsidR="002C697C" w:rsidRPr="00B8620B">
        <w:rPr>
          <w:rFonts w:eastAsia="Calibri" w:cstheme="minorHAnsi"/>
          <w:spacing w:val="-1"/>
          <w:lang w:val="en-US"/>
        </w:rPr>
        <w:t>20</w:t>
      </w:r>
    </w:p>
    <w:tbl>
      <w:tblPr>
        <w:tblStyle w:val="TableGrid"/>
        <w:tblW w:w="0" w:type="auto"/>
        <w:tblLayout w:type="fixed"/>
        <w:tblLook w:val="04A0" w:firstRow="1" w:lastRow="0" w:firstColumn="1" w:lastColumn="0" w:noHBand="0" w:noVBand="1"/>
      </w:tblPr>
      <w:tblGrid>
        <w:gridCol w:w="2972"/>
        <w:gridCol w:w="4043"/>
        <w:gridCol w:w="2430"/>
        <w:gridCol w:w="1170"/>
        <w:gridCol w:w="1170"/>
        <w:gridCol w:w="1110"/>
        <w:gridCol w:w="1801"/>
      </w:tblGrid>
      <w:tr w:rsidR="0033640F" w:rsidRPr="00F811EE" w14:paraId="69502E4D" w14:textId="77777777" w:rsidTr="00557233">
        <w:trPr>
          <w:tblHeader/>
        </w:trPr>
        <w:tc>
          <w:tcPr>
            <w:tcW w:w="2972" w:type="dxa"/>
            <w:vMerge w:val="restart"/>
            <w:shd w:val="clear" w:color="auto" w:fill="BFBFBF" w:themeFill="background1" w:themeFillShade="BF"/>
          </w:tcPr>
          <w:p w14:paraId="106D73B8" w14:textId="5114EA9B" w:rsidR="00F811EE" w:rsidRPr="00F811EE" w:rsidRDefault="00F811EE" w:rsidP="00F811EE">
            <w:pPr>
              <w:widowControl w:val="0"/>
              <w:jc w:val="center"/>
              <w:rPr>
                <w:rFonts w:eastAsia="Calibri" w:cstheme="minorHAnsi"/>
                <w:b/>
                <w:bCs/>
                <w:spacing w:val="-1"/>
                <w:sz w:val="20"/>
                <w:szCs w:val="20"/>
                <w:lang w:val="en-US"/>
              </w:rPr>
            </w:pPr>
            <w:r w:rsidRPr="00F811EE">
              <w:rPr>
                <w:rFonts w:eastAsia="Calibri" w:cstheme="minorHAnsi"/>
                <w:b/>
                <w:bCs/>
                <w:spacing w:val="-1"/>
                <w:sz w:val="20"/>
                <w:szCs w:val="20"/>
                <w:lang w:val="en-US"/>
              </w:rPr>
              <w:t>Key Issues and Recommendations</w:t>
            </w:r>
          </w:p>
        </w:tc>
        <w:tc>
          <w:tcPr>
            <w:tcW w:w="4043" w:type="dxa"/>
            <w:shd w:val="clear" w:color="auto" w:fill="BFBFBF" w:themeFill="background1" w:themeFillShade="BF"/>
          </w:tcPr>
          <w:p w14:paraId="51FD09F2" w14:textId="5482DB24" w:rsidR="00F811EE" w:rsidRPr="00F811EE" w:rsidRDefault="00F811EE" w:rsidP="00F811EE">
            <w:pPr>
              <w:widowControl w:val="0"/>
              <w:jc w:val="center"/>
              <w:rPr>
                <w:rFonts w:eastAsia="Calibri" w:cstheme="minorHAnsi"/>
                <w:b/>
                <w:bCs/>
                <w:spacing w:val="-1"/>
                <w:sz w:val="20"/>
                <w:szCs w:val="20"/>
                <w:lang w:val="en-US"/>
              </w:rPr>
            </w:pPr>
            <w:r w:rsidRPr="00F811EE">
              <w:rPr>
                <w:rFonts w:eastAsia="Calibri" w:cstheme="minorHAnsi"/>
                <w:b/>
                <w:bCs/>
                <w:spacing w:val="-1"/>
                <w:sz w:val="20"/>
                <w:szCs w:val="20"/>
                <w:lang w:val="en-US"/>
              </w:rPr>
              <w:t>Management Response*</w:t>
            </w:r>
          </w:p>
        </w:tc>
        <w:tc>
          <w:tcPr>
            <w:tcW w:w="2430" w:type="dxa"/>
            <w:shd w:val="clear" w:color="auto" w:fill="BFBFBF" w:themeFill="background1" w:themeFillShade="BF"/>
          </w:tcPr>
          <w:p w14:paraId="73737A47" w14:textId="692F3EA3" w:rsidR="00F811EE" w:rsidRPr="00F811EE" w:rsidRDefault="00F811EE" w:rsidP="00F811EE">
            <w:pPr>
              <w:widowControl w:val="0"/>
              <w:jc w:val="center"/>
              <w:rPr>
                <w:rFonts w:eastAsia="Calibri" w:cstheme="minorHAnsi"/>
                <w:b/>
                <w:bCs/>
                <w:spacing w:val="-1"/>
                <w:sz w:val="20"/>
                <w:szCs w:val="20"/>
                <w:lang w:val="en-US"/>
              </w:rPr>
            </w:pPr>
            <w:r w:rsidRPr="00F811EE">
              <w:rPr>
                <w:rFonts w:eastAsia="Calibri" w:cstheme="minorHAnsi"/>
                <w:b/>
                <w:bCs/>
                <w:spacing w:val="-1"/>
                <w:sz w:val="20"/>
                <w:szCs w:val="20"/>
                <w:lang w:val="en-US"/>
              </w:rPr>
              <w:t>Tracking**</w:t>
            </w:r>
          </w:p>
        </w:tc>
        <w:tc>
          <w:tcPr>
            <w:tcW w:w="5251" w:type="dxa"/>
            <w:gridSpan w:val="4"/>
            <w:shd w:val="clear" w:color="auto" w:fill="BFBFBF" w:themeFill="background1" w:themeFillShade="BF"/>
          </w:tcPr>
          <w:p w14:paraId="402BBF21" w14:textId="77777777" w:rsidR="00F811EE" w:rsidRPr="00F811EE" w:rsidRDefault="00F811EE" w:rsidP="00F811EE">
            <w:pPr>
              <w:widowControl w:val="0"/>
              <w:jc w:val="center"/>
              <w:rPr>
                <w:rFonts w:eastAsia="Calibri" w:cstheme="minorHAnsi"/>
                <w:b/>
                <w:bCs/>
                <w:spacing w:val="-1"/>
                <w:sz w:val="20"/>
                <w:szCs w:val="20"/>
                <w:lang w:val="en-US"/>
              </w:rPr>
            </w:pPr>
          </w:p>
        </w:tc>
      </w:tr>
      <w:tr w:rsidR="00C12C44" w:rsidRPr="00F811EE" w14:paraId="1A2A8EEA" w14:textId="77777777" w:rsidTr="00557233">
        <w:trPr>
          <w:tblHeader/>
        </w:trPr>
        <w:tc>
          <w:tcPr>
            <w:tcW w:w="2972" w:type="dxa"/>
            <w:vMerge/>
            <w:shd w:val="clear" w:color="auto" w:fill="BFBFBF" w:themeFill="background1" w:themeFillShade="BF"/>
          </w:tcPr>
          <w:p w14:paraId="440D2D98" w14:textId="77777777" w:rsidR="00F811EE" w:rsidRPr="00F811EE" w:rsidRDefault="00F811EE" w:rsidP="00F811EE">
            <w:pPr>
              <w:widowControl w:val="0"/>
              <w:rPr>
                <w:rFonts w:eastAsia="Calibri" w:cstheme="minorHAnsi"/>
                <w:b/>
                <w:bCs/>
                <w:spacing w:val="-1"/>
                <w:sz w:val="20"/>
                <w:szCs w:val="20"/>
                <w:lang w:val="en-US"/>
              </w:rPr>
            </w:pPr>
          </w:p>
        </w:tc>
        <w:tc>
          <w:tcPr>
            <w:tcW w:w="4043" w:type="dxa"/>
            <w:shd w:val="clear" w:color="auto" w:fill="D9D9D9" w:themeFill="background1" w:themeFillShade="D9"/>
          </w:tcPr>
          <w:p w14:paraId="489AF018" w14:textId="4A043B3E" w:rsidR="00F811EE" w:rsidRPr="00F811EE" w:rsidRDefault="00F811EE" w:rsidP="00F811EE">
            <w:pPr>
              <w:widowControl w:val="0"/>
              <w:jc w:val="center"/>
              <w:rPr>
                <w:rFonts w:eastAsia="Calibri" w:cstheme="minorHAnsi"/>
                <w:b/>
                <w:bCs/>
                <w:spacing w:val="-1"/>
                <w:sz w:val="20"/>
                <w:szCs w:val="20"/>
                <w:lang w:val="en-US"/>
              </w:rPr>
            </w:pPr>
            <w:r w:rsidRPr="00F811EE">
              <w:rPr>
                <w:rFonts w:eastAsia="Calibri" w:cstheme="minorHAnsi"/>
                <w:b/>
                <w:bCs/>
                <w:spacing w:val="-1"/>
                <w:sz w:val="20"/>
                <w:szCs w:val="20"/>
                <w:lang w:val="en-US"/>
              </w:rPr>
              <w:t>Response</w:t>
            </w:r>
          </w:p>
        </w:tc>
        <w:tc>
          <w:tcPr>
            <w:tcW w:w="2430" w:type="dxa"/>
            <w:shd w:val="clear" w:color="auto" w:fill="D9D9D9" w:themeFill="background1" w:themeFillShade="D9"/>
          </w:tcPr>
          <w:p w14:paraId="7AF99451" w14:textId="7232E458" w:rsidR="00F811EE" w:rsidRPr="00F811EE" w:rsidRDefault="00F811EE" w:rsidP="00F811EE">
            <w:pPr>
              <w:widowControl w:val="0"/>
              <w:jc w:val="center"/>
              <w:rPr>
                <w:rFonts w:eastAsia="Calibri" w:cstheme="minorHAnsi"/>
                <w:b/>
                <w:bCs/>
                <w:spacing w:val="-1"/>
                <w:sz w:val="20"/>
                <w:szCs w:val="20"/>
                <w:lang w:val="en-US"/>
              </w:rPr>
            </w:pPr>
            <w:r w:rsidRPr="00F811EE">
              <w:rPr>
                <w:rFonts w:eastAsia="Calibri" w:cstheme="minorHAnsi"/>
                <w:b/>
                <w:bCs/>
                <w:spacing w:val="-1"/>
                <w:sz w:val="20"/>
                <w:szCs w:val="20"/>
                <w:lang w:val="en-US"/>
              </w:rPr>
              <w:t>Key Actions</w:t>
            </w:r>
          </w:p>
        </w:tc>
        <w:tc>
          <w:tcPr>
            <w:tcW w:w="1170" w:type="dxa"/>
            <w:shd w:val="clear" w:color="auto" w:fill="D9D9D9" w:themeFill="background1" w:themeFillShade="D9"/>
          </w:tcPr>
          <w:p w14:paraId="53BBF231" w14:textId="66535B8F" w:rsidR="00F811EE" w:rsidRPr="00F811EE" w:rsidRDefault="00F811EE" w:rsidP="00F811EE">
            <w:pPr>
              <w:widowControl w:val="0"/>
              <w:jc w:val="center"/>
              <w:rPr>
                <w:rFonts w:eastAsia="Calibri" w:cstheme="minorHAnsi"/>
                <w:b/>
                <w:bCs/>
                <w:spacing w:val="-1"/>
                <w:sz w:val="20"/>
                <w:szCs w:val="20"/>
                <w:lang w:val="en-US"/>
              </w:rPr>
            </w:pPr>
            <w:r w:rsidRPr="00F811EE">
              <w:rPr>
                <w:rFonts w:eastAsia="Calibri" w:cstheme="minorHAnsi"/>
                <w:b/>
                <w:bCs/>
                <w:spacing w:val="-1"/>
                <w:sz w:val="20"/>
                <w:szCs w:val="20"/>
                <w:lang w:val="en-US"/>
              </w:rPr>
              <w:t>Timeframe</w:t>
            </w:r>
          </w:p>
        </w:tc>
        <w:tc>
          <w:tcPr>
            <w:tcW w:w="1170" w:type="dxa"/>
            <w:shd w:val="clear" w:color="auto" w:fill="D9D9D9" w:themeFill="background1" w:themeFillShade="D9"/>
          </w:tcPr>
          <w:p w14:paraId="6C472AEC" w14:textId="61EC76DC" w:rsidR="00F811EE" w:rsidRPr="00F811EE" w:rsidRDefault="00F811EE" w:rsidP="00F811EE">
            <w:pPr>
              <w:widowControl w:val="0"/>
              <w:jc w:val="center"/>
              <w:rPr>
                <w:rFonts w:eastAsia="Calibri" w:cstheme="minorHAnsi"/>
                <w:b/>
                <w:bCs/>
                <w:spacing w:val="-1"/>
                <w:sz w:val="20"/>
                <w:szCs w:val="20"/>
                <w:lang w:val="en-US"/>
              </w:rPr>
            </w:pPr>
            <w:r w:rsidRPr="00F811EE">
              <w:rPr>
                <w:rFonts w:eastAsia="Calibri" w:cstheme="minorHAnsi"/>
                <w:b/>
                <w:bCs/>
                <w:spacing w:val="-1"/>
                <w:sz w:val="20"/>
                <w:szCs w:val="20"/>
                <w:lang w:val="en-US"/>
              </w:rPr>
              <w:t>Responsible Unit(s)</w:t>
            </w:r>
          </w:p>
        </w:tc>
        <w:tc>
          <w:tcPr>
            <w:tcW w:w="1110" w:type="dxa"/>
            <w:shd w:val="clear" w:color="auto" w:fill="D9D9D9" w:themeFill="background1" w:themeFillShade="D9"/>
          </w:tcPr>
          <w:p w14:paraId="014699DF" w14:textId="3A1502FA" w:rsidR="00F811EE" w:rsidRPr="00F811EE" w:rsidRDefault="00F811EE" w:rsidP="00F811EE">
            <w:pPr>
              <w:widowControl w:val="0"/>
              <w:jc w:val="center"/>
              <w:rPr>
                <w:rFonts w:eastAsia="Calibri" w:cstheme="minorHAnsi"/>
                <w:b/>
                <w:bCs/>
                <w:spacing w:val="-1"/>
                <w:sz w:val="20"/>
                <w:szCs w:val="20"/>
                <w:lang w:val="en-US"/>
              </w:rPr>
            </w:pPr>
            <w:r w:rsidRPr="00F811EE">
              <w:rPr>
                <w:rFonts w:eastAsia="Calibri" w:cstheme="minorHAnsi"/>
                <w:b/>
                <w:bCs/>
                <w:spacing w:val="-1"/>
                <w:sz w:val="20"/>
                <w:szCs w:val="20"/>
                <w:lang w:val="en-US"/>
              </w:rPr>
              <w:t>Status***</w:t>
            </w:r>
          </w:p>
        </w:tc>
        <w:tc>
          <w:tcPr>
            <w:tcW w:w="1801" w:type="dxa"/>
            <w:shd w:val="clear" w:color="auto" w:fill="D9D9D9" w:themeFill="background1" w:themeFillShade="D9"/>
          </w:tcPr>
          <w:p w14:paraId="0C89B67D" w14:textId="46CA1871" w:rsidR="00F811EE" w:rsidRPr="00F811EE" w:rsidRDefault="00F811EE" w:rsidP="00F811EE">
            <w:pPr>
              <w:widowControl w:val="0"/>
              <w:jc w:val="center"/>
              <w:rPr>
                <w:rFonts w:eastAsia="Calibri" w:cstheme="minorHAnsi"/>
                <w:b/>
                <w:bCs/>
                <w:spacing w:val="-1"/>
                <w:sz w:val="20"/>
                <w:szCs w:val="20"/>
                <w:lang w:val="en-US"/>
              </w:rPr>
            </w:pPr>
            <w:r w:rsidRPr="00F811EE">
              <w:rPr>
                <w:rFonts w:eastAsia="Calibri" w:cstheme="minorHAnsi"/>
                <w:b/>
                <w:bCs/>
                <w:spacing w:val="-1"/>
                <w:sz w:val="20"/>
                <w:szCs w:val="20"/>
                <w:lang w:val="en-US"/>
              </w:rPr>
              <w:t>Comments</w:t>
            </w:r>
          </w:p>
        </w:tc>
      </w:tr>
      <w:tr w:rsidR="0033640F" w:rsidRPr="0079754A" w14:paraId="401E4C65" w14:textId="77777777" w:rsidTr="00D631BF">
        <w:trPr>
          <w:trHeight w:val="3666"/>
        </w:trPr>
        <w:tc>
          <w:tcPr>
            <w:tcW w:w="2972" w:type="dxa"/>
            <w:vAlign w:val="center"/>
          </w:tcPr>
          <w:p w14:paraId="6DB95A25" w14:textId="73C2572B" w:rsidR="00F811EE" w:rsidRPr="0079754A" w:rsidRDefault="00F811EE" w:rsidP="00D631BF">
            <w:pPr>
              <w:widowControl w:val="0"/>
              <w:jc w:val="both"/>
              <w:rPr>
                <w:rFonts w:eastAsia="Calibri" w:cstheme="minorHAnsi"/>
                <w:spacing w:val="-1"/>
                <w:sz w:val="18"/>
                <w:szCs w:val="18"/>
                <w:lang w:val="en-US"/>
              </w:rPr>
            </w:pPr>
            <w:r w:rsidRPr="0079754A">
              <w:rPr>
                <w:rFonts w:eastAsia="Calibri" w:cstheme="minorHAnsi"/>
                <w:spacing w:val="-1"/>
                <w:sz w:val="18"/>
                <w:szCs w:val="18"/>
                <w:lang w:val="en-US"/>
              </w:rPr>
              <w:t xml:space="preserve">1. </w:t>
            </w:r>
            <w:r w:rsidR="002C697C" w:rsidRPr="0079754A">
              <w:rPr>
                <w:rFonts w:eastAsia="Calibri" w:cstheme="minorHAnsi"/>
                <w:spacing w:val="-1"/>
                <w:sz w:val="18"/>
                <w:szCs w:val="18"/>
                <w:lang w:val="en-US"/>
              </w:rPr>
              <w:t>UNDP and CNPEM-LNBR should continue to promote and disseminate the scientific papers and knowledge products generated by the project, including by reaching out again to the MCTI and MME.</w:t>
            </w:r>
          </w:p>
        </w:tc>
        <w:tc>
          <w:tcPr>
            <w:tcW w:w="4043" w:type="dxa"/>
            <w:vAlign w:val="center"/>
          </w:tcPr>
          <w:p w14:paraId="7AC4294C" w14:textId="67A90D4A" w:rsidR="00B91E23" w:rsidRPr="0079754A" w:rsidRDefault="00347B73" w:rsidP="00D631BF">
            <w:pPr>
              <w:widowControl w:val="0"/>
              <w:jc w:val="both"/>
              <w:rPr>
                <w:rFonts w:eastAsia="Calibri" w:cstheme="minorHAnsi"/>
                <w:spacing w:val="-1"/>
                <w:sz w:val="18"/>
                <w:szCs w:val="18"/>
                <w:lang w:val="en-US"/>
              </w:rPr>
            </w:pPr>
            <w:r w:rsidRPr="0079754A">
              <w:rPr>
                <w:rFonts w:eastAsia="Calibri" w:cstheme="minorHAnsi"/>
                <w:spacing w:val="-1"/>
                <w:sz w:val="18"/>
                <w:szCs w:val="18"/>
                <w:lang w:val="en-US"/>
              </w:rPr>
              <w:t xml:space="preserve">LNBR has developed a </w:t>
            </w:r>
            <w:r w:rsidR="00651405" w:rsidRPr="0079754A">
              <w:rPr>
                <w:rFonts w:eastAsia="Calibri" w:cstheme="minorHAnsi"/>
                <w:spacing w:val="-1"/>
                <w:sz w:val="18"/>
                <w:szCs w:val="18"/>
                <w:lang w:val="en-US"/>
              </w:rPr>
              <w:t>web</w:t>
            </w:r>
            <w:r w:rsidRPr="0079754A">
              <w:rPr>
                <w:rFonts w:eastAsia="Calibri" w:cstheme="minorHAnsi"/>
                <w:spacing w:val="-1"/>
                <w:sz w:val="18"/>
                <w:szCs w:val="18"/>
                <w:lang w:val="en-US"/>
              </w:rPr>
              <w:t>page dedicated to the project</w:t>
            </w:r>
            <w:r w:rsidR="00EC299A" w:rsidRPr="0079754A">
              <w:rPr>
                <w:rFonts w:eastAsia="Calibri" w:cstheme="minorHAnsi"/>
                <w:spacing w:val="-1"/>
                <w:sz w:val="18"/>
                <w:szCs w:val="18"/>
                <w:lang w:val="en-US"/>
              </w:rPr>
              <w:t xml:space="preserve"> (Portuguese and English versions)</w:t>
            </w:r>
            <w:r w:rsidRPr="0079754A">
              <w:rPr>
                <w:rFonts w:eastAsia="Calibri" w:cstheme="minorHAnsi"/>
                <w:spacing w:val="-1"/>
                <w:sz w:val="18"/>
                <w:szCs w:val="18"/>
                <w:lang w:val="en-US"/>
              </w:rPr>
              <w:t xml:space="preserve"> </w:t>
            </w:r>
            <w:r w:rsidR="00EC299A" w:rsidRPr="0079754A">
              <w:rPr>
                <w:rFonts w:eastAsia="Calibri" w:cstheme="minorHAnsi"/>
                <w:spacing w:val="-1"/>
                <w:sz w:val="18"/>
                <w:szCs w:val="18"/>
                <w:lang w:val="en-US"/>
              </w:rPr>
              <w:t>in</w:t>
            </w:r>
            <w:r w:rsidRPr="0079754A">
              <w:rPr>
                <w:rFonts w:eastAsia="Calibri" w:cstheme="minorHAnsi"/>
                <w:spacing w:val="-1"/>
                <w:sz w:val="18"/>
                <w:szCs w:val="18"/>
                <w:lang w:val="en-US"/>
              </w:rPr>
              <w:t xml:space="preserve"> the laboratory </w:t>
            </w:r>
            <w:r w:rsidR="00651405" w:rsidRPr="0079754A">
              <w:rPr>
                <w:rFonts w:eastAsia="Calibri" w:cstheme="minorHAnsi"/>
                <w:spacing w:val="-1"/>
                <w:sz w:val="18"/>
                <w:szCs w:val="18"/>
                <w:lang w:val="en-US"/>
              </w:rPr>
              <w:t>web</w:t>
            </w:r>
            <w:r w:rsidRPr="0079754A">
              <w:rPr>
                <w:rFonts w:eastAsia="Calibri" w:cstheme="minorHAnsi"/>
                <w:spacing w:val="-1"/>
                <w:sz w:val="18"/>
                <w:szCs w:val="18"/>
                <w:lang w:val="en-US"/>
              </w:rPr>
              <w:t xml:space="preserve">site </w:t>
            </w:r>
            <w:r w:rsidR="00EC299A" w:rsidRPr="0079754A">
              <w:rPr>
                <w:rFonts w:eastAsia="Calibri" w:cstheme="minorHAnsi"/>
                <w:spacing w:val="-1"/>
                <w:sz w:val="18"/>
                <w:szCs w:val="18"/>
                <w:lang w:val="en-US"/>
              </w:rPr>
              <w:t xml:space="preserve">with </w:t>
            </w:r>
            <w:r w:rsidRPr="0079754A">
              <w:rPr>
                <w:rFonts w:eastAsia="Calibri" w:cstheme="minorHAnsi"/>
                <w:spacing w:val="-1"/>
                <w:sz w:val="18"/>
                <w:szCs w:val="18"/>
                <w:lang w:val="en-US"/>
              </w:rPr>
              <w:t xml:space="preserve">information, data, contacts, reports, </w:t>
            </w:r>
            <w:r w:rsidR="00DF493A" w:rsidRPr="0079754A">
              <w:rPr>
                <w:rFonts w:eastAsia="Calibri" w:cstheme="minorHAnsi"/>
                <w:spacing w:val="-1"/>
                <w:sz w:val="18"/>
                <w:szCs w:val="18"/>
                <w:lang w:val="en-US"/>
              </w:rPr>
              <w:t xml:space="preserve">booklets, </w:t>
            </w:r>
            <w:r w:rsidRPr="0079754A">
              <w:rPr>
                <w:rFonts w:eastAsia="Calibri" w:cstheme="minorHAnsi"/>
                <w:spacing w:val="-1"/>
                <w:sz w:val="18"/>
                <w:szCs w:val="18"/>
                <w:lang w:val="en-US"/>
              </w:rPr>
              <w:t xml:space="preserve">scientific </w:t>
            </w:r>
            <w:r w:rsidR="00EC299A" w:rsidRPr="0079754A">
              <w:rPr>
                <w:rFonts w:eastAsia="Calibri" w:cstheme="minorHAnsi"/>
                <w:spacing w:val="-1"/>
                <w:sz w:val="18"/>
                <w:szCs w:val="18"/>
                <w:lang w:val="en-US"/>
              </w:rPr>
              <w:t>papers</w:t>
            </w:r>
            <w:r w:rsidR="00651405" w:rsidRPr="0079754A">
              <w:rPr>
                <w:rFonts w:eastAsia="Calibri" w:cstheme="minorHAnsi"/>
                <w:spacing w:val="-1"/>
                <w:sz w:val="18"/>
                <w:szCs w:val="18"/>
                <w:lang w:val="en-US"/>
              </w:rPr>
              <w:t>,</w:t>
            </w:r>
            <w:r w:rsidRPr="0079754A">
              <w:rPr>
                <w:rFonts w:eastAsia="Calibri" w:cstheme="minorHAnsi"/>
                <w:spacing w:val="-1"/>
                <w:sz w:val="18"/>
                <w:szCs w:val="18"/>
                <w:lang w:val="en-US"/>
              </w:rPr>
              <w:t xml:space="preserve"> and the great majority of the content produced during the execution of SUCRE. The information can be found here:</w:t>
            </w:r>
            <w:r w:rsidR="00EC299A" w:rsidRPr="0079754A">
              <w:rPr>
                <w:sz w:val="18"/>
                <w:szCs w:val="18"/>
                <w:lang w:val="en-US"/>
              </w:rPr>
              <w:t xml:space="preserve"> </w:t>
            </w:r>
            <w:hyperlink r:id="rId12" w:history="1">
              <w:r w:rsidR="00EC299A" w:rsidRPr="0079754A">
                <w:rPr>
                  <w:rStyle w:val="Hyperlink"/>
                  <w:rFonts w:eastAsia="Calibri" w:cstheme="minorHAnsi"/>
                  <w:spacing w:val="-1"/>
                  <w:sz w:val="18"/>
                  <w:szCs w:val="18"/>
                  <w:lang w:val="en-US"/>
                </w:rPr>
                <w:t>https://lnbr.cnpem.br/sucre-project/</w:t>
              </w:r>
            </w:hyperlink>
            <w:r w:rsidR="00EC299A" w:rsidRPr="0079754A">
              <w:rPr>
                <w:rFonts w:eastAsia="Calibri" w:cstheme="minorHAnsi"/>
                <w:spacing w:val="-1"/>
                <w:sz w:val="18"/>
                <w:szCs w:val="18"/>
                <w:lang w:val="en-US"/>
              </w:rPr>
              <w:t xml:space="preserve">.  Scientific </w:t>
            </w:r>
            <w:r w:rsidR="0033640F" w:rsidRPr="0079754A">
              <w:rPr>
                <w:rFonts w:eastAsia="Calibri" w:cstheme="minorHAnsi"/>
                <w:spacing w:val="-1"/>
                <w:sz w:val="18"/>
                <w:szCs w:val="18"/>
                <w:lang w:val="en-US"/>
              </w:rPr>
              <w:t>papers</w:t>
            </w:r>
            <w:r w:rsidR="00EC299A" w:rsidRPr="0079754A">
              <w:rPr>
                <w:rFonts w:eastAsia="Calibri" w:cstheme="minorHAnsi"/>
                <w:spacing w:val="-1"/>
                <w:sz w:val="18"/>
                <w:szCs w:val="18"/>
                <w:lang w:val="en-US"/>
              </w:rPr>
              <w:t xml:space="preserve"> continue to be submitted and published in relevant scientific journals (Check out the</w:t>
            </w:r>
            <w:r w:rsidR="0033640F" w:rsidRPr="0079754A">
              <w:rPr>
                <w:rFonts w:eastAsia="Calibri" w:cstheme="minorHAnsi"/>
                <w:spacing w:val="-1"/>
                <w:sz w:val="18"/>
                <w:szCs w:val="18"/>
                <w:lang w:val="en-US"/>
              </w:rPr>
              <w:t xml:space="preserve"> l</w:t>
            </w:r>
            <w:r w:rsidR="00EC299A" w:rsidRPr="0079754A">
              <w:rPr>
                <w:rFonts w:eastAsia="Calibri" w:cstheme="minorHAnsi"/>
                <w:spacing w:val="-1"/>
                <w:sz w:val="18"/>
                <w:szCs w:val="18"/>
                <w:lang w:val="en-US"/>
              </w:rPr>
              <w:t>atest one:</w:t>
            </w:r>
            <w:hyperlink r:id="rId13" w:history="1">
              <w:r w:rsidR="00EC299A" w:rsidRPr="0079754A">
                <w:rPr>
                  <w:rStyle w:val="Hyperlink"/>
                  <w:rFonts w:eastAsia="Calibri" w:cstheme="minorHAnsi"/>
                  <w:spacing w:val="-1"/>
                  <w:sz w:val="18"/>
                  <w:szCs w:val="18"/>
                  <w:lang w:val="en-US"/>
                </w:rPr>
                <w:t>https://www.sciencedirect.com/science/article/abs/pii/S0959652620353634?via%3Dihub</w:t>
              </w:r>
            </w:hyperlink>
            <w:r w:rsidR="00DF493A" w:rsidRPr="0079754A">
              <w:rPr>
                <w:rFonts w:eastAsia="Calibri" w:cstheme="minorHAnsi"/>
                <w:spacing w:val="-1"/>
                <w:sz w:val="18"/>
                <w:szCs w:val="18"/>
                <w:lang w:val="en-US"/>
              </w:rPr>
              <w:t>)</w:t>
            </w:r>
            <w:r w:rsidR="00EC299A" w:rsidRPr="0079754A">
              <w:rPr>
                <w:rFonts w:eastAsia="Calibri" w:cstheme="minorHAnsi"/>
                <w:spacing w:val="-1"/>
                <w:sz w:val="18"/>
                <w:szCs w:val="18"/>
                <w:lang w:val="en-US"/>
              </w:rPr>
              <w:t>. The results of the project continue to be disseminated in ministerial meetings whenever possible.</w:t>
            </w:r>
          </w:p>
        </w:tc>
        <w:tc>
          <w:tcPr>
            <w:tcW w:w="2430" w:type="dxa"/>
            <w:vAlign w:val="center"/>
          </w:tcPr>
          <w:p w14:paraId="1C612432" w14:textId="6A116E8E" w:rsidR="0033640F" w:rsidRPr="0079754A" w:rsidRDefault="0033640F" w:rsidP="00D631BF">
            <w:pPr>
              <w:pStyle w:val="ListParagraph"/>
              <w:widowControl w:val="0"/>
              <w:numPr>
                <w:ilvl w:val="0"/>
                <w:numId w:val="16"/>
              </w:numPr>
              <w:ind w:left="277"/>
              <w:jc w:val="both"/>
              <w:rPr>
                <w:rFonts w:eastAsia="Calibri" w:cstheme="minorHAnsi"/>
                <w:spacing w:val="-1"/>
                <w:sz w:val="18"/>
                <w:szCs w:val="18"/>
                <w:lang w:val="en-US"/>
              </w:rPr>
            </w:pPr>
            <w:r w:rsidRPr="0079754A">
              <w:rPr>
                <w:rFonts w:eastAsia="Calibri" w:cstheme="minorHAnsi"/>
                <w:spacing w:val="-1"/>
                <w:sz w:val="18"/>
                <w:szCs w:val="18"/>
                <w:lang w:val="en-US"/>
              </w:rPr>
              <w:t xml:space="preserve">Maintenance of the content of the SUCRE </w:t>
            </w:r>
            <w:r w:rsidR="00651405" w:rsidRPr="0079754A">
              <w:rPr>
                <w:rFonts w:eastAsia="Calibri" w:cstheme="minorHAnsi"/>
                <w:spacing w:val="-1"/>
                <w:sz w:val="18"/>
                <w:szCs w:val="18"/>
                <w:lang w:val="en-US"/>
              </w:rPr>
              <w:t>web</w:t>
            </w:r>
            <w:r w:rsidRPr="0079754A">
              <w:rPr>
                <w:rFonts w:eastAsia="Calibri" w:cstheme="minorHAnsi"/>
                <w:spacing w:val="-1"/>
                <w:sz w:val="18"/>
                <w:szCs w:val="18"/>
                <w:lang w:val="en-US"/>
              </w:rPr>
              <w:t>page on LNBR's website.</w:t>
            </w:r>
          </w:p>
          <w:p w14:paraId="527147C3" w14:textId="55B65CF1" w:rsidR="00B91E23" w:rsidRPr="0079754A" w:rsidRDefault="0033640F" w:rsidP="00D631BF">
            <w:pPr>
              <w:pStyle w:val="ListParagraph"/>
              <w:widowControl w:val="0"/>
              <w:numPr>
                <w:ilvl w:val="0"/>
                <w:numId w:val="16"/>
              </w:numPr>
              <w:ind w:left="277"/>
              <w:jc w:val="both"/>
              <w:rPr>
                <w:rFonts w:eastAsia="Calibri" w:cstheme="minorHAnsi"/>
                <w:spacing w:val="-1"/>
                <w:sz w:val="18"/>
                <w:szCs w:val="18"/>
                <w:lang w:val="en-US"/>
              </w:rPr>
            </w:pPr>
            <w:r w:rsidRPr="0079754A">
              <w:rPr>
                <w:rFonts w:eastAsia="Calibri" w:cstheme="minorHAnsi"/>
                <w:spacing w:val="-1"/>
                <w:sz w:val="18"/>
                <w:szCs w:val="18"/>
                <w:lang w:val="en-US"/>
              </w:rPr>
              <w:t>Dissemination of results in ministerial meetings whenever possible.</w:t>
            </w:r>
          </w:p>
        </w:tc>
        <w:tc>
          <w:tcPr>
            <w:tcW w:w="1170" w:type="dxa"/>
            <w:vAlign w:val="center"/>
          </w:tcPr>
          <w:p w14:paraId="5EDAE71E" w14:textId="5681069E" w:rsidR="00B91E23" w:rsidRPr="0079754A" w:rsidRDefault="0033640F" w:rsidP="00D631BF">
            <w:pPr>
              <w:widowControl w:val="0"/>
              <w:jc w:val="both"/>
              <w:rPr>
                <w:rFonts w:eastAsia="Calibri" w:cstheme="minorHAnsi"/>
                <w:spacing w:val="-1"/>
                <w:sz w:val="18"/>
                <w:szCs w:val="18"/>
                <w:lang w:val="en-US"/>
              </w:rPr>
            </w:pPr>
            <w:r w:rsidRPr="0079754A">
              <w:rPr>
                <w:rFonts w:eastAsia="Calibri" w:cstheme="minorHAnsi"/>
                <w:spacing w:val="-1"/>
                <w:sz w:val="18"/>
                <w:szCs w:val="18"/>
                <w:lang w:val="en-US"/>
              </w:rPr>
              <w:t>June, 2020</w:t>
            </w:r>
          </w:p>
        </w:tc>
        <w:tc>
          <w:tcPr>
            <w:tcW w:w="1170" w:type="dxa"/>
            <w:vAlign w:val="center"/>
          </w:tcPr>
          <w:p w14:paraId="0EE15D97" w14:textId="2E2F292D" w:rsidR="00B91E23" w:rsidRPr="0079754A" w:rsidRDefault="002C697C" w:rsidP="00D631BF">
            <w:pPr>
              <w:widowControl w:val="0"/>
              <w:jc w:val="both"/>
              <w:rPr>
                <w:rFonts w:eastAsia="Calibri" w:cstheme="minorHAnsi"/>
                <w:spacing w:val="-1"/>
                <w:sz w:val="18"/>
                <w:szCs w:val="18"/>
                <w:lang w:val="en-US"/>
              </w:rPr>
            </w:pPr>
            <w:r w:rsidRPr="0079754A">
              <w:rPr>
                <w:rFonts w:eastAsia="Calibri" w:cstheme="minorHAnsi"/>
                <w:spacing w:val="-1"/>
                <w:sz w:val="18"/>
                <w:szCs w:val="18"/>
                <w:lang w:val="en-US"/>
              </w:rPr>
              <w:t>UNDP and CNPEM-LNBR</w:t>
            </w:r>
          </w:p>
        </w:tc>
        <w:tc>
          <w:tcPr>
            <w:tcW w:w="1110" w:type="dxa"/>
            <w:vAlign w:val="center"/>
          </w:tcPr>
          <w:p w14:paraId="76D02EB6" w14:textId="6068540A" w:rsidR="00B91E23" w:rsidRPr="0079754A" w:rsidRDefault="0033640F" w:rsidP="00D631BF">
            <w:pPr>
              <w:widowControl w:val="0"/>
              <w:jc w:val="both"/>
              <w:rPr>
                <w:rFonts w:eastAsia="Calibri" w:cstheme="minorHAnsi"/>
                <w:spacing w:val="-1"/>
                <w:sz w:val="18"/>
                <w:szCs w:val="18"/>
                <w:lang w:val="en-US"/>
              </w:rPr>
            </w:pPr>
            <w:r w:rsidRPr="0079754A">
              <w:rPr>
                <w:rFonts w:eastAsia="Calibri" w:cstheme="minorHAnsi"/>
                <w:spacing w:val="-1"/>
                <w:sz w:val="18"/>
                <w:szCs w:val="18"/>
                <w:lang w:val="en-US"/>
              </w:rPr>
              <w:t>Completed</w:t>
            </w:r>
          </w:p>
        </w:tc>
        <w:tc>
          <w:tcPr>
            <w:tcW w:w="1801" w:type="dxa"/>
            <w:vAlign w:val="center"/>
          </w:tcPr>
          <w:p w14:paraId="2B9CF98C" w14:textId="4E068C0E" w:rsidR="00B91E23" w:rsidRPr="0079754A" w:rsidRDefault="00DF493A" w:rsidP="00D631BF">
            <w:pPr>
              <w:widowControl w:val="0"/>
              <w:jc w:val="both"/>
              <w:rPr>
                <w:rFonts w:eastAsia="Calibri" w:cstheme="minorHAnsi"/>
                <w:spacing w:val="-1"/>
                <w:sz w:val="18"/>
                <w:szCs w:val="18"/>
                <w:lang w:val="en-US"/>
              </w:rPr>
            </w:pPr>
            <w:r w:rsidRPr="0079754A">
              <w:rPr>
                <w:rFonts w:eastAsia="Calibri" w:cstheme="minorHAnsi"/>
                <w:spacing w:val="-1"/>
                <w:sz w:val="18"/>
                <w:szCs w:val="18"/>
                <w:lang w:val="en-US"/>
              </w:rPr>
              <w:t xml:space="preserve">Please, find all SUCRE dissemination content at: </w:t>
            </w:r>
            <w:hyperlink r:id="rId14" w:history="1">
              <w:r w:rsidRPr="0079754A">
                <w:rPr>
                  <w:rStyle w:val="Hyperlink"/>
                  <w:rFonts w:eastAsia="Calibri" w:cstheme="minorHAnsi"/>
                  <w:spacing w:val="-1"/>
                  <w:sz w:val="18"/>
                  <w:szCs w:val="18"/>
                  <w:lang w:val="en-US"/>
                </w:rPr>
                <w:t>https://lnbr.cnpem.br/sucre-project/</w:t>
              </w:r>
            </w:hyperlink>
          </w:p>
        </w:tc>
      </w:tr>
      <w:tr w:rsidR="0033640F" w:rsidRPr="0079754A" w14:paraId="651E4A80" w14:textId="77777777" w:rsidTr="00D631BF">
        <w:tc>
          <w:tcPr>
            <w:tcW w:w="2972" w:type="dxa"/>
            <w:vAlign w:val="center"/>
          </w:tcPr>
          <w:p w14:paraId="6565A50B" w14:textId="7C112800" w:rsidR="00F811EE" w:rsidRPr="0079754A" w:rsidRDefault="00F811EE" w:rsidP="00D631BF">
            <w:pPr>
              <w:widowControl w:val="0"/>
              <w:jc w:val="both"/>
              <w:rPr>
                <w:rFonts w:eastAsia="Calibri" w:cstheme="minorHAnsi"/>
                <w:spacing w:val="-1"/>
                <w:sz w:val="18"/>
                <w:szCs w:val="18"/>
                <w:lang w:val="en-US"/>
              </w:rPr>
            </w:pPr>
            <w:r w:rsidRPr="0079754A">
              <w:rPr>
                <w:rFonts w:eastAsia="Calibri" w:cstheme="minorHAnsi"/>
                <w:spacing w:val="-1"/>
                <w:sz w:val="18"/>
                <w:szCs w:val="18"/>
                <w:lang w:val="en-US"/>
              </w:rPr>
              <w:t xml:space="preserve">2. </w:t>
            </w:r>
            <w:r w:rsidR="002C697C" w:rsidRPr="0079754A">
              <w:rPr>
                <w:rFonts w:eastAsia="Calibri" w:cstheme="minorHAnsi"/>
                <w:spacing w:val="-1"/>
                <w:sz w:val="18"/>
                <w:szCs w:val="18"/>
                <w:lang w:val="en-US"/>
              </w:rPr>
              <w:t>UNDP and CNPEM should consider the design of a project with GEF or Green Climate Fund support to further support enhancement of the biomass generated power, considering its lack of negative externalities and alignment with the NDC target. Dimensions to be explored include support to development of second-generation biofuels, substitution of fossil fuels in harvest and transport operation of sugar mills and management of vinasse fertigation (the latter to reduce soil emissions and improve fertilizer management).</w:t>
            </w:r>
          </w:p>
        </w:tc>
        <w:tc>
          <w:tcPr>
            <w:tcW w:w="4043" w:type="dxa"/>
            <w:vAlign w:val="center"/>
          </w:tcPr>
          <w:p w14:paraId="0779757C" w14:textId="46AAB09A" w:rsidR="00B91E23" w:rsidRPr="0079754A" w:rsidRDefault="00DF493A" w:rsidP="00D631BF">
            <w:pPr>
              <w:widowControl w:val="0"/>
              <w:jc w:val="both"/>
              <w:rPr>
                <w:rFonts w:eastAsia="Calibri" w:cstheme="minorHAnsi"/>
                <w:spacing w:val="-1"/>
                <w:sz w:val="18"/>
                <w:szCs w:val="18"/>
                <w:lang w:val="en-US"/>
              </w:rPr>
            </w:pPr>
            <w:r w:rsidRPr="0079754A">
              <w:rPr>
                <w:rFonts w:eastAsia="Calibri" w:cstheme="minorHAnsi"/>
                <w:spacing w:val="-1"/>
                <w:sz w:val="18"/>
                <w:szCs w:val="18"/>
                <w:lang w:val="en-US"/>
              </w:rPr>
              <w:t>A PIF (Project Identification Form) has been drafted together with the RTA entitled “</w:t>
            </w:r>
            <w:r w:rsidRPr="0079754A">
              <w:rPr>
                <w:color w:val="000000"/>
                <w:sz w:val="18"/>
                <w:szCs w:val="18"/>
                <w:lang w:val="en-US"/>
              </w:rPr>
              <w:t xml:space="preserve">Accelerating the transition to circular economy in </w:t>
            </w:r>
            <w:r w:rsidRPr="0079754A">
              <w:rPr>
                <w:rFonts w:eastAsia="Calibri" w:cstheme="minorHAnsi"/>
                <w:spacing w:val="-1"/>
                <w:sz w:val="18"/>
                <w:szCs w:val="18"/>
                <w:lang w:val="en-US"/>
              </w:rPr>
              <w:t>the sugar-energy sector (ACCESS)”. It is a full-size proposal with the goal to promote improved sugarcane industry waste</w:t>
            </w:r>
            <w:r w:rsidR="00C20BBE" w:rsidRPr="0079754A">
              <w:rPr>
                <w:rFonts w:eastAsia="Calibri" w:cstheme="minorHAnsi"/>
                <w:spacing w:val="-1"/>
                <w:sz w:val="18"/>
                <w:szCs w:val="18"/>
                <w:lang w:val="en-US"/>
              </w:rPr>
              <w:t xml:space="preserve"> </w:t>
            </w:r>
            <w:r w:rsidRPr="0079754A">
              <w:rPr>
                <w:rFonts w:eastAsia="Calibri" w:cstheme="minorHAnsi"/>
                <w:spacing w:val="-1"/>
                <w:sz w:val="18"/>
                <w:szCs w:val="18"/>
                <w:lang w:val="en-US"/>
              </w:rPr>
              <w:t>management options</w:t>
            </w:r>
            <w:r w:rsidR="004319F6" w:rsidRPr="0079754A">
              <w:rPr>
                <w:rFonts w:eastAsia="Calibri" w:cstheme="minorHAnsi"/>
                <w:spacing w:val="-1"/>
                <w:sz w:val="18"/>
                <w:szCs w:val="18"/>
                <w:lang w:val="en-US"/>
              </w:rPr>
              <w:t xml:space="preserve"> (particularly vinasse)</w:t>
            </w:r>
            <w:r w:rsidRPr="0079754A">
              <w:rPr>
                <w:rFonts w:eastAsia="Calibri" w:cstheme="minorHAnsi"/>
                <w:spacing w:val="-1"/>
                <w:sz w:val="18"/>
                <w:szCs w:val="18"/>
                <w:lang w:val="en-US"/>
              </w:rPr>
              <w:t xml:space="preserve"> considering circular economy principles aiming at maximizing GHG emission reduction, while preserving soil quality, water resources and other sustainability issues.</w:t>
            </w:r>
          </w:p>
        </w:tc>
        <w:tc>
          <w:tcPr>
            <w:tcW w:w="2430" w:type="dxa"/>
            <w:vAlign w:val="center"/>
          </w:tcPr>
          <w:p w14:paraId="599CCB65" w14:textId="5315CAD5" w:rsidR="00B91E23" w:rsidRPr="0079754A" w:rsidRDefault="001B5021" w:rsidP="00D631BF">
            <w:pPr>
              <w:pStyle w:val="ListParagraph"/>
              <w:widowControl w:val="0"/>
              <w:numPr>
                <w:ilvl w:val="0"/>
                <w:numId w:val="17"/>
              </w:numPr>
              <w:ind w:left="277"/>
              <w:jc w:val="both"/>
              <w:rPr>
                <w:rFonts w:eastAsia="Calibri" w:cstheme="minorHAnsi"/>
                <w:spacing w:val="-1"/>
                <w:sz w:val="18"/>
                <w:szCs w:val="18"/>
                <w:lang w:val="en-US"/>
              </w:rPr>
            </w:pPr>
            <w:r w:rsidRPr="0079754A">
              <w:rPr>
                <w:rFonts w:eastAsia="Calibri" w:cstheme="minorHAnsi"/>
                <w:spacing w:val="-1"/>
                <w:sz w:val="18"/>
                <w:szCs w:val="18"/>
                <w:lang w:val="en-US"/>
              </w:rPr>
              <w:t xml:space="preserve">Drafting of a PIF for the </w:t>
            </w:r>
            <w:r w:rsidR="00EF50C0" w:rsidRPr="0079754A">
              <w:rPr>
                <w:rFonts w:eastAsia="Calibri" w:cstheme="minorHAnsi"/>
                <w:spacing w:val="-1"/>
                <w:sz w:val="18"/>
                <w:szCs w:val="18"/>
                <w:lang w:val="en-US"/>
              </w:rPr>
              <w:t>valorization</w:t>
            </w:r>
            <w:r w:rsidRPr="0079754A">
              <w:rPr>
                <w:rFonts w:eastAsia="Calibri" w:cstheme="minorHAnsi"/>
                <w:spacing w:val="-1"/>
                <w:sz w:val="18"/>
                <w:szCs w:val="18"/>
                <w:lang w:val="en-US"/>
              </w:rPr>
              <w:t xml:space="preserve"> of waste from the sugar-energy industry</w:t>
            </w:r>
            <w:r w:rsidR="00EF50C0" w:rsidRPr="0079754A">
              <w:rPr>
                <w:rFonts w:eastAsia="Calibri" w:cstheme="minorHAnsi"/>
                <w:spacing w:val="-1"/>
                <w:sz w:val="18"/>
                <w:szCs w:val="18"/>
                <w:lang w:val="en-US"/>
              </w:rPr>
              <w:t>.</w:t>
            </w:r>
          </w:p>
        </w:tc>
        <w:tc>
          <w:tcPr>
            <w:tcW w:w="1170" w:type="dxa"/>
            <w:vAlign w:val="center"/>
          </w:tcPr>
          <w:p w14:paraId="6F33C81E" w14:textId="0F681D22" w:rsidR="00B91E23" w:rsidRPr="0079754A" w:rsidRDefault="00EF50C0" w:rsidP="00D631BF">
            <w:pPr>
              <w:widowControl w:val="0"/>
              <w:jc w:val="both"/>
              <w:rPr>
                <w:rFonts w:eastAsia="Calibri" w:cstheme="minorHAnsi"/>
                <w:spacing w:val="-1"/>
                <w:sz w:val="18"/>
                <w:szCs w:val="18"/>
                <w:lang w:val="en-US"/>
              </w:rPr>
            </w:pPr>
            <w:r w:rsidRPr="0079754A">
              <w:rPr>
                <w:rFonts w:eastAsia="Calibri" w:cstheme="minorHAnsi"/>
                <w:spacing w:val="-1"/>
                <w:sz w:val="18"/>
                <w:szCs w:val="18"/>
                <w:lang w:val="en-US"/>
              </w:rPr>
              <w:t>June, 2020</w:t>
            </w:r>
          </w:p>
        </w:tc>
        <w:tc>
          <w:tcPr>
            <w:tcW w:w="1170" w:type="dxa"/>
            <w:vAlign w:val="center"/>
          </w:tcPr>
          <w:p w14:paraId="30910C5A" w14:textId="2EE10767" w:rsidR="00B91E23" w:rsidRPr="0079754A" w:rsidRDefault="002C697C" w:rsidP="00D631BF">
            <w:pPr>
              <w:widowControl w:val="0"/>
              <w:jc w:val="both"/>
              <w:rPr>
                <w:rFonts w:eastAsia="Calibri" w:cstheme="minorHAnsi"/>
                <w:spacing w:val="-1"/>
                <w:sz w:val="18"/>
                <w:szCs w:val="18"/>
                <w:lang w:val="en-US"/>
              </w:rPr>
            </w:pPr>
            <w:r w:rsidRPr="0079754A">
              <w:rPr>
                <w:rFonts w:eastAsia="Calibri" w:cstheme="minorHAnsi"/>
                <w:spacing w:val="-1"/>
                <w:sz w:val="18"/>
                <w:szCs w:val="18"/>
                <w:lang w:val="en-US"/>
              </w:rPr>
              <w:t>UNDP and CNPEM-LNBR</w:t>
            </w:r>
          </w:p>
        </w:tc>
        <w:tc>
          <w:tcPr>
            <w:tcW w:w="1110" w:type="dxa"/>
            <w:vAlign w:val="center"/>
          </w:tcPr>
          <w:p w14:paraId="4793B070" w14:textId="47D4CCEE" w:rsidR="00B91E23" w:rsidRPr="0079754A" w:rsidRDefault="00EF50C0" w:rsidP="00D631BF">
            <w:pPr>
              <w:widowControl w:val="0"/>
              <w:jc w:val="both"/>
              <w:rPr>
                <w:rFonts w:eastAsia="Calibri" w:cstheme="minorHAnsi"/>
                <w:spacing w:val="-1"/>
                <w:sz w:val="18"/>
                <w:szCs w:val="18"/>
                <w:lang w:val="en-US"/>
              </w:rPr>
            </w:pPr>
            <w:r w:rsidRPr="0079754A">
              <w:rPr>
                <w:rFonts w:eastAsia="Calibri" w:cstheme="minorHAnsi"/>
                <w:spacing w:val="-1"/>
                <w:sz w:val="18"/>
                <w:szCs w:val="18"/>
                <w:lang w:val="en-US"/>
              </w:rPr>
              <w:t>Completed</w:t>
            </w:r>
          </w:p>
        </w:tc>
        <w:tc>
          <w:tcPr>
            <w:tcW w:w="1801" w:type="dxa"/>
            <w:vAlign w:val="center"/>
          </w:tcPr>
          <w:p w14:paraId="07E48711" w14:textId="561FA162" w:rsidR="00B91E23" w:rsidRPr="0079754A" w:rsidRDefault="00544E11" w:rsidP="00D631BF">
            <w:pPr>
              <w:widowControl w:val="0"/>
              <w:jc w:val="both"/>
              <w:rPr>
                <w:rFonts w:eastAsia="Calibri" w:cstheme="minorHAnsi"/>
                <w:spacing w:val="-1"/>
                <w:sz w:val="18"/>
                <w:szCs w:val="18"/>
                <w:lang w:val="en-US"/>
              </w:rPr>
            </w:pPr>
            <w:r w:rsidRPr="0079754A">
              <w:rPr>
                <w:rFonts w:eastAsia="Calibri" w:cstheme="minorHAnsi"/>
                <w:spacing w:val="-1"/>
                <w:sz w:val="18"/>
                <w:szCs w:val="18"/>
                <w:lang w:val="en-US"/>
              </w:rPr>
              <w:t>The PIF has not been endorsed so far due to the global pandemic situation and other issues related to the approval process of full-size projects with GEF funding.</w:t>
            </w:r>
          </w:p>
        </w:tc>
      </w:tr>
      <w:tr w:rsidR="0033640F" w:rsidRPr="0079754A" w14:paraId="1169D3DC" w14:textId="77777777" w:rsidTr="00D631BF">
        <w:tc>
          <w:tcPr>
            <w:tcW w:w="2972" w:type="dxa"/>
            <w:vAlign w:val="center"/>
          </w:tcPr>
          <w:p w14:paraId="0B349D2C" w14:textId="77777777" w:rsidR="00B91E23" w:rsidRPr="0079754A" w:rsidRDefault="002C697C" w:rsidP="00D631BF">
            <w:pPr>
              <w:widowControl w:val="0"/>
              <w:tabs>
                <w:tab w:val="left" w:pos="1004"/>
              </w:tabs>
              <w:jc w:val="both"/>
              <w:rPr>
                <w:rFonts w:eastAsia="Calibri" w:cstheme="minorHAnsi"/>
                <w:spacing w:val="-1"/>
                <w:sz w:val="18"/>
                <w:szCs w:val="18"/>
                <w:lang w:val="en-US"/>
              </w:rPr>
            </w:pPr>
            <w:r w:rsidRPr="0079754A">
              <w:rPr>
                <w:rFonts w:eastAsia="Calibri" w:cstheme="minorHAnsi"/>
                <w:spacing w:val="-1"/>
                <w:sz w:val="18"/>
                <w:szCs w:val="18"/>
                <w:lang w:val="en-US"/>
              </w:rPr>
              <w:lastRenderedPageBreak/>
              <w:t>3. UNDP should identify partners to design a project to support development of solutions for mechanical harvest and biomass co-generation in the Northeast of Brazil. The Northeast is a relatively depressed region within the Brazilian union, where so far only manual harvest of sugarcane, with the necessary pre-harvest burning is possible. As the northeastern sugarcane industry operators do not seem to be able to develop solutions on their own, the catalytic effect of SUCRE in the Central-West region could be replicated by co-developing a solution that would enable mechanical harvest in steeper terrain.</w:t>
            </w:r>
          </w:p>
          <w:p w14:paraId="561CFA99" w14:textId="1F11DC14" w:rsidR="00C12C44" w:rsidRPr="0079754A" w:rsidRDefault="00C12C44" w:rsidP="00D631BF">
            <w:pPr>
              <w:widowControl w:val="0"/>
              <w:tabs>
                <w:tab w:val="left" w:pos="1004"/>
              </w:tabs>
              <w:jc w:val="both"/>
              <w:rPr>
                <w:rFonts w:eastAsia="Calibri" w:cstheme="minorHAnsi"/>
                <w:spacing w:val="-1"/>
                <w:sz w:val="18"/>
                <w:szCs w:val="18"/>
                <w:lang w:val="en-US"/>
              </w:rPr>
            </w:pPr>
          </w:p>
        </w:tc>
        <w:tc>
          <w:tcPr>
            <w:tcW w:w="4043" w:type="dxa"/>
            <w:vAlign w:val="center"/>
          </w:tcPr>
          <w:p w14:paraId="30C6A137" w14:textId="1E13F106" w:rsidR="00B91E23" w:rsidRPr="0079754A" w:rsidRDefault="004E7735" w:rsidP="00D631BF">
            <w:pPr>
              <w:widowControl w:val="0"/>
              <w:jc w:val="both"/>
              <w:rPr>
                <w:rFonts w:eastAsia="Calibri" w:cstheme="minorHAnsi"/>
                <w:spacing w:val="-1"/>
                <w:sz w:val="18"/>
                <w:szCs w:val="18"/>
                <w:lang w:val="en-US"/>
              </w:rPr>
            </w:pPr>
            <w:r w:rsidRPr="0079754A">
              <w:rPr>
                <w:rFonts w:eastAsia="Calibri" w:cstheme="minorHAnsi"/>
                <w:spacing w:val="-1"/>
                <w:sz w:val="18"/>
                <w:szCs w:val="18"/>
                <w:lang w:val="en-US"/>
              </w:rPr>
              <w:t xml:space="preserve">In partial agreement </w:t>
            </w:r>
            <w:r w:rsidR="00557233" w:rsidRPr="0079754A">
              <w:rPr>
                <w:rFonts w:eastAsia="Calibri" w:cstheme="minorHAnsi"/>
                <w:spacing w:val="-1"/>
                <w:sz w:val="18"/>
                <w:szCs w:val="18"/>
                <w:lang w:val="en-US"/>
              </w:rPr>
              <w:t>since this action was not foreseen as one of the project’s outputs. However, UNDP will consider the recommendation for future projects proposals.</w:t>
            </w:r>
          </w:p>
        </w:tc>
        <w:tc>
          <w:tcPr>
            <w:tcW w:w="2430" w:type="dxa"/>
            <w:vAlign w:val="center"/>
          </w:tcPr>
          <w:p w14:paraId="4F238875" w14:textId="41C755CD" w:rsidR="00B91E23" w:rsidRPr="0079754A" w:rsidRDefault="00557233" w:rsidP="00D631BF">
            <w:pPr>
              <w:widowControl w:val="0"/>
              <w:jc w:val="both"/>
              <w:rPr>
                <w:rFonts w:eastAsia="Calibri" w:cstheme="minorHAnsi"/>
                <w:spacing w:val="-1"/>
                <w:sz w:val="18"/>
                <w:szCs w:val="18"/>
                <w:lang w:val="en-US"/>
              </w:rPr>
            </w:pPr>
            <w:r w:rsidRPr="0079754A">
              <w:rPr>
                <w:rFonts w:eastAsia="Calibri" w:cstheme="minorHAnsi"/>
                <w:spacing w:val="-1"/>
                <w:sz w:val="18"/>
                <w:szCs w:val="18"/>
                <w:lang w:val="en-US"/>
              </w:rPr>
              <w:t>A</w:t>
            </w:r>
            <w:r w:rsidR="004E7735" w:rsidRPr="0079754A">
              <w:rPr>
                <w:rFonts w:eastAsia="Calibri" w:cstheme="minorHAnsi"/>
                <w:spacing w:val="-1"/>
                <w:sz w:val="18"/>
                <w:szCs w:val="18"/>
                <w:lang w:val="en-US"/>
              </w:rPr>
              <w:t>rticulation with key partners to identify opportunities to support the development of solutions for mechanical harvest and biomass co-generation in the Northeast of Brazil.</w:t>
            </w:r>
          </w:p>
        </w:tc>
        <w:tc>
          <w:tcPr>
            <w:tcW w:w="1170" w:type="dxa"/>
            <w:vAlign w:val="center"/>
          </w:tcPr>
          <w:p w14:paraId="2136C34D" w14:textId="13BB3290" w:rsidR="00B91E23" w:rsidRPr="0079754A" w:rsidRDefault="00557233" w:rsidP="00D631BF">
            <w:pPr>
              <w:widowControl w:val="0"/>
              <w:jc w:val="both"/>
              <w:rPr>
                <w:rFonts w:eastAsia="Calibri" w:cstheme="minorHAnsi"/>
                <w:spacing w:val="-1"/>
                <w:sz w:val="18"/>
                <w:szCs w:val="18"/>
                <w:lang w:val="en-US"/>
              </w:rPr>
            </w:pPr>
            <w:r w:rsidRPr="0079754A">
              <w:rPr>
                <w:rFonts w:eastAsia="Calibri" w:cstheme="minorHAnsi"/>
                <w:spacing w:val="-1"/>
                <w:sz w:val="18"/>
                <w:szCs w:val="18"/>
                <w:lang w:val="en-US"/>
              </w:rPr>
              <w:t>Continuous</w:t>
            </w:r>
          </w:p>
        </w:tc>
        <w:tc>
          <w:tcPr>
            <w:tcW w:w="1170" w:type="dxa"/>
            <w:vAlign w:val="center"/>
          </w:tcPr>
          <w:p w14:paraId="4CEF2FCC" w14:textId="15079384" w:rsidR="00B91E23" w:rsidRPr="0079754A" w:rsidRDefault="002C697C" w:rsidP="00D631BF">
            <w:pPr>
              <w:widowControl w:val="0"/>
              <w:jc w:val="both"/>
              <w:rPr>
                <w:rFonts w:eastAsia="Calibri" w:cstheme="minorHAnsi"/>
                <w:spacing w:val="-1"/>
                <w:sz w:val="18"/>
                <w:szCs w:val="18"/>
                <w:lang w:val="en-US"/>
              </w:rPr>
            </w:pPr>
            <w:r w:rsidRPr="0079754A">
              <w:rPr>
                <w:rFonts w:eastAsia="Calibri" w:cstheme="minorHAnsi"/>
                <w:spacing w:val="-1"/>
                <w:sz w:val="18"/>
                <w:szCs w:val="18"/>
                <w:lang w:val="en-US"/>
              </w:rPr>
              <w:t>UNDP CO</w:t>
            </w:r>
          </w:p>
        </w:tc>
        <w:tc>
          <w:tcPr>
            <w:tcW w:w="1110" w:type="dxa"/>
            <w:vAlign w:val="center"/>
          </w:tcPr>
          <w:p w14:paraId="0F098240" w14:textId="041A87F9" w:rsidR="00B91E23" w:rsidRPr="0079754A" w:rsidRDefault="004E7735" w:rsidP="00D631BF">
            <w:pPr>
              <w:widowControl w:val="0"/>
              <w:jc w:val="both"/>
              <w:rPr>
                <w:rFonts w:eastAsia="Calibri" w:cstheme="minorHAnsi"/>
                <w:spacing w:val="-1"/>
                <w:sz w:val="18"/>
                <w:szCs w:val="18"/>
                <w:lang w:val="en-US"/>
              </w:rPr>
            </w:pPr>
            <w:r w:rsidRPr="0079754A">
              <w:rPr>
                <w:rFonts w:eastAsia="Calibri" w:cstheme="minorHAnsi"/>
                <w:spacing w:val="-1"/>
                <w:sz w:val="18"/>
                <w:szCs w:val="18"/>
                <w:lang w:val="en-US"/>
              </w:rPr>
              <w:t>To be developed</w:t>
            </w:r>
          </w:p>
        </w:tc>
        <w:tc>
          <w:tcPr>
            <w:tcW w:w="1801" w:type="dxa"/>
            <w:vAlign w:val="center"/>
          </w:tcPr>
          <w:p w14:paraId="7AD67C41" w14:textId="30413A33" w:rsidR="00B91E23" w:rsidRPr="0079754A" w:rsidRDefault="00557233" w:rsidP="00D631BF">
            <w:pPr>
              <w:widowControl w:val="0"/>
              <w:jc w:val="both"/>
              <w:rPr>
                <w:rFonts w:eastAsia="Calibri" w:cstheme="minorHAnsi"/>
                <w:spacing w:val="-1"/>
                <w:sz w:val="18"/>
                <w:szCs w:val="18"/>
                <w:lang w:val="en-US"/>
              </w:rPr>
            </w:pPr>
            <w:r w:rsidRPr="0079754A">
              <w:rPr>
                <w:rFonts w:eastAsia="Calibri" w:cstheme="minorHAnsi"/>
                <w:spacing w:val="-1"/>
                <w:sz w:val="18"/>
                <w:szCs w:val="18"/>
                <w:lang w:val="en-US"/>
              </w:rPr>
              <w:t>No further comments</w:t>
            </w:r>
          </w:p>
        </w:tc>
      </w:tr>
      <w:tr w:rsidR="0033640F" w:rsidRPr="0079754A" w14:paraId="2ED4D611" w14:textId="77777777" w:rsidTr="00D631BF">
        <w:tc>
          <w:tcPr>
            <w:tcW w:w="2972" w:type="dxa"/>
            <w:vAlign w:val="center"/>
          </w:tcPr>
          <w:p w14:paraId="23F15758" w14:textId="27CA99FE" w:rsidR="00B91E23" w:rsidRPr="0079754A" w:rsidRDefault="002C697C" w:rsidP="00D631BF">
            <w:pPr>
              <w:widowControl w:val="0"/>
              <w:jc w:val="both"/>
              <w:rPr>
                <w:rFonts w:eastAsia="Calibri" w:cstheme="minorHAnsi"/>
                <w:spacing w:val="-1"/>
                <w:sz w:val="18"/>
                <w:szCs w:val="18"/>
                <w:lang w:val="en-US"/>
              </w:rPr>
            </w:pPr>
            <w:r w:rsidRPr="0079754A">
              <w:rPr>
                <w:rFonts w:eastAsia="Calibri" w:cstheme="minorHAnsi"/>
                <w:spacing w:val="-1"/>
                <w:sz w:val="18"/>
                <w:szCs w:val="18"/>
                <w:lang w:val="en-US"/>
              </w:rPr>
              <w:t>4. At regional level, both for Latin America and Asia UNDP should strive to identify suitable implementation agencies, in the model of CNPEM-LNBR (responsible-partner type execution) to replicate SUCRE’s support to biomass generation. Priority countries could be Cuba and Argentina in Latin America and Thailand and the Philippines in Asia, which are not far behind Brazil in institutional and human development.</w:t>
            </w:r>
          </w:p>
        </w:tc>
        <w:tc>
          <w:tcPr>
            <w:tcW w:w="4043" w:type="dxa"/>
            <w:vAlign w:val="center"/>
          </w:tcPr>
          <w:p w14:paraId="7CB09C30" w14:textId="73E19D18" w:rsidR="00B91E23" w:rsidRPr="0079754A" w:rsidRDefault="00E32DAC" w:rsidP="00D631BF">
            <w:pPr>
              <w:widowControl w:val="0"/>
              <w:jc w:val="both"/>
              <w:rPr>
                <w:rFonts w:eastAsia="Calibri" w:cstheme="minorHAnsi"/>
                <w:spacing w:val="-1"/>
                <w:sz w:val="18"/>
                <w:szCs w:val="18"/>
                <w:lang w:val="en-US"/>
              </w:rPr>
            </w:pPr>
            <w:r w:rsidRPr="0079754A">
              <w:rPr>
                <w:rFonts w:eastAsia="Calibri" w:cstheme="minorHAnsi"/>
                <w:spacing w:val="-1"/>
                <w:sz w:val="18"/>
                <w:szCs w:val="18"/>
                <w:lang w:val="en-US"/>
              </w:rPr>
              <w:t>A concept note will be elaborated</w:t>
            </w:r>
            <w:r w:rsidR="00512CF2" w:rsidRPr="0079754A">
              <w:rPr>
                <w:rFonts w:eastAsia="Calibri" w:cstheme="minorHAnsi"/>
                <w:spacing w:val="-1"/>
                <w:sz w:val="18"/>
                <w:szCs w:val="18"/>
                <w:lang w:val="en-US"/>
              </w:rPr>
              <w:t xml:space="preserve"> by RTA</w:t>
            </w:r>
            <w:r w:rsidRPr="0079754A">
              <w:rPr>
                <w:rFonts w:eastAsia="Calibri" w:cstheme="minorHAnsi"/>
                <w:spacing w:val="-1"/>
                <w:sz w:val="18"/>
                <w:szCs w:val="18"/>
                <w:lang w:val="en-US"/>
              </w:rPr>
              <w:t xml:space="preserve"> </w:t>
            </w:r>
            <w:r w:rsidR="00D869B5" w:rsidRPr="0079754A">
              <w:rPr>
                <w:rFonts w:eastAsia="Calibri" w:cstheme="minorHAnsi"/>
                <w:spacing w:val="-1"/>
                <w:sz w:val="18"/>
                <w:szCs w:val="18"/>
                <w:lang w:val="en-US"/>
              </w:rPr>
              <w:t xml:space="preserve">to highlight </w:t>
            </w:r>
            <w:r w:rsidR="00856A89" w:rsidRPr="0079754A">
              <w:rPr>
                <w:rFonts w:eastAsia="Calibri" w:cstheme="minorHAnsi"/>
                <w:spacing w:val="-1"/>
                <w:sz w:val="18"/>
                <w:szCs w:val="18"/>
                <w:lang w:val="en-US"/>
              </w:rPr>
              <w:t xml:space="preserve">key </w:t>
            </w:r>
            <w:r w:rsidR="0079350E" w:rsidRPr="0079754A">
              <w:rPr>
                <w:rFonts w:eastAsia="Calibri" w:cstheme="minorHAnsi"/>
                <w:spacing w:val="-1"/>
                <w:sz w:val="18"/>
                <w:szCs w:val="18"/>
                <w:lang w:val="en-US"/>
              </w:rPr>
              <w:t xml:space="preserve">characteristics and results of the SUCRE Project along with </w:t>
            </w:r>
            <w:r w:rsidR="00856A89" w:rsidRPr="0079754A">
              <w:rPr>
                <w:rFonts w:eastAsia="Calibri" w:cstheme="minorHAnsi"/>
                <w:spacing w:val="-1"/>
                <w:sz w:val="18"/>
                <w:szCs w:val="18"/>
                <w:lang w:val="en-US"/>
              </w:rPr>
              <w:t xml:space="preserve">success factors </w:t>
            </w:r>
            <w:r w:rsidR="0079350E" w:rsidRPr="0079754A">
              <w:rPr>
                <w:rFonts w:eastAsia="Calibri" w:cstheme="minorHAnsi"/>
                <w:spacing w:val="-1"/>
                <w:sz w:val="18"/>
                <w:szCs w:val="18"/>
                <w:lang w:val="en-US"/>
              </w:rPr>
              <w:t xml:space="preserve">such as the CNPEM-LNBR responsible partner type of execution. </w:t>
            </w:r>
            <w:r w:rsidR="009D12CC" w:rsidRPr="0079754A">
              <w:rPr>
                <w:rFonts w:eastAsia="Calibri" w:cstheme="minorHAnsi"/>
                <w:spacing w:val="-1"/>
                <w:sz w:val="18"/>
                <w:szCs w:val="18"/>
                <w:lang w:val="en-US"/>
              </w:rPr>
              <w:t xml:space="preserve">The concept note will </w:t>
            </w:r>
            <w:r w:rsidR="00AD2BA6" w:rsidRPr="0079754A">
              <w:rPr>
                <w:rFonts w:eastAsia="Calibri" w:cstheme="minorHAnsi"/>
                <w:spacing w:val="-1"/>
                <w:sz w:val="18"/>
                <w:szCs w:val="18"/>
                <w:lang w:val="en-US"/>
              </w:rPr>
              <w:t xml:space="preserve">further </w:t>
            </w:r>
            <w:r w:rsidR="009D12CC" w:rsidRPr="0079754A">
              <w:rPr>
                <w:rFonts w:eastAsia="Calibri" w:cstheme="minorHAnsi"/>
                <w:spacing w:val="-1"/>
                <w:sz w:val="18"/>
                <w:szCs w:val="18"/>
                <w:lang w:val="en-US"/>
              </w:rPr>
              <w:t xml:space="preserve">outline possible </w:t>
            </w:r>
            <w:r w:rsidR="00D41F2B" w:rsidRPr="0079754A">
              <w:rPr>
                <w:rFonts w:eastAsia="Calibri" w:cstheme="minorHAnsi"/>
                <w:spacing w:val="-1"/>
                <w:sz w:val="18"/>
                <w:szCs w:val="18"/>
                <w:lang w:val="en-US"/>
              </w:rPr>
              <w:t xml:space="preserve">ways to </w:t>
            </w:r>
            <w:proofErr w:type="gramStart"/>
            <w:r w:rsidR="00AD2BA6" w:rsidRPr="0079754A">
              <w:rPr>
                <w:rFonts w:eastAsia="Calibri" w:cstheme="minorHAnsi"/>
                <w:spacing w:val="-1"/>
                <w:sz w:val="18"/>
                <w:szCs w:val="18"/>
                <w:lang w:val="en-US"/>
              </w:rPr>
              <w:t xml:space="preserve">financially and technically support the </w:t>
            </w:r>
            <w:r w:rsidR="00D41F2B" w:rsidRPr="0079754A">
              <w:rPr>
                <w:rFonts w:eastAsia="Calibri" w:cstheme="minorHAnsi"/>
                <w:spacing w:val="-1"/>
                <w:sz w:val="18"/>
                <w:szCs w:val="18"/>
                <w:lang w:val="en-US"/>
              </w:rPr>
              <w:t>replicat</w:t>
            </w:r>
            <w:r w:rsidR="00AD2BA6" w:rsidRPr="0079754A">
              <w:rPr>
                <w:rFonts w:eastAsia="Calibri" w:cstheme="minorHAnsi"/>
                <w:spacing w:val="-1"/>
                <w:sz w:val="18"/>
                <w:szCs w:val="18"/>
                <w:lang w:val="en-US"/>
              </w:rPr>
              <w:t>ion of the</w:t>
            </w:r>
            <w:r w:rsidR="002D3F40" w:rsidRPr="0079754A">
              <w:rPr>
                <w:rFonts w:eastAsia="Calibri" w:cstheme="minorHAnsi"/>
                <w:spacing w:val="-1"/>
                <w:sz w:val="18"/>
                <w:szCs w:val="18"/>
                <w:lang w:val="en-US"/>
              </w:rPr>
              <w:t xml:space="preserve"> model</w:t>
            </w:r>
            <w:proofErr w:type="gramEnd"/>
            <w:r w:rsidR="002D3F40" w:rsidRPr="0079754A">
              <w:rPr>
                <w:rFonts w:eastAsia="Calibri" w:cstheme="minorHAnsi"/>
                <w:spacing w:val="-1"/>
                <w:sz w:val="18"/>
                <w:szCs w:val="18"/>
                <w:lang w:val="en-US"/>
              </w:rPr>
              <w:t xml:space="preserve"> and will be presented to Principal Technical Advisor for decision making.</w:t>
            </w:r>
          </w:p>
        </w:tc>
        <w:tc>
          <w:tcPr>
            <w:tcW w:w="2430" w:type="dxa"/>
            <w:vAlign w:val="center"/>
          </w:tcPr>
          <w:p w14:paraId="1E64D9BF" w14:textId="285686C9" w:rsidR="00B91E23" w:rsidRPr="0079754A" w:rsidRDefault="002D3F40" w:rsidP="00D631BF">
            <w:pPr>
              <w:widowControl w:val="0"/>
              <w:jc w:val="both"/>
              <w:rPr>
                <w:rFonts w:eastAsia="Calibri" w:cstheme="minorHAnsi"/>
                <w:spacing w:val="-1"/>
                <w:sz w:val="18"/>
                <w:szCs w:val="18"/>
                <w:lang w:val="en-US"/>
              </w:rPr>
            </w:pPr>
            <w:r w:rsidRPr="0079754A">
              <w:rPr>
                <w:rFonts w:eastAsia="Calibri" w:cstheme="minorHAnsi"/>
                <w:spacing w:val="-1"/>
                <w:sz w:val="18"/>
                <w:szCs w:val="18"/>
                <w:lang w:val="en-US"/>
              </w:rPr>
              <w:t>Elaboration and presentation of Concept Note to Principal Technical Advisor.</w:t>
            </w:r>
          </w:p>
        </w:tc>
        <w:tc>
          <w:tcPr>
            <w:tcW w:w="1170" w:type="dxa"/>
            <w:vAlign w:val="center"/>
          </w:tcPr>
          <w:p w14:paraId="1E02350D" w14:textId="79E8C1EB" w:rsidR="00B91E23" w:rsidRPr="0079754A" w:rsidRDefault="00512CF2" w:rsidP="00D631BF">
            <w:pPr>
              <w:widowControl w:val="0"/>
              <w:jc w:val="both"/>
              <w:rPr>
                <w:rFonts w:eastAsia="Calibri" w:cstheme="minorHAnsi"/>
                <w:spacing w:val="-1"/>
                <w:sz w:val="18"/>
                <w:szCs w:val="18"/>
                <w:lang w:val="en-US"/>
              </w:rPr>
            </w:pPr>
            <w:r w:rsidRPr="0079754A">
              <w:rPr>
                <w:rFonts w:eastAsia="Calibri" w:cstheme="minorHAnsi"/>
                <w:spacing w:val="-1"/>
                <w:sz w:val="18"/>
                <w:szCs w:val="18"/>
                <w:lang w:val="en-US"/>
              </w:rPr>
              <w:t>July 2020</w:t>
            </w:r>
          </w:p>
        </w:tc>
        <w:tc>
          <w:tcPr>
            <w:tcW w:w="1170" w:type="dxa"/>
            <w:vAlign w:val="center"/>
          </w:tcPr>
          <w:p w14:paraId="55BA0432" w14:textId="4717AD77" w:rsidR="00B91E23" w:rsidRPr="0079754A" w:rsidRDefault="002C697C" w:rsidP="00D631BF">
            <w:pPr>
              <w:widowControl w:val="0"/>
              <w:jc w:val="both"/>
              <w:rPr>
                <w:rFonts w:eastAsia="Calibri" w:cstheme="minorHAnsi"/>
                <w:spacing w:val="-1"/>
                <w:sz w:val="18"/>
                <w:szCs w:val="18"/>
                <w:lang w:val="en-US"/>
              </w:rPr>
            </w:pPr>
            <w:r w:rsidRPr="0079754A">
              <w:rPr>
                <w:rFonts w:eastAsia="Calibri" w:cstheme="minorHAnsi"/>
                <w:spacing w:val="-1"/>
                <w:sz w:val="18"/>
                <w:szCs w:val="18"/>
                <w:lang w:val="en-US"/>
              </w:rPr>
              <w:t>UNDP regional offices LAC and AP</w:t>
            </w:r>
          </w:p>
        </w:tc>
        <w:tc>
          <w:tcPr>
            <w:tcW w:w="1110" w:type="dxa"/>
            <w:vAlign w:val="center"/>
          </w:tcPr>
          <w:p w14:paraId="5C3FCF26" w14:textId="33ADB604" w:rsidR="00B91E23" w:rsidRPr="0079754A" w:rsidRDefault="00512CF2" w:rsidP="00D631BF">
            <w:pPr>
              <w:widowControl w:val="0"/>
              <w:jc w:val="both"/>
              <w:rPr>
                <w:rFonts w:eastAsia="Calibri" w:cstheme="minorHAnsi"/>
                <w:spacing w:val="-1"/>
                <w:sz w:val="18"/>
                <w:szCs w:val="18"/>
                <w:lang w:val="en-US"/>
              </w:rPr>
            </w:pPr>
            <w:r w:rsidRPr="0079754A">
              <w:rPr>
                <w:rFonts w:eastAsia="Calibri" w:cstheme="minorHAnsi"/>
                <w:spacing w:val="-1"/>
                <w:sz w:val="18"/>
                <w:szCs w:val="18"/>
                <w:lang w:val="en-US"/>
              </w:rPr>
              <w:t>To be developed</w:t>
            </w:r>
          </w:p>
        </w:tc>
        <w:tc>
          <w:tcPr>
            <w:tcW w:w="1801" w:type="dxa"/>
            <w:vAlign w:val="center"/>
          </w:tcPr>
          <w:p w14:paraId="16FACE9B" w14:textId="6A26867C" w:rsidR="00B91E23" w:rsidRPr="0079754A" w:rsidRDefault="00512CF2" w:rsidP="00D631BF">
            <w:pPr>
              <w:widowControl w:val="0"/>
              <w:jc w:val="both"/>
              <w:rPr>
                <w:rFonts w:eastAsia="Calibri" w:cstheme="minorHAnsi"/>
                <w:spacing w:val="-1"/>
                <w:sz w:val="18"/>
                <w:szCs w:val="18"/>
                <w:lang w:val="en-US"/>
              </w:rPr>
            </w:pPr>
            <w:r w:rsidRPr="0079754A">
              <w:rPr>
                <w:rFonts w:eastAsia="Calibri" w:cstheme="minorHAnsi"/>
                <w:spacing w:val="-1"/>
                <w:sz w:val="18"/>
                <w:szCs w:val="18"/>
                <w:lang w:val="en-US"/>
              </w:rPr>
              <w:t>No further comments</w:t>
            </w:r>
          </w:p>
        </w:tc>
      </w:tr>
    </w:tbl>
    <w:p w14:paraId="1575A08A" w14:textId="77777777" w:rsidR="00F811EE" w:rsidRPr="0079754A" w:rsidRDefault="00F811EE" w:rsidP="00F811EE">
      <w:pPr>
        <w:widowControl w:val="0"/>
        <w:spacing w:after="0" w:line="240" w:lineRule="auto"/>
        <w:jc w:val="both"/>
        <w:rPr>
          <w:rFonts w:eastAsia="Calibri" w:cstheme="minorHAnsi"/>
          <w:spacing w:val="-1"/>
          <w:sz w:val="18"/>
          <w:szCs w:val="18"/>
          <w:lang w:val="en-US"/>
        </w:rPr>
      </w:pPr>
      <w:r w:rsidRPr="0079754A">
        <w:rPr>
          <w:rFonts w:eastAsia="Calibri" w:cstheme="minorHAnsi"/>
          <w:spacing w:val="-1"/>
          <w:sz w:val="18"/>
          <w:szCs w:val="18"/>
          <w:lang w:val="en-US"/>
        </w:rPr>
        <w:t>* Unit(s) assigned to be responsible for the preparation of a management response will fill the columns under the management response section.</w:t>
      </w:r>
    </w:p>
    <w:p w14:paraId="74E5CB35" w14:textId="77777777" w:rsidR="00F811EE" w:rsidRPr="0079754A" w:rsidRDefault="00F811EE" w:rsidP="00F811EE">
      <w:pPr>
        <w:widowControl w:val="0"/>
        <w:spacing w:after="0" w:line="240" w:lineRule="auto"/>
        <w:jc w:val="both"/>
        <w:rPr>
          <w:rFonts w:eastAsia="Calibri" w:cstheme="minorHAnsi"/>
          <w:spacing w:val="-1"/>
          <w:sz w:val="18"/>
          <w:szCs w:val="18"/>
          <w:lang w:val="en-US"/>
        </w:rPr>
      </w:pPr>
      <w:r w:rsidRPr="0079754A">
        <w:rPr>
          <w:rFonts w:eastAsia="Calibri" w:cstheme="minorHAnsi"/>
          <w:spacing w:val="-1"/>
          <w:sz w:val="18"/>
          <w:szCs w:val="18"/>
          <w:lang w:val="en-US"/>
        </w:rPr>
        <w:t>** Unit(s) assigned to be responsible for the preparation of a management response will be updating the implementation status. Assigned with an oversight function monitors and verifies the implementation status.</w:t>
      </w:r>
    </w:p>
    <w:p w14:paraId="7D50782A" w14:textId="31C58757" w:rsidR="00F811EE" w:rsidRPr="0079754A" w:rsidRDefault="00F811EE" w:rsidP="00F811EE">
      <w:pPr>
        <w:widowControl w:val="0"/>
        <w:spacing w:after="0" w:line="240" w:lineRule="auto"/>
        <w:jc w:val="both"/>
        <w:rPr>
          <w:rFonts w:eastAsia="Calibri" w:cstheme="minorHAnsi"/>
          <w:spacing w:val="-1"/>
          <w:sz w:val="18"/>
          <w:szCs w:val="18"/>
          <w:lang w:val="en-US"/>
        </w:rPr>
      </w:pPr>
      <w:r w:rsidRPr="0079754A">
        <w:rPr>
          <w:rFonts w:eastAsia="Calibri" w:cstheme="minorHAnsi"/>
          <w:spacing w:val="-1"/>
          <w:sz w:val="18"/>
          <w:szCs w:val="18"/>
          <w:lang w:val="en-US"/>
        </w:rPr>
        <w:t>*** Status of Implementation: Completed, Partially Completed, Pending.</w:t>
      </w:r>
    </w:p>
    <w:sectPr w:rsidR="00F811EE" w:rsidRPr="0079754A" w:rsidSect="00C12C44">
      <w:footerReference w:type="default" r:id="rId15"/>
      <w:pgSz w:w="15840" w:h="12240"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30409" w14:textId="77777777" w:rsidR="0038513D" w:rsidRDefault="0038513D" w:rsidP="008D3079">
      <w:pPr>
        <w:spacing w:after="0" w:line="240" w:lineRule="auto"/>
      </w:pPr>
      <w:r>
        <w:separator/>
      </w:r>
    </w:p>
  </w:endnote>
  <w:endnote w:type="continuationSeparator" w:id="0">
    <w:p w14:paraId="02B359C9" w14:textId="77777777" w:rsidR="0038513D" w:rsidRDefault="0038513D" w:rsidP="008D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D0BA1" w14:textId="77777777" w:rsidR="008D3079" w:rsidRDefault="008D3079">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877A6" w14:textId="77777777" w:rsidR="0038513D" w:rsidRDefault="0038513D" w:rsidP="008D3079">
      <w:pPr>
        <w:spacing w:after="0" w:line="240" w:lineRule="auto"/>
      </w:pPr>
      <w:r>
        <w:separator/>
      </w:r>
    </w:p>
  </w:footnote>
  <w:footnote w:type="continuationSeparator" w:id="0">
    <w:p w14:paraId="14754FA2" w14:textId="77777777" w:rsidR="0038513D" w:rsidRDefault="0038513D" w:rsidP="008D3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835AD"/>
    <w:multiLevelType w:val="hybridMultilevel"/>
    <w:tmpl w:val="F98048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316710"/>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D181A"/>
    <w:multiLevelType w:val="hybridMultilevel"/>
    <w:tmpl w:val="A6E661F8"/>
    <w:lvl w:ilvl="0" w:tplc="AD1CB39E">
      <w:numFmt w:val="bullet"/>
      <w:lvlText w:val="•"/>
      <w:lvlJc w:val="left"/>
      <w:pPr>
        <w:ind w:left="720" w:hanging="360"/>
      </w:pPr>
      <w:rPr>
        <w:rFonts w:ascii="Garamond" w:eastAsia="Times New Roman" w:hAnsi="Garamond"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259D1EAB"/>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97072"/>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F3297"/>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25353"/>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175441"/>
    <w:multiLevelType w:val="hybridMultilevel"/>
    <w:tmpl w:val="020CC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D2D5E"/>
    <w:multiLevelType w:val="hybridMultilevel"/>
    <w:tmpl w:val="4880DC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5FF651B"/>
    <w:multiLevelType w:val="hybridMultilevel"/>
    <w:tmpl w:val="25DCD18C"/>
    <w:lvl w:ilvl="0" w:tplc="7BF044C6">
      <w:start w:val="2"/>
      <w:numFmt w:val="decimal"/>
      <w:lvlText w:val="%1."/>
      <w:lvlJc w:val="left"/>
      <w:pPr>
        <w:ind w:left="280" w:hanging="160"/>
      </w:pPr>
      <w:rPr>
        <w:rFonts w:hint="default"/>
        <w:spacing w:val="3"/>
        <w:highlight w:val="lightGray"/>
      </w:rPr>
    </w:lvl>
    <w:lvl w:ilvl="1" w:tplc="F70C37BE">
      <w:start w:val="1"/>
      <w:numFmt w:val="bullet"/>
      <w:lvlText w:val="•"/>
      <w:lvlJc w:val="left"/>
      <w:pPr>
        <w:ind w:left="1212" w:hanging="160"/>
      </w:pPr>
      <w:rPr>
        <w:rFonts w:hint="default"/>
      </w:rPr>
    </w:lvl>
    <w:lvl w:ilvl="2" w:tplc="065A1178">
      <w:start w:val="1"/>
      <w:numFmt w:val="bullet"/>
      <w:lvlText w:val="•"/>
      <w:lvlJc w:val="left"/>
      <w:pPr>
        <w:ind w:left="2144" w:hanging="160"/>
      </w:pPr>
      <w:rPr>
        <w:rFonts w:hint="default"/>
      </w:rPr>
    </w:lvl>
    <w:lvl w:ilvl="3" w:tplc="900A39AC">
      <w:start w:val="1"/>
      <w:numFmt w:val="bullet"/>
      <w:lvlText w:val="•"/>
      <w:lvlJc w:val="left"/>
      <w:pPr>
        <w:ind w:left="3076" w:hanging="160"/>
      </w:pPr>
      <w:rPr>
        <w:rFonts w:hint="default"/>
      </w:rPr>
    </w:lvl>
    <w:lvl w:ilvl="4" w:tplc="D01A2A20">
      <w:start w:val="1"/>
      <w:numFmt w:val="bullet"/>
      <w:lvlText w:val="•"/>
      <w:lvlJc w:val="left"/>
      <w:pPr>
        <w:ind w:left="4008" w:hanging="160"/>
      </w:pPr>
      <w:rPr>
        <w:rFonts w:hint="default"/>
      </w:rPr>
    </w:lvl>
    <w:lvl w:ilvl="5" w:tplc="75CC7BDE">
      <w:start w:val="1"/>
      <w:numFmt w:val="bullet"/>
      <w:lvlText w:val="•"/>
      <w:lvlJc w:val="left"/>
      <w:pPr>
        <w:ind w:left="4940" w:hanging="160"/>
      </w:pPr>
      <w:rPr>
        <w:rFonts w:hint="default"/>
      </w:rPr>
    </w:lvl>
    <w:lvl w:ilvl="6" w:tplc="72302834">
      <w:start w:val="1"/>
      <w:numFmt w:val="bullet"/>
      <w:lvlText w:val="•"/>
      <w:lvlJc w:val="left"/>
      <w:pPr>
        <w:ind w:left="5872" w:hanging="160"/>
      </w:pPr>
      <w:rPr>
        <w:rFonts w:hint="default"/>
      </w:rPr>
    </w:lvl>
    <w:lvl w:ilvl="7" w:tplc="A4968020">
      <w:start w:val="1"/>
      <w:numFmt w:val="bullet"/>
      <w:lvlText w:val="•"/>
      <w:lvlJc w:val="left"/>
      <w:pPr>
        <w:ind w:left="6804" w:hanging="160"/>
      </w:pPr>
      <w:rPr>
        <w:rFonts w:hint="default"/>
      </w:rPr>
    </w:lvl>
    <w:lvl w:ilvl="8" w:tplc="C9507E98">
      <w:start w:val="1"/>
      <w:numFmt w:val="bullet"/>
      <w:lvlText w:val="•"/>
      <w:lvlJc w:val="left"/>
      <w:pPr>
        <w:ind w:left="7736" w:hanging="160"/>
      </w:pPr>
      <w:rPr>
        <w:rFonts w:hint="default"/>
      </w:rPr>
    </w:lvl>
  </w:abstractNum>
  <w:abstractNum w:abstractNumId="10" w15:restartNumberingAfterBreak="0">
    <w:nsid w:val="57BF7105"/>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EC0CD8"/>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53B1E"/>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C867D0"/>
    <w:multiLevelType w:val="hybridMultilevel"/>
    <w:tmpl w:val="AC34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307C9"/>
    <w:multiLevelType w:val="hybridMultilevel"/>
    <w:tmpl w:val="9E42BD0E"/>
    <w:lvl w:ilvl="0" w:tplc="AD1CB39E">
      <w:numFmt w:val="bullet"/>
      <w:lvlText w:val="•"/>
      <w:lvlJc w:val="left"/>
      <w:pPr>
        <w:ind w:left="720" w:hanging="360"/>
      </w:pPr>
      <w:rPr>
        <w:rFonts w:ascii="Garamond" w:eastAsia="Times New Roman" w:hAnsi="Garamond"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72CA6FD3"/>
    <w:multiLevelType w:val="hybridMultilevel"/>
    <w:tmpl w:val="0E7E5A2A"/>
    <w:lvl w:ilvl="0" w:tplc="AD1CB39E">
      <w:numFmt w:val="bullet"/>
      <w:lvlText w:val="•"/>
      <w:lvlJc w:val="left"/>
      <w:pPr>
        <w:ind w:left="1065" w:hanging="705"/>
      </w:pPr>
      <w:rPr>
        <w:rFonts w:ascii="Garamond" w:eastAsia="Times New Roman" w:hAnsi="Garamond"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7AD62833"/>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
  </w:num>
  <w:num w:numId="5">
    <w:abstractNumId w:val="6"/>
  </w:num>
  <w:num w:numId="6">
    <w:abstractNumId w:val="12"/>
  </w:num>
  <w:num w:numId="7">
    <w:abstractNumId w:val="3"/>
  </w:num>
  <w:num w:numId="8">
    <w:abstractNumId w:val="5"/>
  </w:num>
  <w:num w:numId="9">
    <w:abstractNumId w:val="10"/>
  </w:num>
  <w:num w:numId="10">
    <w:abstractNumId w:val="4"/>
  </w:num>
  <w:num w:numId="11">
    <w:abstractNumId w:val="16"/>
  </w:num>
  <w:num w:numId="12">
    <w:abstractNumId w:val="11"/>
  </w:num>
  <w:num w:numId="13">
    <w:abstractNumId w:val="2"/>
  </w:num>
  <w:num w:numId="14">
    <w:abstractNumId w:val="15"/>
  </w:num>
  <w:num w:numId="15">
    <w:abstractNumId w:val="14"/>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079"/>
    <w:rsid w:val="00014B02"/>
    <w:rsid w:val="00037C00"/>
    <w:rsid w:val="00061CF0"/>
    <w:rsid w:val="000C0281"/>
    <w:rsid w:val="000D4104"/>
    <w:rsid w:val="001900F9"/>
    <w:rsid w:val="00192487"/>
    <w:rsid w:val="001942E2"/>
    <w:rsid w:val="001A3FC3"/>
    <w:rsid w:val="001B5021"/>
    <w:rsid w:val="001C5D3E"/>
    <w:rsid w:val="00204B2F"/>
    <w:rsid w:val="002A346C"/>
    <w:rsid w:val="002C697C"/>
    <w:rsid w:val="002D3F40"/>
    <w:rsid w:val="0031248D"/>
    <w:rsid w:val="00315D8E"/>
    <w:rsid w:val="00317928"/>
    <w:rsid w:val="00335B18"/>
    <w:rsid w:val="0033640F"/>
    <w:rsid w:val="00340C65"/>
    <w:rsid w:val="00347B73"/>
    <w:rsid w:val="00362CD9"/>
    <w:rsid w:val="0038513D"/>
    <w:rsid w:val="003853EA"/>
    <w:rsid w:val="003E4BB0"/>
    <w:rsid w:val="004319F6"/>
    <w:rsid w:val="00437080"/>
    <w:rsid w:val="0044542B"/>
    <w:rsid w:val="004554D1"/>
    <w:rsid w:val="004565DE"/>
    <w:rsid w:val="004A6CA6"/>
    <w:rsid w:val="004E07BE"/>
    <w:rsid w:val="004E7735"/>
    <w:rsid w:val="00512CF2"/>
    <w:rsid w:val="005201EC"/>
    <w:rsid w:val="00543CA4"/>
    <w:rsid w:val="00544E11"/>
    <w:rsid w:val="00556947"/>
    <w:rsid w:val="00556E13"/>
    <w:rsid w:val="00557233"/>
    <w:rsid w:val="005719FF"/>
    <w:rsid w:val="005B2095"/>
    <w:rsid w:val="005C18DE"/>
    <w:rsid w:val="005E1FCE"/>
    <w:rsid w:val="00613BF1"/>
    <w:rsid w:val="00635525"/>
    <w:rsid w:val="00651405"/>
    <w:rsid w:val="006818B4"/>
    <w:rsid w:val="006B0253"/>
    <w:rsid w:val="006C68DF"/>
    <w:rsid w:val="006D5EFF"/>
    <w:rsid w:val="006D62DA"/>
    <w:rsid w:val="00707C58"/>
    <w:rsid w:val="00711FEE"/>
    <w:rsid w:val="00726320"/>
    <w:rsid w:val="00753EE9"/>
    <w:rsid w:val="00754C7E"/>
    <w:rsid w:val="0075740F"/>
    <w:rsid w:val="0079350E"/>
    <w:rsid w:val="0079754A"/>
    <w:rsid w:val="007A47CB"/>
    <w:rsid w:val="007C22A0"/>
    <w:rsid w:val="007F0707"/>
    <w:rsid w:val="007F3459"/>
    <w:rsid w:val="007F6305"/>
    <w:rsid w:val="00803F07"/>
    <w:rsid w:val="0082476D"/>
    <w:rsid w:val="00841060"/>
    <w:rsid w:val="00856A89"/>
    <w:rsid w:val="00874EFE"/>
    <w:rsid w:val="008D3079"/>
    <w:rsid w:val="00900800"/>
    <w:rsid w:val="00936112"/>
    <w:rsid w:val="009575F1"/>
    <w:rsid w:val="009D12CC"/>
    <w:rsid w:val="00A34777"/>
    <w:rsid w:val="00AD2BA6"/>
    <w:rsid w:val="00B06280"/>
    <w:rsid w:val="00B57DE7"/>
    <w:rsid w:val="00B8620B"/>
    <w:rsid w:val="00B91E23"/>
    <w:rsid w:val="00BA02EC"/>
    <w:rsid w:val="00BB4133"/>
    <w:rsid w:val="00BE54E0"/>
    <w:rsid w:val="00BF6857"/>
    <w:rsid w:val="00C04467"/>
    <w:rsid w:val="00C12C44"/>
    <w:rsid w:val="00C20BBE"/>
    <w:rsid w:val="00C32928"/>
    <w:rsid w:val="00C46C9D"/>
    <w:rsid w:val="00C76613"/>
    <w:rsid w:val="00C90A04"/>
    <w:rsid w:val="00C92662"/>
    <w:rsid w:val="00CA70C2"/>
    <w:rsid w:val="00CF6437"/>
    <w:rsid w:val="00D25E51"/>
    <w:rsid w:val="00D30658"/>
    <w:rsid w:val="00D41F2B"/>
    <w:rsid w:val="00D631BF"/>
    <w:rsid w:val="00D63D00"/>
    <w:rsid w:val="00D73278"/>
    <w:rsid w:val="00D77FAB"/>
    <w:rsid w:val="00D869B5"/>
    <w:rsid w:val="00D90C90"/>
    <w:rsid w:val="00D9388D"/>
    <w:rsid w:val="00DC54FF"/>
    <w:rsid w:val="00DF1C4E"/>
    <w:rsid w:val="00DF493A"/>
    <w:rsid w:val="00E00FE4"/>
    <w:rsid w:val="00E12E14"/>
    <w:rsid w:val="00E265B3"/>
    <w:rsid w:val="00E32DAC"/>
    <w:rsid w:val="00E6469F"/>
    <w:rsid w:val="00E9333F"/>
    <w:rsid w:val="00EB060A"/>
    <w:rsid w:val="00EB62D4"/>
    <w:rsid w:val="00EC299A"/>
    <w:rsid w:val="00EE0B17"/>
    <w:rsid w:val="00EE4D15"/>
    <w:rsid w:val="00EF3F03"/>
    <w:rsid w:val="00EF50C0"/>
    <w:rsid w:val="00EF6444"/>
    <w:rsid w:val="00F12B09"/>
    <w:rsid w:val="00F13AAE"/>
    <w:rsid w:val="00F143A5"/>
    <w:rsid w:val="00F3520D"/>
    <w:rsid w:val="00F53CC2"/>
    <w:rsid w:val="00F62691"/>
    <w:rsid w:val="00F811EE"/>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4FAF"/>
  <w15:chartTrackingRefBased/>
  <w15:docId w15:val="{0A280253-D324-42F0-B353-B101FFA8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2E1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30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079"/>
    <w:rPr>
      <w:sz w:val="20"/>
      <w:szCs w:val="20"/>
    </w:rPr>
  </w:style>
  <w:style w:type="character" w:styleId="FootnoteReference">
    <w:name w:val="footnote reference"/>
    <w:basedOn w:val="DefaultParagraphFont"/>
    <w:uiPriority w:val="99"/>
    <w:semiHidden/>
    <w:unhideWhenUsed/>
    <w:rsid w:val="008D3079"/>
    <w:rPr>
      <w:vertAlign w:val="superscript"/>
    </w:rPr>
  </w:style>
  <w:style w:type="character" w:customStyle="1" w:styleId="Heading2Char">
    <w:name w:val="Heading 2 Char"/>
    <w:basedOn w:val="DefaultParagraphFont"/>
    <w:link w:val="Heading2"/>
    <w:uiPriority w:val="9"/>
    <w:rsid w:val="00E12E14"/>
    <w:rPr>
      <w:rFonts w:ascii="Times New Roman" w:eastAsia="Times New Roman" w:hAnsi="Times New Roman" w:cs="Times New Roman"/>
      <w:b/>
      <w:bCs/>
      <w:sz w:val="36"/>
      <w:szCs w:val="36"/>
      <w:lang w:val="en-US"/>
    </w:rPr>
  </w:style>
  <w:style w:type="paragraph" w:styleId="ListParagraph">
    <w:name w:val="List Paragraph"/>
    <w:basedOn w:val="Normal"/>
    <w:uiPriority w:val="34"/>
    <w:qFormat/>
    <w:rsid w:val="00DC54FF"/>
    <w:pPr>
      <w:ind w:left="720"/>
      <w:contextualSpacing/>
    </w:pPr>
  </w:style>
  <w:style w:type="table" w:styleId="TableGrid">
    <w:name w:val="Table Grid"/>
    <w:basedOn w:val="TableNormal"/>
    <w:uiPriority w:val="39"/>
    <w:rsid w:val="00B91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6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97C"/>
    <w:rPr>
      <w:rFonts w:ascii="Segoe UI" w:hAnsi="Segoe UI" w:cs="Segoe UI"/>
      <w:sz w:val="18"/>
      <w:szCs w:val="18"/>
    </w:rPr>
  </w:style>
  <w:style w:type="character" w:styleId="Hyperlink">
    <w:name w:val="Hyperlink"/>
    <w:basedOn w:val="DefaultParagraphFont"/>
    <w:uiPriority w:val="99"/>
    <w:unhideWhenUsed/>
    <w:rsid w:val="00EC299A"/>
    <w:rPr>
      <w:color w:val="0563C1" w:themeColor="hyperlink"/>
      <w:u w:val="single"/>
    </w:rPr>
  </w:style>
  <w:style w:type="character" w:styleId="UnresolvedMention">
    <w:name w:val="Unresolved Mention"/>
    <w:basedOn w:val="DefaultParagraphFont"/>
    <w:uiPriority w:val="99"/>
    <w:semiHidden/>
    <w:unhideWhenUsed/>
    <w:rsid w:val="00EC2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87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ciencedirect.com/science/article/abs/pii/S0959652620353634?via%3Dihub"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nbr.cnpem.br/sucre-projec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nbr.cnpem.br/sucre-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d6736e6-0d09-4a30-9781-d08a27c5ac52">JKD7EFPSCFJY-150212096-1087999</_dlc_DocId>
    <_dlc_DocIdUrl xmlns="1d6736e6-0d09-4a30-9781-d08a27c5ac52">
      <Url>https://undp.sharepoint.com/teams/BRA/_layouts/15/DocIdRedir.aspx?ID=JKD7EFPSCFJY-150212096-1087999</Url>
      <Description>JKD7EFPSCFJY-150212096-1087999</Description>
    </_dlc_DocIdUrl>
    <DateandTime xmlns="44565b52-f05b-452c-8cc8-9ffcf4c458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52326DB23A6648B47A75FF8B2710B9" ma:contentTypeVersion="8595" ma:contentTypeDescription="Create a new document." ma:contentTypeScope="" ma:versionID="75b16eb8ffc355a6e3f6561aac876d67">
  <xsd:schema xmlns:xsd="http://www.w3.org/2001/XMLSchema" xmlns:xs="http://www.w3.org/2001/XMLSchema" xmlns:p="http://schemas.microsoft.com/office/2006/metadata/properties" xmlns:ns2="1d6736e6-0d09-4a30-9781-d08a27c5ac52" xmlns:ns3="44565b52-f05b-452c-8cc8-9ffcf4c4585f" targetNamespace="http://schemas.microsoft.com/office/2006/metadata/properties" ma:root="true" ma:fieldsID="cea778f696fe52d1fd267dd79822d443" ns2:_="" ns3:_="">
    <xsd:import namespace="1d6736e6-0d09-4a30-9781-d08a27c5ac52"/>
    <xsd:import namespace="44565b52-f05b-452c-8cc8-9ffcf4c4585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DateandTim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736e6-0d09-4a30-9781-d08a27c5ac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65b52-f05b-452c-8cc8-9ffcf4c458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DateandTime" ma:index="23" nillable="true" ma:displayName="Date and Time" ma:format="DateTime" ma:internalName="DateandTime">
      <xsd:simpleType>
        <xsd:restriction base="dms:DateTime"/>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35B29-132C-498D-AD7E-BC441979EEED}">
  <ds:schemaRefs>
    <ds:schemaRef ds:uri="http://schemas.microsoft.com/office/2006/metadata/properties"/>
    <ds:schemaRef ds:uri="http://schemas.microsoft.com/office/infopath/2007/PartnerControls"/>
    <ds:schemaRef ds:uri="1d6736e6-0d09-4a30-9781-d08a27c5ac52"/>
  </ds:schemaRefs>
</ds:datastoreItem>
</file>

<file path=customXml/itemProps2.xml><?xml version="1.0" encoding="utf-8"?>
<ds:datastoreItem xmlns:ds="http://schemas.openxmlformats.org/officeDocument/2006/customXml" ds:itemID="{F19EAB62-AFAD-4169-930B-68CC3E9F6892}"/>
</file>

<file path=customXml/itemProps3.xml><?xml version="1.0" encoding="utf-8"?>
<ds:datastoreItem xmlns:ds="http://schemas.openxmlformats.org/officeDocument/2006/customXml" ds:itemID="{BBB78AE5-66B4-4BF8-A462-EBEFDE6EA99B}">
  <ds:schemaRefs>
    <ds:schemaRef ds:uri="http://schemas.openxmlformats.org/officeDocument/2006/bibliography"/>
  </ds:schemaRefs>
</ds:datastoreItem>
</file>

<file path=customXml/itemProps4.xml><?xml version="1.0" encoding="utf-8"?>
<ds:datastoreItem xmlns:ds="http://schemas.openxmlformats.org/officeDocument/2006/customXml" ds:itemID="{D4DAEDF6-35F5-4C7F-843B-29F98481EABF}">
  <ds:schemaRefs>
    <ds:schemaRef ds:uri="http://schemas.microsoft.com/sharepoint/events"/>
  </ds:schemaRefs>
</ds:datastoreItem>
</file>

<file path=customXml/itemProps5.xml><?xml version="1.0" encoding="utf-8"?>
<ds:datastoreItem xmlns:ds="http://schemas.openxmlformats.org/officeDocument/2006/customXml" ds:itemID="{CF6101D7-0440-41B4-A5BA-985D7419A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787</Words>
  <Characters>4491</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KRAUS</dc:creator>
  <cp:keywords/>
  <dc:description/>
  <cp:lastModifiedBy>Andrea Ribeiro Bosi</cp:lastModifiedBy>
  <cp:revision>4</cp:revision>
  <dcterms:created xsi:type="dcterms:W3CDTF">2021-06-01T19:56:00Z</dcterms:created>
  <dcterms:modified xsi:type="dcterms:W3CDTF">2021-06-01T19:57:00Z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0x0101006E52326DB23A6648B47A75FF8B2710B9</vt:lpwstr>
  </property>
  <property fmtid="{D5CDD505-2E9C-101B-9397-08002B2CF9AE}" pid="3" name="Order">
    <vt:r8>5652800</vt:r8>
  </property>
  <property fmtid="{D5CDD505-2E9C-101B-9397-08002B2CF9AE}" pid="4" name="_dlc_DocIdItemGuid">
    <vt:lpwstr>e7f4b2b3-3d89-46c4-9e0c-e3a63280fef1</vt:lpwstr>
  </property>
</Properties>
</file>