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9E3B" w14:textId="6DC25B36" w:rsidR="0096080D" w:rsidRPr="004F6095" w:rsidRDefault="00467089" w:rsidP="0096080D">
      <w:pPr>
        <w:pStyle w:val="Heading2"/>
        <w:spacing w:before="0" w:line="240" w:lineRule="auto"/>
        <w:rPr>
          <w:rFonts w:asciiTheme="minorHAnsi" w:eastAsiaTheme="minorHAnsi" w:hAnsiTheme="minorHAnsi" w:cstheme="minorHAnsi"/>
          <w:b/>
          <w:color w:val="1F3864" w:themeColor="accent1" w:themeShade="80"/>
          <w:sz w:val="22"/>
          <w:szCs w:val="22"/>
        </w:rPr>
      </w:pPr>
      <w:r w:rsidRPr="004F6095">
        <w:rPr>
          <w:rFonts w:asciiTheme="minorHAnsi" w:eastAsiaTheme="minorHAnsi" w:hAnsiTheme="minorHAnsi" w:cstheme="minorHAnsi"/>
          <w:b/>
          <w:color w:val="1F3864" w:themeColor="accent1" w:themeShade="80"/>
          <w:sz w:val="22"/>
          <w:szCs w:val="22"/>
        </w:rPr>
        <w:t>Management Response Templ</w:t>
      </w:r>
      <w:r w:rsidR="00C96677" w:rsidRPr="004F6095">
        <w:rPr>
          <w:rFonts w:asciiTheme="minorHAnsi" w:eastAsiaTheme="minorHAnsi" w:hAnsiTheme="minorHAnsi" w:cstheme="minorHAnsi"/>
          <w:b/>
          <w:color w:val="1F3864" w:themeColor="accent1" w:themeShade="80"/>
          <w:sz w:val="22"/>
          <w:szCs w:val="22"/>
        </w:rPr>
        <w:t>a</w:t>
      </w:r>
      <w:r w:rsidRPr="004F6095">
        <w:rPr>
          <w:rFonts w:asciiTheme="minorHAnsi" w:eastAsiaTheme="minorHAnsi" w:hAnsiTheme="minorHAnsi" w:cstheme="minorHAnsi"/>
          <w:b/>
          <w:color w:val="1F3864" w:themeColor="accent1" w:themeShade="80"/>
          <w:sz w:val="22"/>
          <w:szCs w:val="22"/>
        </w:rPr>
        <w:t>te</w:t>
      </w:r>
    </w:p>
    <w:p w14:paraId="406CBB04" w14:textId="77777777" w:rsidR="00A97820" w:rsidRPr="004F6095" w:rsidRDefault="00A97820" w:rsidP="00A97820">
      <w:pPr>
        <w:spacing w:after="0" w:line="240" w:lineRule="auto"/>
        <w:rPr>
          <w:rFonts w:cstheme="minorHAnsi"/>
          <w:lang w:val="en-GB"/>
        </w:rPr>
      </w:pPr>
    </w:p>
    <w:p w14:paraId="1D3312E8" w14:textId="27195F68" w:rsidR="00E4029F" w:rsidRPr="004F6095" w:rsidRDefault="00A97820" w:rsidP="00E4029F">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Project Title: </w:t>
      </w:r>
      <w:r w:rsidR="00E4029F" w:rsidRPr="004F6095">
        <w:rPr>
          <w:rFonts w:asciiTheme="minorHAnsi" w:hAnsiTheme="minorHAnsi" w:cstheme="minorHAnsi"/>
          <w:sz w:val="22"/>
          <w:szCs w:val="22"/>
        </w:rPr>
        <w:t xml:space="preserve">Maximizing Carbon Sink Capacity and Conserving Biodiversity and through Sustainable Conservation, Restoration and Management of Peat-Swamp Ecosystem </w:t>
      </w:r>
    </w:p>
    <w:p w14:paraId="4F9FDBBA" w14:textId="66B327EB" w:rsidR="00A97820" w:rsidRPr="004F6095" w:rsidRDefault="00A97820" w:rsidP="00A97820">
      <w:pPr>
        <w:widowControl w:val="0"/>
        <w:autoSpaceDE w:val="0"/>
        <w:autoSpaceDN w:val="0"/>
        <w:adjustRightInd w:val="0"/>
        <w:spacing w:after="0" w:line="240" w:lineRule="auto"/>
        <w:rPr>
          <w:rFonts w:cstheme="minorHAnsi"/>
          <w:b/>
          <w:bCs/>
        </w:rPr>
      </w:pPr>
      <w:r w:rsidRPr="004F6095">
        <w:rPr>
          <w:rFonts w:cstheme="minorHAnsi"/>
          <w:b/>
          <w:bCs/>
        </w:rPr>
        <w:t>UNDP PIMS</w:t>
      </w:r>
      <w:r w:rsidR="002B1E80" w:rsidRPr="004F6095">
        <w:rPr>
          <w:rFonts w:cstheme="minorHAnsi"/>
          <w:b/>
          <w:bCs/>
        </w:rPr>
        <w:t xml:space="preserve"> ID</w:t>
      </w:r>
      <w:r w:rsidRPr="004F6095">
        <w:rPr>
          <w:rFonts w:cstheme="minorHAnsi"/>
          <w:b/>
          <w:bCs/>
        </w:rPr>
        <w:t xml:space="preserve">: </w:t>
      </w:r>
      <w:r w:rsidR="00E4029F" w:rsidRPr="004F6095">
        <w:rPr>
          <w:rFonts w:cstheme="minorHAnsi"/>
        </w:rPr>
        <w:t>4951</w:t>
      </w:r>
    </w:p>
    <w:p w14:paraId="42BD499C" w14:textId="72C41723" w:rsidR="00A97820" w:rsidRPr="004F6095" w:rsidRDefault="00A97820" w:rsidP="00A97820">
      <w:pPr>
        <w:widowControl w:val="0"/>
        <w:autoSpaceDE w:val="0"/>
        <w:autoSpaceDN w:val="0"/>
        <w:adjustRightInd w:val="0"/>
        <w:spacing w:after="0" w:line="240" w:lineRule="auto"/>
        <w:rPr>
          <w:rFonts w:cstheme="minorHAnsi"/>
          <w:b/>
          <w:bCs/>
        </w:rPr>
      </w:pPr>
      <w:r w:rsidRPr="004F6095">
        <w:rPr>
          <w:rFonts w:cstheme="minorHAnsi"/>
          <w:b/>
          <w:bCs/>
        </w:rPr>
        <w:t xml:space="preserve">GEF </w:t>
      </w:r>
      <w:r w:rsidR="002B1E80" w:rsidRPr="004F6095">
        <w:rPr>
          <w:rFonts w:cstheme="minorHAnsi"/>
          <w:b/>
          <w:bCs/>
        </w:rPr>
        <w:t>ID</w:t>
      </w:r>
      <w:r w:rsidRPr="004F6095">
        <w:rPr>
          <w:rFonts w:cstheme="minorHAnsi"/>
          <w:b/>
          <w:bCs/>
        </w:rPr>
        <w:t>:</w:t>
      </w:r>
      <w:r w:rsidR="00E4029F" w:rsidRPr="004F6095">
        <w:rPr>
          <w:rFonts w:cstheme="minorHAnsi"/>
          <w:b/>
          <w:bCs/>
        </w:rPr>
        <w:t xml:space="preserve"> </w:t>
      </w:r>
      <w:r w:rsidR="00E4029F" w:rsidRPr="004F6095">
        <w:rPr>
          <w:rFonts w:cstheme="minorHAnsi"/>
        </w:rPr>
        <w:t>5330</w:t>
      </w:r>
    </w:p>
    <w:p w14:paraId="72BDB3BF" w14:textId="339F9727" w:rsidR="00A97820" w:rsidRPr="004F6095" w:rsidRDefault="00A97820" w:rsidP="00A97820">
      <w:pPr>
        <w:widowControl w:val="0"/>
        <w:autoSpaceDE w:val="0"/>
        <w:autoSpaceDN w:val="0"/>
        <w:adjustRightInd w:val="0"/>
        <w:spacing w:after="0" w:line="240" w:lineRule="auto"/>
        <w:rPr>
          <w:rFonts w:cstheme="minorHAnsi"/>
          <w:b/>
          <w:bCs/>
        </w:rPr>
      </w:pPr>
      <w:r w:rsidRPr="004F6095">
        <w:rPr>
          <w:rFonts w:cstheme="minorHAnsi"/>
          <w:b/>
          <w:bCs/>
        </w:rPr>
        <w:t>Terminal Evaluatio</w:t>
      </w:r>
      <w:r w:rsidR="002B1E80" w:rsidRPr="004F6095">
        <w:rPr>
          <w:rFonts w:cstheme="minorHAnsi"/>
          <w:b/>
          <w:bCs/>
        </w:rPr>
        <w:t>n</w:t>
      </w:r>
      <w:r w:rsidRPr="004F6095">
        <w:rPr>
          <w:rFonts w:cstheme="minorHAnsi"/>
          <w:b/>
          <w:bCs/>
        </w:rPr>
        <w:t xml:space="preserve"> Completion Date:</w:t>
      </w:r>
      <w:r w:rsidR="00E4029F" w:rsidRPr="004F6095">
        <w:rPr>
          <w:rFonts w:cstheme="minorHAnsi"/>
          <w:b/>
          <w:bCs/>
        </w:rPr>
        <w:t xml:space="preserve"> </w:t>
      </w:r>
      <w:r w:rsidR="004B2AE2" w:rsidRPr="004F6095">
        <w:rPr>
          <w:rFonts w:cstheme="minorHAnsi"/>
        </w:rPr>
        <w:t>12</w:t>
      </w:r>
      <w:r w:rsidR="00E4029F" w:rsidRPr="004F6095">
        <w:rPr>
          <w:rFonts w:cstheme="minorHAnsi"/>
        </w:rPr>
        <w:t xml:space="preserve"> April 2021</w:t>
      </w:r>
      <w:r w:rsidRPr="004F6095">
        <w:rPr>
          <w:rFonts w:cstheme="minorHAnsi"/>
          <w:b/>
          <w:bCs/>
        </w:rPr>
        <w:t xml:space="preserve"> </w:t>
      </w:r>
    </w:p>
    <w:p w14:paraId="72A58A90" w14:textId="40B1C610" w:rsidR="00A97820" w:rsidRPr="004F6095" w:rsidRDefault="00A97820" w:rsidP="00A97820">
      <w:pPr>
        <w:widowControl w:val="0"/>
        <w:autoSpaceDE w:val="0"/>
        <w:autoSpaceDN w:val="0"/>
        <w:adjustRightInd w:val="0"/>
        <w:spacing w:after="0" w:line="240" w:lineRule="auto"/>
        <w:rPr>
          <w:rFonts w:cstheme="minorHAnsi"/>
        </w:rPr>
      </w:pPr>
      <w:r w:rsidRPr="004F6095">
        <w:rPr>
          <w:rFonts w:cstheme="minorHAnsi"/>
          <w:b/>
          <w:bCs/>
        </w:rPr>
        <w:t xml:space="preserve">Date of Issue of Management Response: </w:t>
      </w:r>
      <w:r w:rsidR="004B2AE2" w:rsidRPr="004F6095">
        <w:rPr>
          <w:rFonts w:cstheme="minorHAnsi"/>
        </w:rPr>
        <w:t>30 April</w:t>
      </w:r>
      <w:r w:rsidR="00E4029F" w:rsidRPr="004F6095">
        <w:rPr>
          <w:rFonts w:cstheme="minorHAnsi"/>
        </w:rPr>
        <w:t xml:space="preserve"> 2021</w:t>
      </w:r>
    </w:p>
    <w:p w14:paraId="2FDA7672" w14:textId="77777777" w:rsidR="004B2AE2" w:rsidRPr="004F6095" w:rsidRDefault="00A97820" w:rsidP="00A97820">
      <w:pPr>
        <w:tabs>
          <w:tab w:val="left" w:pos="2880"/>
        </w:tabs>
        <w:spacing w:line="240" w:lineRule="auto"/>
        <w:ind w:left="2880" w:hanging="2880"/>
        <w:rPr>
          <w:rFonts w:cstheme="minorHAnsi"/>
        </w:rPr>
      </w:pPr>
      <w:r w:rsidRPr="004F6095">
        <w:rPr>
          <w:rFonts w:cstheme="minorHAnsi"/>
          <w:b/>
          <w:bCs/>
        </w:rPr>
        <w:t>Prepared by:</w:t>
      </w:r>
      <w:r w:rsidR="00E4029F" w:rsidRPr="004F6095">
        <w:rPr>
          <w:rFonts w:cstheme="minorHAnsi"/>
          <w:b/>
          <w:bCs/>
        </w:rPr>
        <w:t xml:space="preserve"> </w:t>
      </w:r>
      <w:r w:rsidR="009A238C" w:rsidRPr="004F6095">
        <w:rPr>
          <w:rFonts w:cstheme="minorHAnsi"/>
        </w:rPr>
        <w:t>Ms.</w:t>
      </w:r>
      <w:r w:rsidR="009A238C" w:rsidRPr="004F6095">
        <w:rPr>
          <w:rFonts w:cstheme="minorHAnsi"/>
          <w:b/>
          <w:bCs/>
        </w:rPr>
        <w:t xml:space="preserve"> </w:t>
      </w:r>
      <w:r w:rsidR="00E4029F" w:rsidRPr="004F6095">
        <w:rPr>
          <w:rFonts w:cstheme="minorHAnsi"/>
        </w:rPr>
        <w:t xml:space="preserve">Napaporn Yuberk, Programme Analyst, UNDP Thailand Country Office </w:t>
      </w:r>
      <w:r w:rsidRPr="004F6095">
        <w:rPr>
          <w:rFonts w:cstheme="minorHAnsi"/>
        </w:rPr>
        <w:t xml:space="preserve"> </w:t>
      </w:r>
    </w:p>
    <w:p w14:paraId="7CD09279" w14:textId="12CD8441" w:rsidR="00A97820" w:rsidRPr="004F6095" w:rsidRDefault="00A97820" w:rsidP="004B2AE2">
      <w:pPr>
        <w:autoSpaceDE w:val="0"/>
        <w:autoSpaceDN w:val="0"/>
        <w:adjustRightInd w:val="0"/>
        <w:spacing w:after="0" w:line="240" w:lineRule="auto"/>
        <w:rPr>
          <w:rFonts w:cstheme="minorHAnsi"/>
          <w:b/>
          <w:bCs/>
          <w:i/>
        </w:rPr>
      </w:pPr>
      <w:r w:rsidRPr="004F6095">
        <w:rPr>
          <w:rFonts w:cstheme="minorHAnsi"/>
          <w:b/>
          <w:bCs/>
        </w:rPr>
        <w:t>Contributors:</w:t>
      </w:r>
      <w:r w:rsidR="00E4029F" w:rsidRPr="004F6095">
        <w:rPr>
          <w:rFonts w:cstheme="minorHAnsi"/>
          <w:b/>
          <w:bCs/>
        </w:rPr>
        <w:t xml:space="preserve"> </w:t>
      </w:r>
      <w:r w:rsidR="009A238C" w:rsidRPr="004F6095">
        <w:rPr>
          <w:rFonts w:cstheme="minorHAnsi"/>
          <w:color w:val="000000" w:themeColor="text1"/>
        </w:rPr>
        <w:t xml:space="preserve">Ms. Jittinan </w:t>
      </w:r>
      <w:r w:rsidR="009A238C" w:rsidRPr="004F6095">
        <w:rPr>
          <w:rFonts w:cstheme="minorHAnsi"/>
          <w:color w:val="000000" w:themeColor="text1"/>
          <w:shd w:val="clear" w:color="auto" w:fill="FFFFFF"/>
        </w:rPr>
        <w:t>Ruengverayudh</w:t>
      </w:r>
      <w:r w:rsidR="003928ED" w:rsidRPr="004F6095">
        <w:rPr>
          <w:rFonts w:cstheme="minorHAnsi"/>
          <w:color w:val="000000" w:themeColor="text1"/>
          <w:shd w:val="clear" w:color="auto" w:fill="FFFFFF"/>
        </w:rPr>
        <w:t xml:space="preserve">, PhD, Director of Biodiversity Management </w:t>
      </w:r>
      <w:r w:rsidR="004F6095" w:rsidRPr="004F6095">
        <w:rPr>
          <w:rFonts w:cstheme="minorHAnsi"/>
          <w:color w:val="000000" w:themeColor="text1"/>
          <w:shd w:val="clear" w:color="auto" w:fill="FFFFFF"/>
        </w:rPr>
        <w:t>Department, ONEP</w:t>
      </w:r>
      <w:r w:rsidR="003928ED" w:rsidRPr="004F6095">
        <w:rPr>
          <w:rFonts w:cstheme="minorHAnsi"/>
          <w:color w:val="000000" w:themeColor="text1"/>
          <w:shd w:val="clear" w:color="auto" w:fill="FFFFFF"/>
        </w:rPr>
        <w:t xml:space="preserve">, Ms. </w:t>
      </w:r>
      <w:r w:rsidR="00B16E92" w:rsidRPr="004F6095">
        <w:rPr>
          <w:rFonts w:cstheme="minorHAnsi"/>
          <w:color w:val="000000" w:themeColor="text1"/>
          <w:shd w:val="clear" w:color="auto" w:fill="FFFFFF"/>
        </w:rPr>
        <w:t xml:space="preserve">Tatiya </w:t>
      </w:r>
      <w:r w:rsidR="004B2AE2" w:rsidRPr="004F6095">
        <w:rPr>
          <w:rFonts w:cstheme="minorHAnsi"/>
          <w:color w:val="000000" w:themeColor="text1"/>
          <w:shd w:val="clear" w:color="auto" w:fill="FFFFFF"/>
        </w:rPr>
        <w:t>Ouitrakarn</w:t>
      </w:r>
      <w:r w:rsidR="003928ED" w:rsidRPr="004F6095">
        <w:rPr>
          <w:rFonts w:cstheme="minorHAnsi"/>
          <w:color w:val="000000" w:themeColor="text1"/>
          <w:shd w:val="clear" w:color="auto" w:fill="FFFFFF"/>
        </w:rPr>
        <w:t xml:space="preserve">, Policy and Planning </w:t>
      </w:r>
      <w:r w:rsidR="00B16E92" w:rsidRPr="004F6095">
        <w:rPr>
          <w:rFonts w:cstheme="minorHAnsi"/>
          <w:color w:val="000000" w:themeColor="text1"/>
          <w:shd w:val="clear" w:color="auto" w:fill="FFFFFF"/>
        </w:rPr>
        <w:t>Officer</w:t>
      </w:r>
      <w:r w:rsidR="003928ED" w:rsidRPr="004F6095">
        <w:rPr>
          <w:rFonts w:cstheme="minorHAnsi"/>
          <w:color w:val="000000" w:themeColor="text1"/>
          <w:shd w:val="clear" w:color="auto" w:fill="FFFFFF"/>
        </w:rPr>
        <w:t xml:space="preserve">, ONEP </w:t>
      </w:r>
      <w:r w:rsidR="009A238C" w:rsidRPr="004F6095">
        <w:rPr>
          <w:rFonts w:cstheme="minorHAnsi"/>
          <w:b/>
          <w:bCs/>
          <w:color w:val="000000" w:themeColor="text1"/>
        </w:rPr>
        <w:t xml:space="preserve">  </w:t>
      </w:r>
    </w:p>
    <w:p w14:paraId="0463527A" w14:textId="09F459D1" w:rsidR="00A97820" w:rsidRPr="004F6095" w:rsidRDefault="00A97820" w:rsidP="004B2AE2">
      <w:pPr>
        <w:spacing w:line="240" w:lineRule="auto"/>
        <w:jc w:val="both"/>
        <w:rPr>
          <w:rFonts w:cstheme="minorHAnsi"/>
        </w:rPr>
      </w:pPr>
      <w:r w:rsidRPr="004F6095">
        <w:rPr>
          <w:rFonts w:cstheme="minorHAnsi"/>
          <w:b/>
          <w:bCs/>
        </w:rPr>
        <w:t>Cleared by:</w:t>
      </w:r>
      <w:r w:rsidRPr="004F6095">
        <w:rPr>
          <w:rFonts w:cstheme="minorHAnsi"/>
        </w:rPr>
        <w:t xml:space="preserve"> </w:t>
      </w:r>
      <w:r w:rsidR="008818D3" w:rsidRPr="004F6095">
        <w:rPr>
          <w:rFonts w:cstheme="minorHAnsi"/>
        </w:rPr>
        <w:t xml:space="preserve">Mr. </w:t>
      </w:r>
      <w:r w:rsidR="00E4029F" w:rsidRPr="004F6095">
        <w:rPr>
          <w:rFonts w:cstheme="minorHAnsi"/>
        </w:rPr>
        <w:t>Bipin Pokharel</w:t>
      </w:r>
      <w:r w:rsidR="004B2AE2" w:rsidRPr="004F6095">
        <w:rPr>
          <w:rFonts w:cstheme="minorHAnsi"/>
        </w:rPr>
        <w:t xml:space="preserve"> (</w:t>
      </w:r>
      <w:r w:rsidR="00E4029F" w:rsidRPr="004F6095">
        <w:rPr>
          <w:rFonts w:cstheme="minorHAnsi"/>
        </w:rPr>
        <w:t>Regional Technical Advisor</w:t>
      </w:r>
      <w:r w:rsidR="004B2AE2" w:rsidRPr="004F6095">
        <w:rPr>
          <w:rFonts w:cstheme="minorHAnsi"/>
        </w:rPr>
        <w:t>)</w:t>
      </w:r>
      <w:r w:rsidR="00E4029F" w:rsidRPr="004F6095">
        <w:rPr>
          <w:rFonts w:cstheme="minorHAnsi"/>
        </w:rPr>
        <w:t xml:space="preserve">, </w:t>
      </w:r>
      <w:r w:rsidR="004B2AE2" w:rsidRPr="004F6095">
        <w:rPr>
          <w:rFonts w:cstheme="minorHAnsi"/>
        </w:rPr>
        <w:t xml:space="preserve">Mr. Saengroj Srisawaskraisorn (Team Leader), </w:t>
      </w:r>
      <w:r w:rsidR="00E4029F" w:rsidRPr="004F6095">
        <w:rPr>
          <w:rFonts w:cstheme="minorHAnsi"/>
        </w:rPr>
        <w:t xml:space="preserve">UNDP </w:t>
      </w:r>
      <w:r w:rsidRPr="004F6095">
        <w:rPr>
          <w:rFonts w:cstheme="minorHAnsi"/>
        </w:rPr>
        <w:tab/>
      </w:r>
    </w:p>
    <w:p w14:paraId="7E264FE8" w14:textId="1ED48533" w:rsidR="00C43EC6" w:rsidRPr="004F6095" w:rsidRDefault="00C43EC6" w:rsidP="004B2AE2">
      <w:pPr>
        <w:spacing w:line="240" w:lineRule="auto"/>
        <w:jc w:val="both"/>
        <w:rPr>
          <w:rFonts w:cstheme="minorHAnsi"/>
        </w:rPr>
      </w:pPr>
    </w:p>
    <w:p w14:paraId="6037E157" w14:textId="1261B8E0" w:rsidR="00C43EC6" w:rsidRPr="004F6095" w:rsidRDefault="00C43EC6" w:rsidP="00C43EC6">
      <w:pPr>
        <w:spacing w:line="240" w:lineRule="auto"/>
        <w:jc w:val="both"/>
        <w:rPr>
          <w:rFonts w:cstheme="minorHAnsi"/>
          <w:b/>
          <w:bCs/>
        </w:rPr>
      </w:pPr>
      <w:r w:rsidRPr="004F6095">
        <w:rPr>
          <w:rFonts w:cstheme="minorHAnsi"/>
          <w:b/>
          <w:bCs/>
        </w:rPr>
        <w:t>Context</w:t>
      </w:r>
    </w:p>
    <w:p w14:paraId="79283094" w14:textId="77777777" w:rsidR="00C43EC6" w:rsidRPr="004F6095" w:rsidRDefault="00C43EC6" w:rsidP="00C43EC6">
      <w:pPr>
        <w:pStyle w:val="BodyTextNew"/>
        <w:rPr>
          <w:rFonts w:cstheme="minorHAnsi"/>
          <w:lang w:val="en-US"/>
        </w:rPr>
      </w:pPr>
      <w:r w:rsidRPr="004F6095">
        <w:rPr>
          <w:rFonts w:cstheme="minorHAnsi"/>
          <w:lang w:val="en-US"/>
        </w:rPr>
        <w:t>The Kuan Kreng landscape (KKL) contains Thailand’s second largest peat swamp forest area. These provide many ecosystem services, including providing livelihoods for local communities, providing natural hydrological regulation, storing a large quantity of carbon, and harboring significant biodiversity. These ecosystem services are at risk from unsustainable activities, especially conversion to oil palm cultivation and associated drainage and forest fires.</w:t>
      </w:r>
    </w:p>
    <w:p w14:paraId="15DCA95C" w14:textId="77777777" w:rsidR="00C43EC6" w:rsidRPr="004F6095" w:rsidRDefault="00C43EC6" w:rsidP="00C43EC6">
      <w:pPr>
        <w:pStyle w:val="BodyTextNew"/>
        <w:rPr>
          <w:rFonts w:cstheme="minorHAnsi"/>
          <w:lang w:val="en-US"/>
        </w:rPr>
      </w:pPr>
      <w:r w:rsidRPr="004F6095">
        <w:rPr>
          <w:rFonts w:cstheme="minorHAnsi"/>
          <w:lang w:val="en-US"/>
        </w:rPr>
        <w:t>To address these risks, the project identified a need to shift from unsustainable land-use policies and practices to sustainable land and forest management that could be enforced and adopted at a landscape level. The project document identified three barriers to achieving this shift and established a project strategy based around addressing these barriers.</w:t>
      </w:r>
    </w:p>
    <w:p w14:paraId="4D59F12F" w14:textId="77777777" w:rsidR="00C43EC6" w:rsidRPr="004F6095" w:rsidRDefault="00C43EC6" w:rsidP="00C43EC6">
      <w:pPr>
        <w:pStyle w:val="BodyTextNew"/>
        <w:rPr>
          <w:rFonts w:cstheme="minorHAnsi"/>
          <w:lang w:val="en-US"/>
        </w:rPr>
      </w:pPr>
      <w:r w:rsidRPr="004F6095">
        <w:rPr>
          <w:rFonts w:cstheme="minorHAnsi"/>
          <w:lang w:val="en-US"/>
        </w:rPr>
        <w:t>The project objective is “To conserve and restore peatlands to increase their capacities to act as carbon sinks, as habitats for globally important species, and as sources of ecosystem services for improved livelihoods”.</w:t>
      </w:r>
    </w:p>
    <w:p w14:paraId="0E866BD9" w14:textId="77777777" w:rsidR="00C43EC6" w:rsidRPr="004F6095" w:rsidRDefault="00C43EC6" w:rsidP="00C43EC6">
      <w:pPr>
        <w:pStyle w:val="BodyTextNew"/>
        <w:rPr>
          <w:rFonts w:cstheme="minorHAnsi"/>
          <w:lang w:val="en-US"/>
        </w:rPr>
      </w:pPr>
      <w:r w:rsidRPr="004F6095">
        <w:rPr>
          <w:rFonts w:cstheme="minorHAnsi"/>
          <w:lang w:val="en-US"/>
        </w:rPr>
        <w:t>Outcome 1 is “Expanding protection of high conservation value peat swamp forests and demonstrating their sustainable use within the broader landscape” and focuses on: (i) bringing the entire KKL under protected areas, and (ii) improving the management effectiveness of these existing and new protected zones.</w:t>
      </w:r>
    </w:p>
    <w:p w14:paraId="55E41A27" w14:textId="77777777" w:rsidR="00C43EC6" w:rsidRPr="004F6095" w:rsidRDefault="00C43EC6" w:rsidP="00C43EC6">
      <w:pPr>
        <w:pStyle w:val="BodyTextNew"/>
        <w:rPr>
          <w:rFonts w:cstheme="minorHAnsi"/>
          <w:lang w:val="en-US"/>
        </w:rPr>
      </w:pPr>
      <w:r w:rsidRPr="004F6095">
        <w:rPr>
          <w:rFonts w:cstheme="minorHAnsi"/>
          <w:lang w:val="en-US"/>
        </w:rPr>
        <w:t>Outcome 2 is “Implementing technologies to avoid peat swamp forest degradation and restore degraded peat swamp forests”. It focuses on modelling and implementation of hydrotechnical measures to manage water levels in an area of 4,600 ha in the KKL, which will contribute to improved health of peat swamp ecosystems and help reduce greenhouse gas (GHG) emissions from mineralizing peat and fires. This outcome also includes activities to reforest peat swamp forests that have been damaged by fire and storms in the Kreng sub-district.</w:t>
      </w:r>
    </w:p>
    <w:p w14:paraId="2ACC3E75" w14:textId="77777777" w:rsidR="00C43EC6" w:rsidRPr="004F6095" w:rsidRDefault="00C43EC6" w:rsidP="00C43EC6">
      <w:pPr>
        <w:pStyle w:val="BodyTextNew"/>
        <w:rPr>
          <w:rFonts w:cstheme="minorHAnsi"/>
          <w:lang w:val="en-US"/>
        </w:rPr>
      </w:pPr>
      <w:r w:rsidRPr="004F6095">
        <w:rPr>
          <w:rFonts w:cstheme="minorHAnsi"/>
          <w:lang w:val="en-US"/>
        </w:rPr>
        <w:t xml:space="preserve">Outcome 3 is “Improving policies, standards and enforcement mechanisms for conservation and sustainable use of peat swamp forests” and focuses on creating an enabling environment for a landscape </w:t>
      </w:r>
      <w:r w:rsidRPr="004F6095">
        <w:rPr>
          <w:rFonts w:cstheme="minorHAnsi"/>
          <w:lang w:val="en-US"/>
        </w:rPr>
        <w:lastRenderedPageBreak/>
        <w:t>approach to management of peat swamp areas. The outcome will result in a national inventory of peat swamps and a National Strategy for Peat Swamps.</w:t>
      </w:r>
    </w:p>
    <w:p w14:paraId="37408ADD" w14:textId="77777777" w:rsidR="00C43EC6" w:rsidRPr="004F6095" w:rsidRDefault="00C43EC6" w:rsidP="00C43EC6">
      <w:pPr>
        <w:jc w:val="both"/>
        <w:rPr>
          <w:rFonts w:cstheme="minorHAnsi"/>
          <w:b/>
        </w:rPr>
      </w:pPr>
      <w:r w:rsidRPr="004F6095">
        <w:rPr>
          <w:rFonts w:cstheme="minorHAnsi"/>
          <w:b/>
        </w:rPr>
        <w:t>Recommendation and management response</w:t>
      </w:r>
    </w:p>
    <w:p w14:paraId="3C1F8DBC" w14:textId="022FC9F5" w:rsidR="004F6095" w:rsidRPr="004F6095" w:rsidRDefault="004F6095" w:rsidP="004F6095">
      <w:pPr>
        <w:jc w:val="both"/>
        <w:rPr>
          <w:rFonts w:cstheme="minorHAnsi"/>
        </w:rPr>
      </w:pPr>
      <w:r w:rsidRPr="004F6095">
        <w:rPr>
          <w:rFonts w:cstheme="minorHAnsi"/>
        </w:rPr>
        <w:t>The TE team made twenty-two (22) recommendations for improvement and continuity. Of these, eleven (11) are fully accepted, seven (7) are partially accepted and four (4) are rejected. Actions to implement recommendations are detailed in this management response.</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2"/>
        <w:gridCol w:w="1982"/>
        <w:gridCol w:w="2037"/>
        <w:gridCol w:w="1207"/>
        <w:gridCol w:w="1031"/>
      </w:tblGrid>
      <w:tr w:rsidR="00A97820" w:rsidRPr="004F6095" w14:paraId="046A3B4F" w14:textId="77777777" w:rsidTr="004F6095">
        <w:trPr>
          <w:trHeight w:val="242"/>
        </w:trPr>
        <w:tc>
          <w:tcPr>
            <w:tcW w:w="9329" w:type="dxa"/>
            <w:gridSpan w:val="5"/>
            <w:shd w:val="clear" w:color="auto" w:fill="F3F3F3"/>
          </w:tcPr>
          <w:p w14:paraId="11B4E925" w14:textId="03F336D2" w:rsidR="007B35F2" w:rsidRPr="004F6095" w:rsidRDefault="00C43EC6" w:rsidP="00D56CA6">
            <w:pPr>
              <w:tabs>
                <w:tab w:val="left" w:pos="1080"/>
              </w:tabs>
              <w:rPr>
                <w:rFonts w:cstheme="minorHAnsi"/>
                <w:b/>
              </w:rPr>
            </w:pPr>
            <w:r w:rsidRPr="004F6095">
              <w:rPr>
                <w:rFonts w:cstheme="minorHAnsi"/>
              </w:rPr>
              <w:t xml:space="preserve"> </w:t>
            </w:r>
            <w:r w:rsidR="00A97820" w:rsidRPr="004F6095">
              <w:rPr>
                <w:rFonts w:cstheme="minorHAnsi"/>
                <w:b/>
              </w:rPr>
              <w:t xml:space="preserve">Terminal Evaluation recommendation 1. </w:t>
            </w:r>
          </w:p>
          <w:p w14:paraId="69AE3DD9" w14:textId="340DC8A8" w:rsidR="007B35F2" w:rsidRPr="004F6095" w:rsidRDefault="007B35F2" w:rsidP="007B35F2">
            <w:pPr>
              <w:pStyle w:val="Default"/>
              <w:rPr>
                <w:rFonts w:asciiTheme="minorHAnsi" w:hAnsiTheme="minorHAnsi" w:cstheme="minorHAnsi"/>
                <w:b/>
                <w:bCs/>
                <w:sz w:val="22"/>
                <w:szCs w:val="22"/>
              </w:rPr>
            </w:pPr>
            <w:r w:rsidRPr="004F6095">
              <w:rPr>
                <w:rFonts w:asciiTheme="minorHAnsi" w:hAnsiTheme="minorHAnsi" w:cstheme="minorHAnsi"/>
                <w:b/>
                <w:bCs/>
                <w:sz w:val="22"/>
                <w:szCs w:val="22"/>
              </w:rPr>
              <w:t xml:space="preserve">Category 1: Completing, applying and socializing project deliverables </w:t>
            </w:r>
          </w:p>
          <w:p w14:paraId="53CA0561" w14:textId="6E99F3D2" w:rsidR="009375D9" w:rsidRPr="004F6095" w:rsidRDefault="009375D9" w:rsidP="009375D9">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A1. </w:t>
            </w:r>
            <w:r w:rsidRPr="004F6095">
              <w:rPr>
                <w:rFonts w:asciiTheme="minorHAnsi" w:hAnsiTheme="minorHAnsi" w:cstheme="minorHAnsi"/>
                <w:sz w:val="22"/>
                <w:szCs w:val="22"/>
              </w:rPr>
              <w:t xml:space="preserve">Water management - Further apply the MIKE SHE Model for real testing of water management so as to generate real “lessons learned” among related agencies and to provide practice for application in other peat swamp areas. RID should take the lead on this, but ONEP needs to propose it via a relevant policy body such as the Wetland Sub-Committee, then the Environment Committee (and if </w:t>
            </w:r>
            <w:r w:rsidR="004F6095" w:rsidRPr="004F6095">
              <w:rPr>
                <w:rFonts w:asciiTheme="minorHAnsi" w:hAnsiTheme="minorHAnsi" w:cstheme="minorHAnsi"/>
                <w:sz w:val="22"/>
                <w:szCs w:val="22"/>
              </w:rPr>
              <w:t>necessary,</w:t>
            </w:r>
            <w:r w:rsidRPr="004F6095">
              <w:rPr>
                <w:rFonts w:asciiTheme="minorHAnsi" w:hAnsiTheme="minorHAnsi" w:cstheme="minorHAnsi"/>
                <w:sz w:val="22"/>
                <w:szCs w:val="22"/>
              </w:rPr>
              <w:t xml:space="preserve"> cabinet) to endorse and order the RID under the Ministry of Agriculture to take action. </w:t>
            </w:r>
          </w:p>
          <w:p w14:paraId="2038F469" w14:textId="083D4D68" w:rsidR="00A97820" w:rsidRPr="004F6095" w:rsidRDefault="00A97820" w:rsidP="009375D9">
            <w:pPr>
              <w:pStyle w:val="Default"/>
              <w:ind w:left="360"/>
              <w:rPr>
                <w:rFonts w:asciiTheme="minorHAnsi" w:hAnsiTheme="minorHAnsi" w:cstheme="minorHAnsi"/>
                <w:sz w:val="22"/>
                <w:szCs w:val="22"/>
              </w:rPr>
            </w:pPr>
          </w:p>
          <w:p w14:paraId="715FD48E" w14:textId="7E550F4D" w:rsidR="009375D9" w:rsidRPr="004F6095" w:rsidRDefault="009375D9" w:rsidP="009375D9">
            <w:pPr>
              <w:pStyle w:val="Default"/>
              <w:ind w:left="360"/>
              <w:rPr>
                <w:rFonts w:asciiTheme="minorHAnsi" w:hAnsiTheme="minorHAnsi" w:cstheme="minorHAnsi"/>
                <w:b/>
                <w:sz w:val="22"/>
                <w:szCs w:val="22"/>
              </w:rPr>
            </w:pPr>
          </w:p>
        </w:tc>
      </w:tr>
      <w:tr w:rsidR="00A97820" w:rsidRPr="004F6095" w14:paraId="00741068" w14:textId="77777777" w:rsidTr="004F6095">
        <w:trPr>
          <w:trHeight w:val="210"/>
        </w:trPr>
        <w:tc>
          <w:tcPr>
            <w:tcW w:w="9329" w:type="dxa"/>
            <w:gridSpan w:val="5"/>
            <w:shd w:val="clear" w:color="auto" w:fill="F3F3F3"/>
          </w:tcPr>
          <w:p w14:paraId="7A71F294" w14:textId="30970CD5" w:rsidR="00A97820" w:rsidRPr="004F6095" w:rsidRDefault="00A97820" w:rsidP="00D56CA6">
            <w:pPr>
              <w:tabs>
                <w:tab w:val="left" w:pos="1080"/>
              </w:tabs>
              <w:jc w:val="both"/>
              <w:rPr>
                <w:rFonts w:cstheme="minorHAnsi"/>
              </w:rPr>
            </w:pPr>
            <w:r w:rsidRPr="004F6095">
              <w:rPr>
                <w:rFonts w:cstheme="minorHAnsi"/>
                <w:b/>
              </w:rPr>
              <w:t>Management response:</w:t>
            </w:r>
            <w:r w:rsidR="00735444" w:rsidRPr="004F6095">
              <w:rPr>
                <w:rStyle w:val="FootnoteReference"/>
                <w:rFonts w:cstheme="minorHAnsi"/>
                <w:b/>
              </w:rPr>
              <w:footnoteReference w:id="1"/>
            </w:r>
            <w:r w:rsidR="009375D9" w:rsidRPr="004F6095">
              <w:rPr>
                <w:rFonts w:cstheme="minorHAnsi"/>
                <w:b/>
              </w:rPr>
              <w:t xml:space="preserve">  </w:t>
            </w:r>
            <w:r w:rsidR="007B7728" w:rsidRPr="004F6095">
              <w:rPr>
                <w:rFonts w:cstheme="minorHAnsi"/>
                <w:bCs/>
              </w:rPr>
              <w:t xml:space="preserve">Partially </w:t>
            </w:r>
            <w:r w:rsidR="00C824B5" w:rsidRPr="004F6095">
              <w:rPr>
                <w:rFonts w:cstheme="minorHAnsi"/>
                <w:bCs/>
              </w:rPr>
              <w:t>accept</w:t>
            </w:r>
            <w:r w:rsidR="00F327C9" w:rsidRPr="004F6095">
              <w:rPr>
                <w:rFonts w:cstheme="minorHAnsi"/>
                <w:bCs/>
              </w:rPr>
              <w:t>ed</w:t>
            </w:r>
            <w:r w:rsidR="007B7728" w:rsidRPr="004F6095">
              <w:rPr>
                <w:rFonts w:cstheme="minorHAnsi"/>
                <w:bCs/>
              </w:rPr>
              <w:t>. The water modelling is not a regular function of the RID. The RID usually contracts consulting firm</w:t>
            </w:r>
            <w:r w:rsidR="00F327C9" w:rsidRPr="004F6095">
              <w:rPr>
                <w:rFonts w:cstheme="minorHAnsi"/>
                <w:bCs/>
              </w:rPr>
              <w:t>s</w:t>
            </w:r>
            <w:r w:rsidR="007B7728" w:rsidRPr="004F6095">
              <w:rPr>
                <w:rFonts w:cstheme="minorHAnsi"/>
                <w:bCs/>
              </w:rPr>
              <w:t xml:space="preserve"> to run water model (water balance and hydrological model) when it comes to the particular infrastructure investment project</w:t>
            </w:r>
            <w:r w:rsidR="00F327C9" w:rsidRPr="004F6095">
              <w:rPr>
                <w:rFonts w:cstheme="minorHAnsi"/>
                <w:bCs/>
              </w:rPr>
              <w:t>s</w:t>
            </w:r>
            <w:r w:rsidR="007B7728" w:rsidRPr="004F6095">
              <w:rPr>
                <w:rFonts w:cstheme="minorHAnsi"/>
                <w:bCs/>
              </w:rPr>
              <w:t xml:space="preserve">. So, it is hard to give leading role on </w:t>
            </w:r>
            <w:r w:rsidR="001C19B0" w:rsidRPr="004F6095">
              <w:rPr>
                <w:rFonts w:cstheme="minorHAnsi"/>
                <w:bCs/>
              </w:rPr>
              <w:t>dissemination</w:t>
            </w:r>
            <w:r w:rsidR="007B7728" w:rsidRPr="004F6095">
              <w:rPr>
                <w:rFonts w:cstheme="minorHAnsi"/>
                <w:bCs/>
              </w:rPr>
              <w:t xml:space="preserve"> of the MIKE SHE lessons learned to the RID. Rather, the Department of Water Resource (DWR) is mandated on water management focusing on research, technology, management.  In 2020, the Ministry of Natural Resource</w:t>
            </w:r>
            <w:r w:rsidR="00F327C9" w:rsidRPr="004F6095">
              <w:rPr>
                <w:rFonts w:cstheme="minorHAnsi"/>
                <w:bCs/>
              </w:rPr>
              <w:t>s</w:t>
            </w:r>
            <w:r w:rsidR="007B7728" w:rsidRPr="004F6095">
              <w:rPr>
                <w:rFonts w:cstheme="minorHAnsi"/>
                <w:bCs/>
              </w:rPr>
              <w:t xml:space="preserve"> and Environment (MoNRE) has transferred the Wetland Management’ responsibility from ONEP to DWR. </w:t>
            </w:r>
            <w:r w:rsidR="00FB2B34" w:rsidRPr="004F6095">
              <w:rPr>
                <w:rFonts w:cstheme="minorHAnsi"/>
                <w:bCs/>
              </w:rPr>
              <w:t xml:space="preserve">The DWR has contracted the 2.6 Million USD to </w:t>
            </w:r>
            <w:r w:rsidR="00F327C9" w:rsidRPr="004F6095">
              <w:rPr>
                <w:rFonts w:cstheme="minorHAnsi"/>
                <w:bCs/>
              </w:rPr>
              <w:t xml:space="preserve">a </w:t>
            </w:r>
            <w:r w:rsidR="00FB2B34" w:rsidRPr="004F6095">
              <w:rPr>
                <w:rFonts w:cstheme="minorHAnsi"/>
                <w:bCs/>
              </w:rPr>
              <w:t>consulting firm to continue management of Kuan Kreng Peat Swamp. This project duration is one year</w:t>
            </w:r>
            <w:r w:rsidR="00F327C9" w:rsidRPr="004F6095">
              <w:rPr>
                <w:rFonts w:cstheme="minorHAnsi"/>
                <w:bCs/>
              </w:rPr>
              <w:t xml:space="preserve"> (from when to when)</w:t>
            </w:r>
            <w:r w:rsidR="00FB2B34" w:rsidRPr="004F6095">
              <w:rPr>
                <w:rFonts w:cstheme="minorHAnsi"/>
                <w:bCs/>
              </w:rPr>
              <w:t>.</w:t>
            </w:r>
            <w:r w:rsidR="00FB2B34" w:rsidRPr="004F6095">
              <w:rPr>
                <w:rFonts w:cstheme="minorHAnsi"/>
              </w:rPr>
              <w:t xml:space="preserve"> </w:t>
            </w:r>
            <w:r w:rsidR="007B7728" w:rsidRPr="004F6095">
              <w:rPr>
                <w:rFonts w:cstheme="minorHAnsi"/>
              </w:rPr>
              <w:t xml:space="preserve">   </w:t>
            </w:r>
          </w:p>
        </w:tc>
      </w:tr>
      <w:tr w:rsidR="00A97820" w:rsidRPr="004F6095" w14:paraId="2045421A" w14:textId="77777777" w:rsidTr="004F6095">
        <w:trPr>
          <w:trHeight w:val="135"/>
        </w:trPr>
        <w:tc>
          <w:tcPr>
            <w:tcW w:w="3072" w:type="dxa"/>
            <w:vMerge w:val="restart"/>
            <w:shd w:val="clear" w:color="auto" w:fill="F3F3F3"/>
          </w:tcPr>
          <w:p w14:paraId="7FA603F9" w14:textId="77777777" w:rsidR="00A97820" w:rsidRPr="004F6095" w:rsidRDefault="00A97820" w:rsidP="00D56CA6">
            <w:pPr>
              <w:tabs>
                <w:tab w:val="left" w:pos="1080"/>
              </w:tabs>
              <w:jc w:val="center"/>
              <w:rPr>
                <w:rFonts w:cstheme="minorHAnsi"/>
                <w:b/>
              </w:rPr>
            </w:pPr>
            <w:r w:rsidRPr="004F6095">
              <w:rPr>
                <w:rFonts w:cstheme="minorHAnsi"/>
                <w:b/>
              </w:rPr>
              <w:t>Key action(s)</w:t>
            </w:r>
          </w:p>
        </w:tc>
        <w:tc>
          <w:tcPr>
            <w:tcW w:w="1982" w:type="dxa"/>
            <w:vMerge w:val="restart"/>
            <w:shd w:val="clear" w:color="auto" w:fill="F3F3F3"/>
          </w:tcPr>
          <w:p w14:paraId="1EF36F61" w14:textId="77777777" w:rsidR="00A97820" w:rsidRPr="004F6095" w:rsidRDefault="00A97820" w:rsidP="00D56CA6">
            <w:pPr>
              <w:tabs>
                <w:tab w:val="left" w:pos="1080"/>
              </w:tabs>
              <w:jc w:val="center"/>
              <w:rPr>
                <w:rFonts w:cstheme="minorHAnsi"/>
                <w:b/>
              </w:rPr>
            </w:pPr>
            <w:r w:rsidRPr="004F6095">
              <w:rPr>
                <w:rFonts w:cstheme="minorHAnsi"/>
                <w:b/>
              </w:rPr>
              <w:t>Time frame</w:t>
            </w:r>
          </w:p>
        </w:tc>
        <w:tc>
          <w:tcPr>
            <w:tcW w:w="2037" w:type="dxa"/>
            <w:vMerge w:val="restart"/>
            <w:shd w:val="clear" w:color="auto" w:fill="F3F3F3"/>
          </w:tcPr>
          <w:p w14:paraId="7C04AE48" w14:textId="77777777" w:rsidR="00A97820" w:rsidRPr="004F6095" w:rsidRDefault="00A97820" w:rsidP="00D56CA6">
            <w:pPr>
              <w:tabs>
                <w:tab w:val="left" w:pos="1080"/>
              </w:tabs>
              <w:jc w:val="center"/>
              <w:rPr>
                <w:rFonts w:cstheme="minorHAnsi"/>
                <w:b/>
              </w:rPr>
            </w:pPr>
            <w:r w:rsidRPr="004F6095">
              <w:rPr>
                <w:rFonts w:cstheme="minorHAnsi"/>
                <w:b/>
              </w:rPr>
              <w:t>Responsible unit(s)</w:t>
            </w:r>
          </w:p>
        </w:tc>
        <w:tc>
          <w:tcPr>
            <w:tcW w:w="2238" w:type="dxa"/>
            <w:gridSpan w:val="2"/>
            <w:shd w:val="clear" w:color="auto" w:fill="F3F3F3"/>
          </w:tcPr>
          <w:p w14:paraId="5A9EFC63" w14:textId="77777777" w:rsidR="00A97820" w:rsidRPr="004F6095" w:rsidRDefault="00A97820" w:rsidP="00D56CA6">
            <w:pPr>
              <w:tabs>
                <w:tab w:val="left" w:pos="1080"/>
              </w:tabs>
              <w:jc w:val="center"/>
              <w:rPr>
                <w:rFonts w:cstheme="minorHAnsi"/>
                <w:b/>
              </w:rPr>
            </w:pPr>
            <w:r w:rsidRPr="004F6095">
              <w:rPr>
                <w:rFonts w:cstheme="minorHAnsi"/>
                <w:b/>
              </w:rPr>
              <w:t>Tracking</w:t>
            </w:r>
            <w:r w:rsidRPr="004F6095">
              <w:rPr>
                <w:rStyle w:val="FootnoteReference"/>
                <w:rFonts w:cstheme="minorHAnsi"/>
                <w:b/>
              </w:rPr>
              <w:footnoteReference w:id="2"/>
            </w:r>
          </w:p>
        </w:tc>
      </w:tr>
      <w:tr w:rsidR="00A97820" w:rsidRPr="004F6095" w14:paraId="30024C57" w14:textId="77777777" w:rsidTr="004F6095">
        <w:trPr>
          <w:trHeight w:val="135"/>
        </w:trPr>
        <w:tc>
          <w:tcPr>
            <w:tcW w:w="3072" w:type="dxa"/>
            <w:vMerge/>
            <w:shd w:val="clear" w:color="auto" w:fill="F3F3F3"/>
          </w:tcPr>
          <w:p w14:paraId="1C0594A6" w14:textId="77777777" w:rsidR="00A97820" w:rsidRPr="004F6095" w:rsidRDefault="00A97820" w:rsidP="00D56CA6">
            <w:pPr>
              <w:tabs>
                <w:tab w:val="left" w:pos="1080"/>
              </w:tabs>
              <w:rPr>
                <w:rFonts w:cstheme="minorHAnsi"/>
              </w:rPr>
            </w:pPr>
          </w:p>
        </w:tc>
        <w:tc>
          <w:tcPr>
            <w:tcW w:w="1982" w:type="dxa"/>
            <w:vMerge/>
            <w:shd w:val="clear" w:color="auto" w:fill="F3F3F3"/>
          </w:tcPr>
          <w:p w14:paraId="1D24566F" w14:textId="77777777" w:rsidR="00A97820" w:rsidRPr="004F6095" w:rsidRDefault="00A97820" w:rsidP="00D56CA6">
            <w:pPr>
              <w:tabs>
                <w:tab w:val="left" w:pos="1080"/>
              </w:tabs>
              <w:rPr>
                <w:rFonts w:cstheme="minorHAnsi"/>
                <w:b/>
              </w:rPr>
            </w:pPr>
          </w:p>
        </w:tc>
        <w:tc>
          <w:tcPr>
            <w:tcW w:w="2037" w:type="dxa"/>
            <w:vMerge/>
            <w:shd w:val="clear" w:color="auto" w:fill="F3F3F3"/>
          </w:tcPr>
          <w:p w14:paraId="1614A7A9" w14:textId="77777777" w:rsidR="00A97820" w:rsidRPr="004F6095" w:rsidRDefault="00A97820" w:rsidP="00D56CA6">
            <w:pPr>
              <w:tabs>
                <w:tab w:val="left" w:pos="1080"/>
              </w:tabs>
              <w:rPr>
                <w:rFonts w:cstheme="minorHAnsi"/>
                <w:b/>
              </w:rPr>
            </w:pPr>
          </w:p>
        </w:tc>
        <w:tc>
          <w:tcPr>
            <w:tcW w:w="1207" w:type="dxa"/>
          </w:tcPr>
          <w:p w14:paraId="3170AEE0" w14:textId="77777777" w:rsidR="00A97820" w:rsidRPr="004F6095" w:rsidRDefault="00A97820" w:rsidP="00D56CA6">
            <w:pPr>
              <w:tabs>
                <w:tab w:val="left" w:pos="1080"/>
              </w:tabs>
              <w:jc w:val="center"/>
              <w:rPr>
                <w:rFonts w:cstheme="minorHAnsi"/>
                <w:b/>
              </w:rPr>
            </w:pPr>
            <w:r w:rsidRPr="004F6095">
              <w:rPr>
                <w:rFonts w:cstheme="minorHAnsi"/>
                <w:b/>
              </w:rPr>
              <w:t>Comments</w:t>
            </w:r>
          </w:p>
        </w:tc>
        <w:tc>
          <w:tcPr>
            <w:tcW w:w="1031" w:type="dxa"/>
          </w:tcPr>
          <w:p w14:paraId="4AF18EDB" w14:textId="77777777" w:rsidR="00A97820" w:rsidRPr="004F6095" w:rsidRDefault="00A97820" w:rsidP="00D56CA6">
            <w:pPr>
              <w:tabs>
                <w:tab w:val="left" w:pos="1080"/>
              </w:tabs>
              <w:jc w:val="center"/>
              <w:rPr>
                <w:rFonts w:cstheme="minorHAnsi"/>
                <w:b/>
              </w:rPr>
            </w:pPr>
            <w:r w:rsidRPr="004F6095">
              <w:rPr>
                <w:rFonts w:cstheme="minorHAnsi"/>
                <w:b/>
              </w:rPr>
              <w:t>Status</w:t>
            </w:r>
            <w:r w:rsidRPr="004F6095">
              <w:rPr>
                <w:rStyle w:val="FootnoteReference"/>
                <w:rFonts w:cstheme="minorHAnsi"/>
                <w:b/>
              </w:rPr>
              <w:footnoteReference w:id="3"/>
            </w:r>
          </w:p>
        </w:tc>
      </w:tr>
      <w:tr w:rsidR="00A97820" w:rsidRPr="004F6095" w14:paraId="2501E1C2" w14:textId="77777777" w:rsidTr="004F6095">
        <w:tc>
          <w:tcPr>
            <w:tcW w:w="3072" w:type="dxa"/>
          </w:tcPr>
          <w:p w14:paraId="5E869E42" w14:textId="2DD40259" w:rsidR="009375D9" w:rsidRPr="004F6095" w:rsidRDefault="001C19B0" w:rsidP="00D56CA6">
            <w:pPr>
              <w:tabs>
                <w:tab w:val="left" w:pos="1080"/>
              </w:tabs>
              <w:rPr>
                <w:rFonts w:cstheme="minorHAnsi"/>
              </w:rPr>
            </w:pPr>
            <w:r w:rsidRPr="004F6095">
              <w:rPr>
                <w:rFonts w:cstheme="minorHAnsi"/>
              </w:rPr>
              <w:t xml:space="preserve">Share data and information of the </w:t>
            </w:r>
            <w:r w:rsidR="00C355A5" w:rsidRPr="004F6095">
              <w:rPr>
                <w:rFonts w:cstheme="minorHAnsi"/>
              </w:rPr>
              <w:t xml:space="preserve">MIKE SHE model </w:t>
            </w:r>
            <w:r w:rsidRPr="004F6095">
              <w:rPr>
                <w:rFonts w:cstheme="minorHAnsi"/>
              </w:rPr>
              <w:t xml:space="preserve">to relevant organizations. </w:t>
            </w:r>
            <w:r w:rsidR="00C355A5" w:rsidRPr="004F6095">
              <w:rPr>
                <w:rFonts w:cstheme="minorHAnsi"/>
              </w:rPr>
              <w:t xml:space="preserve">  </w:t>
            </w:r>
          </w:p>
          <w:p w14:paraId="633764D8" w14:textId="7140D05E" w:rsidR="00A97820" w:rsidRPr="004F6095" w:rsidRDefault="00A97820" w:rsidP="009375D9">
            <w:pPr>
              <w:pStyle w:val="Default"/>
              <w:rPr>
                <w:rFonts w:asciiTheme="minorHAnsi" w:hAnsiTheme="minorHAnsi" w:cstheme="minorHAnsi"/>
                <w:sz w:val="22"/>
                <w:szCs w:val="22"/>
              </w:rPr>
            </w:pPr>
          </w:p>
        </w:tc>
        <w:tc>
          <w:tcPr>
            <w:tcW w:w="1982" w:type="dxa"/>
          </w:tcPr>
          <w:p w14:paraId="5F2497FF" w14:textId="3015DE27" w:rsidR="00A97820" w:rsidRPr="004F6095" w:rsidRDefault="00C355A5" w:rsidP="00D56CA6">
            <w:pPr>
              <w:tabs>
                <w:tab w:val="left" w:pos="1080"/>
              </w:tabs>
              <w:rPr>
                <w:rFonts w:cstheme="minorHAnsi"/>
              </w:rPr>
            </w:pPr>
            <w:r w:rsidRPr="004F6095">
              <w:rPr>
                <w:rFonts w:cstheme="minorHAnsi"/>
              </w:rPr>
              <w:t>April – December 2021</w:t>
            </w:r>
          </w:p>
        </w:tc>
        <w:tc>
          <w:tcPr>
            <w:tcW w:w="2037" w:type="dxa"/>
          </w:tcPr>
          <w:p w14:paraId="19E7F033" w14:textId="6B56A0D1" w:rsidR="00A97820" w:rsidRPr="004F6095" w:rsidRDefault="001C19B0" w:rsidP="00D56CA6">
            <w:pPr>
              <w:tabs>
                <w:tab w:val="left" w:pos="1080"/>
              </w:tabs>
              <w:rPr>
                <w:rFonts w:cstheme="minorHAnsi"/>
              </w:rPr>
            </w:pPr>
            <w:r w:rsidRPr="004F6095">
              <w:rPr>
                <w:rFonts w:cstheme="minorHAnsi"/>
              </w:rPr>
              <w:t>DWR, RID</w:t>
            </w:r>
          </w:p>
        </w:tc>
        <w:tc>
          <w:tcPr>
            <w:tcW w:w="1207" w:type="dxa"/>
          </w:tcPr>
          <w:p w14:paraId="71F690D8" w14:textId="77777777" w:rsidR="00A97820" w:rsidRPr="004F6095" w:rsidRDefault="00A97820" w:rsidP="00D56CA6">
            <w:pPr>
              <w:tabs>
                <w:tab w:val="left" w:pos="1080"/>
              </w:tabs>
              <w:rPr>
                <w:rFonts w:cstheme="minorHAnsi"/>
              </w:rPr>
            </w:pPr>
          </w:p>
        </w:tc>
        <w:tc>
          <w:tcPr>
            <w:tcW w:w="1031" w:type="dxa"/>
          </w:tcPr>
          <w:p w14:paraId="1B1F90C7" w14:textId="23B1B3D9" w:rsidR="00A97820" w:rsidRPr="004F6095" w:rsidRDefault="000F7E71" w:rsidP="00D56CA6">
            <w:pPr>
              <w:tabs>
                <w:tab w:val="left" w:pos="1080"/>
              </w:tabs>
              <w:rPr>
                <w:rFonts w:cstheme="minorHAnsi"/>
              </w:rPr>
            </w:pPr>
            <w:r>
              <w:rPr>
                <w:rFonts w:cstheme="minorHAnsi"/>
              </w:rPr>
              <w:t xml:space="preserve">Initiated </w:t>
            </w:r>
          </w:p>
        </w:tc>
      </w:tr>
    </w:tbl>
    <w:p w14:paraId="373E4ACB" w14:textId="77777777" w:rsidR="00A97820" w:rsidRPr="004F6095" w:rsidRDefault="00A97820" w:rsidP="00A97820">
      <w:pPr>
        <w:tabs>
          <w:tab w:val="left" w:pos="1080"/>
        </w:tabs>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2003"/>
        <w:gridCol w:w="2050"/>
        <w:gridCol w:w="1208"/>
        <w:gridCol w:w="984"/>
      </w:tblGrid>
      <w:tr w:rsidR="00A97820" w:rsidRPr="004F6095" w14:paraId="79DFA8EF" w14:textId="77777777" w:rsidTr="00635ABA">
        <w:trPr>
          <w:trHeight w:val="1700"/>
        </w:trPr>
        <w:tc>
          <w:tcPr>
            <w:tcW w:w="9216" w:type="dxa"/>
            <w:gridSpan w:val="5"/>
            <w:shd w:val="clear" w:color="auto" w:fill="F3F3F3"/>
          </w:tcPr>
          <w:p w14:paraId="274AAD97" w14:textId="7681E35E" w:rsidR="00A97820" w:rsidRPr="004F6095" w:rsidRDefault="00A97820" w:rsidP="00D56CA6">
            <w:pPr>
              <w:tabs>
                <w:tab w:val="left" w:pos="1080"/>
              </w:tabs>
              <w:rPr>
                <w:rFonts w:cstheme="minorHAnsi"/>
                <w:b/>
              </w:rPr>
            </w:pPr>
            <w:r w:rsidRPr="004F6095">
              <w:rPr>
                <w:rFonts w:cstheme="minorHAnsi"/>
                <w:b/>
              </w:rPr>
              <w:t xml:space="preserve">Terminal Evaluation recommendation 2. </w:t>
            </w:r>
          </w:p>
          <w:p w14:paraId="456037AF" w14:textId="141AF393" w:rsidR="00655B82" w:rsidRPr="004F6095" w:rsidRDefault="00655B82" w:rsidP="00655B82">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1: Completing, applying and socializing project deliverables </w:t>
            </w:r>
          </w:p>
          <w:p w14:paraId="6BC82FD3" w14:textId="396AE84C" w:rsidR="0002045C" w:rsidRPr="004F6095" w:rsidRDefault="00655B82" w:rsidP="00635ABA">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A2. </w:t>
            </w:r>
            <w:r w:rsidR="0002045C" w:rsidRPr="004F6095">
              <w:rPr>
                <w:rFonts w:asciiTheme="minorHAnsi" w:hAnsiTheme="minorHAnsi" w:cstheme="minorHAnsi"/>
                <w:b/>
                <w:bCs/>
                <w:sz w:val="22"/>
                <w:szCs w:val="22"/>
              </w:rPr>
              <w:t xml:space="preserve">Carbon monitoring – Support a critical technical review of the project-supported methodologies and results on carbon monitoring </w:t>
            </w:r>
            <w:r w:rsidR="0002045C" w:rsidRPr="004F6095">
              <w:rPr>
                <w:rFonts w:asciiTheme="minorHAnsi" w:hAnsiTheme="minorHAnsi" w:cstheme="minorHAnsi"/>
                <w:sz w:val="22"/>
                <w:szCs w:val="22"/>
              </w:rPr>
              <w:t xml:space="preserve">in order to provide recommendations for their application in measuring and reporting on GHG emissions and carbon sequestration for peat swamps and other habitat types under the UNFCCC National Determined Contributions. The methodologies need to be workable for practical government monitoring and reporting procedures. </w:t>
            </w:r>
          </w:p>
        </w:tc>
      </w:tr>
      <w:tr w:rsidR="00A97820" w:rsidRPr="004F6095" w14:paraId="636FA7E8" w14:textId="77777777" w:rsidTr="00D56CA6">
        <w:tc>
          <w:tcPr>
            <w:tcW w:w="9216" w:type="dxa"/>
            <w:gridSpan w:val="5"/>
            <w:shd w:val="clear" w:color="auto" w:fill="F3F3F3"/>
          </w:tcPr>
          <w:p w14:paraId="1460DFA0" w14:textId="6459AF49" w:rsidR="00A97820" w:rsidRPr="004F6095" w:rsidRDefault="00A97820" w:rsidP="00D56CA6">
            <w:pPr>
              <w:tabs>
                <w:tab w:val="left" w:pos="1080"/>
              </w:tabs>
              <w:rPr>
                <w:rFonts w:cstheme="minorHAnsi"/>
                <w:b/>
              </w:rPr>
            </w:pPr>
            <w:r w:rsidRPr="004F6095">
              <w:rPr>
                <w:rFonts w:cstheme="minorHAnsi"/>
                <w:b/>
              </w:rPr>
              <w:t>Management response:</w:t>
            </w:r>
            <w:r w:rsidR="00EE3E39" w:rsidRPr="004F6095">
              <w:rPr>
                <w:rFonts w:cstheme="minorHAnsi"/>
                <w:b/>
              </w:rPr>
              <w:t xml:space="preserve"> </w:t>
            </w:r>
            <w:r w:rsidR="00EE3E39" w:rsidRPr="004F6095">
              <w:rPr>
                <w:rFonts w:cstheme="minorHAnsi"/>
                <w:bCs/>
              </w:rPr>
              <w:t>Partially accept</w:t>
            </w:r>
            <w:r w:rsidR="001549F5" w:rsidRPr="004F6095">
              <w:rPr>
                <w:rFonts w:cstheme="minorHAnsi"/>
                <w:bCs/>
              </w:rPr>
              <w:t>ed</w:t>
            </w:r>
            <w:r w:rsidR="00EE3E39" w:rsidRPr="004F6095">
              <w:rPr>
                <w:rFonts w:cstheme="minorHAnsi"/>
                <w:bCs/>
              </w:rPr>
              <w:t>. The current methodology is costly and sophisticate</w:t>
            </w:r>
            <w:r w:rsidR="001549F5" w:rsidRPr="004F6095">
              <w:rPr>
                <w:rFonts w:cstheme="minorHAnsi"/>
                <w:bCs/>
              </w:rPr>
              <w:t>d</w:t>
            </w:r>
            <w:r w:rsidR="00EE3E39" w:rsidRPr="004F6095">
              <w:rPr>
                <w:rFonts w:cstheme="minorHAnsi"/>
                <w:bCs/>
              </w:rPr>
              <w:t>. It is suitable for the university’s R&amp;D work. Also, there is no standardized Monitoring, Verification and Reporting (MRV) for carbon sequestration in Peat Swamp. This research work remains to be done by relevant technical agencies.</w:t>
            </w:r>
            <w:r w:rsidR="00EE3E39" w:rsidRPr="004F6095">
              <w:rPr>
                <w:rFonts w:cstheme="minorHAnsi"/>
                <w:b/>
              </w:rPr>
              <w:t xml:space="preserve"> </w:t>
            </w:r>
          </w:p>
        </w:tc>
      </w:tr>
      <w:tr w:rsidR="00A97820" w:rsidRPr="004F6095" w14:paraId="45C93A6E" w14:textId="77777777" w:rsidTr="00D56CA6">
        <w:trPr>
          <w:trHeight w:val="135"/>
        </w:trPr>
        <w:tc>
          <w:tcPr>
            <w:tcW w:w="2971" w:type="dxa"/>
            <w:vMerge w:val="restart"/>
            <w:shd w:val="clear" w:color="auto" w:fill="F3F3F3"/>
          </w:tcPr>
          <w:p w14:paraId="4D89649E" w14:textId="77777777" w:rsidR="00A97820" w:rsidRPr="004F6095" w:rsidRDefault="00A97820" w:rsidP="00D56CA6">
            <w:pPr>
              <w:tabs>
                <w:tab w:val="left" w:pos="1080"/>
              </w:tabs>
              <w:jc w:val="center"/>
              <w:rPr>
                <w:rFonts w:cstheme="minorHAnsi"/>
                <w:b/>
              </w:rPr>
            </w:pPr>
            <w:r w:rsidRPr="004F6095">
              <w:rPr>
                <w:rFonts w:cstheme="minorHAnsi"/>
                <w:b/>
              </w:rPr>
              <w:t>Key action(s)</w:t>
            </w:r>
          </w:p>
        </w:tc>
        <w:tc>
          <w:tcPr>
            <w:tcW w:w="2003" w:type="dxa"/>
            <w:vMerge w:val="restart"/>
            <w:shd w:val="clear" w:color="auto" w:fill="F3F3F3"/>
          </w:tcPr>
          <w:p w14:paraId="2AE5EC79" w14:textId="77777777" w:rsidR="00A97820" w:rsidRPr="004F6095" w:rsidRDefault="00A97820" w:rsidP="00D56CA6">
            <w:pPr>
              <w:tabs>
                <w:tab w:val="left" w:pos="1080"/>
              </w:tabs>
              <w:jc w:val="center"/>
              <w:rPr>
                <w:rFonts w:cstheme="minorHAnsi"/>
                <w:b/>
              </w:rPr>
            </w:pPr>
            <w:r w:rsidRPr="004F6095">
              <w:rPr>
                <w:rFonts w:cstheme="minorHAnsi"/>
                <w:b/>
              </w:rPr>
              <w:t>Time frame</w:t>
            </w:r>
          </w:p>
        </w:tc>
        <w:tc>
          <w:tcPr>
            <w:tcW w:w="2050" w:type="dxa"/>
            <w:vMerge w:val="restart"/>
            <w:shd w:val="clear" w:color="auto" w:fill="F3F3F3"/>
          </w:tcPr>
          <w:p w14:paraId="51ADA716" w14:textId="77777777" w:rsidR="00A97820" w:rsidRPr="004F6095" w:rsidRDefault="00A97820" w:rsidP="00D56CA6">
            <w:pPr>
              <w:tabs>
                <w:tab w:val="left" w:pos="1080"/>
              </w:tabs>
              <w:jc w:val="center"/>
              <w:rPr>
                <w:rFonts w:cstheme="minorHAnsi"/>
                <w:b/>
              </w:rPr>
            </w:pPr>
            <w:r w:rsidRPr="004F6095">
              <w:rPr>
                <w:rFonts w:cstheme="minorHAnsi"/>
                <w:b/>
              </w:rPr>
              <w:t>Responsible unit(s)</w:t>
            </w:r>
          </w:p>
        </w:tc>
        <w:tc>
          <w:tcPr>
            <w:tcW w:w="2192" w:type="dxa"/>
            <w:gridSpan w:val="2"/>
            <w:shd w:val="clear" w:color="auto" w:fill="F3F3F3"/>
          </w:tcPr>
          <w:p w14:paraId="0DEFDBA0" w14:textId="77777777" w:rsidR="00A97820" w:rsidRPr="004F6095" w:rsidRDefault="00A97820" w:rsidP="00D56CA6">
            <w:pPr>
              <w:tabs>
                <w:tab w:val="left" w:pos="1080"/>
              </w:tabs>
              <w:jc w:val="center"/>
              <w:rPr>
                <w:rFonts w:cstheme="minorHAnsi"/>
                <w:b/>
              </w:rPr>
            </w:pPr>
            <w:r w:rsidRPr="004F6095">
              <w:rPr>
                <w:rFonts w:cstheme="minorHAnsi"/>
                <w:b/>
              </w:rPr>
              <w:t>Tracking</w:t>
            </w:r>
          </w:p>
        </w:tc>
      </w:tr>
      <w:tr w:rsidR="00A97820" w:rsidRPr="004F6095" w14:paraId="2EA5B8B3" w14:textId="77777777" w:rsidTr="00D56CA6">
        <w:trPr>
          <w:trHeight w:val="135"/>
        </w:trPr>
        <w:tc>
          <w:tcPr>
            <w:tcW w:w="2971" w:type="dxa"/>
            <w:vMerge/>
            <w:shd w:val="clear" w:color="auto" w:fill="F3F3F3"/>
          </w:tcPr>
          <w:p w14:paraId="53D3555E" w14:textId="77777777" w:rsidR="00A97820" w:rsidRPr="004F6095" w:rsidRDefault="00A97820" w:rsidP="00D56CA6">
            <w:pPr>
              <w:tabs>
                <w:tab w:val="left" w:pos="1080"/>
              </w:tabs>
              <w:rPr>
                <w:rFonts w:cstheme="minorHAnsi"/>
              </w:rPr>
            </w:pPr>
          </w:p>
        </w:tc>
        <w:tc>
          <w:tcPr>
            <w:tcW w:w="2003" w:type="dxa"/>
            <w:vMerge/>
            <w:shd w:val="clear" w:color="auto" w:fill="F3F3F3"/>
          </w:tcPr>
          <w:p w14:paraId="6D7ED4F5" w14:textId="77777777" w:rsidR="00A97820" w:rsidRPr="004F6095" w:rsidRDefault="00A97820" w:rsidP="00D56CA6">
            <w:pPr>
              <w:tabs>
                <w:tab w:val="left" w:pos="1080"/>
              </w:tabs>
              <w:rPr>
                <w:rFonts w:cstheme="minorHAnsi"/>
                <w:b/>
              </w:rPr>
            </w:pPr>
          </w:p>
        </w:tc>
        <w:tc>
          <w:tcPr>
            <w:tcW w:w="2050" w:type="dxa"/>
            <w:vMerge/>
            <w:shd w:val="clear" w:color="auto" w:fill="F3F3F3"/>
          </w:tcPr>
          <w:p w14:paraId="35BCA4BB" w14:textId="77777777" w:rsidR="00A97820" w:rsidRPr="004F6095" w:rsidRDefault="00A97820" w:rsidP="00D56CA6">
            <w:pPr>
              <w:tabs>
                <w:tab w:val="left" w:pos="1080"/>
              </w:tabs>
              <w:rPr>
                <w:rFonts w:cstheme="minorHAnsi"/>
                <w:b/>
              </w:rPr>
            </w:pPr>
          </w:p>
        </w:tc>
        <w:tc>
          <w:tcPr>
            <w:tcW w:w="1208" w:type="dxa"/>
          </w:tcPr>
          <w:p w14:paraId="210858CD" w14:textId="77777777" w:rsidR="00A97820" w:rsidRPr="004F6095" w:rsidRDefault="00A97820" w:rsidP="00D56CA6">
            <w:pPr>
              <w:tabs>
                <w:tab w:val="left" w:pos="1080"/>
              </w:tabs>
              <w:jc w:val="center"/>
              <w:rPr>
                <w:rFonts w:cstheme="minorHAnsi"/>
                <w:b/>
              </w:rPr>
            </w:pPr>
            <w:r w:rsidRPr="004F6095">
              <w:rPr>
                <w:rFonts w:cstheme="minorHAnsi"/>
                <w:b/>
              </w:rPr>
              <w:t>Comments</w:t>
            </w:r>
          </w:p>
        </w:tc>
        <w:tc>
          <w:tcPr>
            <w:tcW w:w="984" w:type="dxa"/>
          </w:tcPr>
          <w:p w14:paraId="58437328" w14:textId="77777777" w:rsidR="00A97820" w:rsidRPr="004F6095" w:rsidRDefault="00A97820" w:rsidP="00D56CA6">
            <w:pPr>
              <w:tabs>
                <w:tab w:val="left" w:pos="1080"/>
              </w:tabs>
              <w:jc w:val="center"/>
              <w:rPr>
                <w:rFonts w:cstheme="minorHAnsi"/>
                <w:b/>
              </w:rPr>
            </w:pPr>
            <w:r w:rsidRPr="004F6095">
              <w:rPr>
                <w:rFonts w:cstheme="minorHAnsi"/>
                <w:b/>
              </w:rPr>
              <w:t>Status</w:t>
            </w:r>
          </w:p>
        </w:tc>
      </w:tr>
      <w:tr w:rsidR="00A97820" w:rsidRPr="004F6095" w14:paraId="4D3D7CBB" w14:textId="77777777" w:rsidTr="00D56CA6">
        <w:tc>
          <w:tcPr>
            <w:tcW w:w="2971" w:type="dxa"/>
          </w:tcPr>
          <w:p w14:paraId="26AB6579" w14:textId="533C2D4B" w:rsidR="00A97820" w:rsidRPr="004F6095" w:rsidRDefault="00A97820" w:rsidP="00D56CA6">
            <w:pPr>
              <w:tabs>
                <w:tab w:val="left" w:pos="1080"/>
              </w:tabs>
              <w:rPr>
                <w:rFonts w:cstheme="minorHAnsi"/>
              </w:rPr>
            </w:pPr>
            <w:r w:rsidRPr="004F6095">
              <w:rPr>
                <w:rFonts w:cstheme="minorHAnsi"/>
              </w:rPr>
              <w:t xml:space="preserve">2.1 </w:t>
            </w:r>
            <w:r w:rsidR="00EE3E39" w:rsidRPr="004F6095">
              <w:rPr>
                <w:rFonts w:cstheme="minorHAnsi"/>
              </w:rPr>
              <w:t xml:space="preserve">Consult Dr. Sapit who is researcher of this project component to guide further action on how to take the </w:t>
            </w:r>
            <w:r w:rsidR="003108C8" w:rsidRPr="004F6095">
              <w:rPr>
                <w:rFonts w:cstheme="minorHAnsi"/>
              </w:rPr>
              <w:t xml:space="preserve">Peat Swamp carbon sink capacity into an account of </w:t>
            </w:r>
            <w:r w:rsidR="00EE3E39" w:rsidRPr="004F6095">
              <w:rPr>
                <w:rFonts w:cstheme="minorHAnsi"/>
              </w:rPr>
              <w:t xml:space="preserve">NDC.  </w:t>
            </w:r>
          </w:p>
        </w:tc>
        <w:tc>
          <w:tcPr>
            <w:tcW w:w="2003" w:type="dxa"/>
          </w:tcPr>
          <w:p w14:paraId="1860A083" w14:textId="176201F4" w:rsidR="00A97820" w:rsidRPr="004F6095" w:rsidRDefault="0002045C" w:rsidP="00D56CA6">
            <w:pPr>
              <w:tabs>
                <w:tab w:val="left" w:pos="1080"/>
              </w:tabs>
              <w:rPr>
                <w:rFonts w:cstheme="minorHAnsi"/>
              </w:rPr>
            </w:pPr>
            <w:r w:rsidRPr="004F6095">
              <w:rPr>
                <w:rFonts w:cstheme="minorHAnsi"/>
              </w:rPr>
              <w:t>April – Dec 2021</w:t>
            </w:r>
          </w:p>
        </w:tc>
        <w:tc>
          <w:tcPr>
            <w:tcW w:w="2050" w:type="dxa"/>
          </w:tcPr>
          <w:p w14:paraId="4DFA74FD" w14:textId="4F5DDD7D" w:rsidR="00A97820" w:rsidRPr="004F6095" w:rsidRDefault="002D6B47" w:rsidP="00D56CA6">
            <w:pPr>
              <w:tabs>
                <w:tab w:val="left" w:pos="1080"/>
              </w:tabs>
              <w:rPr>
                <w:rFonts w:cstheme="minorHAnsi"/>
              </w:rPr>
            </w:pPr>
            <w:r w:rsidRPr="004F6095">
              <w:rPr>
                <w:rFonts w:cstheme="minorHAnsi"/>
              </w:rPr>
              <w:t xml:space="preserve">Kasersart University, Climate Change Coordination Division of ONEP </w:t>
            </w:r>
            <w:r w:rsidR="002827B9" w:rsidRPr="004F6095">
              <w:rPr>
                <w:rFonts w:cstheme="minorHAnsi"/>
              </w:rPr>
              <w:t>, UNDP</w:t>
            </w:r>
            <w:r w:rsidRPr="004F6095">
              <w:rPr>
                <w:rFonts w:cstheme="minorHAnsi"/>
              </w:rPr>
              <w:t xml:space="preserve"> </w:t>
            </w:r>
          </w:p>
        </w:tc>
        <w:tc>
          <w:tcPr>
            <w:tcW w:w="1208" w:type="dxa"/>
          </w:tcPr>
          <w:p w14:paraId="1C66FEFB" w14:textId="77777777" w:rsidR="00A97820" w:rsidRPr="004F6095" w:rsidRDefault="00A97820" w:rsidP="00D56CA6">
            <w:pPr>
              <w:tabs>
                <w:tab w:val="left" w:pos="1080"/>
              </w:tabs>
              <w:rPr>
                <w:rFonts w:cstheme="minorHAnsi"/>
              </w:rPr>
            </w:pPr>
          </w:p>
        </w:tc>
        <w:tc>
          <w:tcPr>
            <w:tcW w:w="984" w:type="dxa"/>
          </w:tcPr>
          <w:p w14:paraId="36509A55" w14:textId="79AAB9FC" w:rsidR="00A97820" w:rsidRPr="004F6095" w:rsidRDefault="000F7E71" w:rsidP="00D56CA6">
            <w:pPr>
              <w:tabs>
                <w:tab w:val="left" w:pos="1080"/>
              </w:tabs>
              <w:rPr>
                <w:rFonts w:cstheme="minorHAnsi"/>
              </w:rPr>
            </w:pPr>
            <w:r>
              <w:rPr>
                <w:rFonts w:cstheme="minorHAnsi"/>
              </w:rPr>
              <w:t>Initiated</w:t>
            </w:r>
          </w:p>
        </w:tc>
      </w:tr>
      <w:tr w:rsidR="002827B9" w:rsidRPr="004F6095" w14:paraId="708AC980" w14:textId="77777777" w:rsidTr="00D56CA6">
        <w:tc>
          <w:tcPr>
            <w:tcW w:w="2971" w:type="dxa"/>
          </w:tcPr>
          <w:p w14:paraId="4AE6E135" w14:textId="5BA3EFF1" w:rsidR="002827B9" w:rsidRPr="004F6095" w:rsidRDefault="002827B9" w:rsidP="002827B9">
            <w:pPr>
              <w:tabs>
                <w:tab w:val="left" w:pos="1080"/>
              </w:tabs>
              <w:rPr>
                <w:rFonts w:cstheme="minorHAnsi"/>
              </w:rPr>
            </w:pPr>
            <w:r w:rsidRPr="004F6095">
              <w:rPr>
                <w:rFonts w:cstheme="minorHAnsi"/>
              </w:rPr>
              <w:t xml:space="preserve">2.2 Monitoring of the community network that was trained on a simple methodology for carbon sink measurement.  </w:t>
            </w:r>
          </w:p>
        </w:tc>
        <w:tc>
          <w:tcPr>
            <w:tcW w:w="2003" w:type="dxa"/>
          </w:tcPr>
          <w:p w14:paraId="165A8ED7" w14:textId="4412C4A7" w:rsidR="002827B9" w:rsidRPr="004F6095" w:rsidRDefault="002827B9" w:rsidP="002827B9">
            <w:pPr>
              <w:tabs>
                <w:tab w:val="left" w:pos="1080"/>
              </w:tabs>
              <w:rPr>
                <w:rFonts w:cstheme="minorHAnsi"/>
              </w:rPr>
            </w:pPr>
            <w:r w:rsidRPr="004F6095">
              <w:rPr>
                <w:rFonts w:cstheme="minorHAnsi"/>
              </w:rPr>
              <w:t>April – Dec 2021</w:t>
            </w:r>
          </w:p>
        </w:tc>
        <w:tc>
          <w:tcPr>
            <w:tcW w:w="2050" w:type="dxa"/>
          </w:tcPr>
          <w:p w14:paraId="2B2686C1" w14:textId="786A4A39" w:rsidR="002827B9" w:rsidRPr="004F6095" w:rsidRDefault="002827B9" w:rsidP="002827B9">
            <w:pPr>
              <w:tabs>
                <w:tab w:val="left" w:pos="1080"/>
              </w:tabs>
              <w:rPr>
                <w:rFonts w:cstheme="minorHAnsi"/>
              </w:rPr>
            </w:pPr>
            <w:r w:rsidRPr="004F6095">
              <w:rPr>
                <w:rFonts w:cstheme="minorHAnsi"/>
              </w:rPr>
              <w:t>Kasersart University, Climate Change Coordination Division of ONEP, UNDP</w:t>
            </w:r>
          </w:p>
        </w:tc>
        <w:tc>
          <w:tcPr>
            <w:tcW w:w="1208" w:type="dxa"/>
          </w:tcPr>
          <w:p w14:paraId="000C59E2" w14:textId="77777777" w:rsidR="002827B9" w:rsidRPr="004F6095" w:rsidRDefault="002827B9" w:rsidP="002827B9">
            <w:pPr>
              <w:tabs>
                <w:tab w:val="left" w:pos="1080"/>
              </w:tabs>
              <w:rPr>
                <w:rFonts w:cstheme="minorHAnsi"/>
              </w:rPr>
            </w:pPr>
          </w:p>
        </w:tc>
        <w:tc>
          <w:tcPr>
            <w:tcW w:w="984" w:type="dxa"/>
          </w:tcPr>
          <w:p w14:paraId="74E0D651" w14:textId="25ADF514" w:rsidR="002827B9" w:rsidRPr="004F6095" w:rsidRDefault="000F7E71" w:rsidP="002827B9">
            <w:pPr>
              <w:tabs>
                <w:tab w:val="left" w:pos="1080"/>
              </w:tabs>
              <w:rPr>
                <w:rFonts w:cstheme="minorHAnsi"/>
              </w:rPr>
            </w:pPr>
            <w:r>
              <w:rPr>
                <w:rFonts w:cstheme="minorHAnsi"/>
              </w:rPr>
              <w:t>Initiated</w:t>
            </w:r>
          </w:p>
        </w:tc>
      </w:tr>
    </w:tbl>
    <w:p w14:paraId="64F97C9E" w14:textId="77777777" w:rsidR="00A97820" w:rsidRPr="004F6095" w:rsidRDefault="00A97820" w:rsidP="00A97820">
      <w:pPr>
        <w:tabs>
          <w:tab w:val="left" w:pos="1080"/>
        </w:tabs>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1"/>
        <w:gridCol w:w="50"/>
        <w:gridCol w:w="1863"/>
        <w:gridCol w:w="84"/>
        <w:gridCol w:w="1903"/>
        <w:gridCol w:w="112"/>
        <w:gridCol w:w="1342"/>
        <w:gridCol w:w="32"/>
        <w:gridCol w:w="969"/>
        <w:gridCol w:w="26"/>
      </w:tblGrid>
      <w:tr w:rsidR="00A97820" w:rsidRPr="004F6095" w14:paraId="64DB22E4" w14:textId="77777777" w:rsidTr="00D56CA6">
        <w:trPr>
          <w:gridAfter w:val="1"/>
          <w:wAfter w:w="26" w:type="dxa"/>
        </w:trPr>
        <w:tc>
          <w:tcPr>
            <w:tcW w:w="9216" w:type="dxa"/>
            <w:gridSpan w:val="9"/>
            <w:shd w:val="clear" w:color="auto" w:fill="F3F3F3"/>
          </w:tcPr>
          <w:p w14:paraId="1D607E54" w14:textId="77777777" w:rsidR="0002045C" w:rsidRPr="004F6095" w:rsidRDefault="00A97820" w:rsidP="00D56CA6">
            <w:pPr>
              <w:tabs>
                <w:tab w:val="left" w:pos="1080"/>
              </w:tabs>
              <w:rPr>
                <w:rFonts w:cstheme="minorHAnsi"/>
                <w:b/>
              </w:rPr>
            </w:pPr>
            <w:r w:rsidRPr="004F6095">
              <w:rPr>
                <w:rFonts w:cstheme="minorHAnsi"/>
              </w:rPr>
              <w:br w:type="page"/>
            </w:r>
            <w:r w:rsidRPr="004F6095">
              <w:rPr>
                <w:rFonts w:cstheme="minorHAnsi"/>
                <w:b/>
              </w:rPr>
              <w:t xml:space="preserve">Terminal Evaluation recommendation 3. </w:t>
            </w:r>
          </w:p>
          <w:p w14:paraId="6E476B9C" w14:textId="77777777" w:rsidR="00655B82" w:rsidRPr="004F6095" w:rsidRDefault="00655B82" w:rsidP="00655B82">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1: Completing, applying and socializing project deliverables </w:t>
            </w:r>
          </w:p>
          <w:p w14:paraId="34EDEE35" w14:textId="5F206332" w:rsidR="0002045C" w:rsidRPr="004F6095" w:rsidRDefault="00655B82" w:rsidP="0002045C">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A.3 </w:t>
            </w:r>
            <w:r w:rsidR="0002045C" w:rsidRPr="004F6095">
              <w:rPr>
                <w:rFonts w:asciiTheme="minorHAnsi" w:hAnsiTheme="minorHAnsi" w:cstheme="minorHAnsi"/>
                <w:sz w:val="22"/>
                <w:szCs w:val="22"/>
              </w:rPr>
              <w:t>Strengthen the sustainability of livelihoods and expand the network to Thale Noi and Songkhla Lake area</w:t>
            </w:r>
            <w:r w:rsidR="0002045C" w:rsidRPr="004F6095">
              <w:rPr>
                <w:rFonts w:asciiTheme="minorHAnsi" w:hAnsiTheme="minorHAnsi" w:cstheme="minorHAnsi"/>
                <w:b/>
                <w:bCs/>
                <w:sz w:val="22"/>
                <w:szCs w:val="22"/>
              </w:rPr>
              <w:t>s</w:t>
            </w:r>
            <w:r w:rsidR="0002045C" w:rsidRPr="004F6095">
              <w:rPr>
                <w:rFonts w:asciiTheme="minorHAnsi" w:hAnsiTheme="minorHAnsi" w:cstheme="minorHAnsi"/>
                <w:sz w:val="22"/>
                <w:szCs w:val="22"/>
              </w:rPr>
              <w:t>: Continued capacity development and networking support is needed to increase the environmental sustainability of livelihoods in KKL (krajood production, and also other livelihoods). In addition, stimulation of local involvement should be supported by TEI post-project through the new grant funding received via UNDP CO. TEI should also support expansion of the network to Thale Noi and Songkhla Lake areas through a consultative platform which links local people from the K</w:t>
            </w:r>
            <w:r w:rsidR="00635ABA" w:rsidRPr="004F6095">
              <w:rPr>
                <w:rFonts w:asciiTheme="minorHAnsi" w:hAnsiTheme="minorHAnsi" w:cstheme="minorHAnsi"/>
                <w:sz w:val="22"/>
                <w:szCs w:val="22"/>
              </w:rPr>
              <w:t>h</w:t>
            </w:r>
            <w:r w:rsidR="0002045C" w:rsidRPr="004F6095">
              <w:rPr>
                <w:rFonts w:asciiTheme="minorHAnsi" w:hAnsiTheme="minorHAnsi" w:cstheme="minorHAnsi"/>
                <w:sz w:val="22"/>
                <w:szCs w:val="22"/>
              </w:rPr>
              <w:t xml:space="preserve">uan Kreng area upstream, with Thale Noi (midstream), and Songkhla lake (downstream) to learn from the project’s work. Local people with different occupations apart from Krajood production should be invited to join. </w:t>
            </w:r>
          </w:p>
          <w:p w14:paraId="522EB4CE" w14:textId="2874A166" w:rsidR="00A97820" w:rsidRPr="004F6095" w:rsidRDefault="00A97820" w:rsidP="00D56CA6">
            <w:pPr>
              <w:tabs>
                <w:tab w:val="left" w:pos="1080"/>
              </w:tabs>
              <w:rPr>
                <w:rFonts w:cstheme="minorHAnsi"/>
                <w:b/>
                <w:lang w:val="en-GB"/>
              </w:rPr>
            </w:pPr>
          </w:p>
        </w:tc>
      </w:tr>
      <w:tr w:rsidR="00A97820" w:rsidRPr="004F6095" w14:paraId="50F11EA1" w14:textId="77777777" w:rsidTr="00D56CA6">
        <w:trPr>
          <w:gridAfter w:val="1"/>
          <w:wAfter w:w="26" w:type="dxa"/>
        </w:trPr>
        <w:tc>
          <w:tcPr>
            <w:tcW w:w="9216" w:type="dxa"/>
            <w:gridSpan w:val="9"/>
            <w:tcBorders>
              <w:top w:val="single" w:sz="4" w:space="0" w:color="auto"/>
              <w:bottom w:val="single" w:sz="6" w:space="0" w:color="auto"/>
            </w:tcBorders>
            <w:shd w:val="clear" w:color="auto" w:fill="F3F3F3"/>
          </w:tcPr>
          <w:p w14:paraId="45D67FC9" w14:textId="5B7113F0" w:rsidR="00A97820" w:rsidRPr="004F6095" w:rsidRDefault="00A97820" w:rsidP="00D56CA6">
            <w:pPr>
              <w:tabs>
                <w:tab w:val="left" w:pos="1080"/>
              </w:tabs>
              <w:rPr>
                <w:rFonts w:cstheme="minorHAnsi"/>
              </w:rPr>
            </w:pPr>
            <w:r w:rsidRPr="004F6095">
              <w:rPr>
                <w:rFonts w:cstheme="minorHAnsi"/>
                <w:b/>
              </w:rPr>
              <w:t>Management response</w:t>
            </w:r>
            <w:r w:rsidRPr="004F6095">
              <w:rPr>
                <w:rFonts w:cstheme="minorHAnsi"/>
              </w:rPr>
              <w:t xml:space="preserve">: </w:t>
            </w:r>
            <w:r w:rsidR="00841579" w:rsidRPr="004F6095">
              <w:rPr>
                <w:rFonts w:cstheme="minorHAnsi"/>
              </w:rPr>
              <w:t>Fully accept</w:t>
            </w:r>
            <w:r w:rsidR="00635ABA" w:rsidRPr="004F6095">
              <w:rPr>
                <w:rFonts w:cstheme="minorHAnsi"/>
              </w:rPr>
              <w:t>ed</w:t>
            </w:r>
            <w:r w:rsidR="00841579" w:rsidRPr="004F6095">
              <w:rPr>
                <w:rFonts w:cstheme="minorHAnsi"/>
              </w:rPr>
              <w:t xml:space="preserve">. </w:t>
            </w:r>
            <w:r w:rsidR="00635ABA" w:rsidRPr="004F6095">
              <w:rPr>
                <w:rFonts w:cstheme="minorHAnsi"/>
              </w:rPr>
              <w:t>With additional funding from</w:t>
            </w:r>
            <w:r w:rsidR="00841579" w:rsidRPr="004F6095">
              <w:rPr>
                <w:rFonts w:cstheme="minorHAnsi"/>
              </w:rPr>
              <w:t xml:space="preserve"> UNDP project</w:t>
            </w:r>
            <w:r w:rsidR="00635ABA" w:rsidRPr="004F6095">
              <w:rPr>
                <w:rFonts w:cstheme="minorHAnsi"/>
              </w:rPr>
              <w:t xml:space="preserve">, TEI has just received a Low Value Grant </w:t>
            </w:r>
            <w:r w:rsidR="00841579" w:rsidRPr="004F6095">
              <w:rPr>
                <w:rFonts w:cstheme="minorHAnsi"/>
              </w:rPr>
              <w:t xml:space="preserve"> to support social and economic recovery of the communit</w:t>
            </w:r>
            <w:r w:rsidR="00635ABA" w:rsidRPr="004F6095">
              <w:rPr>
                <w:rFonts w:cstheme="minorHAnsi"/>
              </w:rPr>
              <w:t>ies</w:t>
            </w:r>
            <w:r w:rsidR="00841579" w:rsidRPr="004F6095">
              <w:rPr>
                <w:rFonts w:cstheme="minorHAnsi"/>
              </w:rPr>
              <w:t xml:space="preserve"> </w:t>
            </w:r>
            <w:r w:rsidR="00635ABA" w:rsidRPr="004F6095">
              <w:rPr>
                <w:rFonts w:cstheme="minorHAnsi"/>
              </w:rPr>
              <w:t xml:space="preserve">in KKL which are </w:t>
            </w:r>
            <w:r w:rsidR="00841579" w:rsidRPr="004F6095">
              <w:rPr>
                <w:rFonts w:cstheme="minorHAnsi"/>
              </w:rPr>
              <w:t>affect</w:t>
            </w:r>
            <w:r w:rsidR="00635ABA" w:rsidRPr="004F6095">
              <w:rPr>
                <w:rFonts w:cstheme="minorHAnsi"/>
              </w:rPr>
              <w:t xml:space="preserve">ed by </w:t>
            </w:r>
            <w:r w:rsidR="00841579" w:rsidRPr="004F6095">
              <w:rPr>
                <w:rFonts w:cstheme="minorHAnsi"/>
              </w:rPr>
              <w:t xml:space="preserve">COVID19.   </w:t>
            </w:r>
          </w:p>
        </w:tc>
      </w:tr>
      <w:tr w:rsidR="00A97820" w:rsidRPr="004F6095" w14:paraId="1F57FB38" w14:textId="77777777" w:rsidTr="00D56CA6">
        <w:trPr>
          <w:gridAfter w:val="1"/>
          <w:wAfter w:w="26" w:type="dxa"/>
          <w:trHeight w:val="135"/>
        </w:trPr>
        <w:tc>
          <w:tcPr>
            <w:tcW w:w="2965" w:type="dxa"/>
            <w:gridSpan w:val="2"/>
            <w:vMerge w:val="restart"/>
            <w:tcBorders>
              <w:top w:val="single" w:sz="6" w:space="0" w:color="auto"/>
              <w:bottom w:val="single" w:sz="6" w:space="0" w:color="auto"/>
              <w:right w:val="single" w:sz="6" w:space="0" w:color="auto"/>
            </w:tcBorders>
            <w:shd w:val="clear" w:color="auto" w:fill="F3F3F3"/>
          </w:tcPr>
          <w:p w14:paraId="4D30F3CF" w14:textId="77777777" w:rsidR="00A97820" w:rsidRPr="004F6095" w:rsidRDefault="00A97820" w:rsidP="00D56CA6">
            <w:pPr>
              <w:tabs>
                <w:tab w:val="left" w:pos="1080"/>
              </w:tabs>
              <w:jc w:val="center"/>
              <w:rPr>
                <w:rFonts w:cstheme="minorHAnsi"/>
                <w:b/>
              </w:rPr>
            </w:pPr>
            <w:r w:rsidRPr="004F6095">
              <w:rPr>
                <w:rFonts w:cstheme="minorHAnsi"/>
                <w:b/>
              </w:rPr>
              <w:t>Key action(s)</w:t>
            </w:r>
          </w:p>
        </w:tc>
        <w:tc>
          <w:tcPr>
            <w:tcW w:w="2002"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6A06268F" w14:textId="77777777" w:rsidR="00A97820" w:rsidRPr="004F6095" w:rsidRDefault="00A97820" w:rsidP="00D56CA6">
            <w:pPr>
              <w:tabs>
                <w:tab w:val="left" w:pos="1080"/>
              </w:tabs>
              <w:jc w:val="center"/>
              <w:rPr>
                <w:rFonts w:cstheme="minorHAnsi"/>
                <w:b/>
              </w:rPr>
            </w:pPr>
            <w:r w:rsidRPr="004F6095">
              <w:rPr>
                <w:rFonts w:cstheme="minorHAnsi"/>
                <w:b/>
              </w:rPr>
              <w:t>Time frame</w:t>
            </w:r>
          </w:p>
        </w:tc>
        <w:tc>
          <w:tcPr>
            <w:tcW w:w="2044"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09023E67" w14:textId="77777777" w:rsidR="00A97820" w:rsidRPr="004F6095" w:rsidRDefault="00A97820" w:rsidP="00D56CA6">
            <w:pPr>
              <w:tabs>
                <w:tab w:val="left" w:pos="1080"/>
              </w:tabs>
              <w:jc w:val="center"/>
              <w:rPr>
                <w:rFonts w:cstheme="minorHAnsi"/>
                <w:b/>
              </w:rPr>
            </w:pPr>
            <w:r w:rsidRPr="004F6095">
              <w:rPr>
                <w:rFonts w:cstheme="minorHAnsi"/>
                <w:b/>
              </w:rPr>
              <w:t>Responsible unit(s)</w:t>
            </w:r>
          </w:p>
        </w:tc>
        <w:tc>
          <w:tcPr>
            <w:tcW w:w="2205" w:type="dxa"/>
            <w:gridSpan w:val="3"/>
            <w:tcBorders>
              <w:top w:val="single" w:sz="6" w:space="0" w:color="auto"/>
              <w:left w:val="single" w:sz="6" w:space="0" w:color="auto"/>
              <w:bottom w:val="single" w:sz="6" w:space="0" w:color="auto"/>
            </w:tcBorders>
            <w:shd w:val="clear" w:color="auto" w:fill="F3F3F3"/>
          </w:tcPr>
          <w:p w14:paraId="3620B1F6" w14:textId="77777777" w:rsidR="00A97820" w:rsidRPr="004F6095" w:rsidRDefault="00A97820" w:rsidP="00D56CA6">
            <w:pPr>
              <w:tabs>
                <w:tab w:val="left" w:pos="1080"/>
              </w:tabs>
              <w:jc w:val="center"/>
              <w:rPr>
                <w:rFonts w:cstheme="minorHAnsi"/>
                <w:b/>
              </w:rPr>
            </w:pPr>
            <w:r w:rsidRPr="004F6095">
              <w:rPr>
                <w:rFonts w:cstheme="minorHAnsi"/>
                <w:b/>
              </w:rPr>
              <w:t>Tracking</w:t>
            </w:r>
          </w:p>
        </w:tc>
      </w:tr>
      <w:tr w:rsidR="00A97820" w:rsidRPr="004F6095" w14:paraId="78A56EE2" w14:textId="77777777" w:rsidTr="00D56CA6">
        <w:trPr>
          <w:gridAfter w:val="1"/>
          <w:wAfter w:w="26" w:type="dxa"/>
          <w:trHeight w:val="135"/>
        </w:trPr>
        <w:tc>
          <w:tcPr>
            <w:tcW w:w="2965" w:type="dxa"/>
            <w:gridSpan w:val="2"/>
            <w:vMerge/>
            <w:tcBorders>
              <w:top w:val="single" w:sz="6" w:space="0" w:color="auto"/>
              <w:bottom w:val="single" w:sz="6" w:space="0" w:color="auto"/>
              <w:right w:val="single" w:sz="6" w:space="0" w:color="auto"/>
            </w:tcBorders>
            <w:shd w:val="clear" w:color="auto" w:fill="F3F3F3"/>
          </w:tcPr>
          <w:p w14:paraId="0D4D4673" w14:textId="77777777" w:rsidR="00A97820" w:rsidRPr="004F6095" w:rsidRDefault="00A97820" w:rsidP="00D56CA6">
            <w:pPr>
              <w:tabs>
                <w:tab w:val="left" w:pos="1080"/>
              </w:tabs>
              <w:rPr>
                <w:rFonts w:cstheme="minorHAnsi"/>
              </w:rPr>
            </w:pPr>
          </w:p>
        </w:tc>
        <w:tc>
          <w:tcPr>
            <w:tcW w:w="2002" w:type="dxa"/>
            <w:gridSpan w:val="2"/>
            <w:vMerge/>
            <w:tcBorders>
              <w:top w:val="single" w:sz="6" w:space="0" w:color="auto"/>
              <w:left w:val="single" w:sz="6" w:space="0" w:color="auto"/>
              <w:bottom w:val="single" w:sz="6" w:space="0" w:color="auto"/>
              <w:right w:val="single" w:sz="6" w:space="0" w:color="auto"/>
            </w:tcBorders>
            <w:shd w:val="clear" w:color="auto" w:fill="F3F3F3"/>
          </w:tcPr>
          <w:p w14:paraId="6894589B" w14:textId="77777777" w:rsidR="00A97820" w:rsidRPr="004F6095" w:rsidRDefault="00A97820" w:rsidP="00D56CA6">
            <w:pPr>
              <w:tabs>
                <w:tab w:val="left" w:pos="1080"/>
              </w:tabs>
              <w:rPr>
                <w:rFonts w:cstheme="minorHAnsi"/>
                <w:b/>
              </w:rP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F3F3F3"/>
          </w:tcPr>
          <w:p w14:paraId="1E18204E" w14:textId="77777777" w:rsidR="00A97820" w:rsidRPr="004F6095" w:rsidRDefault="00A97820" w:rsidP="00D56CA6">
            <w:pPr>
              <w:tabs>
                <w:tab w:val="left" w:pos="1080"/>
              </w:tabs>
              <w:rPr>
                <w:rFonts w:cstheme="minorHAnsi"/>
                <w:b/>
              </w:rPr>
            </w:pPr>
          </w:p>
        </w:tc>
        <w:tc>
          <w:tcPr>
            <w:tcW w:w="1207" w:type="dxa"/>
            <w:tcBorders>
              <w:top w:val="single" w:sz="6" w:space="0" w:color="auto"/>
              <w:left w:val="single" w:sz="6" w:space="0" w:color="auto"/>
              <w:bottom w:val="single" w:sz="6" w:space="0" w:color="auto"/>
              <w:right w:val="single" w:sz="6" w:space="0" w:color="auto"/>
            </w:tcBorders>
          </w:tcPr>
          <w:p w14:paraId="1E9C1CB1" w14:textId="77777777" w:rsidR="00A97820" w:rsidRPr="004F6095" w:rsidRDefault="00A97820" w:rsidP="00D56CA6">
            <w:pPr>
              <w:tabs>
                <w:tab w:val="left" w:pos="1080"/>
              </w:tabs>
              <w:jc w:val="center"/>
              <w:rPr>
                <w:rFonts w:cstheme="minorHAnsi"/>
                <w:b/>
              </w:rPr>
            </w:pPr>
            <w:r w:rsidRPr="004F6095">
              <w:rPr>
                <w:rFonts w:cstheme="minorHAnsi"/>
                <w:b/>
              </w:rPr>
              <w:t>Comments</w:t>
            </w:r>
          </w:p>
        </w:tc>
        <w:tc>
          <w:tcPr>
            <w:tcW w:w="998" w:type="dxa"/>
            <w:gridSpan w:val="2"/>
            <w:tcBorders>
              <w:top w:val="single" w:sz="6" w:space="0" w:color="auto"/>
              <w:left w:val="single" w:sz="6" w:space="0" w:color="auto"/>
              <w:bottom w:val="single" w:sz="6" w:space="0" w:color="auto"/>
            </w:tcBorders>
          </w:tcPr>
          <w:p w14:paraId="6605694C" w14:textId="77777777" w:rsidR="00A97820" w:rsidRPr="004F6095" w:rsidRDefault="00A97820" w:rsidP="00D56CA6">
            <w:pPr>
              <w:tabs>
                <w:tab w:val="left" w:pos="1080"/>
              </w:tabs>
              <w:jc w:val="center"/>
              <w:rPr>
                <w:rFonts w:cstheme="minorHAnsi"/>
                <w:b/>
              </w:rPr>
            </w:pPr>
            <w:r w:rsidRPr="004F6095">
              <w:rPr>
                <w:rFonts w:cstheme="minorHAnsi"/>
                <w:b/>
              </w:rPr>
              <w:t>Status</w:t>
            </w:r>
          </w:p>
        </w:tc>
      </w:tr>
      <w:tr w:rsidR="00A97820" w:rsidRPr="004F6095" w14:paraId="7076FF51" w14:textId="77777777" w:rsidTr="00D56CA6">
        <w:trPr>
          <w:gridAfter w:val="1"/>
          <w:wAfter w:w="26" w:type="dxa"/>
        </w:trPr>
        <w:tc>
          <w:tcPr>
            <w:tcW w:w="2965" w:type="dxa"/>
            <w:gridSpan w:val="2"/>
            <w:tcBorders>
              <w:top w:val="single" w:sz="6" w:space="0" w:color="auto"/>
              <w:bottom w:val="single" w:sz="6" w:space="0" w:color="auto"/>
              <w:right w:val="single" w:sz="6" w:space="0" w:color="auto"/>
            </w:tcBorders>
          </w:tcPr>
          <w:p w14:paraId="7D9BD1FA" w14:textId="6776A613" w:rsidR="00A97820" w:rsidRPr="004F6095" w:rsidRDefault="00841579" w:rsidP="00D56CA6">
            <w:pPr>
              <w:tabs>
                <w:tab w:val="left" w:pos="1080"/>
              </w:tabs>
              <w:rPr>
                <w:rFonts w:cstheme="minorHAnsi"/>
              </w:rPr>
            </w:pPr>
            <w:r w:rsidRPr="004F6095">
              <w:rPr>
                <w:rFonts w:cstheme="minorHAnsi"/>
              </w:rPr>
              <w:t xml:space="preserve">Monitor work progress from TEI funded by the JSB’s Low Value Grant. </w:t>
            </w:r>
          </w:p>
        </w:tc>
        <w:tc>
          <w:tcPr>
            <w:tcW w:w="2002" w:type="dxa"/>
            <w:gridSpan w:val="2"/>
            <w:tcBorders>
              <w:top w:val="single" w:sz="6" w:space="0" w:color="auto"/>
              <w:left w:val="single" w:sz="6" w:space="0" w:color="auto"/>
              <w:bottom w:val="single" w:sz="6" w:space="0" w:color="auto"/>
              <w:right w:val="single" w:sz="6" w:space="0" w:color="auto"/>
            </w:tcBorders>
          </w:tcPr>
          <w:p w14:paraId="29CFCECC" w14:textId="77777777" w:rsidR="0002045C" w:rsidRPr="004F6095" w:rsidRDefault="0002045C" w:rsidP="0002045C">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April-Dec 2021; longer if funding available </w:t>
            </w:r>
          </w:p>
          <w:p w14:paraId="5DD36A04" w14:textId="77777777" w:rsidR="00A97820" w:rsidRPr="004F6095" w:rsidRDefault="00A97820" w:rsidP="00D56CA6">
            <w:pPr>
              <w:tabs>
                <w:tab w:val="left" w:pos="1080"/>
              </w:tabs>
              <w:rPr>
                <w:rFonts w:cstheme="minorHAnsi"/>
                <w:lang w:val="en-GB"/>
              </w:rPr>
            </w:pPr>
          </w:p>
        </w:tc>
        <w:tc>
          <w:tcPr>
            <w:tcW w:w="2044" w:type="dxa"/>
            <w:gridSpan w:val="2"/>
            <w:tcBorders>
              <w:top w:val="single" w:sz="6" w:space="0" w:color="auto"/>
              <w:left w:val="single" w:sz="6" w:space="0" w:color="auto"/>
              <w:bottom w:val="single" w:sz="6" w:space="0" w:color="auto"/>
              <w:right w:val="single" w:sz="6" w:space="0" w:color="auto"/>
            </w:tcBorders>
          </w:tcPr>
          <w:p w14:paraId="2E108031" w14:textId="77777777" w:rsidR="0002045C" w:rsidRPr="004F6095" w:rsidRDefault="0002045C" w:rsidP="0002045C">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UNDP CO/TEI </w:t>
            </w:r>
          </w:p>
          <w:p w14:paraId="12970195" w14:textId="77777777" w:rsidR="00A97820" w:rsidRPr="004F6095" w:rsidRDefault="00A97820" w:rsidP="00D56CA6">
            <w:pPr>
              <w:tabs>
                <w:tab w:val="left" w:pos="1080"/>
              </w:tabs>
              <w:rPr>
                <w:rFonts w:cstheme="minorHAnsi"/>
              </w:rPr>
            </w:pPr>
          </w:p>
        </w:tc>
        <w:tc>
          <w:tcPr>
            <w:tcW w:w="1207" w:type="dxa"/>
            <w:tcBorders>
              <w:top w:val="single" w:sz="6" w:space="0" w:color="auto"/>
              <w:left w:val="single" w:sz="6" w:space="0" w:color="auto"/>
              <w:bottom w:val="single" w:sz="6" w:space="0" w:color="auto"/>
              <w:right w:val="single" w:sz="6" w:space="0" w:color="auto"/>
            </w:tcBorders>
          </w:tcPr>
          <w:p w14:paraId="46247AB5" w14:textId="77777777" w:rsidR="00A97820" w:rsidRPr="004F6095" w:rsidRDefault="00A97820" w:rsidP="00D56CA6">
            <w:pPr>
              <w:tabs>
                <w:tab w:val="left" w:pos="1080"/>
              </w:tabs>
              <w:rPr>
                <w:rFonts w:cstheme="minorHAnsi"/>
              </w:rPr>
            </w:pPr>
          </w:p>
        </w:tc>
        <w:tc>
          <w:tcPr>
            <w:tcW w:w="998" w:type="dxa"/>
            <w:gridSpan w:val="2"/>
            <w:tcBorders>
              <w:top w:val="single" w:sz="6" w:space="0" w:color="auto"/>
              <w:left w:val="single" w:sz="6" w:space="0" w:color="auto"/>
              <w:bottom w:val="single" w:sz="6" w:space="0" w:color="auto"/>
            </w:tcBorders>
          </w:tcPr>
          <w:p w14:paraId="008459D5" w14:textId="4175A1A5" w:rsidR="00A97820" w:rsidRPr="004F6095" w:rsidRDefault="00635ABA" w:rsidP="00D56CA6">
            <w:pPr>
              <w:tabs>
                <w:tab w:val="left" w:pos="1080"/>
              </w:tabs>
              <w:rPr>
                <w:rFonts w:cstheme="minorHAnsi"/>
              </w:rPr>
            </w:pPr>
            <w:r w:rsidRPr="004F6095">
              <w:rPr>
                <w:rFonts w:cstheme="minorHAnsi"/>
              </w:rPr>
              <w:t>Initiated</w:t>
            </w:r>
          </w:p>
        </w:tc>
      </w:tr>
      <w:tr w:rsidR="00172B99" w:rsidRPr="004F6095" w14:paraId="2ECDE37F" w14:textId="77777777" w:rsidTr="00F448FA">
        <w:tc>
          <w:tcPr>
            <w:tcW w:w="9242" w:type="dxa"/>
            <w:gridSpan w:val="10"/>
            <w:shd w:val="clear" w:color="auto" w:fill="F3F3F3"/>
          </w:tcPr>
          <w:p w14:paraId="33CA15CF" w14:textId="77777777" w:rsidR="00655B82" w:rsidRPr="004F6095" w:rsidRDefault="00172B99" w:rsidP="00D56CA6">
            <w:pPr>
              <w:tabs>
                <w:tab w:val="left" w:pos="1080"/>
              </w:tabs>
              <w:rPr>
                <w:rFonts w:cstheme="minorHAnsi"/>
                <w:b/>
              </w:rPr>
            </w:pPr>
            <w:r w:rsidRPr="004F6095">
              <w:rPr>
                <w:rFonts w:cstheme="minorHAnsi"/>
              </w:rPr>
              <w:br w:type="page"/>
            </w:r>
            <w:r w:rsidRPr="004F6095">
              <w:rPr>
                <w:rFonts w:cstheme="minorHAnsi"/>
                <w:b/>
              </w:rPr>
              <w:t xml:space="preserve">Terminal Evaluation recommendation 4. </w:t>
            </w:r>
            <w:r w:rsidR="00655B82" w:rsidRPr="004F6095">
              <w:rPr>
                <w:rFonts w:cstheme="minorHAnsi"/>
                <w:b/>
              </w:rPr>
              <w:t xml:space="preserve"> </w:t>
            </w:r>
          </w:p>
          <w:p w14:paraId="6AD289A3" w14:textId="77777777" w:rsidR="00655B82" w:rsidRPr="004F6095" w:rsidRDefault="00655B82" w:rsidP="00655B82">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1: Completing, applying and socializing project deliverables </w:t>
            </w:r>
          </w:p>
          <w:p w14:paraId="0945CAC8" w14:textId="77777777" w:rsidR="00655B82" w:rsidRPr="004F6095" w:rsidRDefault="00655B82" w:rsidP="00655B82">
            <w:pPr>
              <w:pStyle w:val="Default"/>
              <w:rPr>
                <w:rFonts w:asciiTheme="minorHAnsi" w:hAnsiTheme="minorHAnsi" w:cstheme="minorHAnsi"/>
                <w:b/>
                <w:bCs/>
                <w:sz w:val="22"/>
                <w:szCs w:val="22"/>
              </w:rPr>
            </w:pPr>
          </w:p>
          <w:p w14:paraId="1AF43DD4" w14:textId="5F0A5106" w:rsidR="00655B82" w:rsidRPr="004F6095" w:rsidRDefault="00655B82" w:rsidP="00655B82">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A.4 </w:t>
            </w:r>
            <w:r w:rsidRPr="004F6095">
              <w:rPr>
                <w:rFonts w:asciiTheme="minorHAnsi" w:hAnsiTheme="minorHAnsi" w:cstheme="minorHAnsi"/>
                <w:sz w:val="22"/>
                <w:szCs w:val="22"/>
              </w:rPr>
              <w:t xml:space="preserve">Link ongoing peat swamp management activities in KKL area to the GCF readiness support project. A UNDP/ONEP GCF project has been developed that includes NST and Songkhla, providing the opportunity to follow up on climate change adaptation measures in the KKL. </w:t>
            </w:r>
          </w:p>
          <w:p w14:paraId="0E4CAE78" w14:textId="62F94B10" w:rsidR="00655B82" w:rsidRPr="004F6095" w:rsidRDefault="00655B82" w:rsidP="00D56CA6">
            <w:pPr>
              <w:tabs>
                <w:tab w:val="left" w:pos="1080"/>
              </w:tabs>
              <w:rPr>
                <w:rFonts w:cstheme="minorHAnsi"/>
                <w:b/>
                <w:lang w:val="en-GB"/>
              </w:rPr>
            </w:pPr>
          </w:p>
        </w:tc>
      </w:tr>
      <w:tr w:rsidR="00172B99" w:rsidRPr="004F6095" w14:paraId="4E43024D" w14:textId="77777777" w:rsidTr="00F448FA">
        <w:tc>
          <w:tcPr>
            <w:tcW w:w="9242" w:type="dxa"/>
            <w:gridSpan w:val="10"/>
            <w:tcBorders>
              <w:top w:val="single" w:sz="4" w:space="0" w:color="auto"/>
              <w:bottom w:val="single" w:sz="6" w:space="0" w:color="auto"/>
            </w:tcBorders>
            <w:shd w:val="clear" w:color="auto" w:fill="F3F3F3"/>
          </w:tcPr>
          <w:p w14:paraId="2B9D57EE" w14:textId="1C16B927" w:rsidR="00172B99" w:rsidRPr="004F6095" w:rsidRDefault="00172B99" w:rsidP="00D56CA6">
            <w:pPr>
              <w:tabs>
                <w:tab w:val="left" w:pos="1080"/>
              </w:tabs>
              <w:rPr>
                <w:rFonts w:cstheme="minorHAnsi"/>
              </w:rPr>
            </w:pPr>
            <w:r w:rsidRPr="004F6095">
              <w:rPr>
                <w:rFonts w:cstheme="minorHAnsi"/>
                <w:b/>
              </w:rPr>
              <w:t>Management response</w:t>
            </w:r>
            <w:r w:rsidRPr="004F6095">
              <w:rPr>
                <w:rFonts w:cstheme="minorHAnsi"/>
              </w:rPr>
              <w:t xml:space="preserve">: </w:t>
            </w:r>
            <w:r w:rsidR="00655B82" w:rsidRPr="004F6095">
              <w:rPr>
                <w:rFonts w:cstheme="minorHAnsi"/>
              </w:rPr>
              <w:t>Fully Accept</w:t>
            </w:r>
            <w:r w:rsidR="00635ABA" w:rsidRPr="004F6095">
              <w:rPr>
                <w:rFonts w:cstheme="minorHAnsi"/>
              </w:rPr>
              <w:t>ed</w:t>
            </w:r>
            <w:r w:rsidR="00FE695A" w:rsidRPr="004F6095">
              <w:rPr>
                <w:rFonts w:cstheme="minorHAnsi"/>
              </w:rPr>
              <w:t xml:space="preserve">. </w:t>
            </w:r>
            <w:r w:rsidR="00284EB9" w:rsidRPr="004F6095">
              <w:rPr>
                <w:rFonts w:cstheme="minorHAnsi"/>
              </w:rPr>
              <w:t>Peat Swamp Forest restoration and projection is a nature</w:t>
            </w:r>
            <w:r w:rsidR="00635ABA" w:rsidRPr="004F6095">
              <w:rPr>
                <w:rFonts w:cstheme="minorHAnsi"/>
              </w:rPr>
              <w:t>-</w:t>
            </w:r>
            <w:r w:rsidR="00284EB9" w:rsidRPr="004F6095">
              <w:rPr>
                <w:rFonts w:cstheme="minorHAnsi"/>
              </w:rPr>
              <w:t xml:space="preserve">based solution for climate actions. </w:t>
            </w:r>
          </w:p>
        </w:tc>
      </w:tr>
      <w:tr w:rsidR="00172B99" w:rsidRPr="004F6095" w14:paraId="59CB0A26" w14:textId="77777777" w:rsidTr="00F448FA">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7BBC30B1" w14:textId="77777777" w:rsidR="00172B99" w:rsidRPr="004F6095" w:rsidRDefault="00172B99" w:rsidP="00D56CA6">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7DA4E5A4" w14:textId="77777777" w:rsidR="00172B99" w:rsidRPr="004F6095" w:rsidRDefault="00172B99" w:rsidP="00D56CA6">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3A0AC1C9" w14:textId="77777777" w:rsidR="00172B99" w:rsidRPr="004F6095" w:rsidRDefault="00172B99" w:rsidP="00D56CA6">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49B90393" w14:textId="77777777" w:rsidR="00172B99" w:rsidRPr="004F6095" w:rsidRDefault="00172B99" w:rsidP="00D56CA6">
            <w:pPr>
              <w:tabs>
                <w:tab w:val="left" w:pos="1080"/>
              </w:tabs>
              <w:jc w:val="center"/>
              <w:rPr>
                <w:rFonts w:cstheme="minorHAnsi"/>
                <w:b/>
              </w:rPr>
            </w:pPr>
            <w:r w:rsidRPr="004F6095">
              <w:rPr>
                <w:rFonts w:cstheme="minorHAnsi"/>
                <w:b/>
              </w:rPr>
              <w:t>Tracking</w:t>
            </w:r>
          </w:p>
        </w:tc>
      </w:tr>
      <w:tr w:rsidR="00172B99" w:rsidRPr="004F6095" w14:paraId="22ED0B38" w14:textId="77777777" w:rsidTr="00F448FA">
        <w:trPr>
          <w:trHeight w:val="135"/>
        </w:trPr>
        <w:tc>
          <w:tcPr>
            <w:tcW w:w="2912" w:type="dxa"/>
            <w:vMerge/>
            <w:tcBorders>
              <w:top w:val="single" w:sz="6" w:space="0" w:color="auto"/>
              <w:bottom w:val="single" w:sz="6" w:space="0" w:color="auto"/>
              <w:right w:val="single" w:sz="6" w:space="0" w:color="auto"/>
            </w:tcBorders>
            <w:shd w:val="clear" w:color="auto" w:fill="F3F3F3"/>
          </w:tcPr>
          <w:p w14:paraId="5D513549" w14:textId="77777777" w:rsidR="00172B99" w:rsidRPr="004F6095" w:rsidRDefault="00172B99" w:rsidP="00D56CA6">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0F76176D" w14:textId="77777777" w:rsidR="00172B99" w:rsidRPr="004F6095" w:rsidRDefault="00172B99" w:rsidP="00D56CA6">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406D6546" w14:textId="77777777" w:rsidR="00172B99" w:rsidRPr="004F6095" w:rsidRDefault="00172B99" w:rsidP="00D56CA6">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3FD2FC81" w14:textId="77777777" w:rsidR="00172B99" w:rsidRPr="004F6095" w:rsidRDefault="00172B99" w:rsidP="00D56CA6">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1C2DC50B" w14:textId="77777777" w:rsidR="00172B99" w:rsidRPr="004F6095" w:rsidRDefault="00172B99" w:rsidP="00D56CA6">
            <w:pPr>
              <w:tabs>
                <w:tab w:val="left" w:pos="1080"/>
              </w:tabs>
              <w:jc w:val="center"/>
              <w:rPr>
                <w:rFonts w:cstheme="minorHAnsi"/>
                <w:b/>
              </w:rPr>
            </w:pPr>
            <w:r w:rsidRPr="004F6095">
              <w:rPr>
                <w:rFonts w:cstheme="minorHAnsi"/>
                <w:b/>
              </w:rPr>
              <w:t>Status</w:t>
            </w:r>
          </w:p>
        </w:tc>
      </w:tr>
      <w:tr w:rsidR="00172B99" w:rsidRPr="004F6095" w14:paraId="7159E1F6" w14:textId="77777777" w:rsidTr="00F448FA">
        <w:tc>
          <w:tcPr>
            <w:tcW w:w="2912" w:type="dxa"/>
            <w:tcBorders>
              <w:top w:val="single" w:sz="6" w:space="0" w:color="auto"/>
              <w:bottom w:val="single" w:sz="6" w:space="0" w:color="auto"/>
              <w:right w:val="single" w:sz="6" w:space="0" w:color="auto"/>
            </w:tcBorders>
          </w:tcPr>
          <w:p w14:paraId="7AD41D1C" w14:textId="2EC9D447" w:rsidR="00172B99" w:rsidRPr="004F6095" w:rsidRDefault="00172B99" w:rsidP="00D56CA6">
            <w:pPr>
              <w:tabs>
                <w:tab w:val="left" w:pos="1080"/>
              </w:tabs>
              <w:rPr>
                <w:rFonts w:cstheme="minorHAnsi"/>
              </w:rPr>
            </w:pPr>
            <w:r w:rsidRPr="004F6095">
              <w:rPr>
                <w:rFonts w:cstheme="minorHAnsi"/>
              </w:rPr>
              <w:t xml:space="preserve">4.1 </w:t>
            </w:r>
            <w:r w:rsidR="00655B82" w:rsidRPr="004F6095">
              <w:rPr>
                <w:rFonts w:cstheme="minorHAnsi"/>
              </w:rPr>
              <w:t>UNDP GCF project team will include peat swamp management as one of the nature</w:t>
            </w:r>
            <w:r w:rsidR="00635ABA" w:rsidRPr="004F6095">
              <w:rPr>
                <w:rFonts w:cstheme="minorHAnsi"/>
              </w:rPr>
              <w:t>-</w:t>
            </w:r>
            <w:r w:rsidR="00655B82" w:rsidRPr="004F6095">
              <w:rPr>
                <w:rFonts w:cstheme="minorHAnsi"/>
              </w:rPr>
              <w:t>based solution</w:t>
            </w:r>
            <w:r w:rsidR="00635ABA" w:rsidRPr="004F6095">
              <w:rPr>
                <w:rFonts w:cstheme="minorHAnsi"/>
              </w:rPr>
              <w:t>s</w:t>
            </w:r>
            <w:r w:rsidR="00655B82" w:rsidRPr="004F6095">
              <w:rPr>
                <w:rFonts w:cstheme="minorHAnsi"/>
              </w:rPr>
              <w:t xml:space="preserve"> for developing a NAP measure. </w:t>
            </w:r>
          </w:p>
        </w:tc>
        <w:tc>
          <w:tcPr>
            <w:tcW w:w="1968" w:type="dxa"/>
            <w:gridSpan w:val="2"/>
            <w:tcBorders>
              <w:top w:val="single" w:sz="6" w:space="0" w:color="auto"/>
              <w:left w:val="single" w:sz="6" w:space="0" w:color="auto"/>
              <w:bottom w:val="single" w:sz="6" w:space="0" w:color="auto"/>
              <w:right w:val="single" w:sz="6" w:space="0" w:color="auto"/>
            </w:tcBorders>
          </w:tcPr>
          <w:p w14:paraId="28CAF88D" w14:textId="77777777" w:rsidR="00655B82" w:rsidRPr="004F6095" w:rsidRDefault="00655B82" w:rsidP="00655B82">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April-Dec 2021 / longer if GCF supports </w:t>
            </w:r>
          </w:p>
          <w:p w14:paraId="366DBD19" w14:textId="77777777" w:rsidR="00172B99" w:rsidRPr="004F6095" w:rsidRDefault="00172B99" w:rsidP="00D56CA6">
            <w:pPr>
              <w:tabs>
                <w:tab w:val="left" w:pos="1080"/>
              </w:tabs>
              <w:rPr>
                <w:rFonts w:cstheme="minorHAnsi"/>
                <w:lang w:val="en-GB"/>
              </w:rPr>
            </w:pPr>
          </w:p>
        </w:tc>
        <w:tc>
          <w:tcPr>
            <w:tcW w:w="2018" w:type="dxa"/>
            <w:gridSpan w:val="2"/>
            <w:tcBorders>
              <w:top w:val="single" w:sz="6" w:space="0" w:color="auto"/>
              <w:left w:val="single" w:sz="6" w:space="0" w:color="auto"/>
              <w:bottom w:val="single" w:sz="6" w:space="0" w:color="auto"/>
              <w:right w:val="single" w:sz="6" w:space="0" w:color="auto"/>
            </w:tcBorders>
          </w:tcPr>
          <w:p w14:paraId="2AFC40B9" w14:textId="12209B98" w:rsidR="00172B99" w:rsidRPr="004F6095" w:rsidRDefault="00284EB9" w:rsidP="00655B82">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Climate Change Coordination Division, </w:t>
            </w:r>
            <w:r w:rsidR="00655B82" w:rsidRPr="004F6095">
              <w:rPr>
                <w:rFonts w:asciiTheme="minorHAnsi" w:hAnsiTheme="minorHAnsi" w:cstheme="minorHAnsi"/>
                <w:sz w:val="22"/>
                <w:szCs w:val="22"/>
              </w:rPr>
              <w:t>ONEP/UNDP</w:t>
            </w:r>
          </w:p>
        </w:tc>
        <w:tc>
          <w:tcPr>
            <w:tcW w:w="1349" w:type="dxa"/>
            <w:gridSpan w:val="3"/>
            <w:tcBorders>
              <w:top w:val="single" w:sz="6" w:space="0" w:color="auto"/>
              <w:left w:val="single" w:sz="6" w:space="0" w:color="auto"/>
              <w:bottom w:val="single" w:sz="6" w:space="0" w:color="auto"/>
              <w:right w:val="single" w:sz="6" w:space="0" w:color="auto"/>
            </w:tcBorders>
          </w:tcPr>
          <w:p w14:paraId="2A4BCE7A" w14:textId="6A57D994" w:rsidR="00172B99" w:rsidRPr="004F6095" w:rsidRDefault="00655B82" w:rsidP="00D56CA6">
            <w:pPr>
              <w:tabs>
                <w:tab w:val="left" w:pos="1080"/>
              </w:tabs>
              <w:rPr>
                <w:rFonts w:cstheme="minorHAnsi"/>
              </w:rPr>
            </w:pPr>
            <w:r w:rsidRPr="004F6095">
              <w:rPr>
                <w:rFonts w:cstheme="minorHAnsi"/>
              </w:rPr>
              <w:t xml:space="preserve">Climate Change Coordination  Department, ONEP is the implementing partner of the GCF NAP Marine project.  </w:t>
            </w:r>
          </w:p>
        </w:tc>
        <w:tc>
          <w:tcPr>
            <w:tcW w:w="995" w:type="dxa"/>
            <w:gridSpan w:val="2"/>
            <w:tcBorders>
              <w:top w:val="single" w:sz="6" w:space="0" w:color="auto"/>
              <w:left w:val="single" w:sz="6" w:space="0" w:color="auto"/>
              <w:bottom w:val="single" w:sz="6" w:space="0" w:color="auto"/>
            </w:tcBorders>
          </w:tcPr>
          <w:p w14:paraId="393CECEC" w14:textId="74BDC272" w:rsidR="00172B99" w:rsidRPr="004F6095" w:rsidRDefault="00655B82" w:rsidP="00D56CA6">
            <w:pPr>
              <w:tabs>
                <w:tab w:val="left" w:pos="1080"/>
              </w:tabs>
              <w:rPr>
                <w:rFonts w:cstheme="minorHAnsi"/>
              </w:rPr>
            </w:pPr>
            <w:r w:rsidRPr="004F6095">
              <w:rPr>
                <w:rFonts w:cstheme="minorHAnsi"/>
              </w:rPr>
              <w:t>Initiated</w:t>
            </w:r>
          </w:p>
        </w:tc>
      </w:tr>
      <w:tr w:rsidR="00284EB9" w:rsidRPr="004F6095" w14:paraId="0D79948C" w14:textId="77777777" w:rsidTr="00F448FA">
        <w:tc>
          <w:tcPr>
            <w:tcW w:w="2912" w:type="dxa"/>
            <w:tcBorders>
              <w:top w:val="single" w:sz="6" w:space="0" w:color="auto"/>
              <w:bottom w:val="single" w:sz="6" w:space="0" w:color="auto"/>
              <w:right w:val="single" w:sz="6" w:space="0" w:color="auto"/>
            </w:tcBorders>
          </w:tcPr>
          <w:p w14:paraId="203E9E78" w14:textId="55ACB9E6" w:rsidR="00284EB9" w:rsidRPr="004F6095" w:rsidRDefault="00284EB9" w:rsidP="00284EB9">
            <w:pPr>
              <w:tabs>
                <w:tab w:val="left" w:pos="1080"/>
              </w:tabs>
              <w:rPr>
                <w:rFonts w:cstheme="minorHAnsi"/>
              </w:rPr>
            </w:pPr>
            <w:r w:rsidRPr="004F6095">
              <w:rPr>
                <w:rFonts w:cstheme="minorHAnsi"/>
              </w:rPr>
              <w:t xml:space="preserve">4.2 UNDP GCF team will coordinate with the consulting firm that is running the project for DWR. </w:t>
            </w:r>
          </w:p>
        </w:tc>
        <w:tc>
          <w:tcPr>
            <w:tcW w:w="1968" w:type="dxa"/>
            <w:gridSpan w:val="2"/>
            <w:tcBorders>
              <w:top w:val="single" w:sz="6" w:space="0" w:color="auto"/>
              <w:left w:val="single" w:sz="6" w:space="0" w:color="auto"/>
              <w:bottom w:val="single" w:sz="6" w:space="0" w:color="auto"/>
              <w:right w:val="single" w:sz="6" w:space="0" w:color="auto"/>
            </w:tcBorders>
          </w:tcPr>
          <w:p w14:paraId="4C2EB1FB" w14:textId="77777777" w:rsidR="00284EB9" w:rsidRPr="004F6095" w:rsidRDefault="00284EB9" w:rsidP="00284EB9">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April-Dec 2021 / longer if GCF supports </w:t>
            </w:r>
          </w:p>
          <w:p w14:paraId="1D521E10" w14:textId="77777777" w:rsidR="00284EB9" w:rsidRPr="004F6095" w:rsidRDefault="00284EB9" w:rsidP="00284EB9">
            <w:pPr>
              <w:tabs>
                <w:tab w:val="left" w:pos="1080"/>
              </w:tabs>
              <w:rPr>
                <w:rFonts w:cstheme="minorHAnsi"/>
              </w:rPr>
            </w:pPr>
          </w:p>
        </w:tc>
        <w:tc>
          <w:tcPr>
            <w:tcW w:w="2018" w:type="dxa"/>
            <w:gridSpan w:val="2"/>
            <w:tcBorders>
              <w:top w:val="single" w:sz="6" w:space="0" w:color="auto"/>
              <w:left w:val="single" w:sz="6" w:space="0" w:color="auto"/>
              <w:bottom w:val="single" w:sz="6" w:space="0" w:color="auto"/>
              <w:right w:val="single" w:sz="6" w:space="0" w:color="auto"/>
            </w:tcBorders>
          </w:tcPr>
          <w:p w14:paraId="725815B0" w14:textId="1D4D9183" w:rsidR="00284EB9" w:rsidRPr="004F6095" w:rsidRDefault="00284EB9" w:rsidP="00284EB9">
            <w:pPr>
              <w:tabs>
                <w:tab w:val="left" w:pos="1080"/>
              </w:tabs>
              <w:rPr>
                <w:rFonts w:cstheme="minorHAnsi"/>
              </w:rPr>
            </w:pPr>
            <w:r w:rsidRPr="004F6095">
              <w:rPr>
                <w:rFonts w:cstheme="minorHAnsi"/>
              </w:rPr>
              <w:t>Climate Change Coordination Division, ONEP/UNDP</w:t>
            </w:r>
          </w:p>
        </w:tc>
        <w:tc>
          <w:tcPr>
            <w:tcW w:w="1349" w:type="dxa"/>
            <w:gridSpan w:val="3"/>
            <w:tcBorders>
              <w:top w:val="single" w:sz="6" w:space="0" w:color="auto"/>
              <w:left w:val="single" w:sz="6" w:space="0" w:color="auto"/>
              <w:bottom w:val="single" w:sz="6" w:space="0" w:color="auto"/>
              <w:right w:val="single" w:sz="6" w:space="0" w:color="auto"/>
            </w:tcBorders>
          </w:tcPr>
          <w:p w14:paraId="384504E3" w14:textId="77777777" w:rsidR="00284EB9" w:rsidRPr="004F6095" w:rsidRDefault="00284EB9" w:rsidP="00284EB9">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4AD94D5C" w14:textId="1D9FD5E9" w:rsidR="00284EB9" w:rsidRPr="004F6095" w:rsidRDefault="000F7E71" w:rsidP="00284EB9">
            <w:pPr>
              <w:tabs>
                <w:tab w:val="left" w:pos="1080"/>
              </w:tabs>
              <w:rPr>
                <w:rFonts w:cstheme="minorHAnsi"/>
              </w:rPr>
            </w:pPr>
            <w:r>
              <w:rPr>
                <w:rFonts w:cstheme="minorHAnsi"/>
              </w:rPr>
              <w:t>Initiated</w:t>
            </w:r>
          </w:p>
        </w:tc>
      </w:tr>
      <w:tr w:rsidR="00284EB9" w:rsidRPr="004F6095" w14:paraId="1398ACE1" w14:textId="77777777" w:rsidTr="00F448FA">
        <w:tc>
          <w:tcPr>
            <w:tcW w:w="9242" w:type="dxa"/>
            <w:gridSpan w:val="10"/>
            <w:shd w:val="clear" w:color="auto" w:fill="F3F3F3"/>
          </w:tcPr>
          <w:p w14:paraId="17BAB77C" w14:textId="0960788B" w:rsidR="00284EB9" w:rsidRPr="004F6095" w:rsidRDefault="00284EB9" w:rsidP="00284EB9">
            <w:pPr>
              <w:tabs>
                <w:tab w:val="left" w:pos="1080"/>
              </w:tabs>
              <w:rPr>
                <w:rFonts w:cstheme="minorHAnsi"/>
                <w:b/>
              </w:rPr>
            </w:pPr>
            <w:r w:rsidRPr="004F6095">
              <w:rPr>
                <w:rFonts w:cstheme="minorHAnsi"/>
              </w:rPr>
              <w:br w:type="page"/>
            </w:r>
            <w:r w:rsidRPr="004F6095">
              <w:rPr>
                <w:rFonts w:cstheme="minorHAnsi"/>
                <w:b/>
              </w:rPr>
              <w:t xml:space="preserve">Terminal Evaluation recommendation 5.  </w:t>
            </w:r>
          </w:p>
          <w:p w14:paraId="711DC385" w14:textId="77777777" w:rsidR="00284EB9" w:rsidRPr="004F6095" w:rsidRDefault="00284EB9" w:rsidP="00284EB9">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1: Completing, applying and socializing project deliverables </w:t>
            </w:r>
          </w:p>
          <w:p w14:paraId="1DE2BD5B" w14:textId="77777777" w:rsidR="00284EB9" w:rsidRPr="004F6095" w:rsidRDefault="00284EB9" w:rsidP="00284EB9">
            <w:pPr>
              <w:pStyle w:val="Default"/>
              <w:rPr>
                <w:rFonts w:asciiTheme="minorHAnsi" w:hAnsiTheme="minorHAnsi" w:cstheme="minorHAnsi"/>
                <w:b/>
                <w:bCs/>
                <w:sz w:val="22"/>
                <w:szCs w:val="22"/>
              </w:rPr>
            </w:pPr>
          </w:p>
          <w:p w14:paraId="1569C1A6" w14:textId="6A07A6CB" w:rsidR="00284EB9" w:rsidRPr="004F6095" w:rsidRDefault="00284EB9" w:rsidP="00284EB9">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A5. Test the integrated landscape approach linking climate change and biodiversity through the Innovation Accelerator Policy Lab. </w:t>
            </w:r>
          </w:p>
          <w:p w14:paraId="44562BF7" w14:textId="77777777" w:rsidR="00284EB9" w:rsidRPr="004F6095" w:rsidRDefault="00284EB9" w:rsidP="00284EB9">
            <w:pPr>
              <w:pStyle w:val="Default"/>
              <w:rPr>
                <w:rFonts w:asciiTheme="minorHAnsi" w:hAnsiTheme="minorHAnsi" w:cstheme="minorHAnsi"/>
                <w:b/>
                <w:sz w:val="22"/>
                <w:szCs w:val="22"/>
              </w:rPr>
            </w:pPr>
            <w:r w:rsidRPr="004F6095">
              <w:rPr>
                <w:rFonts w:asciiTheme="minorHAnsi" w:hAnsiTheme="minorHAnsi" w:cstheme="minorHAnsi"/>
                <w:sz w:val="22"/>
                <w:szCs w:val="22"/>
              </w:rPr>
              <w:t xml:space="preserve">The integrated landscape approach requires effective coordination mechanism, cross-functional management, joint plan, budget, and KPI. These are still quite challenging for the Thai government, therefore, UNDP can take this opportunity to propel the issue further through the UNDP policy lab which could help the government to explore ways and means to foster their integrated operation in particular areas such as </w:t>
            </w:r>
          </w:p>
          <w:p w14:paraId="16FFF280" w14:textId="77777777" w:rsidR="00284EB9" w:rsidRPr="004F6095" w:rsidRDefault="00284EB9" w:rsidP="00284EB9">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KKL. Thailand was selected as a target country by UNDP global to implement an </w:t>
            </w:r>
            <w:r w:rsidRPr="004F6095">
              <w:rPr>
                <w:rFonts w:asciiTheme="minorHAnsi" w:hAnsiTheme="minorHAnsi" w:cstheme="minorHAnsi"/>
                <w:b/>
                <w:bCs/>
                <w:sz w:val="22"/>
                <w:szCs w:val="22"/>
              </w:rPr>
              <w:t xml:space="preserve">Innovation Accelerator Policy Lab, which is </w:t>
            </w:r>
            <w:r w:rsidRPr="004F6095">
              <w:rPr>
                <w:rFonts w:asciiTheme="minorHAnsi" w:hAnsiTheme="minorHAnsi" w:cstheme="minorHAnsi"/>
                <w:sz w:val="22"/>
                <w:szCs w:val="22"/>
              </w:rPr>
              <w:t xml:space="preserve">also a Thai government initiative with the National Socio-economic Development Council as a donor. The aim is to test public policy innovations (not technologies) – the PSE issue could be one such public policy to test – linking CCM and Biodiversity, which is a policy gap at present. This would be a good example to show how the two thematic areas are mutually interdependent. A sustainable tourism test case is currently in progress. </w:t>
            </w:r>
          </w:p>
          <w:p w14:paraId="3BFA7CF6" w14:textId="412BB1F0" w:rsidR="00284EB9" w:rsidRPr="004F6095" w:rsidRDefault="00284EB9" w:rsidP="00284EB9">
            <w:pPr>
              <w:pStyle w:val="Default"/>
              <w:rPr>
                <w:rFonts w:asciiTheme="minorHAnsi" w:hAnsiTheme="minorHAnsi" w:cstheme="minorHAnsi"/>
                <w:b/>
                <w:sz w:val="22"/>
                <w:szCs w:val="22"/>
              </w:rPr>
            </w:pPr>
          </w:p>
        </w:tc>
      </w:tr>
      <w:tr w:rsidR="00284EB9" w:rsidRPr="004F6095" w14:paraId="5077AF12" w14:textId="77777777" w:rsidTr="00F448FA">
        <w:tc>
          <w:tcPr>
            <w:tcW w:w="9242" w:type="dxa"/>
            <w:gridSpan w:val="10"/>
            <w:tcBorders>
              <w:top w:val="single" w:sz="4" w:space="0" w:color="auto"/>
              <w:bottom w:val="single" w:sz="6" w:space="0" w:color="auto"/>
            </w:tcBorders>
            <w:shd w:val="clear" w:color="auto" w:fill="F3F3F3"/>
          </w:tcPr>
          <w:p w14:paraId="632D0077" w14:textId="27496315" w:rsidR="00284EB9" w:rsidRPr="004F6095" w:rsidRDefault="00284EB9" w:rsidP="00284EB9">
            <w:pPr>
              <w:tabs>
                <w:tab w:val="left" w:pos="1080"/>
              </w:tabs>
              <w:rPr>
                <w:rFonts w:cstheme="minorHAnsi"/>
              </w:rPr>
            </w:pPr>
            <w:r w:rsidRPr="004F6095">
              <w:rPr>
                <w:rFonts w:cstheme="minorHAnsi"/>
                <w:b/>
              </w:rPr>
              <w:t>Management response</w:t>
            </w:r>
            <w:r w:rsidRPr="004F6095">
              <w:rPr>
                <w:rFonts w:cstheme="minorHAnsi"/>
              </w:rPr>
              <w:t>: Fully Accept</w:t>
            </w:r>
            <w:r w:rsidR="00B650B0" w:rsidRPr="004F6095">
              <w:rPr>
                <w:rFonts w:cstheme="minorHAnsi"/>
              </w:rPr>
              <w:t>ed</w:t>
            </w:r>
            <w:r w:rsidRPr="004F6095">
              <w:rPr>
                <w:rFonts w:cstheme="minorHAnsi"/>
              </w:rPr>
              <w:t xml:space="preserve">. The maximize carbon sink capacity for peat swamp management should be listed as a priority </w:t>
            </w:r>
            <w:r w:rsidR="00B650B0" w:rsidRPr="004F6095">
              <w:rPr>
                <w:rFonts w:cstheme="minorHAnsi"/>
              </w:rPr>
              <w:t xml:space="preserve">issue </w:t>
            </w:r>
            <w:r w:rsidRPr="004F6095">
              <w:rPr>
                <w:rFonts w:cstheme="minorHAnsi"/>
              </w:rPr>
              <w:t xml:space="preserve">of the </w:t>
            </w:r>
            <w:r w:rsidR="00727434" w:rsidRPr="004F6095">
              <w:rPr>
                <w:rFonts w:cstheme="minorHAnsi"/>
              </w:rPr>
              <w:t xml:space="preserve">SDGs </w:t>
            </w:r>
            <w:r w:rsidRPr="004F6095">
              <w:rPr>
                <w:rFonts w:cstheme="minorHAnsi"/>
              </w:rPr>
              <w:t xml:space="preserve">Accelerator </w:t>
            </w:r>
            <w:r w:rsidR="00727434" w:rsidRPr="004F6095">
              <w:rPr>
                <w:rFonts w:cstheme="minorHAnsi"/>
              </w:rPr>
              <w:t xml:space="preserve">Lab and Thailand Policy Lab. </w:t>
            </w:r>
            <w:r w:rsidRPr="004F6095">
              <w:rPr>
                <w:rFonts w:cstheme="minorHAnsi"/>
              </w:rPr>
              <w:t xml:space="preserve">  </w:t>
            </w:r>
          </w:p>
        </w:tc>
      </w:tr>
      <w:tr w:rsidR="00284EB9" w:rsidRPr="004F6095" w14:paraId="50F640AB" w14:textId="77777777" w:rsidTr="00F448FA">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1A841737" w14:textId="77777777" w:rsidR="00284EB9" w:rsidRPr="004F6095" w:rsidRDefault="00284EB9" w:rsidP="00284EB9">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2F55C75C" w14:textId="77777777" w:rsidR="00284EB9" w:rsidRPr="004F6095" w:rsidRDefault="00284EB9" w:rsidP="00284EB9">
            <w:pPr>
              <w:tabs>
                <w:tab w:val="left" w:pos="1080"/>
              </w:tabs>
              <w:jc w:val="center"/>
              <w:rPr>
                <w:rFonts w:cstheme="minorHAnsi"/>
                <w:b/>
              </w:rPr>
            </w:pPr>
            <w:r w:rsidRPr="004F6095">
              <w:rPr>
                <w:rFonts w:cstheme="minorHAnsi"/>
                <w:b/>
              </w:rPr>
              <w:t>Time frame</w:t>
            </w:r>
          </w:p>
          <w:p w14:paraId="587B4C01" w14:textId="68C6D7E8" w:rsidR="00284EB9" w:rsidRPr="004F6095" w:rsidRDefault="00284EB9" w:rsidP="00284EB9">
            <w:pPr>
              <w:pStyle w:val="Default"/>
              <w:jc w:val="center"/>
              <w:rPr>
                <w:rFonts w:asciiTheme="minorHAnsi" w:hAnsiTheme="minorHAnsi" w:cstheme="minorHAnsi"/>
                <w:b/>
                <w:sz w:val="22"/>
                <w:szCs w:val="22"/>
              </w:rPr>
            </w:pP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0D1FB6F5" w14:textId="77777777" w:rsidR="00284EB9" w:rsidRPr="004F6095" w:rsidRDefault="00284EB9" w:rsidP="00284EB9">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14BA7A65" w14:textId="77777777" w:rsidR="00284EB9" w:rsidRPr="004F6095" w:rsidRDefault="00284EB9" w:rsidP="00284EB9">
            <w:pPr>
              <w:tabs>
                <w:tab w:val="left" w:pos="1080"/>
              </w:tabs>
              <w:jc w:val="center"/>
              <w:rPr>
                <w:rFonts w:cstheme="minorHAnsi"/>
                <w:b/>
              </w:rPr>
            </w:pPr>
            <w:r w:rsidRPr="004F6095">
              <w:rPr>
                <w:rFonts w:cstheme="minorHAnsi"/>
                <w:b/>
              </w:rPr>
              <w:t>Tracking</w:t>
            </w:r>
          </w:p>
        </w:tc>
      </w:tr>
      <w:tr w:rsidR="00284EB9" w:rsidRPr="004F6095" w14:paraId="6E5856F3" w14:textId="77777777" w:rsidTr="00F448FA">
        <w:trPr>
          <w:trHeight w:val="135"/>
        </w:trPr>
        <w:tc>
          <w:tcPr>
            <w:tcW w:w="2912" w:type="dxa"/>
            <w:vMerge/>
            <w:tcBorders>
              <w:top w:val="single" w:sz="6" w:space="0" w:color="auto"/>
              <w:bottom w:val="single" w:sz="6" w:space="0" w:color="auto"/>
              <w:right w:val="single" w:sz="6" w:space="0" w:color="auto"/>
            </w:tcBorders>
            <w:shd w:val="clear" w:color="auto" w:fill="F3F3F3"/>
          </w:tcPr>
          <w:p w14:paraId="121BC102" w14:textId="77777777" w:rsidR="00284EB9" w:rsidRPr="004F6095" w:rsidRDefault="00284EB9" w:rsidP="00284EB9">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4DC817E2" w14:textId="77777777" w:rsidR="00284EB9" w:rsidRPr="004F6095" w:rsidRDefault="00284EB9" w:rsidP="00284EB9">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10490EBF" w14:textId="77777777" w:rsidR="00284EB9" w:rsidRPr="004F6095" w:rsidRDefault="00284EB9" w:rsidP="00284EB9">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5DC78077" w14:textId="77777777" w:rsidR="00284EB9" w:rsidRPr="004F6095" w:rsidRDefault="00284EB9" w:rsidP="00284EB9">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49982F38" w14:textId="77777777" w:rsidR="00284EB9" w:rsidRPr="004F6095" w:rsidRDefault="00284EB9" w:rsidP="00284EB9">
            <w:pPr>
              <w:tabs>
                <w:tab w:val="left" w:pos="1080"/>
              </w:tabs>
              <w:jc w:val="center"/>
              <w:rPr>
                <w:rFonts w:cstheme="minorHAnsi"/>
                <w:b/>
              </w:rPr>
            </w:pPr>
            <w:r w:rsidRPr="004F6095">
              <w:rPr>
                <w:rFonts w:cstheme="minorHAnsi"/>
                <w:b/>
              </w:rPr>
              <w:t>Status</w:t>
            </w:r>
          </w:p>
        </w:tc>
      </w:tr>
      <w:tr w:rsidR="00284EB9" w:rsidRPr="004F6095" w14:paraId="22D99D40" w14:textId="77777777" w:rsidTr="00F448FA">
        <w:tc>
          <w:tcPr>
            <w:tcW w:w="2912" w:type="dxa"/>
            <w:tcBorders>
              <w:top w:val="single" w:sz="6" w:space="0" w:color="auto"/>
              <w:bottom w:val="single" w:sz="6" w:space="0" w:color="auto"/>
              <w:right w:val="single" w:sz="6" w:space="0" w:color="auto"/>
            </w:tcBorders>
          </w:tcPr>
          <w:p w14:paraId="4E0C9FCA" w14:textId="330290D4" w:rsidR="00284EB9" w:rsidRPr="004F6095" w:rsidRDefault="00284EB9" w:rsidP="00284EB9">
            <w:pPr>
              <w:tabs>
                <w:tab w:val="left" w:pos="1080"/>
              </w:tabs>
              <w:rPr>
                <w:rFonts w:cstheme="minorHAnsi"/>
              </w:rPr>
            </w:pPr>
            <w:r w:rsidRPr="004F6095">
              <w:rPr>
                <w:rFonts w:cstheme="minorHAnsi"/>
              </w:rPr>
              <w:t xml:space="preserve">The Acc Lab team will discuss this recommendation </w:t>
            </w:r>
            <w:r w:rsidR="00B650B0" w:rsidRPr="004F6095">
              <w:rPr>
                <w:rFonts w:cstheme="minorHAnsi"/>
              </w:rPr>
              <w:t xml:space="preserve">with </w:t>
            </w:r>
            <w:r w:rsidRPr="004F6095">
              <w:rPr>
                <w:rFonts w:cstheme="minorHAnsi"/>
              </w:rPr>
              <w:t>the Innovation Acc Policy team</w:t>
            </w:r>
            <w:r w:rsidR="00B650B0" w:rsidRPr="004F6095">
              <w:rPr>
                <w:rFonts w:cstheme="minorHAnsi"/>
              </w:rPr>
              <w:t xml:space="preserve"> and</w:t>
            </w:r>
            <w:r w:rsidRPr="004F6095">
              <w:rPr>
                <w:rFonts w:cstheme="minorHAnsi"/>
              </w:rPr>
              <w:t xml:space="preserve">NESDC.   </w:t>
            </w:r>
          </w:p>
        </w:tc>
        <w:tc>
          <w:tcPr>
            <w:tcW w:w="1968" w:type="dxa"/>
            <w:gridSpan w:val="2"/>
            <w:tcBorders>
              <w:top w:val="single" w:sz="6" w:space="0" w:color="auto"/>
              <w:left w:val="single" w:sz="6" w:space="0" w:color="auto"/>
              <w:bottom w:val="single" w:sz="6" w:space="0" w:color="auto"/>
              <w:right w:val="single" w:sz="6" w:space="0" w:color="auto"/>
            </w:tcBorders>
          </w:tcPr>
          <w:p w14:paraId="27C55B45" w14:textId="77777777" w:rsidR="00284EB9" w:rsidRPr="004F6095" w:rsidRDefault="00284EB9" w:rsidP="00284EB9">
            <w:pPr>
              <w:pStyle w:val="Default"/>
              <w:jc w:val="center"/>
              <w:rPr>
                <w:rFonts w:asciiTheme="minorHAnsi" w:hAnsiTheme="minorHAnsi" w:cstheme="minorHAnsi"/>
                <w:sz w:val="22"/>
                <w:szCs w:val="22"/>
              </w:rPr>
            </w:pPr>
            <w:r w:rsidRPr="004F6095">
              <w:rPr>
                <w:rFonts w:asciiTheme="minorHAnsi" w:hAnsiTheme="minorHAnsi" w:cstheme="minorHAnsi"/>
                <w:sz w:val="22"/>
                <w:szCs w:val="22"/>
              </w:rPr>
              <w:t xml:space="preserve">April-Dec 2021 / longer if funding available </w:t>
            </w:r>
          </w:p>
          <w:p w14:paraId="19078901" w14:textId="77777777" w:rsidR="00284EB9" w:rsidRPr="004F6095" w:rsidRDefault="00284EB9" w:rsidP="00284EB9">
            <w:pPr>
              <w:tabs>
                <w:tab w:val="left" w:pos="1080"/>
              </w:tabs>
              <w:rPr>
                <w:rFonts w:cstheme="minorHAnsi"/>
                <w:lang w:val="en-GB"/>
              </w:rPr>
            </w:pPr>
          </w:p>
        </w:tc>
        <w:tc>
          <w:tcPr>
            <w:tcW w:w="2018" w:type="dxa"/>
            <w:gridSpan w:val="2"/>
            <w:tcBorders>
              <w:top w:val="single" w:sz="6" w:space="0" w:color="auto"/>
              <w:left w:val="single" w:sz="6" w:space="0" w:color="auto"/>
              <w:bottom w:val="single" w:sz="6" w:space="0" w:color="auto"/>
              <w:right w:val="single" w:sz="6" w:space="0" w:color="auto"/>
            </w:tcBorders>
          </w:tcPr>
          <w:p w14:paraId="511FB05F" w14:textId="67E1414C" w:rsidR="00284EB9" w:rsidRPr="004F6095" w:rsidRDefault="00284EB9" w:rsidP="00284EB9">
            <w:pPr>
              <w:pStyle w:val="Default"/>
              <w:rPr>
                <w:rFonts w:asciiTheme="minorHAnsi" w:hAnsiTheme="minorHAnsi" w:cstheme="minorHAnsi"/>
                <w:sz w:val="22"/>
                <w:szCs w:val="22"/>
              </w:rPr>
            </w:pPr>
            <w:r w:rsidRPr="004F6095">
              <w:rPr>
                <w:rFonts w:asciiTheme="minorHAnsi" w:hAnsiTheme="minorHAnsi" w:cstheme="minorHAnsi"/>
                <w:sz w:val="22"/>
                <w:szCs w:val="22"/>
              </w:rPr>
              <w:t>UNDP, ONEP</w:t>
            </w:r>
          </w:p>
        </w:tc>
        <w:tc>
          <w:tcPr>
            <w:tcW w:w="1349" w:type="dxa"/>
            <w:gridSpan w:val="3"/>
            <w:tcBorders>
              <w:top w:val="single" w:sz="6" w:space="0" w:color="auto"/>
              <w:left w:val="single" w:sz="6" w:space="0" w:color="auto"/>
              <w:bottom w:val="single" w:sz="6" w:space="0" w:color="auto"/>
              <w:right w:val="single" w:sz="6" w:space="0" w:color="auto"/>
            </w:tcBorders>
          </w:tcPr>
          <w:p w14:paraId="47BE1184" w14:textId="0F361452" w:rsidR="00284EB9" w:rsidRPr="004F6095" w:rsidRDefault="00284EB9" w:rsidP="00284EB9">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61B2C919" w14:textId="17DE16BA" w:rsidR="00284EB9" w:rsidRPr="004F6095" w:rsidRDefault="000F7E71" w:rsidP="00284EB9">
            <w:pPr>
              <w:tabs>
                <w:tab w:val="left" w:pos="1080"/>
              </w:tabs>
              <w:rPr>
                <w:rFonts w:cstheme="minorHAnsi"/>
              </w:rPr>
            </w:pPr>
            <w:r>
              <w:rPr>
                <w:rFonts w:cstheme="minorHAnsi"/>
              </w:rPr>
              <w:t>Initiated</w:t>
            </w:r>
          </w:p>
        </w:tc>
      </w:tr>
      <w:tr w:rsidR="00284EB9" w:rsidRPr="004F6095" w14:paraId="25098F34" w14:textId="77777777" w:rsidTr="00D56CA6">
        <w:tc>
          <w:tcPr>
            <w:tcW w:w="9242" w:type="dxa"/>
            <w:gridSpan w:val="10"/>
            <w:shd w:val="clear" w:color="auto" w:fill="F3F3F3"/>
          </w:tcPr>
          <w:p w14:paraId="7BF01AE5" w14:textId="680E8016" w:rsidR="00284EB9" w:rsidRPr="004F6095" w:rsidRDefault="00284EB9" w:rsidP="00284EB9">
            <w:pPr>
              <w:tabs>
                <w:tab w:val="left" w:pos="1080"/>
              </w:tabs>
              <w:rPr>
                <w:rFonts w:cstheme="minorHAnsi"/>
                <w:b/>
              </w:rPr>
            </w:pPr>
            <w:r w:rsidRPr="004F6095">
              <w:rPr>
                <w:rFonts w:cstheme="minorHAnsi"/>
              </w:rPr>
              <w:br w:type="page"/>
            </w:r>
            <w:r w:rsidRPr="004F6095">
              <w:rPr>
                <w:rFonts w:cstheme="minorHAnsi"/>
                <w:b/>
              </w:rPr>
              <w:t xml:space="preserve">Terminal Evaluation recommendation 6.  </w:t>
            </w:r>
          </w:p>
          <w:p w14:paraId="4544BDB3" w14:textId="23504E70" w:rsidR="00284EB9" w:rsidRPr="004F6095" w:rsidRDefault="00284EB9" w:rsidP="00284EB9">
            <w:pPr>
              <w:pStyle w:val="Default"/>
              <w:rPr>
                <w:rFonts w:asciiTheme="minorHAnsi" w:hAnsiTheme="minorHAnsi" w:cstheme="minorHAnsi"/>
                <w:b/>
                <w:bCs/>
                <w:sz w:val="22"/>
                <w:szCs w:val="22"/>
              </w:rPr>
            </w:pPr>
            <w:r w:rsidRPr="004F6095">
              <w:rPr>
                <w:rFonts w:asciiTheme="minorHAnsi" w:hAnsiTheme="minorHAnsi" w:cstheme="minorHAnsi"/>
                <w:b/>
                <w:bCs/>
                <w:sz w:val="22"/>
                <w:szCs w:val="22"/>
              </w:rPr>
              <w:t xml:space="preserve">Category 1: Completing, applying and socializing project deliverables </w:t>
            </w:r>
          </w:p>
          <w:p w14:paraId="792E5544" w14:textId="14657BA5" w:rsidR="00284EB9" w:rsidRPr="004F6095" w:rsidRDefault="00284EB9" w:rsidP="00284EB9">
            <w:pPr>
              <w:pStyle w:val="Default"/>
              <w:rPr>
                <w:rFonts w:asciiTheme="minorHAnsi" w:hAnsiTheme="minorHAnsi" w:cstheme="minorHAnsi"/>
                <w:b/>
                <w:bCs/>
                <w:sz w:val="22"/>
                <w:szCs w:val="22"/>
              </w:rPr>
            </w:pPr>
            <w:r w:rsidRPr="004F6095">
              <w:rPr>
                <w:rFonts w:asciiTheme="minorHAnsi" w:hAnsiTheme="minorHAnsi" w:cstheme="minorHAnsi"/>
                <w:b/>
                <w:bCs/>
                <w:sz w:val="22"/>
                <w:szCs w:val="22"/>
              </w:rPr>
              <w:t xml:space="preserve">A6. Locate additional external funding to support the sustainability of project outcomes: </w:t>
            </w:r>
            <w:r w:rsidRPr="004F6095">
              <w:rPr>
                <w:rFonts w:asciiTheme="minorHAnsi" w:hAnsiTheme="minorHAnsi" w:cstheme="minorHAnsi"/>
                <w:sz w:val="22"/>
                <w:szCs w:val="22"/>
              </w:rPr>
              <w:t xml:space="preserve">UNDP’s Rapid Financing Facility offers another potential avenue for financial support, in response to COVID-19 impacts on the local economy and community livelihoods in KKL. Also the BIOFIN Phase II project supporting Thailand implement the Biodiversity Finance Plan through the prioritized solution: </w:t>
            </w:r>
            <w:r w:rsidRPr="004F6095">
              <w:rPr>
                <w:rFonts w:asciiTheme="minorHAnsi" w:hAnsiTheme="minorHAnsi" w:cstheme="minorHAnsi"/>
                <w:i/>
                <w:iCs/>
                <w:sz w:val="22"/>
                <w:szCs w:val="22"/>
              </w:rPr>
              <w:t xml:space="preserve">Government Budget Finance Solution – Enhancing effectiveness and biodiversity impact of local budgets in Thailand </w:t>
            </w:r>
            <w:r w:rsidRPr="004F6095">
              <w:rPr>
                <w:rFonts w:asciiTheme="minorHAnsi" w:hAnsiTheme="minorHAnsi" w:cstheme="minorHAnsi"/>
                <w:sz w:val="22"/>
                <w:szCs w:val="22"/>
              </w:rPr>
              <w:t xml:space="preserve">- for example, to apply the peat swamp landscape approach as a demonstration of the effectiveness of integrated provincial budget. </w:t>
            </w:r>
          </w:p>
          <w:p w14:paraId="0189F85C" w14:textId="77777777" w:rsidR="00284EB9" w:rsidRPr="004F6095" w:rsidRDefault="00284EB9" w:rsidP="00284EB9">
            <w:pPr>
              <w:pStyle w:val="Default"/>
              <w:rPr>
                <w:rFonts w:asciiTheme="minorHAnsi" w:hAnsiTheme="minorHAnsi" w:cstheme="minorHAnsi"/>
                <w:b/>
                <w:sz w:val="22"/>
                <w:szCs w:val="22"/>
              </w:rPr>
            </w:pPr>
          </w:p>
        </w:tc>
      </w:tr>
      <w:tr w:rsidR="00284EB9" w:rsidRPr="004F6095" w14:paraId="55FADF45" w14:textId="77777777" w:rsidTr="00D56CA6">
        <w:tc>
          <w:tcPr>
            <w:tcW w:w="9242" w:type="dxa"/>
            <w:gridSpan w:val="10"/>
            <w:tcBorders>
              <w:top w:val="single" w:sz="4" w:space="0" w:color="auto"/>
              <w:bottom w:val="single" w:sz="6" w:space="0" w:color="auto"/>
            </w:tcBorders>
            <w:shd w:val="clear" w:color="auto" w:fill="F3F3F3"/>
          </w:tcPr>
          <w:p w14:paraId="7AC7970E" w14:textId="30CC4C2A" w:rsidR="00284EB9" w:rsidRPr="004F6095" w:rsidRDefault="00284EB9" w:rsidP="00284EB9">
            <w:pPr>
              <w:tabs>
                <w:tab w:val="left" w:pos="1080"/>
              </w:tabs>
              <w:rPr>
                <w:rFonts w:cstheme="minorHAnsi"/>
              </w:rPr>
            </w:pPr>
            <w:r w:rsidRPr="004F6095">
              <w:rPr>
                <w:rFonts w:cstheme="minorHAnsi"/>
                <w:b/>
              </w:rPr>
              <w:t>Management response</w:t>
            </w:r>
            <w:r w:rsidRPr="004F6095">
              <w:rPr>
                <w:rFonts w:cstheme="minorHAnsi"/>
              </w:rPr>
              <w:t xml:space="preserve">: </w:t>
            </w:r>
            <w:r w:rsidR="00FA57E6" w:rsidRPr="004F6095">
              <w:rPr>
                <w:rFonts w:cstheme="minorHAnsi"/>
              </w:rPr>
              <w:t>Fully accept</w:t>
            </w:r>
            <w:r w:rsidR="00B650B0" w:rsidRPr="004F6095">
              <w:rPr>
                <w:rFonts w:cstheme="minorHAnsi"/>
              </w:rPr>
              <w:t>ed</w:t>
            </w:r>
            <w:r w:rsidR="00FA57E6" w:rsidRPr="004F6095">
              <w:rPr>
                <w:rFonts w:cstheme="minorHAnsi"/>
              </w:rPr>
              <w:t xml:space="preserve">. </w:t>
            </w:r>
          </w:p>
        </w:tc>
      </w:tr>
      <w:tr w:rsidR="00284EB9" w:rsidRPr="004F6095" w14:paraId="4C4A492E"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145440F2" w14:textId="77777777" w:rsidR="00284EB9" w:rsidRPr="004F6095" w:rsidRDefault="00284EB9" w:rsidP="00284EB9">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7F4C4672" w14:textId="77777777" w:rsidR="00284EB9" w:rsidRPr="004F6095" w:rsidRDefault="00284EB9" w:rsidP="00284EB9">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2C378F02" w14:textId="77777777" w:rsidR="00284EB9" w:rsidRPr="004F6095" w:rsidRDefault="00284EB9" w:rsidP="00284EB9">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6A76027C" w14:textId="77777777" w:rsidR="00284EB9" w:rsidRPr="004F6095" w:rsidRDefault="00284EB9" w:rsidP="00284EB9">
            <w:pPr>
              <w:tabs>
                <w:tab w:val="left" w:pos="1080"/>
              </w:tabs>
              <w:jc w:val="center"/>
              <w:rPr>
                <w:rFonts w:cstheme="minorHAnsi"/>
                <w:b/>
              </w:rPr>
            </w:pPr>
            <w:r w:rsidRPr="004F6095">
              <w:rPr>
                <w:rFonts w:cstheme="minorHAnsi"/>
                <w:b/>
              </w:rPr>
              <w:t>Tracking</w:t>
            </w:r>
          </w:p>
        </w:tc>
      </w:tr>
      <w:tr w:rsidR="00284EB9" w:rsidRPr="004F6095" w14:paraId="3A27F8FC"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58E64665" w14:textId="77777777" w:rsidR="00284EB9" w:rsidRPr="004F6095" w:rsidRDefault="00284EB9" w:rsidP="00284EB9">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152784FC" w14:textId="77777777" w:rsidR="00284EB9" w:rsidRPr="004F6095" w:rsidRDefault="00284EB9" w:rsidP="00284EB9">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2825676E" w14:textId="77777777" w:rsidR="00284EB9" w:rsidRPr="004F6095" w:rsidRDefault="00284EB9" w:rsidP="00284EB9">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3DFD9D0F" w14:textId="77777777" w:rsidR="00284EB9" w:rsidRPr="004F6095" w:rsidRDefault="00284EB9" w:rsidP="00284EB9">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457F27D5" w14:textId="77777777" w:rsidR="00284EB9" w:rsidRPr="004F6095" w:rsidRDefault="00284EB9" w:rsidP="00284EB9">
            <w:pPr>
              <w:tabs>
                <w:tab w:val="left" w:pos="1080"/>
              </w:tabs>
              <w:jc w:val="center"/>
              <w:rPr>
                <w:rFonts w:cstheme="minorHAnsi"/>
                <w:b/>
              </w:rPr>
            </w:pPr>
            <w:r w:rsidRPr="004F6095">
              <w:rPr>
                <w:rFonts w:cstheme="minorHAnsi"/>
                <w:b/>
              </w:rPr>
              <w:t>Status</w:t>
            </w:r>
          </w:p>
        </w:tc>
      </w:tr>
      <w:tr w:rsidR="00284EB9" w:rsidRPr="004F6095" w14:paraId="7A7ACFC8" w14:textId="77777777" w:rsidTr="00D56CA6">
        <w:tc>
          <w:tcPr>
            <w:tcW w:w="2912" w:type="dxa"/>
            <w:tcBorders>
              <w:top w:val="single" w:sz="6" w:space="0" w:color="auto"/>
              <w:bottom w:val="single" w:sz="6" w:space="0" w:color="auto"/>
              <w:right w:val="single" w:sz="6" w:space="0" w:color="auto"/>
            </w:tcBorders>
          </w:tcPr>
          <w:p w14:paraId="2A87B6E3" w14:textId="02C50520" w:rsidR="00284EB9" w:rsidRPr="004F6095" w:rsidRDefault="00FA57E6" w:rsidP="00284EB9">
            <w:pPr>
              <w:tabs>
                <w:tab w:val="left" w:pos="1080"/>
              </w:tabs>
              <w:rPr>
                <w:rFonts w:cstheme="minorHAnsi"/>
              </w:rPr>
            </w:pPr>
            <w:r w:rsidRPr="004F6095">
              <w:rPr>
                <w:rFonts w:cstheme="minorHAnsi"/>
              </w:rPr>
              <w:t xml:space="preserve">The UNDP </w:t>
            </w:r>
            <w:r w:rsidR="00727434" w:rsidRPr="004F6095">
              <w:rPr>
                <w:rFonts w:cstheme="minorHAnsi"/>
              </w:rPr>
              <w:t xml:space="preserve">CO (Programme Officers and Senior Management) </w:t>
            </w:r>
            <w:r w:rsidRPr="004F6095">
              <w:rPr>
                <w:rFonts w:cstheme="minorHAnsi"/>
              </w:rPr>
              <w:t>will continue mainstream</w:t>
            </w:r>
            <w:r w:rsidR="00B650B0" w:rsidRPr="004F6095">
              <w:rPr>
                <w:rFonts w:cstheme="minorHAnsi"/>
              </w:rPr>
              <w:t>ing</w:t>
            </w:r>
            <w:r w:rsidRPr="004F6095">
              <w:rPr>
                <w:rFonts w:cstheme="minorHAnsi"/>
              </w:rPr>
              <w:t xml:space="preserve"> peat swamp management issue with the INFF and BIOFIN.  At least one solution should be invented.  </w:t>
            </w:r>
          </w:p>
        </w:tc>
        <w:tc>
          <w:tcPr>
            <w:tcW w:w="1968" w:type="dxa"/>
            <w:gridSpan w:val="2"/>
            <w:tcBorders>
              <w:top w:val="single" w:sz="6" w:space="0" w:color="auto"/>
              <w:left w:val="single" w:sz="6" w:space="0" w:color="auto"/>
              <w:bottom w:val="single" w:sz="6" w:space="0" w:color="auto"/>
              <w:right w:val="single" w:sz="6" w:space="0" w:color="auto"/>
            </w:tcBorders>
          </w:tcPr>
          <w:p w14:paraId="27AF1853" w14:textId="0C9C7C84" w:rsidR="00284EB9" w:rsidRPr="004F6095" w:rsidRDefault="00284EB9" w:rsidP="00284EB9">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April </w:t>
            </w:r>
            <w:r w:rsidR="00FA57E6" w:rsidRPr="004F6095">
              <w:rPr>
                <w:rFonts w:asciiTheme="minorHAnsi" w:hAnsiTheme="minorHAnsi" w:cstheme="minorHAnsi"/>
                <w:sz w:val="22"/>
                <w:szCs w:val="22"/>
              </w:rPr>
              <w:t>2021</w:t>
            </w:r>
            <w:r w:rsidRPr="004F6095">
              <w:rPr>
                <w:rFonts w:asciiTheme="minorHAnsi" w:hAnsiTheme="minorHAnsi" w:cstheme="minorHAnsi"/>
                <w:sz w:val="22"/>
                <w:szCs w:val="22"/>
              </w:rPr>
              <w:t xml:space="preserve">– </w:t>
            </w:r>
            <w:r w:rsidR="00FA57E6" w:rsidRPr="004F6095">
              <w:rPr>
                <w:rFonts w:asciiTheme="minorHAnsi" w:hAnsiTheme="minorHAnsi" w:cstheme="minorHAnsi"/>
                <w:sz w:val="22"/>
                <w:szCs w:val="22"/>
              </w:rPr>
              <w:t>Nov 2022</w:t>
            </w:r>
            <w:r w:rsidRPr="004F6095">
              <w:rPr>
                <w:rFonts w:asciiTheme="minorHAnsi" w:hAnsiTheme="minorHAnsi" w:cstheme="minorHAnsi"/>
                <w:sz w:val="22"/>
                <w:szCs w:val="22"/>
              </w:rPr>
              <w:t xml:space="preserve"> </w:t>
            </w:r>
          </w:p>
          <w:p w14:paraId="337FE60D" w14:textId="77777777" w:rsidR="00284EB9" w:rsidRPr="004F6095" w:rsidRDefault="00284EB9" w:rsidP="00284EB9">
            <w:pPr>
              <w:tabs>
                <w:tab w:val="left" w:pos="1080"/>
              </w:tabs>
              <w:rPr>
                <w:rFonts w:cstheme="minorHAnsi"/>
                <w:lang w:val="en-GB"/>
              </w:rPr>
            </w:pPr>
          </w:p>
        </w:tc>
        <w:tc>
          <w:tcPr>
            <w:tcW w:w="2018" w:type="dxa"/>
            <w:gridSpan w:val="2"/>
            <w:tcBorders>
              <w:top w:val="single" w:sz="6" w:space="0" w:color="auto"/>
              <w:left w:val="single" w:sz="6" w:space="0" w:color="auto"/>
              <w:bottom w:val="single" w:sz="6" w:space="0" w:color="auto"/>
              <w:right w:val="single" w:sz="6" w:space="0" w:color="auto"/>
            </w:tcBorders>
          </w:tcPr>
          <w:p w14:paraId="4CA9546B" w14:textId="5F93F473" w:rsidR="00284EB9" w:rsidRPr="004F6095" w:rsidRDefault="00284EB9" w:rsidP="00284EB9">
            <w:pPr>
              <w:pStyle w:val="Default"/>
              <w:rPr>
                <w:rFonts w:asciiTheme="minorHAnsi" w:hAnsiTheme="minorHAnsi" w:cstheme="minorHAnsi"/>
                <w:sz w:val="22"/>
                <w:szCs w:val="22"/>
              </w:rPr>
            </w:pPr>
            <w:r w:rsidRPr="004F6095">
              <w:rPr>
                <w:rFonts w:asciiTheme="minorHAnsi" w:hAnsiTheme="minorHAnsi" w:cstheme="minorHAnsi"/>
                <w:sz w:val="22"/>
                <w:szCs w:val="22"/>
              </w:rPr>
              <w:t>UNDP</w:t>
            </w:r>
            <w:r w:rsidR="00727434" w:rsidRPr="004F6095">
              <w:rPr>
                <w:rFonts w:asciiTheme="minorHAnsi" w:hAnsiTheme="minorHAnsi" w:cstheme="minorHAnsi"/>
                <w:sz w:val="22"/>
                <w:szCs w:val="22"/>
              </w:rPr>
              <w:t xml:space="preserve"> CO</w:t>
            </w:r>
            <w:r w:rsidRPr="004F6095">
              <w:rPr>
                <w:rFonts w:asciiTheme="minorHAnsi" w:hAnsiTheme="minorHAnsi" w:cstheme="minorHAnsi"/>
                <w:sz w:val="22"/>
                <w:szCs w:val="22"/>
              </w:rPr>
              <w:t xml:space="preserve">, </w:t>
            </w:r>
            <w:r w:rsidR="00FA57E6" w:rsidRPr="004F6095">
              <w:rPr>
                <w:rFonts w:asciiTheme="minorHAnsi" w:hAnsiTheme="minorHAnsi" w:cstheme="minorHAnsi"/>
                <w:sz w:val="22"/>
                <w:szCs w:val="22"/>
              </w:rPr>
              <w:t>NESDC, ONEP</w:t>
            </w:r>
          </w:p>
        </w:tc>
        <w:tc>
          <w:tcPr>
            <w:tcW w:w="1349" w:type="dxa"/>
            <w:gridSpan w:val="3"/>
            <w:tcBorders>
              <w:top w:val="single" w:sz="6" w:space="0" w:color="auto"/>
              <w:left w:val="single" w:sz="6" w:space="0" w:color="auto"/>
              <w:bottom w:val="single" w:sz="6" w:space="0" w:color="auto"/>
              <w:right w:val="single" w:sz="6" w:space="0" w:color="auto"/>
            </w:tcBorders>
          </w:tcPr>
          <w:p w14:paraId="17186298" w14:textId="77777777" w:rsidR="00284EB9" w:rsidRPr="004F6095" w:rsidRDefault="00284EB9" w:rsidP="00284EB9">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1D8B0CE8" w14:textId="3E1A9132" w:rsidR="00284EB9" w:rsidRPr="004F6095" w:rsidRDefault="000F7E71" w:rsidP="00284EB9">
            <w:pPr>
              <w:tabs>
                <w:tab w:val="left" w:pos="1080"/>
              </w:tabs>
              <w:rPr>
                <w:rFonts w:cstheme="minorHAnsi"/>
              </w:rPr>
            </w:pPr>
            <w:r>
              <w:rPr>
                <w:rFonts w:cstheme="minorHAnsi"/>
              </w:rPr>
              <w:t>Initiated</w:t>
            </w:r>
          </w:p>
        </w:tc>
      </w:tr>
      <w:tr w:rsidR="00FA57E6" w:rsidRPr="004F6095" w14:paraId="39704349" w14:textId="77777777" w:rsidTr="00D56CA6">
        <w:tc>
          <w:tcPr>
            <w:tcW w:w="9242" w:type="dxa"/>
            <w:gridSpan w:val="10"/>
            <w:shd w:val="clear" w:color="auto" w:fill="F3F3F3"/>
          </w:tcPr>
          <w:p w14:paraId="0FBCB477" w14:textId="3E01849B" w:rsidR="00FA57E6" w:rsidRPr="004F6095" w:rsidRDefault="00FA57E6" w:rsidP="00FA57E6">
            <w:pPr>
              <w:tabs>
                <w:tab w:val="left" w:pos="1080"/>
              </w:tabs>
              <w:rPr>
                <w:rFonts w:cstheme="minorHAnsi"/>
                <w:b/>
              </w:rPr>
            </w:pPr>
            <w:r w:rsidRPr="004F6095">
              <w:rPr>
                <w:rFonts w:cstheme="minorHAnsi"/>
              </w:rPr>
              <w:br w:type="page"/>
            </w:r>
            <w:r w:rsidRPr="004F6095">
              <w:rPr>
                <w:rFonts w:cstheme="minorHAnsi"/>
                <w:b/>
              </w:rPr>
              <w:t xml:space="preserve">Terminal Evaluation recommendation 7.  </w:t>
            </w:r>
          </w:p>
          <w:p w14:paraId="55640462" w14:textId="77777777" w:rsidR="00FA57E6" w:rsidRPr="004F6095" w:rsidRDefault="00FA57E6" w:rsidP="00FA57E6">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1: Completing, applying and socializing project deliverables </w:t>
            </w:r>
          </w:p>
          <w:p w14:paraId="7909048E" w14:textId="77777777" w:rsidR="00FA57E6" w:rsidRPr="004F6095" w:rsidRDefault="00FA57E6" w:rsidP="00FA57E6">
            <w:pPr>
              <w:pStyle w:val="Default"/>
              <w:rPr>
                <w:rFonts w:asciiTheme="minorHAnsi" w:hAnsiTheme="minorHAnsi" w:cstheme="minorHAnsi"/>
                <w:b/>
                <w:bCs/>
                <w:sz w:val="22"/>
                <w:szCs w:val="22"/>
              </w:rPr>
            </w:pPr>
          </w:p>
          <w:p w14:paraId="36DCE239" w14:textId="0AB12063" w:rsidR="00FA57E6" w:rsidRPr="004F6095" w:rsidRDefault="00FA57E6" w:rsidP="00FA57E6">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A7. Disseminate completed project deliverables and lessons learned to all relevant national and provincial government agencies and other stakeholders and hold further workshops to generate co-learning: </w:t>
            </w:r>
          </w:p>
          <w:p w14:paraId="6A00BD6F" w14:textId="628AF817" w:rsidR="00FA57E6" w:rsidRPr="004F6095" w:rsidRDefault="00FA57E6" w:rsidP="00FA57E6">
            <w:pPr>
              <w:pStyle w:val="Default"/>
              <w:rPr>
                <w:rFonts w:asciiTheme="minorHAnsi" w:hAnsiTheme="minorHAnsi" w:cstheme="minorHAnsi"/>
                <w:b/>
                <w:sz w:val="22"/>
                <w:szCs w:val="22"/>
              </w:rPr>
            </w:pPr>
            <w:r w:rsidRPr="004F6095">
              <w:rPr>
                <w:rFonts w:asciiTheme="minorHAnsi" w:hAnsiTheme="minorHAnsi" w:cstheme="minorHAnsi"/>
                <w:sz w:val="22"/>
                <w:szCs w:val="22"/>
              </w:rPr>
              <w:t xml:space="preserve">At the provincial level, there is an urgent need to disseminate the completed documents to all relevant agencies, as these have not yet been received. The communication gap among key national agencies should also be addressed by sharing project-related documents. Further engagement especially with national and provincial government agencies to finetune understanding as well as capacity building are needed in order to ensure that project results and tools are well understood and taken into consideration. Sharing of lessons learned (successes and challenges) is needed to strengthen peat swamp resource management based on the project experiences. </w:t>
            </w:r>
          </w:p>
        </w:tc>
      </w:tr>
      <w:tr w:rsidR="00FA57E6" w:rsidRPr="004F6095" w14:paraId="713A04E5" w14:textId="77777777" w:rsidTr="00D56CA6">
        <w:tc>
          <w:tcPr>
            <w:tcW w:w="9242" w:type="dxa"/>
            <w:gridSpan w:val="10"/>
            <w:tcBorders>
              <w:top w:val="single" w:sz="4" w:space="0" w:color="auto"/>
              <w:bottom w:val="single" w:sz="6" w:space="0" w:color="auto"/>
            </w:tcBorders>
            <w:shd w:val="clear" w:color="auto" w:fill="F3F3F3"/>
          </w:tcPr>
          <w:p w14:paraId="22D219F1" w14:textId="3C5F0D20" w:rsidR="00FA57E6" w:rsidRPr="004F6095" w:rsidRDefault="00FA57E6" w:rsidP="00FA57E6">
            <w:pPr>
              <w:tabs>
                <w:tab w:val="left" w:pos="1080"/>
              </w:tabs>
              <w:rPr>
                <w:rFonts w:cstheme="minorHAnsi"/>
              </w:rPr>
            </w:pPr>
            <w:r w:rsidRPr="004F6095">
              <w:rPr>
                <w:rFonts w:cstheme="minorHAnsi"/>
                <w:b/>
              </w:rPr>
              <w:t>Management response</w:t>
            </w:r>
            <w:r w:rsidRPr="004F6095">
              <w:rPr>
                <w:rFonts w:cstheme="minorHAnsi"/>
              </w:rPr>
              <w:t xml:space="preserve">: </w:t>
            </w:r>
            <w:r w:rsidR="000E6032" w:rsidRPr="004F6095">
              <w:rPr>
                <w:rFonts w:cstheme="minorHAnsi"/>
              </w:rPr>
              <w:t>Reject</w:t>
            </w:r>
            <w:r w:rsidR="00B650B0" w:rsidRPr="004F6095">
              <w:rPr>
                <w:rFonts w:cstheme="minorHAnsi"/>
              </w:rPr>
              <w:t>ed</w:t>
            </w:r>
            <w:r w:rsidR="000E6032" w:rsidRPr="004F6095">
              <w:rPr>
                <w:rFonts w:cstheme="minorHAnsi"/>
              </w:rPr>
              <w:t xml:space="preserve">. The project </w:t>
            </w:r>
            <w:r w:rsidR="008B0A03" w:rsidRPr="004F6095">
              <w:rPr>
                <w:rFonts w:cstheme="minorHAnsi"/>
              </w:rPr>
              <w:t xml:space="preserve">team (Wisdom Vast company) </w:t>
            </w:r>
            <w:r w:rsidR="000E6032" w:rsidRPr="004F6095">
              <w:rPr>
                <w:rFonts w:cstheme="minorHAnsi"/>
              </w:rPr>
              <w:t xml:space="preserve">has already </w:t>
            </w:r>
            <w:r w:rsidR="008B0A03" w:rsidRPr="004F6095">
              <w:rPr>
                <w:rFonts w:cstheme="minorHAnsi"/>
              </w:rPr>
              <w:t xml:space="preserve">developed </w:t>
            </w:r>
            <w:r w:rsidR="000E6032" w:rsidRPr="004F6095">
              <w:rPr>
                <w:rFonts w:cstheme="minorHAnsi"/>
              </w:rPr>
              <w:t xml:space="preserve">an on-line database </w:t>
            </w:r>
            <w:r w:rsidR="00CC04FE" w:rsidRPr="004F6095">
              <w:rPr>
                <w:rFonts w:cstheme="minorHAnsi"/>
              </w:rPr>
              <w:t xml:space="preserve">is available </w:t>
            </w:r>
            <w:r w:rsidR="000E6032" w:rsidRPr="004F6095">
              <w:rPr>
                <w:rFonts w:cstheme="minorHAnsi"/>
              </w:rPr>
              <w:t xml:space="preserve">for </w:t>
            </w:r>
            <w:r w:rsidR="00CC04FE" w:rsidRPr="004F6095">
              <w:rPr>
                <w:rFonts w:cstheme="minorHAnsi"/>
              </w:rPr>
              <w:t xml:space="preserve">the </w:t>
            </w:r>
            <w:r w:rsidR="000E6032" w:rsidRPr="004F6095">
              <w:rPr>
                <w:rFonts w:cstheme="minorHAnsi"/>
              </w:rPr>
              <w:t xml:space="preserve">public to </w:t>
            </w:r>
            <w:r w:rsidR="00CC04FE" w:rsidRPr="004F6095">
              <w:rPr>
                <w:rFonts w:cstheme="minorHAnsi"/>
              </w:rPr>
              <w:t>view/</w:t>
            </w:r>
            <w:r w:rsidR="000E6032" w:rsidRPr="004F6095">
              <w:rPr>
                <w:rFonts w:cstheme="minorHAnsi"/>
              </w:rPr>
              <w:t xml:space="preserve">downlead reports, GIS files. ONEP has no budget to cover the cost of dissemination workshop. </w:t>
            </w:r>
            <w:r w:rsidR="008B0A03" w:rsidRPr="004F6095">
              <w:rPr>
                <w:rFonts w:cstheme="minorHAnsi"/>
              </w:rPr>
              <w:t xml:space="preserve"> Besides, the COVID-19 outbreak has prevented this action. </w:t>
            </w:r>
          </w:p>
        </w:tc>
      </w:tr>
      <w:tr w:rsidR="00FA57E6" w:rsidRPr="004F6095" w14:paraId="5FD15B58"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59DAB6EE" w14:textId="77777777" w:rsidR="00FA57E6" w:rsidRPr="004F6095" w:rsidRDefault="00FA57E6" w:rsidP="00FA57E6">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36A8BE79" w14:textId="77777777" w:rsidR="00FA57E6" w:rsidRPr="004F6095" w:rsidRDefault="00FA57E6" w:rsidP="00FA57E6">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02A00506" w14:textId="77777777" w:rsidR="00FA57E6" w:rsidRPr="004F6095" w:rsidRDefault="00FA57E6" w:rsidP="00FA57E6">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4FED5B38" w14:textId="77777777" w:rsidR="00FA57E6" w:rsidRPr="004F6095" w:rsidRDefault="00FA57E6" w:rsidP="00FA57E6">
            <w:pPr>
              <w:tabs>
                <w:tab w:val="left" w:pos="1080"/>
              </w:tabs>
              <w:jc w:val="center"/>
              <w:rPr>
                <w:rFonts w:cstheme="minorHAnsi"/>
                <w:b/>
              </w:rPr>
            </w:pPr>
            <w:r w:rsidRPr="004F6095">
              <w:rPr>
                <w:rFonts w:cstheme="minorHAnsi"/>
                <w:b/>
              </w:rPr>
              <w:t>Tracking</w:t>
            </w:r>
          </w:p>
        </w:tc>
      </w:tr>
      <w:tr w:rsidR="00FA57E6" w:rsidRPr="004F6095" w14:paraId="57A52B82"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7DAA344E" w14:textId="77777777" w:rsidR="00FA57E6" w:rsidRPr="004F6095" w:rsidRDefault="00FA57E6" w:rsidP="00FA57E6">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05A57F6A" w14:textId="77777777" w:rsidR="00FA57E6" w:rsidRPr="004F6095" w:rsidRDefault="00FA57E6" w:rsidP="00FA57E6">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3915A85A" w14:textId="77777777" w:rsidR="00FA57E6" w:rsidRPr="004F6095" w:rsidRDefault="00FA57E6" w:rsidP="00FA57E6">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0EE849EF" w14:textId="77777777" w:rsidR="00FA57E6" w:rsidRPr="004F6095" w:rsidRDefault="00FA57E6" w:rsidP="00FA57E6">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00690303" w14:textId="77777777" w:rsidR="00FA57E6" w:rsidRPr="004F6095" w:rsidRDefault="00FA57E6" w:rsidP="00FA57E6">
            <w:pPr>
              <w:tabs>
                <w:tab w:val="left" w:pos="1080"/>
              </w:tabs>
              <w:jc w:val="center"/>
              <w:rPr>
                <w:rFonts w:cstheme="minorHAnsi"/>
                <w:b/>
              </w:rPr>
            </w:pPr>
            <w:r w:rsidRPr="004F6095">
              <w:rPr>
                <w:rFonts w:cstheme="minorHAnsi"/>
                <w:b/>
              </w:rPr>
              <w:t>Status</w:t>
            </w:r>
          </w:p>
        </w:tc>
      </w:tr>
      <w:tr w:rsidR="00CC04FE" w:rsidRPr="004F6095" w14:paraId="5132A476" w14:textId="77777777" w:rsidTr="00D56CA6">
        <w:trPr>
          <w:trHeight w:val="135"/>
        </w:trPr>
        <w:tc>
          <w:tcPr>
            <w:tcW w:w="2912" w:type="dxa"/>
            <w:tcBorders>
              <w:top w:val="single" w:sz="6" w:space="0" w:color="auto"/>
              <w:bottom w:val="single" w:sz="6" w:space="0" w:color="auto"/>
              <w:right w:val="single" w:sz="6" w:space="0" w:color="auto"/>
            </w:tcBorders>
            <w:shd w:val="clear" w:color="auto" w:fill="F3F3F3"/>
          </w:tcPr>
          <w:p w14:paraId="4D3D1A13" w14:textId="6F17377C" w:rsidR="00CC04FE" w:rsidRPr="004F6095" w:rsidRDefault="00CC04FE" w:rsidP="00FA57E6">
            <w:pPr>
              <w:tabs>
                <w:tab w:val="left" w:pos="1080"/>
              </w:tabs>
              <w:rPr>
                <w:rFonts w:cstheme="minorHAnsi"/>
              </w:rPr>
            </w:pPr>
            <w:r w:rsidRPr="004F6095">
              <w:rPr>
                <w:rFonts w:cstheme="minorHAnsi"/>
              </w:rPr>
              <w:t>N/A</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3F3F3"/>
          </w:tcPr>
          <w:p w14:paraId="3C1E3826" w14:textId="763D9D94" w:rsidR="00CC04FE" w:rsidRPr="004F6095" w:rsidRDefault="00CC04FE" w:rsidP="00FA57E6">
            <w:pPr>
              <w:tabs>
                <w:tab w:val="left" w:pos="1080"/>
              </w:tabs>
              <w:rPr>
                <w:rFonts w:cstheme="minorHAnsi"/>
              </w:rPr>
            </w:pPr>
            <w:r w:rsidRPr="004F6095">
              <w:rPr>
                <w:rFonts w:cstheme="minorHAnsi"/>
              </w:rPr>
              <w:t>N/A</w:t>
            </w:r>
          </w:p>
        </w:tc>
        <w:tc>
          <w:tcPr>
            <w:tcW w:w="2018" w:type="dxa"/>
            <w:gridSpan w:val="2"/>
            <w:tcBorders>
              <w:top w:val="single" w:sz="6" w:space="0" w:color="auto"/>
              <w:left w:val="single" w:sz="6" w:space="0" w:color="auto"/>
              <w:bottom w:val="single" w:sz="6" w:space="0" w:color="auto"/>
              <w:right w:val="single" w:sz="6" w:space="0" w:color="auto"/>
            </w:tcBorders>
            <w:shd w:val="clear" w:color="auto" w:fill="F3F3F3"/>
          </w:tcPr>
          <w:p w14:paraId="6E5CDD33" w14:textId="1863C967" w:rsidR="00CC04FE" w:rsidRPr="004F6095" w:rsidRDefault="00CC04FE" w:rsidP="00FA57E6">
            <w:pPr>
              <w:tabs>
                <w:tab w:val="left" w:pos="1080"/>
              </w:tabs>
              <w:rPr>
                <w:rFonts w:cstheme="minorHAnsi"/>
              </w:rPr>
            </w:pPr>
            <w:r w:rsidRPr="004F6095">
              <w:rPr>
                <w:rFonts w:cstheme="minorHAnsi"/>
              </w:rPr>
              <w:t>N/A</w:t>
            </w:r>
          </w:p>
        </w:tc>
        <w:tc>
          <w:tcPr>
            <w:tcW w:w="1349" w:type="dxa"/>
            <w:gridSpan w:val="3"/>
            <w:tcBorders>
              <w:top w:val="single" w:sz="6" w:space="0" w:color="auto"/>
              <w:left w:val="single" w:sz="6" w:space="0" w:color="auto"/>
              <w:bottom w:val="single" w:sz="6" w:space="0" w:color="auto"/>
              <w:right w:val="single" w:sz="6" w:space="0" w:color="auto"/>
            </w:tcBorders>
          </w:tcPr>
          <w:p w14:paraId="7B9ECDBB" w14:textId="77777777" w:rsidR="00CC04FE" w:rsidRPr="004F6095" w:rsidRDefault="00CC04FE" w:rsidP="00FA57E6">
            <w:pPr>
              <w:tabs>
                <w:tab w:val="left" w:pos="1080"/>
              </w:tabs>
              <w:jc w:val="center"/>
              <w:rPr>
                <w:rFonts w:cstheme="minorHAnsi"/>
                <w:b/>
              </w:rPr>
            </w:pPr>
          </w:p>
        </w:tc>
        <w:tc>
          <w:tcPr>
            <w:tcW w:w="995" w:type="dxa"/>
            <w:gridSpan w:val="2"/>
            <w:tcBorders>
              <w:top w:val="single" w:sz="6" w:space="0" w:color="auto"/>
              <w:left w:val="single" w:sz="6" w:space="0" w:color="auto"/>
              <w:bottom w:val="single" w:sz="6" w:space="0" w:color="auto"/>
            </w:tcBorders>
          </w:tcPr>
          <w:p w14:paraId="164787D5" w14:textId="1C410AC6" w:rsidR="00CC04FE" w:rsidRPr="004F6095" w:rsidRDefault="000F7E71" w:rsidP="00FA57E6">
            <w:pPr>
              <w:tabs>
                <w:tab w:val="left" w:pos="1080"/>
              </w:tabs>
              <w:jc w:val="center"/>
              <w:rPr>
                <w:rFonts w:cstheme="minorHAnsi"/>
                <w:b/>
              </w:rPr>
            </w:pPr>
            <w:r>
              <w:rPr>
                <w:rFonts w:cstheme="minorHAnsi"/>
              </w:rPr>
              <w:t>Initiated</w:t>
            </w:r>
          </w:p>
        </w:tc>
      </w:tr>
      <w:tr w:rsidR="00FA57E6" w:rsidRPr="004F6095" w14:paraId="5B54586B" w14:textId="77777777" w:rsidTr="00D56CA6">
        <w:tc>
          <w:tcPr>
            <w:tcW w:w="9242" w:type="dxa"/>
            <w:gridSpan w:val="10"/>
            <w:shd w:val="clear" w:color="auto" w:fill="F3F3F3"/>
          </w:tcPr>
          <w:p w14:paraId="15C066DC" w14:textId="77777777" w:rsidR="00FA57E6" w:rsidRPr="004F6095" w:rsidRDefault="00FA57E6" w:rsidP="00FA57E6">
            <w:pPr>
              <w:tabs>
                <w:tab w:val="left" w:pos="1080"/>
              </w:tabs>
              <w:rPr>
                <w:rFonts w:cstheme="minorHAnsi"/>
                <w:b/>
              </w:rPr>
            </w:pPr>
            <w:r w:rsidRPr="004F6095">
              <w:rPr>
                <w:rFonts w:cstheme="minorHAnsi"/>
              </w:rPr>
              <w:br w:type="page"/>
            </w:r>
            <w:r w:rsidRPr="004F6095">
              <w:rPr>
                <w:rFonts w:cstheme="minorHAnsi"/>
                <w:b/>
              </w:rPr>
              <w:t xml:space="preserve">Terminal Evaluation recommendation 8.  </w:t>
            </w:r>
          </w:p>
          <w:p w14:paraId="1136B2A8" w14:textId="77777777" w:rsidR="00FA57E6" w:rsidRPr="004F6095" w:rsidRDefault="00FA57E6" w:rsidP="00FA57E6">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1: Completing, applying and socializing project deliverables </w:t>
            </w:r>
          </w:p>
          <w:p w14:paraId="7A709B5D" w14:textId="77777777" w:rsidR="00FA57E6" w:rsidRPr="004F6095" w:rsidRDefault="00FA57E6" w:rsidP="00FA57E6">
            <w:pPr>
              <w:pStyle w:val="Default"/>
              <w:rPr>
                <w:rFonts w:asciiTheme="minorHAnsi" w:hAnsiTheme="minorHAnsi" w:cstheme="minorHAnsi"/>
                <w:b/>
                <w:bCs/>
                <w:sz w:val="22"/>
                <w:szCs w:val="22"/>
              </w:rPr>
            </w:pPr>
          </w:p>
          <w:p w14:paraId="0216158F" w14:textId="0B98AFB2" w:rsidR="00FA57E6" w:rsidRPr="004F6095" w:rsidRDefault="00FA57E6" w:rsidP="00FA57E6">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A8. Foster cooperation with the private sector on peat swamp management as businesses can benefit from peat swamp carbon restoration. </w:t>
            </w:r>
            <w:r w:rsidRPr="004F6095">
              <w:rPr>
                <w:rFonts w:asciiTheme="minorHAnsi" w:hAnsiTheme="minorHAnsi" w:cstheme="minorHAnsi"/>
                <w:sz w:val="22"/>
                <w:szCs w:val="22"/>
              </w:rPr>
              <w:t xml:space="preserve">The impact investment study by the project has promoted this, which needs follow up by various stakeholders (including KKL Task Force and UNDP), not only ONEP, to bring the private sector on board. NGOs can also assist in advocating for this. The Biodiversity Finance Initiative (BIOFIN)40 Phase II project aiming to support Thailand implement its Biodiversity Finance Plan at national and subnational levels provides opportunity for support, especially through its </w:t>
            </w:r>
            <w:r w:rsidRPr="004F6095">
              <w:rPr>
                <w:rFonts w:asciiTheme="minorHAnsi" w:hAnsiTheme="minorHAnsi" w:cstheme="minorHAnsi"/>
                <w:i/>
                <w:iCs/>
                <w:sz w:val="22"/>
                <w:szCs w:val="22"/>
              </w:rPr>
              <w:t>Private Sector Finance Solution: Mobilizing the private sector and impact investment in support of biodiversity</w:t>
            </w:r>
            <w:r w:rsidRPr="004F6095">
              <w:rPr>
                <w:rFonts w:asciiTheme="minorHAnsi" w:hAnsiTheme="minorHAnsi" w:cstheme="minorHAnsi"/>
                <w:sz w:val="22"/>
                <w:szCs w:val="22"/>
              </w:rPr>
              <w:t xml:space="preserve">. </w:t>
            </w:r>
          </w:p>
          <w:p w14:paraId="4D0531CD" w14:textId="77777777" w:rsidR="00FA57E6" w:rsidRPr="004F6095" w:rsidRDefault="00FA57E6" w:rsidP="00FA57E6">
            <w:pPr>
              <w:pStyle w:val="Default"/>
              <w:rPr>
                <w:rFonts w:asciiTheme="minorHAnsi" w:hAnsiTheme="minorHAnsi" w:cstheme="minorHAnsi"/>
                <w:b/>
                <w:sz w:val="22"/>
                <w:szCs w:val="22"/>
              </w:rPr>
            </w:pPr>
          </w:p>
        </w:tc>
      </w:tr>
      <w:tr w:rsidR="00FA57E6" w:rsidRPr="004F6095" w14:paraId="60D364BE" w14:textId="77777777" w:rsidTr="00D56CA6">
        <w:tc>
          <w:tcPr>
            <w:tcW w:w="9242" w:type="dxa"/>
            <w:gridSpan w:val="10"/>
            <w:tcBorders>
              <w:top w:val="single" w:sz="4" w:space="0" w:color="auto"/>
              <w:bottom w:val="single" w:sz="6" w:space="0" w:color="auto"/>
            </w:tcBorders>
            <w:shd w:val="clear" w:color="auto" w:fill="F3F3F3"/>
          </w:tcPr>
          <w:p w14:paraId="4DD0DDA2" w14:textId="6B8FFE15" w:rsidR="00FA57E6" w:rsidRPr="004F6095" w:rsidRDefault="00FA57E6" w:rsidP="00FA57E6">
            <w:pPr>
              <w:tabs>
                <w:tab w:val="left" w:pos="1080"/>
              </w:tabs>
              <w:rPr>
                <w:rFonts w:cstheme="minorHAnsi"/>
              </w:rPr>
            </w:pPr>
            <w:r w:rsidRPr="004F6095">
              <w:rPr>
                <w:rFonts w:cstheme="minorHAnsi"/>
                <w:b/>
              </w:rPr>
              <w:t>Management response</w:t>
            </w:r>
            <w:r w:rsidRPr="004F6095">
              <w:rPr>
                <w:rFonts w:cstheme="minorHAnsi"/>
              </w:rPr>
              <w:t xml:space="preserve">: </w:t>
            </w:r>
            <w:r w:rsidR="008B0A03" w:rsidRPr="004F6095">
              <w:rPr>
                <w:rFonts w:cstheme="minorHAnsi"/>
              </w:rPr>
              <w:t xml:space="preserve"> Fully accept</w:t>
            </w:r>
            <w:r w:rsidR="00CC04FE" w:rsidRPr="004F6095">
              <w:rPr>
                <w:rFonts w:cstheme="minorHAnsi"/>
              </w:rPr>
              <w:t>ed</w:t>
            </w:r>
            <w:r w:rsidR="008B0A03" w:rsidRPr="004F6095">
              <w:rPr>
                <w:rFonts w:cstheme="minorHAnsi"/>
              </w:rPr>
              <w:t xml:space="preserve">. </w:t>
            </w:r>
          </w:p>
        </w:tc>
      </w:tr>
      <w:tr w:rsidR="00FA57E6" w:rsidRPr="004F6095" w14:paraId="5FA38A1E"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28CCC583" w14:textId="77777777" w:rsidR="00FA57E6" w:rsidRPr="004F6095" w:rsidRDefault="00FA57E6" w:rsidP="00FA57E6">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52C1E910" w14:textId="77777777" w:rsidR="00FA57E6" w:rsidRPr="004F6095" w:rsidRDefault="00FA57E6" w:rsidP="00FA57E6">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7416E6AC" w14:textId="77777777" w:rsidR="00FA57E6" w:rsidRPr="004F6095" w:rsidRDefault="00FA57E6" w:rsidP="00FA57E6">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2D9C48D9" w14:textId="77777777" w:rsidR="00FA57E6" w:rsidRPr="004F6095" w:rsidRDefault="00FA57E6" w:rsidP="00FA57E6">
            <w:pPr>
              <w:tabs>
                <w:tab w:val="left" w:pos="1080"/>
              </w:tabs>
              <w:jc w:val="center"/>
              <w:rPr>
                <w:rFonts w:cstheme="minorHAnsi"/>
                <w:b/>
              </w:rPr>
            </w:pPr>
            <w:r w:rsidRPr="004F6095">
              <w:rPr>
                <w:rFonts w:cstheme="minorHAnsi"/>
                <w:b/>
              </w:rPr>
              <w:t>Tracking</w:t>
            </w:r>
          </w:p>
        </w:tc>
      </w:tr>
      <w:tr w:rsidR="00FA57E6" w:rsidRPr="004F6095" w14:paraId="054D7627"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1FF68036" w14:textId="77777777" w:rsidR="00FA57E6" w:rsidRPr="004F6095" w:rsidRDefault="00FA57E6" w:rsidP="00FA57E6">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4EA14CE4" w14:textId="77777777" w:rsidR="00FA57E6" w:rsidRPr="004F6095" w:rsidRDefault="00FA57E6" w:rsidP="00FA57E6">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1D0FA64A" w14:textId="77777777" w:rsidR="00FA57E6" w:rsidRPr="004F6095" w:rsidRDefault="00FA57E6" w:rsidP="00FA57E6">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7C6B2817" w14:textId="77777777" w:rsidR="00FA57E6" w:rsidRPr="004F6095" w:rsidRDefault="00FA57E6" w:rsidP="00FA57E6">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35EDF7F0" w14:textId="77777777" w:rsidR="00FA57E6" w:rsidRPr="004F6095" w:rsidRDefault="00FA57E6" w:rsidP="00FA57E6">
            <w:pPr>
              <w:tabs>
                <w:tab w:val="left" w:pos="1080"/>
              </w:tabs>
              <w:jc w:val="center"/>
              <w:rPr>
                <w:rFonts w:cstheme="minorHAnsi"/>
                <w:b/>
              </w:rPr>
            </w:pPr>
            <w:r w:rsidRPr="004F6095">
              <w:rPr>
                <w:rFonts w:cstheme="minorHAnsi"/>
                <w:b/>
              </w:rPr>
              <w:t>Status</w:t>
            </w:r>
          </w:p>
        </w:tc>
      </w:tr>
      <w:tr w:rsidR="00FA57E6" w:rsidRPr="004F6095" w14:paraId="2223434B" w14:textId="77777777" w:rsidTr="00D56CA6">
        <w:tc>
          <w:tcPr>
            <w:tcW w:w="2912" w:type="dxa"/>
            <w:tcBorders>
              <w:top w:val="single" w:sz="6" w:space="0" w:color="auto"/>
              <w:bottom w:val="single" w:sz="6" w:space="0" w:color="auto"/>
              <w:right w:val="single" w:sz="6" w:space="0" w:color="auto"/>
            </w:tcBorders>
          </w:tcPr>
          <w:p w14:paraId="07BA5FFB" w14:textId="5B95ADEA" w:rsidR="00FA57E6" w:rsidRPr="004F6095" w:rsidRDefault="00FA57E6" w:rsidP="00FA57E6">
            <w:pPr>
              <w:tabs>
                <w:tab w:val="left" w:pos="1080"/>
              </w:tabs>
              <w:rPr>
                <w:rFonts w:cstheme="minorHAnsi"/>
              </w:rPr>
            </w:pPr>
            <w:r w:rsidRPr="004F6095">
              <w:rPr>
                <w:rFonts w:cstheme="minorHAnsi"/>
              </w:rPr>
              <w:t>8.1</w:t>
            </w:r>
            <w:r w:rsidR="008B0A03" w:rsidRPr="004F6095">
              <w:rPr>
                <w:rFonts w:cstheme="minorHAnsi"/>
              </w:rPr>
              <w:t xml:space="preserve"> </w:t>
            </w:r>
            <w:r w:rsidR="00CC04FE" w:rsidRPr="004F6095">
              <w:rPr>
                <w:rFonts w:cstheme="minorHAnsi"/>
              </w:rPr>
              <w:t>UNDP Thailand CO team</w:t>
            </w:r>
            <w:r w:rsidR="008B0A03" w:rsidRPr="004F6095">
              <w:rPr>
                <w:rFonts w:cstheme="minorHAnsi"/>
              </w:rPr>
              <w:t xml:space="preserve"> </w:t>
            </w:r>
            <w:r w:rsidR="00CC04FE" w:rsidRPr="004F6095">
              <w:rPr>
                <w:rFonts w:cstheme="minorHAnsi"/>
              </w:rPr>
              <w:t xml:space="preserve">will </w:t>
            </w:r>
            <w:r w:rsidR="008B0A03" w:rsidRPr="004F6095">
              <w:rPr>
                <w:rFonts w:cstheme="minorHAnsi"/>
              </w:rPr>
              <w:t xml:space="preserve">continue </w:t>
            </w:r>
            <w:r w:rsidR="00CC04FE" w:rsidRPr="004F6095">
              <w:rPr>
                <w:rFonts w:cstheme="minorHAnsi"/>
              </w:rPr>
              <w:t xml:space="preserve">to </w:t>
            </w:r>
            <w:r w:rsidR="008B0A03" w:rsidRPr="004F6095">
              <w:rPr>
                <w:rFonts w:cstheme="minorHAnsi"/>
              </w:rPr>
              <w:t xml:space="preserve">work on </w:t>
            </w:r>
            <w:r w:rsidR="00CC04FE" w:rsidRPr="004F6095">
              <w:rPr>
                <w:rFonts w:cstheme="minorHAnsi"/>
              </w:rPr>
              <w:t xml:space="preserve">an </w:t>
            </w:r>
            <w:r w:rsidR="008B0A03" w:rsidRPr="004F6095">
              <w:rPr>
                <w:rFonts w:cstheme="minorHAnsi"/>
              </w:rPr>
              <w:t>opportunity to leverage fund/interest from private sector to invest in preparing the detailed pitch de</w:t>
            </w:r>
            <w:r w:rsidR="00CC04FE" w:rsidRPr="004F6095">
              <w:rPr>
                <w:rFonts w:cstheme="minorHAnsi"/>
              </w:rPr>
              <w:t>c</w:t>
            </w:r>
            <w:r w:rsidR="008B0A03" w:rsidRPr="004F6095">
              <w:rPr>
                <w:rFonts w:cstheme="minorHAnsi"/>
              </w:rPr>
              <w:t xml:space="preserve">ks. </w:t>
            </w:r>
          </w:p>
        </w:tc>
        <w:tc>
          <w:tcPr>
            <w:tcW w:w="1968" w:type="dxa"/>
            <w:gridSpan w:val="2"/>
            <w:tcBorders>
              <w:top w:val="single" w:sz="6" w:space="0" w:color="auto"/>
              <w:left w:val="single" w:sz="6" w:space="0" w:color="auto"/>
              <w:bottom w:val="single" w:sz="6" w:space="0" w:color="auto"/>
              <w:right w:val="single" w:sz="6" w:space="0" w:color="auto"/>
            </w:tcBorders>
          </w:tcPr>
          <w:p w14:paraId="4A31E475" w14:textId="77777777" w:rsidR="00FA57E6" w:rsidRPr="004F6095" w:rsidRDefault="00FA57E6" w:rsidP="00FA57E6">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April-Dec 2021, longer if funding available </w:t>
            </w:r>
          </w:p>
          <w:p w14:paraId="1400E14D" w14:textId="77777777" w:rsidR="00FA57E6" w:rsidRPr="004F6095" w:rsidRDefault="00FA57E6" w:rsidP="00FA57E6">
            <w:pPr>
              <w:tabs>
                <w:tab w:val="left" w:pos="1080"/>
              </w:tabs>
              <w:rPr>
                <w:rFonts w:cstheme="minorHAnsi"/>
                <w:lang w:val="en-GB"/>
              </w:rPr>
            </w:pPr>
          </w:p>
        </w:tc>
        <w:tc>
          <w:tcPr>
            <w:tcW w:w="2018" w:type="dxa"/>
            <w:gridSpan w:val="2"/>
            <w:tcBorders>
              <w:top w:val="single" w:sz="6" w:space="0" w:color="auto"/>
              <w:left w:val="single" w:sz="6" w:space="0" w:color="auto"/>
              <w:bottom w:val="single" w:sz="6" w:space="0" w:color="auto"/>
              <w:right w:val="single" w:sz="6" w:space="0" w:color="auto"/>
            </w:tcBorders>
          </w:tcPr>
          <w:p w14:paraId="00CFF489" w14:textId="5D29AB7F" w:rsidR="00FA57E6" w:rsidRPr="004F6095" w:rsidRDefault="00FA57E6" w:rsidP="00FA57E6">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 UNDP</w:t>
            </w:r>
            <w:r w:rsidR="00CC04FE" w:rsidRPr="004F6095">
              <w:rPr>
                <w:rFonts w:asciiTheme="minorHAnsi" w:hAnsiTheme="minorHAnsi" w:cstheme="minorHAnsi"/>
                <w:sz w:val="22"/>
                <w:szCs w:val="22"/>
              </w:rPr>
              <w:t xml:space="preserve"> (Programme Officers, Accelerator Lab, Thailand Policy Lab, Economist, Senior Management, and BIOFIN Project)</w:t>
            </w:r>
          </w:p>
        </w:tc>
        <w:tc>
          <w:tcPr>
            <w:tcW w:w="1349" w:type="dxa"/>
            <w:gridSpan w:val="3"/>
            <w:tcBorders>
              <w:top w:val="single" w:sz="6" w:space="0" w:color="auto"/>
              <w:left w:val="single" w:sz="6" w:space="0" w:color="auto"/>
              <w:bottom w:val="single" w:sz="6" w:space="0" w:color="auto"/>
              <w:right w:val="single" w:sz="6" w:space="0" w:color="auto"/>
            </w:tcBorders>
          </w:tcPr>
          <w:p w14:paraId="44E4C9AA" w14:textId="77777777" w:rsidR="00FA57E6" w:rsidRPr="004F6095" w:rsidRDefault="00FA57E6" w:rsidP="00FA57E6">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18196ACF" w14:textId="06471F15" w:rsidR="00FA57E6" w:rsidRPr="004F6095" w:rsidRDefault="000F7E71" w:rsidP="00FA57E6">
            <w:pPr>
              <w:tabs>
                <w:tab w:val="left" w:pos="1080"/>
              </w:tabs>
              <w:rPr>
                <w:rFonts w:cstheme="minorHAnsi"/>
              </w:rPr>
            </w:pPr>
            <w:r>
              <w:rPr>
                <w:rFonts w:cstheme="minorHAnsi"/>
              </w:rPr>
              <w:t>Initiated</w:t>
            </w:r>
          </w:p>
        </w:tc>
      </w:tr>
      <w:tr w:rsidR="008B0A03" w:rsidRPr="004F6095" w14:paraId="141A6840" w14:textId="77777777" w:rsidTr="00D56CA6">
        <w:tc>
          <w:tcPr>
            <w:tcW w:w="9242" w:type="dxa"/>
            <w:gridSpan w:val="10"/>
            <w:shd w:val="clear" w:color="auto" w:fill="F3F3F3"/>
          </w:tcPr>
          <w:p w14:paraId="32DFF382" w14:textId="7F6EEDE6"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 xml:space="preserve">Terminal Evaluation recommendation 9.  </w:t>
            </w:r>
          </w:p>
          <w:p w14:paraId="548D9F23"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1: Completing, applying and socializing project deliverables </w:t>
            </w:r>
          </w:p>
          <w:p w14:paraId="6A4A86CB" w14:textId="23B310BB"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A9. Support further work on indirect economic valuation of ecosystem services of Kuan Kreng Peat Swamp </w:t>
            </w:r>
            <w:r w:rsidRPr="004F6095">
              <w:rPr>
                <w:rFonts w:asciiTheme="minorHAnsi" w:hAnsiTheme="minorHAnsi" w:cstheme="minorHAnsi"/>
                <w:sz w:val="22"/>
                <w:szCs w:val="22"/>
              </w:rPr>
              <w:t xml:space="preserve">- to be used for policy decision making as the indirect benefits are greater than direct one (e.g. flood control, carbon sink, etc.). The economic valuation work done during the extension period has provided useful information on this. It is generally difficult to capture the value of regulatory ecosystem services, therefore it recommended to link follow up to the UNEP/GEF project with ONEP on </w:t>
            </w:r>
            <w:r w:rsidRPr="004F6095">
              <w:rPr>
                <w:rFonts w:asciiTheme="minorHAnsi" w:hAnsiTheme="minorHAnsi" w:cstheme="minorHAnsi"/>
                <w:i/>
                <w:iCs/>
                <w:sz w:val="22"/>
                <w:szCs w:val="22"/>
              </w:rPr>
              <w:t>Integration of Natural Capital Accounting in Public and Private Sector Policy and Decision-making for Sustainable Landscapes</w:t>
            </w:r>
            <w:r w:rsidR="004F6095">
              <w:rPr>
                <w:rFonts w:asciiTheme="minorHAnsi" w:hAnsiTheme="minorHAnsi" w:cstheme="minorHAnsi"/>
                <w:i/>
                <w:iCs/>
                <w:sz w:val="22"/>
                <w:szCs w:val="22"/>
              </w:rPr>
              <w:t>,</w:t>
            </w:r>
            <w:r w:rsidRPr="004F6095">
              <w:rPr>
                <w:rFonts w:asciiTheme="minorHAnsi" w:hAnsiTheme="minorHAnsi" w:cstheme="minorHAnsi"/>
                <w:sz w:val="22"/>
                <w:szCs w:val="22"/>
              </w:rPr>
              <w:t xml:space="preserve"> which includes development of policy and market incentives for key sectors and networking for mainstreaming of NCA. </w:t>
            </w:r>
          </w:p>
          <w:p w14:paraId="581EE48B" w14:textId="77777777" w:rsidR="008B0A03" w:rsidRPr="004F6095" w:rsidRDefault="008B0A03" w:rsidP="008B0A03">
            <w:pPr>
              <w:pStyle w:val="Default"/>
              <w:rPr>
                <w:rFonts w:asciiTheme="minorHAnsi" w:hAnsiTheme="minorHAnsi" w:cstheme="minorHAnsi"/>
                <w:b/>
                <w:bCs/>
                <w:sz w:val="22"/>
                <w:szCs w:val="22"/>
              </w:rPr>
            </w:pPr>
          </w:p>
          <w:p w14:paraId="343298BD" w14:textId="77777777" w:rsidR="008B0A03" w:rsidRPr="004F6095" w:rsidRDefault="008B0A03" w:rsidP="008B0A03">
            <w:pPr>
              <w:pStyle w:val="Default"/>
              <w:rPr>
                <w:rFonts w:asciiTheme="minorHAnsi" w:hAnsiTheme="minorHAnsi" w:cstheme="minorHAnsi"/>
                <w:b/>
                <w:sz w:val="22"/>
                <w:szCs w:val="22"/>
              </w:rPr>
            </w:pPr>
          </w:p>
        </w:tc>
      </w:tr>
      <w:tr w:rsidR="008B0A03" w:rsidRPr="004F6095" w14:paraId="2000A3E9" w14:textId="77777777" w:rsidTr="00D56CA6">
        <w:tc>
          <w:tcPr>
            <w:tcW w:w="9242" w:type="dxa"/>
            <w:gridSpan w:val="10"/>
            <w:tcBorders>
              <w:top w:val="single" w:sz="4" w:space="0" w:color="auto"/>
              <w:bottom w:val="single" w:sz="6" w:space="0" w:color="auto"/>
            </w:tcBorders>
            <w:shd w:val="clear" w:color="auto" w:fill="F3F3F3"/>
          </w:tcPr>
          <w:p w14:paraId="541E0DB4" w14:textId="2F88CC85"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EC73E1" w:rsidRPr="004F6095">
              <w:rPr>
                <w:rFonts w:cstheme="minorHAnsi"/>
              </w:rPr>
              <w:t>Fully accept</w:t>
            </w:r>
            <w:r w:rsidR="009D53F9" w:rsidRPr="004F6095">
              <w:rPr>
                <w:rFonts w:cstheme="minorHAnsi"/>
              </w:rPr>
              <w:t>ed</w:t>
            </w:r>
            <w:r w:rsidR="00EC73E1" w:rsidRPr="004F6095">
              <w:rPr>
                <w:rFonts w:cstheme="minorHAnsi"/>
              </w:rPr>
              <w:t xml:space="preserve">. </w:t>
            </w:r>
            <w:r w:rsidR="00BA395A" w:rsidRPr="004F6095">
              <w:rPr>
                <w:rFonts w:cstheme="minorHAnsi"/>
              </w:rPr>
              <w:t xml:space="preserve"> The aggregated direct and indirect economic valuation of peat swamp is a key information for policy making to prevent the transformation of peat area to other types of land use. </w:t>
            </w:r>
          </w:p>
        </w:tc>
      </w:tr>
      <w:tr w:rsidR="008B0A03" w:rsidRPr="004F6095" w14:paraId="0E2DB210"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539CDC3D"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43B9EBA6"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4E9210D3"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549C6078"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45BEE8E0"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0A14DAD2"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5D1B56F2"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7CE365A4"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3ABF3BB7"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5562AE20"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761C8283" w14:textId="77777777" w:rsidTr="004F6095">
        <w:tc>
          <w:tcPr>
            <w:tcW w:w="2912" w:type="dxa"/>
            <w:tcBorders>
              <w:top w:val="single" w:sz="6" w:space="0" w:color="auto"/>
              <w:bottom w:val="single" w:sz="6" w:space="0" w:color="auto"/>
              <w:right w:val="single" w:sz="6" w:space="0" w:color="auto"/>
            </w:tcBorders>
          </w:tcPr>
          <w:p w14:paraId="27B13D50" w14:textId="34CB3A5C" w:rsidR="00EC73E1" w:rsidRPr="004F6095" w:rsidRDefault="00EC73E1" w:rsidP="00EC73E1">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The Programme Analyst will liaise with UNEP focal point for the Integration of Natural Capital Accounting in Public and Private Sector Policy and Decision-making for Sustainable project. The direct economic value data will be shared with the project team.  </w:t>
            </w:r>
          </w:p>
          <w:p w14:paraId="47F8BEC1" w14:textId="5589F69C" w:rsidR="008B0A03" w:rsidRPr="004F6095" w:rsidRDefault="008B0A03" w:rsidP="008B0A03">
            <w:pPr>
              <w:tabs>
                <w:tab w:val="left" w:pos="1080"/>
              </w:tabs>
              <w:rPr>
                <w:rFonts w:cstheme="minorHAnsi"/>
                <w:lang w:val="en-GB"/>
              </w:rPr>
            </w:pPr>
          </w:p>
        </w:tc>
        <w:tc>
          <w:tcPr>
            <w:tcW w:w="1968" w:type="dxa"/>
            <w:gridSpan w:val="2"/>
            <w:tcBorders>
              <w:top w:val="single" w:sz="6" w:space="0" w:color="auto"/>
              <w:left w:val="single" w:sz="6" w:space="0" w:color="auto"/>
              <w:bottom w:val="single" w:sz="6" w:space="0" w:color="auto"/>
              <w:right w:val="single" w:sz="6" w:space="0" w:color="auto"/>
            </w:tcBorders>
          </w:tcPr>
          <w:p w14:paraId="66D63EF5" w14:textId="7645A150" w:rsidR="008B0A03" w:rsidRPr="004F6095" w:rsidRDefault="00EC73E1" w:rsidP="008B0A03">
            <w:pPr>
              <w:pStyle w:val="Default"/>
              <w:rPr>
                <w:rFonts w:asciiTheme="minorHAnsi" w:hAnsiTheme="minorHAnsi" w:cstheme="minorHAnsi"/>
                <w:sz w:val="22"/>
                <w:szCs w:val="22"/>
              </w:rPr>
            </w:pPr>
            <w:r w:rsidRPr="004F6095">
              <w:rPr>
                <w:rFonts w:asciiTheme="minorHAnsi" w:hAnsiTheme="minorHAnsi" w:cstheme="minorHAnsi"/>
                <w:sz w:val="22"/>
                <w:szCs w:val="22"/>
              </w:rPr>
              <w:t>June</w:t>
            </w:r>
            <w:r w:rsidR="008B0A03" w:rsidRPr="004F6095">
              <w:rPr>
                <w:rFonts w:asciiTheme="minorHAnsi" w:hAnsiTheme="minorHAnsi" w:cstheme="minorHAnsi"/>
                <w:sz w:val="22"/>
                <w:szCs w:val="22"/>
              </w:rPr>
              <w:t xml:space="preserve">-Dec 2021 / duration of UNEP / GEF NCA project </w:t>
            </w:r>
          </w:p>
          <w:p w14:paraId="2CBAC2BD" w14:textId="77777777" w:rsidR="008B0A03" w:rsidRPr="004F6095" w:rsidRDefault="008B0A03" w:rsidP="008B0A03">
            <w:pPr>
              <w:tabs>
                <w:tab w:val="left" w:pos="1080"/>
              </w:tabs>
              <w:rPr>
                <w:rFonts w:cstheme="minorHAnsi"/>
                <w:lang w:val="en-GB"/>
              </w:rPr>
            </w:pPr>
          </w:p>
        </w:tc>
        <w:tc>
          <w:tcPr>
            <w:tcW w:w="2018" w:type="dxa"/>
            <w:gridSpan w:val="2"/>
            <w:tcBorders>
              <w:top w:val="single" w:sz="6" w:space="0" w:color="auto"/>
              <w:left w:val="single" w:sz="6" w:space="0" w:color="auto"/>
              <w:bottom w:val="single" w:sz="6" w:space="0" w:color="auto"/>
              <w:right w:val="single" w:sz="6" w:space="0" w:color="auto"/>
            </w:tcBorders>
            <w:shd w:val="clear" w:color="auto" w:fill="auto"/>
          </w:tcPr>
          <w:p w14:paraId="13CD9139" w14:textId="183DCC3E" w:rsidR="008B0A03" w:rsidRPr="004F6095" w:rsidRDefault="00BA395A" w:rsidP="008B0A03">
            <w:pPr>
              <w:pStyle w:val="Default"/>
              <w:rPr>
                <w:rFonts w:asciiTheme="minorHAnsi" w:hAnsiTheme="minorHAnsi" w:cstheme="minorHAnsi"/>
                <w:sz w:val="22"/>
                <w:szCs w:val="22"/>
              </w:rPr>
            </w:pPr>
            <w:r w:rsidRPr="004F6095">
              <w:rPr>
                <w:rFonts w:asciiTheme="minorHAnsi" w:hAnsiTheme="minorHAnsi" w:cstheme="minorHAnsi"/>
                <w:sz w:val="22"/>
                <w:szCs w:val="22"/>
              </w:rPr>
              <w:t>ONEP, DWR</w:t>
            </w:r>
            <w:r w:rsidR="00EC73E1" w:rsidRPr="004F6095">
              <w:rPr>
                <w:rFonts w:asciiTheme="minorHAnsi" w:hAnsiTheme="minorHAnsi" w:cstheme="minorHAnsi"/>
                <w:sz w:val="22"/>
                <w:szCs w:val="22"/>
              </w:rPr>
              <w:t>, UNEP</w:t>
            </w:r>
          </w:p>
        </w:tc>
        <w:tc>
          <w:tcPr>
            <w:tcW w:w="1349" w:type="dxa"/>
            <w:gridSpan w:val="3"/>
            <w:tcBorders>
              <w:top w:val="single" w:sz="6" w:space="0" w:color="auto"/>
              <w:left w:val="single" w:sz="6" w:space="0" w:color="auto"/>
              <w:bottom w:val="single" w:sz="6" w:space="0" w:color="auto"/>
              <w:right w:val="single" w:sz="6" w:space="0" w:color="auto"/>
            </w:tcBorders>
            <w:shd w:val="clear" w:color="auto" w:fill="auto"/>
          </w:tcPr>
          <w:p w14:paraId="2C901C6B" w14:textId="15D11F06" w:rsidR="008B0A03" w:rsidRPr="004F6095" w:rsidRDefault="00EC73E1" w:rsidP="008B0A03">
            <w:pPr>
              <w:tabs>
                <w:tab w:val="left" w:pos="1080"/>
              </w:tabs>
              <w:rPr>
                <w:rFonts w:cstheme="minorHAnsi"/>
              </w:rPr>
            </w:pPr>
            <w:r w:rsidRPr="004F6095">
              <w:rPr>
                <w:rFonts w:cstheme="minorHAnsi"/>
              </w:rPr>
              <w:t xml:space="preserve">UNEP is </w:t>
            </w:r>
            <w:r w:rsidR="00DD65B5" w:rsidRPr="004F6095">
              <w:rPr>
                <w:rFonts w:cstheme="minorHAnsi"/>
              </w:rPr>
              <w:t>setting</w:t>
            </w:r>
            <w:r w:rsidRPr="004F6095">
              <w:rPr>
                <w:rFonts w:cstheme="minorHAnsi"/>
              </w:rPr>
              <w:t xml:space="preserve"> up the project management unit with the TDRI. </w:t>
            </w:r>
          </w:p>
          <w:p w14:paraId="5048F2E6" w14:textId="1097EDC1" w:rsidR="00BA395A" w:rsidRPr="004F6095" w:rsidRDefault="00BA395A" w:rsidP="008B0A03">
            <w:pPr>
              <w:tabs>
                <w:tab w:val="left" w:pos="1080"/>
              </w:tabs>
              <w:rPr>
                <w:rFonts w:cstheme="minorHAnsi"/>
              </w:rPr>
            </w:pPr>
            <w:r w:rsidRPr="004F6095">
              <w:rPr>
                <w:rFonts w:cstheme="minorHAnsi"/>
              </w:rPr>
              <w:t xml:space="preserve">ONEP is transferring Wetland and Ramsar related mandate to DWR. </w:t>
            </w:r>
          </w:p>
        </w:tc>
        <w:tc>
          <w:tcPr>
            <w:tcW w:w="995" w:type="dxa"/>
            <w:gridSpan w:val="2"/>
            <w:tcBorders>
              <w:top w:val="single" w:sz="6" w:space="0" w:color="auto"/>
              <w:left w:val="single" w:sz="6" w:space="0" w:color="auto"/>
              <w:bottom w:val="single" w:sz="6" w:space="0" w:color="auto"/>
            </w:tcBorders>
          </w:tcPr>
          <w:p w14:paraId="199B4E6E" w14:textId="7180113D" w:rsidR="008B0A03" w:rsidRPr="004F6095" w:rsidRDefault="000F7E71" w:rsidP="008B0A03">
            <w:pPr>
              <w:tabs>
                <w:tab w:val="left" w:pos="1080"/>
              </w:tabs>
              <w:rPr>
                <w:rFonts w:cstheme="minorHAnsi"/>
              </w:rPr>
            </w:pPr>
            <w:r>
              <w:rPr>
                <w:rFonts w:cstheme="minorHAnsi"/>
              </w:rPr>
              <w:t>Initiated</w:t>
            </w:r>
          </w:p>
        </w:tc>
      </w:tr>
      <w:tr w:rsidR="008B0A03" w:rsidRPr="004F6095" w14:paraId="11710073" w14:textId="77777777" w:rsidTr="00D56CA6">
        <w:tc>
          <w:tcPr>
            <w:tcW w:w="9242" w:type="dxa"/>
            <w:gridSpan w:val="10"/>
            <w:shd w:val="clear" w:color="auto" w:fill="F3F3F3"/>
          </w:tcPr>
          <w:p w14:paraId="71787F73" w14:textId="7E6162B2"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 xml:space="preserve">Terminal Evaluation recommendation 10.  </w:t>
            </w:r>
          </w:p>
          <w:p w14:paraId="098DB3AF"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2: Facilitating outcome sustainability – Policy actions </w:t>
            </w:r>
          </w:p>
          <w:p w14:paraId="7FABEB50" w14:textId="6321DE7F"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B1. Complete the process for government review and endorsement of the National Strategy on Peat Swamps, according to the following steps: </w:t>
            </w:r>
          </w:p>
          <w:p w14:paraId="016F4E8F" w14:textId="186C36C6" w:rsidR="008B0A03" w:rsidRPr="004F6095" w:rsidRDefault="00530446" w:rsidP="008B0A03">
            <w:pPr>
              <w:pStyle w:val="Default"/>
              <w:numPr>
                <w:ilvl w:val="0"/>
                <w:numId w:val="3"/>
              </w:numPr>
              <w:rPr>
                <w:rFonts w:asciiTheme="minorHAnsi" w:hAnsiTheme="minorHAnsi" w:cstheme="minorHAnsi"/>
                <w:sz w:val="22"/>
                <w:szCs w:val="22"/>
              </w:rPr>
            </w:pPr>
            <w:r w:rsidRPr="004F6095">
              <w:rPr>
                <w:rFonts w:asciiTheme="minorHAnsi" w:hAnsiTheme="minorHAnsi" w:cstheme="minorHAnsi"/>
                <w:b/>
                <w:bCs/>
                <w:sz w:val="22"/>
                <w:szCs w:val="22"/>
              </w:rPr>
              <w:t>a</w:t>
            </w:r>
            <w:r w:rsidR="008B0A03" w:rsidRPr="004F6095">
              <w:rPr>
                <w:rFonts w:asciiTheme="minorHAnsi" w:hAnsiTheme="minorHAnsi" w:cstheme="minorHAnsi"/>
                <w:b/>
                <w:bCs/>
                <w:sz w:val="22"/>
                <w:szCs w:val="22"/>
              </w:rPr>
              <w:t xml:space="preserve">) </w:t>
            </w:r>
            <w:r w:rsidR="008B0A03" w:rsidRPr="004F6095">
              <w:rPr>
                <w:rFonts w:asciiTheme="minorHAnsi" w:hAnsiTheme="minorHAnsi" w:cstheme="minorHAnsi"/>
                <w:sz w:val="22"/>
                <w:szCs w:val="22"/>
              </w:rPr>
              <w:t xml:space="preserve">Circulate the draft national strategy on peat swamps to related government agencies to review in detail (as the previous COVID situation prevented PSU to hold seminars / workshops </w:t>
            </w:r>
          </w:p>
          <w:p w14:paraId="2625660B" w14:textId="22604310" w:rsidR="008B0A03" w:rsidRPr="004F6095" w:rsidRDefault="00530446" w:rsidP="008B0A03">
            <w:pPr>
              <w:pStyle w:val="Default"/>
              <w:numPr>
                <w:ilvl w:val="0"/>
                <w:numId w:val="3"/>
              </w:numPr>
              <w:rPr>
                <w:rFonts w:asciiTheme="minorHAnsi" w:hAnsiTheme="minorHAnsi" w:cstheme="minorHAnsi"/>
                <w:sz w:val="22"/>
                <w:szCs w:val="22"/>
              </w:rPr>
            </w:pPr>
            <w:r w:rsidRPr="004F6095">
              <w:rPr>
                <w:rFonts w:asciiTheme="minorHAnsi" w:hAnsiTheme="minorHAnsi" w:cstheme="minorHAnsi"/>
                <w:b/>
                <w:bCs/>
                <w:sz w:val="22"/>
                <w:szCs w:val="22"/>
              </w:rPr>
              <w:t>b</w:t>
            </w:r>
            <w:r w:rsidR="008B0A03" w:rsidRPr="004F6095">
              <w:rPr>
                <w:rFonts w:asciiTheme="minorHAnsi" w:hAnsiTheme="minorHAnsi" w:cstheme="minorHAnsi"/>
                <w:b/>
                <w:bCs/>
                <w:sz w:val="22"/>
                <w:szCs w:val="22"/>
              </w:rPr>
              <w:t xml:space="preserve">) </w:t>
            </w:r>
            <w:r w:rsidR="008B0A03" w:rsidRPr="004F6095">
              <w:rPr>
                <w:rFonts w:asciiTheme="minorHAnsi" w:hAnsiTheme="minorHAnsi" w:cstheme="minorHAnsi"/>
                <w:sz w:val="22"/>
                <w:szCs w:val="22"/>
              </w:rPr>
              <w:t xml:space="preserve">Submit the revised national strategy on peat swamps to the Wetland Technical Committee for review </w:t>
            </w:r>
          </w:p>
          <w:p w14:paraId="03C88047" w14:textId="3AF665CE" w:rsidR="008B0A03" w:rsidRPr="004F6095" w:rsidRDefault="00530446" w:rsidP="008B0A03">
            <w:pPr>
              <w:pStyle w:val="Default"/>
              <w:numPr>
                <w:ilvl w:val="0"/>
                <w:numId w:val="3"/>
              </w:numPr>
              <w:rPr>
                <w:rFonts w:asciiTheme="minorHAnsi" w:hAnsiTheme="minorHAnsi" w:cstheme="minorHAnsi"/>
                <w:sz w:val="22"/>
                <w:szCs w:val="22"/>
              </w:rPr>
            </w:pPr>
            <w:r w:rsidRPr="004F6095">
              <w:rPr>
                <w:rFonts w:asciiTheme="minorHAnsi" w:hAnsiTheme="minorHAnsi" w:cstheme="minorHAnsi"/>
                <w:b/>
                <w:bCs/>
                <w:sz w:val="22"/>
                <w:szCs w:val="22"/>
              </w:rPr>
              <w:t>c</w:t>
            </w:r>
            <w:r w:rsidR="008B0A03" w:rsidRPr="004F6095">
              <w:rPr>
                <w:rFonts w:asciiTheme="minorHAnsi" w:hAnsiTheme="minorHAnsi" w:cstheme="minorHAnsi"/>
                <w:b/>
                <w:bCs/>
                <w:sz w:val="22"/>
                <w:szCs w:val="22"/>
              </w:rPr>
              <w:t xml:space="preserve">) </w:t>
            </w:r>
            <w:r w:rsidR="008B0A03" w:rsidRPr="004F6095">
              <w:rPr>
                <w:rFonts w:asciiTheme="minorHAnsi" w:hAnsiTheme="minorHAnsi" w:cstheme="minorHAnsi"/>
                <w:sz w:val="22"/>
                <w:szCs w:val="22"/>
              </w:rPr>
              <w:t xml:space="preserve">Forward the revised draft (considered by Wetland Technical Committee) to the Wetland Management Sub-Committee, then National Environment Committee, and finally Cabinet for endorsement. </w:t>
            </w:r>
          </w:p>
          <w:p w14:paraId="4F8926BA" w14:textId="77777777" w:rsidR="008B0A03" w:rsidRPr="004F6095" w:rsidRDefault="008B0A03" w:rsidP="008B0A03">
            <w:pPr>
              <w:pStyle w:val="Default"/>
              <w:rPr>
                <w:rFonts w:asciiTheme="minorHAnsi" w:hAnsiTheme="minorHAnsi" w:cstheme="minorHAnsi"/>
                <w:b/>
                <w:bCs/>
                <w:sz w:val="22"/>
                <w:szCs w:val="22"/>
              </w:rPr>
            </w:pPr>
          </w:p>
          <w:p w14:paraId="5B9F82FD" w14:textId="77777777" w:rsidR="008B0A03" w:rsidRPr="004F6095" w:rsidRDefault="008B0A03" w:rsidP="008B0A03">
            <w:pPr>
              <w:pStyle w:val="Default"/>
              <w:rPr>
                <w:rFonts w:asciiTheme="minorHAnsi" w:hAnsiTheme="minorHAnsi" w:cstheme="minorHAnsi"/>
                <w:b/>
                <w:sz w:val="22"/>
                <w:szCs w:val="22"/>
              </w:rPr>
            </w:pPr>
          </w:p>
        </w:tc>
      </w:tr>
      <w:tr w:rsidR="008B0A03" w:rsidRPr="004F6095" w14:paraId="07096CB1" w14:textId="77777777" w:rsidTr="00D56CA6">
        <w:tc>
          <w:tcPr>
            <w:tcW w:w="9242" w:type="dxa"/>
            <w:gridSpan w:val="10"/>
            <w:tcBorders>
              <w:top w:val="single" w:sz="4" w:space="0" w:color="auto"/>
              <w:bottom w:val="single" w:sz="6" w:space="0" w:color="auto"/>
            </w:tcBorders>
            <w:shd w:val="clear" w:color="auto" w:fill="F3F3F3"/>
          </w:tcPr>
          <w:p w14:paraId="372AFBC4" w14:textId="25A674A3"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EC73E1" w:rsidRPr="004F6095">
              <w:rPr>
                <w:rFonts w:cstheme="minorHAnsi"/>
              </w:rPr>
              <w:t>Partially accept</w:t>
            </w:r>
            <w:r w:rsidR="006616EA" w:rsidRPr="004F6095">
              <w:rPr>
                <w:rFonts w:cstheme="minorHAnsi"/>
              </w:rPr>
              <w:t>ed</w:t>
            </w:r>
            <w:r w:rsidR="00EC73E1" w:rsidRPr="004F6095">
              <w:rPr>
                <w:rFonts w:cstheme="minorHAnsi"/>
              </w:rPr>
              <w:t xml:space="preserve">. Since 2020, MoNRE has transferred responsibility on Wetland Management to the Department of Water Resource (DWR). The process will be steered by the DWR in consultation with ONEP. </w:t>
            </w:r>
            <w:r w:rsidR="00BA395A" w:rsidRPr="004F6095">
              <w:rPr>
                <w:rFonts w:cstheme="minorHAnsi"/>
              </w:rPr>
              <w:t>DWR is a responsible agency for the Water Resources Management Act B.E. 2561 (2019).</w:t>
            </w:r>
          </w:p>
        </w:tc>
      </w:tr>
      <w:tr w:rsidR="008B0A03" w:rsidRPr="004F6095" w14:paraId="54B78F63"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0F9B77A7"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5A4A01BB"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64314862"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51B2D58E"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575E2F9C"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2104AAE6"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4B1CFC8A"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321122CF"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56712F85"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4F38F6BA"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24B581F7" w14:textId="77777777" w:rsidTr="00D56CA6">
        <w:tc>
          <w:tcPr>
            <w:tcW w:w="2912" w:type="dxa"/>
            <w:tcBorders>
              <w:top w:val="single" w:sz="6" w:space="0" w:color="auto"/>
              <w:bottom w:val="single" w:sz="6" w:space="0" w:color="auto"/>
              <w:right w:val="single" w:sz="6" w:space="0" w:color="auto"/>
            </w:tcBorders>
          </w:tcPr>
          <w:p w14:paraId="53555F0B" w14:textId="2B12141E" w:rsidR="008B0A03" w:rsidRPr="004F6095" w:rsidRDefault="00EC73E1" w:rsidP="008B0A03">
            <w:pPr>
              <w:tabs>
                <w:tab w:val="left" w:pos="1080"/>
              </w:tabs>
              <w:rPr>
                <w:rFonts w:cstheme="minorHAnsi"/>
              </w:rPr>
            </w:pPr>
            <w:r w:rsidRPr="004F6095">
              <w:rPr>
                <w:rFonts w:cstheme="minorHAnsi"/>
              </w:rPr>
              <w:t xml:space="preserve">DWR will ensure that their consultant firm will </w:t>
            </w:r>
            <w:r w:rsidR="000457CD" w:rsidRPr="004F6095">
              <w:rPr>
                <w:rFonts w:cstheme="minorHAnsi"/>
              </w:rPr>
              <w:t xml:space="preserve">use the draft national strategy as a reference for consultation with national and local stakeholders further. </w:t>
            </w:r>
          </w:p>
        </w:tc>
        <w:tc>
          <w:tcPr>
            <w:tcW w:w="1968" w:type="dxa"/>
            <w:gridSpan w:val="2"/>
            <w:tcBorders>
              <w:top w:val="single" w:sz="6" w:space="0" w:color="auto"/>
              <w:left w:val="single" w:sz="6" w:space="0" w:color="auto"/>
              <w:bottom w:val="single" w:sz="6" w:space="0" w:color="auto"/>
              <w:right w:val="single" w:sz="6" w:space="0" w:color="auto"/>
            </w:tcBorders>
          </w:tcPr>
          <w:p w14:paraId="5F9B5B4D" w14:textId="2519E8CD" w:rsidR="008B0A03" w:rsidRPr="004F6095" w:rsidRDefault="000457CD"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June </w:t>
            </w:r>
            <w:r w:rsidR="008B0A03" w:rsidRPr="004F6095">
              <w:rPr>
                <w:rFonts w:asciiTheme="minorHAnsi" w:hAnsiTheme="minorHAnsi" w:cstheme="minorHAnsi"/>
                <w:sz w:val="22"/>
                <w:szCs w:val="22"/>
              </w:rPr>
              <w:t xml:space="preserve">2021 – April 2022 </w:t>
            </w:r>
          </w:p>
          <w:p w14:paraId="6E21EA24" w14:textId="77777777" w:rsidR="008B0A03" w:rsidRPr="004F6095" w:rsidRDefault="008B0A03" w:rsidP="008B0A03">
            <w:pPr>
              <w:pStyle w:val="Default"/>
              <w:rPr>
                <w:rFonts w:asciiTheme="minorHAnsi" w:hAnsiTheme="minorHAnsi" w:cstheme="minorHAnsi"/>
                <w:sz w:val="22"/>
                <w:szCs w:val="22"/>
              </w:rPr>
            </w:pPr>
          </w:p>
        </w:tc>
        <w:tc>
          <w:tcPr>
            <w:tcW w:w="2018" w:type="dxa"/>
            <w:gridSpan w:val="2"/>
            <w:tcBorders>
              <w:top w:val="single" w:sz="6" w:space="0" w:color="auto"/>
              <w:left w:val="single" w:sz="6" w:space="0" w:color="auto"/>
              <w:bottom w:val="single" w:sz="6" w:space="0" w:color="auto"/>
              <w:right w:val="single" w:sz="6" w:space="0" w:color="auto"/>
            </w:tcBorders>
          </w:tcPr>
          <w:p w14:paraId="08ACAC6E" w14:textId="7DF37260" w:rsidR="008B0A03" w:rsidRPr="004F6095" w:rsidRDefault="000457CD" w:rsidP="008B0A03">
            <w:pPr>
              <w:pStyle w:val="Default"/>
              <w:rPr>
                <w:rFonts w:asciiTheme="minorHAnsi" w:hAnsiTheme="minorHAnsi" w:cstheme="minorHAnsi"/>
                <w:sz w:val="22"/>
                <w:szCs w:val="22"/>
              </w:rPr>
            </w:pPr>
            <w:r w:rsidRPr="004F6095">
              <w:rPr>
                <w:rFonts w:asciiTheme="minorHAnsi" w:hAnsiTheme="minorHAnsi" w:cstheme="minorHAnsi"/>
                <w:sz w:val="22"/>
                <w:szCs w:val="22"/>
              </w:rPr>
              <w:t>DWR,</w:t>
            </w:r>
            <w:r w:rsidR="008B0A03" w:rsidRPr="004F6095">
              <w:rPr>
                <w:rFonts w:asciiTheme="minorHAnsi" w:hAnsiTheme="minorHAnsi" w:cstheme="minorHAnsi"/>
                <w:sz w:val="22"/>
                <w:szCs w:val="22"/>
              </w:rPr>
              <w:t xml:space="preserve"> facilitation support from UNDP CO</w:t>
            </w:r>
            <w:r w:rsidRPr="004F6095">
              <w:rPr>
                <w:rFonts w:asciiTheme="minorHAnsi" w:hAnsiTheme="minorHAnsi" w:cstheme="minorHAnsi"/>
                <w:sz w:val="22"/>
                <w:szCs w:val="22"/>
              </w:rPr>
              <w:t xml:space="preserve"> and ONEP</w:t>
            </w:r>
            <w:r w:rsidR="008B0A03" w:rsidRPr="004F6095">
              <w:rPr>
                <w:rFonts w:asciiTheme="minorHAnsi" w:hAnsiTheme="minorHAnsi" w:cstheme="minorHAnsi"/>
                <w:sz w:val="22"/>
                <w:szCs w:val="22"/>
              </w:rPr>
              <w:t xml:space="preserve"> </w:t>
            </w:r>
          </w:p>
          <w:p w14:paraId="2620669C" w14:textId="40C18A94" w:rsidR="008B0A03" w:rsidRPr="004F6095" w:rsidRDefault="008B0A03" w:rsidP="008B0A03">
            <w:pPr>
              <w:pStyle w:val="Default"/>
              <w:rPr>
                <w:rFonts w:asciiTheme="minorHAnsi" w:hAnsiTheme="minorHAnsi" w:cstheme="minorHAnsi"/>
                <w:sz w:val="22"/>
                <w:szCs w:val="22"/>
              </w:rPr>
            </w:pPr>
          </w:p>
        </w:tc>
        <w:tc>
          <w:tcPr>
            <w:tcW w:w="1349" w:type="dxa"/>
            <w:gridSpan w:val="3"/>
            <w:tcBorders>
              <w:top w:val="single" w:sz="6" w:space="0" w:color="auto"/>
              <w:left w:val="single" w:sz="6" w:space="0" w:color="auto"/>
              <w:bottom w:val="single" w:sz="6" w:space="0" w:color="auto"/>
              <w:right w:val="single" w:sz="6" w:space="0" w:color="auto"/>
            </w:tcBorders>
          </w:tcPr>
          <w:p w14:paraId="440D2824" w14:textId="295BC429" w:rsidR="008B0A03" w:rsidRPr="004F6095" w:rsidRDefault="000457CD" w:rsidP="008B0A03">
            <w:pPr>
              <w:tabs>
                <w:tab w:val="left" w:pos="1080"/>
              </w:tabs>
              <w:rPr>
                <w:rFonts w:cstheme="minorHAnsi"/>
              </w:rPr>
            </w:pPr>
            <w:r w:rsidRPr="004F6095">
              <w:rPr>
                <w:rFonts w:cstheme="minorHAnsi"/>
              </w:rPr>
              <w:t>TEAM consultant public company limited has signed the contract with DWR to carry out a one</w:t>
            </w:r>
            <w:r w:rsidR="006616EA" w:rsidRPr="004F6095">
              <w:rPr>
                <w:rFonts w:cstheme="minorHAnsi"/>
              </w:rPr>
              <w:t>-</w:t>
            </w:r>
            <w:r w:rsidRPr="004F6095">
              <w:rPr>
                <w:rFonts w:cstheme="minorHAnsi"/>
              </w:rPr>
              <w:t xml:space="preserve"> year project on Peat Swamp protection project.</w:t>
            </w:r>
          </w:p>
        </w:tc>
        <w:tc>
          <w:tcPr>
            <w:tcW w:w="995" w:type="dxa"/>
            <w:gridSpan w:val="2"/>
            <w:tcBorders>
              <w:top w:val="single" w:sz="6" w:space="0" w:color="auto"/>
              <w:left w:val="single" w:sz="6" w:space="0" w:color="auto"/>
              <w:bottom w:val="single" w:sz="6" w:space="0" w:color="auto"/>
            </w:tcBorders>
          </w:tcPr>
          <w:p w14:paraId="47C9D321" w14:textId="59223C3B" w:rsidR="008B0A03" w:rsidRPr="004F6095" w:rsidRDefault="000F7E71" w:rsidP="008B0A03">
            <w:pPr>
              <w:tabs>
                <w:tab w:val="left" w:pos="1080"/>
              </w:tabs>
              <w:rPr>
                <w:rFonts w:cstheme="minorHAnsi"/>
              </w:rPr>
            </w:pPr>
            <w:r>
              <w:rPr>
                <w:rFonts w:cstheme="minorHAnsi"/>
              </w:rPr>
              <w:t>Initiated</w:t>
            </w:r>
          </w:p>
        </w:tc>
      </w:tr>
      <w:tr w:rsidR="008B0A03" w:rsidRPr="004F6095" w14:paraId="54C6F7A2" w14:textId="77777777" w:rsidTr="00D56CA6">
        <w:tc>
          <w:tcPr>
            <w:tcW w:w="9242" w:type="dxa"/>
            <w:gridSpan w:val="10"/>
            <w:shd w:val="clear" w:color="auto" w:fill="F3F3F3"/>
          </w:tcPr>
          <w:p w14:paraId="467EE4A9" w14:textId="334EC2E5"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 xml:space="preserve">Terminal Evaluation recommendation 11  </w:t>
            </w:r>
          </w:p>
          <w:p w14:paraId="0D16FD0A"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2: Facilitating outcome sustainability – Policy actions </w:t>
            </w:r>
          </w:p>
          <w:p w14:paraId="42739D8F" w14:textId="0D1ED229"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B 2. Integrate the National Strategy on Peat Swamps into relevant national action plans and seek endorsement from Cabinet: </w:t>
            </w:r>
          </w:p>
          <w:p w14:paraId="68704A31" w14:textId="4EED9F43" w:rsidR="008B0A03" w:rsidRPr="004F6095" w:rsidRDefault="000457CD" w:rsidP="008B0A03">
            <w:pPr>
              <w:pStyle w:val="Default"/>
              <w:numPr>
                <w:ilvl w:val="0"/>
                <w:numId w:val="4"/>
              </w:numPr>
              <w:rPr>
                <w:rFonts w:asciiTheme="minorHAnsi" w:hAnsiTheme="minorHAnsi" w:cstheme="minorHAnsi"/>
                <w:sz w:val="22"/>
                <w:szCs w:val="22"/>
              </w:rPr>
            </w:pPr>
            <w:r w:rsidRPr="004F6095">
              <w:rPr>
                <w:rFonts w:asciiTheme="minorHAnsi" w:hAnsiTheme="minorHAnsi" w:cstheme="minorHAnsi"/>
                <w:sz w:val="22"/>
                <w:szCs w:val="22"/>
              </w:rPr>
              <w:t xml:space="preserve">a. </w:t>
            </w:r>
            <w:r w:rsidR="008B0A03" w:rsidRPr="004F6095">
              <w:rPr>
                <w:rFonts w:asciiTheme="minorHAnsi" w:hAnsiTheme="minorHAnsi" w:cstheme="minorHAnsi"/>
                <w:sz w:val="22"/>
                <w:szCs w:val="22"/>
              </w:rPr>
              <w:t xml:space="preserve">National Action Plan on Sustainable Conservation and Utilization of Biodiversity </w:t>
            </w:r>
          </w:p>
          <w:p w14:paraId="36DB3270" w14:textId="5E8A46FF" w:rsidR="008B0A03" w:rsidRPr="004F6095" w:rsidRDefault="000457CD" w:rsidP="008B0A03">
            <w:pPr>
              <w:pStyle w:val="Default"/>
              <w:numPr>
                <w:ilvl w:val="0"/>
                <w:numId w:val="4"/>
              </w:numPr>
              <w:rPr>
                <w:rFonts w:asciiTheme="minorHAnsi" w:hAnsiTheme="minorHAnsi" w:cstheme="minorHAnsi"/>
                <w:sz w:val="22"/>
                <w:szCs w:val="22"/>
              </w:rPr>
            </w:pPr>
            <w:r w:rsidRPr="004F6095">
              <w:rPr>
                <w:rFonts w:asciiTheme="minorHAnsi" w:hAnsiTheme="minorHAnsi" w:cstheme="minorHAnsi"/>
                <w:sz w:val="22"/>
                <w:szCs w:val="22"/>
              </w:rPr>
              <w:t>b.</w:t>
            </w:r>
            <w:r w:rsidR="008B0A03" w:rsidRPr="004F6095">
              <w:rPr>
                <w:rFonts w:asciiTheme="minorHAnsi" w:hAnsiTheme="minorHAnsi" w:cstheme="minorHAnsi"/>
                <w:sz w:val="22"/>
                <w:szCs w:val="22"/>
              </w:rPr>
              <w:t xml:space="preserve"> National Action Plan on Climate Change </w:t>
            </w:r>
          </w:p>
          <w:p w14:paraId="1CF986CB" w14:textId="77777777" w:rsidR="008B0A03" w:rsidRPr="004F6095" w:rsidRDefault="008B0A03" w:rsidP="008B0A03">
            <w:pPr>
              <w:pStyle w:val="Default"/>
              <w:rPr>
                <w:rFonts w:asciiTheme="minorHAnsi" w:hAnsiTheme="minorHAnsi" w:cstheme="minorHAnsi"/>
                <w:b/>
                <w:bCs/>
                <w:sz w:val="22"/>
                <w:szCs w:val="22"/>
              </w:rPr>
            </w:pPr>
          </w:p>
          <w:p w14:paraId="2BB4DE75" w14:textId="77777777" w:rsidR="008B0A03" w:rsidRPr="004F6095" w:rsidRDefault="008B0A03" w:rsidP="008B0A03">
            <w:pPr>
              <w:pStyle w:val="Default"/>
              <w:rPr>
                <w:rFonts w:asciiTheme="minorHAnsi" w:hAnsiTheme="minorHAnsi" w:cstheme="minorHAnsi"/>
                <w:b/>
                <w:sz w:val="22"/>
                <w:szCs w:val="22"/>
              </w:rPr>
            </w:pPr>
          </w:p>
        </w:tc>
      </w:tr>
      <w:tr w:rsidR="008B0A03" w:rsidRPr="004F6095" w14:paraId="3994D45A" w14:textId="77777777" w:rsidTr="00D56CA6">
        <w:tc>
          <w:tcPr>
            <w:tcW w:w="9242" w:type="dxa"/>
            <w:gridSpan w:val="10"/>
            <w:tcBorders>
              <w:top w:val="single" w:sz="4" w:space="0" w:color="auto"/>
              <w:bottom w:val="single" w:sz="6" w:space="0" w:color="auto"/>
            </w:tcBorders>
            <w:shd w:val="clear" w:color="auto" w:fill="F3F3F3"/>
          </w:tcPr>
          <w:p w14:paraId="7016E67A" w14:textId="19A1AD8D"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0457CD" w:rsidRPr="004F6095">
              <w:rPr>
                <w:rFonts w:cstheme="minorHAnsi"/>
              </w:rPr>
              <w:t>Fully accepted.  Since the project end</w:t>
            </w:r>
            <w:r w:rsidR="000162D9" w:rsidRPr="004F6095">
              <w:rPr>
                <w:rFonts w:cstheme="minorHAnsi"/>
              </w:rPr>
              <w:t>ed</w:t>
            </w:r>
            <w:r w:rsidR="000457CD" w:rsidRPr="004F6095">
              <w:rPr>
                <w:rFonts w:cstheme="minorHAnsi"/>
              </w:rPr>
              <w:t xml:space="preserve">, the peat swamp strategy should be </w:t>
            </w:r>
            <w:r w:rsidR="007C32C9" w:rsidRPr="004F6095">
              <w:rPr>
                <w:rFonts w:cstheme="minorHAnsi"/>
              </w:rPr>
              <w:t>embedded</w:t>
            </w:r>
            <w:r w:rsidR="000457CD" w:rsidRPr="004F6095">
              <w:rPr>
                <w:rFonts w:cstheme="minorHAnsi"/>
              </w:rPr>
              <w:t xml:space="preserve"> into relevant action plans</w:t>
            </w:r>
            <w:r w:rsidR="00BA395A" w:rsidRPr="004F6095">
              <w:rPr>
                <w:rFonts w:cstheme="minorHAnsi"/>
              </w:rPr>
              <w:t>, including the 20-year National Development Master Plan, 13</w:t>
            </w:r>
            <w:r w:rsidR="00BA395A" w:rsidRPr="004F6095">
              <w:rPr>
                <w:rFonts w:cstheme="minorHAnsi"/>
                <w:vertAlign w:val="superscript"/>
              </w:rPr>
              <w:t>th</w:t>
            </w:r>
            <w:r w:rsidR="00BA395A" w:rsidRPr="004F6095">
              <w:rPr>
                <w:rFonts w:cstheme="minorHAnsi"/>
              </w:rPr>
              <w:t xml:space="preserve"> NESDP, MoNRE Strategic Plan, Biodiversity Conservation and </w:t>
            </w:r>
            <w:r w:rsidR="00076F28" w:rsidRPr="004F6095">
              <w:rPr>
                <w:rFonts w:cstheme="minorHAnsi"/>
              </w:rPr>
              <w:t xml:space="preserve">Sustainable Consumption </w:t>
            </w:r>
            <w:r w:rsidR="00BA395A" w:rsidRPr="004F6095">
              <w:rPr>
                <w:rFonts w:cstheme="minorHAnsi"/>
              </w:rPr>
              <w:t>Plan,</w:t>
            </w:r>
            <w:r w:rsidR="00076F28" w:rsidRPr="004F6095">
              <w:rPr>
                <w:rFonts w:cstheme="minorHAnsi"/>
              </w:rPr>
              <w:t xml:space="preserve"> Climate Change Master Plan. </w:t>
            </w:r>
            <w:r w:rsidR="00BA395A" w:rsidRPr="004F6095">
              <w:rPr>
                <w:rFonts w:cstheme="minorHAnsi"/>
              </w:rPr>
              <w:t xml:space="preserve">  </w:t>
            </w:r>
          </w:p>
        </w:tc>
      </w:tr>
      <w:tr w:rsidR="008B0A03" w:rsidRPr="004F6095" w14:paraId="5E4C3B03"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4BD3B898"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145D76E3"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60A6A9DF"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74CFADD2"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2E08721F"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2D80C752"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406B577A"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7107B01F"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4EFC7612"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464A5E17"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0F1B9CCA" w14:textId="77777777" w:rsidTr="00D56CA6">
        <w:tc>
          <w:tcPr>
            <w:tcW w:w="2912" w:type="dxa"/>
            <w:tcBorders>
              <w:top w:val="single" w:sz="6" w:space="0" w:color="auto"/>
              <w:bottom w:val="single" w:sz="6" w:space="0" w:color="auto"/>
              <w:right w:val="single" w:sz="6" w:space="0" w:color="auto"/>
            </w:tcBorders>
          </w:tcPr>
          <w:p w14:paraId="150ED9F8" w14:textId="37088D88" w:rsidR="008B0A03" w:rsidRPr="004F6095" w:rsidRDefault="000457CD" w:rsidP="008B0A03">
            <w:pPr>
              <w:tabs>
                <w:tab w:val="left" w:pos="1080"/>
              </w:tabs>
              <w:rPr>
                <w:rFonts w:cstheme="minorHAnsi"/>
              </w:rPr>
            </w:pPr>
            <w:r w:rsidRPr="004F6095">
              <w:rPr>
                <w:rFonts w:cstheme="minorHAnsi"/>
              </w:rPr>
              <w:t>The respective department</w:t>
            </w:r>
            <w:r w:rsidR="006616EA" w:rsidRPr="004F6095">
              <w:rPr>
                <w:rFonts w:cstheme="minorHAnsi"/>
              </w:rPr>
              <w:t>s</w:t>
            </w:r>
            <w:r w:rsidRPr="004F6095">
              <w:rPr>
                <w:rFonts w:cstheme="minorHAnsi"/>
              </w:rPr>
              <w:t xml:space="preserve"> (a,b) will drive the action plan to the cabinet endorsement.</w:t>
            </w:r>
          </w:p>
        </w:tc>
        <w:tc>
          <w:tcPr>
            <w:tcW w:w="1968" w:type="dxa"/>
            <w:gridSpan w:val="2"/>
            <w:tcBorders>
              <w:top w:val="single" w:sz="6" w:space="0" w:color="auto"/>
              <w:left w:val="single" w:sz="6" w:space="0" w:color="auto"/>
              <w:bottom w:val="single" w:sz="6" w:space="0" w:color="auto"/>
              <w:right w:val="single" w:sz="6" w:space="0" w:color="auto"/>
            </w:tcBorders>
          </w:tcPr>
          <w:p w14:paraId="3380F981"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August 2021-August 2022 </w:t>
            </w:r>
          </w:p>
          <w:p w14:paraId="49783660" w14:textId="77777777" w:rsidR="008B0A03" w:rsidRPr="004F6095" w:rsidRDefault="008B0A03" w:rsidP="008B0A03">
            <w:pPr>
              <w:pStyle w:val="Default"/>
              <w:rPr>
                <w:rFonts w:asciiTheme="minorHAnsi" w:hAnsiTheme="minorHAnsi" w:cstheme="minorHAnsi"/>
                <w:sz w:val="22"/>
                <w:szCs w:val="22"/>
              </w:rPr>
            </w:pPr>
          </w:p>
        </w:tc>
        <w:tc>
          <w:tcPr>
            <w:tcW w:w="2018" w:type="dxa"/>
            <w:gridSpan w:val="2"/>
            <w:tcBorders>
              <w:top w:val="single" w:sz="6" w:space="0" w:color="auto"/>
              <w:left w:val="single" w:sz="6" w:space="0" w:color="auto"/>
              <w:bottom w:val="single" w:sz="6" w:space="0" w:color="auto"/>
              <w:right w:val="single" w:sz="6" w:space="0" w:color="auto"/>
            </w:tcBorders>
          </w:tcPr>
          <w:p w14:paraId="08BA45FF"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ONEP; facilitation support from UNDP CO </w:t>
            </w:r>
          </w:p>
          <w:p w14:paraId="23CAD03A" w14:textId="308E3518" w:rsidR="008B0A03" w:rsidRPr="004F6095" w:rsidRDefault="008B0A03" w:rsidP="008B0A03">
            <w:pPr>
              <w:pStyle w:val="Default"/>
              <w:rPr>
                <w:rFonts w:asciiTheme="minorHAnsi" w:hAnsiTheme="minorHAnsi" w:cstheme="minorHAnsi"/>
                <w:sz w:val="22"/>
                <w:szCs w:val="22"/>
              </w:rPr>
            </w:pPr>
          </w:p>
        </w:tc>
        <w:tc>
          <w:tcPr>
            <w:tcW w:w="1349" w:type="dxa"/>
            <w:gridSpan w:val="3"/>
            <w:tcBorders>
              <w:top w:val="single" w:sz="6" w:space="0" w:color="auto"/>
              <w:left w:val="single" w:sz="6" w:space="0" w:color="auto"/>
              <w:bottom w:val="single" w:sz="6" w:space="0" w:color="auto"/>
              <w:right w:val="single" w:sz="6" w:space="0" w:color="auto"/>
            </w:tcBorders>
          </w:tcPr>
          <w:p w14:paraId="36A30242" w14:textId="77777777" w:rsidR="008B0A03" w:rsidRPr="004F6095" w:rsidRDefault="008B0A03" w:rsidP="008B0A03">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269A78DE" w14:textId="77777777" w:rsidR="008B0A03" w:rsidRPr="004F6095" w:rsidRDefault="008B0A03" w:rsidP="008B0A03">
            <w:pPr>
              <w:tabs>
                <w:tab w:val="left" w:pos="1080"/>
              </w:tabs>
              <w:rPr>
                <w:rFonts w:cstheme="minorHAnsi"/>
              </w:rPr>
            </w:pPr>
          </w:p>
        </w:tc>
      </w:tr>
      <w:tr w:rsidR="000162D9" w:rsidRPr="004F6095" w14:paraId="1B788088" w14:textId="77777777" w:rsidTr="00D56CA6">
        <w:tc>
          <w:tcPr>
            <w:tcW w:w="2912" w:type="dxa"/>
            <w:tcBorders>
              <w:top w:val="single" w:sz="6" w:space="0" w:color="auto"/>
              <w:bottom w:val="single" w:sz="6" w:space="0" w:color="auto"/>
              <w:right w:val="single" w:sz="6" w:space="0" w:color="auto"/>
            </w:tcBorders>
          </w:tcPr>
          <w:p w14:paraId="528E31AD" w14:textId="7ECC42F3" w:rsidR="000162D9" w:rsidRPr="004F6095" w:rsidRDefault="000162D9" w:rsidP="008B0A03">
            <w:pPr>
              <w:tabs>
                <w:tab w:val="left" w:pos="1080"/>
              </w:tabs>
              <w:rPr>
                <w:rFonts w:cstheme="minorHAnsi"/>
              </w:rPr>
            </w:pPr>
            <w:r w:rsidRPr="004F6095">
              <w:rPr>
                <w:rFonts w:cstheme="minorHAnsi"/>
              </w:rPr>
              <w:t xml:space="preserve">The Prince </w:t>
            </w:r>
            <w:r w:rsidR="006616EA" w:rsidRPr="004F6095">
              <w:rPr>
                <w:rFonts w:cstheme="minorHAnsi"/>
              </w:rPr>
              <w:t xml:space="preserve">of </w:t>
            </w:r>
            <w:r w:rsidRPr="004F6095">
              <w:rPr>
                <w:rFonts w:cstheme="minorHAnsi"/>
              </w:rPr>
              <w:t>Song</w:t>
            </w:r>
            <w:r w:rsidR="006616EA" w:rsidRPr="004F6095">
              <w:rPr>
                <w:rFonts w:cstheme="minorHAnsi"/>
              </w:rPr>
              <w:t>k</w:t>
            </w:r>
            <w:r w:rsidRPr="004F6095">
              <w:rPr>
                <w:rFonts w:cstheme="minorHAnsi"/>
              </w:rPr>
              <w:t>hla University (PSU) will mainstream the draft strategy for Peat Swamp Management into the 13</w:t>
            </w:r>
            <w:r w:rsidRPr="004F6095">
              <w:rPr>
                <w:rFonts w:cstheme="minorHAnsi"/>
                <w:vertAlign w:val="superscript"/>
              </w:rPr>
              <w:t>th</w:t>
            </w:r>
            <w:r w:rsidRPr="004F6095">
              <w:rPr>
                <w:rFonts w:cstheme="minorHAnsi"/>
              </w:rPr>
              <w:t xml:space="preserve"> NESDP</w:t>
            </w:r>
            <w:r w:rsidR="006616EA" w:rsidRPr="004F6095">
              <w:rPr>
                <w:rFonts w:cstheme="minorHAnsi"/>
              </w:rPr>
              <w:t>, through an appropriate pillar</w:t>
            </w:r>
            <w:r w:rsidRPr="004F6095">
              <w:rPr>
                <w:rFonts w:cstheme="minorHAnsi"/>
              </w:rPr>
              <w:t xml:space="preserve">. </w:t>
            </w:r>
          </w:p>
        </w:tc>
        <w:tc>
          <w:tcPr>
            <w:tcW w:w="1968" w:type="dxa"/>
            <w:gridSpan w:val="2"/>
            <w:tcBorders>
              <w:top w:val="single" w:sz="6" w:space="0" w:color="auto"/>
              <w:left w:val="single" w:sz="6" w:space="0" w:color="auto"/>
              <w:bottom w:val="single" w:sz="6" w:space="0" w:color="auto"/>
              <w:right w:val="single" w:sz="6" w:space="0" w:color="auto"/>
            </w:tcBorders>
          </w:tcPr>
          <w:p w14:paraId="341491E4" w14:textId="72F5E2D8" w:rsidR="000162D9" w:rsidRPr="004F6095" w:rsidRDefault="000162D9" w:rsidP="008B0A03">
            <w:pPr>
              <w:pStyle w:val="Default"/>
              <w:rPr>
                <w:rFonts w:asciiTheme="minorHAnsi" w:hAnsiTheme="minorHAnsi" w:cstheme="minorHAnsi"/>
                <w:sz w:val="22"/>
                <w:szCs w:val="22"/>
              </w:rPr>
            </w:pPr>
            <w:r w:rsidRPr="004F6095">
              <w:rPr>
                <w:rFonts w:asciiTheme="minorHAnsi" w:hAnsiTheme="minorHAnsi" w:cstheme="minorHAnsi"/>
                <w:sz w:val="22"/>
                <w:szCs w:val="22"/>
              </w:rPr>
              <w:t>April 2021 – April 2022</w:t>
            </w:r>
          </w:p>
        </w:tc>
        <w:tc>
          <w:tcPr>
            <w:tcW w:w="2018" w:type="dxa"/>
            <w:gridSpan w:val="2"/>
            <w:tcBorders>
              <w:top w:val="single" w:sz="6" w:space="0" w:color="auto"/>
              <w:left w:val="single" w:sz="6" w:space="0" w:color="auto"/>
              <w:bottom w:val="single" w:sz="6" w:space="0" w:color="auto"/>
              <w:right w:val="single" w:sz="6" w:space="0" w:color="auto"/>
            </w:tcBorders>
          </w:tcPr>
          <w:p w14:paraId="142D9BB7" w14:textId="5CF1DD59" w:rsidR="000162D9" w:rsidRPr="004F6095" w:rsidRDefault="000162D9" w:rsidP="008B0A03">
            <w:pPr>
              <w:pStyle w:val="Default"/>
              <w:rPr>
                <w:rFonts w:asciiTheme="minorHAnsi" w:hAnsiTheme="minorHAnsi" w:cstheme="minorHAnsi"/>
                <w:sz w:val="22"/>
                <w:szCs w:val="22"/>
              </w:rPr>
            </w:pPr>
            <w:r w:rsidRPr="004F6095">
              <w:rPr>
                <w:rFonts w:asciiTheme="minorHAnsi" w:hAnsiTheme="minorHAnsi" w:cstheme="minorHAnsi"/>
                <w:sz w:val="22"/>
                <w:szCs w:val="22"/>
              </w:rPr>
              <w:t>PSU</w:t>
            </w:r>
          </w:p>
        </w:tc>
        <w:tc>
          <w:tcPr>
            <w:tcW w:w="1349" w:type="dxa"/>
            <w:gridSpan w:val="3"/>
            <w:tcBorders>
              <w:top w:val="single" w:sz="6" w:space="0" w:color="auto"/>
              <w:left w:val="single" w:sz="6" w:space="0" w:color="auto"/>
              <w:bottom w:val="single" w:sz="6" w:space="0" w:color="auto"/>
              <w:right w:val="single" w:sz="6" w:space="0" w:color="auto"/>
            </w:tcBorders>
          </w:tcPr>
          <w:p w14:paraId="34BB84B0" w14:textId="2B4D0BC8" w:rsidR="000162D9" w:rsidRPr="004F6095" w:rsidRDefault="000162D9" w:rsidP="008B0A03">
            <w:pPr>
              <w:tabs>
                <w:tab w:val="left" w:pos="1080"/>
              </w:tabs>
              <w:rPr>
                <w:rFonts w:cstheme="minorHAnsi"/>
              </w:rPr>
            </w:pPr>
            <w:r w:rsidRPr="004F6095">
              <w:rPr>
                <w:rFonts w:cstheme="minorHAnsi"/>
              </w:rPr>
              <w:t>Dr. Noparat</w:t>
            </w:r>
            <w:r w:rsidR="006616EA" w:rsidRPr="004F6095">
              <w:rPr>
                <w:rFonts w:cstheme="minorHAnsi"/>
              </w:rPr>
              <w:t xml:space="preserve"> (PSU)</w:t>
            </w:r>
            <w:r w:rsidRPr="004F6095">
              <w:rPr>
                <w:rFonts w:cstheme="minorHAnsi"/>
              </w:rPr>
              <w:t xml:space="preserve"> is a member of the 13</w:t>
            </w:r>
            <w:r w:rsidRPr="004F6095">
              <w:rPr>
                <w:rFonts w:cstheme="minorHAnsi"/>
                <w:vertAlign w:val="superscript"/>
              </w:rPr>
              <w:t>th</w:t>
            </w:r>
            <w:r w:rsidRPr="004F6095">
              <w:rPr>
                <w:rFonts w:cstheme="minorHAnsi"/>
              </w:rPr>
              <w:t xml:space="preserve"> NESDP development process. He has already included the strategic issues for peat swamp management under Wetland Thematic Area</w:t>
            </w:r>
            <w:r w:rsidR="00915BF1" w:rsidRPr="004F6095">
              <w:rPr>
                <w:rFonts w:cstheme="minorHAnsi"/>
              </w:rPr>
              <w:t xml:space="preserve"> and GHG thematic area. </w:t>
            </w:r>
          </w:p>
        </w:tc>
        <w:tc>
          <w:tcPr>
            <w:tcW w:w="995" w:type="dxa"/>
            <w:gridSpan w:val="2"/>
            <w:tcBorders>
              <w:top w:val="single" w:sz="6" w:space="0" w:color="auto"/>
              <w:left w:val="single" w:sz="6" w:space="0" w:color="auto"/>
              <w:bottom w:val="single" w:sz="6" w:space="0" w:color="auto"/>
            </w:tcBorders>
          </w:tcPr>
          <w:p w14:paraId="18DE192D" w14:textId="7D997FC9" w:rsidR="000162D9" w:rsidRPr="004F6095" w:rsidRDefault="000162D9" w:rsidP="008B0A03">
            <w:pPr>
              <w:tabs>
                <w:tab w:val="left" w:pos="1080"/>
              </w:tabs>
              <w:rPr>
                <w:rFonts w:cstheme="minorHAnsi"/>
              </w:rPr>
            </w:pPr>
            <w:r w:rsidRPr="004F6095">
              <w:rPr>
                <w:rFonts w:cstheme="minorHAnsi"/>
              </w:rPr>
              <w:t xml:space="preserve">In progress </w:t>
            </w:r>
          </w:p>
        </w:tc>
      </w:tr>
      <w:tr w:rsidR="00530446" w:rsidRPr="004F6095" w14:paraId="3600905E" w14:textId="77777777" w:rsidTr="00D56CA6">
        <w:tc>
          <w:tcPr>
            <w:tcW w:w="2912" w:type="dxa"/>
            <w:tcBorders>
              <w:top w:val="single" w:sz="6" w:space="0" w:color="auto"/>
              <w:bottom w:val="single" w:sz="6" w:space="0" w:color="auto"/>
              <w:right w:val="single" w:sz="6" w:space="0" w:color="auto"/>
            </w:tcBorders>
          </w:tcPr>
          <w:p w14:paraId="106E7755" w14:textId="7D316A65" w:rsidR="00530446" w:rsidRPr="004F6095" w:rsidRDefault="006616EA" w:rsidP="008B0A03">
            <w:pPr>
              <w:tabs>
                <w:tab w:val="left" w:pos="1080"/>
              </w:tabs>
              <w:rPr>
                <w:rFonts w:cstheme="minorHAnsi"/>
              </w:rPr>
            </w:pPr>
            <w:r w:rsidRPr="004F6095">
              <w:rPr>
                <w:rFonts w:cstheme="minorHAnsi"/>
              </w:rPr>
              <w:t xml:space="preserve">UNDP’s </w:t>
            </w:r>
            <w:r w:rsidR="00530446" w:rsidRPr="004F6095">
              <w:rPr>
                <w:rFonts w:cstheme="minorHAnsi"/>
              </w:rPr>
              <w:t xml:space="preserve">NDC </w:t>
            </w:r>
            <w:r w:rsidRPr="004F6095">
              <w:rPr>
                <w:rFonts w:cstheme="minorHAnsi"/>
              </w:rPr>
              <w:t>S</w:t>
            </w:r>
            <w:r w:rsidR="00530446" w:rsidRPr="004F6095">
              <w:rPr>
                <w:rFonts w:cstheme="minorHAnsi"/>
              </w:rPr>
              <w:t xml:space="preserve">upport project manager will take peat swamp carbon sequestration issues into consideration of the National Action Plan on Climate Change (advance NDC).  </w:t>
            </w:r>
          </w:p>
        </w:tc>
        <w:tc>
          <w:tcPr>
            <w:tcW w:w="1968" w:type="dxa"/>
            <w:gridSpan w:val="2"/>
            <w:tcBorders>
              <w:top w:val="single" w:sz="6" w:space="0" w:color="auto"/>
              <w:left w:val="single" w:sz="6" w:space="0" w:color="auto"/>
              <w:bottom w:val="single" w:sz="6" w:space="0" w:color="auto"/>
              <w:right w:val="single" w:sz="6" w:space="0" w:color="auto"/>
            </w:tcBorders>
          </w:tcPr>
          <w:p w14:paraId="78E4A25C" w14:textId="6FC64FA1" w:rsidR="00530446" w:rsidRPr="004F6095" w:rsidRDefault="00530446" w:rsidP="008B0A03">
            <w:pPr>
              <w:pStyle w:val="Default"/>
              <w:rPr>
                <w:rFonts w:asciiTheme="minorHAnsi" w:hAnsiTheme="minorHAnsi" w:cstheme="minorHAnsi"/>
                <w:sz w:val="22"/>
                <w:szCs w:val="22"/>
              </w:rPr>
            </w:pPr>
            <w:r w:rsidRPr="004F6095">
              <w:rPr>
                <w:rFonts w:asciiTheme="minorHAnsi" w:hAnsiTheme="minorHAnsi" w:cstheme="minorHAnsi"/>
                <w:sz w:val="22"/>
                <w:szCs w:val="22"/>
              </w:rPr>
              <w:t>May 2021 – August 2022</w:t>
            </w:r>
          </w:p>
        </w:tc>
        <w:tc>
          <w:tcPr>
            <w:tcW w:w="2018" w:type="dxa"/>
            <w:gridSpan w:val="2"/>
            <w:tcBorders>
              <w:top w:val="single" w:sz="6" w:space="0" w:color="auto"/>
              <w:left w:val="single" w:sz="6" w:space="0" w:color="auto"/>
              <w:bottom w:val="single" w:sz="6" w:space="0" w:color="auto"/>
              <w:right w:val="single" w:sz="6" w:space="0" w:color="auto"/>
            </w:tcBorders>
          </w:tcPr>
          <w:p w14:paraId="7635A33F" w14:textId="6BCBAA49" w:rsidR="00530446" w:rsidRPr="004F6095" w:rsidRDefault="00530446"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UNDP, Climate Change Coordination Div, ONEP </w:t>
            </w:r>
          </w:p>
        </w:tc>
        <w:tc>
          <w:tcPr>
            <w:tcW w:w="1349" w:type="dxa"/>
            <w:gridSpan w:val="3"/>
            <w:tcBorders>
              <w:top w:val="single" w:sz="6" w:space="0" w:color="auto"/>
              <w:left w:val="single" w:sz="6" w:space="0" w:color="auto"/>
              <w:bottom w:val="single" w:sz="6" w:space="0" w:color="auto"/>
              <w:right w:val="single" w:sz="6" w:space="0" w:color="auto"/>
            </w:tcBorders>
          </w:tcPr>
          <w:p w14:paraId="02C4A399" w14:textId="77777777" w:rsidR="00530446" w:rsidRPr="004F6095" w:rsidRDefault="00530446" w:rsidP="008B0A03">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4CC4D3DD" w14:textId="116D9301" w:rsidR="00530446" w:rsidRPr="004F6095" w:rsidRDefault="000F7E71" w:rsidP="008B0A03">
            <w:pPr>
              <w:tabs>
                <w:tab w:val="left" w:pos="1080"/>
              </w:tabs>
              <w:rPr>
                <w:rFonts w:cstheme="minorHAnsi"/>
              </w:rPr>
            </w:pPr>
            <w:r>
              <w:rPr>
                <w:rFonts w:cstheme="minorHAnsi"/>
              </w:rPr>
              <w:t>Initiated</w:t>
            </w:r>
          </w:p>
        </w:tc>
      </w:tr>
      <w:tr w:rsidR="008B0A03" w:rsidRPr="004F6095" w14:paraId="358466B2" w14:textId="77777777" w:rsidTr="00D56CA6">
        <w:tc>
          <w:tcPr>
            <w:tcW w:w="9242" w:type="dxa"/>
            <w:gridSpan w:val="10"/>
            <w:shd w:val="clear" w:color="auto" w:fill="F3F3F3"/>
          </w:tcPr>
          <w:p w14:paraId="149B09C6" w14:textId="383371A9"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 xml:space="preserve">Terminal Evaluation recommendation 12  </w:t>
            </w:r>
          </w:p>
          <w:p w14:paraId="1AD2AC47"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2: Facilitating outcome sustainability – Policy actions </w:t>
            </w:r>
          </w:p>
          <w:p w14:paraId="36618F93" w14:textId="23C33ABB"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B3. Propose an amendment to the Cabinet Resolutions </w:t>
            </w:r>
            <w:r w:rsidRPr="004F6095">
              <w:rPr>
                <w:rFonts w:asciiTheme="minorHAnsi" w:hAnsiTheme="minorHAnsi" w:cstheme="minorHAnsi"/>
                <w:sz w:val="22"/>
                <w:szCs w:val="22"/>
              </w:rPr>
              <w:t xml:space="preserve">on 1 August B.E. 2543 and 3 November B.E. 2552 as follows: </w:t>
            </w:r>
          </w:p>
          <w:p w14:paraId="57CDD298" w14:textId="02FDAA73" w:rsidR="008B0A03" w:rsidRPr="004F6095" w:rsidRDefault="00530446" w:rsidP="008B0A03">
            <w:pPr>
              <w:pStyle w:val="Default"/>
              <w:numPr>
                <w:ilvl w:val="0"/>
                <w:numId w:val="5"/>
              </w:numPr>
              <w:rPr>
                <w:rFonts w:asciiTheme="minorHAnsi" w:hAnsiTheme="minorHAnsi" w:cstheme="minorHAnsi"/>
                <w:sz w:val="22"/>
                <w:szCs w:val="22"/>
              </w:rPr>
            </w:pPr>
            <w:r w:rsidRPr="004F6095">
              <w:rPr>
                <w:rFonts w:asciiTheme="minorHAnsi" w:hAnsiTheme="minorHAnsi" w:cstheme="minorHAnsi"/>
                <w:sz w:val="22"/>
                <w:szCs w:val="22"/>
              </w:rPr>
              <w:t>a</w:t>
            </w:r>
            <w:r w:rsidR="008B0A03" w:rsidRPr="004F6095">
              <w:rPr>
                <w:rFonts w:asciiTheme="minorHAnsi" w:hAnsiTheme="minorHAnsi" w:cstheme="minorHAnsi"/>
                <w:sz w:val="22"/>
                <w:szCs w:val="22"/>
              </w:rPr>
              <w:t xml:space="preserve">) </w:t>
            </w:r>
            <w:r w:rsidR="008B0A03" w:rsidRPr="004F6095">
              <w:rPr>
                <w:rFonts w:asciiTheme="minorHAnsi" w:hAnsiTheme="minorHAnsi" w:cstheme="minorHAnsi"/>
                <w:b/>
                <w:bCs/>
                <w:sz w:val="22"/>
                <w:szCs w:val="22"/>
              </w:rPr>
              <w:t xml:space="preserve">Revise and prioritize the list of wetland areas </w:t>
            </w:r>
            <w:r w:rsidR="008B0A03" w:rsidRPr="004F6095">
              <w:rPr>
                <w:rFonts w:asciiTheme="minorHAnsi" w:hAnsiTheme="minorHAnsi" w:cstheme="minorHAnsi"/>
                <w:sz w:val="22"/>
                <w:szCs w:val="22"/>
              </w:rPr>
              <w:t xml:space="preserve">by adding the peat swamps listed in the PSU inventory of peat swamps </w:t>
            </w:r>
          </w:p>
          <w:p w14:paraId="0E14E30B" w14:textId="5DF726F2" w:rsidR="008B0A03" w:rsidRPr="004F6095" w:rsidRDefault="00530446" w:rsidP="008B0A03">
            <w:pPr>
              <w:pStyle w:val="Default"/>
              <w:numPr>
                <w:ilvl w:val="0"/>
                <w:numId w:val="5"/>
              </w:numPr>
              <w:rPr>
                <w:rFonts w:asciiTheme="minorHAnsi" w:hAnsiTheme="minorHAnsi" w:cstheme="minorHAnsi"/>
                <w:sz w:val="22"/>
                <w:szCs w:val="22"/>
              </w:rPr>
            </w:pPr>
            <w:r w:rsidRPr="004F6095">
              <w:rPr>
                <w:rFonts w:asciiTheme="minorHAnsi" w:hAnsiTheme="minorHAnsi" w:cstheme="minorHAnsi"/>
                <w:sz w:val="22"/>
                <w:szCs w:val="22"/>
              </w:rPr>
              <w:t>b</w:t>
            </w:r>
            <w:r w:rsidR="008B0A03" w:rsidRPr="004F6095">
              <w:rPr>
                <w:rFonts w:asciiTheme="minorHAnsi" w:hAnsiTheme="minorHAnsi" w:cstheme="minorHAnsi"/>
                <w:sz w:val="22"/>
                <w:szCs w:val="22"/>
              </w:rPr>
              <w:t xml:space="preserve">) </w:t>
            </w:r>
            <w:r w:rsidR="008B0A03" w:rsidRPr="004F6095">
              <w:rPr>
                <w:rFonts w:asciiTheme="minorHAnsi" w:hAnsiTheme="minorHAnsi" w:cstheme="minorHAnsi"/>
                <w:b/>
                <w:bCs/>
                <w:sz w:val="22"/>
                <w:szCs w:val="22"/>
              </w:rPr>
              <w:t>Revise the list of critical wetland areas urgently requiring restoration and conservation</w:t>
            </w:r>
            <w:r w:rsidR="008B0A03" w:rsidRPr="004F6095">
              <w:rPr>
                <w:rFonts w:asciiTheme="minorHAnsi" w:hAnsiTheme="minorHAnsi" w:cstheme="minorHAnsi"/>
                <w:sz w:val="22"/>
                <w:szCs w:val="22"/>
              </w:rPr>
              <w:t xml:space="preserve">, based on the PSU and project’s works specifying the peat swamp areas that are under threat </w:t>
            </w:r>
          </w:p>
          <w:p w14:paraId="7F6AB558" w14:textId="77777777" w:rsidR="008B0A03" w:rsidRPr="004F6095" w:rsidRDefault="008B0A03" w:rsidP="008B0A03">
            <w:pPr>
              <w:pStyle w:val="Default"/>
              <w:rPr>
                <w:rFonts w:asciiTheme="minorHAnsi" w:hAnsiTheme="minorHAnsi" w:cstheme="minorHAnsi"/>
                <w:b/>
                <w:bCs/>
                <w:sz w:val="22"/>
                <w:szCs w:val="22"/>
              </w:rPr>
            </w:pPr>
          </w:p>
          <w:p w14:paraId="3BBBFA76" w14:textId="77777777" w:rsidR="008B0A03" w:rsidRPr="004F6095" w:rsidRDefault="008B0A03" w:rsidP="008B0A03">
            <w:pPr>
              <w:pStyle w:val="Default"/>
              <w:rPr>
                <w:rFonts w:asciiTheme="minorHAnsi" w:hAnsiTheme="minorHAnsi" w:cstheme="minorHAnsi"/>
                <w:b/>
                <w:sz w:val="22"/>
                <w:szCs w:val="22"/>
              </w:rPr>
            </w:pPr>
          </w:p>
        </w:tc>
      </w:tr>
      <w:tr w:rsidR="008B0A03" w:rsidRPr="004F6095" w14:paraId="33C4947F" w14:textId="77777777" w:rsidTr="00D56CA6">
        <w:tc>
          <w:tcPr>
            <w:tcW w:w="9242" w:type="dxa"/>
            <w:gridSpan w:val="10"/>
            <w:tcBorders>
              <w:top w:val="single" w:sz="4" w:space="0" w:color="auto"/>
              <w:bottom w:val="single" w:sz="6" w:space="0" w:color="auto"/>
            </w:tcBorders>
            <w:shd w:val="clear" w:color="auto" w:fill="F3F3F3"/>
          </w:tcPr>
          <w:p w14:paraId="33648EBC" w14:textId="5D6A9234"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ED5AEB" w:rsidRPr="004F6095">
              <w:rPr>
                <w:rFonts w:cstheme="minorHAnsi"/>
              </w:rPr>
              <w:t>Fully accept</w:t>
            </w:r>
            <w:r w:rsidR="006616EA" w:rsidRPr="004F6095">
              <w:rPr>
                <w:rFonts w:cstheme="minorHAnsi"/>
              </w:rPr>
              <w:t>ed</w:t>
            </w:r>
            <w:r w:rsidR="00ED5AEB" w:rsidRPr="004F6095">
              <w:rPr>
                <w:rFonts w:cstheme="minorHAnsi"/>
              </w:rPr>
              <w:t xml:space="preserve">. </w:t>
            </w:r>
            <w:r w:rsidR="001A5D34" w:rsidRPr="004F6095">
              <w:rPr>
                <w:rFonts w:cstheme="minorHAnsi"/>
              </w:rPr>
              <w:t>The legislati</w:t>
            </w:r>
            <w:r w:rsidR="000162D9" w:rsidRPr="004F6095">
              <w:rPr>
                <w:rFonts w:cstheme="minorHAnsi"/>
              </w:rPr>
              <w:t>ve</w:t>
            </w:r>
            <w:r w:rsidR="001A5D34" w:rsidRPr="004F6095">
              <w:rPr>
                <w:rFonts w:cstheme="minorHAnsi"/>
              </w:rPr>
              <w:t xml:space="preserve"> framework on wetland protection will protect peat swamp in the future. </w:t>
            </w:r>
          </w:p>
        </w:tc>
      </w:tr>
      <w:tr w:rsidR="008B0A03" w:rsidRPr="004F6095" w14:paraId="57158D06"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17818995"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5F87CA81"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7770AB99"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38740CA3"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376F614C"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70D007C7"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77C74D02"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33E23F56"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09A49898"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0A7EA43D"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3E581764" w14:textId="77777777" w:rsidTr="00D56CA6">
        <w:tc>
          <w:tcPr>
            <w:tcW w:w="2912" w:type="dxa"/>
            <w:tcBorders>
              <w:top w:val="single" w:sz="6" w:space="0" w:color="auto"/>
              <w:bottom w:val="single" w:sz="6" w:space="0" w:color="auto"/>
              <w:right w:val="single" w:sz="6" w:space="0" w:color="auto"/>
            </w:tcBorders>
          </w:tcPr>
          <w:p w14:paraId="46F46FBC" w14:textId="7F50ADA0" w:rsidR="008B0A03" w:rsidRPr="004F6095" w:rsidRDefault="00ED5AEB" w:rsidP="008B0A03">
            <w:pPr>
              <w:tabs>
                <w:tab w:val="left" w:pos="1080"/>
              </w:tabs>
              <w:rPr>
                <w:rFonts w:cstheme="minorHAnsi"/>
              </w:rPr>
            </w:pPr>
            <w:r w:rsidRPr="004F6095">
              <w:rPr>
                <w:rFonts w:cstheme="minorHAnsi"/>
              </w:rPr>
              <w:t xml:space="preserve">The programme analyst will monitor the transition process from ONEP to DWR with regard to the mission on wetland management. </w:t>
            </w:r>
          </w:p>
        </w:tc>
        <w:tc>
          <w:tcPr>
            <w:tcW w:w="1968" w:type="dxa"/>
            <w:gridSpan w:val="2"/>
            <w:tcBorders>
              <w:top w:val="single" w:sz="6" w:space="0" w:color="auto"/>
              <w:left w:val="single" w:sz="6" w:space="0" w:color="auto"/>
              <w:bottom w:val="single" w:sz="6" w:space="0" w:color="auto"/>
              <w:right w:val="single" w:sz="6" w:space="0" w:color="auto"/>
            </w:tcBorders>
          </w:tcPr>
          <w:p w14:paraId="65327B60"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April -Dec 2021- </w:t>
            </w:r>
          </w:p>
          <w:p w14:paraId="0BA771CE" w14:textId="77777777" w:rsidR="008B0A03" w:rsidRPr="004F6095" w:rsidRDefault="008B0A03" w:rsidP="008B0A03">
            <w:pPr>
              <w:tabs>
                <w:tab w:val="left" w:pos="1080"/>
              </w:tabs>
              <w:rPr>
                <w:rFonts w:cstheme="minorHAnsi"/>
                <w:lang w:val="en-GB"/>
              </w:rPr>
            </w:pPr>
          </w:p>
        </w:tc>
        <w:tc>
          <w:tcPr>
            <w:tcW w:w="2018" w:type="dxa"/>
            <w:gridSpan w:val="2"/>
            <w:tcBorders>
              <w:top w:val="single" w:sz="6" w:space="0" w:color="auto"/>
              <w:left w:val="single" w:sz="6" w:space="0" w:color="auto"/>
              <w:bottom w:val="single" w:sz="6" w:space="0" w:color="auto"/>
              <w:right w:val="single" w:sz="6" w:space="0" w:color="auto"/>
            </w:tcBorders>
          </w:tcPr>
          <w:p w14:paraId="61A2B15C" w14:textId="53734E06" w:rsidR="008B0A03" w:rsidRPr="004F6095" w:rsidRDefault="00ED5AEB" w:rsidP="008B0A03">
            <w:pPr>
              <w:pStyle w:val="Default"/>
              <w:rPr>
                <w:rFonts w:asciiTheme="minorHAnsi" w:hAnsiTheme="minorHAnsi" w:cstheme="minorHAnsi"/>
                <w:sz w:val="22"/>
                <w:szCs w:val="22"/>
              </w:rPr>
            </w:pPr>
            <w:r w:rsidRPr="004F6095">
              <w:rPr>
                <w:rFonts w:asciiTheme="minorHAnsi" w:hAnsiTheme="minorHAnsi" w:cstheme="minorHAnsi"/>
                <w:sz w:val="22"/>
                <w:szCs w:val="22"/>
              </w:rPr>
              <w:t>DWR</w:t>
            </w:r>
            <w:r w:rsidR="008B0A03" w:rsidRPr="004F6095">
              <w:rPr>
                <w:rFonts w:asciiTheme="minorHAnsi" w:hAnsiTheme="minorHAnsi" w:cstheme="minorHAnsi"/>
                <w:sz w:val="22"/>
                <w:szCs w:val="22"/>
              </w:rPr>
              <w:t xml:space="preserve">; </w:t>
            </w:r>
          </w:p>
          <w:p w14:paraId="31C5AADA" w14:textId="5DCE7E26"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facilitation support from </w:t>
            </w:r>
            <w:r w:rsidR="00ED5AEB" w:rsidRPr="004F6095">
              <w:rPr>
                <w:rFonts w:asciiTheme="minorHAnsi" w:hAnsiTheme="minorHAnsi" w:cstheme="minorHAnsi"/>
                <w:sz w:val="22"/>
                <w:szCs w:val="22"/>
              </w:rPr>
              <w:t>ONEP</w:t>
            </w:r>
          </w:p>
        </w:tc>
        <w:tc>
          <w:tcPr>
            <w:tcW w:w="1349" w:type="dxa"/>
            <w:gridSpan w:val="3"/>
            <w:tcBorders>
              <w:top w:val="single" w:sz="6" w:space="0" w:color="auto"/>
              <w:left w:val="single" w:sz="6" w:space="0" w:color="auto"/>
              <w:bottom w:val="single" w:sz="6" w:space="0" w:color="auto"/>
              <w:right w:val="single" w:sz="6" w:space="0" w:color="auto"/>
            </w:tcBorders>
          </w:tcPr>
          <w:p w14:paraId="07383DD2" w14:textId="77777777" w:rsidR="008B0A03" w:rsidRPr="004F6095" w:rsidRDefault="008B0A03" w:rsidP="008B0A03">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13A865DA" w14:textId="33AD5299" w:rsidR="008B0A03" w:rsidRPr="004F6095" w:rsidRDefault="000F7E71" w:rsidP="008B0A03">
            <w:pPr>
              <w:tabs>
                <w:tab w:val="left" w:pos="1080"/>
              </w:tabs>
              <w:rPr>
                <w:rFonts w:cstheme="minorHAnsi"/>
              </w:rPr>
            </w:pPr>
            <w:r>
              <w:rPr>
                <w:rFonts w:cstheme="minorHAnsi"/>
              </w:rPr>
              <w:t>Initiated</w:t>
            </w:r>
          </w:p>
        </w:tc>
      </w:tr>
      <w:tr w:rsidR="008B0A03" w:rsidRPr="004F6095" w14:paraId="50D9C657" w14:textId="77777777" w:rsidTr="00D56CA6">
        <w:tc>
          <w:tcPr>
            <w:tcW w:w="9242" w:type="dxa"/>
            <w:gridSpan w:val="10"/>
            <w:shd w:val="clear" w:color="auto" w:fill="F3F3F3"/>
          </w:tcPr>
          <w:p w14:paraId="606776FE" w14:textId="680F9AC8"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Terminal Evaluation recommendation 13</w:t>
            </w:r>
          </w:p>
          <w:p w14:paraId="7C4CCDE1"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2: Facilitating outcome sustainability – Policy actions </w:t>
            </w:r>
          </w:p>
          <w:p w14:paraId="46F4453C" w14:textId="7CA94368"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B4. Propose to the Cabinet to designate Kuan Kreng Peat Swamp and other peat swamps as Wetlands of International Importance under the Ramsar Convention. </w:t>
            </w:r>
          </w:p>
          <w:p w14:paraId="364E8AAE" w14:textId="39041804" w:rsidR="008B0A03" w:rsidRPr="004F6095" w:rsidRDefault="008B0A03" w:rsidP="008B0A03">
            <w:pPr>
              <w:pStyle w:val="Default"/>
              <w:rPr>
                <w:rFonts w:asciiTheme="minorHAnsi" w:hAnsiTheme="minorHAnsi" w:cstheme="minorHAnsi"/>
                <w:b/>
                <w:bCs/>
                <w:sz w:val="22"/>
                <w:szCs w:val="22"/>
              </w:rPr>
            </w:pPr>
            <w:r w:rsidRPr="004F6095">
              <w:rPr>
                <w:rFonts w:asciiTheme="minorHAnsi" w:hAnsiTheme="minorHAnsi" w:cstheme="minorHAnsi"/>
                <w:sz w:val="22"/>
                <w:szCs w:val="22"/>
              </w:rPr>
              <w:t xml:space="preserve">Project Output 1.1 proposed Ramsar Site designation of the Kuan Kreng peat swamp by Year 2 of the project. So this measure is needed to address this gap in project outcomes (it is not reflected in the results framework, strangely). The designation of other peat swamps is highly desirable in order to promote their conservation and sustainable use, and to raise their profile among local stakeholders. </w:t>
            </w:r>
          </w:p>
          <w:p w14:paraId="7E2AF3D9" w14:textId="77777777" w:rsidR="008B0A03" w:rsidRPr="004F6095" w:rsidRDefault="008B0A03" w:rsidP="008B0A03">
            <w:pPr>
              <w:pStyle w:val="Default"/>
              <w:rPr>
                <w:rFonts w:asciiTheme="minorHAnsi" w:hAnsiTheme="minorHAnsi" w:cstheme="minorHAnsi"/>
                <w:b/>
                <w:sz w:val="22"/>
                <w:szCs w:val="22"/>
              </w:rPr>
            </w:pPr>
          </w:p>
        </w:tc>
      </w:tr>
      <w:tr w:rsidR="008B0A03" w:rsidRPr="004F6095" w14:paraId="474AD51F" w14:textId="77777777" w:rsidTr="00D56CA6">
        <w:tc>
          <w:tcPr>
            <w:tcW w:w="9242" w:type="dxa"/>
            <w:gridSpan w:val="10"/>
            <w:tcBorders>
              <w:top w:val="single" w:sz="4" w:space="0" w:color="auto"/>
              <w:bottom w:val="single" w:sz="6" w:space="0" w:color="auto"/>
            </w:tcBorders>
            <w:shd w:val="clear" w:color="auto" w:fill="F3F3F3"/>
          </w:tcPr>
          <w:p w14:paraId="4D9AD0D8" w14:textId="43982BBC"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076F28" w:rsidRPr="004F6095">
              <w:rPr>
                <w:rFonts w:cstheme="minorHAnsi"/>
              </w:rPr>
              <w:t xml:space="preserve">Partially </w:t>
            </w:r>
            <w:r w:rsidR="006347F5" w:rsidRPr="004F6095">
              <w:rPr>
                <w:rFonts w:cstheme="minorHAnsi"/>
              </w:rPr>
              <w:t>accept</w:t>
            </w:r>
            <w:r w:rsidR="00B159DB" w:rsidRPr="004F6095">
              <w:rPr>
                <w:rFonts w:cstheme="minorHAnsi"/>
              </w:rPr>
              <w:t>ed</w:t>
            </w:r>
            <w:r w:rsidR="006347F5" w:rsidRPr="004F6095">
              <w:rPr>
                <w:rFonts w:cstheme="minorHAnsi"/>
              </w:rPr>
              <w:t>. Being a Ramsar site will he</w:t>
            </w:r>
            <w:r w:rsidR="000162D9" w:rsidRPr="004F6095">
              <w:rPr>
                <w:rFonts w:cstheme="minorHAnsi"/>
              </w:rPr>
              <w:t>l</w:t>
            </w:r>
            <w:r w:rsidR="006347F5" w:rsidRPr="004F6095">
              <w:rPr>
                <w:rFonts w:cstheme="minorHAnsi"/>
              </w:rPr>
              <w:t xml:space="preserve">p protect the peat swamp </w:t>
            </w:r>
            <w:r w:rsidR="00B159DB" w:rsidRPr="004F6095">
              <w:rPr>
                <w:rFonts w:cstheme="minorHAnsi"/>
              </w:rPr>
              <w:t xml:space="preserve">for the </w:t>
            </w:r>
            <w:r w:rsidR="006347F5" w:rsidRPr="004F6095">
              <w:rPr>
                <w:rFonts w:cstheme="minorHAnsi"/>
              </w:rPr>
              <w:t>community and will prevent unchecked infrastructure development project</w:t>
            </w:r>
            <w:r w:rsidR="00B159DB" w:rsidRPr="004F6095">
              <w:rPr>
                <w:rFonts w:cstheme="minorHAnsi"/>
              </w:rPr>
              <w:t>s</w:t>
            </w:r>
            <w:r w:rsidR="006347F5" w:rsidRPr="004F6095">
              <w:rPr>
                <w:rFonts w:cstheme="minorHAnsi"/>
              </w:rPr>
              <w:t xml:space="preserve"> in </w:t>
            </w:r>
            <w:r w:rsidR="00B159DB" w:rsidRPr="004F6095">
              <w:rPr>
                <w:rFonts w:cstheme="minorHAnsi"/>
              </w:rPr>
              <w:t xml:space="preserve">the </w:t>
            </w:r>
            <w:r w:rsidR="006347F5" w:rsidRPr="004F6095">
              <w:rPr>
                <w:rFonts w:cstheme="minorHAnsi"/>
              </w:rPr>
              <w:t>peat swa</w:t>
            </w:r>
            <w:r w:rsidR="00076F28" w:rsidRPr="004F6095">
              <w:rPr>
                <w:rFonts w:cstheme="minorHAnsi"/>
              </w:rPr>
              <w:t>m</w:t>
            </w:r>
            <w:r w:rsidR="006347F5" w:rsidRPr="004F6095">
              <w:rPr>
                <w:rFonts w:cstheme="minorHAnsi"/>
              </w:rPr>
              <w:t xml:space="preserve">p area.  </w:t>
            </w:r>
            <w:r w:rsidR="00076F28" w:rsidRPr="004F6095">
              <w:rPr>
                <w:rFonts w:cstheme="minorHAnsi"/>
              </w:rPr>
              <w:t xml:space="preserve">However, the detailed study for Ramsar site nomination is essential and need to be proposed by local community.  </w:t>
            </w:r>
          </w:p>
        </w:tc>
      </w:tr>
      <w:tr w:rsidR="008B0A03" w:rsidRPr="004F6095" w14:paraId="59B21B24"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1CDEDA42"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2C67E135"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28376FD1"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71C97C4A"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3EF707EE"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20C82273"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38DE5E9C"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45E04F6D"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4953F0BF"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3447BBA9"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491A203F" w14:textId="77777777" w:rsidTr="00D56CA6">
        <w:tc>
          <w:tcPr>
            <w:tcW w:w="2912" w:type="dxa"/>
            <w:tcBorders>
              <w:top w:val="single" w:sz="6" w:space="0" w:color="auto"/>
              <w:bottom w:val="single" w:sz="6" w:space="0" w:color="auto"/>
              <w:right w:val="single" w:sz="6" w:space="0" w:color="auto"/>
            </w:tcBorders>
          </w:tcPr>
          <w:p w14:paraId="25F7FE85" w14:textId="571812C6" w:rsidR="008B0A03" w:rsidRPr="004F6095" w:rsidRDefault="006347F5" w:rsidP="008B0A03">
            <w:pPr>
              <w:tabs>
                <w:tab w:val="left" w:pos="1080"/>
              </w:tabs>
              <w:rPr>
                <w:rFonts w:cstheme="minorHAnsi"/>
              </w:rPr>
            </w:pPr>
            <w:r w:rsidRPr="004F6095">
              <w:rPr>
                <w:rFonts w:cstheme="minorHAnsi"/>
              </w:rPr>
              <w:t xml:space="preserve">Either Prince Songkhla University or RECOFTC will propose Kuan Kreng Peat Swamp as Wetland of International Importance under the Ramsar Convention.   </w:t>
            </w:r>
          </w:p>
        </w:tc>
        <w:tc>
          <w:tcPr>
            <w:tcW w:w="1968" w:type="dxa"/>
            <w:gridSpan w:val="2"/>
            <w:tcBorders>
              <w:top w:val="single" w:sz="6" w:space="0" w:color="auto"/>
              <w:left w:val="single" w:sz="6" w:space="0" w:color="auto"/>
              <w:bottom w:val="single" w:sz="6" w:space="0" w:color="auto"/>
              <w:right w:val="single" w:sz="6" w:space="0" w:color="auto"/>
            </w:tcBorders>
          </w:tcPr>
          <w:p w14:paraId="37EA3250" w14:textId="3968BE0A" w:rsidR="008B0A03" w:rsidRPr="004F6095" w:rsidRDefault="006347F5" w:rsidP="008B0A03">
            <w:pPr>
              <w:pStyle w:val="Default"/>
              <w:rPr>
                <w:rFonts w:asciiTheme="minorHAnsi" w:hAnsiTheme="minorHAnsi" w:cstheme="minorHAnsi"/>
                <w:sz w:val="22"/>
                <w:szCs w:val="22"/>
              </w:rPr>
            </w:pPr>
            <w:r w:rsidRPr="004F6095">
              <w:rPr>
                <w:rFonts w:asciiTheme="minorHAnsi" w:hAnsiTheme="minorHAnsi" w:cstheme="minorHAnsi"/>
                <w:sz w:val="22"/>
                <w:szCs w:val="22"/>
              </w:rPr>
              <w:t>June</w:t>
            </w:r>
            <w:r w:rsidR="008B0A03" w:rsidRPr="004F6095">
              <w:rPr>
                <w:rFonts w:asciiTheme="minorHAnsi" w:hAnsiTheme="minorHAnsi" w:cstheme="minorHAnsi"/>
                <w:sz w:val="22"/>
                <w:szCs w:val="22"/>
              </w:rPr>
              <w:t xml:space="preserve"> - 2021- April 2022 </w:t>
            </w:r>
          </w:p>
          <w:p w14:paraId="35EBEB9D" w14:textId="77777777" w:rsidR="008B0A03" w:rsidRPr="004F6095" w:rsidRDefault="008B0A03" w:rsidP="008B0A03">
            <w:pPr>
              <w:tabs>
                <w:tab w:val="left" w:pos="1080"/>
              </w:tabs>
              <w:rPr>
                <w:rFonts w:cstheme="minorHAnsi"/>
                <w:lang w:val="en-GB"/>
              </w:rPr>
            </w:pPr>
          </w:p>
        </w:tc>
        <w:tc>
          <w:tcPr>
            <w:tcW w:w="2018" w:type="dxa"/>
            <w:gridSpan w:val="2"/>
            <w:tcBorders>
              <w:top w:val="single" w:sz="6" w:space="0" w:color="auto"/>
              <w:left w:val="single" w:sz="6" w:space="0" w:color="auto"/>
              <w:bottom w:val="single" w:sz="6" w:space="0" w:color="auto"/>
              <w:right w:val="single" w:sz="6" w:space="0" w:color="auto"/>
            </w:tcBorders>
          </w:tcPr>
          <w:p w14:paraId="42F474B5" w14:textId="3FD2A835" w:rsidR="008B0A03" w:rsidRPr="004F6095" w:rsidRDefault="006347F5" w:rsidP="008B0A03">
            <w:pPr>
              <w:pStyle w:val="Default"/>
              <w:rPr>
                <w:rFonts w:asciiTheme="minorHAnsi" w:hAnsiTheme="minorHAnsi" w:cstheme="minorHAnsi"/>
                <w:sz w:val="22"/>
                <w:szCs w:val="22"/>
              </w:rPr>
            </w:pPr>
            <w:r w:rsidRPr="004F6095">
              <w:rPr>
                <w:rFonts w:asciiTheme="minorHAnsi" w:hAnsiTheme="minorHAnsi" w:cstheme="minorHAnsi"/>
                <w:sz w:val="22"/>
                <w:szCs w:val="22"/>
              </w:rPr>
              <w:t>DWR in associate with ONEP</w:t>
            </w:r>
          </w:p>
          <w:p w14:paraId="36BAC1D3" w14:textId="77777777" w:rsidR="008B0A03" w:rsidRPr="004F6095" w:rsidRDefault="008B0A03" w:rsidP="008B0A03">
            <w:pPr>
              <w:pStyle w:val="Default"/>
              <w:rPr>
                <w:rFonts w:asciiTheme="minorHAnsi" w:hAnsiTheme="minorHAnsi" w:cstheme="minorHAnsi"/>
                <w:sz w:val="22"/>
                <w:szCs w:val="22"/>
              </w:rPr>
            </w:pPr>
          </w:p>
        </w:tc>
        <w:tc>
          <w:tcPr>
            <w:tcW w:w="1349" w:type="dxa"/>
            <w:gridSpan w:val="3"/>
            <w:tcBorders>
              <w:top w:val="single" w:sz="6" w:space="0" w:color="auto"/>
              <w:left w:val="single" w:sz="6" w:space="0" w:color="auto"/>
              <w:bottom w:val="single" w:sz="6" w:space="0" w:color="auto"/>
              <w:right w:val="single" w:sz="6" w:space="0" w:color="auto"/>
            </w:tcBorders>
          </w:tcPr>
          <w:p w14:paraId="35AA82AF" w14:textId="48B05C58" w:rsidR="008B0A03" w:rsidRPr="004F6095" w:rsidRDefault="006347F5" w:rsidP="008B0A03">
            <w:pPr>
              <w:tabs>
                <w:tab w:val="left" w:pos="1080"/>
              </w:tabs>
              <w:rPr>
                <w:rFonts w:cstheme="minorHAnsi"/>
              </w:rPr>
            </w:pPr>
            <w:r w:rsidRPr="004F6095">
              <w:rPr>
                <w:rFonts w:cstheme="minorHAnsi"/>
              </w:rPr>
              <w:t>Technical support for Ramsar Site datasheet, map and proposal are needed</w:t>
            </w:r>
          </w:p>
        </w:tc>
        <w:tc>
          <w:tcPr>
            <w:tcW w:w="995" w:type="dxa"/>
            <w:gridSpan w:val="2"/>
            <w:tcBorders>
              <w:top w:val="single" w:sz="6" w:space="0" w:color="auto"/>
              <w:left w:val="single" w:sz="6" w:space="0" w:color="auto"/>
              <w:bottom w:val="single" w:sz="6" w:space="0" w:color="auto"/>
            </w:tcBorders>
          </w:tcPr>
          <w:p w14:paraId="696454E7" w14:textId="2B3DDEC0" w:rsidR="008B0A03" w:rsidRPr="004F6095" w:rsidRDefault="000F7E71" w:rsidP="008B0A03">
            <w:pPr>
              <w:tabs>
                <w:tab w:val="left" w:pos="1080"/>
              </w:tabs>
              <w:rPr>
                <w:rFonts w:cstheme="minorHAnsi"/>
              </w:rPr>
            </w:pPr>
            <w:r>
              <w:rPr>
                <w:rFonts w:cstheme="minorHAnsi"/>
              </w:rPr>
              <w:t>Not initiated</w:t>
            </w:r>
          </w:p>
        </w:tc>
      </w:tr>
      <w:tr w:rsidR="008B0A03" w:rsidRPr="004F6095" w14:paraId="53BD4845" w14:textId="77777777" w:rsidTr="00D56CA6">
        <w:tc>
          <w:tcPr>
            <w:tcW w:w="9242" w:type="dxa"/>
            <w:gridSpan w:val="10"/>
            <w:shd w:val="clear" w:color="auto" w:fill="F3F3F3"/>
          </w:tcPr>
          <w:p w14:paraId="1D970243" w14:textId="15458FC6"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Terminal Evaluation recommendation 14</w:t>
            </w:r>
          </w:p>
          <w:p w14:paraId="453E8501"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2: Facilitating outcome sustainability – Policy actions </w:t>
            </w:r>
          </w:p>
          <w:p w14:paraId="43873D84" w14:textId="77777777" w:rsidR="008B0A03" w:rsidRPr="004F6095" w:rsidRDefault="008B0A03" w:rsidP="008B0A03">
            <w:pPr>
              <w:pStyle w:val="Default"/>
              <w:rPr>
                <w:rFonts w:asciiTheme="minorHAnsi" w:hAnsiTheme="minorHAnsi" w:cstheme="minorHAnsi"/>
                <w:b/>
                <w:bCs/>
                <w:sz w:val="22"/>
                <w:szCs w:val="22"/>
              </w:rPr>
            </w:pPr>
            <w:r w:rsidRPr="004F6095">
              <w:rPr>
                <w:rFonts w:asciiTheme="minorHAnsi" w:hAnsiTheme="minorHAnsi" w:cstheme="minorHAnsi"/>
                <w:b/>
                <w:bCs/>
                <w:sz w:val="22"/>
                <w:szCs w:val="22"/>
              </w:rPr>
              <w:t xml:space="preserve">B5. </w:t>
            </w:r>
          </w:p>
          <w:p w14:paraId="7BBBFF78"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Expand Kuan Ki Sien Ramsar Site to cover Thale Noi NHA </w:t>
            </w:r>
          </w:p>
          <w:p w14:paraId="0A8147D7" w14:textId="40A3F468" w:rsidR="008B0A03" w:rsidRPr="004F6095" w:rsidRDefault="008B0A03" w:rsidP="008B0A03">
            <w:pPr>
              <w:pStyle w:val="Default"/>
              <w:rPr>
                <w:rFonts w:asciiTheme="minorHAnsi" w:hAnsiTheme="minorHAnsi" w:cstheme="minorHAnsi"/>
                <w:b/>
                <w:bCs/>
                <w:sz w:val="22"/>
                <w:szCs w:val="22"/>
              </w:rPr>
            </w:pPr>
            <w:r w:rsidRPr="004F6095">
              <w:rPr>
                <w:rFonts w:asciiTheme="minorHAnsi" w:hAnsiTheme="minorHAnsi" w:cstheme="minorHAnsi"/>
                <w:sz w:val="22"/>
                <w:szCs w:val="22"/>
              </w:rPr>
              <w:t xml:space="preserve">The expansion of this Ramsar Site to the whole of the NHA is logical to cover all wetland habitats and adjacent drylands within the KKL – so the whole area of the NHA within Phatthalung province is covered by one Ramsar Site, while a second new site (above) would cover the remainder of KKL in NST province. </w:t>
            </w:r>
          </w:p>
          <w:p w14:paraId="1CADB9BB" w14:textId="460FEA41" w:rsidR="008B0A03" w:rsidRPr="004F6095" w:rsidRDefault="008B0A03" w:rsidP="008B0A03">
            <w:pPr>
              <w:pStyle w:val="Default"/>
              <w:rPr>
                <w:rFonts w:asciiTheme="minorHAnsi" w:hAnsiTheme="minorHAnsi" w:cstheme="minorHAnsi"/>
                <w:b/>
                <w:bCs/>
                <w:sz w:val="22"/>
                <w:szCs w:val="22"/>
              </w:rPr>
            </w:pPr>
          </w:p>
          <w:p w14:paraId="4FBAFE5E" w14:textId="77777777" w:rsidR="008B0A03" w:rsidRPr="004F6095" w:rsidRDefault="008B0A03" w:rsidP="008B0A03">
            <w:pPr>
              <w:pStyle w:val="Default"/>
              <w:rPr>
                <w:rFonts w:asciiTheme="minorHAnsi" w:hAnsiTheme="minorHAnsi" w:cstheme="minorHAnsi"/>
                <w:b/>
                <w:sz w:val="22"/>
                <w:szCs w:val="22"/>
              </w:rPr>
            </w:pPr>
          </w:p>
        </w:tc>
      </w:tr>
      <w:tr w:rsidR="008B0A03" w:rsidRPr="004F6095" w14:paraId="1A1FA6D8" w14:textId="77777777" w:rsidTr="00D56CA6">
        <w:tc>
          <w:tcPr>
            <w:tcW w:w="9242" w:type="dxa"/>
            <w:gridSpan w:val="10"/>
            <w:tcBorders>
              <w:top w:val="single" w:sz="4" w:space="0" w:color="auto"/>
              <w:bottom w:val="single" w:sz="6" w:space="0" w:color="auto"/>
            </w:tcBorders>
            <w:shd w:val="clear" w:color="auto" w:fill="F3F3F3"/>
          </w:tcPr>
          <w:p w14:paraId="1F8A5D07" w14:textId="1099070D"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6347F5" w:rsidRPr="004F6095">
              <w:rPr>
                <w:rFonts w:cstheme="minorHAnsi"/>
              </w:rPr>
              <w:t xml:space="preserve"> Fully accept</w:t>
            </w:r>
            <w:r w:rsidR="00B159DB" w:rsidRPr="004F6095">
              <w:rPr>
                <w:rFonts w:cstheme="minorHAnsi"/>
              </w:rPr>
              <w:t>ed</w:t>
            </w:r>
            <w:r w:rsidR="00076F28" w:rsidRPr="004F6095">
              <w:rPr>
                <w:rFonts w:cstheme="minorHAnsi"/>
              </w:rPr>
              <w:t xml:space="preserve">. The Kuan Ki Sien Ramsar Site is situate in the Non-hunting Ta Lay Noi zone where both locations are the same ecosystem.  </w:t>
            </w:r>
            <w:r w:rsidR="006347F5" w:rsidRPr="004F6095">
              <w:rPr>
                <w:rFonts w:cstheme="minorHAnsi"/>
              </w:rPr>
              <w:t xml:space="preserve"> </w:t>
            </w:r>
          </w:p>
        </w:tc>
      </w:tr>
      <w:tr w:rsidR="008B0A03" w:rsidRPr="004F6095" w14:paraId="2A8F7F66"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4B506304"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65F37348"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479A8166"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0D6303A5"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48969C59"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5E173735"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3BADCD36"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15A66C1C"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2C8E1955"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626E9D54"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322C123E" w14:textId="77777777" w:rsidTr="00D56CA6">
        <w:tc>
          <w:tcPr>
            <w:tcW w:w="2912" w:type="dxa"/>
            <w:tcBorders>
              <w:top w:val="single" w:sz="6" w:space="0" w:color="auto"/>
              <w:bottom w:val="single" w:sz="6" w:space="0" w:color="auto"/>
              <w:right w:val="single" w:sz="6" w:space="0" w:color="auto"/>
            </w:tcBorders>
          </w:tcPr>
          <w:p w14:paraId="54F8CD56" w14:textId="400F451C" w:rsidR="008B0A03" w:rsidRPr="004F6095" w:rsidRDefault="000162D9" w:rsidP="008B0A03">
            <w:pPr>
              <w:tabs>
                <w:tab w:val="left" w:pos="1080"/>
              </w:tabs>
              <w:rPr>
                <w:rFonts w:cstheme="minorHAnsi"/>
              </w:rPr>
            </w:pPr>
            <w:r w:rsidRPr="004F6095">
              <w:rPr>
                <w:rFonts w:cstheme="minorHAnsi"/>
              </w:rPr>
              <w:t>The DWR’s consulting firm will coordinate with the technical working group on Ramsar site under ONEP/DWR.</w:t>
            </w:r>
            <w:r w:rsidR="006347F5" w:rsidRPr="004F6095">
              <w:rPr>
                <w:rFonts w:cstheme="minorHAnsi"/>
              </w:rPr>
              <w:t xml:space="preserve"> </w:t>
            </w:r>
          </w:p>
        </w:tc>
        <w:tc>
          <w:tcPr>
            <w:tcW w:w="1968" w:type="dxa"/>
            <w:gridSpan w:val="2"/>
            <w:tcBorders>
              <w:top w:val="single" w:sz="6" w:space="0" w:color="auto"/>
              <w:left w:val="single" w:sz="6" w:space="0" w:color="auto"/>
              <w:bottom w:val="single" w:sz="6" w:space="0" w:color="auto"/>
              <w:right w:val="single" w:sz="6" w:space="0" w:color="auto"/>
            </w:tcBorders>
          </w:tcPr>
          <w:p w14:paraId="511FA109" w14:textId="424970FA" w:rsidR="008B0A03" w:rsidRPr="004F6095" w:rsidRDefault="006347F5" w:rsidP="008B0A03">
            <w:pPr>
              <w:pStyle w:val="Default"/>
              <w:rPr>
                <w:rFonts w:asciiTheme="minorHAnsi" w:hAnsiTheme="minorHAnsi" w:cstheme="minorHAnsi"/>
                <w:sz w:val="22"/>
                <w:szCs w:val="22"/>
              </w:rPr>
            </w:pPr>
            <w:r w:rsidRPr="004F6095">
              <w:rPr>
                <w:rFonts w:asciiTheme="minorHAnsi" w:hAnsiTheme="minorHAnsi" w:cstheme="minorHAnsi"/>
                <w:sz w:val="22"/>
                <w:szCs w:val="22"/>
              </w:rPr>
              <w:t>May</w:t>
            </w:r>
            <w:r w:rsidR="008B0A03" w:rsidRPr="004F6095">
              <w:rPr>
                <w:rFonts w:asciiTheme="minorHAnsi" w:hAnsiTheme="minorHAnsi" w:cstheme="minorHAnsi"/>
                <w:sz w:val="22"/>
                <w:szCs w:val="22"/>
              </w:rPr>
              <w:t xml:space="preserve"> – Dec 2021 </w:t>
            </w:r>
          </w:p>
          <w:p w14:paraId="1E240112" w14:textId="77777777" w:rsidR="008B0A03" w:rsidRPr="004F6095" w:rsidRDefault="008B0A03" w:rsidP="008B0A03">
            <w:pPr>
              <w:tabs>
                <w:tab w:val="left" w:pos="1080"/>
              </w:tabs>
              <w:rPr>
                <w:rFonts w:cstheme="minorHAnsi"/>
                <w:lang w:val="en-GB"/>
              </w:rPr>
            </w:pPr>
          </w:p>
        </w:tc>
        <w:tc>
          <w:tcPr>
            <w:tcW w:w="2018" w:type="dxa"/>
            <w:gridSpan w:val="2"/>
            <w:tcBorders>
              <w:top w:val="single" w:sz="6" w:space="0" w:color="auto"/>
              <w:left w:val="single" w:sz="6" w:space="0" w:color="auto"/>
              <w:bottom w:val="single" w:sz="6" w:space="0" w:color="auto"/>
              <w:right w:val="single" w:sz="6" w:space="0" w:color="auto"/>
            </w:tcBorders>
          </w:tcPr>
          <w:p w14:paraId="4830DCCB" w14:textId="6D5FA598" w:rsidR="008B0A03" w:rsidRPr="004F6095" w:rsidRDefault="00ED08CA"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 DWR</w:t>
            </w:r>
            <w:r w:rsidR="008B0A03" w:rsidRPr="004F6095">
              <w:rPr>
                <w:rFonts w:asciiTheme="minorHAnsi" w:hAnsiTheme="minorHAnsi" w:cstheme="minorHAnsi"/>
                <w:sz w:val="22"/>
                <w:szCs w:val="22"/>
              </w:rPr>
              <w:t xml:space="preserve"> </w:t>
            </w:r>
          </w:p>
          <w:p w14:paraId="3B2F2F8F" w14:textId="77777777" w:rsidR="008B0A03" w:rsidRPr="004F6095" w:rsidRDefault="008B0A03" w:rsidP="008B0A03">
            <w:pPr>
              <w:pStyle w:val="Default"/>
              <w:rPr>
                <w:rFonts w:asciiTheme="minorHAnsi" w:hAnsiTheme="minorHAnsi" w:cstheme="minorHAnsi"/>
                <w:sz w:val="22"/>
                <w:szCs w:val="22"/>
              </w:rPr>
            </w:pPr>
          </w:p>
        </w:tc>
        <w:tc>
          <w:tcPr>
            <w:tcW w:w="1349" w:type="dxa"/>
            <w:gridSpan w:val="3"/>
            <w:tcBorders>
              <w:top w:val="single" w:sz="6" w:space="0" w:color="auto"/>
              <w:left w:val="single" w:sz="6" w:space="0" w:color="auto"/>
              <w:bottom w:val="single" w:sz="6" w:space="0" w:color="auto"/>
              <w:right w:val="single" w:sz="6" w:space="0" w:color="auto"/>
            </w:tcBorders>
          </w:tcPr>
          <w:p w14:paraId="1C405A44" w14:textId="11B81330" w:rsidR="008B0A03" w:rsidRPr="004F6095" w:rsidRDefault="006347F5" w:rsidP="008B0A03">
            <w:pPr>
              <w:tabs>
                <w:tab w:val="left" w:pos="1080"/>
              </w:tabs>
              <w:rPr>
                <w:rFonts w:cstheme="minorHAnsi"/>
              </w:rPr>
            </w:pPr>
            <w:r w:rsidRPr="004F6095">
              <w:rPr>
                <w:rFonts w:cstheme="minorHAnsi"/>
              </w:rPr>
              <w:t>Technical support for revised Ramsar Site datasheet, map and proposal are needed</w:t>
            </w:r>
          </w:p>
        </w:tc>
        <w:tc>
          <w:tcPr>
            <w:tcW w:w="995" w:type="dxa"/>
            <w:gridSpan w:val="2"/>
            <w:tcBorders>
              <w:top w:val="single" w:sz="6" w:space="0" w:color="auto"/>
              <w:left w:val="single" w:sz="6" w:space="0" w:color="auto"/>
              <w:bottom w:val="single" w:sz="6" w:space="0" w:color="auto"/>
            </w:tcBorders>
          </w:tcPr>
          <w:p w14:paraId="6BD3A9F5" w14:textId="78ADA0FD" w:rsidR="008B0A03" w:rsidRPr="004F6095" w:rsidRDefault="000F7E71" w:rsidP="008B0A03">
            <w:pPr>
              <w:tabs>
                <w:tab w:val="left" w:pos="1080"/>
              </w:tabs>
              <w:rPr>
                <w:rFonts w:cstheme="minorHAnsi"/>
              </w:rPr>
            </w:pPr>
            <w:r>
              <w:rPr>
                <w:rFonts w:cstheme="minorHAnsi"/>
              </w:rPr>
              <w:t>Initiated</w:t>
            </w:r>
          </w:p>
        </w:tc>
      </w:tr>
      <w:tr w:rsidR="008B0A03" w:rsidRPr="004F6095" w14:paraId="66505400" w14:textId="77777777" w:rsidTr="00D56CA6">
        <w:tc>
          <w:tcPr>
            <w:tcW w:w="9242" w:type="dxa"/>
            <w:gridSpan w:val="10"/>
            <w:shd w:val="clear" w:color="auto" w:fill="F3F3F3"/>
          </w:tcPr>
          <w:p w14:paraId="4DA1E127" w14:textId="5F88BDB0"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Terminal Evaluation recommendation 15</w:t>
            </w:r>
          </w:p>
          <w:p w14:paraId="56477CB8"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2: Facilitating outcome sustainability – Policy actions </w:t>
            </w:r>
          </w:p>
          <w:p w14:paraId="5FBCD592" w14:textId="77777777" w:rsidR="008B0A03" w:rsidRPr="004F6095" w:rsidRDefault="008B0A03" w:rsidP="008B0A03">
            <w:pPr>
              <w:pStyle w:val="Default"/>
              <w:rPr>
                <w:rFonts w:asciiTheme="minorHAnsi" w:hAnsiTheme="minorHAnsi" w:cstheme="minorHAnsi"/>
                <w:b/>
                <w:sz w:val="22"/>
                <w:szCs w:val="22"/>
              </w:rPr>
            </w:pPr>
            <w:r w:rsidRPr="004F6095">
              <w:rPr>
                <w:rFonts w:asciiTheme="minorHAnsi" w:hAnsiTheme="minorHAnsi" w:cstheme="minorHAnsi"/>
                <w:b/>
                <w:bCs/>
                <w:sz w:val="22"/>
                <w:szCs w:val="22"/>
              </w:rPr>
              <w:t xml:space="preserve">B6. </w:t>
            </w:r>
          </w:p>
          <w:p w14:paraId="6B72EE03"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Propose to the Cabinet to designate To Daeng Peat Swamp as an ASEAN Heritage Site </w:t>
            </w:r>
          </w:p>
          <w:p w14:paraId="69791CBC" w14:textId="34761139" w:rsidR="008B0A03" w:rsidRPr="004F6095" w:rsidRDefault="008B0A03" w:rsidP="008B0A03">
            <w:pPr>
              <w:pStyle w:val="Default"/>
              <w:rPr>
                <w:rFonts w:asciiTheme="minorHAnsi" w:hAnsiTheme="minorHAnsi" w:cstheme="minorHAnsi"/>
                <w:b/>
                <w:sz w:val="22"/>
                <w:szCs w:val="22"/>
              </w:rPr>
            </w:pPr>
            <w:r w:rsidRPr="004F6095">
              <w:rPr>
                <w:rFonts w:asciiTheme="minorHAnsi" w:hAnsiTheme="minorHAnsi" w:cstheme="minorHAnsi"/>
                <w:sz w:val="22"/>
                <w:szCs w:val="22"/>
              </w:rPr>
              <w:t xml:space="preserve">As the largest peat swamp in Thailand, and one of the best studied sites, this would be excellent recognition for To Daeng (aka Sirindhorn peat swamp) in Narathiwat Province (area: 120,000 rai or about 19,200 hectares) and everyone who has worked on it over the years. </w:t>
            </w:r>
          </w:p>
        </w:tc>
      </w:tr>
      <w:tr w:rsidR="008B0A03" w:rsidRPr="004F6095" w14:paraId="2B3FB7F0" w14:textId="77777777" w:rsidTr="00D56CA6">
        <w:tc>
          <w:tcPr>
            <w:tcW w:w="9242" w:type="dxa"/>
            <w:gridSpan w:val="10"/>
            <w:tcBorders>
              <w:top w:val="single" w:sz="4" w:space="0" w:color="auto"/>
              <w:bottom w:val="single" w:sz="6" w:space="0" w:color="auto"/>
            </w:tcBorders>
            <w:shd w:val="clear" w:color="auto" w:fill="F3F3F3"/>
          </w:tcPr>
          <w:p w14:paraId="32B37FEF" w14:textId="20FACC13"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E66F1D" w:rsidRPr="004F6095">
              <w:rPr>
                <w:rFonts w:cstheme="minorHAnsi"/>
              </w:rPr>
              <w:t>Fully accept</w:t>
            </w:r>
          </w:p>
        </w:tc>
      </w:tr>
      <w:tr w:rsidR="008B0A03" w:rsidRPr="004F6095" w14:paraId="322A6885"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468029EF"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3DD5950F"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45C4351E"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1336A37B"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0851ECFE"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1FF8910F"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1DE19EA7"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73903AF7"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7F330ED0"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64CC2FC8"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71A00513" w14:textId="77777777" w:rsidTr="00D56CA6">
        <w:tc>
          <w:tcPr>
            <w:tcW w:w="2912" w:type="dxa"/>
            <w:tcBorders>
              <w:top w:val="single" w:sz="6" w:space="0" w:color="auto"/>
              <w:bottom w:val="single" w:sz="6" w:space="0" w:color="auto"/>
              <w:right w:val="single" w:sz="6" w:space="0" w:color="auto"/>
            </w:tcBorders>
          </w:tcPr>
          <w:p w14:paraId="49FD7DE0" w14:textId="0960B368" w:rsidR="008B0A03" w:rsidRPr="004F6095" w:rsidRDefault="00ED08CA" w:rsidP="008B0A03">
            <w:pPr>
              <w:tabs>
                <w:tab w:val="left" w:pos="1080"/>
              </w:tabs>
              <w:rPr>
                <w:rFonts w:cstheme="minorHAnsi"/>
              </w:rPr>
            </w:pPr>
            <w:r w:rsidRPr="004F6095">
              <w:rPr>
                <w:rFonts w:cstheme="minorHAnsi"/>
              </w:rPr>
              <w:t xml:space="preserve">The </w:t>
            </w:r>
            <w:r w:rsidR="000162D9" w:rsidRPr="004F6095">
              <w:rPr>
                <w:rFonts w:cstheme="minorHAnsi"/>
              </w:rPr>
              <w:t xml:space="preserve">DWR’s consulting firm </w:t>
            </w:r>
            <w:r w:rsidRPr="004F6095">
              <w:rPr>
                <w:rFonts w:cstheme="minorHAnsi"/>
              </w:rPr>
              <w:t>will coordinate with the technical working group on Ramsar site under ONEP</w:t>
            </w:r>
            <w:r w:rsidR="000162D9" w:rsidRPr="004F6095">
              <w:rPr>
                <w:rFonts w:cstheme="minorHAnsi"/>
              </w:rPr>
              <w:t>/DWR</w:t>
            </w:r>
            <w:r w:rsidR="00324540" w:rsidRPr="004F6095">
              <w:rPr>
                <w:rFonts w:cstheme="minorHAnsi"/>
              </w:rPr>
              <w:t xml:space="preserve"> to determine this idea and process a formal nomination</w:t>
            </w:r>
          </w:p>
        </w:tc>
        <w:tc>
          <w:tcPr>
            <w:tcW w:w="1968" w:type="dxa"/>
            <w:gridSpan w:val="2"/>
            <w:tcBorders>
              <w:top w:val="single" w:sz="6" w:space="0" w:color="auto"/>
              <w:left w:val="single" w:sz="6" w:space="0" w:color="auto"/>
              <w:bottom w:val="single" w:sz="6" w:space="0" w:color="auto"/>
              <w:right w:val="single" w:sz="6" w:space="0" w:color="auto"/>
            </w:tcBorders>
          </w:tcPr>
          <w:p w14:paraId="785252A8" w14:textId="584928F4" w:rsidR="008B0A03" w:rsidRPr="004F6095" w:rsidRDefault="00ED08CA" w:rsidP="008B0A03">
            <w:pPr>
              <w:pStyle w:val="Default"/>
              <w:rPr>
                <w:rFonts w:asciiTheme="minorHAnsi" w:hAnsiTheme="minorHAnsi" w:cstheme="minorHAnsi"/>
                <w:sz w:val="22"/>
                <w:szCs w:val="22"/>
              </w:rPr>
            </w:pPr>
            <w:r w:rsidRPr="004F6095">
              <w:rPr>
                <w:rFonts w:asciiTheme="minorHAnsi" w:hAnsiTheme="minorHAnsi" w:cstheme="minorHAnsi"/>
                <w:sz w:val="22"/>
                <w:szCs w:val="22"/>
              </w:rPr>
              <w:t>May</w:t>
            </w:r>
            <w:r w:rsidR="008B0A03" w:rsidRPr="004F6095">
              <w:rPr>
                <w:rFonts w:asciiTheme="minorHAnsi" w:hAnsiTheme="minorHAnsi" w:cstheme="minorHAnsi"/>
                <w:sz w:val="22"/>
                <w:szCs w:val="22"/>
              </w:rPr>
              <w:t xml:space="preserve"> – Dec 2021 </w:t>
            </w:r>
          </w:p>
          <w:p w14:paraId="608E435B" w14:textId="77777777" w:rsidR="008B0A03" w:rsidRPr="004F6095" w:rsidRDefault="008B0A03" w:rsidP="008B0A03">
            <w:pPr>
              <w:pStyle w:val="Default"/>
              <w:rPr>
                <w:rFonts w:asciiTheme="minorHAnsi" w:hAnsiTheme="minorHAnsi" w:cstheme="minorHAnsi"/>
                <w:sz w:val="22"/>
                <w:szCs w:val="22"/>
              </w:rPr>
            </w:pPr>
          </w:p>
        </w:tc>
        <w:tc>
          <w:tcPr>
            <w:tcW w:w="2018" w:type="dxa"/>
            <w:gridSpan w:val="2"/>
            <w:tcBorders>
              <w:top w:val="single" w:sz="6" w:space="0" w:color="auto"/>
              <w:left w:val="single" w:sz="6" w:space="0" w:color="auto"/>
              <w:bottom w:val="single" w:sz="6" w:space="0" w:color="auto"/>
              <w:right w:val="single" w:sz="6" w:space="0" w:color="auto"/>
            </w:tcBorders>
          </w:tcPr>
          <w:p w14:paraId="25DD0DC9" w14:textId="59E5F538" w:rsidR="008B0A03" w:rsidRPr="004F6095" w:rsidRDefault="00076F28"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DNP </w:t>
            </w:r>
          </w:p>
          <w:p w14:paraId="5E19FBC8" w14:textId="77777777" w:rsidR="008B0A03" w:rsidRPr="004F6095" w:rsidRDefault="008B0A03" w:rsidP="008B0A03">
            <w:pPr>
              <w:pStyle w:val="Default"/>
              <w:rPr>
                <w:rFonts w:asciiTheme="minorHAnsi" w:hAnsiTheme="minorHAnsi" w:cstheme="minorHAnsi"/>
                <w:sz w:val="22"/>
                <w:szCs w:val="22"/>
              </w:rPr>
            </w:pPr>
          </w:p>
          <w:p w14:paraId="38FAD239" w14:textId="77777777" w:rsidR="008B0A03" w:rsidRPr="004F6095" w:rsidRDefault="008B0A03" w:rsidP="008B0A03">
            <w:pPr>
              <w:pStyle w:val="Default"/>
              <w:rPr>
                <w:rFonts w:asciiTheme="minorHAnsi" w:hAnsiTheme="minorHAnsi" w:cstheme="minorHAnsi"/>
                <w:sz w:val="22"/>
                <w:szCs w:val="22"/>
              </w:rPr>
            </w:pPr>
          </w:p>
        </w:tc>
        <w:tc>
          <w:tcPr>
            <w:tcW w:w="1349" w:type="dxa"/>
            <w:gridSpan w:val="3"/>
            <w:tcBorders>
              <w:top w:val="single" w:sz="6" w:space="0" w:color="auto"/>
              <w:left w:val="single" w:sz="6" w:space="0" w:color="auto"/>
              <w:bottom w:val="single" w:sz="6" w:space="0" w:color="auto"/>
              <w:right w:val="single" w:sz="6" w:space="0" w:color="auto"/>
            </w:tcBorders>
          </w:tcPr>
          <w:p w14:paraId="4D536065" w14:textId="77777777" w:rsidR="008B0A03" w:rsidRPr="004F6095" w:rsidRDefault="00ED08CA" w:rsidP="008B0A03">
            <w:pPr>
              <w:tabs>
                <w:tab w:val="left" w:pos="1080"/>
              </w:tabs>
              <w:rPr>
                <w:rFonts w:cstheme="minorHAnsi"/>
              </w:rPr>
            </w:pPr>
            <w:r w:rsidRPr="004F6095">
              <w:rPr>
                <w:rFonts w:cstheme="minorHAnsi"/>
              </w:rPr>
              <w:t>Technical support for ASEAN Heritage Site</w:t>
            </w:r>
          </w:p>
          <w:p w14:paraId="095FB119" w14:textId="3A6E38F3" w:rsidR="00076F28" w:rsidRPr="004F6095" w:rsidRDefault="00076F28" w:rsidP="008B0A03">
            <w:pPr>
              <w:tabs>
                <w:tab w:val="left" w:pos="1080"/>
              </w:tabs>
              <w:rPr>
                <w:rFonts w:cstheme="minorHAnsi"/>
              </w:rPr>
            </w:pPr>
            <w:r w:rsidRPr="004F6095">
              <w:rPr>
                <w:rFonts w:cstheme="minorHAnsi"/>
              </w:rPr>
              <w:t xml:space="preserve">The location is </w:t>
            </w:r>
            <w:r w:rsidR="006E3783" w:rsidRPr="004F6095">
              <w:rPr>
                <w:rFonts w:cstheme="minorHAnsi"/>
              </w:rPr>
              <w:t xml:space="preserve">a National Park, under responsible of DNP. </w:t>
            </w:r>
          </w:p>
        </w:tc>
        <w:tc>
          <w:tcPr>
            <w:tcW w:w="995" w:type="dxa"/>
            <w:gridSpan w:val="2"/>
            <w:tcBorders>
              <w:top w:val="single" w:sz="6" w:space="0" w:color="auto"/>
              <w:left w:val="single" w:sz="6" w:space="0" w:color="auto"/>
              <w:bottom w:val="single" w:sz="6" w:space="0" w:color="auto"/>
            </w:tcBorders>
          </w:tcPr>
          <w:p w14:paraId="3719BE23" w14:textId="107931A2" w:rsidR="008B0A03" w:rsidRPr="004F6095" w:rsidRDefault="000F7E71" w:rsidP="008B0A03">
            <w:pPr>
              <w:tabs>
                <w:tab w:val="left" w:pos="1080"/>
              </w:tabs>
              <w:rPr>
                <w:rFonts w:cstheme="minorHAnsi"/>
              </w:rPr>
            </w:pPr>
            <w:r>
              <w:rPr>
                <w:rFonts w:cstheme="minorHAnsi"/>
              </w:rPr>
              <w:t>Initiated</w:t>
            </w:r>
          </w:p>
        </w:tc>
      </w:tr>
      <w:tr w:rsidR="008B0A03" w:rsidRPr="004F6095" w14:paraId="294C4B34" w14:textId="77777777" w:rsidTr="00D56CA6">
        <w:tc>
          <w:tcPr>
            <w:tcW w:w="9242" w:type="dxa"/>
            <w:gridSpan w:val="10"/>
            <w:shd w:val="clear" w:color="auto" w:fill="F3F3F3"/>
          </w:tcPr>
          <w:p w14:paraId="713C2EBD" w14:textId="58B81E30"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Terminal Evaluation recommendation 16</w:t>
            </w:r>
          </w:p>
          <w:p w14:paraId="3B9C39DF"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3: Strengthening M&amp;E and adaptive management </w:t>
            </w:r>
          </w:p>
          <w:p w14:paraId="752EDDC4" w14:textId="77777777" w:rsidR="008B0A03" w:rsidRPr="004F6095" w:rsidRDefault="008B0A03" w:rsidP="008B0A03">
            <w:pPr>
              <w:pStyle w:val="Default"/>
              <w:rPr>
                <w:rFonts w:asciiTheme="minorHAnsi" w:hAnsiTheme="minorHAnsi" w:cstheme="minorHAnsi"/>
                <w:b/>
                <w:sz w:val="22"/>
                <w:szCs w:val="22"/>
              </w:rPr>
            </w:pPr>
            <w:r w:rsidRPr="004F6095">
              <w:rPr>
                <w:rFonts w:asciiTheme="minorHAnsi" w:hAnsiTheme="minorHAnsi" w:cstheme="minorHAnsi"/>
                <w:b/>
                <w:sz w:val="22"/>
                <w:szCs w:val="22"/>
              </w:rPr>
              <w:t xml:space="preserve">C1. </w:t>
            </w:r>
          </w:p>
          <w:p w14:paraId="30A0F0AC"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Systematically address PIR recommendations through adaptive management procedures: </w:t>
            </w:r>
          </w:p>
          <w:p w14:paraId="40120062" w14:textId="42683D98" w:rsidR="008B0A03" w:rsidRPr="004F6095" w:rsidRDefault="008B0A03" w:rsidP="008B0A03">
            <w:pPr>
              <w:pStyle w:val="Default"/>
              <w:rPr>
                <w:rFonts w:asciiTheme="minorHAnsi" w:hAnsiTheme="minorHAnsi" w:cstheme="minorHAnsi"/>
                <w:b/>
                <w:sz w:val="22"/>
                <w:szCs w:val="22"/>
              </w:rPr>
            </w:pPr>
            <w:r w:rsidRPr="004F6095">
              <w:rPr>
                <w:rFonts w:asciiTheme="minorHAnsi" w:hAnsiTheme="minorHAnsi" w:cstheme="minorHAnsi"/>
                <w:sz w:val="22"/>
                <w:szCs w:val="22"/>
              </w:rPr>
              <w:t xml:space="preserve">A consistent weakness throughout the project was that RTA recommendations included in PIR assessments were not fully followed up, indicating that the mechanism for achieving adaptive management was not effective. The lesson learned is that UNDP CO needs to systematically include PIR recommendations in regular monitoring and reporting mechanisms with project PMUs to allow better tracking and monitoring of responses. </w:t>
            </w:r>
          </w:p>
          <w:p w14:paraId="20C7BA8C" w14:textId="3F7D4117" w:rsidR="008B0A03" w:rsidRPr="004F6095" w:rsidRDefault="008B0A03" w:rsidP="008B0A03">
            <w:pPr>
              <w:pStyle w:val="Default"/>
              <w:rPr>
                <w:rFonts w:asciiTheme="minorHAnsi" w:hAnsiTheme="minorHAnsi" w:cstheme="minorHAnsi"/>
                <w:b/>
                <w:sz w:val="22"/>
                <w:szCs w:val="22"/>
              </w:rPr>
            </w:pPr>
            <w:r w:rsidRPr="004F6095">
              <w:rPr>
                <w:rFonts w:asciiTheme="minorHAnsi" w:hAnsiTheme="minorHAnsi" w:cstheme="minorHAnsi"/>
                <w:sz w:val="22"/>
                <w:szCs w:val="22"/>
              </w:rPr>
              <w:t xml:space="preserve"> </w:t>
            </w:r>
          </w:p>
        </w:tc>
      </w:tr>
      <w:tr w:rsidR="008B0A03" w:rsidRPr="004F6095" w14:paraId="323E888B" w14:textId="77777777" w:rsidTr="00D56CA6">
        <w:tc>
          <w:tcPr>
            <w:tcW w:w="9242" w:type="dxa"/>
            <w:gridSpan w:val="10"/>
            <w:tcBorders>
              <w:top w:val="single" w:sz="4" w:space="0" w:color="auto"/>
              <w:bottom w:val="single" w:sz="6" w:space="0" w:color="auto"/>
            </w:tcBorders>
            <w:shd w:val="clear" w:color="auto" w:fill="F3F3F3"/>
          </w:tcPr>
          <w:p w14:paraId="6EEDC229" w14:textId="10B637DE" w:rsidR="000C16F9"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ED08CA" w:rsidRPr="004F6095">
              <w:rPr>
                <w:rFonts w:cstheme="minorHAnsi"/>
              </w:rPr>
              <w:t xml:space="preserve">  </w:t>
            </w:r>
            <w:r w:rsidR="006E3783" w:rsidRPr="004F6095">
              <w:rPr>
                <w:rFonts w:cstheme="minorHAnsi"/>
              </w:rPr>
              <w:t xml:space="preserve">Partially accepted. </w:t>
            </w:r>
            <w:r w:rsidR="000C16F9" w:rsidRPr="004F6095">
              <w:rPr>
                <w:rFonts w:cstheme="minorHAnsi"/>
              </w:rPr>
              <w:t xml:space="preserve">UNDP CO had systematically flagged the PMU on critical PIR comments for further action; however, it did not receive satisfactory results due to human capacity’s constraint of the PMU on project management against the result framework and reporting system.  </w:t>
            </w:r>
          </w:p>
        </w:tc>
      </w:tr>
      <w:tr w:rsidR="008B0A03" w:rsidRPr="004F6095" w14:paraId="472E9F0C"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24091AD5"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0C572B28"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071F65D7"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5A92A772"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31A9F27B"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62987902"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0E671FEA"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254013D9"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26463C62"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6F873931"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71166BAA" w14:textId="77777777" w:rsidTr="00D56CA6">
        <w:tc>
          <w:tcPr>
            <w:tcW w:w="2912" w:type="dxa"/>
            <w:tcBorders>
              <w:top w:val="single" w:sz="6" w:space="0" w:color="auto"/>
              <w:bottom w:val="single" w:sz="6" w:space="0" w:color="auto"/>
              <w:right w:val="single" w:sz="6" w:space="0" w:color="auto"/>
            </w:tcBorders>
          </w:tcPr>
          <w:p w14:paraId="5FC81EE4" w14:textId="0FA032F5" w:rsidR="008B0A03" w:rsidRPr="004F6095" w:rsidRDefault="00B21736" w:rsidP="008B0A03">
            <w:pPr>
              <w:tabs>
                <w:tab w:val="left" w:pos="1080"/>
              </w:tabs>
              <w:rPr>
                <w:rFonts w:cstheme="minorHAnsi"/>
              </w:rPr>
            </w:pPr>
            <w:r w:rsidRPr="004F6095">
              <w:rPr>
                <w:rFonts w:cstheme="minorHAnsi"/>
              </w:rPr>
              <w:t xml:space="preserve">UNDO CO has initiated the new FTA position responsible for M&amp;E of the project/programme. </w:t>
            </w:r>
          </w:p>
        </w:tc>
        <w:tc>
          <w:tcPr>
            <w:tcW w:w="1968" w:type="dxa"/>
            <w:gridSpan w:val="2"/>
            <w:tcBorders>
              <w:top w:val="single" w:sz="6" w:space="0" w:color="auto"/>
              <w:left w:val="single" w:sz="6" w:space="0" w:color="auto"/>
              <w:bottom w:val="single" w:sz="6" w:space="0" w:color="auto"/>
              <w:right w:val="single" w:sz="6" w:space="0" w:color="auto"/>
            </w:tcBorders>
          </w:tcPr>
          <w:p w14:paraId="2759EC3B"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April 2021 onwards </w:t>
            </w:r>
          </w:p>
          <w:p w14:paraId="4B3AC6BB" w14:textId="77777777" w:rsidR="008B0A03" w:rsidRPr="004F6095" w:rsidRDefault="008B0A03" w:rsidP="008B0A03">
            <w:pPr>
              <w:pStyle w:val="Default"/>
              <w:rPr>
                <w:rFonts w:asciiTheme="minorHAnsi" w:hAnsiTheme="minorHAnsi" w:cstheme="minorHAnsi"/>
                <w:sz w:val="22"/>
                <w:szCs w:val="22"/>
              </w:rPr>
            </w:pPr>
          </w:p>
        </w:tc>
        <w:tc>
          <w:tcPr>
            <w:tcW w:w="2018" w:type="dxa"/>
            <w:gridSpan w:val="2"/>
            <w:tcBorders>
              <w:top w:val="single" w:sz="6" w:space="0" w:color="auto"/>
              <w:left w:val="single" w:sz="6" w:space="0" w:color="auto"/>
              <w:bottom w:val="single" w:sz="6" w:space="0" w:color="auto"/>
              <w:right w:val="single" w:sz="6" w:space="0" w:color="auto"/>
            </w:tcBorders>
          </w:tcPr>
          <w:p w14:paraId="5338A992" w14:textId="7EF33D8B"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UNDP CO</w:t>
            </w:r>
          </w:p>
        </w:tc>
        <w:tc>
          <w:tcPr>
            <w:tcW w:w="1349" w:type="dxa"/>
            <w:gridSpan w:val="3"/>
            <w:tcBorders>
              <w:top w:val="single" w:sz="6" w:space="0" w:color="auto"/>
              <w:left w:val="single" w:sz="6" w:space="0" w:color="auto"/>
              <w:bottom w:val="single" w:sz="6" w:space="0" w:color="auto"/>
              <w:right w:val="single" w:sz="6" w:space="0" w:color="auto"/>
            </w:tcBorders>
          </w:tcPr>
          <w:p w14:paraId="3FCE2EDD" w14:textId="5F565FA5" w:rsidR="008B0A03" w:rsidRPr="004F6095" w:rsidRDefault="00B21736" w:rsidP="008B0A03">
            <w:pPr>
              <w:tabs>
                <w:tab w:val="left" w:pos="1080"/>
              </w:tabs>
              <w:rPr>
                <w:rFonts w:cstheme="minorHAnsi"/>
              </w:rPr>
            </w:pPr>
            <w:r w:rsidRPr="004F6095">
              <w:rPr>
                <w:rFonts w:cstheme="minorHAnsi"/>
              </w:rPr>
              <w:t xml:space="preserve">On-going recruitment  </w:t>
            </w:r>
          </w:p>
        </w:tc>
        <w:tc>
          <w:tcPr>
            <w:tcW w:w="995" w:type="dxa"/>
            <w:gridSpan w:val="2"/>
            <w:tcBorders>
              <w:top w:val="single" w:sz="6" w:space="0" w:color="auto"/>
              <w:left w:val="single" w:sz="6" w:space="0" w:color="auto"/>
              <w:bottom w:val="single" w:sz="6" w:space="0" w:color="auto"/>
            </w:tcBorders>
          </w:tcPr>
          <w:p w14:paraId="63E8B28B" w14:textId="1471CDC6" w:rsidR="008B0A03" w:rsidRPr="004F6095" w:rsidRDefault="000F7E71" w:rsidP="008B0A03">
            <w:pPr>
              <w:tabs>
                <w:tab w:val="left" w:pos="1080"/>
              </w:tabs>
              <w:rPr>
                <w:rFonts w:cstheme="minorHAnsi"/>
              </w:rPr>
            </w:pPr>
            <w:r>
              <w:rPr>
                <w:rFonts w:cstheme="minorHAnsi"/>
              </w:rPr>
              <w:t>Initiated</w:t>
            </w:r>
          </w:p>
        </w:tc>
      </w:tr>
      <w:tr w:rsidR="008B0A03" w:rsidRPr="004F6095" w14:paraId="16B1011F" w14:textId="77777777" w:rsidTr="00D56CA6">
        <w:tc>
          <w:tcPr>
            <w:tcW w:w="9242" w:type="dxa"/>
            <w:gridSpan w:val="10"/>
            <w:shd w:val="clear" w:color="auto" w:fill="F3F3F3"/>
          </w:tcPr>
          <w:p w14:paraId="5D39CB6B" w14:textId="5CDF587E"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Terminal Evaluation recommendation 17</w:t>
            </w:r>
          </w:p>
          <w:p w14:paraId="0D3D9F9E"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3: Strengthening M&amp;E and adaptive management </w:t>
            </w:r>
          </w:p>
          <w:p w14:paraId="3E2F6E2A" w14:textId="77777777" w:rsidR="008B0A03" w:rsidRPr="004F6095" w:rsidRDefault="008B0A03" w:rsidP="008B0A03">
            <w:pPr>
              <w:pStyle w:val="Default"/>
              <w:rPr>
                <w:rFonts w:asciiTheme="minorHAnsi" w:hAnsiTheme="minorHAnsi" w:cstheme="minorHAnsi"/>
                <w:b/>
                <w:sz w:val="22"/>
                <w:szCs w:val="22"/>
              </w:rPr>
            </w:pPr>
            <w:r w:rsidRPr="004F6095">
              <w:rPr>
                <w:rFonts w:asciiTheme="minorHAnsi" w:hAnsiTheme="minorHAnsi" w:cstheme="minorHAnsi"/>
                <w:b/>
                <w:sz w:val="22"/>
                <w:szCs w:val="22"/>
              </w:rPr>
              <w:t xml:space="preserve">C2. </w:t>
            </w:r>
          </w:p>
          <w:p w14:paraId="167DC3A4"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Quarterly Progress Report (QPR) templates should be standardized as part of a global UNDP/GEF reporting system, and specify gender and safeguard reporting requirements: </w:t>
            </w:r>
          </w:p>
          <w:p w14:paraId="1021186A" w14:textId="011A96C4" w:rsidR="008B0A03" w:rsidRPr="004F6095" w:rsidRDefault="008B0A03" w:rsidP="008B0A03">
            <w:pPr>
              <w:pStyle w:val="Default"/>
              <w:rPr>
                <w:rFonts w:asciiTheme="minorHAnsi" w:hAnsiTheme="minorHAnsi" w:cstheme="minorHAnsi"/>
                <w:b/>
                <w:sz w:val="22"/>
                <w:szCs w:val="22"/>
              </w:rPr>
            </w:pPr>
            <w:r w:rsidRPr="004F6095">
              <w:rPr>
                <w:rFonts w:asciiTheme="minorHAnsi" w:hAnsiTheme="minorHAnsi" w:cstheme="minorHAnsi"/>
                <w:sz w:val="22"/>
                <w:szCs w:val="22"/>
              </w:rPr>
              <w:t xml:space="preserve">The QPR template for this project was very activity-based initially, so this was improved after MTR to be more output-oriented and better aligned with annual PIR assessments. The format used for QPRs is presumably based on a UNDP template which is HACT-compliant, but is determined by the individual UNDP Country Offices, independent of the UNDP Vertical Fund Directorate, and as such it is variable between countries. The issue is that the information in the QPRs does not feed seamlessly into the PIR reporting and assessment, and that RTAs do not have direct access to the QPRs to provide more detailed basis for their assessment reviews, limiting the usefulness of the PIRs as an M&amp;E mechanism. The lesson learned is that QPR formats should be better aligned – and ideally globally standardized – to provide a more integrated and efficient reporting system on GEF projects for UNDP. Secondly, the QPR template needs to explicitly require reporting on gender mainstreaming and social and environmental safeguards in support of the PIRs and more consistent application of UNDP standards across the Country Office network. </w:t>
            </w:r>
          </w:p>
          <w:p w14:paraId="23DDFFF4" w14:textId="68F30447" w:rsidR="008B0A03" w:rsidRPr="004F6095" w:rsidRDefault="008B0A03" w:rsidP="008B0A03">
            <w:pPr>
              <w:pStyle w:val="Default"/>
              <w:rPr>
                <w:rFonts w:asciiTheme="minorHAnsi" w:hAnsiTheme="minorHAnsi" w:cstheme="minorHAnsi"/>
                <w:b/>
                <w:sz w:val="22"/>
                <w:szCs w:val="22"/>
              </w:rPr>
            </w:pPr>
          </w:p>
        </w:tc>
      </w:tr>
      <w:tr w:rsidR="008B0A03" w:rsidRPr="004F6095" w14:paraId="402EB17D" w14:textId="77777777" w:rsidTr="00D56CA6">
        <w:tc>
          <w:tcPr>
            <w:tcW w:w="9242" w:type="dxa"/>
            <w:gridSpan w:val="10"/>
            <w:tcBorders>
              <w:top w:val="single" w:sz="4" w:space="0" w:color="auto"/>
              <w:bottom w:val="single" w:sz="6" w:space="0" w:color="auto"/>
            </w:tcBorders>
            <w:shd w:val="clear" w:color="auto" w:fill="F3F3F3"/>
          </w:tcPr>
          <w:p w14:paraId="1F84AEB2" w14:textId="312A17F8"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6E3783" w:rsidRPr="004F6095">
              <w:rPr>
                <w:rFonts w:cstheme="minorHAnsi"/>
              </w:rPr>
              <w:t xml:space="preserve"> Reject. The current QPR template contains a section on Gender and Safeguard.   Also, the PIR online contains both sections. </w:t>
            </w:r>
          </w:p>
        </w:tc>
      </w:tr>
      <w:tr w:rsidR="008B0A03" w:rsidRPr="004F6095" w14:paraId="6904C92E"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5A5BE58B"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1281FD3C"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1FDCA451"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6E986FC5"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45E806AB"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77A6EA36"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59740729"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53439F50"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64439DB9"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11069DFF"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71BCED52" w14:textId="77777777" w:rsidTr="00D56CA6">
        <w:tc>
          <w:tcPr>
            <w:tcW w:w="2912" w:type="dxa"/>
            <w:tcBorders>
              <w:top w:val="single" w:sz="6" w:space="0" w:color="auto"/>
              <w:bottom w:val="single" w:sz="6" w:space="0" w:color="auto"/>
              <w:right w:val="single" w:sz="6" w:space="0" w:color="auto"/>
            </w:tcBorders>
          </w:tcPr>
          <w:p w14:paraId="03307C7A" w14:textId="65BF38AF" w:rsidR="006E3783" w:rsidRPr="004F6095" w:rsidRDefault="006E3783" w:rsidP="00BA6122">
            <w:pPr>
              <w:autoSpaceDE w:val="0"/>
              <w:autoSpaceDN w:val="0"/>
              <w:adjustRightInd w:val="0"/>
              <w:spacing w:after="0" w:line="240" w:lineRule="auto"/>
              <w:rPr>
                <w:rFonts w:cstheme="minorHAnsi"/>
                <w:color w:val="000000" w:themeColor="text1"/>
              </w:rPr>
            </w:pPr>
            <w:r w:rsidRPr="004F6095">
              <w:rPr>
                <w:rFonts w:cstheme="minorHAnsi"/>
                <w:color w:val="000000" w:themeColor="text1"/>
              </w:rPr>
              <w:t>N/A</w:t>
            </w:r>
          </w:p>
          <w:p w14:paraId="7154AF73" w14:textId="2EB0C1BB" w:rsidR="008B0A03" w:rsidRPr="004F6095" w:rsidRDefault="008B0A03" w:rsidP="008B0A03">
            <w:pPr>
              <w:tabs>
                <w:tab w:val="left" w:pos="1080"/>
              </w:tabs>
              <w:rPr>
                <w:rFonts w:cstheme="minorHAnsi"/>
                <w:color w:val="000000" w:themeColor="text1"/>
                <w:lang w:val="en-GB"/>
              </w:rPr>
            </w:pPr>
          </w:p>
        </w:tc>
        <w:tc>
          <w:tcPr>
            <w:tcW w:w="1968" w:type="dxa"/>
            <w:gridSpan w:val="2"/>
            <w:tcBorders>
              <w:top w:val="single" w:sz="6" w:space="0" w:color="auto"/>
              <w:left w:val="single" w:sz="6" w:space="0" w:color="auto"/>
              <w:bottom w:val="single" w:sz="6" w:space="0" w:color="auto"/>
              <w:right w:val="single" w:sz="6" w:space="0" w:color="auto"/>
            </w:tcBorders>
          </w:tcPr>
          <w:p w14:paraId="1CFA6EEA" w14:textId="0E73D34F" w:rsidR="006E3783" w:rsidRPr="004F6095" w:rsidRDefault="006E3783" w:rsidP="008B0A03">
            <w:pPr>
              <w:pStyle w:val="Default"/>
              <w:rPr>
                <w:rFonts w:asciiTheme="minorHAnsi" w:hAnsiTheme="minorHAnsi" w:cstheme="minorHAnsi"/>
                <w:sz w:val="22"/>
                <w:szCs w:val="22"/>
              </w:rPr>
            </w:pPr>
            <w:r w:rsidRPr="004F6095">
              <w:rPr>
                <w:rFonts w:asciiTheme="minorHAnsi" w:hAnsiTheme="minorHAnsi" w:cstheme="minorHAnsi"/>
                <w:sz w:val="22"/>
                <w:szCs w:val="22"/>
              </w:rPr>
              <w:t>N/A</w:t>
            </w:r>
          </w:p>
          <w:p w14:paraId="0358683E" w14:textId="77777777" w:rsidR="008B0A03" w:rsidRPr="004F6095" w:rsidRDefault="008B0A03" w:rsidP="008B0A03">
            <w:pPr>
              <w:pStyle w:val="Default"/>
              <w:rPr>
                <w:rFonts w:asciiTheme="minorHAnsi" w:hAnsiTheme="minorHAnsi" w:cstheme="minorHAnsi"/>
                <w:sz w:val="22"/>
                <w:szCs w:val="22"/>
              </w:rPr>
            </w:pPr>
          </w:p>
        </w:tc>
        <w:tc>
          <w:tcPr>
            <w:tcW w:w="2018" w:type="dxa"/>
            <w:gridSpan w:val="2"/>
            <w:tcBorders>
              <w:top w:val="single" w:sz="6" w:space="0" w:color="auto"/>
              <w:left w:val="single" w:sz="6" w:space="0" w:color="auto"/>
              <w:bottom w:val="single" w:sz="6" w:space="0" w:color="auto"/>
              <w:right w:val="single" w:sz="6" w:space="0" w:color="auto"/>
            </w:tcBorders>
          </w:tcPr>
          <w:p w14:paraId="5FC14210" w14:textId="4C5B96AB" w:rsidR="008B0A03" w:rsidRPr="004F6095" w:rsidRDefault="008B0A03" w:rsidP="008B0A03">
            <w:pPr>
              <w:pStyle w:val="Default"/>
              <w:rPr>
                <w:rFonts w:asciiTheme="minorHAnsi" w:hAnsiTheme="minorHAnsi" w:cstheme="minorHAnsi"/>
                <w:sz w:val="22"/>
                <w:szCs w:val="22"/>
              </w:rPr>
            </w:pPr>
          </w:p>
          <w:p w14:paraId="71A3C76C" w14:textId="0AC2C00D" w:rsidR="006E3783" w:rsidRPr="004F6095" w:rsidRDefault="006E3783" w:rsidP="008B0A03">
            <w:pPr>
              <w:pStyle w:val="Default"/>
              <w:rPr>
                <w:rFonts w:asciiTheme="minorHAnsi" w:hAnsiTheme="minorHAnsi" w:cstheme="minorHAnsi"/>
                <w:sz w:val="22"/>
                <w:szCs w:val="22"/>
              </w:rPr>
            </w:pPr>
            <w:r w:rsidRPr="004F6095">
              <w:rPr>
                <w:rFonts w:asciiTheme="minorHAnsi" w:hAnsiTheme="minorHAnsi" w:cstheme="minorHAnsi"/>
                <w:sz w:val="22"/>
                <w:szCs w:val="22"/>
              </w:rPr>
              <w:t>N/A</w:t>
            </w:r>
          </w:p>
        </w:tc>
        <w:tc>
          <w:tcPr>
            <w:tcW w:w="1349" w:type="dxa"/>
            <w:gridSpan w:val="3"/>
            <w:tcBorders>
              <w:top w:val="single" w:sz="6" w:space="0" w:color="auto"/>
              <w:left w:val="single" w:sz="6" w:space="0" w:color="auto"/>
              <w:bottom w:val="single" w:sz="6" w:space="0" w:color="auto"/>
              <w:right w:val="single" w:sz="6" w:space="0" w:color="auto"/>
            </w:tcBorders>
          </w:tcPr>
          <w:p w14:paraId="33265D37" w14:textId="77777777" w:rsidR="008B0A03" w:rsidRPr="004F6095" w:rsidRDefault="008B0A03" w:rsidP="008B0A03">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61D2DEDF" w14:textId="77777777" w:rsidR="008B0A03" w:rsidRPr="004F6095" w:rsidRDefault="008B0A03" w:rsidP="008B0A03">
            <w:pPr>
              <w:tabs>
                <w:tab w:val="left" w:pos="1080"/>
              </w:tabs>
              <w:rPr>
                <w:rFonts w:cstheme="minorHAnsi"/>
              </w:rPr>
            </w:pPr>
          </w:p>
        </w:tc>
      </w:tr>
      <w:tr w:rsidR="008B0A03" w:rsidRPr="004F6095" w14:paraId="43BE3572" w14:textId="77777777" w:rsidTr="00D56CA6">
        <w:tc>
          <w:tcPr>
            <w:tcW w:w="9242" w:type="dxa"/>
            <w:gridSpan w:val="10"/>
            <w:shd w:val="clear" w:color="auto" w:fill="F3F3F3"/>
          </w:tcPr>
          <w:p w14:paraId="7A08C767" w14:textId="144E0FC4"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Terminal Evaluation recommendation 18</w:t>
            </w:r>
          </w:p>
          <w:p w14:paraId="3DD6ADBC"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3: Strengthening M&amp;E and adaptive management </w:t>
            </w:r>
          </w:p>
          <w:p w14:paraId="6FD3CDC0" w14:textId="7E639441" w:rsidR="008B0A03" w:rsidRPr="004F6095" w:rsidRDefault="008B0A03" w:rsidP="008B0A03">
            <w:pPr>
              <w:pStyle w:val="Default"/>
              <w:rPr>
                <w:rFonts w:asciiTheme="minorHAnsi" w:hAnsiTheme="minorHAnsi" w:cstheme="minorHAnsi"/>
                <w:b/>
                <w:sz w:val="22"/>
                <w:szCs w:val="22"/>
              </w:rPr>
            </w:pPr>
            <w:r w:rsidRPr="004F6095">
              <w:rPr>
                <w:rFonts w:asciiTheme="minorHAnsi" w:hAnsiTheme="minorHAnsi" w:cstheme="minorHAnsi"/>
                <w:b/>
                <w:sz w:val="22"/>
                <w:szCs w:val="22"/>
              </w:rPr>
              <w:t xml:space="preserve">C3. </w:t>
            </w:r>
          </w:p>
          <w:p w14:paraId="7E6E2DE8"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Strengthen engagement of Project Board members and other key staff of national agencies in GEF projects through special briefing sessions, round table discussions, field visits to project sites and involvement in technical Working Groups: </w:t>
            </w:r>
          </w:p>
          <w:p w14:paraId="7B4287F3"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At the national level, apart from reporting progress to the PB members, direct engagement with key departments such as the Department of National Parks, Royal Irrigation Department, and Water Resources Department was not observed. It would have been more effective if key management levels of those departments were involved at national level so they could direct the provincial and local offices to support the works done in the project landscape area. It was insufficient to rely on PB members who participated in the PB meetings to communicate this project to their own respective departments, because they had no opportunity to fully understand the issues involved. </w:t>
            </w:r>
          </w:p>
          <w:p w14:paraId="1C59FFFC" w14:textId="44333344" w:rsidR="008B0A03" w:rsidRPr="004F6095" w:rsidRDefault="008B0A03" w:rsidP="008B0A03">
            <w:pPr>
              <w:pStyle w:val="Default"/>
              <w:rPr>
                <w:rFonts w:asciiTheme="minorHAnsi" w:hAnsiTheme="minorHAnsi" w:cstheme="minorHAnsi"/>
                <w:b/>
                <w:sz w:val="22"/>
                <w:szCs w:val="22"/>
              </w:rPr>
            </w:pPr>
          </w:p>
        </w:tc>
      </w:tr>
      <w:tr w:rsidR="008B0A03" w:rsidRPr="004F6095" w14:paraId="1072CD92" w14:textId="77777777" w:rsidTr="00D56CA6">
        <w:tc>
          <w:tcPr>
            <w:tcW w:w="9242" w:type="dxa"/>
            <w:gridSpan w:val="10"/>
            <w:tcBorders>
              <w:top w:val="single" w:sz="4" w:space="0" w:color="auto"/>
              <w:bottom w:val="single" w:sz="6" w:space="0" w:color="auto"/>
            </w:tcBorders>
            <w:shd w:val="clear" w:color="auto" w:fill="F3F3F3"/>
          </w:tcPr>
          <w:p w14:paraId="73153A84" w14:textId="4B2A557D"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B2680B" w:rsidRPr="004F6095">
              <w:rPr>
                <w:rFonts w:cstheme="minorHAnsi"/>
              </w:rPr>
              <w:t>Reject</w:t>
            </w:r>
            <w:r w:rsidR="0053459E" w:rsidRPr="004F6095">
              <w:rPr>
                <w:rFonts w:cstheme="minorHAnsi"/>
              </w:rPr>
              <w:t>ed</w:t>
            </w:r>
            <w:r w:rsidR="00B2680B" w:rsidRPr="004F6095">
              <w:rPr>
                <w:rFonts w:cstheme="minorHAnsi"/>
              </w:rPr>
              <w:t>. The Project Board was convened by ONEP (IP) and RECOFTC (PMU) twice a year.</w:t>
            </w:r>
            <w:r w:rsidR="00567946" w:rsidRPr="004F6095">
              <w:rPr>
                <w:rFonts w:cstheme="minorHAnsi"/>
              </w:rPr>
              <w:t xml:space="preserve"> ONEP always reached out to a senior leadership of those agencies and </w:t>
            </w:r>
            <w:r w:rsidR="004F6095" w:rsidRPr="004F6095">
              <w:rPr>
                <w:rFonts w:cstheme="minorHAnsi"/>
              </w:rPr>
              <w:t>even organized</w:t>
            </w:r>
            <w:r w:rsidR="00B2680B" w:rsidRPr="004F6095">
              <w:rPr>
                <w:rFonts w:cstheme="minorHAnsi"/>
              </w:rPr>
              <w:t xml:space="preserve"> a </w:t>
            </w:r>
            <w:r w:rsidR="00567946" w:rsidRPr="004F6095">
              <w:rPr>
                <w:rFonts w:cstheme="minorHAnsi"/>
              </w:rPr>
              <w:t xml:space="preserve">project board meeting and </w:t>
            </w:r>
            <w:r w:rsidR="00B2680B" w:rsidRPr="004F6095">
              <w:rPr>
                <w:rFonts w:cstheme="minorHAnsi"/>
              </w:rPr>
              <w:t xml:space="preserve">field </w:t>
            </w:r>
            <w:r w:rsidR="00567946" w:rsidRPr="004F6095">
              <w:rPr>
                <w:rFonts w:cstheme="minorHAnsi"/>
              </w:rPr>
              <w:t xml:space="preserve">trip for </w:t>
            </w:r>
            <w:r w:rsidR="00B2680B" w:rsidRPr="004F6095">
              <w:rPr>
                <w:rFonts w:cstheme="minorHAnsi"/>
              </w:rPr>
              <w:t xml:space="preserve">the project board </w:t>
            </w:r>
            <w:r w:rsidR="00567946" w:rsidRPr="004F6095">
              <w:rPr>
                <w:rFonts w:cstheme="minorHAnsi"/>
              </w:rPr>
              <w:t xml:space="preserve">members </w:t>
            </w:r>
            <w:r w:rsidR="00B2680B" w:rsidRPr="004F6095">
              <w:rPr>
                <w:rFonts w:cstheme="minorHAnsi"/>
              </w:rPr>
              <w:t xml:space="preserve">.  The Provincial Office of MoNRE in the project sites </w:t>
            </w:r>
            <w:r w:rsidR="0053459E" w:rsidRPr="004F6095">
              <w:rPr>
                <w:rFonts w:cstheme="minorHAnsi"/>
              </w:rPr>
              <w:t xml:space="preserve">was </w:t>
            </w:r>
            <w:r w:rsidR="00B2680B" w:rsidRPr="004F6095">
              <w:rPr>
                <w:rFonts w:cstheme="minorHAnsi"/>
              </w:rPr>
              <w:t xml:space="preserve">the key senior management involved with this project implementation. He/she is </w:t>
            </w:r>
            <w:r w:rsidR="00C4778D" w:rsidRPr="004F6095">
              <w:rPr>
                <w:rFonts w:cstheme="minorHAnsi"/>
              </w:rPr>
              <w:t xml:space="preserve">mandated </w:t>
            </w:r>
            <w:r w:rsidR="00B2680B" w:rsidRPr="004F6095">
              <w:rPr>
                <w:rFonts w:cstheme="minorHAnsi"/>
              </w:rPr>
              <w:t>to mainstream environmental issues into the provincial development plan. Therefore, the IP and PMU relied on this national and sub-national coordination and management mechanism</w:t>
            </w:r>
            <w:r w:rsidR="004421BB" w:rsidRPr="004F6095">
              <w:rPr>
                <w:rFonts w:cstheme="minorHAnsi"/>
              </w:rPr>
              <w:t>.</w:t>
            </w:r>
            <w:r w:rsidR="00C4778D" w:rsidRPr="004F6095">
              <w:rPr>
                <w:rFonts w:cstheme="minorHAnsi"/>
              </w:rPr>
              <w:t xml:space="preserve"> </w:t>
            </w:r>
          </w:p>
        </w:tc>
      </w:tr>
      <w:tr w:rsidR="008B0A03" w:rsidRPr="004F6095" w14:paraId="629A3B1F"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1F451802"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38B6C085"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56048635"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069D7B92"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0E3ECED7"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51DAFF1C"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5979AFC2"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2C589678"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5D915022"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2ABC20B0"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5DDBD508" w14:textId="77777777" w:rsidTr="00D56CA6">
        <w:tc>
          <w:tcPr>
            <w:tcW w:w="2912" w:type="dxa"/>
            <w:tcBorders>
              <w:top w:val="single" w:sz="6" w:space="0" w:color="auto"/>
              <w:bottom w:val="single" w:sz="6" w:space="0" w:color="auto"/>
              <w:right w:val="single" w:sz="6" w:space="0" w:color="auto"/>
            </w:tcBorders>
          </w:tcPr>
          <w:p w14:paraId="1A91CBD9" w14:textId="3300E3FB" w:rsidR="008B0A03" w:rsidRPr="004F6095" w:rsidRDefault="004421BB" w:rsidP="008B0A03">
            <w:pPr>
              <w:tabs>
                <w:tab w:val="left" w:pos="1080"/>
              </w:tabs>
              <w:rPr>
                <w:rFonts w:cstheme="minorHAnsi"/>
              </w:rPr>
            </w:pPr>
            <w:r w:rsidRPr="004F6095">
              <w:rPr>
                <w:rFonts w:cstheme="minorHAnsi"/>
              </w:rPr>
              <w:t>N/A</w:t>
            </w:r>
          </w:p>
        </w:tc>
        <w:tc>
          <w:tcPr>
            <w:tcW w:w="1968" w:type="dxa"/>
            <w:gridSpan w:val="2"/>
            <w:tcBorders>
              <w:top w:val="single" w:sz="6" w:space="0" w:color="auto"/>
              <w:left w:val="single" w:sz="6" w:space="0" w:color="auto"/>
              <w:bottom w:val="single" w:sz="6" w:space="0" w:color="auto"/>
              <w:right w:val="single" w:sz="6" w:space="0" w:color="auto"/>
            </w:tcBorders>
          </w:tcPr>
          <w:p w14:paraId="290A36E2" w14:textId="77777777" w:rsidR="008B0A03" w:rsidRPr="004F6095" w:rsidRDefault="008B0A03" w:rsidP="008B0A03">
            <w:pPr>
              <w:pStyle w:val="Default"/>
              <w:rPr>
                <w:rFonts w:asciiTheme="minorHAnsi" w:hAnsiTheme="minorHAnsi" w:cstheme="minorHAnsi"/>
                <w:sz w:val="22"/>
                <w:szCs w:val="22"/>
              </w:rPr>
            </w:pPr>
          </w:p>
        </w:tc>
        <w:tc>
          <w:tcPr>
            <w:tcW w:w="2018" w:type="dxa"/>
            <w:gridSpan w:val="2"/>
            <w:tcBorders>
              <w:top w:val="single" w:sz="6" w:space="0" w:color="auto"/>
              <w:left w:val="single" w:sz="6" w:space="0" w:color="auto"/>
              <w:bottom w:val="single" w:sz="6" w:space="0" w:color="auto"/>
              <w:right w:val="single" w:sz="6" w:space="0" w:color="auto"/>
            </w:tcBorders>
          </w:tcPr>
          <w:p w14:paraId="07E8574B" w14:textId="4A3A9F12" w:rsidR="008B0A03" w:rsidRPr="004F6095" w:rsidRDefault="008B0A03" w:rsidP="008B0A03">
            <w:pPr>
              <w:pStyle w:val="Default"/>
              <w:rPr>
                <w:rFonts w:asciiTheme="minorHAnsi" w:hAnsiTheme="minorHAnsi" w:cstheme="minorHAnsi"/>
                <w:sz w:val="22"/>
                <w:szCs w:val="22"/>
              </w:rPr>
            </w:pPr>
          </w:p>
        </w:tc>
        <w:tc>
          <w:tcPr>
            <w:tcW w:w="1349" w:type="dxa"/>
            <w:gridSpan w:val="3"/>
            <w:tcBorders>
              <w:top w:val="single" w:sz="6" w:space="0" w:color="auto"/>
              <w:left w:val="single" w:sz="6" w:space="0" w:color="auto"/>
              <w:bottom w:val="single" w:sz="6" w:space="0" w:color="auto"/>
              <w:right w:val="single" w:sz="6" w:space="0" w:color="auto"/>
            </w:tcBorders>
          </w:tcPr>
          <w:p w14:paraId="77698DE4" w14:textId="77777777" w:rsidR="008B0A03" w:rsidRPr="004F6095" w:rsidRDefault="008B0A03" w:rsidP="008B0A03">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27756621" w14:textId="77777777" w:rsidR="008B0A03" w:rsidRPr="004F6095" w:rsidRDefault="008B0A03" w:rsidP="008B0A03">
            <w:pPr>
              <w:tabs>
                <w:tab w:val="left" w:pos="1080"/>
              </w:tabs>
              <w:rPr>
                <w:rFonts w:cstheme="minorHAnsi"/>
              </w:rPr>
            </w:pPr>
          </w:p>
        </w:tc>
      </w:tr>
      <w:tr w:rsidR="008B0A03" w:rsidRPr="004F6095" w14:paraId="236387C1" w14:textId="77777777" w:rsidTr="00D56CA6">
        <w:tc>
          <w:tcPr>
            <w:tcW w:w="9242" w:type="dxa"/>
            <w:gridSpan w:val="10"/>
            <w:shd w:val="clear" w:color="auto" w:fill="F3F3F3"/>
          </w:tcPr>
          <w:p w14:paraId="13BAC859" w14:textId="0D134D26" w:rsidR="008B0A03" w:rsidRPr="004F6095" w:rsidRDefault="008B0A03" w:rsidP="008B0A03">
            <w:pPr>
              <w:tabs>
                <w:tab w:val="left" w:pos="1080"/>
              </w:tabs>
              <w:rPr>
                <w:rFonts w:cstheme="minorHAnsi"/>
                <w:b/>
              </w:rPr>
            </w:pPr>
            <w:bookmarkStart w:id="0" w:name="_Hlk68538678"/>
            <w:r w:rsidRPr="004F6095">
              <w:rPr>
                <w:rFonts w:cstheme="minorHAnsi"/>
              </w:rPr>
              <w:br w:type="page"/>
            </w:r>
            <w:r w:rsidRPr="004F6095">
              <w:rPr>
                <w:rFonts w:cstheme="minorHAnsi"/>
                <w:b/>
              </w:rPr>
              <w:t>Terminal Evaluation recommendation 19</w:t>
            </w:r>
          </w:p>
          <w:p w14:paraId="7537B842"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4: Resolving outstanding audit and safeguard issues </w:t>
            </w:r>
          </w:p>
          <w:p w14:paraId="274F50F3" w14:textId="0D00F52B"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D1. Conduct a full project audit of GEF-funded activities from December 2018 to project close in 2021 </w:t>
            </w:r>
            <w:r w:rsidRPr="004F6095">
              <w:rPr>
                <w:rFonts w:asciiTheme="minorHAnsi" w:hAnsiTheme="minorHAnsi" w:cstheme="minorHAnsi"/>
                <w:sz w:val="22"/>
                <w:szCs w:val="22"/>
              </w:rPr>
              <w:t xml:space="preserve">using remaining uncommitted GEF funds. During the project period, no full project audit was conducted, only a HACT assessment of RECOFTC as RP in April 2018 and a spot check for the period May-November 2018 on RECOFTC’s activities. </w:t>
            </w:r>
          </w:p>
          <w:p w14:paraId="6764DC47" w14:textId="77777777" w:rsidR="008B0A03" w:rsidRPr="004F6095" w:rsidRDefault="008B0A03" w:rsidP="008B0A03">
            <w:pPr>
              <w:pStyle w:val="Default"/>
              <w:rPr>
                <w:rFonts w:asciiTheme="minorHAnsi" w:hAnsiTheme="minorHAnsi" w:cstheme="minorHAnsi"/>
                <w:b/>
                <w:sz w:val="22"/>
                <w:szCs w:val="22"/>
              </w:rPr>
            </w:pPr>
          </w:p>
        </w:tc>
      </w:tr>
      <w:tr w:rsidR="008B0A03" w:rsidRPr="004F6095" w14:paraId="284F5F1E" w14:textId="77777777" w:rsidTr="00D56CA6">
        <w:tc>
          <w:tcPr>
            <w:tcW w:w="9242" w:type="dxa"/>
            <w:gridSpan w:val="10"/>
            <w:tcBorders>
              <w:top w:val="single" w:sz="4" w:space="0" w:color="auto"/>
              <w:bottom w:val="single" w:sz="6" w:space="0" w:color="auto"/>
            </w:tcBorders>
            <w:shd w:val="clear" w:color="auto" w:fill="F3F3F3"/>
          </w:tcPr>
          <w:p w14:paraId="3C5BC989" w14:textId="3165FCA3" w:rsidR="008B0A03" w:rsidRPr="004F6095" w:rsidRDefault="008B0A03" w:rsidP="008B0A03">
            <w:pPr>
              <w:tabs>
                <w:tab w:val="left" w:pos="1080"/>
              </w:tabs>
              <w:rPr>
                <w:rFonts w:cstheme="minorHAnsi"/>
                <w:color w:val="000000" w:themeColor="text1"/>
              </w:rPr>
            </w:pPr>
            <w:r w:rsidRPr="004F6095">
              <w:rPr>
                <w:rFonts w:cstheme="minorHAnsi"/>
                <w:b/>
                <w:color w:val="000000" w:themeColor="text1"/>
              </w:rPr>
              <w:t>Management response</w:t>
            </w:r>
            <w:r w:rsidRPr="004F6095">
              <w:rPr>
                <w:rFonts w:cstheme="minorHAnsi"/>
                <w:color w:val="000000" w:themeColor="text1"/>
              </w:rPr>
              <w:t xml:space="preserve">: </w:t>
            </w:r>
            <w:r w:rsidR="004421BB" w:rsidRPr="004F6095">
              <w:rPr>
                <w:rFonts w:cstheme="minorHAnsi"/>
                <w:color w:val="000000" w:themeColor="text1"/>
              </w:rPr>
              <w:t xml:space="preserve"> </w:t>
            </w:r>
            <w:r w:rsidR="00C4778D" w:rsidRPr="004F6095">
              <w:rPr>
                <w:rFonts w:cstheme="minorHAnsi"/>
                <w:color w:val="000000" w:themeColor="text1"/>
              </w:rPr>
              <w:t xml:space="preserve"> </w:t>
            </w:r>
            <w:r w:rsidR="00253978" w:rsidRPr="004F6095">
              <w:rPr>
                <w:rFonts w:cstheme="minorHAnsi"/>
                <w:color w:val="000000" w:themeColor="text1"/>
              </w:rPr>
              <w:t xml:space="preserve">Rejected. </w:t>
            </w:r>
            <w:r w:rsidR="00D627DB" w:rsidRPr="004F6095">
              <w:rPr>
                <w:rFonts w:cstheme="minorHAnsi"/>
                <w:color w:val="000000" w:themeColor="text1"/>
              </w:rPr>
              <w:t xml:space="preserve">Regular QA exercises were done throughout the project (HACT 2018, ICA 2019, Spot Check 2020) and </w:t>
            </w:r>
            <w:r w:rsidR="004A4BBD" w:rsidRPr="004F6095">
              <w:rPr>
                <w:rFonts w:cstheme="minorHAnsi"/>
                <w:color w:val="000000" w:themeColor="text1"/>
              </w:rPr>
              <w:t xml:space="preserve">shared with the TE consultants. </w:t>
            </w:r>
            <w:r w:rsidR="00D627DB" w:rsidRPr="004F6095">
              <w:rPr>
                <w:rFonts w:cstheme="minorHAnsi"/>
                <w:color w:val="000000" w:themeColor="text1"/>
              </w:rPr>
              <w:t xml:space="preserve">  </w:t>
            </w:r>
            <w:r w:rsidR="00651965" w:rsidRPr="004F6095">
              <w:rPr>
                <w:rFonts w:cstheme="minorHAnsi"/>
                <w:color w:val="000000" w:themeColor="text1"/>
              </w:rPr>
              <w:t xml:space="preserve">  </w:t>
            </w:r>
          </w:p>
        </w:tc>
      </w:tr>
      <w:tr w:rsidR="008B0A03" w:rsidRPr="004F6095" w14:paraId="104E60C9" w14:textId="77777777" w:rsidTr="00D56CA6">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0800CD48" w14:textId="77777777" w:rsidR="008B0A03" w:rsidRPr="004F6095" w:rsidRDefault="008B0A03" w:rsidP="008B0A03">
            <w:pPr>
              <w:tabs>
                <w:tab w:val="left" w:pos="1080"/>
              </w:tabs>
              <w:jc w:val="center"/>
              <w:rPr>
                <w:rFonts w:cstheme="minorHAnsi"/>
                <w:b/>
                <w:color w:val="000000" w:themeColor="text1"/>
              </w:rPr>
            </w:pPr>
            <w:r w:rsidRPr="004F6095">
              <w:rPr>
                <w:rFonts w:cstheme="minorHAnsi"/>
                <w:b/>
                <w:color w:val="000000" w:themeColor="text1"/>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21CFEC4B" w14:textId="77777777" w:rsidR="008B0A03" w:rsidRPr="004F6095" w:rsidRDefault="008B0A03" w:rsidP="008B0A03">
            <w:pPr>
              <w:tabs>
                <w:tab w:val="left" w:pos="1080"/>
              </w:tabs>
              <w:jc w:val="center"/>
              <w:rPr>
                <w:rFonts w:cstheme="minorHAnsi"/>
                <w:b/>
                <w:color w:val="000000" w:themeColor="text1"/>
              </w:rPr>
            </w:pPr>
            <w:r w:rsidRPr="004F6095">
              <w:rPr>
                <w:rFonts w:cstheme="minorHAnsi"/>
                <w:b/>
                <w:color w:val="000000" w:themeColor="text1"/>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40A8C85F"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261BB729"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7B13B82B" w14:textId="77777777" w:rsidTr="00D56CA6">
        <w:trPr>
          <w:trHeight w:val="135"/>
        </w:trPr>
        <w:tc>
          <w:tcPr>
            <w:tcW w:w="2912" w:type="dxa"/>
            <w:vMerge/>
            <w:tcBorders>
              <w:top w:val="single" w:sz="6" w:space="0" w:color="auto"/>
              <w:bottom w:val="single" w:sz="6" w:space="0" w:color="auto"/>
              <w:right w:val="single" w:sz="6" w:space="0" w:color="auto"/>
            </w:tcBorders>
            <w:shd w:val="clear" w:color="auto" w:fill="F3F3F3"/>
          </w:tcPr>
          <w:p w14:paraId="29E3BE09"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20FE2FE5"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528028C0"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19A82F4F"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642BB034"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3494432C" w14:textId="77777777" w:rsidTr="00D56CA6">
        <w:tc>
          <w:tcPr>
            <w:tcW w:w="2912" w:type="dxa"/>
            <w:tcBorders>
              <w:top w:val="single" w:sz="6" w:space="0" w:color="auto"/>
              <w:bottom w:val="single" w:sz="6" w:space="0" w:color="auto"/>
              <w:right w:val="single" w:sz="6" w:space="0" w:color="auto"/>
            </w:tcBorders>
          </w:tcPr>
          <w:p w14:paraId="3E8D3E6F" w14:textId="3649FF9B" w:rsidR="008B0A03" w:rsidRPr="004F6095" w:rsidRDefault="00651965" w:rsidP="008B0A03">
            <w:pPr>
              <w:tabs>
                <w:tab w:val="left" w:pos="1080"/>
              </w:tabs>
              <w:rPr>
                <w:rFonts w:cstheme="minorHAnsi"/>
              </w:rPr>
            </w:pPr>
            <w:r w:rsidRPr="004F6095">
              <w:rPr>
                <w:rFonts w:cstheme="minorHAnsi"/>
              </w:rPr>
              <w:t>N/A</w:t>
            </w:r>
          </w:p>
        </w:tc>
        <w:tc>
          <w:tcPr>
            <w:tcW w:w="1968" w:type="dxa"/>
            <w:gridSpan w:val="2"/>
            <w:tcBorders>
              <w:top w:val="single" w:sz="6" w:space="0" w:color="auto"/>
              <w:left w:val="single" w:sz="6" w:space="0" w:color="auto"/>
              <w:bottom w:val="single" w:sz="6" w:space="0" w:color="auto"/>
              <w:right w:val="single" w:sz="6" w:space="0" w:color="auto"/>
            </w:tcBorders>
          </w:tcPr>
          <w:p w14:paraId="7BE54B07" w14:textId="0EB8ABC3" w:rsidR="008B0A03" w:rsidRPr="004F6095" w:rsidRDefault="008B0A03" w:rsidP="008B0A03">
            <w:pPr>
              <w:pStyle w:val="Default"/>
              <w:rPr>
                <w:rFonts w:asciiTheme="minorHAnsi" w:hAnsiTheme="minorHAnsi" w:cstheme="minorHAnsi"/>
                <w:sz w:val="22"/>
                <w:szCs w:val="22"/>
              </w:rPr>
            </w:pPr>
          </w:p>
        </w:tc>
        <w:tc>
          <w:tcPr>
            <w:tcW w:w="2018" w:type="dxa"/>
            <w:gridSpan w:val="2"/>
            <w:tcBorders>
              <w:top w:val="single" w:sz="6" w:space="0" w:color="auto"/>
              <w:left w:val="single" w:sz="6" w:space="0" w:color="auto"/>
              <w:bottom w:val="single" w:sz="6" w:space="0" w:color="auto"/>
              <w:right w:val="single" w:sz="6" w:space="0" w:color="auto"/>
            </w:tcBorders>
          </w:tcPr>
          <w:p w14:paraId="267C4FCB" w14:textId="0457CE16" w:rsidR="008B0A03" w:rsidRPr="004F6095" w:rsidRDefault="008B0A03" w:rsidP="008B0A03">
            <w:pPr>
              <w:pStyle w:val="Default"/>
              <w:rPr>
                <w:rFonts w:asciiTheme="minorHAnsi" w:hAnsiTheme="minorHAnsi" w:cstheme="minorHAnsi"/>
                <w:sz w:val="22"/>
                <w:szCs w:val="22"/>
              </w:rPr>
            </w:pPr>
          </w:p>
        </w:tc>
        <w:tc>
          <w:tcPr>
            <w:tcW w:w="1349" w:type="dxa"/>
            <w:gridSpan w:val="3"/>
            <w:tcBorders>
              <w:top w:val="single" w:sz="6" w:space="0" w:color="auto"/>
              <w:left w:val="single" w:sz="6" w:space="0" w:color="auto"/>
              <w:bottom w:val="single" w:sz="6" w:space="0" w:color="auto"/>
              <w:right w:val="single" w:sz="6" w:space="0" w:color="auto"/>
            </w:tcBorders>
          </w:tcPr>
          <w:p w14:paraId="0A0DE927" w14:textId="77777777" w:rsidR="008B0A03" w:rsidRPr="004F6095" w:rsidRDefault="008B0A03" w:rsidP="008B0A03">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52B63ECE" w14:textId="77777777" w:rsidR="008B0A03" w:rsidRPr="004F6095" w:rsidRDefault="008B0A03" w:rsidP="008B0A03">
            <w:pPr>
              <w:tabs>
                <w:tab w:val="left" w:pos="1080"/>
              </w:tabs>
              <w:rPr>
                <w:rFonts w:cstheme="minorHAnsi"/>
              </w:rPr>
            </w:pPr>
          </w:p>
        </w:tc>
      </w:tr>
      <w:bookmarkEnd w:id="0"/>
      <w:tr w:rsidR="008B0A03" w:rsidRPr="004F6095" w14:paraId="01AA4DE8" w14:textId="77777777" w:rsidTr="007B7728">
        <w:tc>
          <w:tcPr>
            <w:tcW w:w="9242" w:type="dxa"/>
            <w:gridSpan w:val="10"/>
            <w:shd w:val="clear" w:color="auto" w:fill="F3F3F3"/>
          </w:tcPr>
          <w:p w14:paraId="322359A5" w14:textId="5A705853"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Terminal Evaluation recommendation 20</w:t>
            </w:r>
          </w:p>
          <w:p w14:paraId="1132CD96"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4: Resolving outstanding audit and safeguard issues </w:t>
            </w:r>
          </w:p>
          <w:p w14:paraId="05DF957F" w14:textId="77777777" w:rsidR="008B0A03" w:rsidRPr="004F6095" w:rsidRDefault="008B0A03" w:rsidP="008B0A03">
            <w:pPr>
              <w:pStyle w:val="Default"/>
              <w:rPr>
                <w:rFonts w:asciiTheme="minorHAnsi" w:hAnsiTheme="minorHAnsi" w:cstheme="minorHAnsi"/>
                <w:b/>
                <w:sz w:val="22"/>
                <w:szCs w:val="22"/>
              </w:rPr>
            </w:pPr>
            <w:r w:rsidRPr="004F6095">
              <w:rPr>
                <w:rFonts w:asciiTheme="minorHAnsi" w:hAnsiTheme="minorHAnsi" w:cstheme="minorHAnsi"/>
                <w:b/>
                <w:sz w:val="22"/>
                <w:szCs w:val="22"/>
              </w:rPr>
              <w:t xml:space="preserve">D2. </w:t>
            </w:r>
          </w:p>
          <w:p w14:paraId="5CBBD2B3"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Include an updated SESP in the project closure report and ensure enhanced oversight on safeguards for future projects</w:t>
            </w:r>
            <w:r w:rsidRPr="004F6095">
              <w:rPr>
                <w:rFonts w:asciiTheme="minorHAnsi" w:hAnsiTheme="minorHAnsi" w:cstheme="minorHAnsi"/>
                <w:sz w:val="22"/>
                <w:szCs w:val="22"/>
              </w:rPr>
              <w:t xml:space="preserve">: </w:t>
            </w:r>
          </w:p>
          <w:p w14:paraId="710E5DD6" w14:textId="28F7BB8E"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As recommended by the MTR and noted in subsequent PIR assessments, there were weaknesses in the original SESP that required review and attention. Consequently, the project has a moderate risk rating in the PIMS+ risk management dashboard due to the unsatisfactory MTR outcome rating. New or escalated safeguards risks were documented in the PIRs, but never finalized in an updated SESP. While it is too late to apply such changes to implementation, the reviewed and updated SESP should be included in the project’s closure report, to assist the IP with ongoing monitoring and management of any safeguard-related risks to sustainability. Enhanced oversight on safeguards should be ensured for future projects. </w:t>
            </w:r>
          </w:p>
          <w:p w14:paraId="27296CB6" w14:textId="2C511390" w:rsidR="008B0A03" w:rsidRPr="004F6095" w:rsidRDefault="008B0A03" w:rsidP="008B0A03">
            <w:pPr>
              <w:pStyle w:val="Default"/>
              <w:rPr>
                <w:rFonts w:asciiTheme="minorHAnsi" w:hAnsiTheme="minorHAnsi" w:cstheme="minorHAnsi"/>
                <w:sz w:val="22"/>
                <w:szCs w:val="22"/>
              </w:rPr>
            </w:pPr>
          </w:p>
          <w:p w14:paraId="2408D399" w14:textId="0D86C27B" w:rsidR="008B0A03" w:rsidRPr="004F6095" w:rsidRDefault="008B0A03" w:rsidP="008B0A03">
            <w:pPr>
              <w:pStyle w:val="Default"/>
              <w:rPr>
                <w:rFonts w:asciiTheme="minorHAnsi" w:hAnsiTheme="minorHAnsi" w:cstheme="minorHAnsi"/>
                <w:b/>
                <w:sz w:val="22"/>
                <w:szCs w:val="22"/>
              </w:rPr>
            </w:pPr>
          </w:p>
        </w:tc>
      </w:tr>
      <w:tr w:rsidR="008B0A03" w:rsidRPr="004F6095" w14:paraId="035F7721" w14:textId="77777777" w:rsidTr="007B7728">
        <w:tc>
          <w:tcPr>
            <w:tcW w:w="9242" w:type="dxa"/>
            <w:gridSpan w:val="10"/>
            <w:tcBorders>
              <w:top w:val="single" w:sz="4" w:space="0" w:color="auto"/>
              <w:bottom w:val="single" w:sz="6" w:space="0" w:color="auto"/>
            </w:tcBorders>
            <w:shd w:val="clear" w:color="auto" w:fill="F3F3F3"/>
          </w:tcPr>
          <w:p w14:paraId="7D7B6F08" w14:textId="548089B9"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C43EC6" w:rsidRPr="004F6095">
              <w:rPr>
                <w:rFonts w:cstheme="minorHAnsi"/>
              </w:rPr>
              <w:t xml:space="preserve">Partially </w:t>
            </w:r>
            <w:r w:rsidR="00760974" w:rsidRPr="004F6095">
              <w:rPr>
                <w:rFonts w:cstheme="minorHAnsi"/>
              </w:rPr>
              <w:t xml:space="preserve">accepted. </w:t>
            </w:r>
            <w:r w:rsidR="00C43EC6" w:rsidRPr="004F6095">
              <w:rPr>
                <w:rFonts w:cstheme="minorHAnsi"/>
              </w:rPr>
              <w:t xml:space="preserve"> The SESP was prepared during the project design phase (PIF). It is time consume, human resources and budget required whereas the approved work plan has no budget line for updating the SESP. Therefore, this task is a burden to the programme team of CO.     </w:t>
            </w:r>
          </w:p>
        </w:tc>
      </w:tr>
      <w:tr w:rsidR="008B0A03" w:rsidRPr="004F6095" w14:paraId="5BF894DF" w14:textId="77777777" w:rsidTr="007B7728">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0069D754"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777656AD"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11E82EA7"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13526BA7"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4B94BC5A" w14:textId="77777777" w:rsidTr="007B7728">
        <w:trPr>
          <w:trHeight w:val="135"/>
        </w:trPr>
        <w:tc>
          <w:tcPr>
            <w:tcW w:w="2912" w:type="dxa"/>
            <w:vMerge/>
            <w:tcBorders>
              <w:top w:val="single" w:sz="6" w:space="0" w:color="auto"/>
              <w:bottom w:val="single" w:sz="6" w:space="0" w:color="auto"/>
              <w:right w:val="single" w:sz="6" w:space="0" w:color="auto"/>
            </w:tcBorders>
            <w:shd w:val="clear" w:color="auto" w:fill="F3F3F3"/>
          </w:tcPr>
          <w:p w14:paraId="6A74197C"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03028829"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132E45C5"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713744DF"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705A1997"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7C0B3B54" w14:textId="77777777" w:rsidTr="007B7728">
        <w:tc>
          <w:tcPr>
            <w:tcW w:w="2912" w:type="dxa"/>
            <w:tcBorders>
              <w:top w:val="single" w:sz="6" w:space="0" w:color="auto"/>
              <w:bottom w:val="single" w:sz="6" w:space="0" w:color="auto"/>
              <w:right w:val="single" w:sz="6" w:space="0" w:color="auto"/>
            </w:tcBorders>
          </w:tcPr>
          <w:p w14:paraId="240AA456" w14:textId="290F5002" w:rsidR="008B0A03" w:rsidRPr="004F6095" w:rsidRDefault="00760974" w:rsidP="008B0A03">
            <w:pPr>
              <w:tabs>
                <w:tab w:val="left" w:pos="1080"/>
              </w:tabs>
              <w:rPr>
                <w:rFonts w:cstheme="minorHAnsi"/>
              </w:rPr>
            </w:pPr>
            <w:r w:rsidRPr="004F6095">
              <w:rPr>
                <w:rFonts w:cstheme="minorHAnsi"/>
              </w:rPr>
              <w:t xml:space="preserve">The programme analyst will update the SESP. </w:t>
            </w:r>
          </w:p>
        </w:tc>
        <w:tc>
          <w:tcPr>
            <w:tcW w:w="1968" w:type="dxa"/>
            <w:gridSpan w:val="2"/>
            <w:tcBorders>
              <w:top w:val="single" w:sz="6" w:space="0" w:color="auto"/>
              <w:left w:val="single" w:sz="6" w:space="0" w:color="auto"/>
              <w:bottom w:val="single" w:sz="6" w:space="0" w:color="auto"/>
              <w:right w:val="single" w:sz="6" w:space="0" w:color="auto"/>
            </w:tcBorders>
          </w:tcPr>
          <w:p w14:paraId="43FE3CD1" w14:textId="2A922F79"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April </w:t>
            </w:r>
            <w:r w:rsidR="00760974" w:rsidRPr="004F6095">
              <w:rPr>
                <w:rFonts w:asciiTheme="minorHAnsi" w:hAnsiTheme="minorHAnsi" w:cstheme="minorHAnsi"/>
                <w:sz w:val="22"/>
                <w:szCs w:val="22"/>
              </w:rPr>
              <w:t xml:space="preserve">-May </w:t>
            </w:r>
            <w:r w:rsidRPr="004F6095">
              <w:rPr>
                <w:rFonts w:asciiTheme="minorHAnsi" w:hAnsiTheme="minorHAnsi" w:cstheme="minorHAnsi"/>
                <w:sz w:val="22"/>
                <w:szCs w:val="22"/>
              </w:rPr>
              <w:t>2021</w:t>
            </w:r>
          </w:p>
        </w:tc>
        <w:tc>
          <w:tcPr>
            <w:tcW w:w="2018" w:type="dxa"/>
            <w:gridSpan w:val="2"/>
            <w:tcBorders>
              <w:top w:val="single" w:sz="6" w:space="0" w:color="auto"/>
              <w:left w:val="single" w:sz="6" w:space="0" w:color="auto"/>
              <w:bottom w:val="single" w:sz="6" w:space="0" w:color="auto"/>
              <w:right w:val="single" w:sz="6" w:space="0" w:color="auto"/>
            </w:tcBorders>
          </w:tcPr>
          <w:p w14:paraId="0B6FF525" w14:textId="6491C4CC"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UNDP CO</w:t>
            </w:r>
          </w:p>
        </w:tc>
        <w:tc>
          <w:tcPr>
            <w:tcW w:w="1349" w:type="dxa"/>
            <w:gridSpan w:val="3"/>
            <w:tcBorders>
              <w:top w:val="single" w:sz="6" w:space="0" w:color="auto"/>
              <w:left w:val="single" w:sz="6" w:space="0" w:color="auto"/>
              <w:bottom w:val="single" w:sz="6" w:space="0" w:color="auto"/>
              <w:right w:val="single" w:sz="6" w:space="0" w:color="auto"/>
            </w:tcBorders>
          </w:tcPr>
          <w:p w14:paraId="611C5066" w14:textId="77777777" w:rsidR="008B0A03" w:rsidRPr="004F6095" w:rsidRDefault="008B0A03" w:rsidP="008B0A03">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16454F98" w14:textId="6CEFE810" w:rsidR="008B0A03" w:rsidRPr="004F6095" w:rsidRDefault="000F7E71" w:rsidP="008B0A03">
            <w:pPr>
              <w:tabs>
                <w:tab w:val="left" w:pos="1080"/>
              </w:tabs>
              <w:rPr>
                <w:rFonts w:cstheme="minorHAnsi"/>
              </w:rPr>
            </w:pPr>
            <w:r>
              <w:rPr>
                <w:rFonts w:cstheme="minorHAnsi"/>
              </w:rPr>
              <w:t>Initiated</w:t>
            </w:r>
          </w:p>
        </w:tc>
      </w:tr>
      <w:tr w:rsidR="008B0A03" w:rsidRPr="004F6095" w14:paraId="6A75F76A" w14:textId="77777777" w:rsidTr="007B7728">
        <w:tc>
          <w:tcPr>
            <w:tcW w:w="9242" w:type="dxa"/>
            <w:gridSpan w:val="10"/>
            <w:shd w:val="clear" w:color="auto" w:fill="F3F3F3"/>
          </w:tcPr>
          <w:p w14:paraId="060BFD40" w14:textId="024DA5E7"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Terminal Evaluation recommendation 21</w:t>
            </w:r>
          </w:p>
          <w:p w14:paraId="21B69D55"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5: Host country governance of GEF project implementation </w:t>
            </w:r>
          </w:p>
          <w:p w14:paraId="1D87F70F" w14:textId="09A8D2D1"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E1. Develop and agree on a streamlined mechanism for host country governmental approval of GEF projects. </w:t>
            </w:r>
            <w:r w:rsidRPr="004F6095">
              <w:rPr>
                <w:rFonts w:asciiTheme="minorHAnsi" w:hAnsiTheme="minorHAnsi" w:cstheme="minorHAnsi"/>
                <w:sz w:val="22"/>
                <w:szCs w:val="22"/>
              </w:rPr>
              <w:t xml:space="preserve">The necessity for Cabinet approval of the project document for the current project was responsible for a major delay of more than 18 months, from which project implementation never really recovered. To avoid similar impacts on other GEF projects, it is advisable to negotiate a more efficient mechanism. For example, in certain other countries, the UNDP Country Programme Action Plan is signed by government and used as the framework for UNDP/GEF project approval, allowing the implementing partner agency to sign the project document rather than requiring Cabinet approval </w:t>
            </w:r>
          </w:p>
          <w:p w14:paraId="4738D5FC" w14:textId="77777777" w:rsidR="008B0A03" w:rsidRPr="004F6095" w:rsidRDefault="008B0A03" w:rsidP="008B0A03">
            <w:pPr>
              <w:pStyle w:val="Default"/>
              <w:rPr>
                <w:rFonts w:asciiTheme="minorHAnsi" w:hAnsiTheme="minorHAnsi" w:cstheme="minorHAnsi"/>
                <w:b/>
                <w:sz w:val="22"/>
                <w:szCs w:val="22"/>
              </w:rPr>
            </w:pPr>
          </w:p>
        </w:tc>
      </w:tr>
      <w:tr w:rsidR="008B0A03" w:rsidRPr="004F6095" w14:paraId="3490E7C6" w14:textId="77777777" w:rsidTr="007B7728">
        <w:tc>
          <w:tcPr>
            <w:tcW w:w="9242" w:type="dxa"/>
            <w:gridSpan w:val="10"/>
            <w:tcBorders>
              <w:top w:val="single" w:sz="4" w:space="0" w:color="auto"/>
              <w:bottom w:val="single" w:sz="6" w:space="0" w:color="auto"/>
            </w:tcBorders>
            <w:shd w:val="clear" w:color="auto" w:fill="F3F3F3"/>
          </w:tcPr>
          <w:p w14:paraId="4AA199AA" w14:textId="5E096F18" w:rsidR="008B0A03" w:rsidRPr="004F6095" w:rsidRDefault="008B0A03" w:rsidP="00B04110">
            <w:pPr>
              <w:spacing w:after="140" w:line="240" w:lineRule="auto"/>
              <w:rPr>
                <w:rFonts w:cstheme="minorHAnsi"/>
              </w:rPr>
            </w:pPr>
            <w:r w:rsidRPr="004F6095">
              <w:rPr>
                <w:rFonts w:cstheme="minorHAnsi"/>
                <w:b/>
              </w:rPr>
              <w:t>Management response</w:t>
            </w:r>
            <w:r w:rsidRPr="004F6095">
              <w:rPr>
                <w:rFonts w:cstheme="minorHAnsi"/>
              </w:rPr>
              <w:t xml:space="preserve">: </w:t>
            </w:r>
            <w:r w:rsidR="00B04110" w:rsidRPr="004F6095">
              <w:rPr>
                <w:rFonts w:cstheme="minorHAnsi"/>
              </w:rPr>
              <w:t xml:space="preserve">Fully accept. This process can be done in preparation for GEF-8 project identification phase.  </w:t>
            </w:r>
            <w:r w:rsidR="00760974" w:rsidRPr="004F6095">
              <w:rPr>
                <w:rFonts w:cstheme="minorHAnsi"/>
              </w:rPr>
              <w:t xml:space="preserve">UNDP Thailand Country Office is among the accredited GEF agencies in Thailand. UNDP (BRH and CO) will co-organize a one-day workshop together with all GEF agencies to discuss the mechanism for government’s projects screening and approval in consultation with the Office of the GEF Operational Focal Point (OFP) and experienced implementing agencies under the Ministry of Natural Resources and Environment, Ministry of Industry, Ministry of Energy.  </w:t>
            </w:r>
          </w:p>
        </w:tc>
      </w:tr>
      <w:tr w:rsidR="008B0A03" w:rsidRPr="004F6095" w14:paraId="46ECC6AE" w14:textId="77777777" w:rsidTr="007B7728">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361868AD"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61749534"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508CDC5B"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46EE818D"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7E02FDF8" w14:textId="77777777" w:rsidTr="007B7728">
        <w:trPr>
          <w:trHeight w:val="135"/>
        </w:trPr>
        <w:tc>
          <w:tcPr>
            <w:tcW w:w="2912" w:type="dxa"/>
            <w:vMerge/>
            <w:tcBorders>
              <w:top w:val="single" w:sz="6" w:space="0" w:color="auto"/>
              <w:bottom w:val="single" w:sz="6" w:space="0" w:color="auto"/>
              <w:right w:val="single" w:sz="6" w:space="0" w:color="auto"/>
            </w:tcBorders>
            <w:shd w:val="clear" w:color="auto" w:fill="F3F3F3"/>
          </w:tcPr>
          <w:p w14:paraId="048ECD7E"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756E0ACD"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19A144E0"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5ADBF627"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437F1986"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8B0A03" w:rsidRPr="004F6095" w14:paraId="2913E4CE" w14:textId="77777777" w:rsidTr="007B7728">
        <w:tc>
          <w:tcPr>
            <w:tcW w:w="2912" w:type="dxa"/>
            <w:tcBorders>
              <w:top w:val="single" w:sz="6" w:space="0" w:color="auto"/>
              <w:bottom w:val="single" w:sz="6" w:space="0" w:color="auto"/>
              <w:right w:val="single" w:sz="6" w:space="0" w:color="auto"/>
            </w:tcBorders>
          </w:tcPr>
          <w:p w14:paraId="53D6208F" w14:textId="5DA1ACAE" w:rsidR="008B0A03" w:rsidRPr="004F6095" w:rsidRDefault="00B04110" w:rsidP="008B0A03">
            <w:pPr>
              <w:tabs>
                <w:tab w:val="left" w:pos="1080"/>
              </w:tabs>
              <w:rPr>
                <w:rFonts w:cstheme="minorHAnsi"/>
              </w:rPr>
            </w:pPr>
            <w:r w:rsidRPr="004F6095">
              <w:rPr>
                <w:rStyle w:val="normaltextrun"/>
                <w:rFonts w:cstheme="minorHAnsi"/>
                <w:lang w:val="en-GB"/>
              </w:rPr>
              <w:t xml:space="preserve">UNDP CO to organize a capacity building workshop for Thailand </w:t>
            </w:r>
            <w:r w:rsidRPr="004F6095">
              <w:rPr>
                <w:rFonts w:cstheme="minorHAnsi"/>
              </w:rPr>
              <w:t>governance of GEF project implementation</w:t>
            </w:r>
          </w:p>
        </w:tc>
        <w:tc>
          <w:tcPr>
            <w:tcW w:w="1968" w:type="dxa"/>
            <w:gridSpan w:val="2"/>
            <w:tcBorders>
              <w:top w:val="single" w:sz="6" w:space="0" w:color="auto"/>
              <w:left w:val="single" w:sz="6" w:space="0" w:color="auto"/>
              <w:bottom w:val="single" w:sz="6" w:space="0" w:color="auto"/>
              <w:right w:val="single" w:sz="6" w:space="0" w:color="auto"/>
            </w:tcBorders>
          </w:tcPr>
          <w:p w14:paraId="526DA273" w14:textId="1AB2AE68" w:rsidR="008B0A03" w:rsidRPr="004F6095" w:rsidRDefault="00B04110" w:rsidP="008B0A03">
            <w:pPr>
              <w:pStyle w:val="Default"/>
              <w:rPr>
                <w:rFonts w:asciiTheme="minorHAnsi" w:hAnsiTheme="minorHAnsi" w:cstheme="minorHAnsi"/>
                <w:sz w:val="22"/>
                <w:szCs w:val="22"/>
              </w:rPr>
            </w:pPr>
            <w:r w:rsidRPr="004F6095">
              <w:rPr>
                <w:rFonts w:asciiTheme="minorHAnsi" w:hAnsiTheme="minorHAnsi" w:cstheme="minorHAnsi"/>
                <w:sz w:val="22"/>
                <w:szCs w:val="22"/>
              </w:rPr>
              <w:t>June 202</w:t>
            </w:r>
            <w:r w:rsidR="007D0389">
              <w:rPr>
                <w:rFonts w:asciiTheme="minorHAnsi" w:hAnsiTheme="minorHAnsi" w:cstheme="minorHAnsi"/>
                <w:sz w:val="22"/>
                <w:szCs w:val="22"/>
              </w:rPr>
              <w:t>1</w:t>
            </w:r>
            <w:r w:rsidR="008B0A03" w:rsidRPr="004F6095">
              <w:rPr>
                <w:rFonts w:asciiTheme="minorHAnsi" w:hAnsiTheme="minorHAnsi" w:cstheme="minorHAnsi"/>
                <w:sz w:val="22"/>
                <w:szCs w:val="22"/>
              </w:rPr>
              <w:t xml:space="preserve"> – June 202</w:t>
            </w:r>
            <w:r w:rsidR="007D0389">
              <w:rPr>
                <w:rFonts w:asciiTheme="minorHAnsi" w:hAnsiTheme="minorHAnsi" w:cstheme="minorHAnsi"/>
                <w:sz w:val="22"/>
                <w:szCs w:val="22"/>
              </w:rPr>
              <w:t>2</w:t>
            </w:r>
            <w:r w:rsidR="008B0A03" w:rsidRPr="004F6095">
              <w:rPr>
                <w:rFonts w:asciiTheme="minorHAnsi" w:hAnsiTheme="minorHAnsi" w:cstheme="minorHAnsi"/>
                <w:sz w:val="22"/>
                <w:szCs w:val="22"/>
              </w:rPr>
              <w:t xml:space="preserve"> </w:t>
            </w:r>
          </w:p>
          <w:p w14:paraId="58ABE564" w14:textId="2CAC4DD4" w:rsidR="008B0A03" w:rsidRPr="004F6095" w:rsidRDefault="008B0A03" w:rsidP="008B0A03">
            <w:pPr>
              <w:pStyle w:val="Default"/>
              <w:rPr>
                <w:rFonts w:asciiTheme="minorHAnsi" w:hAnsiTheme="minorHAnsi" w:cstheme="minorHAnsi"/>
                <w:sz w:val="22"/>
                <w:szCs w:val="22"/>
              </w:rPr>
            </w:pPr>
          </w:p>
        </w:tc>
        <w:tc>
          <w:tcPr>
            <w:tcW w:w="2018" w:type="dxa"/>
            <w:gridSpan w:val="2"/>
            <w:tcBorders>
              <w:top w:val="single" w:sz="6" w:space="0" w:color="auto"/>
              <w:left w:val="single" w:sz="6" w:space="0" w:color="auto"/>
              <w:bottom w:val="single" w:sz="6" w:space="0" w:color="auto"/>
              <w:right w:val="single" w:sz="6" w:space="0" w:color="auto"/>
            </w:tcBorders>
          </w:tcPr>
          <w:p w14:paraId="78CE3151"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GEF OFP, Ministry of Foreign Affairs, UNDP (and possibly other GEF IAs such as UNEP) </w:t>
            </w:r>
          </w:p>
          <w:p w14:paraId="558C0631" w14:textId="693296CE" w:rsidR="008B0A03" w:rsidRPr="004F6095" w:rsidRDefault="008B0A03" w:rsidP="008B0A03">
            <w:pPr>
              <w:pStyle w:val="Default"/>
              <w:rPr>
                <w:rFonts w:asciiTheme="minorHAnsi" w:hAnsiTheme="minorHAnsi" w:cstheme="minorHAnsi"/>
                <w:sz w:val="22"/>
                <w:szCs w:val="22"/>
              </w:rPr>
            </w:pPr>
          </w:p>
        </w:tc>
        <w:tc>
          <w:tcPr>
            <w:tcW w:w="1349" w:type="dxa"/>
            <w:gridSpan w:val="3"/>
            <w:tcBorders>
              <w:top w:val="single" w:sz="6" w:space="0" w:color="auto"/>
              <w:left w:val="single" w:sz="6" w:space="0" w:color="auto"/>
              <w:bottom w:val="single" w:sz="6" w:space="0" w:color="auto"/>
              <w:right w:val="single" w:sz="6" w:space="0" w:color="auto"/>
            </w:tcBorders>
          </w:tcPr>
          <w:p w14:paraId="77D66FF9" w14:textId="11E7F358" w:rsidR="008B0A03" w:rsidRPr="004F6095" w:rsidRDefault="008B0A03" w:rsidP="008B0A03">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78928C0E" w14:textId="4AA6A46C" w:rsidR="008B0A03" w:rsidRPr="004F6095" w:rsidRDefault="000F7E71" w:rsidP="008B0A03">
            <w:pPr>
              <w:tabs>
                <w:tab w:val="left" w:pos="1080"/>
              </w:tabs>
              <w:rPr>
                <w:rFonts w:cstheme="minorHAnsi"/>
              </w:rPr>
            </w:pPr>
            <w:r>
              <w:rPr>
                <w:rFonts w:cstheme="minorHAnsi"/>
              </w:rPr>
              <w:t>Initiated</w:t>
            </w:r>
          </w:p>
        </w:tc>
      </w:tr>
      <w:tr w:rsidR="008B0A03" w:rsidRPr="004F6095" w14:paraId="63DC2906" w14:textId="77777777" w:rsidTr="007B7728">
        <w:tc>
          <w:tcPr>
            <w:tcW w:w="9242" w:type="dxa"/>
            <w:gridSpan w:val="10"/>
            <w:shd w:val="clear" w:color="auto" w:fill="F3F3F3"/>
          </w:tcPr>
          <w:p w14:paraId="1419789E" w14:textId="3AA6190F" w:rsidR="008B0A03" w:rsidRPr="004F6095" w:rsidRDefault="008B0A03" w:rsidP="008B0A03">
            <w:pPr>
              <w:tabs>
                <w:tab w:val="left" w:pos="1080"/>
              </w:tabs>
              <w:rPr>
                <w:rFonts w:cstheme="minorHAnsi"/>
                <w:b/>
              </w:rPr>
            </w:pPr>
            <w:r w:rsidRPr="004F6095">
              <w:rPr>
                <w:rFonts w:cstheme="minorHAnsi"/>
              </w:rPr>
              <w:br w:type="page"/>
            </w:r>
            <w:r w:rsidRPr="004F6095">
              <w:rPr>
                <w:rFonts w:cstheme="minorHAnsi"/>
                <w:b/>
              </w:rPr>
              <w:t>Terminal Evaluation recommendation 22</w:t>
            </w:r>
          </w:p>
          <w:p w14:paraId="30350517" w14:textId="77777777"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Category 5: Host country governance of GEF project implementation </w:t>
            </w:r>
          </w:p>
          <w:p w14:paraId="30B28E41" w14:textId="66D92CAD" w:rsidR="008B0A03" w:rsidRPr="004F6095" w:rsidRDefault="008B0A03" w:rsidP="008B0A03">
            <w:pPr>
              <w:pStyle w:val="Default"/>
              <w:rPr>
                <w:rFonts w:asciiTheme="minorHAnsi" w:hAnsiTheme="minorHAnsi" w:cstheme="minorHAnsi"/>
                <w:sz w:val="22"/>
                <w:szCs w:val="22"/>
              </w:rPr>
            </w:pPr>
            <w:r w:rsidRPr="004F6095">
              <w:rPr>
                <w:rFonts w:asciiTheme="minorHAnsi" w:hAnsiTheme="minorHAnsi" w:cstheme="minorHAnsi"/>
                <w:b/>
                <w:bCs/>
                <w:sz w:val="22"/>
                <w:szCs w:val="22"/>
              </w:rPr>
              <w:t xml:space="preserve">E2. Provide capacity development support to GEF project IPs to ensure stronger understanding of UNDP/GEF project policies and execution requirements. </w:t>
            </w:r>
            <w:r w:rsidRPr="004F6095">
              <w:rPr>
                <w:rFonts w:asciiTheme="minorHAnsi" w:hAnsiTheme="minorHAnsi" w:cstheme="minorHAnsi"/>
                <w:sz w:val="22"/>
                <w:szCs w:val="22"/>
              </w:rPr>
              <w:t xml:space="preserve">The requirements of GEF project execution are constantly evolving, and involve attention to M&amp;E, gender mainstreaming, social and environmental safeguards, risk management, stakeholder engagement and other matters. The GEF and UNDP policies and procedures for execution are often not consistent with national government, thus placing the IP in the awkward position of having to meet the needs of two systems simultaneously that do not fully align. Orientation support for relevant IP staff before and during GEF projects would help to resolve such issues and improve project execution performance. </w:t>
            </w:r>
          </w:p>
          <w:p w14:paraId="111EC0EE" w14:textId="77777777" w:rsidR="008B0A03" w:rsidRPr="004F6095" w:rsidRDefault="008B0A03" w:rsidP="008B0A03">
            <w:pPr>
              <w:pStyle w:val="Default"/>
              <w:rPr>
                <w:rFonts w:asciiTheme="minorHAnsi" w:hAnsiTheme="minorHAnsi" w:cstheme="minorHAnsi"/>
                <w:b/>
                <w:sz w:val="22"/>
                <w:szCs w:val="22"/>
              </w:rPr>
            </w:pPr>
          </w:p>
        </w:tc>
      </w:tr>
      <w:tr w:rsidR="008B0A03" w:rsidRPr="004F6095" w14:paraId="06877622" w14:textId="77777777" w:rsidTr="007B7728">
        <w:tc>
          <w:tcPr>
            <w:tcW w:w="9242" w:type="dxa"/>
            <w:gridSpan w:val="10"/>
            <w:tcBorders>
              <w:top w:val="single" w:sz="4" w:space="0" w:color="auto"/>
              <w:bottom w:val="single" w:sz="6" w:space="0" w:color="auto"/>
            </w:tcBorders>
            <w:shd w:val="clear" w:color="auto" w:fill="F3F3F3"/>
          </w:tcPr>
          <w:p w14:paraId="101EBEB9" w14:textId="623062E9" w:rsidR="008B0A03" w:rsidRPr="004F6095" w:rsidRDefault="008B0A03" w:rsidP="008B0A03">
            <w:pPr>
              <w:tabs>
                <w:tab w:val="left" w:pos="1080"/>
              </w:tabs>
              <w:rPr>
                <w:rFonts w:cstheme="minorHAnsi"/>
              </w:rPr>
            </w:pPr>
            <w:r w:rsidRPr="004F6095">
              <w:rPr>
                <w:rFonts w:cstheme="minorHAnsi"/>
                <w:b/>
              </w:rPr>
              <w:t>Management response</w:t>
            </w:r>
            <w:r w:rsidRPr="004F6095">
              <w:rPr>
                <w:rFonts w:cstheme="minorHAnsi"/>
              </w:rPr>
              <w:t xml:space="preserve">: </w:t>
            </w:r>
            <w:r w:rsidR="00C43EC6" w:rsidRPr="004F6095">
              <w:rPr>
                <w:rFonts w:cstheme="minorHAnsi"/>
              </w:rPr>
              <w:t xml:space="preserve">Partially </w:t>
            </w:r>
            <w:r w:rsidR="00B04110" w:rsidRPr="004F6095">
              <w:rPr>
                <w:rFonts w:cstheme="minorHAnsi"/>
              </w:rPr>
              <w:t>accept. This process can be done in preparation for GEF-8 project identification phase.  UNDP Thailand Country Office is among the accredited GEF agencies in Thailand. UNDP (BRH and CO) will co-organize a one-day workshop together with all GEF agencies to discuss the mechanism for government’s projects screening and approval in consultation with the Office of the GEF Operational Focal Point (OFP) and experienced implementing agencies under the Ministry of Natural Resources and Environment, Ministry of Industry, Ministry of Energy.</w:t>
            </w:r>
          </w:p>
        </w:tc>
      </w:tr>
      <w:tr w:rsidR="008B0A03" w:rsidRPr="004F6095" w14:paraId="454BAAB6" w14:textId="77777777" w:rsidTr="007B7728">
        <w:trPr>
          <w:trHeight w:val="135"/>
        </w:trPr>
        <w:tc>
          <w:tcPr>
            <w:tcW w:w="2912" w:type="dxa"/>
            <w:vMerge w:val="restart"/>
            <w:tcBorders>
              <w:top w:val="single" w:sz="6" w:space="0" w:color="auto"/>
              <w:bottom w:val="single" w:sz="6" w:space="0" w:color="auto"/>
              <w:right w:val="single" w:sz="6" w:space="0" w:color="auto"/>
            </w:tcBorders>
            <w:shd w:val="clear" w:color="auto" w:fill="F3F3F3"/>
          </w:tcPr>
          <w:p w14:paraId="15CBAF4D" w14:textId="77777777" w:rsidR="008B0A03" w:rsidRPr="004F6095" w:rsidRDefault="008B0A03" w:rsidP="008B0A03">
            <w:pPr>
              <w:tabs>
                <w:tab w:val="left" w:pos="1080"/>
              </w:tabs>
              <w:jc w:val="center"/>
              <w:rPr>
                <w:rFonts w:cstheme="minorHAnsi"/>
                <w:b/>
              </w:rPr>
            </w:pPr>
            <w:r w:rsidRPr="004F6095">
              <w:rPr>
                <w:rFonts w:cstheme="minorHAnsi"/>
                <w:b/>
              </w:rPr>
              <w:t>Key action(s)</w:t>
            </w:r>
          </w:p>
        </w:tc>
        <w:tc>
          <w:tcPr>
            <w:tcW w:w="196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4210D23F" w14:textId="77777777" w:rsidR="008B0A03" w:rsidRPr="004F6095" w:rsidRDefault="008B0A03" w:rsidP="008B0A03">
            <w:pPr>
              <w:tabs>
                <w:tab w:val="left" w:pos="1080"/>
              </w:tabs>
              <w:jc w:val="center"/>
              <w:rPr>
                <w:rFonts w:cstheme="minorHAnsi"/>
                <w:b/>
              </w:rPr>
            </w:pPr>
            <w:r w:rsidRPr="004F6095">
              <w:rPr>
                <w:rFonts w:cstheme="minorHAnsi"/>
                <w:b/>
              </w:rPr>
              <w:t>Time frame</w:t>
            </w:r>
          </w:p>
        </w:tc>
        <w:tc>
          <w:tcPr>
            <w:tcW w:w="2018" w:type="dxa"/>
            <w:gridSpan w:val="2"/>
            <w:vMerge w:val="restart"/>
            <w:tcBorders>
              <w:top w:val="single" w:sz="6" w:space="0" w:color="auto"/>
              <w:left w:val="single" w:sz="6" w:space="0" w:color="auto"/>
              <w:bottom w:val="single" w:sz="6" w:space="0" w:color="auto"/>
              <w:right w:val="single" w:sz="6" w:space="0" w:color="auto"/>
            </w:tcBorders>
            <w:shd w:val="clear" w:color="auto" w:fill="F3F3F3"/>
          </w:tcPr>
          <w:p w14:paraId="1A5E9A59" w14:textId="77777777" w:rsidR="008B0A03" w:rsidRPr="004F6095" w:rsidRDefault="008B0A03" w:rsidP="008B0A03">
            <w:pPr>
              <w:tabs>
                <w:tab w:val="left" w:pos="1080"/>
              </w:tabs>
              <w:jc w:val="center"/>
              <w:rPr>
                <w:rFonts w:cstheme="minorHAnsi"/>
                <w:b/>
              </w:rPr>
            </w:pPr>
            <w:r w:rsidRPr="004F6095">
              <w:rPr>
                <w:rFonts w:cstheme="minorHAnsi"/>
                <w:b/>
              </w:rPr>
              <w:t>Responsible unit(s)</w:t>
            </w:r>
          </w:p>
        </w:tc>
        <w:tc>
          <w:tcPr>
            <w:tcW w:w="2344" w:type="dxa"/>
            <w:gridSpan w:val="5"/>
            <w:tcBorders>
              <w:top w:val="single" w:sz="6" w:space="0" w:color="auto"/>
              <w:left w:val="single" w:sz="6" w:space="0" w:color="auto"/>
              <w:bottom w:val="single" w:sz="6" w:space="0" w:color="auto"/>
            </w:tcBorders>
            <w:shd w:val="clear" w:color="auto" w:fill="F3F3F3"/>
          </w:tcPr>
          <w:p w14:paraId="3A540B8B" w14:textId="77777777" w:rsidR="008B0A03" w:rsidRPr="004F6095" w:rsidRDefault="008B0A03" w:rsidP="008B0A03">
            <w:pPr>
              <w:tabs>
                <w:tab w:val="left" w:pos="1080"/>
              </w:tabs>
              <w:jc w:val="center"/>
              <w:rPr>
                <w:rFonts w:cstheme="minorHAnsi"/>
                <w:b/>
              </w:rPr>
            </w:pPr>
            <w:r w:rsidRPr="004F6095">
              <w:rPr>
                <w:rFonts w:cstheme="minorHAnsi"/>
                <w:b/>
              </w:rPr>
              <w:t>Tracking</w:t>
            </w:r>
          </w:p>
        </w:tc>
      </w:tr>
      <w:tr w:rsidR="008B0A03" w:rsidRPr="004F6095" w14:paraId="5F8BAB7B" w14:textId="77777777" w:rsidTr="007B7728">
        <w:trPr>
          <w:trHeight w:val="135"/>
        </w:trPr>
        <w:tc>
          <w:tcPr>
            <w:tcW w:w="2912" w:type="dxa"/>
            <w:vMerge/>
            <w:tcBorders>
              <w:top w:val="single" w:sz="6" w:space="0" w:color="auto"/>
              <w:bottom w:val="single" w:sz="6" w:space="0" w:color="auto"/>
              <w:right w:val="single" w:sz="6" w:space="0" w:color="auto"/>
            </w:tcBorders>
            <w:shd w:val="clear" w:color="auto" w:fill="F3F3F3"/>
          </w:tcPr>
          <w:p w14:paraId="02E0F272" w14:textId="77777777" w:rsidR="008B0A03" w:rsidRPr="004F6095" w:rsidRDefault="008B0A03" w:rsidP="008B0A03">
            <w:pPr>
              <w:tabs>
                <w:tab w:val="left" w:pos="1080"/>
              </w:tabs>
              <w:rPr>
                <w:rFonts w:cstheme="minorHAnsi"/>
              </w:rPr>
            </w:pPr>
          </w:p>
        </w:tc>
        <w:tc>
          <w:tcPr>
            <w:tcW w:w="1968" w:type="dxa"/>
            <w:gridSpan w:val="2"/>
            <w:vMerge/>
            <w:tcBorders>
              <w:top w:val="single" w:sz="6" w:space="0" w:color="auto"/>
              <w:left w:val="single" w:sz="6" w:space="0" w:color="auto"/>
              <w:bottom w:val="single" w:sz="6" w:space="0" w:color="auto"/>
              <w:right w:val="single" w:sz="6" w:space="0" w:color="auto"/>
            </w:tcBorders>
            <w:shd w:val="clear" w:color="auto" w:fill="F3F3F3"/>
          </w:tcPr>
          <w:p w14:paraId="0AC1A93A" w14:textId="77777777" w:rsidR="008B0A03" w:rsidRPr="004F6095" w:rsidRDefault="008B0A03" w:rsidP="008B0A03">
            <w:pPr>
              <w:tabs>
                <w:tab w:val="left" w:pos="1080"/>
              </w:tabs>
              <w:rPr>
                <w:rFonts w:cstheme="minorHAnsi"/>
                <w:b/>
              </w:rPr>
            </w:pPr>
          </w:p>
        </w:tc>
        <w:tc>
          <w:tcPr>
            <w:tcW w:w="2018" w:type="dxa"/>
            <w:gridSpan w:val="2"/>
            <w:vMerge/>
            <w:tcBorders>
              <w:top w:val="single" w:sz="6" w:space="0" w:color="auto"/>
              <w:left w:val="single" w:sz="6" w:space="0" w:color="auto"/>
              <w:bottom w:val="single" w:sz="6" w:space="0" w:color="auto"/>
              <w:right w:val="single" w:sz="6" w:space="0" w:color="auto"/>
            </w:tcBorders>
            <w:shd w:val="clear" w:color="auto" w:fill="F3F3F3"/>
          </w:tcPr>
          <w:p w14:paraId="4285D72F" w14:textId="77777777" w:rsidR="008B0A03" w:rsidRPr="004F6095" w:rsidRDefault="008B0A03" w:rsidP="008B0A03">
            <w:pPr>
              <w:tabs>
                <w:tab w:val="left" w:pos="1080"/>
              </w:tabs>
              <w:rPr>
                <w:rFonts w:cstheme="minorHAnsi"/>
                <w:b/>
              </w:rPr>
            </w:pPr>
          </w:p>
        </w:tc>
        <w:tc>
          <w:tcPr>
            <w:tcW w:w="1349" w:type="dxa"/>
            <w:gridSpan w:val="3"/>
            <w:tcBorders>
              <w:top w:val="single" w:sz="6" w:space="0" w:color="auto"/>
              <w:left w:val="single" w:sz="6" w:space="0" w:color="auto"/>
              <w:bottom w:val="single" w:sz="6" w:space="0" w:color="auto"/>
              <w:right w:val="single" w:sz="6" w:space="0" w:color="auto"/>
            </w:tcBorders>
          </w:tcPr>
          <w:p w14:paraId="239D10FD" w14:textId="77777777" w:rsidR="008B0A03" w:rsidRPr="004F6095" w:rsidRDefault="008B0A03" w:rsidP="008B0A03">
            <w:pPr>
              <w:tabs>
                <w:tab w:val="left" w:pos="1080"/>
              </w:tabs>
              <w:jc w:val="center"/>
              <w:rPr>
                <w:rFonts w:cstheme="minorHAnsi"/>
                <w:b/>
              </w:rPr>
            </w:pPr>
            <w:r w:rsidRPr="004F6095">
              <w:rPr>
                <w:rFonts w:cstheme="minorHAnsi"/>
                <w:b/>
              </w:rPr>
              <w:t>Comments</w:t>
            </w:r>
          </w:p>
        </w:tc>
        <w:tc>
          <w:tcPr>
            <w:tcW w:w="995" w:type="dxa"/>
            <w:gridSpan w:val="2"/>
            <w:tcBorders>
              <w:top w:val="single" w:sz="6" w:space="0" w:color="auto"/>
              <w:left w:val="single" w:sz="6" w:space="0" w:color="auto"/>
              <w:bottom w:val="single" w:sz="6" w:space="0" w:color="auto"/>
            </w:tcBorders>
          </w:tcPr>
          <w:p w14:paraId="5BA18C2E" w14:textId="77777777" w:rsidR="008B0A03" w:rsidRPr="004F6095" w:rsidRDefault="008B0A03" w:rsidP="008B0A03">
            <w:pPr>
              <w:tabs>
                <w:tab w:val="left" w:pos="1080"/>
              </w:tabs>
              <w:jc w:val="center"/>
              <w:rPr>
                <w:rFonts w:cstheme="minorHAnsi"/>
                <w:b/>
              </w:rPr>
            </w:pPr>
            <w:r w:rsidRPr="004F6095">
              <w:rPr>
                <w:rFonts w:cstheme="minorHAnsi"/>
                <w:b/>
              </w:rPr>
              <w:t>Status</w:t>
            </w:r>
          </w:p>
        </w:tc>
      </w:tr>
      <w:tr w:rsidR="00B04110" w:rsidRPr="004F6095" w14:paraId="1F45CD69" w14:textId="77777777" w:rsidTr="007B7728">
        <w:tc>
          <w:tcPr>
            <w:tcW w:w="2912" w:type="dxa"/>
            <w:tcBorders>
              <w:top w:val="single" w:sz="6" w:space="0" w:color="auto"/>
              <w:bottom w:val="single" w:sz="6" w:space="0" w:color="auto"/>
              <w:right w:val="single" w:sz="6" w:space="0" w:color="auto"/>
            </w:tcBorders>
          </w:tcPr>
          <w:p w14:paraId="0C3E87AC" w14:textId="624F73E0" w:rsidR="00B04110" w:rsidRPr="004F6095" w:rsidRDefault="00B04110" w:rsidP="00B04110">
            <w:pPr>
              <w:tabs>
                <w:tab w:val="left" w:pos="1080"/>
              </w:tabs>
              <w:rPr>
                <w:rFonts w:cstheme="minorHAnsi"/>
              </w:rPr>
            </w:pPr>
            <w:r w:rsidRPr="004F6095">
              <w:rPr>
                <w:rStyle w:val="normaltextrun"/>
                <w:rFonts w:cstheme="minorHAnsi"/>
                <w:lang w:val="en-GB"/>
              </w:rPr>
              <w:t xml:space="preserve">UNDP CO to organize a capacity building workshop for Thailand </w:t>
            </w:r>
            <w:r w:rsidRPr="004F6095">
              <w:rPr>
                <w:rFonts w:cstheme="minorHAnsi"/>
              </w:rPr>
              <w:t>governance of GEF project implementation</w:t>
            </w:r>
          </w:p>
        </w:tc>
        <w:tc>
          <w:tcPr>
            <w:tcW w:w="1968" w:type="dxa"/>
            <w:gridSpan w:val="2"/>
            <w:tcBorders>
              <w:top w:val="single" w:sz="6" w:space="0" w:color="auto"/>
              <w:left w:val="single" w:sz="6" w:space="0" w:color="auto"/>
              <w:bottom w:val="single" w:sz="6" w:space="0" w:color="auto"/>
              <w:right w:val="single" w:sz="6" w:space="0" w:color="auto"/>
            </w:tcBorders>
          </w:tcPr>
          <w:p w14:paraId="1D1D36B6" w14:textId="7052376C" w:rsidR="00B04110" w:rsidRPr="004F6095" w:rsidRDefault="00B04110" w:rsidP="00B04110">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June – </w:t>
            </w:r>
            <w:r w:rsidR="002652CA">
              <w:rPr>
                <w:rFonts w:asciiTheme="minorHAnsi" w:hAnsiTheme="minorHAnsi" w:cstheme="minorHAnsi"/>
                <w:sz w:val="22"/>
                <w:szCs w:val="22"/>
              </w:rPr>
              <w:t xml:space="preserve">Dec </w:t>
            </w:r>
            <w:r w:rsidRPr="004F6095">
              <w:rPr>
                <w:rFonts w:asciiTheme="minorHAnsi" w:hAnsiTheme="minorHAnsi" w:cstheme="minorHAnsi"/>
                <w:sz w:val="22"/>
                <w:szCs w:val="22"/>
              </w:rPr>
              <w:t xml:space="preserve"> 202</w:t>
            </w:r>
            <w:r w:rsidR="002652CA">
              <w:rPr>
                <w:rFonts w:asciiTheme="minorHAnsi" w:hAnsiTheme="minorHAnsi" w:cstheme="minorHAnsi"/>
                <w:sz w:val="22"/>
                <w:szCs w:val="22"/>
              </w:rPr>
              <w:t>1</w:t>
            </w:r>
            <w:r w:rsidRPr="004F6095">
              <w:rPr>
                <w:rFonts w:asciiTheme="minorHAnsi" w:hAnsiTheme="minorHAnsi" w:cstheme="minorHAnsi"/>
                <w:sz w:val="22"/>
                <w:szCs w:val="22"/>
              </w:rPr>
              <w:t xml:space="preserve"> </w:t>
            </w:r>
          </w:p>
          <w:p w14:paraId="2C3B362E" w14:textId="77777777" w:rsidR="00B04110" w:rsidRPr="004F6095" w:rsidRDefault="00B04110" w:rsidP="00B04110">
            <w:pPr>
              <w:pStyle w:val="Default"/>
              <w:rPr>
                <w:rFonts w:asciiTheme="minorHAnsi" w:hAnsiTheme="minorHAnsi" w:cstheme="minorHAnsi"/>
                <w:sz w:val="22"/>
                <w:szCs w:val="22"/>
              </w:rPr>
            </w:pPr>
          </w:p>
        </w:tc>
        <w:tc>
          <w:tcPr>
            <w:tcW w:w="2018" w:type="dxa"/>
            <w:gridSpan w:val="2"/>
            <w:tcBorders>
              <w:top w:val="single" w:sz="6" w:space="0" w:color="auto"/>
              <w:left w:val="single" w:sz="6" w:space="0" w:color="auto"/>
              <w:bottom w:val="single" w:sz="6" w:space="0" w:color="auto"/>
              <w:right w:val="single" w:sz="6" w:space="0" w:color="auto"/>
            </w:tcBorders>
          </w:tcPr>
          <w:p w14:paraId="225D6680" w14:textId="77777777" w:rsidR="00B04110" w:rsidRPr="004F6095" w:rsidRDefault="00B04110" w:rsidP="00B04110">
            <w:pPr>
              <w:pStyle w:val="Default"/>
              <w:rPr>
                <w:rFonts w:asciiTheme="minorHAnsi" w:hAnsiTheme="minorHAnsi" w:cstheme="minorHAnsi"/>
                <w:sz w:val="22"/>
                <w:szCs w:val="22"/>
              </w:rPr>
            </w:pPr>
            <w:r w:rsidRPr="004F6095">
              <w:rPr>
                <w:rFonts w:asciiTheme="minorHAnsi" w:hAnsiTheme="minorHAnsi" w:cstheme="minorHAnsi"/>
                <w:sz w:val="22"/>
                <w:szCs w:val="22"/>
              </w:rPr>
              <w:t xml:space="preserve">GEF OFP, Ministry of Foreign Affairs, UNDP (and possibly other GEF IAs such as UNEP) </w:t>
            </w:r>
          </w:p>
          <w:p w14:paraId="1A36A666" w14:textId="04C8B1E6" w:rsidR="00B04110" w:rsidRPr="004F6095" w:rsidRDefault="00B04110" w:rsidP="00B04110">
            <w:pPr>
              <w:pStyle w:val="Default"/>
              <w:rPr>
                <w:rFonts w:asciiTheme="minorHAnsi" w:hAnsiTheme="minorHAnsi" w:cstheme="minorHAnsi"/>
                <w:sz w:val="22"/>
                <w:szCs w:val="22"/>
              </w:rPr>
            </w:pPr>
          </w:p>
        </w:tc>
        <w:tc>
          <w:tcPr>
            <w:tcW w:w="1349" w:type="dxa"/>
            <w:gridSpan w:val="3"/>
            <w:tcBorders>
              <w:top w:val="single" w:sz="6" w:space="0" w:color="auto"/>
              <w:left w:val="single" w:sz="6" w:space="0" w:color="auto"/>
              <w:bottom w:val="single" w:sz="6" w:space="0" w:color="auto"/>
              <w:right w:val="single" w:sz="6" w:space="0" w:color="auto"/>
            </w:tcBorders>
          </w:tcPr>
          <w:p w14:paraId="3D9A52EC" w14:textId="77777777" w:rsidR="00B04110" w:rsidRPr="004F6095" w:rsidRDefault="00B04110" w:rsidP="00B04110">
            <w:pPr>
              <w:tabs>
                <w:tab w:val="left" w:pos="1080"/>
              </w:tabs>
              <w:rPr>
                <w:rFonts w:cstheme="minorHAnsi"/>
              </w:rPr>
            </w:pPr>
          </w:p>
        </w:tc>
        <w:tc>
          <w:tcPr>
            <w:tcW w:w="995" w:type="dxa"/>
            <w:gridSpan w:val="2"/>
            <w:tcBorders>
              <w:top w:val="single" w:sz="6" w:space="0" w:color="auto"/>
              <w:left w:val="single" w:sz="6" w:space="0" w:color="auto"/>
              <w:bottom w:val="single" w:sz="6" w:space="0" w:color="auto"/>
            </w:tcBorders>
          </w:tcPr>
          <w:p w14:paraId="646C0697" w14:textId="75FEB1C0" w:rsidR="00B04110" w:rsidRPr="004F6095" w:rsidRDefault="000F7E71" w:rsidP="00B04110">
            <w:pPr>
              <w:tabs>
                <w:tab w:val="left" w:pos="1080"/>
              </w:tabs>
              <w:rPr>
                <w:rFonts w:cstheme="minorHAnsi"/>
              </w:rPr>
            </w:pPr>
            <w:r>
              <w:rPr>
                <w:rFonts w:cstheme="minorHAnsi"/>
              </w:rPr>
              <w:t>Initiated</w:t>
            </w:r>
          </w:p>
        </w:tc>
      </w:tr>
    </w:tbl>
    <w:p w14:paraId="558873F7" w14:textId="77777777" w:rsidR="00D56CA6" w:rsidRPr="004F6095" w:rsidRDefault="00D56CA6" w:rsidP="00D56CA6">
      <w:pPr>
        <w:rPr>
          <w:rFonts w:cstheme="minorHAnsi"/>
          <w:i/>
          <w:iCs/>
        </w:rPr>
      </w:pPr>
    </w:p>
    <w:p w14:paraId="77E95A99" w14:textId="77777777" w:rsidR="00D56CA6" w:rsidRPr="004F6095" w:rsidRDefault="00D56CA6" w:rsidP="00D56CA6">
      <w:pPr>
        <w:rPr>
          <w:rFonts w:cstheme="minorHAnsi"/>
          <w:i/>
          <w:iCs/>
        </w:rPr>
      </w:pPr>
    </w:p>
    <w:p w14:paraId="36409071" w14:textId="77777777" w:rsidR="00F448FA" w:rsidRPr="004F6095" w:rsidRDefault="00F448FA" w:rsidP="00A97820">
      <w:pPr>
        <w:rPr>
          <w:rFonts w:cstheme="minorHAnsi"/>
          <w:i/>
          <w:iCs/>
        </w:rPr>
      </w:pPr>
    </w:p>
    <w:p w14:paraId="11D1AA1A" w14:textId="77777777" w:rsidR="00F448FA" w:rsidRPr="004F6095" w:rsidRDefault="00F448FA" w:rsidP="00A97820">
      <w:pPr>
        <w:rPr>
          <w:rFonts w:cstheme="minorHAnsi"/>
          <w:i/>
          <w:iCs/>
        </w:rPr>
      </w:pPr>
    </w:p>
    <w:sectPr w:rsidR="00F448FA" w:rsidRPr="004F60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B7A4" w14:textId="77777777" w:rsidR="006E5A06" w:rsidRDefault="006E5A06" w:rsidP="000208B5">
      <w:pPr>
        <w:spacing w:after="0" w:line="240" w:lineRule="auto"/>
      </w:pPr>
      <w:r>
        <w:separator/>
      </w:r>
    </w:p>
  </w:endnote>
  <w:endnote w:type="continuationSeparator" w:id="0">
    <w:p w14:paraId="07D327B8" w14:textId="77777777" w:rsidR="006E5A06" w:rsidRDefault="006E5A06" w:rsidP="0002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24088"/>
      <w:docPartObj>
        <w:docPartGallery w:val="Page Numbers (Bottom of Page)"/>
        <w:docPartUnique/>
      </w:docPartObj>
    </w:sdtPr>
    <w:sdtEndPr>
      <w:rPr>
        <w:noProof/>
      </w:rPr>
    </w:sdtEndPr>
    <w:sdtContent>
      <w:p w14:paraId="045A25A1" w14:textId="0377F856" w:rsidR="00727434" w:rsidRDefault="007274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FDD543" w14:textId="77777777" w:rsidR="00727434" w:rsidRDefault="0072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C79F" w14:textId="77777777" w:rsidR="006E5A06" w:rsidRDefault="006E5A06" w:rsidP="000208B5">
      <w:pPr>
        <w:spacing w:after="0" w:line="240" w:lineRule="auto"/>
      </w:pPr>
      <w:r>
        <w:separator/>
      </w:r>
    </w:p>
  </w:footnote>
  <w:footnote w:type="continuationSeparator" w:id="0">
    <w:p w14:paraId="4B2572C1" w14:textId="77777777" w:rsidR="006E5A06" w:rsidRDefault="006E5A06" w:rsidP="000208B5">
      <w:pPr>
        <w:spacing w:after="0" w:line="240" w:lineRule="auto"/>
      </w:pPr>
      <w:r>
        <w:continuationSeparator/>
      </w:r>
    </w:p>
  </w:footnote>
  <w:footnote w:id="1">
    <w:p w14:paraId="62BDBF42" w14:textId="10037812" w:rsidR="00727434" w:rsidRPr="00682E04" w:rsidRDefault="00727434">
      <w:pPr>
        <w:pStyle w:val="FootnoteText"/>
        <w:rPr>
          <w:rFonts w:ascii="Calibri" w:hAnsi="Calibri"/>
          <w:sz w:val="18"/>
          <w:szCs w:val="18"/>
        </w:rPr>
      </w:pPr>
      <w:r w:rsidRPr="00682E04">
        <w:rPr>
          <w:rFonts w:ascii="Calibri" w:hAnsi="Calibri"/>
          <w:sz w:val="18"/>
          <w:szCs w:val="18"/>
          <w:vertAlign w:val="superscript"/>
        </w:rPr>
        <w:footnoteRef/>
      </w:r>
      <w:r w:rsidRPr="00682E04">
        <w:rPr>
          <w:rFonts w:ascii="Calibri" w:hAnsi="Calibri"/>
          <w:sz w:val="18"/>
          <w:szCs w:val="18"/>
          <w:vertAlign w:val="superscript"/>
        </w:rPr>
        <w:t xml:space="preserve"> </w:t>
      </w:r>
      <w:r w:rsidRPr="00682E04">
        <w:rPr>
          <w:rFonts w:ascii="Calibri" w:hAnsi="Calibri"/>
          <w:sz w:val="18"/>
          <w:szCs w:val="18"/>
        </w:rPr>
        <w:t>Select one:  Fully Accept, Partially Accept, Reject</w:t>
      </w:r>
    </w:p>
  </w:footnote>
  <w:footnote w:id="2">
    <w:p w14:paraId="47670F5C" w14:textId="64366036" w:rsidR="00727434" w:rsidRPr="00060E35" w:rsidRDefault="00727434" w:rsidP="00A97820">
      <w:pPr>
        <w:pStyle w:val="FootnoteText"/>
        <w:rPr>
          <w:rFonts w:ascii="Garamond" w:hAnsi="Garamond"/>
          <w:sz w:val="18"/>
          <w:szCs w:val="18"/>
        </w:rPr>
      </w:pPr>
      <w:r w:rsidRPr="00682E04">
        <w:rPr>
          <w:sz w:val="18"/>
          <w:szCs w:val="18"/>
          <w:vertAlign w:val="superscript"/>
        </w:rPr>
        <w:footnoteRef/>
      </w:r>
      <w:r w:rsidRPr="00682E04">
        <w:rPr>
          <w:rFonts w:ascii="Calibri" w:hAnsi="Calibri"/>
          <w:vertAlign w:val="superscript"/>
        </w:rPr>
        <w:t xml:space="preserve"> </w:t>
      </w:r>
      <w:r>
        <w:rPr>
          <w:rFonts w:ascii="Calibri" w:hAnsi="Calibri"/>
          <w:sz w:val="18"/>
          <w:szCs w:val="18"/>
        </w:rPr>
        <w:t>S</w:t>
      </w:r>
      <w:r w:rsidRPr="00DF316C">
        <w:rPr>
          <w:rFonts w:ascii="Calibri" w:hAnsi="Calibri"/>
          <w:sz w:val="18"/>
          <w:szCs w:val="18"/>
        </w:rPr>
        <w:t>tatus of implementation is tracked electronically in the Evaluation Resource Centre</w:t>
      </w:r>
      <w:r>
        <w:rPr>
          <w:rFonts w:ascii="Calibri" w:hAnsi="Calibri"/>
          <w:sz w:val="18"/>
          <w:szCs w:val="18"/>
        </w:rPr>
        <w:t xml:space="preserve"> </w:t>
      </w:r>
      <w:r w:rsidRPr="00DF316C">
        <w:rPr>
          <w:rFonts w:ascii="Calibri" w:hAnsi="Calibri"/>
          <w:sz w:val="18"/>
          <w:szCs w:val="18"/>
        </w:rPr>
        <w:t>(ERC).</w:t>
      </w:r>
    </w:p>
  </w:footnote>
  <w:footnote w:id="3">
    <w:p w14:paraId="57C507A6" w14:textId="381666BF" w:rsidR="00727434" w:rsidRPr="00DF316C" w:rsidRDefault="00727434" w:rsidP="00A97820">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w:t>
      </w:r>
      <w:r>
        <w:rPr>
          <w:rFonts w:ascii="Calibri" w:hAnsi="Calibri"/>
          <w:sz w:val="18"/>
          <w:szCs w:val="18"/>
        </w:rPr>
        <w:t xml:space="preserve">elect one: Not initiated, Initiated, </w:t>
      </w:r>
      <w:r w:rsidRPr="00DF316C">
        <w:rPr>
          <w:rFonts w:ascii="Calibri" w:hAnsi="Calibri"/>
          <w:sz w:val="18"/>
          <w:szCs w:val="18"/>
        </w:rPr>
        <w:t xml:space="preserve"> Completed, </w:t>
      </w:r>
      <w:r>
        <w:rPr>
          <w:rFonts w:ascii="Calibri" w:hAnsi="Calibri"/>
          <w:sz w:val="18"/>
          <w:szCs w:val="18"/>
        </w:rPr>
        <w:t>Completed, No longer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71C7A2"/>
    <w:multiLevelType w:val="hybridMultilevel"/>
    <w:tmpl w:val="42BFE6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D4A6A0"/>
    <w:multiLevelType w:val="hybridMultilevel"/>
    <w:tmpl w:val="C782D8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955442"/>
    <w:multiLevelType w:val="hybridMultilevel"/>
    <w:tmpl w:val="D11EED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4F6D6B"/>
    <w:multiLevelType w:val="hybridMultilevel"/>
    <w:tmpl w:val="08449770"/>
    <w:lvl w:ilvl="0" w:tplc="184A2204">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EE4927"/>
    <w:multiLevelType w:val="hybridMultilevel"/>
    <w:tmpl w:val="791A3E3A"/>
    <w:lvl w:ilvl="0" w:tplc="F5BCB06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0D"/>
    <w:rsid w:val="000162D9"/>
    <w:rsid w:val="0002045C"/>
    <w:rsid w:val="000208B5"/>
    <w:rsid w:val="000457CD"/>
    <w:rsid w:val="00063A83"/>
    <w:rsid w:val="00076F28"/>
    <w:rsid w:val="000C16F9"/>
    <w:rsid w:val="000E6032"/>
    <w:rsid w:val="000F7E71"/>
    <w:rsid w:val="00152D73"/>
    <w:rsid w:val="001549F5"/>
    <w:rsid w:val="00172B99"/>
    <w:rsid w:val="001A5D34"/>
    <w:rsid w:val="001C19B0"/>
    <w:rsid w:val="001F2C1B"/>
    <w:rsid w:val="0024343C"/>
    <w:rsid w:val="00253978"/>
    <w:rsid w:val="002544DE"/>
    <w:rsid w:val="002652CA"/>
    <w:rsid w:val="002827B9"/>
    <w:rsid w:val="00284EB9"/>
    <w:rsid w:val="002B1E80"/>
    <w:rsid w:val="002B7FF8"/>
    <w:rsid w:val="002D05F7"/>
    <w:rsid w:val="002D6B47"/>
    <w:rsid w:val="002F0FD2"/>
    <w:rsid w:val="003108C8"/>
    <w:rsid w:val="00324540"/>
    <w:rsid w:val="00330734"/>
    <w:rsid w:val="00373839"/>
    <w:rsid w:val="003928ED"/>
    <w:rsid w:val="003B3641"/>
    <w:rsid w:val="003E095E"/>
    <w:rsid w:val="004421BB"/>
    <w:rsid w:val="00467089"/>
    <w:rsid w:val="00494037"/>
    <w:rsid w:val="004A4BBD"/>
    <w:rsid w:val="004B2AE2"/>
    <w:rsid w:val="004C51AB"/>
    <w:rsid w:val="004C66B1"/>
    <w:rsid w:val="004F14E6"/>
    <w:rsid w:val="004F6095"/>
    <w:rsid w:val="005056EA"/>
    <w:rsid w:val="00530446"/>
    <w:rsid w:val="0053459E"/>
    <w:rsid w:val="005422D9"/>
    <w:rsid w:val="00567946"/>
    <w:rsid w:val="005B55DB"/>
    <w:rsid w:val="005F52C4"/>
    <w:rsid w:val="0062476D"/>
    <w:rsid w:val="006347F5"/>
    <w:rsid w:val="00635ABA"/>
    <w:rsid w:val="00647B26"/>
    <w:rsid w:val="00651965"/>
    <w:rsid w:val="00651C82"/>
    <w:rsid w:val="00653A6C"/>
    <w:rsid w:val="00655B82"/>
    <w:rsid w:val="0065615E"/>
    <w:rsid w:val="006616EA"/>
    <w:rsid w:val="00664276"/>
    <w:rsid w:val="00682E04"/>
    <w:rsid w:val="006E3783"/>
    <w:rsid w:val="006E5A06"/>
    <w:rsid w:val="00707E92"/>
    <w:rsid w:val="00727434"/>
    <w:rsid w:val="00735444"/>
    <w:rsid w:val="00752CE1"/>
    <w:rsid w:val="00760974"/>
    <w:rsid w:val="00765D9E"/>
    <w:rsid w:val="00791C85"/>
    <w:rsid w:val="007B35F2"/>
    <w:rsid w:val="007B7728"/>
    <w:rsid w:val="007C32C9"/>
    <w:rsid w:val="007D0389"/>
    <w:rsid w:val="007F4975"/>
    <w:rsid w:val="0081031D"/>
    <w:rsid w:val="00830755"/>
    <w:rsid w:val="00841579"/>
    <w:rsid w:val="008818D3"/>
    <w:rsid w:val="00887DDB"/>
    <w:rsid w:val="00896751"/>
    <w:rsid w:val="008B0A03"/>
    <w:rsid w:val="008B1234"/>
    <w:rsid w:val="008D58D2"/>
    <w:rsid w:val="00915BF1"/>
    <w:rsid w:val="009375D9"/>
    <w:rsid w:val="00944BCB"/>
    <w:rsid w:val="00952FF1"/>
    <w:rsid w:val="0096080D"/>
    <w:rsid w:val="009A238C"/>
    <w:rsid w:val="009D53F9"/>
    <w:rsid w:val="00A97820"/>
    <w:rsid w:val="00AD11ED"/>
    <w:rsid w:val="00B04110"/>
    <w:rsid w:val="00B159DB"/>
    <w:rsid w:val="00B16E92"/>
    <w:rsid w:val="00B21736"/>
    <w:rsid w:val="00B2680B"/>
    <w:rsid w:val="00B650B0"/>
    <w:rsid w:val="00BA395A"/>
    <w:rsid w:val="00BA6122"/>
    <w:rsid w:val="00C355A5"/>
    <w:rsid w:val="00C36106"/>
    <w:rsid w:val="00C43EC6"/>
    <w:rsid w:val="00C4778D"/>
    <w:rsid w:val="00C824B5"/>
    <w:rsid w:val="00C96677"/>
    <w:rsid w:val="00CC04FE"/>
    <w:rsid w:val="00D56CA6"/>
    <w:rsid w:val="00D627DB"/>
    <w:rsid w:val="00DB4D97"/>
    <w:rsid w:val="00DD65B5"/>
    <w:rsid w:val="00E4029F"/>
    <w:rsid w:val="00E66F1D"/>
    <w:rsid w:val="00E7176F"/>
    <w:rsid w:val="00EB32AB"/>
    <w:rsid w:val="00EC73E1"/>
    <w:rsid w:val="00ED08CA"/>
    <w:rsid w:val="00ED5AEB"/>
    <w:rsid w:val="00EE3E39"/>
    <w:rsid w:val="00EE47CD"/>
    <w:rsid w:val="00F26B14"/>
    <w:rsid w:val="00F327C9"/>
    <w:rsid w:val="00F448FA"/>
    <w:rsid w:val="00FA57E6"/>
    <w:rsid w:val="00FB2B34"/>
    <w:rsid w:val="00FE2C01"/>
    <w:rsid w:val="00FE695A"/>
    <w:rsid w:val="00FF1A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DB89"/>
  <w15:chartTrackingRefBased/>
  <w15:docId w15:val="{7F5D6FEC-87D6-4179-9044-4C6898C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0D"/>
  </w:style>
  <w:style w:type="paragraph" w:styleId="Heading2">
    <w:name w:val="heading 2"/>
    <w:basedOn w:val="Normal"/>
    <w:next w:val="Normal"/>
    <w:link w:val="Heading2Char"/>
    <w:uiPriority w:val="9"/>
    <w:unhideWhenUsed/>
    <w:qFormat/>
    <w:rsid w:val="00960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80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6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96080D"/>
    <w:pPr>
      <w:spacing w:line="240" w:lineRule="auto"/>
    </w:pPr>
    <w:rPr>
      <w:sz w:val="20"/>
      <w:szCs w:val="20"/>
    </w:rPr>
  </w:style>
  <w:style w:type="character" w:customStyle="1" w:styleId="CommentTextChar">
    <w:name w:val="Comment Text Char"/>
    <w:basedOn w:val="DefaultParagraphFont"/>
    <w:link w:val="CommentText"/>
    <w:rsid w:val="0096080D"/>
    <w:rPr>
      <w:sz w:val="20"/>
      <w:szCs w:val="20"/>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47B26"/>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647B26"/>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0208B5"/>
    <w:pPr>
      <w:spacing w:after="0" w:line="240" w:lineRule="auto"/>
    </w:pPr>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0208B5"/>
    <w:rPr>
      <w:sz w:val="20"/>
      <w:szCs w:val="20"/>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0208B5"/>
    <w:rPr>
      <w:vertAlign w:val="superscript"/>
    </w:rPr>
  </w:style>
  <w:style w:type="character" w:styleId="Hyperlink">
    <w:name w:val="Hyperlink"/>
    <w:basedOn w:val="DefaultParagraphFont"/>
    <w:uiPriority w:val="99"/>
    <w:unhideWhenUsed/>
    <w:rsid w:val="00653A6C"/>
    <w:rPr>
      <w:color w:val="0000FF"/>
      <w:u w:val="single"/>
    </w:rPr>
  </w:style>
  <w:style w:type="paragraph" w:customStyle="1" w:styleId="HCh">
    <w:name w:val="_ H _Ch"/>
    <w:basedOn w:val="Normal"/>
    <w:next w:val="Normal"/>
    <w:rsid w:val="00A97820"/>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A978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Default">
    <w:name w:val="Default"/>
    <w:rsid w:val="00E4029F"/>
    <w:pPr>
      <w:autoSpaceDE w:val="0"/>
      <w:autoSpaceDN w:val="0"/>
      <w:adjustRightInd w:val="0"/>
      <w:spacing w:after="0" w:line="240" w:lineRule="auto"/>
    </w:pPr>
    <w:rPr>
      <w:rFonts w:ascii="Calibri" w:hAnsi="Calibri" w:cs="Calibri"/>
      <w:color w:val="000000"/>
      <w:sz w:val="24"/>
      <w:szCs w:val="24"/>
      <w:lang w:val="en-GB" w:bidi="th-TH"/>
    </w:rPr>
  </w:style>
  <w:style w:type="paragraph" w:styleId="Header">
    <w:name w:val="header"/>
    <w:basedOn w:val="Normal"/>
    <w:link w:val="HeaderChar"/>
    <w:uiPriority w:val="99"/>
    <w:unhideWhenUsed/>
    <w:rsid w:val="00881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D3"/>
  </w:style>
  <w:style w:type="paragraph" w:styleId="Footer">
    <w:name w:val="footer"/>
    <w:basedOn w:val="Normal"/>
    <w:link w:val="FooterChar"/>
    <w:uiPriority w:val="99"/>
    <w:unhideWhenUsed/>
    <w:rsid w:val="00881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D3"/>
  </w:style>
  <w:style w:type="character" w:customStyle="1" w:styleId="normaltextrun">
    <w:name w:val="normaltextrun"/>
    <w:basedOn w:val="DefaultParagraphFont"/>
    <w:rsid w:val="00760974"/>
  </w:style>
  <w:style w:type="character" w:styleId="CommentReference">
    <w:name w:val="annotation reference"/>
    <w:basedOn w:val="DefaultParagraphFont"/>
    <w:uiPriority w:val="99"/>
    <w:semiHidden/>
    <w:unhideWhenUsed/>
    <w:rsid w:val="00EE47CD"/>
    <w:rPr>
      <w:sz w:val="16"/>
      <w:szCs w:val="16"/>
    </w:rPr>
  </w:style>
  <w:style w:type="paragraph" w:styleId="CommentSubject">
    <w:name w:val="annotation subject"/>
    <w:basedOn w:val="CommentText"/>
    <w:next w:val="CommentText"/>
    <w:link w:val="CommentSubjectChar"/>
    <w:uiPriority w:val="99"/>
    <w:semiHidden/>
    <w:unhideWhenUsed/>
    <w:rsid w:val="00EE47CD"/>
    <w:rPr>
      <w:b/>
      <w:bCs/>
    </w:rPr>
  </w:style>
  <w:style w:type="character" w:customStyle="1" w:styleId="CommentSubjectChar">
    <w:name w:val="Comment Subject Char"/>
    <w:basedOn w:val="CommentTextChar"/>
    <w:link w:val="CommentSubject"/>
    <w:uiPriority w:val="99"/>
    <w:semiHidden/>
    <w:rsid w:val="00EE47CD"/>
    <w:rPr>
      <w:b/>
      <w:bCs/>
      <w:sz w:val="20"/>
      <w:szCs w:val="20"/>
    </w:rPr>
  </w:style>
  <w:style w:type="paragraph" w:customStyle="1" w:styleId="BodyTextNew">
    <w:name w:val="Body Text New"/>
    <w:basedOn w:val="Normal"/>
    <w:link w:val="BodyTextNewChar"/>
    <w:qFormat/>
    <w:rsid w:val="00C43EC6"/>
    <w:pPr>
      <w:jc w:val="both"/>
    </w:pPr>
    <w:rPr>
      <w:lang w:val="en-AU"/>
    </w:rPr>
  </w:style>
  <w:style w:type="character" w:customStyle="1" w:styleId="BodyTextNewChar">
    <w:name w:val="Body Text New Char"/>
    <w:basedOn w:val="DefaultParagraphFont"/>
    <w:link w:val="BodyTextNew"/>
    <w:rsid w:val="00C43EC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6C2CC-F6C7-4869-ABEF-66BE07B28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CF7DA-9A1B-4E8F-B65D-F29C0E5E94C1}">
  <ds:schemaRefs>
    <ds:schemaRef ds:uri="http://schemas.openxmlformats.org/officeDocument/2006/bibliography"/>
  </ds:schemaRefs>
</ds:datastoreItem>
</file>

<file path=customXml/itemProps3.xml><?xml version="1.0" encoding="utf-8"?>
<ds:datastoreItem xmlns:ds="http://schemas.openxmlformats.org/officeDocument/2006/customXml" ds:itemID="{F8386CD8-472A-4CE8-9910-7A0D4C9C1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9183D-819A-42C3-BAA3-57DAE7BD2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15</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Napaporn Yuberk</cp:lastModifiedBy>
  <cp:revision>5</cp:revision>
  <dcterms:created xsi:type="dcterms:W3CDTF">2021-05-12T15:21:00Z</dcterms:created>
  <dcterms:modified xsi:type="dcterms:W3CDTF">2021-06-09T09:52:00Z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