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53D95" w14:textId="77777777" w:rsidR="00E61BD7" w:rsidRPr="00564375" w:rsidRDefault="00E61BD7" w:rsidP="00C45371">
      <w:pPr>
        <w:pStyle w:val="G-heading2"/>
        <w:numPr>
          <w:ilvl w:val="0"/>
          <w:numId w:val="0"/>
        </w:numPr>
        <w:jc w:val="center"/>
        <w:rPr>
          <w:rFonts w:asciiTheme="minorHAnsi" w:hAnsiTheme="minorHAnsi" w:cstheme="minorHAnsi"/>
        </w:rPr>
      </w:pPr>
      <w:bookmarkStart w:id="0" w:name="_Toc533099722"/>
      <w:r w:rsidRPr="00564375">
        <w:rPr>
          <w:rFonts w:asciiTheme="minorHAnsi" w:hAnsiTheme="minorHAnsi" w:cstheme="minorHAnsi"/>
        </w:rPr>
        <w:t>Management response</w:t>
      </w:r>
      <w:bookmarkEnd w:id="0"/>
    </w:p>
    <w:p w14:paraId="22C87F5B" w14:textId="77777777" w:rsidR="00E61BD7" w:rsidRPr="00564375" w:rsidRDefault="00E61BD7" w:rsidP="00E61BD7">
      <w:pPr>
        <w:spacing w:after="0" w:line="240" w:lineRule="auto"/>
        <w:jc w:val="both"/>
        <w:rPr>
          <w:rFonts w:cstheme="minorHAnsi"/>
          <w:b/>
        </w:rPr>
      </w:pPr>
    </w:p>
    <w:p w14:paraId="00CA9437" w14:textId="77777777" w:rsidR="00C45371" w:rsidRPr="00564375" w:rsidRDefault="00C45371" w:rsidP="00C45371">
      <w:pPr>
        <w:spacing w:before="120" w:after="120" w:line="240" w:lineRule="auto"/>
        <w:jc w:val="both"/>
        <w:rPr>
          <w:rFonts w:cstheme="minorHAnsi"/>
          <w:b/>
        </w:rPr>
      </w:pPr>
      <w:r w:rsidRPr="00564375">
        <w:rPr>
          <w:rFonts w:cstheme="minorHAnsi"/>
          <w:b/>
        </w:rPr>
        <w:t xml:space="preserve">Final Evaluation of the </w:t>
      </w:r>
      <w:r w:rsidRPr="00564375">
        <w:rPr>
          <w:rFonts w:cstheme="minorHAnsi"/>
          <w:b/>
          <w:i/>
        </w:rPr>
        <w:t>“Strengthening the Role of Local Communities/</w:t>
      </w:r>
      <w:proofErr w:type="spellStart"/>
      <w:r w:rsidRPr="00564375">
        <w:rPr>
          <w:rFonts w:cstheme="minorHAnsi"/>
          <w:b/>
          <w:i/>
        </w:rPr>
        <w:t>Mjesne</w:t>
      </w:r>
      <w:proofErr w:type="spellEnd"/>
      <w:r w:rsidRPr="00564375">
        <w:rPr>
          <w:rFonts w:cstheme="minorHAnsi"/>
          <w:b/>
          <w:i/>
        </w:rPr>
        <w:t xml:space="preserve"> </w:t>
      </w:r>
      <w:proofErr w:type="spellStart"/>
      <w:r w:rsidRPr="00564375">
        <w:rPr>
          <w:rFonts w:cstheme="minorHAnsi"/>
          <w:b/>
          <w:i/>
        </w:rPr>
        <w:t>zajednice</w:t>
      </w:r>
      <w:proofErr w:type="spellEnd"/>
      <w:r w:rsidRPr="00564375">
        <w:rPr>
          <w:rFonts w:cstheme="minorHAnsi"/>
          <w:b/>
          <w:i/>
        </w:rPr>
        <w:t xml:space="preserve"> in Bosnia and Herzegovina”</w:t>
      </w:r>
      <w:r w:rsidRPr="00564375">
        <w:rPr>
          <w:rFonts w:cstheme="minorHAnsi"/>
          <w:b/>
        </w:rPr>
        <w:t xml:space="preserve"> Project</w:t>
      </w:r>
    </w:p>
    <w:tbl>
      <w:tblPr>
        <w:tblStyle w:val="TableGrid"/>
        <w:tblW w:w="0" w:type="auto"/>
        <w:tblLook w:val="04A0" w:firstRow="1" w:lastRow="0" w:firstColumn="1" w:lastColumn="0" w:noHBand="0" w:noVBand="1"/>
      </w:tblPr>
      <w:tblGrid>
        <w:gridCol w:w="1696"/>
        <w:gridCol w:w="7320"/>
      </w:tblGrid>
      <w:tr w:rsidR="00562A01" w14:paraId="371F3713" w14:textId="77777777" w:rsidTr="00562A01">
        <w:tc>
          <w:tcPr>
            <w:tcW w:w="1696" w:type="dxa"/>
            <w:vAlign w:val="center"/>
          </w:tcPr>
          <w:p w14:paraId="76A4A066" w14:textId="77777777" w:rsidR="00562A01" w:rsidRDefault="00562A01" w:rsidP="00562A01">
            <w:pPr>
              <w:spacing w:before="40" w:after="40"/>
              <w:jc w:val="both"/>
              <w:rPr>
                <w:rFonts w:cstheme="minorHAnsi"/>
              </w:rPr>
            </w:pPr>
            <w:r w:rsidRPr="00564375">
              <w:rPr>
                <w:rFonts w:cstheme="minorHAnsi"/>
              </w:rPr>
              <w:t xml:space="preserve">Date: </w:t>
            </w:r>
          </w:p>
        </w:tc>
        <w:tc>
          <w:tcPr>
            <w:tcW w:w="7320" w:type="dxa"/>
            <w:vAlign w:val="center"/>
          </w:tcPr>
          <w:p w14:paraId="24AA5F85" w14:textId="08A27D4F" w:rsidR="00562A01" w:rsidRDefault="00FE4AAF" w:rsidP="00562A01">
            <w:pPr>
              <w:spacing w:before="40" w:after="40"/>
              <w:jc w:val="both"/>
              <w:rPr>
                <w:rFonts w:cstheme="minorHAnsi"/>
              </w:rPr>
            </w:pPr>
            <w:r>
              <w:rPr>
                <w:rFonts w:cstheme="minorHAnsi"/>
              </w:rPr>
              <w:t>10 May</w:t>
            </w:r>
            <w:bookmarkStart w:id="1" w:name="_GoBack"/>
            <w:bookmarkEnd w:id="1"/>
            <w:r w:rsidR="00562A01" w:rsidRPr="00564375">
              <w:rPr>
                <w:rFonts w:cstheme="minorHAnsi"/>
              </w:rPr>
              <w:t xml:space="preserve"> 2019</w:t>
            </w:r>
          </w:p>
        </w:tc>
      </w:tr>
      <w:tr w:rsidR="00562A01" w14:paraId="00BC4B78" w14:textId="77777777" w:rsidTr="00562A01">
        <w:tc>
          <w:tcPr>
            <w:tcW w:w="1696" w:type="dxa"/>
            <w:vAlign w:val="center"/>
          </w:tcPr>
          <w:p w14:paraId="4390B1DD" w14:textId="77777777" w:rsidR="00562A01" w:rsidRDefault="00562A01" w:rsidP="00562A01">
            <w:pPr>
              <w:spacing w:before="40" w:after="40"/>
              <w:jc w:val="both"/>
              <w:rPr>
                <w:rFonts w:cstheme="minorHAnsi"/>
              </w:rPr>
            </w:pPr>
            <w:r w:rsidRPr="00564375">
              <w:rPr>
                <w:rFonts w:cstheme="minorHAnsi"/>
              </w:rPr>
              <w:t xml:space="preserve">Prepared by:   </w:t>
            </w:r>
          </w:p>
        </w:tc>
        <w:tc>
          <w:tcPr>
            <w:tcW w:w="7320" w:type="dxa"/>
            <w:vAlign w:val="center"/>
          </w:tcPr>
          <w:p w14:paraId="21043C96" w14:textId="77777777" w:rsidR="00562A01" w:rsidRDefault="00562A01" w:rsidP="00562A01">
            <w:pPr>
              <w:spacing w:before="40" w:after="40"/>
              <w:jc w:val="both"/>
              <w:rPr>
                <w:rFonts w:cstheme="minorHAnsi"/>
              </w:rPr>
            </w:pPr>
            <w:r w:rsidRPr="00564375">
              <w:rPr>
                <w:rFonts w:cstheme="minorHAnsi"/>
              </w:rPr>
              <w:t xml:space="preserve">Majda </w:t>
            </w:r>
            <w:proofErr w:type="spellStart"/>
            <w:r w:rsidRPr="00564375">
              <w:rPr>
                <w:rFonts w:cstheme="minorHAnsi"/>
              </w:rPr>
              <w:t>Ganibegović</w:t>
            </w:r>
            <w:proofErr w:type="spellEnd"/>
            <w:r>
              <w:rPr>
                <w:rFonts w:cstheme="minorHAnsi"/>
              </w:rPr>
              <w:t xml:space="preserve">, </w:t>
            </w:r>
            <w:r w:rsidRPr="00564375">
              <w:rPr>
                <w:rFonts w:cstheme="minorHAnsi"/>
              </w:rPr>
              <w:t>Project Manager</w:t>
            </w:r>
          </w:p>
          <w:p w14:paraId="3A94FD0A" w14:textId="77777777" w:rsidR="00562A01" w:rsidRDefault="00562A01" w:rsidP="00562A01">
            <w:pPr>
              <w:spacing w:before="40" w:after="40"/>
              <w:jc w:val="both"/>
              <w:rPr>
                <w:rFonts w:cstheme="minorHAnsi"/>
              </w:rPr>
            </w:pPr>
            <w:r>
              <w:rPr>
                <w:rFonts w:cstheme="minorHAnsi"/>
              </w:rPr>
              <w:t>Marina Dimova, Governance Chief Technical Specialist</w:t>
            </w:r>
          </w:p>
        </w:tc>
      </w:tr>
      <w:tr w:rsidR="00562A01" w14:paraId="6F49B3C2" w14:textId="77777777" w:rsidTr="00562A01">
        <w:tc>
          <w:tcPr>
            <w:tcW w:w="1696" w:type="dxa"/>
            <w:vAlign w:val="center"/>
          </w:tcPr>
          <w:p w14:paraId="52A7DE1C" w14:textId="77777777" w:rsidR="00562A01" w:rsidRDefault="00562A01" w:rsidP="00562A01">
            <w:pPr>
              <w:spacing w:before="40" w:after="40"/>
              <w:jc w:val="both"/>
              <w:rPr>
                <w:rFonts w:cstheme="minorHAnsi"/>
              </w:rPr>
            </w:pPr>
            <w:r w:rsidRPr="00564375">
              <w:rPr>
                <w:rFonts w:cstheme="minorHAnsi"/>
              </w:rPr>
              <w:t>Unit/Bureau:</w:t>
            </w:r>
          </w:p>
        </w:tc>
        <w:tc>
          <w:tcPr>
            <w:tcW w:w="7320" w:type="dxa"/>
            <w:vAlign w:val="center"/>
          </w:tcPr>
          <w:p w14:paraId="0D00B5C3" w14:textId="77777777" w:rsidR="00562A01" w:rsidRDefault="00562A01" w:rsidP="00562A01">
            <w:pPr>
              <w:spacing w:before="40" w:after="40"/>
              <w:jc w:val="both"/>
              <w:rPr>
                <w:rFonts w:cstheme="minorHAnsi"/>
              </w:rPr>
            </w:pPr>
            <w:r w:rsidRPr="00564375">
              <w:rPr>
                <w:rFonts w:cstheme="minorHAnsi"/>
              </w:rPr>
              <w:t>UNDP in Bosnia and Herzegovina</w:t>
            </w:r>
          </w:p>
        </w:tc>
      </w:tr>
      <w:tr w:rsidR="00562A01" w14:paraId="536AD7B2" w14:textId="77777777" w:rsidTr="00562A01">
        <w:tc>
          <w:tcPr>
            <w:tcW w:w="1696" w:type="dxa"/>
            <w:vAlign w:val="center"/>
          </w:tcPr>
          <w:p w14:paraId="798202F9" w14:textId="77777777" w:rsidR="00562A01" w:rsidRDefault="00562A01" w:rsidP="00562A01">
            <w:pPr>
              <w:spacing w:before="40" w:after="40"/>
              <w:jc w:val="both"/>
              <w:rPr>
                <w:rFonts w:cstheme="minorHAnsi"/>
              </w:rPr>
            </w:pPr>
            <w:r w:rsidRPr="00564375">
              <w:rPr>
                <w:rFonts w:cstheme="minorHAnsi"/>
              </w:rPr>
              <w:t>Cleared by:</w:t>
            </w:r>
          </w:p>
        </w:tc>
        <w:tc>
          <w:tcPr>
            <w:tcW w:w="7320" w:type="dxa"/>
            <w:vAlign w:val="center"/>
          </w:tcPr>
          <w:p w14:paraId="0BB90112" w14:textId="77777777" w:rsidR="00562A01" w:rsidRDefault="00562A01" w:rsidP="005E715F">
            <w:pPr>
              <w:spacing w:before="60" w:after="60"/>
              <w:jc w:val="both"/>
              <w:rPr>
                <w:rFonts w:cstheme="minorHAnsi"/>
              </w:rPr>
            </w:pPr>
            <w:r w:rsidRPr="00564375">
              <w:rPr>
                <w:rFonts w:cstheme="minorHAnsi"/>
              </w:rPr>
              <w:t>Sukhrob Khoshmukhamedov</w:t>
            </w:r>
            <w:r>
              <w:rPr>
                <w:rFonts w:cstheme="minorHAnsi"/>
              </w:rPr>
              <w:t xml:space="preserve">, </w:t>
            </w:r>
            <w:r w:rsidRPr="00564375">
              <w:rPr>
                <w:rFonts w:cstheme="minorHAnsi"/>
              </w:rPr>
              <w:t xml:space="preserve">UNDP Resident Representative </w:t>
            </w:r>
            <w:proofErr w:type="spellStart"/>
            <w:r w:rsidRPr="00564375">
              <w:rPr>
                <w:rFonts w:cstheme="minorHAnsi"/>
              </w:rPr>
              <w:t>a.i.</w:t>
            </w:r>
            <w:proofErr w:type="spellEnd"/>
          </w:p>
        </w:tc>
      </w:tr>
      <w:tr w:rsidR="00562A01" w14:paraId="5A30A2A4" w14:textId="77777777" w:rsidTr="00562A01">
        <w:tc>
          <w:tcPr>
            <w:tcW w:w="1696" w:type="dxa"/>
            <w:vAlign w:val="center"/>
          </w:tcPr>
          <w:p w14:paraId="44E19E6E" w14:textId="77777777" w:rsidR="00562A01" w:rsidRDefault="00562A01" w:rsidP="00562A01">
            <w:pPr>
              <w:spacing w:before="40" w:after="40"/>
              <w:jc w:val="both"/>
              <w:rPr>
                <w:rFonts w:cstheme="minorHAnsi"/>
              </w:rPr>
            </w:pPr>
            <w:r w:rsidRPr="00564375">
              <w:rPr>
                <w:rFonts w:cstheme="minorHAnsi"/>
              </w:rPr>
              <w:t>Unit/Bureau:</w:t>
            </w:r>
          </w:p>
        </w:tc>
        <w:tc>
          <w:tcPr>
            <w:tcW w:w="7320" w:type="dxa"/>
            <w:vAlign w:val="center"/>
          </w:tcPr>
          <w:p w14:paraId="1E87C8D7" w14:textId="77777777" w:rsidR="00562A01" w:rsidRDefault="00562A01" w:rsidP="00562A01">
            <w:pPr>
              <w:spacing w:before="40" w:after="40"/>
              <w:jc w:val="both"/>
              <w:rPr>
                <w:rFonts w:cstheme="minorHAnsi"/>
              </w:rPr>
            </w:pPr>
            <w:r w:rsidRPr="00564375">
              <w:rPr>
                <w:rFonts w:cstheme="minorHAnsi"/>
              </w:rPr>
              <w:t>UNDP in Bosnia and Herzegovina</w:t>
            </w:r>
          </w:p>
        </w:tc>
      </w:tr>
      <w:tr w:rsidR="00562A01" w14:paraId="43267E44" w14:textId="77777777" w:rsidTr="00562A01">
        <w:tc>
          <w:tcPr>
            <w:tcW w:w="1696" w:type="dxa"/>
            <w:vAlign w:val="center"/>
          </w:tcPr>
          <w:p w14:paraId="16DC52CF" w14:textId="77777777" w:rsidR="00562A01" w:rsidRPr="00564375" w:rsidRDefault="00562A01" w:rsidP="00562A01">
            <w:pPr>
              <w:spacing w:before="40" w:after="40"/>
              <w:jc w:val="both"/>
              <w:rPr>
                <w:rFonts w:cstheme="minorHAnsi"/>
              </w:rPr>
            </w:pPr>
            <w:r w:rsidRPr="00375E43">
              <w:rPr>
                <w:rFonts w:cstheme="minorHAnsi"/>
              </w:rPr>
              <w:t>Input into and update in ERC:</w:t>
            </w:r>
          </w:p>
        </w:tc>
        <w:tc>
          <w:tcPr>
            <w:tcW w:w="7320" w:type="dxa"/>
            <w:vAlign w:val="center"/>
          </w:tcPr>
          <w:p w14:paraId="1D6191E3" w14:textId="19AE0000" w:rsidR="00562A01" w:rsidRPr="00564375" w:rsidRDefault="00375E43" w:rsidP="00562A01">
            <w:pPr>
              <w:spacing w:before="40" w:after="40"/>
              <w:jc w:val="both"/>
              <w:rPr>
                <w:rFonts w:cstheme="minorHAnsi"/>
              </w:rPr>
            </w:pPr>
            <w:r>
              <w:rPr>
                <w:rFonts w:cstheme="minorHAnsi"/>
              </w:rPr>
              <w:t xml:space="preserve">Amra Zorlak, Monitoring and Evaluation Analyst </w:t>
            </w:r>
          </w:p>
        </w:tc>
      </w:tr>
      <w:tr w:rsidR="005B75F3" w14:paraId="7E2E60D7" w14:textId="77777777" w:rsidTr="00562A01">
        <w:tc>
          <w:tcPr>
            <w:tcW w:w="1696" w:type="dxa"/>
            <w:vAlign w:val="center"/>
          </w:tcPr>
          <w:p w14:paraId="36C6D783" w14:textId="77777777" w:rsidR="005B75F3" w:rsidRPr="005B75F3" w:rsidRDefault="005B75F3" w:rsidP="005B75F3">
            <w:pPr>
              <w:spacing w:before="40" w:after="40"/>
              <w:jc w:val="both"/>
              <w:rPr>
                <w:rFonts w:cstheme="minorHAnsi"/>
                <w:highlight w:val="yellow"/>
              </w:rPr>
            </w:pPr>
            <w:r w:rsidRPr="00375E43">
              <w:rPr>
                <w:rFonts w:cstheme="minorHAnsi"/>
              </w:rPr>
              <w:t>Unit/Bureau:</w:t>
            </w:r>
          </w:p>
        </w:tc>
        <w:tc>
          <w:tcPr>
            <w:tcW w:w="7320" w:type="dxa"/>
            <w:vAlign w:val="center"/>
          </w:tcPr>
          <w:p w14:paraId="05468A25" w14:textId="1DC32E0D" w:rsidR="005B75F3" w:rsidRPr="00564375" w:rsidRDefault="00375E43" w:rsidP="005B75F3">
            <w:pPr>
              <w:spacing w:before="40" w:after="40"/>
              <w:jc w:val="both"/>
              <w:rPr>
                <w:rFonts w:cstheme="minorHAnsi"/>
              </w:rPr>
            </w:pPr>
            <w:r>
              <w:rPr>
                <w:rFonts w:cstheme="minorHAnsi"/>
              </w:rPr>
              <w:t xml:space="preserve">Country Office Bosnia and Herzegovina </w:t>
            </w:r>
          </w:p>
        </w:tc>
      </w:tr>
    </w:tbl>
    <w:p w14:paraId="1DDABA92" w14:textId="77777777" w:rsidR="00E61BD7" w:rsidRPr="008E582C" w:rsidRDefault="007663E4" w:rsidP="004B3925">
      <w:pPr>
        <w:spacing w:before="120" w:after="120" w:line="240" w:lineRule="auto"/>
        <w:jc w:val="both"/>
        <w:rPr>
          <w:rFonts w:cstheme="minorHAnsi"/>
          <w:b/>
          <w:caps/>
        </w:rPr>
      </w:pPr>
      <w:r w:rsidRPr="008E582C">
        <w:rPr>
          <w:rFonts w:cstheme="minorHAnsi"/>
          <w:b/>
          <w:caps/>
        </w:rPr>
        <w:t xml:space="preserve">Overall reflection </w:t>
      </w:r>
      <w:r w:rsidR="00564375" w:rsidRPr="008E582C">
        <w:rPr>
          <w:rFonts w:cstheme="minorHAnsi"/>
          <w:b/>
          <w:caps/>
        </w:rPr>
        <w:t xml:space="preserve">by UNDP </w:t>
      </w:r>
      <w:r w:rsidRPr="008E582C">
        <w:rPr>
          <w:rFonts w:cstheme="minorHAnsi"/>
          <w:b/>
          <w:caps/>
        </w:rPr>
        <w:t xml:space="preserve">on the </w:t>
      </w:r>
      <w:r w:rsidR="005B75F3" w:rsidRPr="008E582C">
        <w:rPr>
          <w:rFonts w:cstheme="minorHAnsi"/>
          <w:b/>
          <w:caps/>
        </w:rPr>
        <w:t>F</w:t>
      </w:r>
      <w:r w:rsidRPr="008E582C">
        <w:rPr>
          <w:rFonts w:cstheme="minorHAnsi"/>
          <w:b/>
          <w:caps/>
        </w:rPr>
        <w:t>ina</w:t>
      </w:r>
      <w:r w:rsidR="00564375" w:rsidRPr="008E582C">
        <w:rPr>
          <w:rFonts w:cstheme="minorHAnsi"/>
          <w:b/>
          <w:caps/>
        </w:rPr>
        <w:t>l</w:t>
      </w:r>
      <w:r w:rsidRPr="008E582C">
        <w:rPr>
          <w:rFonts w:cstheme="minorHAnsi"/>
          <w:b/>
          <w:caps/>
        </w:rPr>
        <w:t xml:space="preserve"> Evaluation </w:t>
      </w:r>
      <w:r w:rsidR="00564375" w:rsidRPr="008E582C">
        <w:rPr>
          <w:rFonts w:cstheme="minorHAnsi"/>
          <w:b/>
          <w:caps/>
        </w:rPr>
        <w:t>Findings</w:t>
      </w:r>
    </w:p>
    <w:p w14:paraId="6B3447DB" w14:textId="77777777" w:rsidR="0092500B" w:rsidRDefault="00D87025" w:rsidP="008E582C">
      <w:pPr>
        <w:pStyle w:val="ListParagraph"/>
        <w:numPr>
          <w:ilvl w:val="0"/>
          <w:numId w:val="4"/>
        </w:numPr>
        <w:spacing w:before="200" w:after="120"/>
        <w:ind w:left="284" w:hanging="284"/>
        <w:jc w:val="both"/>
        <w:rPr>
          <w:rFonts w:cstheme="minorHAnsi"/>
        </w:rPr>
      </w:pPr>
      <w:r w:rsidRPr="00564375">
        <w:rPr>
          <w:rFonts w:cstheme="minorHAnsi"/>
        </w:rPr>
        <w:t xml:space="preserve">UNDP </w:t>
      </w:r>
      <w:r w:rsidR="0092500B" w:rsidRPr="00564375">
        <w:rPr>
          <w:rFonts w:cstheme="minorHAnsi"/>
        </w:rPr>
        <w:t xml:space="preserve">is pleased to see </w:t>
      </w:r>
      <w:r w:rsidRPr="00564375">
        <w:rPr>
          <w:rFonts w:cstheme="minorHAnsi"/>
        </w:rPr>
        <w:t>th</w:t>
      </w:r>
      <w:r w:rsidR="0092500B" w:rsidRPr="00564375">
        <w:rPr>
          <w:rFonts w:cstheme="minorHAnsi"/>
        </w:rPr>
        <w:t xml:space="preserve">at </w:t>
      </w:r>
      <w:r w:rsidR="0092500B" w:rsidRPr="00564375">
        <w:rPr>
          <w:rFonts w:cstheme="minorHAnsi"/>
          <w:b/>
        </w:rPr>
        <w:t xml:space="preserve">the Final Evaluation affirms the positive </w:t>
      </w:r>
      <w:r w:rsidRPr="00564375">
        <w:rPr>
          <w:rFonts w:cstheme="minorHAnsi"/>
          <w:b/>
        </w:rPr>
        <w:t>achievements</w:t>
      </w:r>
      <w:r w:rsidR="0092500B" w:rsidRPr="00564375">
        <w:rPr>
          <w:rFonts w:cstheme="minorHAnsi"/>
        </w:rPr>
        <w:t xml:space="preserve"> resulting from the Project work, its </w:t>
      </w:r>
      <w:r w:rsidR="0092500B" w:rsidRPr="00132836">
        <w:rPr>
          <w:rFonts w:cstheme="minorHAnsi"/>
          <w:b/>
        </w:rPr>
        <w:t xml:space="preserve">structural role in </w:t>
      </w:r>
      <w:r w:rsidR="0084564E" w:rsidRPr="00132836">
        <w:rPr>
          <w:rFonts w:cstheme="minorHAnsi"/>
          <w:b/>
        </w:rPr>
        <w:t>reviving</w:t>
      </w:r>
      <w:r w:rsidR="0092500B" w:rsidRPr="00132836">
        <w:rPr>
          <w:rFonts w:cstheme="minorHAnsi"/>
          <w:b/>
        </w:rPr>
        <w:t xml:space="preserve"> and giving a voice to communities</w:t>
      </w:r>
      <w:r w:rsidR="0092500B" w:rsidRPr="00564375">
        <w:rPr>
          <w:rFonts w:cstheme="minorHAnsi"/>
        </w:rPr>
        <w:t xml:space="preserve"> in partner local governments</w:t>
      </w:r>
      <w:r w:rsidR="00132836">
        <w:rPr>
          <w:rFonts w:cstheme="minorHAnsi"/>
        </w:rPr>
        <w:t xml:space="preserve">, as well as the </w:t>
      </w:r>
      <w:r w:rsidR="00132836" w:rsidRPr="00132836">
        <w:rPr>
          <w:rFonts w:cstheme="minorHAnsi"/>
        </w:rPr>
        <w:t xml:space="preserve">recommendation for the Project next phase, all of which are </w:t>
      </w:r>
      <w:r w:rsidR="00564375" w:rsidRPr="00564375">
        <w:rPr>
          <w:rFonts w:cstheme="minorHAnsi"/>
        </w:rPr>
        <w:t xml:space="preserve">substantiated by data and feedback from various Project counterparts. </w:t>
      </w:r>
    </w:p>
    <w:p w14:paraId="4FB58E13" w14:textId="77777777" w:rsidR="0092500B" w:rsidRPr="00772DBB" w:rsidRDefault="00772DBB" w:rsidP="008E582C">
      <w:pPr>
        <w:pStyle w:val="ListParagraph"/>
        <w:numPr>
          <w:ilvl w:val="0"/>
          <w:numId w:val="4"/>
        </w:numPr>
        <w:spacing w:before="200" w:after="120"/>
        <w:ind w:left="284" w:hanging="284"/>
        <w:jc w:val="both"/>
        <w:rPr>
          <w:rFonts w:asciiTheme="minorHAnsi" w:hAnsiTheme="minorHAnsi" w:cstheme="minorHAnsi"/>
          <w:lang w:val="en-GB"/>
        </w:rPr>
      </w:pPr>
      <w:r>
        <w:rPr>
          <w:rFonts w:cstheme="minorHAnsi"/>
        </w:rPr>
        <w:t xml:space="preserve">UNDP is also pleased that the Final Evaluation has unambiguously confirmed the </w:t>
      </w:r>
      <w:r w:rsidRPr="00772DBB">
        <w:rPr>
          <w:rFonts w:cstheme="minorHAnsi"/>
          <w:b/>
        </w:rPr>
        <w:t>strong relevance of the Project to the</w:t>
      </w:r>
      <w:r>
        <w:rPr>
          <w:rFonts w:cstheme="minorHAnsi"/>
          <w:b/>
        </w:rPr>
        <w:t xml:space="preserve"> overall</w:t>
      </w:r>
      <w:r w:rsidRPr="00772DBB">
        <w:rPr>
          <w:rFonts w:cstheme="minorHAnsi"/>
          <w:b/>
        </w:rPr>
        <w:t xml:space="preserve"> </w:t>
      </w:r>
      <w:r w:rsidR="00564375" w:rsidRPr="00772DBB">
        <w:rPr>
          <w:rFonts w:cstheme="minorHAnsi"/>
          <w:b/>
          <w:bCs/>
        </w:rPr>
        <w:t>political, social and institutional country context</w:t>
      </w:r>
      <w:r>
        <w:rPr>
          <w:rFonts w:cstheme="minorHAnsi"/>
          <w:b/>
          <w:bCs/>
        </w:rPr>
        <w:t xml:space="preserve">, </w:t>
      </w:r>
      <w:r>
        <w:rPr>
          <w:rFonts w:cstheme="minorHAnsi"/>
          <w:bCs/>
        </w:rPr>
        <w:t xml:space="preserve">not only in terms of the scope of work, but also from viewpoint of its </w:t>
      </w:r>
      <w:r w:rsidR="00564375" w:rsidRPr="00772DBB">
        <w:rPr>
          <w:rFonts w:cstheme="minorHAnsi"/>
          <w:bCs/>
        </w:rPr>
        <w:t xml:space="preserve">citizen-oriented </w:t>
      </w:r>
      <w:r>
        <w:rPr>
          <w:rFonts w:cstheme="minorHAnsi"/>
          <w:bCs/>
        </w:rPr>
        <w:t xml:space="preserve">approach.  </w:t>
      </w:r>
    </w:p>
    <w:p w14:paraId="03184FF0" w14:textId="77777777" w:rsidR="00772DBB" w:rsidRDefault="00940999" w:rsidP="008E582C">
      <w:pPr>
        <w:pStyle w:val="ListParagraph"/>
        <w:numPr>
          <w:ilvl w:val="0"/>
          <w:numId w:val="4"/>
        </w:numPr>
        <w:spacing w:before="200" w:after="120"/>
        <w:ind w:left="284" w:hanging="284"/>
        <w:jc w:val="both"/>
        <w:rPr>
          <w:rFonts w:asciiTheme="minorHAnsi" w:hAnsiTheme="minorHAnsi" w:cstheme="minorHAnsi"/>
          <w:lang w:val="en-GB"/>
        </w:rPr>
      </w:pPr>
      <w:r>
        <w:rPr>
          <w:rFonts w:asciiTheme="minorHAnsi" w:hAnsiTheme="minorHAnsi" w:cstheme="minorHAnsi"/>
          <w:lang w:val="en-GB"/>
        </w:rPr>
        <w:t xml:space="preserve">UNDP agrees with the finding that </w:t>
      </w:r>
      <w:r w:rsidRPr="00940999">
        <w:rPr>
          <w:rFonts w:asciiTheme="minorHAnsi" w:hAnsiTheme="minorHAnsi" w:cstheme="minorHAnsi"/>
          <w:b/>
          <w:lang w:val="en-GB"/>
        </w:rPr>
        <w:t>the Project has an important contribution to both local governance changes</w:t>
      </w:r>
      <w:r>
        <w:rPr>
          <w:rFonts w:asciiTheme="minorHAnsi" w:hAnsiTheme="minorHAnsi" w:cstheme="minorHAnsi"/>
          <w:lang w:val="en-GB"/>
        </w:rPr>
        <w:t xml:space="preserve">, as well as in the future – to the </w:t>
      </w:r>
      <w:r w:rsidRPr="00940999">
        <w:rPr>
          <w:rFonts w:asciiTheme="minorHAnsi" w:hAnsiTheme="minorHAnsi" w:cstheme="minorHAnsi"/>
          <w:b/>
          <w:lang w:val="en-GB"/>
        </w:rPr>
        <w:t>wider public administration reform professionalisation process</w:t>
      </w:r>
      <w:r>
        <w:rPr>
          <w:rFonts w:asciiTheme="minorHAnsi" w:hAnsiTheme="minorHAnsi" w:cstheme="minorHAnsi"/>
          <w:b/>
          <w:lang w:val="en-GB"/>
        </w:rPr>
        <w:t xml:space="preserve">, </w:t>
      </w:r>
      <w:r w:rsidRPr="00B42F1D">
        <w:rPr>
          <w:rFonts w:asciiTheme="minorHAnsi" w:hAnsiTheme="minorHAnsi" w:cstheme="minorHAnsi"/>
          <w:lang w:val="en-GB"/>
        </w:rPr>
        <w:t>particularly from viewpoint of</w:t>
      </w:r>
      <w:r>
        <w:rPr>
          <w:rFonts w:asciiTheme="minorHAnsi" w:hAnsiTheme="minorHAnsi" w:cstheme="minorHAnsi"/>
          <w:b/>
          <w:lang w:val="en-GB"/>
        </w:rPr>
        <w:t xml:space="preserve"> transparent, accountable local governments and citizen-centred public service delivery</w:t>
      </w:r>
      <w:r>
        <w:rPr>
          <w:rFonts w:asciiTheme="minorHAnsi" w:hAnsiTheme="minorHAnsi" w:cstheme="minorHAnsi"/>
          <w:lang w:val="en-GB"/>
        </w:rPr>
        <w:t xml:space="preserve">. </w:t>
      </w:r>
    </w:p>
    <w:p w14:paraId="56BF6647" w14:textId="2F242C14" w:rsidR="00B920E0" w:rsidRDefault="00B920E0" w:rsidP="008E582C">
      <w:pPr>
        <w:pStyle w:val="ListParagraph"/>
        <w:numPr>
          <w:ilvl w:val="0"/>
          <w:numId w:val="4"/>
        </w:numPr>
        <w:spacing w:before="200" w:after="120"/>
        <w:ind w:left="284" w:hanging="284"/>
        <w:jc w:val="both"/>
        <w:rPr>
          <w:rFonts w:asciiTheme="minorHAnsi" w:hAnsiTheme="minorHAnsi" w:cstheme="minorHAnsi"/>
          <w:lang w:val="en-GB"/>
        </w:rPr>
      </w:pPr>
      <w:r>
        <w:rPr>
          <w:rFonts w:asciiTheme="minorHAnsi" w:hAnsiTheme="minorHAnsi" w:cstheme="minorHAnsi"/>
          <w:lang w:val="en-GB"/>
        </w:rPr>
        <w:t xml:space="preserve">UNDP is pleased to see that </w:t>
      </w:r>
      <w:r w:rsidRPr="00B171CA">
        <w:rPr>
          <w:rFonts w:asciiTheme="minorHAnsi" w:hAnsiTheme="minorHAnsi" w:cstheme="minorHAnsi"/>
          <w:b/>
          <w:lang w:val="en-GB"/>
        </w:rPr>
        <w:t xml:space="preserve">the </w:t>
      </w:r>
      <w:r w:rsidR="00B171CA" w:rsidRPr="00B171CA">
        <w:rPr>
          <w:rFonts w:asciiTheme="minorHAnsi" w:hAnsiTheme="minorHAnsi" w:cstheme="minorHAnsi"/>
          <w:b/>
          <w:lang w:val="en-GB"/>
        </w:rPr>
        <w:t>wider impacts and c</w:t>
      </w:r>
      <w:r w:rsidRPr="00B171CA">
        <w:rPr>
          <w:rFonts w:asciiTheme="minorHAnsi" w:hAnsiTheme="minorHAnsi" w:cstheme="minorHAnsi"/>
          <w:b/>
          <w:lang w:val="en-GB"/>
        </w:rPr>
        <w:t>hanges felt at the local level as a result of the Project work are mainly positive</w:t>
      </w:r>
      <w:r>
        <w:rPr>
          <w:rFonts w:asciiTheme="minorHAnsi" w:hAnsiTheme="minorHAnsi" w:cstheme="minorHAnsi"/>
          <w:lang w:val="en-GB"/>
        </w:rPr>
        <w:t xml:space="preserve">, manifested through pro-active </w:t>
      </w:r>
      <w:r w:rsidR="00B86A67">
        <w:rPr>
          <w:rFonts w:asciiTheme="minorHAnsi" w:hAnsiTheme="minorHAnsi" w:cstheme="minorHAnsi"/>
          <w:lang w:val="en-GB"/>
        </w:rPr>
        <w:t>and</w:t>
      </w:r>
      <w:r>
        <w:rPr>
          <w:rFonts w:asciiTheme="minorHAnsi" w:hAnsiTheme="minorHAnsi" w:cstheme="minorHAnsi"/>
          <w:lang w:val="en-GB"/>
        </w:rPr>
        <w:t xml:space="preserve"> empowered MZs, </w:t>
      </w:r>
      <w:r w:rsidR="00B171CA">
        <w:rPr>
          <w:rFonts w:asciiTheme="minorHAnsi" w:hAnsiTheme="minorHAnsi" w:cstheme="minorHAnsi"/>
          <w:lang w:val="en-GB"/>
        </w:rPr>
        <w:t>more alert and responsive citizens, behavioural changes within communities,</w:t>
      </w:r>
      <w:r w:rsidR="003350E3">
        <w:rPr>
          <w:rFonts w:asciiTheme="minorHAnsi" w:hAnsiTheme="minorHAnsi" w:cstheme="minorHAnsi"/>
          <w:lang w:val="en-GB"/>
        </w:rPr>
        <w:t xml:space="preserve"> increased agency of women,</w:t>
      </w:r>
      <w:r w:rsidR="00B171CA">
        <w:rPr>
          <w:rFonts w:asciiTheme="minorHAnsi" w:hAnsiTheme="minorHAnsi" w:cstheme="minorHAnsi"/>
          <w:lang w:val="en-GB"/>
        </w:rPr>
        <w:t xml:space="preserve"> reinstated connections between MZs and local governments, </w:t>
      </w:r>
      <w:r w:rsidR="004B3925">
        <w:rPr>
          <w:rFonts w:asciiTheme="minorHAnsi" w:hAnsiTheme="minorHAnsi" w:cstheme="minorHAnsi"/>
          <w:lang w:val="en-GB"/>
        </w:rPr>
        <w:t xml:space="preserve">increased citizen interest and participation in </w:t>
      </w:r>
      <w:r w:rsidR="003350E3">
        <w:rPr>
          <w:rFonts w:asciiTheme="minorHAnsi" w:hAnsiTheme="minorHAnsi" w:cstheme="minorHAnsi"/>
          <w:lang w:val="en-GB"/>
        </w:rPr>
        <w:t xml:space="preserve">community </w:t>
      </w:r>
      <w:r w:rsidR="004B3925">
        <w:rPr>
          <w:rFonts w:asciiTheme="minorHAnsi" w:hAnsiTheme="minorHAnsi" w:cstheme="minorHAnsi"/>
          <w:lang w:val="en-GB"/>
        </w:rPr>
        <w:t>life,</w:t>
      </w:r>
      <w:r w:rsidR="003350E3">
        <w:rPr>
          <w:rFonts w:asciiTheme="minorHAnsi" w:hAnsiTheme="minorHAnsi" w:cstheme="minorHAnsi"/>
          <w:lang w:val="en-GB"/>
        </w:rPr>
        <w:t xml:space="preserve"> increased inclusion of marginalised people,</w:t>
      </w:r>
      <w:r w:rsidR="004B3925">
        <w:rPr>
          <w:rFonts w:asciiTheme="minorHAnsi" w:hAnsiTheme="minorHAnsi" w:cstheme="minorHAnsi"/>
          <w:lang w:val="en-GB"/>
        </w:rPr>
        <w:t xml:space="preserve"> </w:t>
      </w:r>
      <w:r w:rsidR="00D13965">
        <w:rPr>
          <w:rFonts w:asciiTheme="minorHAnsi" w:hAnsiTheme="minorHAnsi" w:cstheme="minorHAnsi"/>
          <w:lang w:val="en-GB"/>
        </w:rPr>
        <w:t xml:space="preserve">restored people’s hope that change is possible, </w:t>
      </w:r>
      <w:r w:rsidR="00B171CA">
        <w:rPr>
          <w:rFonts w:asciiTheme="minorHAnsi" w:hAnsiTheme="minorHAnsi" w:cstheme="minorHAnsi"/>
          <w:lang w:val="en-GB"/>
        </w:rPr>
        <w:t xml:space="preserve">etc. </w:t>
      </w:r>
    </w:p>
    <w:p w14:paraId="07C3A590" w14:textId="643F42A3" w:rsidR="00132836" w:rsidRDefault="00132836" w:rsidP="008E582C">
      <w:pPr>
        <w:pStyle w:val="ListParagraph"/>
        <w:numPr>
          <w:ilvl w:val="0"/>
          <w:numId w:val="4"/>
        </w:numPr>
        <w:spacing w:before="200" w:after="120"/>
        <w:ind w:left="284" w:hanging="284"/>
        <w:jc w:val="both"/>
        <w:rPr>
          <w:rFonts w:asciiTheme="minorHAnsi" w:hAnsiTheme="minorHAnsi" w:cstheme="minorHAnsi"/>
          <w:lang w:val="en-GB"/>
        </w:rPr>
      </w:pPr>
      <w:r w:rsidRPr="00132836">
        <w:rPr>
          <w:rFonts w:asciiTheme="minorHAnsi" w:hAnsiTheme="minorHAnsi" w:cstheme="minorHAnsi"/>
          <w:lang w:val="en-GB"/>
        </w:rPr>
        <w:lastRenderedPageBreak/>
        <w:t xml:space="preserve">The Final Evaluation </w:t>
      </w:r>
      <w:r w:rsidRPr="00132836">
        <w:rPr>
          <w:rFonts w:asciiTheme="minorHAnsi" w:hAnsiTheme="minorHAnsi" w:cstheme="minorHAnsi"/>
          <w:b/>
          <w:lang w:val="en-GB"/>
        </w:rPr>
        <w:t xml:space="preserve">captures the prevailing “system errors” </w:t>
      </w:r>
      <w:r w:rsidRPr="00132836">
        <w:rPr>
          <w:rFonts w:asciiTheme="minorHAnsi" w:hAnsiTheme="minorHAnsi" w:cstheme="minorHAnsi"/>
          <w:lang w:val="en-GB"/>
        </w:rPr>
        <w:t>that need to be considered and addressed for sustainable and systemic change in this domain, alongside some critical observations linked to the lack of</w:t>
      </w:r>
      <w:r w:rsidR="002606A7">
        <w:rPr>
          <w:rFonts w:asciiTheme="minorHAnsi" w:hAnsiTheme="minorHAnsi" w:cstheme="minorHAnsi"/>
          <w:lang w:val="en-GB"/>
        </w:rPr>
        <w:t xml:space="preserve"> united front</w:t>
      </w:r>
      <w:r w:rsidRPr="00132836">
        <w:rPr>
          <w:rFonts w:asciiTheme="minorHAnsi" w:hAnsiTheme="minorHAnsi" w:cstheme="minorHAnsi"/>
          <w:lang w:val="en-GB"/>
        </w:rPr>
        <w:t xml:space="preserve"> among local government leaderships in relation to the concrete direction of potential MZ-related legal reform. These aspects will be taken into consideration in the forward-looking thinking. </w:t>
      </w:r>
    </w:p>
    <w:p w14:paraId="77B341C7" w14:textId="62F38BB0" w:rsidR="009A6B79" w:rsidRPr="00132836" w:rsidRDefault="009A6B79" w:rsidP="008E582C">
      <w:pPr>
        <w:pStyle w:val="ListParagraph"/>
        <w:numPr>
          <w:ilvl w:val="0"/>
          <w:numId w:val="4"/>
        </w:numPr>
        <w:spacing w:before="200" w:after="120"/>
        <w:ind w:left="284" w:hanging="284"/>
        <w:jc w:val="both"/>
        <w:rPr>
          <w:rFonts w:asciiTheme="minorHAnsi" w:hAnsiTheme="minorHAnsi" w:cstheme="minorHAnsi"/>
          <w:lang w:val="en-GB"/>
        </w:rPr>
      </w:pPr>
      <w:r>
        <w:rPr>
          <w:rFonts w:asciiTheme="minorHAnsi" w:hAnsiTheme="minorHAnsi" w:cstheme="minorHAnsi"/>
          <w:lang w:val="en-GB"/>
        </w:rPr>
        <w:t xml:space="preserve">UNDP takes note of the finding related to the </w:t>
      </w:r>
      <w:r w:rsidRPr="009A6B79">
        <w:rPr>
          <w:rFonts w:asciiTheme="minorHAnsi" w:hAnsiTheme="minorHAnsi" w:cstheme="minorHAnsi"/>
          <w:b/>
          <w:lang w:val="en-GB"/>
        </w:rPr>
        <w:t xml:space="preserve">positive influence of sound and diverse partnerships </w:t>
      </w:r>
      <w:r w:rsidR="00B86A67">
        <w:rPr>
          <w:rFonts w:asciiTheme="minorHAnsi" w:hAnsiTheme="minorHAnsi" w:cstheme="minorHAnsi"/>
          <w:b/>
          <w:lang w:val="en-GB"/>
        </w:rPr>
        <w:t>during</w:t>
      </w:r>
      <w:r w:rsidR="00B86A67" w:rsidRPr="009A6B79">
        <w:rPr>
          <w:rFonts w:asciiTheme="minorHAnsi" w:hAnsiTheme="minorHAnsi" w:cstheme="minorHAnsi"/>
          <w:b/>
          <w:lang w:val="en-GB"/>
        </w:rPr>
        <w:t xml:space="preserve"> </w:t>
      </w:r>
      <w:r w:rsidRPr="009A6B79">
        <w:rPr>
          <w:rFonts w:asciiTheme="minorHAnsi" w:hAnsiTheme="minorHAnsi" w:cstheme="minorHAnsi"/>
          <w:b/>
          <w:lang w:val="en-GB"/>
        </w:rPr>
        <w:t>the Project implementation</w:t>
      </w:r>
      <w:r w:rsidR="003350E3">
        <w:rPr>
          <w:rFonts w:asciiTheme="minorHAnsi" w:hAnsiTheme="minorHAnsi" w:cstheme="minorHAnsi"/>
          <w:b/>
          <w:lang w:val="en-GB"/>
        </w:rPr>
        <w:t xml:space="preserve"> and multiplier effects achieved through these partnerships</w:t>
      </w:r>
      <w:r>
        <w:rPr>
          <w:rFonts w:asciiTheme="minorHAnsi" w:hAnsiTheme="minorHAnsi" w:cstheme="minorHAnsi"/>
          <w:lang w:val="en-GB"/>
        </w:rPr>
        <w:t xml:space="preserve"> – </w:t>
      </w:r>
      <w:r w:rsidR="00B86A67">
        <w:rPr>
          <w:rFonts w:asciiTheme="minorHAnsi" w:hAnsiTheme="minorHAnsi" w:cstheme="minorHAnsi"/>
          <w:lang w:val="en-GB"/>
        </w:rPr>
        <w:t>e.g. with</w:t>
      </w:r>
      <w:r>
        <w:rPr>
          <w:rFonts w:asciiTheme="minorHAnsi" w:hAnsiTheme="minorHAnsi" w:cstheme="minorHAnsi"/>
          <w:lang w:val="en-GB"/>
        </w:rPr>
        <w:t xml:space="preserve"> MZs, communities, local governments, civil society organisations</w:t>
      </w:r>
      <w:r w:rsidR="003350E3">
        <w:rPr>
          <w:rFonts w:asciiTheme="minorHAnsi" w:hAnsiTheme="minorHAnsi" w:cstheme="minorHAnsi"/>
          <w:lang w:val="en-GB"/>
        </w:rPr>
        <w:t xml:space="preserve"> including women’s groups</w:t>
      </w:r>
      <w:r>
        <w:rPr>
          <w:rFonts w:asciiTheme="minorHAnsi" w:hAnsiTheme="minorHAnsi" w:cstheme="minorHAnsi"/>
          <w:lang w:val="en-GB"/>
        </w:rPr>
        <w:t>, institutions and policy-makers</w:t>
      </w:r>
      <w:r w:rsidR="003350E3">
        <w:rPr>
          <w:rFonts w:asciiTheme="minorHAnsi" w:hAnsiTheme="minorHAnsi" w:cstheme="minorHAnsi"/>
          <w:lang w:val="en-GB"/>
        </w:rPr>
        <w:t xml:space="preserve">, </w:t>
      </w:r>
      <w:r w:rsidR="00B86A67">
        <w:rPr>
          <w:rFonts w:asciiTheme="minorHAnsi" w:hAnsiTheme="minorHAnsi" w:cstheme="minorHAnsi"/>
          <w:lang w:val="en-GB"/>
        </w:rPr>
        <w:t>and</w:t>
      </w:r>
      <w:r w:rsidR="003350E3">
        <w:rPr>
          <w:rFonts w:asciiTheme="minorHAnsi" w:hAnsiTheme="minorHAnsi" w:cstheme="minorHAnsi"/>
          <w:lang w:val="en-GB"/>
        </w:rPr>
        <w:t xml:space="preserve"> importantly alliances with people themselves</w:t>
      </w:r>
      <w:r w:rsidR="00B86A67">
        <w:rPr>
          <w:rFonts w:asciiTheme="minorHAnsi" w:hAnsiTheme="minorHAnsi" w:cstheme="minorHAnsi"/>
          <w:lang w:val="en-GB"/>
        </w:rPr>
        <w:t xml:space="preserve"> </w:t>
      </w:r>
      <w:r w:rsidR="003350E3">
        <w:rPr>
          <w:rFonts w:asciiTheme="minorHAnsi" w:hAnsiTheme="minorHAnsi" w:cstheme="minorHAnsi"/>
          <w:lang w:val="en-GB"/>
        </w:rPr>
        <w:t>-</w:t>
      </w:r>
      <w:r>
        <w:rPr>
          <w:rFonts w:asciiTheme="minorHAnsi" w:hAnsiTheme="minorHAnsi" w:cstheme="minorHAnsi"/>
          <w:lang w:val="en-GB"/>
        </w:rPr>
        <w:t xml:space="preserve"> and will ensure that </w:t>
      </w:r>
      <w:r w:rsidR="003350E3">
        <w:rPr>
          <w:rFonts w:asciiTheme="minorHAnsi" w:hAnsiTheme="minorHAnsi" w:cstheme="minorHAnsi"/>
          <w:lang w:val="en-GB"/>
        </w:rPr>
        <w:t xml:space="preserve">the underlying principles of </w:t>
      </w:r>
      <w:r w:rsidR="003350E3" w:rsidRPr="00385F87">
        <w:rPr>
          <w:rFonts w:asciiTheme="minorHAnsi" w:hAnsiTheme="minorHAnsi" w:cstheme="minorHAnsi"/>
          <w:i/>
          <w:lang w:val="en-GB"/>
        </w:rPr>
        <w:t>bottom-up approach</w:t>
      </w:r>
      <w:r w:rsidR="00385F87">
        <w:rPr>
          <w:rFonts w:asciiTheme="minorHAnsi" w:hAnsiTheme="minorHAnsi" w:cstheme="minorHAnsi"/>
          <w:i/>
          <w:lang w:val="en-GB"/>
        </w:rPr>
        <w:t xml:space="preserve">, </w:t>
      </w:r>
      <w:r w:rsidR="00385F87" w:rsidRPr="00385F87">
        <w:rPr>
          <w:rFonts w:asciiTheme="minorHAnsi" w:hAnsiTheme="minorHAnsi" w:cstheme="minorHAnsi"/>
          <w:lang w:val="en-GB"/>
        </w:rPr>
        <w:t>gender sensitivity</w:t>
      </w:r>
      <w:r w:rsidR="003350E3">
        <w:rPr>
          <w:rFonts w:asciiTheme="minorHAnsi" w:hAnsiTheme="minorHAnsi" w:cstheme="minorHAnsi"/>
          <w:lang w:val="en-GB"/>
        </w:rPr>
        <w:t xml:space="preserve"> and inclusiveness when it comes to partnerships and the </w:t>
      </w:r>
      <w:r w:rsidR="00385F87">
        <w:rPr>
          <w:rFonts w:asciiTheme="minorHAnsi" w:hAnsiTheme="minorHAnsi" w:cstheme="minorHAnsi"/>
          <w:lang w:val="en-GB"/>
        </w:rPr>
        <w:t xml:space="preserve">resulting </w:t>
      </w:r>
      <w:r w:rsidR="003350E3">
        <w:rPr>
          <w:rFonts w:asciiTheme="minorHAnsi" w:hAnsiTheme="minorHAnsi" w:cstheme="minorHAnsi"/>
          <w:lang w:val="en-GB"/>
        </w:rPr>
        <w:t xml:space="preserve">gains </w:t>
      </w:r>
      <w:r w:rsidR="00385F87">
        <w:rPr>
          <w:rFonts w:asciiTheme="minorHAnsi" w:hAnsiTheme="minorHAnsi" w:cstheme="minorHAnsi"/>
          <w:lang w:val="en-GB"/>
        </w:rPr>
        <w:t>of the</w:t>
      </w:r>
      <w:r w:rsidR="003350E3">
        <w:rPr>
          <w:rFonts w:asciiTheme="minorHAnsi" w:hAnsiTheme="minorHAnsi" w:cstheme="minorHAnsi"/>
          <w:lang w:val="en-GB"/>
        </w:rPr>
        <w:t xml:space="preserve"> first phase are</w:t>
      </w:r>
      <w:r>
        <w:rPr>
          <w:rFonts w:asciiTheme="minorHAnsi" w:hAnsiTheme="minorHAnsi" w:cstheme="minorHAnsi"/>
          <w:lang w:val="en-GB"/>
        </w:rPr>
        <w:t xml:space="preserve"> embedded in a</w:t>
      </w:r>
      <w:r w:rsidR="003350E3">
        <w:rPr>
          <w:rFonts w:asciiTheme="minorHAnsi" w:hAnsiTheme="minorHAnsi" w:cstheme="minorHAnsi"/>
          <w:lang w:val="en-GB"/>
        </w:rPr>
        <w:t>ll</w:t>
      </w:r>
      <w:r>
        <w:rPr>
          <w:rFonts w:asciiTheme="minorHAnsi" w:hAnsiTheme="minorHAnsi" w:cstheme="minorHAnsi"/>
          <w:lang w:val="en-GB"/>
        </w:rPr>
        <w:t xml:space="preserve"> future efforts.</w:t>
      </w:r>
    </w:p>
    <w:p w14:paraId="32EF5F89" w14:textId="38B8AEAE" w:rsidR="006C5BA5" w:rsidRDefault="006C5BA5" w:rsidP="008E582C">
      <w:pPr>
        <w:pStyle w:val="ListParagraph"/>
        <w:numPr>
          <w:ilvl w:val="0"/>
          <w:numId w:val="4"/>
        </w:numPr>
        <w:spacing w:before="200" w:after="120"/>
        <w:ind w:left="284" w:hanging="284"/>
        <w:jc w:val="both"/>
        <w:rPr>
          <w:rFonts w:asciiTheme="minorHAnsi" w:hAnsiTheme="minorHAnsi" w:cstheme="minorHAnsi"/>
          <w:lang w:val="en-GB"/>
        </w:rPr>
      </w:pPr>
      <w:r>
        <w:rPr>
          <w:rFonts w:asciiTheme="minorHAnsi" w:hAnsiTheme="minorHAnsi" w:cstheme="minorHAnsi"/>
          <w:lang w:val="en-GB"/>
        </w:rPr>
        <w:t xml:space="preserve">UNDP regrets to see that </w:t>
      </w:r>
      <w:r w:rsidRPr="0030519B">
        <w:rPr>
          <w:rFonts w:asciiTheme="minorHAnsi" w:hAnsiTheme="minorHAnsi" w:cstheme="minorHAnsi"/>
          <w:b/>
          <w:lang w:val="en-GB"/>
        </w:rPr>
        <w:t xml:space="preserve">the Final Evaluation </w:t>
      </w:r>
      <w:r w:rsidR="00385F87">
        <w:rPr>
          <w:rFonts w:asciiTheme="minorHAnsi" w:hAnsiTheme="minorHAnsi" w:cstheme="minorHAnsi"/>
          <w:b/>
          <w:lang w:val="en-GB"/>
        </w:rPr>
        <w:t>neither</w:t>
      </w:r>
      <w:r w:rsidRPr="0030519B">
        <w:rPr>
          <w:rFonts w:asciiTheme="minorHAnsi" w:hAnsiTheme="minorHAnsi" w:cstheme="minorHAnsi"/>
          <w:b/>
          <w:lang w:val="en-GB"/>
        </w:rPr>
        <w:t xml:space="preserve"> </w:t>
      </w:r>
      <w:r w:rsidR="00385F87">
        <w:rPr>
          <w:rFonts w:asciiTheme="minorHAnsi" w:hAnsiTheme="minorHAnsi" w:cstheme="minorHAnsi"/>
          <w:b/>
          <w:lang w:val="en-GB"/>
        </w:rPr>
        <w:t>investigates nor assesses</w:t>
      </w:r>
      <w:r w:rsidR="00105B2A">
        <w:rPr>
          <w:rFonts w:asciiTheme="minorHAnsi" w:hAnsiTheme="minorHAnsi" w:cstheme="minorHAnsi"/>
          <w:b/>
          <w:lang w:val="en-GB"/>
        </w:rPr>
        <w:t>,</w:t>
      </w:r>
      <w:r w:rsidR="00F576B7">
        <w:rPr>
          <w:rFonts w:asciiTheme="minorHAnsi" w:hAnsiTheme="minorHAnsi" w:cstheme="minorHAnsi"/>
          <w:b/>
          <w:lang w:val="en-GB"/>
        </w:rPr>
        <w:t xml:space="preserve"> </w:t>
      </w:r>
      <w:r w:rsidR="00105B2A">
        <w:rPr>
          <w:rFonts w:asciiTheme="minorHAnsi" w:hAnsiTheme="minorHAnsi" w:cstheme="minorHAnsi"/>
          <w:b/>
          <w:lang w:val="en-GB"/>
        </w:rPr>
        <w:t xml:space="preserve">in any systematic manner, </w:t>
      </w:r>
      <w:r w:rsidR="004601BB">
        <w:rPr>
          <w:rFonts w:asciiTheme="minorHAnsi" w:hAnsiTheme="minorHAnsi" w:cstheme="minorHAnsi"/>
          <w:b/>
          <w:lang w:val="en-GB"/>
        </w:rPr>
        <w:t>whether</w:t>
      </w:r>
      <w:r w:rsidR="00385F87">
        <w:rPr>
          <w:rFonts w:asciiTheme="minorHAnsi" w:hAnsiTheme="minorHAnsi" w:cstheme="minorHAnsi"/>
          <w:b/>
          <w:lang w:val="en-GB"/>
        </w:rPr>
        <w:t xml:space="preserve"> and if so </w:t>
      </w:r>
      <w:r w:rsidR="00B86A67">
        <w:rPr>
          <w:rFonts w:asciiTheme="minorHAnsi" w:hAnsiTheme="minorHAnsi" w:cstheme="minorHAnsi"/>
          <w:b/>
          <w:lang w:val="en-GB"/>
        </w:rPr>
        <w:t xml:space="preserve">- </w:t>
      </w:r>
      <w:r w:rsidR="00385F87">
        <w:rPr>
          <w:rFonts w:asciiTheme="minorHAnsi" w:hAnsiTheme="minorHAnsi" w:cstheme="minorHAnsi"/>
          <w:b/>
          <w:lang w:val="en-GB"/>
        </w:rPr>
        <w:t xml:space="preserve">then </w:t>
      </w:r>
      <w:r w:rsidR="004601BB">
        <w:rPr>
          <w:rFonts w:asciiTheme="minorHAnsi" w:hAnsiTheme="minorHAnsi" w:cstheme="minorHAnsi"/>
          <w:b/>
          <w:lang w:val="en-GB"/>
        </w:rPr>
        <w:t>to what extent</w:t>
      </w:r>
      <w:r w:rsidR="0030519B" w:rsidRPr="0030519B">
        <w:rPr>
          <w:rFonts w:asciiTheme="minorHAnsi" w:hAnsiTheme="minorHAnsi" w:cstheme="minorHAnsi"/>
          <w:b/>
          <w:lang w:val="en-GB"/>
        </w:rPr>
        <w:t xml:space="preserve"> </w:t>
      </w:r>
      <w:r w:rsidRPr="0030519B">
        <w:rPr>
          <w:rFonts w:asciiTheme="minorHAnsi" w:hAnsiTheme="minorHAnsi" w:cstheme="minorHAnsi"/>
          <w:b/>
          <w:lang w:val="en-GB"/>
        </w:rPr>
        <w:t xml:space="preserve">system changes or transformations </w:t>
      </w:r>
      <w:r w:rsidR="0030519B" w:rsidRPr="0030519B">
        <w:rPr>
          <w:rFonts w:asciiTheme="minorHAnsi" w:hAnsiTheme="minorHAnsi" w:cstheme="minorHAnsi"/>
          <w:b/>
          <w:lang w:val="en-GB"/>
        </w:rPr>
        <w:t xml:space="preserve">have occurred </w:t>
      </w:r>
      <w:r w:rsidRPr="0030519B">
        <w:rPr>
          <w:rFonts w:asciiTheme="minorHAnsi" w:hAnsiTheme="minorHAnsi" w:cstheme="minorHAnsi"/>
          <w:b/>
          <w:lang w:val="en-GB"/>
        </w:rPr>
        <w:t xml:space="preserve">in relation to </w:t>
      </w:r>
      <w:r w:rsidR="0030519B" w:rsidRPr="0030519B">
        <w:rPr>
          <w:rFonts w:asciiTheme="minorHAnsi" w:hAnsiTheme="minorHAnsi" w:cstheme="minorHAnsi"/>
          <w:b/>
          <w:lang w:val="en-GB"/>
        </w:rPr>
        <w:t>downward</w:t>
      </w:r>
      <w:r w:rsidRPr="0030519B">
        <w:rPr>
          <w:rFonts w:asciiTheme="minorHAnsi" w:hAnsiTheme="minorHAnsi" w:cstheme="minorHAnsi"/>
          <w:b/>
          <w:lang w:val="en-GB"/>
        </w:rPr>
        <w:t xml:space="preserve"> responsiveness of local governments and improved public services</w:t>
      </w:r>
      <w:r w:rsidR="0030519B">
        <w:rPr>
          <w:rFonts w:asciiTheme="minorHAnsi" w:hAnsiTheme="minorHAnsi" w:cstheme="minorHAnsi"/>
          <w:lang w:val="en-GB"/>
        </w:rPr>
        <w:t xml:space="preserve"> (</w:t>
      </w:r>
      <w:r w:rsidR="00385F87">
        <w:rPr>
          <w:rFonts w:asciiTheme="minorHAnsi" w:hAnsiTheme="minorHAnsi" w:cstheme="minorHAnsi"/>
          <w:lang w:val="en-GB"/>
        </w:rPr>
        <w:t>O</w:t>
      </w:r>
      <w:r w:rsidR="0030519B">
        <w:rPr>
          <w:rFonts w:asciiTheme="minorHAnsi" w:hAnsiTheme="minorHAnsi" w:cstheme="minorHAnsi"/>
          <w:lang w:val="en-GB"/>
        </w:rPr>
        <w:t>utcome 2), which is central to this intervention</w:t>
      </w:r>
      <w:r>
        <w:rPr>
          <w:rFonts w:asciiTheme="minorHAnsi" w:hAnsiTheme="minorHAnsi" w:cstheme="minorHAnsi"/>
          <w:lang w:val="en-GB"/>
        </w:rPr>
        <w:t>.</w:t>
      </w:r>
    </w:p>
    <w:p w14:paraId="2430E882" w14:textId="3442CD02" w:rsidR="00A013EC" w:rsidRDefault="00A013EC" w:rsidP="008E582C">
      <w:pPr>
        <w:pStyle w:val="ListParagraph"/>
        <w:numPr>
          <w:ilvl w:val="0"/>
          <w:numId w:val="4"/>
        </w:numPr>
        <w:spacing w:before="200" w:after="120"/>
        <w:ind w:left="284" w:hanging="284"/>
        <w:jc w:val="both"/>
        <w:rPr>
          <w:rFonts w:asciiTheme="minorHAnsi" w:hAnsiTheme="minorHAnsi" w:cstheme="minorHAnsi"/>
          <w:spacing w:val="-2"/>
          <w:lang w:val="en-GB"/>
        </w:rPr>
      </w:pPr>
      <w:r w:rsidRPr="00880748">
        <w:rPr>
          <w:rFonts w:asciiTheme="minorHAnsi" w:hAnsiTheme="minorHAnsi" w:cstheme="minorHAnsi"/>
          <w:spacing w:val="-2"/>
          <w:lang w:val="en-GB"/>
        </w:rPr>
        <w:t xml:space="preserve">UNDP does not agree with the finding </w:t>
      </w:r>
      <w:r w:rsidR="00B86A67">
        <w:rPr>
          <w:rFonts w:asciiTheme="minorHAnsi" w:hAnsiTheme="minorHAnsi" w:cstheme="minorHAnsi"/>
          <w:spacing w:val="-2"/>
          <w:lang w:val="en-GB"/>
        </w:rPr>
        <w:t>of</w:t>
      </w:r>
      <w:r w:rsidRPr="00880748">
        <w:rPr>
          <w:rFonts w:asciiTheme="minorHAnsi" w:hAnsiTheme="minorHAnsi" w:cstheme="minorHAnsi"/>
          <w:spacing w:val="-2"/>
          <w:lang w:val="en-GB"/>
        </w:rPr>
        <w:t xml:space="preserve"> the Final Evaluation report that “</w:t>
      </w:r>
      <w:r w:rsidRPr="00880748">
        <w:rPr>
          <w:rFonts w:asciiTheme="minorHAnsi" w:hAnsiTheme="minorHAnsi" w:cstheme="minorHAnsi"/>
          <w:b/>
          <w:i/>
          <w:spacing w:val="-2"/>
          <w:lang w:val="en-GB"/>
        </w:rPr>
        <w:t>there is no direct, planned collaboration between different projects</w:t>
      </w:r>
      <w:r w:rsidRPr="00880748">
        <w:rPr>
          <w:rFonts w:asciiTheme="minorHAnsi" w:hAnsiTheme="minorHAnsi" w:cstheme="minorHAnsi"/>
          <w:b/>
          <w:spacing w:val="-2"/>
          <w:lang w:val="en-GB"/>
        </w:rPr>
        <w:t xml:space="preserve"> </w:t>
      </w:r>
      <w:r w:rsidRPr="00880748">
        <w:rPr>
          <w:rFonts w:asciiTheme="minorHAnsi" w:hAnsiTheme="minorHAnsi" w:cstheme="minorHAnsi"/>
          <w:spacing w:val="-2"/>
          <w:lang w:val="en-GB"/>
        </w:rPr>
        <w:t xml:space="preserve">(e.g. local governance interventions, such as the Integrated Local Development project and the Municipal Environmental and Economic Governance Project) </w:t>
      </w:r>
      <w:r w:rsidRPr="00880748">
        <w:rPr>
          <w:rFonts w:asciiTheme="minorHAnsi" w:hAnsiTheme="minorHAnsi" w:cstheme="minorHAnsi"/>
          <w:b/>
          <w:i/>
          <w:spacing w:val="-2"/>
          <w:lang w:val="en-GB"/>
        </w:rPr>
        <w:t>at this stage</w:t>
      </w:r>
      <w:r w:rsidRPr="00880748">
        <w:rPr>
          <w:rFonts w:asciiTheme="minorHAnsi" w:hAnsiTheme="minorHAnsi" w:cstheme="minorHAnsi"/>
          <w:spacing w:val="-2"/>
          <w:lang w:val="en-GB"/>
        </w:rPr>
        <w:t>”, based on the fact that the Project has been programmed as part of the wider local governance portfolio and has concrete programmatic synergies and joint approach to transforming the local governance system</w:t>
      </w:r>
      <w:r w:rsidR="00880748" w:rsidRPr="00880748">
        <w:rPr>
          <w:rFonts w:asciiTheme="minorHAnsi" w:hAnsiTheme="minorHAnsi" w:cstheme="minorHAnsi"/>
          <w:spacing w:val="-2"/>
          <w:lang w:val="en-GB"/>
        </w:rPr>
        <w:t>, acting from</w:t>
      </w:r>
      <w:r w:rsidRPr="00880748">
        <w:rPr>
          <w:rFonts w:asciiTheme="minorHAnsi" w:hAnsiTheme="minorHAnsi" w:cstheme="minorHAnsi"/>
          <w:spacing w:val="-2"/>
          <w:lang w:val="en-GB"/>
        </w:rPr>
        <w:t xml:space="preserve"> </w:t>
      </w:r>
      <w:r w:rsidR="00880748" w:rsidRPr="00880748">
        <w:rPr>
          <w:rFonts w:asciiTheme="minorHAnsi" w:hAnsiTheme="minorHAnsi" w:cstheme="minorHAnsi"/>
          <w:spacing w:val="-2"/>
          <w:lang w:val="en-GB"/>
        </w:rPr>
        <w:t>various</w:t>
      </w:r>
      <w:r w:rsidRPr="00880748">
        <w:rPr>
          <w:rFonts w:asciiTheme="minorHAnsi" w:hAnsiTheme="minorHAnsi" w:cstheme="minorHAnsi"/>
          <w:spacing w:val="-2"/>
          <w:lang w:val="en-GB"/>
        </w:rPr>
        <w:t xml:space="preserve"> angles (</w:t>
      </w:r>
      <w:r w:rsidR="00880748" w:rsidRPr="00880748">
        <w:rPr>
          <w:rFonts w:asciiTheme="minorHAnsi" w:hAnsiTheme="minorHAnsi" w:cstheme="minorHAnsi"/>
          <w:spacing w:val="-2"/>
          <w:lang w:val="en-GB"/>
        </w:rPr>
        <w:t>i.e.</w:t>
      </w:r>
      <w:r w:rsidRPr="00880748">
        <w:rPr>
          <w:rFonts w:asciiTheme="minorHAnsi" w:hAnsiTheme="minorHAnsi" w:cstheme="minorHAnsi"/>
          <w:spacing w:val="-2"/>
          <w:lang w:val="en-GB"/>
        </w:rPr>
        <w:t xml:space="preserve"> systemic link of MZ plans with development strategies, voicing out MZ in </w:t>
      </w:r>
      <w:r w:rsidR="00385F87">
        <w:rPr>
          <w:rFonts w:asciiTheme="minorHAnsi" w:hAnsiTheme="minorHAnsi" w:cstheme="minorHAnsi"/>
          <w:spacing w:val="-2"/>
          <w:lang w:val="en-GB"/>
        </w:rPr>
        <w:t>M</w:t>
      </w:r>
      <w:r w:rsidRPr="00880748">
        <w:rPr>
          <w:rFonts w:asciiTheme="minorHAnsi" w:hAnsiTheme="minorHAnsi" w:cstheme="minorHAnsi"/>
          <w:spacing w:val="-2"/>
          <w:lang w:val="en-GB"/>
        </w:rPr>
        <w:t xml:space="preserve">unicipal </w:t>
      </w:r>
      <w:r w:rsidR="00385F87">
        <w:rPr>
          <w:rFonts w:asciiTheme="minorHAnsi" w:hAnsiTheme="minorHAnsi" w:cstheme="minorHAnsi"/>
          <w:spacing w:val="-2"/>
          <w:lang w:val="en-GB"/>
        </w:rPr>
        <w:t>C</w:t>
      </w:r>
      <w:r w:rsidRPr="00880748">
        <w:rPr>
          <w:rFonts w:asciiTheme="minorHAnsi" w:hAnsiTheme="minorHAnsi" w:cstheme="minorHAnsi"/>
          <w:spacing w:val="-2"/>
          <w:lang w:val="en-GB"/>
        </w:rPr>
        <w:t xml:space="preserve">ouncils, etc.) that together construct a wider </w:t>
      </w:r>
      <w:r w:rsidR="00880748" w:rsidRPr="00880748">
        <w:rPr>
          <w:rFonts w:asciiTheme="minorHAnsi" w:hAnsiTheme="minorHAnsi" w:cstheme="minorHAnsi"/>
          <w:spacing w:val="-2"/>
          <w:lang w:val="en-GB"/>
        </w:rPr>
        <w:t>complementary</w:t>
      </w:r>
      <w:r w:rsidRPr="00880748">
        <w:rPr>
          <w:rFonts w:asciiTheme="minorHAnsi" w:hAnsiTheme="minorHAnsi" w:cstheme="minorHAnsi"/>
          <w:spacing w:val="-2"/>
          <w:lang w:val="en-GB"/>
        </w:rPr>
        <w:t xml:space="preserve"> approach </w:t>
      </w:r>
      <w:r w:rsidR="00880748" w:rsidRPr="00880748">
        <w:rPr>
          <w:rFonts w:asciiTheme="minorHAnsi" w:hAnsiTheme="minorHAnsi" w:cstheme="minorHAnsi"/>
          <w:spacing w:val="-2"/>
          <w:lang w:val="en-GB"/>
        </w:rPr>
        <w:t>among</w:t>
      </w:r>
      <w:r w:rsidRPr="00880748">
        <w:rPr>
          <w:rFonts w:asciiTheme="minorHAnsi" w:hAnsiTheme="minorHAnsi" w:cstheme="minorHAnsi"/>
          <w:spacing w:val="-2"/>
          <w:lang w:val="en-GB"/>
        </w:rPr>
        <w:t xml:space="preserve"> relevant interventions.</w:t>
      </w:r>
      <w:r w:rsidR="003238FF">
        <w:rPr>
          <w:rFonts w:asciiTheme="minorHAnsi" w:hAnsiTheme="minorHAnsi" w:cstheme="minorHAnsi"/>
          <w:spacing w:val="-2"/>
          <w:lang w:val="en-GB"/>
        </w:rPr>
        <w:t xml:space="preserve"> </w:t>
      </w:r>
    </w:p>
    <w:p w14:paraId="03547F9F" w14:textId="1BFB4E38" w:rsidR="00940999" w:rsidRDefault="00B42F1D" w:rsidP="008E582C">
      <w:pPr>
        <w:pStyle w:val="ListParagraph"/>
        <w:numPr>
          <w:ilvl w:val="0"/>
          <w:numId w:val="4"/>
        </w:numPr>
        <w:spacing w:before="200" w:after="120"/>
        <w:ind w:left="284" w:hanging="284"/>
        <w:jc w:val="both"/>
        <w:rPr>
          <w:rFonts w:asciiTheme="minorHAnsi" w:hAnsiTheme="minorHAnsi" w:cstheme="minorHAnsi"/>
          <w:lang w:val="en-GB"/>
        </w:rPr>
      </w:pPr>
      <w:r>
        <w:rPr>
          <w:rFonts w:asciiTheme="minorHAnsi" w:hAnsiTheme="minorHAnsi" w:cstheme="minorHAnsi"/>
          <w:lang w:val="en-GB"/>
        </w:rPr>
        <w:t xml:space="preserve">UNDP expected </w:t>
      </w:r>
      <w:r w:rsidRPr="00B42F1D">
        <w:rPr>
          <w:rFonts w:asciiTheme="minorHAnsi" w:hAnsiTheme="minorHAnsi" w:cstheme="minorHAnsi"/>
          <w:b/>
          <w:lang w:val="en-GB"/>
        </w:rPr>
        <w:t>that the Final Evaluation would provide more critical</w:t>
      </w:r>
      <w:r w:rsidR="00385F87">
        <w:rPr>
          <w:rFonts w:asciiTheme="minorHAnsi" w:hAnsiTheme="minorHAnsi" w:cstheme="minorHAnsi"/>
          <w:b/>
          <w:lang w:val="en-GB"/>
        </w:rPr>
        <w:t>, analytic</w:t>
      </w:r>
      <w:r w:rsidR="00193D77">
        <w:rPr>
          <w:rFonts w:asciiTheme="minorHAnsi" w:hAnsiTheme="minorHAnsi" w:cstheme="minorHAnsi"/>
          <w:b/>
          <w:lang w:val="en-GB"/>
        </w:rPr>
        <w:t>al</w:t>
      </w:r>
      <w:r w:rsidRPr="00B42F1D">
        <w:rPr>
          <w:rFonts w:asciiTheme="minorHAnsi" w:hAnsiTheme="minorHAnsi" w:cstheme="minorHAnsi"/>
          <w:b/>
          <w:lang w:val="en-GB"/>
        </w:rPr>
        <w:t xml:space="preserve"> and constructive findings </w:t>
      </w:r>
      <w:r>
        <w:rPr>
          <w:rFonts w:asciiTheme="minorHAnsi" w:hAnsiTheme="minorHAnsi" w:cstheme="minorHAnsi"/>
          <w:lang w:val="en-GB"/>
        </w:rPr>
        <w:t xml:space="preserve">that go beyond the </w:t>
      </w:r>
      <w:r w:rsidR="00880748">
        <w:rPr>
          <w:rFonts w:asciiTheme="minorHAnsi" w:hAnsiTheme="minorHAnsi" w:cstheme="minorHAnsi"/>
          <w:lang w:val="en-GB"/>
        </w:rPr>
        <w:t>well-</w:t>
      </w:r>
      <w:r w:rsidR="00D2795E">
        <w:rPr>
          <w:rFonts w:asciiTheme="minorHAnsi" w:hAnsiTheme="minorHAnsi" w:cstheme="minorHAnsi"/>
          <w:lang w:val="en-GB"/>
        </w:rPr>
        <w:t xml:space="preserve"> established </w:t>
      </w:r>
      <w:r>
        <w:rPr>
          <w:rFonts w:asciiTheme="minorHAnsi" w:hAnsiTheme="minorHAnsi" w:cstheme="minorHAnsi"/>
          <w:lang w:val="en-GB"/>
        </w:rPr>
        <w:t>facts</w:t>
      </w:r>
      <w:r w:rsidR="002606A7">
        <w:rPr>
          <w:rFonts w:asciiTheme="minorHAnsi" w:hAnsiTheme="minorHAnsi" w:cstheme="minorHAnsi"/>
          <w:lang w:val="en-GB"/>
        </w:rPr>
        <w:t xml:space="preserve">. </w:t>
      </w:r>
      <w:r w:rsidR="00105B2A">
        <w:rPr>
          <w:rFonts w:asciiTheme="minorHAnsi" w:hAnsiTheme="minorHAnsi" w:cstheme="minorHAnsi"/>
          <w:lang w:val="en-GB"/>
        </w:rPr>
        <w:t xml:space="preserve">It was expected that the Final Evaluation would </w:t>
      </w:r>
      <w:r w:rsidR="00FE5BB0">
        <w:rPr>
          <w:rFonts w:asciiTheme="minorHAnsi" w:hAnsiTheme="minorHAnsi" w:cstheme="minorHAnsi"/>
          <w:lang w:val="en-GB"/>
        </w:rPr>
        <w:t>assess</w:t>
      </w:r>
      <w:r w:rsidR="00105B2A">
        <w:rPr>
          <w:rFonts w:asciiTheme="minorHAnsi" w:hAnsiTheme="minorHAnsi" w:cstheme="minorHAnsi"/>
          <w:lang w:val="en-GB"/>
        </w:rPr>
        <w:t xml:space="preserve">, for example, </w:t>
      </w:r>
      <w:r w:rsidR="00FE5BB0" w:rsidRPr="00FE5BB0">
        <w:rPr>
          <w:rFonts w:asciiTheme="minorHAnsi" w:hAnsiTheme="minorHAnsi" w:cstheme="minorHAnsi"/>
          <w:b/>
          <w:i/>
          <w:lang w:val="en-GB"/>
        </w:rPr>
        <w:t>the</w:t>
      </w:r>
      <w:r w:rsidR="00FE5BB0">
        <w:rPr>
          <w:rFonts w:asciiTheme="minorHAnsi" w:hAnsiTheme="minorHAnsi" w:cstheme="minorHAnsi"/>
          <w:b/>
          <w:i/>
          <w:lang w:val="en-GB"/>
        </w:rPr>
        <w:t xml:space="preserve"> </w:t>
      </w:r>
      <w:r w:rsidR="002240B5" w:rsidRPr="00F1396E">
        <w:rPr>
          <w:rFonts w:asciiTheme="minorHAnsi" w:hAnsiTheme="minorHAnsi" w:cstheme="minorHAnsi"/>
          <w:b/>
          <w:i/>
          <w:lang w:val="en-GB"/>
        </w:rPr>
        <w:t>used approaches</w:t>
      </w:r>
      <w:r w:rsidR="002240B5">
        <w:rPr>
          <w:rFonts w:asciiTheme="minorHAnsi" w:hAnsiTheme="minorHAnsi" w:cstheme="minorHAnsi"/>
          <w:lang w:val="en-GB"/>
        </w:rPr>
        <w:t xml:space="preserve"> – what has worked and what not; </w:t>
      </w:r>
      <w:r w:rsidR="002240B5" w:rsidRPr="00F1396E">
        <w:rPr>
          <w:rFonts w:asciiTheme="minorHAnsi" w:hAnsiTheme="minorHAnsi" w:cstheme="minorHAnsi"/>
          <w:b/>
          <w:i/>
          <w:lang w:val="en-GB"/>
        </w:rPr>
        <w:t>relevance of the impact hypothesis</w:t>
      </w:r>
      <w:r w:rsidR="002240B5">
        <w:rPr>
          <w:rFonts w:asciiTheme="minorHAnsi" w:hAnsiTheme="minorHAnsi" w:cstheme="minorHAnsi"/>
          <w:lang w:val="en-GB"/>
        </w:rPr>
        <w:t xml:space="preserve"> and need for its adjustment, especially as we look forward; </w:t>
      </w:r>
      <w:r w:rsidR="002240B5" w:rsidRPr="00F1396E">
        <w:rPr>
          <w:rFonts w:asciiTheme="minorHAnsi" w:hAnsiTheme="minorHAnsi" w:cstheme="minorHAnsi"/>
          <w:b/>
          <w:i/>
          <w:lang w:val="en-GB"/>
        </w:rPr>
        <w:t>linkage</w:t>
      </w:r>
      <w:r w:rsidR="00105B2A">
        <w:rPr>
          <w:rFonts w:asciiTheme="minorHAnsi" w:hAnsiTheme="minorHAnsi" w:cstheme="minorHAnsi"/>
          <w:b/>
          <w:i/>
          <w:lang w:val="en-GB"/>
        </w:rPr>
        <w:t>s between</w:t>
      </w:r>
      <w:r w:rsidR="002240B5" w:rsidRPr="00F1396E">
        <w:rPr>
          <w:rFonts w:asciiTheme="minorHAnsi" w:hAnsiTheme="minorHAnsi" w:cstheme="minorHAnsi"/>
          <w:b/>
          <w:i/>
          <w:lang w:val="en-GB"/>
        </w:rPr>
        <w:t xml:space="preserve"> the forward-looking vision </w:t>
      </w:r>
      <w:r w:rsidR="00105B2A">
        <w:rPr>
          <w:rFonts w:asciiTheme="minorHAnsi" w:hAnsiTheme="minorHAnsi" w:cstheme="minorHAnsi"/>
          <w:b/>
          <w:i/>
          <w:lang w:val="en-GB"/>
        </w:rPr>
        <w:t>and</w:t>
      </w:r>
      <w:r w:rsidR="00105B2A" w:rsidRPr="00F1396E">
        <w:rPr>
          <w:rFonts w:asciiTheme="minorHAnsi" w:hAnsiTheme="minorHAnsi" w:cstheme="minorHAnsi"/>
          <w:b/>
          <w:i/>
          <w:lang w:val="en-GB"/>
        </w:rPr>
        <w:t xml:space="preserve"> </w:t>
      </w:r>
      <w:r w:rsidR="002240B5" w:rsidRPr="00F1396E">
        <w:rPr>
          <w:rFonts w:asciiTheme="minorHAnsi" w:hAnsiTheme="minorHAnsi" w:cstheme="minorHAnsi"/>
          <w:b/>
          <w:i/>
          <w:lang w:val="en-GB"/>
        </w:rPr>
        <w:t>the already set in the Project Document end-of-</w:t>
      </w:r>
      <w:r w:rsidR="00105B2A">
        <w:rPr>
          <w:rFonts w:asciiTheme="minorHAnsi" w:hAnsiTheme="minorHAnsi" w:cstheme="minorHAnsi"/>
          <w:b/>
          <w:i/>
          <w:lang w:val="en-GB"/>
        </w:rPr>
        <w:t>first phase of the project</w:t>
      </w:r>
      <w:r w:rsidR="00105B2A" w:rsidRPr="00F1396E">
        <w:rPr>
          <w:rFonts w:asciiTheme="minorHAnsi" w:hAnsiTheme="minorHAnsi" w:cstheme="minorHAnsi"/>
          <w:b/>
          <w:i/>
          <w:lang w:val="en-GB"/>
        </w:rPr>
        <w:t xml:space="preserve"> </w:t>
      </w:r>
      <w:r w:rsidR="002240B5" w:rsidRPr="00880748">
        <w:rPr>
          <w:rFonts w:asciiTheme="minorHAnsi" w:hAnsiTheme="minorHAnsi" w:cstheme="minorHAnsi"/>
          <w:b/>
          <w:i/>
          <w:lang w:val="en-GB"/>
        </w:rPr>
        <w:t xml:space="preserve">pathway, </w:t>
      </w:r>
      <w:r w:rsidR="00880748" w:rsidRPr="00880748">
        <w:rPr>
          <w:rFonts w:asciiTheme="minorHAnsi" w:hAnsiTheme="minorHAnsi" w:cstheme="minorHAnsi"/>
          <w:b/>
          <w:i/>
          <w:lang w:val="en-GB"/>
        </w:rPr>
        <w:t>systemic changes</w:t>
      </w:r>
      <w:r w:rsidR="00880748">
        <w:rPr>
          <w:rFonts w:asciiTheme="minorHAnsi" w:hAnsiTheme="minorHAnsi" w:cstheme="minorHAnsi"/>
          <w:lang w:val="en-GB"/>
        </w:rPr>
        <w:t xml:space="preserve">, </w:t>
      </w:r>
      <w:r w:rsidR="002240B5">
        <w:rPr>
          <w:rFonts w:asciiTheme="minorHAnsi" w:hAnsiTheme="minorHAnsi" w:cstheme="minorHAnsi"/>
          <w:lang w:val="en-GB"/>
        </w:rPr>
        <w:t>etc.)</w:t>
      </w:r>
      <w:r>
        <w:rPr>
          <w:rFonts w:asciiTheme="minorHAnsi" w:hAnsiTheme="minorHAnsi" w:cstheme="minorHAnsi"/>
          <w:lang w:val="en-GB"/>
        </w:rPr>
        <w:t xml:space="preserve">, which </w:t>
      </w:r>
      <w:r w:rsidR="00193D77">
        <w:rPr>
          <w:rFonts w:asciiTheme="minorHAnsi" w:hAnsiTheme="minorHAnsi" w:cstheme="minorHAnsi"/>
          <w:lang w:val="en-GB"/>
        </w:rPr>
        <w:t xml:space="preserve">would have been useful in </w:t>
      </w:r>
      <w:r>
        <w:rPr>
          <w:rFonts w:asciiTheme="minorHAnsi" w:hAnsiTheme="minorHAnsi" w:cstheme="minorHAnsi"/>
          <w:lang w:val="en-GB"/>
        </w:rPr>
        <w:t>inform</w:t>
      </w:r>
      <w:r w:rsidR="00193D77">
        <w:rPr>
          <w:rFonts w:asciiTheme="minorHAnsi" w:hAnsiTheme="minorHAnsi" w:cstheme="minorHAnsi"/>
          <w:lang w:val="en-GB"/>
        </w:rPr>
        <w:t>ing</w:t>
      </w:r>
      <w:r>
        <w:rPr>
          <w:rFonts w:asciiTheme="minorHAnsi" w:hAnsiTheme="minorHAnsi" w:cstheme="minorHAnsi"/>
          <w:lang w:val="en-GB"/>
        </w:rPr>
        <w:t xml:space="preserve"> strategic recommendations</w:t>
      </w:r>
      <w:r w:rsidR="00880748">
        <w:rPr>
          <w:rFonts w:asciiTheme="minorHAnsi" w:hAnsiTheme="minorHAnsi" w:cstheme="minorHAnsi"/>
          <w:lang w:val="en-GB"/>
        </w:rPr>
        <w:t xml:space="preserve"> and </w:t>
      </w:r>
      <w:r w:rsidR="00193D77">
        <w:rPr>
          <w:rFonts w:asciiTheme="minorHAnsi" w:hAnsiTheme="minorHAnsi" w:cstheme="minorHAnsi"/>
          <w:lang w:val="en-GB"/>
        </w:rPr>
        <w:t>charting</w:t>
      </w:r>
      <w:r w:rsidR="002240B5">
        <w:rPr>
          <w:rFonts w:asciiTheme="minorHAnsi" w:hAnsiTheme="minorHAnsi" w:cstheme="minorHAnsi"/>
          <w:lang w:val="en-GB"/>
        </w:rPr>
        <w:t xml:space="preserve"> </w:t>
      </w:r>
      <w:r>
        <w:rPr>
          <w:rFonts w:asciiTheme="minorHAnsi" w:hAnsiTheme="minorHAnsi" w:cstheme="minorHAnsi"/>
          <w:lang w:val="en-GB"/>
        </w:rPr>
        <w:t xml:space="preserve">the way forward. </w:t>
      </w:r>
    </w:p>
    <w:p w14:paraId="5BB0B9AC" w14:textId="49A99A7B" w:rsidR="00536193" w:rsidRPr="003238FF" w:rsidRDefault="00536193" w:rsidP="00BE6B76">
      <w:pPr>
        <w:pStyle w:val="ListParagraph"/>
        <w:numPr>
          <w:ilvl w:val="0"/>
          <w:numId w:val="4"/>
        </w:numPr>
        <w:spacing w:before="200" w:after="120"/>
        <w:ind w:left="284" w:hanging="284"/>
        <w:jc w:val="both"/>
        <w:rPr>
          <w:rFonts w:asciiTheme="minorHAnsi" w:hAnsiTheme="minorHAnsi" w:cstheme="minorHAnsi"/>
          <w:lang w:val="en-GB"/>
        </w:rPr>
      </w:pPr>
      <w:r w:rsidRPr="00BE6B76">
        <w:rPr>
          <w:rFonts w:asciiTheme="minorHAnsi" w:hAnsiTheme="minorHAnsi" w:cstheme="minorHAnsi"/>
          <w:lang w:val="en-GB"/>
        </w:rPr>
        <w:t xml:space="preserve">UNDP regrets to see that </w:t>
      </w:r>
      <w:r w:rsidRPr="00BE6B76">
        <w:rPr>
          <w:rFonts w:asciiTheme="minorHAnsi" w:hAnsiTheme="minorHAnsi" w:cstheme="minorHAnsi"/>
          <w:b/>
          <w:lang w:val="en-GB"/>
        </w:rPr>
        <w:t xml:space="preserve">the Final Report provides only partial generic </w:t>
      </w:r>
      <w:r w:rsidR="0004448A" w:rsidRPr="00BE6B76">
        <w:rPr>
          <w:rFonts w:asciiTheme="minorHAnsi" w:hAnsiTheme="minorHAnsi" w:cstheme="minorHAnsi"/>
          <w:b/>
          <w:lang w:val="en-GB"/>
        </w:rPr>
        <w:t>findings</w:t>
      </w:r>
      <w:r w:rsidRPr="00BE6B76">
        <w:rPr>
          <w:rFonts w:asciiTheme="minorHAnsi" w:hAnsiTheme="minorHAnsi" w:cstheme="minorHAnsi"/>
          <w:b/>
          <w:lang w:val="en-GB"/>
        </w:rPr>
        <w:t xml:space="preserve"> in relation to gender equality and social inclusion</w:t>
      </w:r>
      <w:r w:rsidRPr="00105B2A">
        <w:rPr>
          <w:rFonts w:asciiTheme="minorHAnsi" w:hAnsiTheme="minorHAnsi" w:cstheme="minorHAnsi"/>
          <w:lang w:val="en-GB"/>
        </w:rPr>
        <w:t xml:space="preserve">, </w:t>
      </w:r>
      <w:r w:rsidR="0004448A" w:rsidRPr="00105B2A">
        <w:rPr>
          <w:rFonts w:asciiTheme="minorHAnsi" w:hAnsiTheme="minorHAnsi" w:cstheme="minorHAnsi"/>
          <w:lang w:val="en-GB"/>
        </w:rPr>
        <w:t>which are not then adequately embedded in the forward-looking vision and approaches</w:t>
      </w:r>
      <w:r w:rsidRPr="003238FF">
        <w:rPr>
          <w:rFonts w:asciiTheme="minorHAnsi" w:hAnsiTheme="minorHAnsi" w:cstheme="minorHAnsi"/>
          <w:lang w:val="en-GB"/>
        </w:rPr>
        <w:t>.</w:t>
      </w:r>
      <w:r w:rsidR="00663C22" w:rsidRPr="003238FF">
        <w:rPr>
          <w:rFonts w:asciiTheme="minorHAnsi" w:hAnsiTheme="minorHAnsi" w:cstheme="minorHAnsi"/>
          <w:lang w:val="en-GB"/>
        </w:rPr>
        <w:t xml:space="preserve"> The two distinct topics are in fact treated jointly and/or interchangeably</w:t>
      </w:r>
      <w:r w:rsidR="00BE6B76">
        <w:rPr>
          <w:rFonts w:asciiTheme="minorHAnsi" w:hAnsiTheme="minorHAnsi" w:cstheme="minorHAnsi"/>
          <w:lang w:val="en-GB"/>
        </w:rPr>
        <w:t xml:space="preserve"> and not in </w:t>
      </w:r>
      <w:r w:rsidR="00FE5BB0">
        <w:rPr>
          <w:rFonts w:asciiTheme="minorHAnsi" w:hAnsiTheme="minorHAnsi" w:cstheme="minorHAnsi"/>
          <w:lang w:val="en-GB"/>
        </w:rPr>
        <w:t>the needed</w:t>
      </w:r>
      <w:r w:rsidR="00BE6B76">
        <w:rPr>
          <w:rFonts w:asciiTheme="minorHAnsi" w:hAnsiTheme="minorHAnsi" w:cstheme="minorHAnsi"/>
          <w:lang w:val="en-GB"/>
        </w:rPr>
        <w:t xml:space="preserve"> depth</w:t>
      </w:r>
      <w:r w:rsidR="00663C22" w:rsidRPr="00BE6B76">
        <w:rPr>
          <w:rFonts w:asciiTheme="minorHAnsi" w:hAnsiTheme="minorHAnsi" w:cstheme="minorHAnsi"/>
          <w:lang w:val="en-GB"/>
        </w:rPr>
        <w:t xml:space="preserve">, </w:t>
      </w:r>
      <w:r w:rsidR="00BE6B76" w:rsidRPr="00BE6B76">
        <w:rPr>
          <w:rFonts w:asciiTheme="minorHAnsi" w:hAnsiTheme="minorHAnsi" w:cstheme="minorHAnsi"/>
          <w:lang w:val="en-GB"/>
        </w:rPr>
        <w:t xml:space="preserve">despite a very nuanced approach by the </w:t>
      </w:r>
      <w:r w:rsidR="00FE5BB0">
        <w:rPr>
          <w:rFonts w:asciiTheme="minorHAnsi" w:hAnsiTheme="minorHAnsi" w:cstheme="minorHAnsi"/>
          <w:lang w:val="en-GB"/>
        </w:rPr>
        <w:t>P</w:t>
      </w:r>
      <w:r w:rsidR="00BE6B76" w:rsidRPr="00BE6B76">
        <w:rPr>
          <w:rFonts w:asciiTheme="minorHAnsi" w:hAnsiTheme="minorHAnsi" w:cstheme="minorHAnsi"/>
          <w:lang w:val="en-GB"/>
        </w:rPr>
        <w:t>roject.</w:t>
      </w:r>
      <w:r w:rsidR="00663C22" w:rsidRPr="003238FF">
        <w:rPr>
          <w:rFonts w:cstheme="minorHAnsi"/>
        </w:rPr>
        <w:t xml:space="preserve"> Furthermore, in treating social inclusion </w:t>
      </w:r>
      <w:r w:rsidR="00BE6B76">
        <w:rPr>
          <w:rFonts w:cstheme="minorHAnsi"/>
        </w:rPr>
        <w:t xml:space="preserve">and gender equality issues, </w:t>
      </w:r>
      <w:r w:rsidR="00663C22" w:rsidRPr="003238FF">
        <w:rPr>
          <w:rFonts w:cstheme="minorHAnsi"/>
        </w:rPr>
        <w:t>the report failed to differentiate between vulnerable groups and vulnerabilities</w:t>
      </w:r>
      <w:r w:rsidR="00105B2A">
        <w:rPr>
          <w:rFonts w:cstheme="minorHAnsi"/>
        </w:rPr>
        <w:t xml:space="preserve">, and between gender equality, parity, gender mainstreaming and women as </w:t>
      </w:r>
      <w:r w:rsidR="00105B2A" w:rsidRPr="003238FF">
        <w:rPr>
          <w:rFonts w:cstheme="minorHAnsi"/>
          <w:i/>
        </w:rPr>
        <w:t>agents of change</w:t>
      </w:r>
      <w:r w:rsidR="00105B2A">
        <w:rPr>
          <w:rFonts w:cstheme="minorHAnsi"/>
        </w:rPr>
        <w:t xml:space="preserve"> approach</w:t>
      </w:r>
      <w:r w:rsidR="00663C22" w:rsidRPr="003238FF">
        <w:rPr>
          <w:rFonts w:cstheme="minorHAnsi"/>
        </w:rPr>
        <w:t>.</w:t>
      </w:r>
      <w:r w:rsidRPr="003238FF">
        <w:rPr>
          <w:rFonts w:cstheme="minorHAnsi"/>
        </w:rPr>
        <w:t xml:space="preserve"> </w:t>
      </w:r>
      <w:r w:rsidR="00663C22" w:rsidRPr="003238FF">
        <w:rPr>
          <w:rFonts w:cstheme="minorHAnsi"/>
        </w:rPr>
        <w:t xml:space="preserve">Especially, the gains of applying women as </w:t>
      </w:r>
      <w:r w:rsidR="00663C22" w:rsidRPr="003238FF">
        <w:rPr>
          <w:rFonts w:cstheme="minorHAnsi"/>
          <w:i/>
        </w:rPr>
        <w:t>agents of change</w:t>
      </w:r>
      <w:r w:rsidR="00663C22" w:rsidRPr="00BE6B76">
        <w:rPr>
          <w:rFonts w:cstheme="minorHAnsi"/>
        </w:rPr>
        <w:t xml:space="preserve"> approach </w:t>
      </w:r>
      <w:r w:rsidR="00663C22" w:rsidRPr="003238FF">
        <w:rPr>
          <w:rFonts w:cstheme="minorHAnsi"/>
        </w:rPr>
        <w:t>– that resonated</w:t>
      </w:r>
      <w:r w:rsidR="00BE6B76">
        <w:rPr>
          <w:rFonts w:cstheme="minorHAnsi"/>
        </w:rPr>
        <w:t xml:space="preserve"> </w:t>
      </w:r>
      <w:r w:rsidR="00105B2A">
        <w:rPr>
          <w:rFonts w:cstheme="minorHAnsi"/>
        </w:rPr>
        <w:t xml:space="preserve">well </w:t>
      </w:r>
      <w:r w:rsidR="00663C22" w:rsidRPr="003238FF">
        <w:rPr>
          <w:rFonts w:cstheme="minorHAnsi"/>
        </w:rPr>
        <w:t xml:space="preserve">with both people and authorities and </w:t>
      </w:r>
      <w:r w:rsidR="00105B2A">
        <w:rPr>
          <w:rFonts w:cstheme="minorHAnsi"/>
        </w:rPr>
        <w:t xml:space="preserve">that </w:t>
      </w:r>
      <w:r w:rsidR="00663C22" w:rsidRPr="003238FF">
        <w:rPr>
          <w:rFonts w:cstheme="minorHAnsi"/>
        </w:rPr>
        <w:t>has</w:t>
      </w:r>
      <w:r w:rsidR="00BE6B76">
        <w:rPr>
          <w:rFonts w:cstheme="minorHAnsi"/>
        </w:rPr>
        <w:t xml:space="preserve"> in a way </w:t>
      </w:r>
      <w:r w:rsidR="00663C22" w:rsidRPr="003238FF">
        <w:rPr>
          <w:rFonts w:cstheme="minorHAnsi"/>
        </w:rPr>
        <w:t xml:space="preserve">become </w:t>
      </w:r>
      <w:r w:rsidR="00BE6B76">
        <w:rPr>
          <w:rFonts w:cstheme="minorHAnsi"/>
        </w:rPr>
        <w:t>a distinct</w:t>
      </w:r>
      <w:r w:rsidR="00663C22" w:rsidRPr="003238FF">
        <w:rPr>
          <w:rFonts w:cstheme="minorHAnsi"/>
        </w:rPr>
        <w:t xml:space="preserve"> project </w:t>
      </w:r>
      <w:r w:rsidR="00BE6B76">
        <w:rPr>
          <w:rFonts w:cstheme="minorHAnsi"/>
        </w:rPr>
        <w:t>“</w:t>
      </w:r>
      <w:proofErr w:type="gramStart"/>
      <w:r w:rsidR="00BE6B76">
        <w:rPr>
          <w:rFonts w:cstheme="minorHAnsi"/>
        </w:rPr>
        <w:t>brand</w:t>
      </w:r>
      <w:r w:rsidR="00BE6B76">
        <w:rPr>
          <w:rFonts w:cstheme="minorHAnsi"/>
          <w:lang w:val="bs-Latn-BA"/>
        </w:rPr>
        <w:t>“</w:t>
      </w:r>
      <w:r w:rsidR="003238FF">
        <w:rPr>
          <w:rFonts w:cstheme="minorHAnsi"/>
          <w:lang w:val="bs-Latn-BA"/>
        </w:rPr>
        <w:t xml:space="preserve"> </w:t>
      </w:r>
      <w:r w:rsidR="00663C22" w:rsidRPr="003238FF">
        <w:rPr>
          <w:rFonts w:cstheme="minorHAnsi"/>
        </w:rPr>
        <w:t>was</w:t>
      </w:r>
      <w:proofErr w:type="gramEnd"/>
      <w:r w:rsidR="00663C22" w:rsidRPr="003238FF">
        <w:rPr>
          <w:rFonts w:cstheme="minorHAnsi"/>
        </w:rPr>
        <w:t xml:space="preserve"> not adequately captured.</w:t>
      </w:r>
      <w:r w:rsidR="00BE6B76">
        <w:rPr>
          <w:rFonts w:cstheme="minorHAnsi"/>
        </w:rPr>
        <w:t xml:space="preserve"> </w:t>
      </w:r>
      <w:r w:rsidR="00105B2A">
        <w:rPr>
          <w:rFonts w:cstheme="minorHAnsi"/>
        </w:rPr>
        <w:t xml:space="preserve">This is a pity, as </w:t>
      </w:r>
      <w:r w:rsidR="00BE6B76">
        <w:rPr>
          <w:rFonts w:cstheme="minorHAnsi"/>
        </w:rPr>
        <w:t>capture and proliferation of this</w:t>
      </w:r>
      <w:r w:rsidR="00663C22" w:rsidRPr="003238FF">
        <w:rPr>
          <w:rFonts w:cstheme="minorHAnsi"/>
        </w:rPr>
        <w:t xml:space="preserve"> </w:t>
      </w:r>
      <w:r w:rsidR="00BE6B76">
        <w:rPr>
          <w:rFonts w:cstheme="minorHAnsi"/>
        </w:rPr>
        <w:t xml:space="preserve">experience </w:t>
      </w:r>
      <w:r w:rsidR="00663C22" w:rsidRPr="003238FF">
        <w:rPr>
          <w:rFonts w:cstheme="minorHAnsi"/>
        </w:rPr>
        <w:t xml:space="preserve">would </w:t>
      </w:r>
      <w:r w:rsidR="00BE6B76">
        <w:rPr>
          <w:rFonts w:cstheme="minorHAnsi"/>
        </w:rPr>
        <w:t>have been u</w:t>
      </w:r>
      <w:r w:rsidR="00663C22" w:rsidRPr="003238FF">
        <w:rPr>
          <w:rFonts w:cstheme="minorHAnsi"/>
        </w:rPr>
        <w:t>seful for replicat</w:t>
      </w:r>
      <w:r w:rsidR="00BE6B76">
        <w:rPr>
          <w:rFonts w:cstheme="minorHAnsi"/>
        </w:rPr>
        <w:t>ion as a</w:t>
      </w:r>
      <w:r w:rsidR="00663C22" w:rsidRPr="003238FF">
        <w:rPr>
          <w:rFonts w:cstheme="minorHAnsi"/>
        </w:rPr>
        <w:t xml:space="preserve"> good practice elsewhere. </w:t>
      </w:r>
      <w:r w:rsidRPr="003238FF">
        <w:rPr>
          <w:rFonts w:cstheme="minorHAnsi"/>
        </w:rPr>
        <w:t xml:space="preserve">  </w:t>
      </w:r>
    </w:p>
    <w:p w14:paraId="25CFDD32" w14:textId="77777777" w:rsidR="00EC200E" w:rsidRPr="00EC200E" w:rsidRDefault="00EC200E" w:rsidP="008E582C">
      <w:pPr>
        <w:pStyle w:val="ListParagraph"/>
        <w:numPr>
          <w:ilvl w:val="0"/>
          <w:numId w:val="4"/>
        </w:numPr>
        <w:spacing w:before="200" w:after="120"/>
        <w:ind w:left="284" w:hanging="284"/>
        <w:jc w:val="both"/>
        <w:rPr>
          <w:rFonts w:asciiTheme="minorHAnsi" w:hAnsiTheme="minorHAnsi" w:cstheme="minorHAnsi"/>
          <w:lang w:val="en-GB"/>
        </w:rPr>
      </w:pPr>
      <w:r w:rsidRPr="00EC200E">
        <w:rPr>
          <w:rFonts w:asciiTheme="minorHAnsi" w:hAnsiTheme="minorHAnsi" w:cstheme="minorHAnsi"/>
          <w:lang w:val="en-GB"/>
        </w:rPr>
        <w:t xml:space="preserve">UNDP finds that the </w:t>
      </w:r>
      <w:r w:rsidRPr="00EC200E">
        <w:rPr>
          <w:rFonts w:asciiTheme="minorHAnsi" w:hAnsiTheme="minorHAnsi" w:cstheme="minorHAnsi"/>
          <w:b/>
          <w:lang w:val="en-GB"/>
        </w:rPr>
        <w:t>proposed forward-looking vision is rather generic and rests on the approach</w:t>
      </w:r>
      <w:r w:rsidR="00BE6B76">
        <w:rPr>
          <w:rFonts w:asciiTheme="minorHAnsi" w:hAnsiTheme="minorHAnsi" w:cstheme="minorHAnsi"/>
          <w:b/>
          <w:lang w:val="en-GB"/>
        </w:rPr>
        <w:t xml:space="preserve"> of</w:t>
      </w:r>
      <w:r w:rsidRPr="00EC200E">
        <w:rPr>
          <w:rFonts w:asciiTheme="minorHAnsi" w:hAnsiTheme="minorHAnsi" w:cstheme="minorHAnsi"/>
          <w:b/>
          <w:lang w:val="en-GB"/>
        </w:rPr>
        <w:t xml:space="preserve"> “do</w:t>
      </w:r>
      <w:r w:rsidR="00BE6B76">
        <w:rPr>
          <w:rFonts w:asciiTheme="minorHAnsi" w:hAnsiTheme="minorHAnsi" w:cstheme="minorHAnsi"/>
          <w:b/>
          <w:lang w:val="en-GB"/>
        </w:rPr>
        <w:t>ing</w:t>
      </w:r>
      <w:r w:rsidRPr="00EC200E">
        <w:rPr>
          <w:rFonts w:asciiTheme="minorHAnsi" w:hAnsiTheme="minorHAnsi" w:cstheme="minorHAnsi"/>
          <w:b/>
          <w:lang w:val="en-GB"/>
        </w:rPr>
        <w:t xml:space="preserve"> more of what has been done”</w:t>
      </w:r>
      <w:r w:rsidRPr="00EC200E">
        <w:rPr>
          <w:rFonts w:asciiTheme="minorHAnsi" w:hAnsiTheme="minorHAnsi" w:cstheme="minorHAnsi"/>
          <w:lang w:val="en-GB"/>
        </w:rPr>
        <w:t xml:space="preserve">, while a linkage with a wider </w:t>
      </w:r>
      <w:r>
        <w:rPr>
          <w:rFonts w:asciiTheme="minorHAnsi" w:hAnsiTheme="minorHAnsi" w:cstheme="minorHAnsi"/>
          <w:lang w:val="en-GB"/>
        </w:rPr>
        <w:t>success model and scaling-up strategy towards the end-vision i</w:t>
      </w:r>
      <w:r w:rsidRPr="00EC200E">
        <w:rPr>
          <w:rFonts w:asciiTheme="minorHAnsi" w:hAnsiTheme="minorHAnsi" w:cstheme="minorHAnsi"/>
          <w:lang w:val="en-GB"/>
        </w:rPr>
        <w:t xml:space="preserve">s missing. </w:t>
      </w:r>
    </w:p>
    <w:p w14:paraId="32658C40" w14:textId="03B68576" w:rsidR="000128BF" w:rsidRDefault="005E715F" w:rsidP="000128BF">
      <w:pPr>
        <w:pStyle w:val="ListParagraph"/>
        <w:numPr>
          <w:ilvl w:val="0"/>
          <w:numId w:val="4"/>
        </w:numPr>
        <w:spacing w:before="200" w:after="120"/>
        <w:ind w:left="284" w:hanging="284"/>
        <w:jc w:val="both"/>
        <w:rPr>
          <w:rFonts w:asciiTheme="minorHAnsi" w:hAnsiTheme="minorHAnsi" w:cstheme="minorHAnsi"/>
          <w:lang w:val="en-GB"/>
        </w:rPr>
      </w:pPr>
      <w:r>
        <w:rPr>
          <w:rFonts w:asciiTheme="minorHAnsi" w:hAnsiTheme="minorHAnsi" w:cstheme="minorHAnsi"/>
          <w:lang w:val="en-GB"/>
        </w:rPr>
        <w:t xml:space="preserve">Finally, </w:t>
      </w:r>
      <w:r w:rsidR="008C74EB">
        <w:rPr>
          <w:rFonts w:asciiTheme="minorHAnsi" w:hAnsiTheme="minorHAnsi" w:cstheme="minorHAnsi"/>
          <w:lang w:val="en-GB"/>
        </w:rPr>
        <w:t xml:space="preserve">UNDP regrets to find that </w:t>
      </w:r>
      <w:r w:rsidR="008C74EB" w:rsidRPr="004B3925">
        <w:rPr>
          <w:rFonts w:asciiTheme="minorHAnsi" w:hAnsiTheme="minorHAnsi" w:cstheme="minorHAnsi"/>
          <w:b/>
          <w:lang w:val="en-GB"/>
        </w:rPr>
        <w:t>the Final Evaluation does not</w:t>
      </w:r>
      <w:r w:rsidR="002606A7">
        <w:rPr>
          <w:rFonts w:asciiTheme="minorHAnsi" w:hAnsiTheme="minorHAnsi" w:cstheme="minorHAnsi"/>
          <w:b/>
          <w:lang w:val="en-GB"/>
        </w:rPr>
        <w:t xml:space="preserve"> </w:t>
      </w:r>
      <w:r w:rsidR="002606A7">
        <w:t xml:space="preserve">fully </w:t>
      </w:r>
      <w:r w:rsidR="00AD39A1">
        <w:t>synchronize</w:t>
      </w:r>
      <w:r w:rsidR="008C74EB" w:rsidRPr="004B3925">
        <w:rPr>
          <w:rFonts w:asciiTheme="minorHAnsi" w:hAnsiTheme="minorHAnsi" w:cstheme="minorHAnsi"/>
          <w:b/>
          <w:lang w:val="en-GB"/>
        </w:rPr>
        <w:t xml:space="preserve"> </w:t>
      </w:r>
      <w:r w:rsidR="002606A7">
        <w:rPr>
          <w:rFonts w:asciiTheme="minorHAnsi" w:hAnsiTheme="minorHAnsi" w:cstheme="minorHAnsi"/>
          <w:b/>
          <w:lang w:val="en-GB"/>
        </w:rPr>
        <w:t>with</w:t>
      </w:r>
      <w:r w:rsidR="008C74EB" w:rsidRPr="004B3925">
        <w:rPr>
          <w:rFonts w:asciiTheme="minorHAnsi" w:hAnsiTheme="minorHAnsi" w:cstheme="minorHAnsi"/>
          <w:b/>
          <w:lang w:val="en-GB"/>
        </w:rPr>
        <w:t xml:space="preserve"> the Project results measured through its </w:t>
      </w:r>
      <w:r w:rsidR="004B3925">
        <w:rPr>
          <w:rFonts w:asciiTheme="minorHAnsi" w:hAnsiTheme="minorHAnsi" w:cstheme="minorHAnsi"/>
          <w:b/>
          <w:lang w:val="en-GB"/>
        </w:rPr>
        <w:t>results</w:t>
      </w:r>
      <w:r w:rsidR="008C74EB" w:rsidRPr="004B3925">
        <w:rPr>
          <w:rFonts w:asciiTheme="minorHAnsi" w:hAnsiTheme="minorHAnsi" w:cstheme="minorHAnsi"/>
          <w:b/>
          <w:lang w:val="en-GB"/>
        </w:rPr>
        <w:t xml:space="preserve"> framework</w:t>
      </w:r>
      <w:r w:rsidR="008C74EB">
        <w:rPr>
          <w:rFonts w:asciiTheme="minorHAnsi" w:hAnsiTheme="minorHAnsi" w:cstheme="minorHAnsi"/>
          <w:lang w:val="en-GB"/>
        </w:rPr>
        <w:t>, capturing measurable and substantiated achievements against the main indicators and their targets (out</w:t>
      </w:r>
      <w:r w:rsidR="00E94037">
        <w:rPr>
          <w:rFonts w:asciiTheme="minorHAnsi" w:hAnsiTheme="minorHAnsi" w:cstheme="minorHAnsi"/>
          <w:lang w:val="en-GB"/>
        </w:rPr>
        <w:t>comes</w:t>
      </w:r>
      <w:r w:rsidR="008C74EB">
        <w:rPr>
          <w:rFonts w:asciiTheme="minorHAnsi" w:hAnsiTheme="minorHAnsi" w:cstheme="minorHAnsi"/>
          <w:lang w:val="en-GB"/>
        </w:rPr>
        <w:t xml:space="preserve"> and output levels).</w:t>
      </w:r>
    </w:p>
    <w:p w14:paraId="352CB592" w14:textId="02FCEF07" w:rsidR="006F01CE" w:rsidRPr="00ED3FE0" w:rsidRDefault="006F01CE" w:rsidP="00ED3FE0">
      <w:pPr>
        <w:spacing w:before="120" w:after="120"/>
        <w:jc w:val="both"/>
        <w:rPr>
          <w:rFonts w:cstheme="minorHAnsi"/>
          <w:b/>
          <w:caps/>
        </w:rPr>
      </w:pPr>
      <w:r>
        <w:rPr>
          <w:rFonts w:cstheme="minorHAnsi"/>
          <w:b/>
          <w:caps/>
        </w:rPr>
        <w:lastRenderedPageBreak/>
        <w:t>SPECIFIC COMMENTS</w:t>
      </w:r>
      <w:r w:rsidR="001B53F5" w:rsidRPr="00F576B7">
        <w:rPr>
          <w:rFonts w:cstheme="minorHAnsi"/>
          <w:b/>
          <w:caps/>
        </w:rPr>
        <w:t xml:space="preserve"> by UNDP on the Final Evaluation Recommendations</w:t>
      </w:r>
    </w:p>
    <w:tbl>
      <w:tblPr>
        <w:tblpPr w:leftFromText="180" w:rightFromText="180" w:vertAnchor="text" w:tblpY="31"/>
        <w:tblW w:w="15115" w:type="dxa"/>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5553"/>
        <w:gridCol w:w="1280"/>
        <w:gridCol w:w="104"/>
        <w:gridCol w:w="1924"/>
        <w:gridCol w:w="130"/>
        <w:gridCol w:w="4663"/>
        <w:gridCol w:w="11"/>
        <w:gridCol w:w="1450"/>
      </w:tblGrid>
      <w:tr w:rsidR="006F01CE" w:rsidRPr="00FF64F8" w14:paraId="45A7AC79" w14:textId="77777777" w:rsidTr="0065270B">
        <w:tc>
          <w:tcPr>
            <w:tcW w:w="15115" w:type="dxa"/>
            <w:gridSpan w:val="8"/>
            <w:shd w:val="clear" w:color="auto" w:fill="EAF6F3"/>
            <w:vAlign w:val="center"/>
          </w:tcPr>
          <w:p w14:paraId="485D7D96" w14:textId="0AB313B9" w:rsidR="006F01CE" w:rsidRPr="00FF64F8" w:rsidRDefault="006F01CE" w:rsidP="003D3FEB">
            <w:pPr>
              <w:spacing w:before="20" w:after="20" w:line="240" w:lineRule="auto"/>
              <w:jc w:val="both"/>
              <w:rPr>
                <w:rFonts w:cs="Calibri"/>
                <w:b/>
              </w:rPr>
            </w:pPr>
            <w:r w:rsidRPr="00FF64F8">
              <w:rPr>
                <w:rFonts w:cstheme="minorHAnsi"/>
                <w:b/>
              </w:rPr>
              <w:t xml:space="preserve">Evaluation recommendation 1. </w:t>
            </w:r>
            <w:r w:rsidR="00A050B8" w:rsidRPr="00FF64F8">
              <w:rPr>
                <w:b/>
              </w:rPr>
              <w:t xml:space="preserve"> </w:t>
            </w:r>
            <w:r w:rsidR="00A050B8" w:rsidRPr="00FF64F8">
              <w:rPr>
                <w:rFonts w:cstheme="minorHAnsi"/>
                <w:b/>
              </w:rPr>
              <w:t xml:space="preserve">An effort should be made to institutionalise the establishment and official endorsement of the new vision of </w:t>
            </w:r>
            <w:proofErr w:type="spellStart"/>
            <w:r w:rsidR="00A050B8" w:rsidRPr="00FF64F8">
              <w:rPr>
                <w:rFonts w:cstheme="minorHAnsi"/>
                <w:b/>
              </w:rPr>
              <w:t>mjesne</w:t>
            </w:r>
            <w:proofErr w:type="spellEnd"/>
            <w:r w:rsidR="00A050B8" w:rsidRPr="00FF64F8">
              <w:rPr>
                <w:rFonts w:cstheme="minorHAnsi"/>
                <w:b/>
              </w:rPr>
              <w:t xml:space="preserve"> </w:t>
            </w:r>
            <w:proofErr w:type="spellStart"/>
            <w:r w:rsidR="00A050B8" w:rsidRPr="00FF64F8">
              <w:rPr>
                <w:rFonts w:cstheme="minorHAnsi"/>
                <w:b/>
              </w:rPr>
              <w:t>zajednice</w:t>
            </w:r>
            <w:proofErr w:type="spellEnd"/>
            <w:r w:rsidR="00A050B8" w:rsidRPr="00FF64F8">
              <w:rPr>
                <w:rFonts w:cstheme="minorHAnsi"/>
                <w:b/>
              </w:rPr>
              <w:t xml:space="preserve"> in Bosnia and Herzegovina. Various platforms, such as the entity associations of municipalities and cities (AMCs), should be utilised to share </w:t>
            </w:r>
            <w:proofErr w:type="spellStart"/>
            <w:r w:rsidR="00A050B8" w:rsidRPr="00FF64F8">
              <w:rPr>
                <w:rFonts w:cstheme="minorHAnsi"/>
                <w:b/>
              </w:rPr>
              <w:t>mjesne</w:t>
            </w:r>
            <w:proofErr w:type="spellEnd"/>
            <w:r w:rsidR="00A050B8" w:rsidRPr="00FF64F8">
              <w:rPr>
                <w:rFonts w:cstheme="minorHAnsi"/>
                <w:b/>
              </w:rPr>
              <w:t xml:space="preserve"> </w:t>
            </w:r>
            <w:proofErr w:type="spellStart"/>
            <w:r w:rsidR="00A050B8" w:rsidRPr="00FF64F8">
              <w:rPr>
                <w:rFonts w:cstheme="minorHAnsi"/>
                <w:b/>
              </w:rPr>
              <w:t>zajednice</w:t>
            </w:r>
            <w:proofErr w:type="spellEnd"/>
            <w:r w:rsidR="00A050B8" w:rsidRPr="00FF64F8">
              <w:rPr>
                <w:rFonts w:cstheme="minorHAnsi"/>
                <w:b/>
              </w:rPr>
              <w:t xml:space="preserve"> methodology and examples of substantial improvement in local government (through amendment of local government and/or </w:t>
            </w:r>
            <w:proofErr w:type="spellStart"/>
            <w:r w:rsidR="00A050B8" w:rsidRPr="00FF64F8">
              <w:rPr>
                <w:rFonts w:cstheme="minorHAnsi"/>
                <w:b/>
              </w:rPr>
              <w:t>mjesne</w:t>
            </w:r>
            <w:proofErr w:type="spellEnd"/>
            <w:r w:rsidR="00A050B8" w:rsidRPr="00FF64F8">
              <w:rPr>
                <w:rFonts w:cstheme="minorHAnsi"/>
                <w:b/>
              </w:rPr>
              <w:t xml:space="preserve"> </w:t>
            </w:r>
            <w:proofErr w:type="spellStart"/>
            <w:r w:rsidR="00A050B8" w:rsidRPr="00FF64F8">
              <w:rPr>
                <w:rFonts w:cstheme="minorHAnsi"/>
                <w:b/>
              </w:rPr>
              <w:t>zajednice</w:t>
            </w:r>
            <w:proofErr w:type="spellEnd"/>
            <w:r w:rsidR="00A050B8" w:rsidRPr="00FF64F8">
              <w:rPr>
                <w:rFonts w:cstheme="minorHAnsi"/>
                <w:b/>
              </w:rPr>
              <w:t xml:space="preserve"> statutes or decisions).</w:t>
            </w:r>
          </w:p>
        </w:tc>
      </w:tr>
      <w:tr w:rsidR="006F01CE" w:rsidRPr="00FF64F8" w14:paraId="5CD7E436" w14:textId="77777777" w:rsidTr="0065270B">
        <w:tc>
          <w:tcPr>
            <w:tcW w:w="15115" w:type="dxa"/>
            <w:gridSpan w:val="8"/>
            <w:shd w:val="clear" w:color="auto" w:fill="EAF6F3"/>
            <w:vAlign w:val="center"/>
          </w:tcPr>
          <w:p w14:paraId="4C9074A6" w14:textId="38095EFC" w:rsidR="006F01CE" w:rsidRPr="00FF64F8" w:rsidRDefault="006F01CE" w:rsidP="003D3FEB">
            <w:pPr>
              <w:tabs>
                <w:tab w:val="left" w:pos="1080"/>
              </w:tabs>
              <w:spacing w:before="20" w:after="20" w:line="240" w:lineRule="auto"/>
              <w:jc w:val="both"/>
              <w:rPr>
                <w:rFonts w:cstheme="minorHAnsi"/>
              </w:rPr>
            </w:pPr>
            <w:r w:rsidRPr="00FF64F8">
              <w:rPr>
                <w:rFonts w:cstheme="minorHAnsi"/>
                <w:b/>
              </w:rPr>
              <w:t>Management response: UNDP agrees with this finding.</w:t>
            </w:r>
            <w:r w:rsidR="00A050B8" w:rsidRPr="00FF64F8">
              <w:rPr>
                <w:b/>
              </w:rPr>
              <w:t xml:space="preserve"> </w:t>
            </w:r>
            <w:r w:rsidR="00A050B8" w:rsidRPr="00FF64F8">
              <w:rPr>
                <w:rFonts w:cstheme="minorHAnsi"/>
                <w:b/>
              </w:rPr>
              <w:t xml:space="preserve">UNDP agrees that efforts should be invested to further advocate and support the process of institutionalisation of the new vision of </w:t>
            </w:r>
            <w:proofErr w:type="spellStart"/>
            <w:r w:rsidR="00A050B8" w:rsidRPr="00FF64F8">
              <w:rPr>
                <w:rFonts w:cstheme="minorHAnsi"/>
                <w:b/>
              </w:rPr>
              <w:t>mjesne</w:t>
            </w:r>
            <w:proofErr w:type="spellEnd"/>
            <w:r w:rsidR="00A050B8" w:rsidRPr="00FF64F8">
              <w:rPr>
                <w:rFonts w:cstheme="minorHAnsi"/>
                <w:b/>
              </w:rPr>
              <w:t xml:space="preserve"> </w:t>
            </w:r>
            <w:proofErr w:type="spellStart"/>
            <w:r w:rsidR="00A050B8" w:rsidRPr="00FF64F8">
              <w:rPr>
                <w:rFonts w:cstheme="minorHAnsi"/>
                <w:b/>
              </w:rPr>
              <w:t>zajednice</w:t>
            </w:r>
            <w:proofErr w:type="spellEnd"/>
            <w:r w:rsidR="00A050B8" w:rsidRPr="00FF64F8">
              <w:rPr>
                <w:rFonts w:cstheme="minorHAnsi"/>
                <w:b/>
              </w:rPr>
              <w:t>, until its full and official endorsement</w:t>
            </w:r>
          </w:p>
        </w:tc>
      </w:tr>
      <w:tr w:rsidR="00E809BA" w:rsidRPr="00FF64F8" w14:paraId="22DBD48E" w14:textId="77777777" w:rsidTr="00A12525">
        <w:trPr>
          <w:trHeight w:val="135"/>
        </w:trPr>
        <w:tc>
          <w:tcPr>
            <w:tcW w:w="5553" w:type="dxa"/>
            <w:vMerge w:val="restart"/>
            <w:shd w:val="clear" w:color="auto" w:fill="EAF6F3"/>
            <w:vAlign w:val="center"/>
          </w:tcPr>
          <w:p w14:paraId="615AD8A3" w14:textId="77777777" w:rsidR="006F01CE" w:rsidRPr="00FF64F8" w:rsidRDefault="006F01CE" w:rsidP="003D3FEB">
            <w:pPr>
              <w:tabs>
                <w:tab w:val="left" w:pos="1080"/>
              </w:tabs>
              <w:spacing w:before="20" w:after="20" w:line="240" w:lineRule="auto"/>
              <w:rPr>
                <w:rFonts w:cstheme="minorHAnsi"/>
                <w:b/>
              </w:rPr>
            </w:pPr>
            <w:r w:rsidRPr="00FF64F8">
              <w:rPr>
                <w:rFonts w:cstheme="minorHAnsi"/>
                <w:b/>
              </w:rPr>
              <w:t>Key action(s)</w:t>
            </w:r>
          </w:p>
        </w:tc>
        <w:tc>
          <w:tcPr>
            <w:tcW w:w="1280" w:type="dxa"/>
            <w:vMerge w:val="restart"/>
            <w:shd w:val="clear" w:color="auto" w:fill="EAF6F3"/>
            <w:vAlign w:val="center"/>
          </w:tcPr>
          <w:p w14:paraId="7535CA11" w14:textId="77777777" w:rsidR="006F01CE" w:rsidRPr="00FF64F8" w:rsidRDefault="006F01CE" w:rsidP="003D3FEB">
            <w:pPr>
              <w:tabs>
                <w:tab w:val="left" w:pos="1080"/>
              </w:tabs>
              <w:spacing w:before="20" w:after="20" w:line="240" w:lineRule="auto"/>
              <w:rPr>
                <w:rFonts w:cstheme="minorHAnsi"/>
                <w:b/>
              </w:rPr>
            </w:pPr>
            <w:r w:rsidRPr="00FF64F8">
              <w:rPr>
                <w:rFonts w:cstheme="minorHAnsi"/>
                <w:b/>
              </w:rPr>
              <w:t>Completion date</w:t>
            </w:r>
          </w:p>
        </w:tc>
        <w:tc>
          <w:tcPr>
            <w:tcW w:w="2158" w:type="dxa"/>
            <w:gridSpan w:val="3"/>
            <w:vMerge w:val="restart"/>
            <w:shd w:val="clear" w:color="auto" w:fill="EAF6F3"/>
            <w:vAlign w:val="center"/>
          </w:tcPr>
          <w:p w14:paraId="2B95DAC0" w14:textId="77777777" w:rsidR="006F01CE" w:rsidRPr="00FF64F8" w:rsidRDefault="006F01CE" w:rsidP="003D3FEB">
            <w:pPr>
              <w:tabs>
                <w:tab w:val="left" w:pos="1080"/>
              </w:tabs>
              <w:spacing w:before="20" w:after="20" w:line="240" w:lineRule="auto"/>
              <w:rPr>
                <w:rFonts w:cstheme="minorHAnsi"/>
                <w:b/>
              </w:rPr>
            </w:pPr>
            <w:r w:rsidRPr="00FF64F8">
              <w:rPr>
                <w:rFonts w:cstheme="minorHAnsi"/>
                <w:b/>
              </w:rPr>
              <w:t>Responsible unit(s)</w:t>
            </w:r>
          </w:p>
        </w:tc>
        <w:tc>
          <w:tcPr>
            <w:tcW w:w="6124" w:type="dxa"/>
            <w:gridSpan w:val="3"/>
            <w:shd w:val="clear" w:color="auto" w:fill="EAF6F3"/>
            <w:vAlign w:val="center"/>
          </w:tcPr>
          <w:p w14:paraId="2EF5B2DF" w14:textId="30063E2F" w:rsidR="006F01CE" w:rsidRPr="00FF64F8" w:rsidRDefault="006F01CE" w:rsidP="003D3FEB">
            <w:pPr>
              <w:tabs>
                <w:tab w:val="left" w:pos="1080"/>
              </w:tabs>
              <w:spacing w:before="20" w:after="20" w:line="240" w:lineRule="auto"/>
              <w:jc w:val="both"/>
              <w:rPr>
                <w:rFonts w:cstheme="minorHAnsi"/>
                <w:b/>
              </w:rPr>
            </w:pPr>
          </w:p>
        </w:tc>
      </w:tr>
      <w:tr w:rsidR="00E809BA" w:rsidRPr="00FF64F8" w14:paraId="0131F349" w14:textId="77777777" w:rsidTr="00A12525">
        <w:trPr>
          <w:trHeight w:val="878"/>
        </w:trPr>
        <w:tc>
          <w:tcPr>
            <w:tcW w:w="5553" w:type="dxa"/>
            <w:vMerge/>
            <w:shd w:val="clear" w:color="auto" w:fill="F3F3F3"/>
            <w:vAlign w:val="center"/>
          </w:tcPr>
          <w:p w14:paraId="66760042" w14:textId="77777777" w:rsidR="006F01CE" w:rsidRPr="00FF64F8" w:rsidRDefault="006F01CE" w:rsidP="003D3FEB">
            <w:pPr>
              <w:tabs>
                <w:tab w:val="left" w:pos="1080"/>
              </w:tabs>
              <w:spacing w:before="20" w:after="20" w:line="240" w:lineRule="auto"/>
              <w:jc w:val="both"/>
              <w:rPr>
                <w:rFonts w:cstheme="minorHAnsi"/>
              </w:rPr>
            </w:pPr>
          </w:p>
        </w:tc>
        <w:tc>
          <w:tcPr>
            <w:tcW w:w="1280" w:type="dxa"/>
            <w:vMerge/>
            <w:shd w:val="clear" w:color="auto" w:fill="F3F3F3"/>
            <w:vAlign w:val="center"/>
          </w:tcPr>
          <w:p w14:paraId="57F4D86A" w14:textId="77777777" w:rsidR="006F01CE" w:rsidRPr="00FF64F8" w:rsidRDefault="006F01CE" w:rsidP="003D3FEB">
            <w:pPr>
              <w:tabs>
                <w:tab w:val="left" w:pos="1080"/>
              </w:tabs>
              <w:spacing w:before="20" w:after="20" w:line="240" w:lineRule="auto"/>
              <w:jc w:val="both"/>
              <w:rPr>
                <w:rFonts w:cstheme="minorHAnsi"/>
                <w:b/>
              </w:rPr>
            </w:pPr>
          </w:p>
        </w:tc>
        <w:tc>
          <w:tcPr>
            <w:tcW w:w="2158" w:type="dxa"/>
            <w:gridSpan w:val="3"/>
            <w:vMerge/>
            <w:shd w:val="clear" w:color="auto" w:fill="F3F3F3"/>
            <w:vAlign w:val="center"/>
          </w:tcPr>
          <w:p w14:paraId="671F3EAF" w14:textId="77777777" w:rsidR="006F01CE" w:rsidRPr="00FF64F8" w:rsidRDefault="006F01CE" w:rsidP="003D3FEB">
            <w:pPr>
              <w:tabs>
                <w:tab w:val="left" w:pos="1080"/>
              </w:tabs>
              <w:spacing w:before="20" w:after="20" w:line="240" w:lineRule="auto"/>
              <w:jc w:val="both"/>
              <w:rPr>
                <w:rFonts w:cstheme="minorHAnsi"/>
                <w:b/>
              </w:rPr>
            </w:pPr>
          </w:p>
        </w:tc>
        <w:tc>
          <w:tcPr>
            <w:tcW w:w="4674" w:type="dxa"/>
            <w:gridSpan w:val="2"/>
            <w:vAlign w:val="center"/>
          </w:tcPr>
          <w:p w14:paraId="34B4BA28" w14:textId="77777777" w:rsidR="006F01CE" w:rsidRPr="00FF64F8" w:rsidRDefault="006F01CE" w:rsidP="003D3FEB">
            <w:pPr>
              <w:tabs>
                <w:tab w:val="left" w:pos="1080"/>
              </w:tabs>
              <w:spacing w:before="20" w:after="20" w:line="240" w:lineRule="auto"/>
              <w:jc w:val="both"/>
              <w:rPr>
                <w:rFonts w:cstheme="minorHAnsi"/>
                <w:b/>
              </w:rPr>
            </w:pPr>
            <w:r w:rsidRPr="00FF64F8">
              <w:rPr>
                <w:rFonts w:cstheme="minorHAnsi"/>
                <w:b/>
              </w:rPr>
              <w:t>Comments</w:t>
            </w:r>
          </w:p>
        </w:tc>
        <w:tc>
          <w:tcPr>
            <w:tcW w:w="1450" w:type="dxa"/>
            <w:vAlign w:val="center"/>
          </w:tcPr>
          <w:p w14:paraId="145670AB" w14:textId="77777777" w:rsidR="006F01CE" w:rsidRPr="00FF64F8" w:rsidRDefault="006F01CE" w:rsidP="003D3FEB">
            <w:pPr>
              <w:tabs>
                <w:tab w:val="left" w:pos="1080"/>
              </w:tabs>
              <w:spacing w:before="20" w:after="20" w:line="240" w:lineRule="auto"/>
              <w:jc w:val="both"/>
              <w:rPr>
                <w:rFonts w:eastAsiaTheme="majorEastAsia" w:cstheme="minorHAnsi"/>
                <w:b/>
              </w:rPr>
            </w:pPr>
            <w:r w:rsidRPr="00FF64F8">
              <w:rPr>
                <w:rFonts w:cstheme="minorHAnsi"/>
                <w:b/>
              </w:rPr>
              <w:t>Status</w:t>
            </w:r>
          </w:p>
          <w:p w14:paraId="532D0552" w14:textId="77777777" w:rsidR="006F01CE" w:rsidRPr="00FF64F8" w:rsidRDefault="006F01CE" w:rsidP="003D3FEB">
            <w:pPr>
              <w:tabs>
                <w:tab w:val="left" w:pos="1080"/>
              </w:tabs>
              <w:spacing w:before="20" w:after="20" w:line="240" w:lineRule="auto"/>
              <w:jc w:val="both"/>
              <w:rPr>
                <w:rFonts w:cstheme="minorHAnsi"/>
                <w:b/>
              </w:rPr>
            </w:pPr>
            <w:r w:rsidRPr="00FF64F8">
              <w:rPr>
                <w:rFonts w:cstheme="minorHAnsi"/>
                <w:b/>
              </w:rPr>
              <w:t>(initiated, completed or no due date)</w:t>
            </w:r>
          </w:p>
        </w:tc>
      </w:tr>
      <w:tr w:rsidR="00E809BA" w:rsidRPr="00FF64F8" w14:paraId="1BDAC89F" w14:textId="77777777" w:rsidTr="00A12525">
        <w:tc>
          <w:tcPr>
            <w:tcW w:w="5553" w:type="dxa"/>
            <w:vAlign w:val="center"/>
          </w:tcPr>
          <w:p w14:paraId="744ED87C" w14:textId="39278DE0" w:rsidR="006F01CE" w:rsidRPr="00FF64F8" w:rsidRDefault="00947049" w:rsidP="00947049">
            <w:pPr>
              <w:tabs>
                <w:tab w:val="left" w:pos="1080"/>
              </w:tabs>
              <w:spacing w:before="20" w:after="20"/>
              <w:rPr>
                <w:rFonts w:cstheme="minorHAnsi"/>
              </w:rPr>
            </w:pPr>
            <w:r w:rsidRPr="00FF64F8">
              <w:rPr>
                <w:rFonts w:cstheme="minorHAnsi"/>
              </w:rPr>
              <w:t xml:space="preserve">1.a </w:t>
            </w:r>
            <w:r w:rsidR="00A050B8" w:rsidRPr="00FF64F8">
              <w:rPr>
                <w:rFonts w:cstheme="minorHAnsi"/>
              </w:rPr>
              <w:t>UNDP concurs that a continued cooperation with all reputable strategic institutions, including Association of Municipalities and Cities (AMC), should take place to further diffuse products and tools developed by the Project (such as MZ methodology) with the aim to modernize MZs and improve their efficiency. The focus may be targeted towards popularizing new Vision of MZ and its benefits, as well as making adequate structural arrangements to support the transformation.</w:t>
            </w:r>
          </w:p>
        </w:tc>
        <w:tc>
          <w:tcPr>
            <w:tcW w:w="1280" w:type="dxa"/>
            <w:vAlign w:val="center"/>
          </w:tcPr>
          <w:p w14:paraId="0FD40A42" w14:textId="731AA517" w:rsidR="006F01CE" w:rsidRPr="00FF64F8" w:rsidRDefault="00AD39A1" w:rsidP="003D3FEB">
            <w:pPr>
              <w:tabs>
                <w:tab w:val="left" w:pos="1080"/>
              </w:tabs>
              <w:spacing w:before="20" w:after="20" w:line="240" w:lineRule="auto"/>
              <w:jc w:val="both"/>
              <w:rPr>
                <w:rFonts w:cstheme="minorHAnsi"/>
              </w:rPr>
            </w:pPr>
            <w:r w:rsidRPr="00FF64F8">
              <w:rPr>
                <w:rFonts w:cstheme="minorHAnsi"/>
              </w:rPr>
              <w:t>9</w:t>
            </w:r>
            <w:r w:rsidR="00557F61" w:rsidRPr="00FF64F8">
              <w:rPr>
                <w:rFonts w:cstheme="minorHAnsi"/>
              </w:rPr>
              <w:t>/2020</w:t>
            </w:r>
          </w:p>
        </w:tc>
        <w:tc>
          <w:tcPr>
            <w:tcW w:w="2158" w:type="dxa"/>
            <w:gridSpan w:val="3"/>
            <w:vAlign w:val="center"/>
          </w:tcPr>
          <w:p w14:paraId="549A32B5" w14:textId="36CC3EF4" w:rsidR="006F01CE" w:rsidRPr="00FF64F8" w:rsidRDefault="00B719A8" w:rsidP="003D3FEB">
            <w:pPr>
              <w:tabs>
                <w:tab w:val="left" w:pos="1080"/>
              </w:tabs>
              <w:spacing w:before="20" w:after="20" w:line="240" w:lineRule="auto"/>
              <w:jc w:val="both"/>
              <w:rPr>
                <w:rFonts w:cstheme="minorHAnsi"/>
              </w:rPr>
            </w:pPr>
            <w:r w:rsidRPr="00FF64F8">
              <w:rPr>
                <w:rFonts w:cstheme="minorHAnsi"/>
              </w:rPr>
              <w:t xml:space="preserve">UNDP, </w:t>
            </w:r>
            <w:r w:rsidR="00E94037" w:rsidRPr="00FF64F8">
              <w:rPr>
                <w:rFonts w:cstheme="minorHAnsi"/>
              </w:rPr>
              <w:t>MZ Pro</w:t>
            </w:r>
            <w:r w:rsidR="00CB6DA3" w:rsidRPr="00FF64F8">
              <w:rPr>
                <w:rFonts w:cstheme="minorHAnsi"/>
              </w:rPr>
              <w:t>ject</w:t>
            </w:r>
          </w:p>
        </w:tc>
        <w:tc>
          <w:tcPr>
            <w:tcW w:w="4674" w:type="dxa"/>
            <w:gridSpan w:val="2"/>
            <w:vAlign w:val="center"/>
          </w:tcPr>
          <w:p w14:paraId="3A983474" w14:textId="28CA3529" w:rsidR="006F01CE" w:rsidRPr="00FF64F8" w:rsidRDefault="006F01CE" w:rsidP="003D3FEB">
            <w:pPr>
              <w:tabs>
                <w:tab w:val="left" w:pos="1080"/>
              </w:tabs>
              <w:spacing w:before="20" w:after="20" w:line="240" w:lineRule="auto"/>
              <w:jc w:val="both"/>
              <w:rPr>
                <w:rFonts w:cstheme="minorHAnsi"/>
              </w:rPr>
            </w:pPr>
          </w:p>
        </w:tc>
        <w:tc>
          <w:tcPr>
            <w:tcW w:w="1450" w:type="dxa"/>
            <w:vAlign w:val="center"/>
          </w:tcPr>
          <w:p w14:paraId="7C2112CA" w14:textId="3EABF22C" w:rsidR="006F01CE" w:rsidRPr="00FF64F8" w:rsidRDefault="008564D4" w:rsidP="003D3FEB">
            <w:pPr>
              <w:tabs>
                <w:tab w:val="left" w:pos="1080"/>
              </w:tabs>
              <w:spacing w:before="20" w:after="20" w:line="240" w:lineRule="auto"/>
              <w:jc w:val="both"/>
              <w:rPr>
                <w:rFonts w:cstheme="minorHAnsi"/>
              </w:rPr>
            </w:pPr>
            <w:r w:rsidRPr="00FF64F8">
              <w:rPr>
                <w:rFonts w:cstheme="minorHAnsi"/>
              </w:rPr>
              <w:t>Initiated</w:t>
            </w:r>
          </w:p>
        </w:tc>
      </w:tr>
      <w:tr w:rsidR="0065270B" w:rsidRPr="00FF64F8" w14:paraId="3E88014D" w14:textId="77777777" w:rsidTr="004C4899">
        <w:tc>
          <w:tcPr>
            <w:tcW w:w="15115" w:type="dxa"/>
            <w:gridSpan w:val="8"/>
            <w:vAlign w:val="center"/>
          </w:tcPr>
          <w:p w14:paraId="068BDC1D" w14:textId="424774E0" w:rsidR="0065270B" w:rsidRPr="00FF64F8" w:rsidRDefault="00A41B7D" w:rsidP="004916B7">
            <w:pPr>
              <w:spacing w:before="20" w:after="20" w:line="240" w:lineRule="auto"/>
              <w:jc w:val="both"/>
              <w:rPr>
                <w:rFonts w:cstheme="minorHAnsi"/>
              </w:rPr>
            </w:pPr>
            <w:r w:rsidRPr="00FF64F8">
              <w:rPr>
                <w:rFonts w:cstheme="minorHAnsi"/>
                <w:b/>
              </w:rPr>
              <w:t>Evaluation recommendation 2.</w:t>
            </w:r>
            <w:r w:rsidR="00A050B8" w:rsidRPr="00FF64F8">
              <w:rPr>
                <w:rFonts w:cstheme="minorHAnsi"/>
                <w:b/>
              </w:rPr>
              <w:t xml:space="preserve"> Implement a structured advocacy campaign aimed at the endorsement of systemic legislative change that will build on the work done and the lessons learned during Phase 1 of the Project. Various innovative approaches should be applied including a) familiarising the presidents of the AMCs and their respective members in </w:t>
            </w:r>
            <w:proofErr w:type="spellStart"/>
            <w:r w:rsidR="00A050B8" w:rsidRPr="00FF64F8">
              <w:rPr>
                <w:rFonts w:cstheme="minorHAnsi"/>
                <w:b/>
              </w:rPr>
              <w:t>Republika</w:t>
            </w:r>
            <w:proofErr w:type="spellEnd"/>
            <w:r w:rsidR="00A050B8" w:rsidRPr="00FF64F8">
              <w:rPr>
                <w:rFonts w:cstheme="minorHAnsi"/>
                <w:b/>
              </w:rPr>
              <w:t xml:space="preserve"> Srpska and the Federation of Bosnia and Herzegovina with the introduced changes and using the AMCs platform to raise public awareness, b) organising workshops for </w:t>
            </w:r>
            <w:proofErr w:type="spellStart"/>
            <w:r w:rsidR="00A050B8" w:rsidRPr="00FF64F8">
              <w:rPr>
                <w:rFonts w:cstheme="minorHAnsi"/>
                <w:b/>
              </w:rPr>
              <w:t>mjesne</w:t>
            </w:r>
            <w:proofErr w:type="spellEnd"/>
            <w:r w:rsidR="00A050B8" w:rsidRPr="00FF64F8">
              <w:rPr>
                <w:rFonts w:cstheme="minorHAnsi"/>
                <w:b/>
              </w:rPr>
              <w:t xml:space="preserve"> </w:t>
            </w:r>
            <w:proofErr w:type="spellStart"/>
            <w:r w:rsidR="00A050B8" w:rsidRPr="00FF64F8">
              <w:rPr>
                <w:rFonts w:cstheme="minorHAnsi"/>
                <w:b/>
              </w:rPr>
              <w:t>zajednice</w:t>
            </w:r>
            <w:proofErr w:type="spellEnd"/>
            <w:r w:rsidR="00A050B8" w:rsidRPr="00FF64F8">
              <w:rPr>
                <w:rFonts w:cstheme="minorHAnsi"/>
                <w:b/>
              </w:rPr>
              <w:t xml:space="preserve"> to discuss the various legal implications of the legislative changes and c) establishing partnerships with the media in order to increase public awareness regarding the recommendations and the need for systemic legislative change</w:t>
            </w:r>
            <w:r w:rsidR="00B719A8" w:rsidRPr="00FF64F8">
              <w:rPr>
                <w:rFonts w:cstheme="minorHAnsi"/>
                <w:b/>
              </w:rPr>
              <w:t>.</w:t>
            </w:r>
          </w:p>
        </w:tc>
      </w:tr>
      <w:tr w:rsidR="0065270B" w:rsidRPr="00FF64F8" w14:paraId="06DDCF65" w14:textId="77777777" w:rsidTr="009D076B">
        <w:tc>
          <w:tcPr>
            <w:tcW w:w="15115" w:type="dxa"/>
            <w:gridSpan w:val="8"/>
            <w:vAlign w:val="center"/>
          </w:tcPr>
          <w:p w14:paraId="7A6EC739" w14:textId="36343152" w:rsidR="0065270B" w:rsidRPr="00FF64F8" w:rsidRDefault="00A41B7D" w:rsidP="003D3FEB">
            <w:pPr>
              <w:tabs>
                <w:tab w:val="left" w:pos="1080"/>
              </w:tabs>
              <w:spacing w:before="20" w:after="20" w:line="240" w:lineRule="auto"/>
              <w:jc w:val="both"/>
              <w:rPr>
                <w:rFonts w:cstheme="minorHAnsi"/>
              </w:rPr>
            </w:pPr>
            <w:r w:rsidRPr="00FF64F8">
              <w:rPr>
                <w:rFonts w:cstheme="minorHAnsi"/>
                <w:b/>
              </w:rPr>
              <w:t xml:space="preserve">Management response: UNDP agrees with this </w:t>
            </w:r>
            <w:r w:rsidR="00F561F4" w:rsidRPr="00FF64F8">
              <w:rPr>
                <w:rFonts w:cstheme="minorHAnsi"/>
                <w:b/>
              </w:rPr>
              <w:t>recommendation</w:t>
            </w:r>
            <w:r w:rsidRPr="00FF64F8">
              <w:rPr>
                <w:rFonts w:cstheme="minorHAnsi"/>
                <w:b/>
              </w:rPr>
              <w:t>.</w:t>
            </w:r>
            <w:r w:rsidR="00A050B8" w:rsidRPr="00FF64F8">
              <w:rPr>
                <w:rFonts w:cstheme="minorHAnsi"/>
                <w:b/>
              </w:rPr>
              <w:t xml:space="preserve"> </w:t>
            </w:r>
            <w:r w:rsidR="00A050B8" w:rsidRPr="00FF64F8">
              <w:t xml:space="preserve"> </w:t>
            </w:r>
          </w:p>
        </w:tc>
      </w:tr>
      <w:tr w:rsidR="00E809BA" w:rsidRPr="00FF64F8" w14:paraId="0F49EE91" w14:textId="77777777" w:rsidTr="00A12525">
        <w:tc>
          <w:tcPr>
            <w:tcW w:w="5553" w:type="dxa"/>
            <w:vAlign w:val="center"/>
          </w:tcPr>
          <w:p w14:paraId="066A0892" w14:textId="63A80B76" w:rsidR="0065270B" w:rsidRPr="00FF64F8" w:rsidRDefault="00947049" w:rsidP="003D3FEB">
            <w:pPr>
              <w:tabs>
                <w:tab w:val="left" w:pos="1080"/>
              </w:tabs>
              <w:spacing w:before="20" w:after="20" w:line="240" w:lineRule="auto"/>
              <w:jc w:val="both"/>
              <w:rPr>
                <w:rFonts w:cstheme="minorHAnsi"/>
              </w:rPr>
            </w:pPr>
            <w:r w:rsidRPr="00FF64F8">
              <w:rPr>
                <w:rFonts w:cstheme="minorHAnsi"/>
              </w:rPr>
              <w:t>2.</w:t>
            </w:r>
            <w:proofErr w:type="spellStart"/>
            <w:r w:rsidRPr="00FF64F8">
              <w:rPr>
                <w:rFonts w:cstheme="minorHAnsi"/>
              </w:rPr>
              <w:t>a</w:t>
            </w:r>
            <w:proofErr w:type="spellEnd"/>
            <w:r w:rsidRPr="00FF64F8">
              <w:rPr>
                <w:rFonts w:cstheme="minorHAnsi"/>
              </w:rPr>
              <w:t xml:space="preserve"> </w:t>
            </w:r>
            <w:r w:rsidR="003C7279" w:rsidRPr="00FF64F8">
              <w:rPr>
                <w:rFonts w:cstheme="minorHAnsi"/>
              </w:rPr>
              <w:t>Innovative advocacy campaign that takes on board all relevant stakeholders with the aim to back and promote should be put in place</w:t>
            </w:r>
            <w:r w:rsidR="00B719A8" w:rsidRPr="00FF64F8">
              <w:rPr>
                <w:rFonts w:cstheme="minorHAnsi"/>
              </w:rPr>
              <w:t xml:space="preserve">. </w:t>
            </w:r>
          </w:p>
        </w:tc>
        <w:tc>
          <w:tcPr>
            <w:tcW w:w="1280" w:type="dxa"/>
            <w:vAlign w:val="center"/>
          </w:tcPr>
          <w:p w14:paraId="305DD010" w14:textId="77777777" w:rsidR="0065270B" w:rsidRPr="00FF64F8" w:rsidRDefault="0065270B" w:rsidP="003D3FEB">
            <w:pPr>
              <w:tabs>
                <w:tab w:val="left" w:pos="1080"/>
              </w:tabs>
              <w:spacing w:before="20" w:after="20" w:line="240" w:lineRule="auto"/>
              <w:jc w:val="both"/>
              <w:rPr>
                <w:rFonts w:cstheme="minorHAnsi"/>
              </w:rPr>
            </w:pPr>
          </w:p>
          <w:p w14:paraId="2CD78954" w14:textId="65F3B8E6" w:rsidR="00A050B8" w:rsidRPr="00FF64F8" w:rsidRDefault="00AD39A1" w:rsidP="003D3FEB">
            <w:pPr>
              <w:tabs>
                <w:tab w:val="left" w:pos="1080"/>
              </w:tabs>
              <w:spacing w:before="20" w:after="20" w:line="240" w:lineRule="auto"/>
              <w:jc w:val="both"/>
              <w:rPr>
                <w:rFonts w:cstheme="minorHAnsi"/>
              </w:rPr>
            </w:pPr>
            <w:r w:rsidRPr="00FF64F8">
              <w:rPr>
                <w:rFonts w:cstheme="minorHAnsi"/>
              </w:rPr>
              <w:t>9</w:t>
            </w:r>
            <w:r w:rsidR="004916B7" w:rsidRPr="00FF64F8">
              <w:rPr>
                <w:rFonts w:cstheme="minorHAnsi"/>
              </w:rPr>
              <w:t>/2020</w:t>
            </w:r>
          </w:p>
        </w:tc>
        <w:tc>
          <w:tcPr>
            <w:tcW w:w="2158" w:type="dxa"/>
            <w:gridSpan w:val="3"/>
            <w:vAlign w:val="center"/>
          </w:tcPr>
          <w:p w14:paraId="63BC2F82" w14:textId="12D2F681" w:rsidR="0065270B" w:rsidRPr="00FF64F8" w:rsidRDefault="00B719A8" w:rsidP="003D3FEB">
            <w:pPr>
              <w:tabs>
                <w:tab w:val="left" w:pos="1080"/>
              </w:tabs>
              <w:spacing w:before="20" w:after="20" w:line="240" w:lineRule="auto"/>
              <w:jc w:val="both"/>
              <w:rPr>
                <w:rFonts w:cstheme="minorHAnsi"/>
              </w:rPr>
            </w:pPr>
            <w:r w:rsidRPr="00FF64F8">
              <w:rPr>
                <w:rFonts w:cstheme="minorHAnsi"/>
              </w:rPr>
              <w:t xml:space="preserve">UNDP, </w:t>
            </w:r>
            <w:r w:rsidR="008564D4" w:rsidRPr="00FF64F8">
              <w:rPr>
                <w:rFonts w:cstheme="minorHAnsi"/>
              </w:rPr>
              <w:t>MZ Project</w:t>
            </w:r>
          </w:p>
        </w:tc>
        <w:tc>
          <w:tcPr>
            <w:tcW w:w="4674" w:type="dxa"/>
            <w:gridSpan w:val="2"/>
            <w:vAlign w:val="center"/>
          </w:tcPr>
          <w:p w14:paraId="45777FD1" w14:textId="5734434D" w:rsidR="0065270B" w:rsidRPr="00FF64F8" w:rsidRDefault="003C7279" w:rsidP="003D3FEB">
            <w:pPr>
              <w:tabs>
                <w:tab w:val="left" w:pos="1080"/>
              </w:tabs>
              <w:spacing w:before="20" w:after="20" w:line="240" w:lineRule="auto"/>
              <w:jc w:val="both"/>
              <w:rPr>
                <w:rFonts w:cstheme="minorHAnsi"/>
              </w:rPr>
            </w:pPr>
            <w:r w:rsidRPr="00FF64F8">
              <w:rPr>
                <w:rFonts w:cstheme="minorHAnsi"/>
              </w:rPr>
              <w:t>To this end, the Project has already developed an advocacy plan that lays out the specific roles for AMC in connection to this issue- with both immediate and far-reaching roles and targets.</w:t>
            </w:r>
          </w:p>
        </w:tc>
        <w:tc>
          <w:tcPr>
            <w:tcW w:w="1450" w:type="dxa"/>
            <w:vAlign w:val="center"/>
          </w:tcPr>
          <w:p w14:paraId="146F5CDB" w14:textId="5183712E" w:rsidR="0065270B" w:rsidRPr="00FF64F8" w:rsidRDefault="008564D4" w:rsidP="003D3FEB">
            <w:pPr>
              <w:tabs>
                <w:tab w:val="left" w:pos="1080"/>
              </w:tabs>
              <w:spacing w:before="20" w:after="20" w:line="240" w:lineRule="auto"/>
              <w:jc w:val="both"/>
              <w:rPr>
                <w:rFonts w:cstheme="minorHAnsi"/>
                <w:color w:val="185262"/>
              </w:rPr>
            </w:pPr>
            <w:r w:rsidRPr="00FF64F8">
              <w:rPr>
                <w:rFonts w:cstheme="minorHAnsi"/>
              </w:rPr>
              <w:t>Initiated</w:t>
            </w:r>
          </w:p>
        </w:tc>
      </w:tr>
      <w:tr w:rsidR="00367E99" w:rsidRPr="00FF64F8" w14:paraId="45E31D1A" w14:textId="77777777" w:rsidTr="00A40693">
        <w:tc>
          <w:tcPr>
            <w:tcW w:w="15115" w:type="dxa"/>
            <w:gridSpan w:val="8"/>
            <w:vAlign w:val="center"/>
          </w:tcPr>
          <w:p w14:paraId="19C2166D" w14:textId="1111003F" w:rsidR="00367E99" w:rsidRPr="00FF64F8" w:rsidRDefault="00367E99" w:rsidP="003D3FEB">
            <w:pPr>
              <w:tabs>
                <w:tab w:val="left" w:pos="1080"/>
              </w:tabs>
              <w:spacing w:before="20" w:after="20" w:line="240" w:lineRule="auto"/>
              <w:jc w:val="both"/>
              <w:rPr>
                <w:rFonts w:cstheme="minorHAnsi"/>
              </w:rPr>
            </w:pPr>
            <w:r w:rsidRPr="00FF64F8">
              <w:rPr>
                <w:rFonts w:cstheme="minorHAnsi"/>
                <w:b/>
              </w:rPr>
              <w:lastRenderedPageBreak/>
              <w:t>Evaluation recommendation 3.</w:t>
            </w:r>
            <w:r w:rsidR="00A050B8" w:rsidRPr="00FF64F8">
              <w:rPr>
                <w:rFonts w:cstheme="minorHAnsi"/>
                <w:b/>
              </w:rPr>
              <w:t xml:space="preserve"> </w:t>
            </w:r>
            <w:r w:rsidR="00A050B8" w:rsidRPr="00FF64F8">
              <w:t xml:space="preserve"> </w:t>
            </w:r>
            <w:r w:rsidR="00A050B8" w:rsidRPr="00FF64F8">
              <w:rPr>
                <w:rFonts w:cstheme="minorHAnsi"/>
              </w:rPr>
              <w:t>I</w:t>
            </w:r>
            <w:r w:rsidR="00A050B8" w:rsidRPr="00FF64F8">
              <w:rPr>
                <w:rFonts w:cstheme="minorHAnsi"/>
                <w:b/>
              </w:rPr>
              <w:t xml:space="preserve">mprove financial mechanisms of legislative and planning processes located at local governments and </w:t>
            </w:r>
            <w:proofErr w:type="spellStart"/>
            <w:r w:rsidR="00A050B8" w:rsidRPr="00FF64F8">
              <w:rPr>
                <w:rFonts w:cstheme="minorHAnsi"/>
                <w:b/>
              </w:rPr>
              <w:t>mjesne</w:t>
            </w:r>
            <w:proofErr w:type="spellEnd"/>
            <w:r w:rsidR="00A050B8" w:rsidRPr="00FF64F8">
              <w:rPr>
                <w:rFonts w:cstheme="minorHAnsi"/>
                <w:b/>
              </w:rPr>
              <w:t xml:space="preserve"> </w:t>
            </w:r>
            <w:proofErr w:type="spellStart"/>
            <w:r w:rsidR="00A050B8" w:rsidRPr="00FF64F8">
              <w:rPr>
                <w:rFonts w:cstheme="minorHAnsi"/>
                <w:b/>
              </w:rPr>
              <w:t>zajednice</w:t>
            </w:r>
            <w:proofErr w:type="spellEnd"/>
            <w:r w:rsidR="00A050B8" w:rsidRPr="00FF64F8">
              <w:rPr>
                <w:rFonts w:cstheme="minorHAnsi"/>
                <w:b/>
              </w:rPr>
              <w:t xml:space="preserve"> to support citizens’ initiatives.</w:t>
            </w:r>
          </w:p>
        </w:tc>
      </w:tr>
      <w:tr w:rsidR="00367E99" w:rsidRPr="00FF64F8" w14:paraId="1F71D684" w14:textId="77777777" w:rsidTr="00021C0E">
        <w:tc>
          <w:tcPr>
            <w:tcW w:w="15115" w:type="dxa"/>
            <w:gridSpan w:val="8"/>
            <w:vAlign w:val="center"/>
          </w:tcPr>
          <w:p w14:paraId="11164C17" w14:textId="646D4EB3" w:rsidR="00367E99" w:rsidRPr="00FF64F8" w:rsidRDefault="00367E99" w:rsidP="003D3FEB">
            <w:pPr>
              <w:tabs>
                <w:tab w:val="left" w:pos="1080"/>
              </w:tabs>
              <w:spacing w:before="20" w:after="20" w:line="240" w:lineRule="auto"/>
              <w:jc w:val="both"/>
              <w:rPr>
                <w:rFonts w:cstheme="minorHAnsi"/>
              </w:rPr>
            </w:pPr>
            <w:r w:rsidRPr="00FF64F8">
              <w:rPr>
                <w:rFonts w:cstheme="minorHAnsi"/>
                <w:b/>
              </w:rPr>
              <w:t xml:space="preserve">Management response: </w:t>
            </w:r>
            <w:r w:rsidR="00A050B8" w:rsidRPr="00FF64F8">
              <w:rPr>
                <w:rFonts w:cstheme="minorHAnsi"/>
              </w:rPr>
              <w:t>In principle, UNDP agrees with the rationale behind the proposed intervention as a long-term strategic objective. However, systemic and structural interventions are needed to support citizens’ initiatives.</w:t>
            </w:r>
          </w:p>
        </w:tc>
      </w:tr>
      <w:tr w:rsidR="00E809BA" w:rsidRPr="00FF64F8" w14:paraId="50C080E1" w14:textId="77777777" w:rsidTr="00A12525">
        <w:tc>
          <w:tcPr>
            <w:tcW w:w="5553" w:type="dxa"/>
            <w:vAlign w:val="center"/>
          </w:tcPr>
          <w:p w14:paraId="6D3F365B" w14:textId="29E2B920" w:rsidR="0065270B" w:rsidRPr="00FF64F8" w:rsidRDefault="00947049" w:rsidP="00A050B8">
            <w:pPr>
              <w:spacing w:line="276" w:lineRule="auto"/>
              <w:jc w:val="both"/>
              <w:rPr>
                <w:rFonts w:cstheme="minorHAnsi"/>
              </w:rPr>
            </w:pPr>
            <w:r w:rsidRPr="00FF64F8">
              <w:rPr>
                <w:rFonts w:cstheme="minorHAnsi"/>
              </w:rPr>
              <w:t xml:space="preserve">3.a </w:t>
            </w:r>
            <w:r w:rsidR="003C7279" w:rsidRPr="00FF64F8">
              <w:rPr>
                <w:rFonts w:cstheme="minorHAnsi"/>
              </w:rPr>
              <w:t>E</w:t>
            </w:r>
            <w:r w:rsidR="00A050B8" w:rsidRPr="00FF64F8">
              <w:rPr>
                <w:rFonts w:cstheme="minorHAnsi"/>
              </w:rPr>
              <w:t>nsur</w:t>
            </w:r>
            <w:r w:rsidR="003C7279" w:rsidRPr="00FF64F8">
              <w:rPr>
                <w:rFonts w:cstheme="minorHAnsi"/>
              </w:rPr>
              <w:t>e</w:t>
            </w:r>
            <w:r w:rsidR="00A050B8" w:rsidRPr="00FF64F8">
              <w:rPr>
                <w:rFonts w:cstheme="minorHAnsi"/>
              </w:rPr>
              <w:t xml:space="preserve"> an enabling environment such as adequate legislative framework to secure firm obligation towards MZ by LGs. This needs to be backed up by a corresponding criteria and capacity building for LGs. </w:t>
            </w:r>
          </w:p>
        </w:tc>
        <w:tc>
          <w:tcPr>
            <w:tcW w:w="1280" w:type="dxa"/>
            <w:vAlign w:val="center"/>
          </w:tcPr>
          <w:p w14:paraId="2D1527F0" w14:textId="6B50E66E" w:rsidR="0065270B" w:rsidRPr="00FF64F8" w:rsidRDefault="00AD39A1" w:rsidP="003D3FEB">
            <w:pPr>
              <w:tabs>
                <w:tab w:val="left" w:pos="1080"/>
              </w:tabs>
              <w:spacing w:before="20" w:after="20" w:line="240" w:lineRule="auto"/>
              <w:jc w:val="both"/>
              <w:rPr>
                <w:rFonts w:cstheme="minorHAnsi"/>
              </w:rPr>
            </w:pPr>
            <w:r w:rsidRPr="00FF64F8">
              <w:rPr>
                <w:rFonts w:cstheme="minorHAnsi"/>
              </w:rPr>
              <w:t>9</w:t>
            </w:r>
            <w:r w:rsidR="004916B7" w:rsidRPr="00FF64F8">
              <w:rPr>
                <w:rFonts w:cstheme="minorHAnsi"/>
              </w:rPr>
              <w:t>/2019</w:t>
            </w:r>
          </w:p>
        </w:tc>
        <w:tc>
          <w:tcPr>
            <w:tcW w:w="2158" w:type="dxa"/>
            <w:gridSpan w:val="3"/>
            <w:vAlign w:val="center"/>
          </w:tcPr>
          <w:p w14:paraId="1FA9E4CD" w14:textId="1A6ED6AD" w:rsidR="0065270B" w:rsidRPr="00FF64F8" w:rsidRDefault="00947049" w:rsidP="003D3FEB">
            <w:pPr>
              <w:tabs>
                <w:tab w:val="left" w:pos="1080"/>
              </w:tabs>
              <w:spacing w:before="20" w:after="20" w:line="240" w:lineRule="auto"/>
              <w:jc w:val="both"/>
              <w:rPr>
                <w:rFonts w:cstheme="minorHAnsi"/>
              </w:rPr>
            </w:pPr>
            <w:r w:rsidRPr="00FF64F8">
              <w:rPr>
                <w:rFonts w:cstheme="minorHAnsi"/>
              </w:rPr>
              <w:t xml:space="preserve">UNDP, </w:t>
            </w:r>
            <w:r w:rsidR="008564D4" w:rsidRPr="00FF64F8">
              <w:rPr>
                <w:rFonts w:cstheme="minorHAnsi"/>
              </w:rPr>
              <w:t>MZ Project</w:t>
            </w:r>
          </w:p>
        </w:tc>
        <w:tc>
          <w:tcPr>
            <w:tcW w:w="4674" w:type="dxa"/>
            <w:gridSpan w:val="2"/>
            <w:vAlign w:val="center"/>
          </w:tcPr>
          <w:p w14:paraId="53BB524E" w14:textId="3EF6E98C" w:rsidR="0065270B" w:rsidRPr="00FF64F8" w:rsidRDefault="003C7279" w:rsidP="00A050B8">
            <w:pPr>
              <w:tabs>
                <w:tab w:val="left" w:pos="1080"/>
              </w:tabs>
              <w:spacing w:before="20" w:after="20" w:line="240" w:lineRule="auto"/>
              <w:jc w:val="both"/>
              <w:rPr>
                <w:rFonts w:cstheme="minorHAnsi"/>
              </w:rPr>
            </w:pPr>
            <w:r w:rsidRPr="00FF64F8">
              <w:rPr>
                <w:rFonts w:cstheme="minorHAnsi"/>
              </w:rPr>
              <w:t>The Project has already taken steps in this direction by developing relevant legislative amendments.</w:t>
            </w:r>
          </w:p>
        </w:tc>
        <w:tc>
          <w:tcPr>
            <w:tcW w:w="1450" w:type="dxa"/>
            <w:vAlign w:val="center"/>
          </w:tcPr>
          <w:p w14:paraId="54515F43" w14:textId="14CEBD09" w:rsidR="0065270B" w:rsidRPr="00FF64F8" w:rsidRDefault="008564D4" w:rsidP="003D3FEB">
            <w:pPr>
              <w:tabs>
                <w:tab w:val="left" w:pos="1080"/>
              </w:tabs>
              <w:spacing w:before="20" w:after="20" w:line="240" w:lineRule="auto"/>
              <w:jc w:val="both"/>
              <w:rPr>
                <w:rFonts w:cstheme="minorHAnsi"/>
              </w:rPr>
            </w:pPr>
            <w:r w:rsidRPr="00FF64F8">
              <w:rPr>
                <w:rFonts w:cstheme="minorHAnsi"/>
              </w:rPr>
              <w:t>Initiated</w:t>
            </w:r>
          </w:p>
        </w:tc>
      </w:tr>
      <w:tr w:rsidR="00367E99" w:rsidRPr="00FF64F8" w14:paraId="0E25F0B8" w14:textId="77777777" w:rsidTr="00951E97">
        <w:tc>
          <w:tcPr>
            <w:tcW w:w="15115" w:type="dxa"/>
            <w:gridSpan w:val="8"/>
            <w:vAlign w:val="center"/>
          </w:tcPr>
          <w:p w14:paraId="3B88E780" w14:textId="6B89FC71" w:rsidR="00367E99" w:rsidRPr="00FF64F8" w:rsidRDefault="00B06A3F" w:rsidP="003D3FEB">
            <w:pPr>
              <w:tabs>
                <w:tab w:val="left" w:pos="1080"/>
              </w:tabs>
              <w:spacing w:before="20" w:after="20" w:line="240" w:lineRule="auto"/>
              <w:jc w:val="both"/>
              <w:rPr>
                <w:rFonts w:cstheme="minorHAnsi"/>
              </w:rPr>
            </w:pPr>
            <w:r w:rsidRPr="00FF64F8">
              <w:rPr>
                <w:rFonts w:cstheme="minorHAnsi"/>
                <w:b/>
              </w:rPr>
              <w:t>Evaluation recommendation 4.</w:t>
            </w:r>
            <w:r w:rsidR="007003CB" w:rsidRPr="00FF64F8">
              <w:rPr>
                <w:rFonts w:cstheme="minorHAnsi"/>
                <w:b/>
              </w:rPr>
              <w:t xml:space="preserve"> </w:t>
            </w:r>
            <w:r w:rsidR="007003CB" w:rsidRPr="00FF64F8">
              <w:t xml:space="preserve"> </w:t>
            </w:r>
            <w:r w:rsidR="007003CB" w:rsidRPr="00FF64F8">
              <w:rPr>
                <w:rFonts w:cstheme="minorHAnsi"/>
                <w:b/>
              </w:rPr>
              <w:t xml:space="preserve">Redesign local government. Support new profiling and restructuring of local government administration by helping the existing staff to become a more responsive resource for improved and effective work with </w:t>
            </w:r>
            <w:proofErr w:type="spellStart"/>
            <w:r w:rsidR="007003CB" w:rsidRPr="00FF64F8">
              <w:rPr>
                <w:rFonts w:cstheme="minorHAnsi"/>
                <w:b/>
              </w:rPr>
              <w:t>mjesne</w:t>
            </w:r>
            <w:proofErr w:type="spellEnd"/>
            <w:r w:rsidR="007003CB" w:rsidRPr="00FF64F8">
              <w:rPr>
                <w:rFonts w:cstheme="minorHAnsi"/>
                <w:b/>
              </w:rPr>
              <w:t xml:space="preserve"> </w:t>
            </w:r>
            <w:proofErr w:type="spellStart"/>
            <w:r w:rsidR="007003CB" w:rsidRPr="00FF64F8">
              <w:rPr>
                <w:rFonts w:cstheme="minorHAnsi"/>
                <w:b/>
              </w:rPr>
              <w:t>zajednice</w:t>
            </w:r>
            <w:proofErr w:type="spellEnd"/>
            <w:r w:rsidR="007003CB" w:rsidRPr="00FF64F8">
              <w:rPr>
                <w:rFonts w:cstheme="minorHAnsi"/>
                <w:b/>
              </w:rPr>
              <w:t xml:space="preserve">. This can be done in many ways, including changing job descriptions, the creation of operational teams, setting up a specific department or identifying individuals who will be responsible for improving and standardising methods of work with </w:t>
            </w:r>
            <w:proofErr w:type="spellStart"/>
            <w:r w:rsidR="007003CB" w:rsidRPr="00FF64F8">
              <w:rPr>
                <w:rFonts w:cstheme="minorHAnsi"/>
                <w:b/>
              </w:rPr>
              <w:t>mjesne</w:t>
            </w:r>
            <w:proofErr w:type="spellEnd"/>
            <w:r w:rsidR="007003CB" w:rsidRPr="00FF64F8">
              <w:rPr>
                <w:rFonts w:cstheme="minorHAnsi"/>
                <w:b/>
              </w:rPr>
              <w:t xml:space="preserve"> </w:t>
            </w:r>
            <w:proofErr w:type="spellStart"/>
            <w:r w:rsidR="007003CB" w:rsidRPr="00FF64F8">
              <w:rPr>
                <w:rFonts w:cstheme="minorHAnsi"/>
                <w:b/>
              </w:rPr>
              <w:t>zajednice</w:t>
            </w:r>
            <w:proofErr w:type="spellEnd"/>
            <w:r w:rsidR="007003CB" w:rsidRPr="00FF64F8">
              <w:rPr>
                <w:rFonts w:cstheme="minorHAnsi"/>
                <w:b/>
              </w:rPr>
              <w:t>.</w:t>
            </w:r>
          </w:p>
        </w:tc>
      </w:tr>
      <w:tr w:rsidR="00367E99" w:rsidRPr="00FF64F8" w14:paraId="6781924E" w14:textId="77777777" w:rsidTr="00CD6A45">
        <w:tc>
          <w:tcPr>
            <w:tcW w:w="15115" w:type="dxa"/>
            <w:gridSpan w:val="8"/>
            <w:vAlign w:val="center"/>
          </w:tcPr>
          <w:p w14:paraId="3F0615DD" w14:textId="13A963FB" w:rsidR="00367E99" w:rsidRPr="00FF64F8" w:rsidRDefault="00B06A3F" w:rsidP="003D3FEB">
            <w:pPr>
              <w:tabs>
                <w:tab w:val="left" w:pos="1080"/>
              </w:tabs>
              <w:spacing w:before="20" w:after="20" w:line="240" w:lineRule="auto"/>
              <w:jc w:val="both"/>
              <w:rPr>
                <w:rFonts w:cstheme="minorHAnsi"/>
              </w:rPr>
            </w:pPr>
            <w:r w:rsidRPr="00FF64F8">
              <w:rPr>
                <w:rFonts w:cstheme="minorHAnsi"/>
                <w:b/>
              </w:rPr>
              <w:t xml:space="preserve">Management response: </w:t>
            </w:r>
            <w:r w:rsidR="007003CB" w:rsidRPr="00FF64F8">
              <w:rPr>
                <w:rFonts w:cstheme="minorHAnsi"/>
              </w:rPr>
              <w:t xml:space="preserve">UNDP agrees that significant reforms to cut the red tape and improve efficiency of </w:t>
            </w:r>
            <w:proofErr w:type="spellStart"/>
            <w:r w:rsidR="007003CB" w:rsidRPr="00FF64F8">
              <w:rPr>
                <w:rFonts w:cstheme="minorHAnsi"/>
              </w:rPr>
              <w:t>BiH</w:t>
            </w:r>
            <w:proofErr w:type="spellEnd"/>
            <w:r w:rsidR="007003CB" w:rsidRPr="00FF64F8">
              <w:rPr>
                <w:rFonts w:cstheme="minorHAnsi"/>
              </w:rPr>
              <w:t xml:space="preserve"> administration are indeed needed at all levels. Even though an actual redesign of local government cannot be influenced directly, UNDP agrees to continue supporting partner LGs in their process of re-inventing themselves, in line with its mandate and engagement in the Project.</w:t>
            </w:r>
          </w:p>
        </w:tc>
      </w:tr>
      <w:tr w:rsidR="00E809BA" w:rsidRPr="00FF64F8" w14:paraId="775590C8" w14:textId="77777777" w:rsidTr="00A12525">
        <w:tc>
          <w:tcPr>
            <w:tcW w:w="5553" w:type="dxa"/>
            <w:vAlign w:val="center"/>
          </w:tcPr>
          <w:p w14:paraId="4545B40A" w14:textId="216B7868" w:rsidR="007003CB" w:rsidRPr="00FF64F8" w:rsidRDefault="00947049" w:rsidP="00947049">
            <w:pPr>
              <w:tabs>
                <w:tab w:val="left" w:pos="1080"/>
              </w:tabs>
              <w:spacing w:before="20" w:after="20"/>
              <w:jc w:val="both"/>
              <w:rPr>
                <w:rFonts w:cstheme="minorHAnsi"/>
              </w:rPr>
            </w:pPr>
            <w:r w:rsidRPr="00FF64F8">
              <w:rPr>
                <w:rFonts w:cstheme="minorHAnsi"/>
              </w:rPr>
              <w:t xml:space="preserve">4.a </w:t>
            </w:r>
            <w:r w:rsidR="007003CB" w:rsidRPr="00FF64F8">
              <w:rPr>
                <w:rFonts w:cstheme="minorHAnsi"/>
              </w:rPr>
              <w:t>The Project will support LGs in setting up ‘operational teams’ that are composed of existing staff, to deepen LG support to MZs.</w:t>
            </w:r>
          </w:p>
          <w:p w14:paraId="616446CE" w14:textId="77777777" w:rsidR="00947049" w:rsidRPr="00FF64F8" w:rsidRDefault="00947049" w:rsidP="00947049">
            <w:pPr>
              <w:tabs>
                <w:tab w:val="left" w:pos="1080"/>
              </w:tabs>
              <w:spacing w:before="20" w:after="20"/>
              <w:jc w:val="both"/>
              <w:rPr>
                <w:rFonts w:cstheme="minorHAnsi"/>
              </w:rPr>
            </w:pPr>
          </w:p>
          <w:p w14:paraId="7C73961B" w14:textId="0D9B3F66" w:rsidR="00367E99" w:rsidRPr="00FF64F8" w:rsidRDefault="00947049" w:rsidP="00305367">
            <w:pPr>
              <w:tabs>
                <w:tab w:val="left" w:pos="1080"/>
              </w:tabs>
              <w:spacing w:before="20" w:after="20"/>
              <w:jc w:val="both"/>
              <w:rPr>
                <w:rFonts w:cstheme="minorHAnsi"/>
              </w:rPr>
            </w:pPr>
            <w:r w:rsidRPr="00FF64F8">
              <w:rPr>
                <w:rFonts w:cstheme="minorHAnsi"/>
              </w:rPr>
              <w:t>4.b</w:t>
            </w:r>
            <w:r w:rsidR="00305367" w:rsidRPr="00FF64F8">
              <w:rPr>
                <w:rFonts w:cstheme="minorHAnsi"/>
              </w:rPr>
              <w:t xml:space="preserve"> </w:t>
            </w:r>
            <w:r w:rsidR="007003CB" w:rsidRPr="00FF64F8">
              <w:rPr>
                <w:rFonts w:cstheme="minorHAnsi"/>
              </w:rPr>
              <w:t xml:space="preserve">As a complementary effort, new channels of communication and tools for citizen engagement are being introduced through technologies in order to modernise workflow and processes and foster interaction with citizens.  </w:t>
            </w:r>
          </w:p>
        </w:tc>
        <w:tc>
          <w:tcPr>
            <w:tcW w:w="1280" w:type="dxa"/>
            <w:vAlign w:val="center"/>
          </w:tcPr>
          <w:p w14:paraId="7952819E" w14:textId="5A1CCB57" w:rsidR="00367E99" w:rsidRPr="00FF64F8" w:rsidRDefault="00AD39A1" w:rsidP="003D3FEB">
            <w:pPr>
              <w:tabs>
                <w:tab w:val="left" w:pos="1080"/>
              </w:tabs>
              <w:spacing w:before="20" w:after="20" w:line="240" w:lineRule="auto"/>
              <w:jc w:val="both"/>
              <w:rPr>
                <w:rFonts w:cstheme="minorHAnsi"/>
              </w:rPr>
            </w:pPr>
            <w:r w:rsidRPr="00FF64F8">
              <w:rPr>
                <w:rFonts w:cstheme="minorHAnsi"/>
              </w:rPr>
              <w:t>9</w:t>
            </w:r>
            <w:r w:rsidR="00947049" w:rsidRPr="00FF64F8">
              <w:rPr>
                <w:rFonts w:cstheme="minorHAnsi"/>
              </w:rPr>
              <w:t>/2020</w:t>
            </w:r>
          </w:p>
        </w:tc>
        <w:tc>
          <w:tcPr>
            <w:tcW w:w="2158" w:type="dxa"/>
            <w:gridSpan w:val="3"/>
            <w:vAlign w:val="center"/>
          </w:tcPr>
          <w:p w14:paraId="6D437552" w14:textId="4AF661AD" w:rsidR="00367E99" w:rsidRPr="00FF64F8" w:rsidRDefault="00947049" w:rsidP="003D3FEB">
            <w:pPr>
              <w:tabs>
                <w:tab w:val="left" w:pos="1080"/>
              </w:tabs>
              <w:spacing w:before="20" w:after="20" w:line="240" w:lineRule="auto"/>
              <w:jc w:val="both"/>
              <w:rPr>
                <w:rFonts w:cstheme="minorHAnsi"/>
              </w:rPr>
            </w:pPr>
            <w:r w:rsidRPr="00FF64F8">
              <w:rPr>
                <w:rFonts w:cstheme="minorHAnsi"/>
              </w:rPr>
              <w:t xml:space="preserve">UNDP, </w:t>
            </w:r>
            <w:r w:rsidR="008564D4" w:rsidRPr="00FF64F8">
              <w:rPr>
                <w:rFonts w:cstheme="minorHAnsi"/>
              </w:rPr>
              <w:t>MZ Project</w:t>
            </w:r>
          </w:p>
        </w:tc>
        <w:tc>
          <w:tcPr>
            <w:tcW w:w="4674" w:type="dxa"/>
            <w:gridSpan w:val="2"/>
            <w:vAlign w:val="center"/>
          </w:tcPr>
          <w:p w14:paraId="4FF8AC6C" w14:textId="260FE35C" w:rsidR="00205D19" w:rsidRPr="00FF64F8" w:rsidRDefault="00205D19" w:rsidP="007003CB">
            <w:pPr>
              <w:tabs>
                <w:tab w:val="left" w:pos="1080"/>
              </w:tabs>
              <w:spacing w:before="20" w:after="20" w:line="240" w:lineRule="auto"/>
              <w:jc w:val="both"/>
              <w:rPr>
                <w:rFonts w:cstheme="minorHAnsi"/>
              </w:rPr>
            </w:pPr>
          </w:p>
        </w:tc>
        <w:tc>
          <w:tcPr>
            <w:tcW w:w="1450" w:type="dxa"/>
            <w:vAlign w:val="center"/>
          </w:tcPr>
          <w:p w14:paraId="11FB78CA" w14:textId="31ABBEED" w:rsidR="00367E99" w:rsidRPr="00FF64F8" w:rsidRDefault="007003CB" w:rsidP="003D3FEB">
            <w:pPr>
              <w:tabs>
                <w:tab w:val="left" w:pos="1080"/>
              </w:tabs>
              <w:spacing w:before="20" w:after="20" w:line="240" w:lineRule="auto"/>
              <w:jc w:val="both"/>
              <w:rPr>
                <w:rFonts w:cstheme="minorHAnsi"/>
                <w:color w:val="185262"/>
              </w:rPr>
            </w:pPr>
            <w:r w:rsidRPr="00FF64F8">
              <w:rPr>
                <w:rFonts w:cstheme="minorHAnsi"/>
              </w:rPr>
              <w:t xml:space="preserve">Initiated </w:t>
            </w:r>
          </w:p>
        </w:tc>
      </w:tr>
      <w:tr w:rsidR="00B06A3F" w:rsidRPr="00FF64F8" w14:paraId="7451CC62" w14:textId="77777777" w:rsidTr="0098280E">
        <w:tc>
          <w:tcPr>
            <w:tcW w:w="15115" w:type="dxa"/>
            <w:gridSpan w:val="8"/>
            <w:vAlign w:val="center"/>
          </w:tcPr>
          <w:p w14:paraId="7BD6A3AB" w14:textId="6ACE7947" w:rsidR="00B06A3F" w:rsidRPr="00FF64F8" w:rsidRDefault="00B06A3F" w:rsidP="003D3FEB">
            <w:pPr>
              <w:tabs>
                <w:tab w:val="left" w:pos="1080"/>
              </w:tabs>
              <w:spacing w:before="20" w:after="20" w:line="240" w:lineRule="auto"/>
              <w:jc w:val="both"/>
              <w:rPr>
                <w:rFonts w:cstheme="minorHAnsi"/>
              </w:rPr>
            </w:pPr>
            <w:r w:rsidRPr="00FF64F8">
              <w:rPr>
                <w:rFonts w:cstheme="minorHAnsi"/>
                <w:b/>
              </w:rPr>
              <w:t xml:space="preserve">Evaluation recommendation </w:t>
            </w:r>
            <w:r w:rsidR="007003CB" w:rsidRPr="00FF64F8">
              <w:rPr>
                <w:rFonts w:cstheme="minorHAnsi"/>
                <w:b/>
              </w:rPr>
              <w:t>5</w:t>
            </w:r>
            <w:r w:rsidRPr="00FF64F8">
              <w:rPr>
                <w:rFonts w:cstheme="minorHAnsi"/>
                <w:b/>
              </w:rPr>
              <w:t>.</w:t>
            </w:r>
            <w:r w:rsidR="007003CB" w:rsidRPr="00FF64F8">
              <w:rPr>
                <w:rFonts w:cstheme="minorHAnsi"/>
                <w:b/>
              </w:rPr>
              <w:t xml:space="preserve"> </w:t>
            </w:r>
            <w:r w:rsidR="007003CB" w:rsidRPr="00FF64F8">
              <w:t xml:space="preserve"> </w:t>
            </w:r>
            <w:r w:rsidR="007003CB" w:rsidRPr="00FF64F8">
              <w:rPr>
                <w:rFonts w:cstheme="minorHAnsi"/>
              </w:rPr>
              <w:t xml:space="preserve">Systematize incentives for </w:t>
            </w:r>
            <w:proofErr w:type="spellStart"/>
            <w:r w:rsidR="007003CB" w:rsidRPr="00FF64F8">
              <w:rPr>
                <w:rFonts w:cstheme="minorHAnsi"/>
              </w:rPr>
              <w:t>mjesne</w:t>
            </w:r>
            <w:proofErr w:type="spellEnd"/>
            <w:r w:rsidR="007003CB" w:rsidRPr="00FF64F8">
              <w:rPr>
                <w:rFonts w:cstheme="minorHAnsi"/>
              </w:rPr>
              <w:t xml:space="preserve"> </w:t>
            </w:r>
            <w:proofErr w:type="spellStart"/>
            <w:r w:rsidR="007003CB" w:rsidRPr="00FF64F8">
              <w:rPr>
                <w:rFonts w:cstheme="minorHAnsi"/>
              </w:rPr>
              <w:t>zajednice</w:t>
            </w:r>
            <w:proofErr w:type="spellEnd"/>
            <w:r w:rsidR="007003CB" w:rsidRPr="00FF64F8">
              <w:rPr>
                <w:rFonts w:cstheme="minorHAnsi"/>
              </w:rPr>
              <w:t xml:space="preserve"> through the allocation of grants by local government for various initiatives to support change at the local level. This could include a small grants scheme to support citizen initiatives for </w:t>
            </w:r>
            <w:proofErr w:type="spellStart"/>
            <w:r w:rsidR="007003CB" w:rsidRPr="00FF64F8">
              <w:rPr>
                <w:rFonts w:cstheme="minorHAnsi"/>
              </w:rPr>
              <w:t>mjesne</w:t>
            </w:r>
            <w:proofErr w:type="spellEnd"/>
            <w:r w:rsidR="007003CB" w:rsidRPr="00FF64F8">
              <w:rPr>
                <w:rFonts w:cstheme="minorHAnsi"/>
              </w:rPr>
              <w:t xml:space="preserve"> </w:t>
            </w:r>
            <w:proofErr w:type="spellStart"/>
            <w:r w:rsidR="007003CB" w:rsidRPr="00FF64F8">
              <w:rPr>
                <w:rFonts w:cstheme="minorHAnsi"/>
              </w:rPr>
              <w:t>zajednice</w:t>
            </w:r>
            <w:proofErr w:type="spellEnd"/>
            <w:r w:rsidR="007003CB" w:rsidRPr="00FF64F8">
              <w:rPr>
                <w:rFonts w:cstheme="minorHAnsi"/>
              </w:rPr>
              <w:t xml:space="preserve"> and CSOs, support for community hub initiatives and committing to the creation of incentives for </w:t>
            </w:r>
            <w:proofErr w:type="spellStart"/>
            <w:r w:rsidR="007003CB" w:rsidRPr="00FF64F8">
              <w:rPr>
                <w:rFonts w:cstheme="minorHAnsi"/>
              </w:rPr>
              <w:t>mjesne</w:t>
            </w:r>
            <w:proofErr w:type="spellEnd"/>
            <w:r w:rsidR="007003CB" w:rsidRPr="00FF64F8">
              <w:rPr>
                <w:rFonts w:cstheme="minorHAnsi"/>
              </w:rPr>
              <w:t xml:space="preserve"> </w:t>
            </w:r>
            <w:proofErr w:type="spellStart"/>
            <w:r w:rsidR="007003CB" w:rsidRPr="00FF64F8">
              <w:rPr>
                <w:rFonts w:cstheme="minorHAnsi"/>
              </w:rPr>
              <w:t>zajednice</w:t>
            </w:r>
            <w:proofErr w:type="spellEnd"/>
            <w:r w:rsidR="007003CB" w:rsidRPr="00FF64F8">
              <w:rPr>
                <w:rFonts w:cstheme="minorHAnsi"/>
              </w:rPr>
              <w:t xml:space="preserve"> staff.</w:t>
            </w:r>
          </w:p>
        </w:tc>
      </w:tr>
      <w:tr w:rsidR="00B06A3F" w:rsidRPr="00FF64F8" w14:paraId="5EF8B81F" w14:textId="77777777" w:rsidTr="00760054">
        <w:tc>
          <w:tcPr>
            <w:tcW w:w="15115" w:type="dxa"/>
            <w:gridSpan w:val="8"/>
            <w:vAlign w:val="center"/>
          </w:tcPr>
          <w:p w14:paraId="5D09E08F" w14:textId="42A17F22" w:rsidR="00B06A3F" w:rsidRPr="00FF64F8" w:rsidRDefault="00B06A3F" w:rsidP="003D3FEB">
            <w:pPr>
              <w:tabs>
                <w:tab w:val="left" w:pos="1080"/>
              </w:tabs>
              <w:spacing w:before="20" w:after="20" w:line="240" w:lineRule="auto"/>
              <w:jc w:val="both"/>
              <w:rPr>
                <w:rFonts w:cstheme="minorHAnsi"/>
              </w:rPr>
            </w:pPr>
            <w:r w:rsidRPr="00FF64F8">
              <w:rPr>
                <w:rFonts w:cstheme="minorHAnsi"/>
                <w:b/>
              </w:rPr>
              <w:t xml:space="preserve">Management response: </w:t>
            </w:r>
            <w:r w:rsidR="00F60CEC" w:rsidRPr="00FF64F8">
              <w:t xml:space="preserve"> </w:t>
            </w:r>
            <w:r w:rsidR="00F60CEC" w:rsidRPr="00FF64F8">
              <w:rPr>
                <w:rFonts w:cstheme="minorHAnsi"/>
                <w:b/>
              </w:rPr>
              <w:t>UNDP fully agrees with the underlining principles of this recommendation. T</w:t>
            </w:r>
            <w:r w:rsidR="007003CB" w:rsidRPr="00FF64F8">
              <w:rPr>
                <w:rFonts w:cstheme="minorHAnsi"/>
                <w:b/>
              </w:rPr>
              <w:t xml:space="preserve">his recommendation is tied in and correlates strongly to the evaluation recommendation number three, as the former is related to securing a systemic arrangement, and the latter one is an extended arm at the local level contributing strongly to its realisation. </w:t>
            </w:r>
          </w:p>
        </w:tc>
      </w:tr>
      <w:tr w:rsidR="00E809BA" w:rsidRPr="00FF64F8" w14:paraId="258A1035" w14:textId="77777777" w:rsidTr="00A12525">
        <w:tc>
          <w:tcPr>
            <w:tcW w:w="5553" w:type="dxa"/>
          </w:tcPr>
          <w:p w14:paraId="4E5F9868" w14:textId="6554BBDC" w:rsidR="00B06A3F" w:rsidRPr="00FF64F8" w:rsidRDefault="007B5C30" w:rsidP="0063436D">
            <w:pPr>
              <w:tabs>
                <w:tab w:val="left" w:pos="1080"/>
              </w:tabs>
              <w:spacing w:before="20" w:after="20"/>
              <w:jc w:val="both"/>
              <w:rPr>
                <w:rFonts w:cstheme="minorHAnsi"/>
              </w:rPr>
            </w:pPr>
            <w:r w:rsidRPr="00FF64F8">
              <w:rPr>
                <w:rFonts w:cstheme="minorHAnsi"/>
              </w:rPr>
              <w:lastRenderedPageBreak/>
              <w:t>5</w:t>
            </w:r>
            <w:r w:rsidR="0063436D" w:rsidRPr="00FF64F8">
              <w:rPr>
                <w:rFonts w:cstheme="minorHAnsi"/>
              </w:rPr>
              <w:t xml:space="preserve">.a </w:t>
            </w:r>
            <w:r w:rsidR="007003CB" w:rsidRPr="00FF64F8">
              <w:rPr>
                <w:rFonts w:cstheme="minorHAnsi"/>
              </w:rPr>
              <w:t>Support change at the local level through jointly addressing the identified priorities to support citizen-led initiatives, foster cooperation between MZs and civil society, MZ staff incentives, etc. is fully in tune with the bottom-up-approach applied by the Project. The strength of this approach is in investing in ideas of people and relying on resources of people in communities - which directly develops ownership and builds human capital.</w:t>
            </w:r>
          </w:p>
        </w:tc>
        <w:tc>
          <w:tcPr>
            <w:tcW w:w="1280" w:type="dxa"/>
            <w:vAlign w:val="center"/>
          </w:tcPr>
          <w:p w14:paraId="4466A3E0" w14:textId="3A65A517" w:rsidR="00B06A3F" w:rsidRPr="00FF64F8" w:rsidRDefault="00AD39A1" w:rsidP="00B06A3F">
            <w:pPr>
              <w:tabs>
                <w:tab w:val="left" w:pos="1080"/>
              </w:tabs>
              <w:spacing w:before="20" w:after="20" w:line="240" w:lineRule="auto"/>
              <w:jc w:val="both"/>
              <w:rPr>
                <w:rFonts w:cstheme="minorHAnsi"/>
              </w:rPr>
            </w:pPr>
            <w:r w:rsidRPr="00FF64F8">
              <w:rPr>
                <w:rFonts w:cstheme="minorHAnsi"/>
              </w:rPr>
              <w:t>9</w:t>
            </w:r>
            <w:r w:rsidR="007B5C30" w:rsidRPr="00FF64F8">
              <w:rPr>
                <w:rFonts w:cstheme="minorHAnsi"/>
              </w:rPr>
              <w:t>/2020</w:t>
            </w:r>
          </w:p>
        </w:tc>
        <w:tc>
          <w:tcPr>
            <w:tcW w:w="2158" w:type="dxa"/>
            <w:gridSpan w:val="3"/>
            <w:vAlign w:val="center"/>
          </w:tcPr>
          <w:p w14:paraId="30A996E7" w14:textId="05FC7107" w:rsidR="00B06A3F" w:rsidRPr="00FF64F8" w:rsidRDefault="007B5C30" w:rsidP="00B06A3F">
            <w:pPr>
              <w:tabs>
                <w:tab w:val="left" w:pos="1080"/>
              </w:tabs>
              <w:spacing w:before="20" w:after="20" w:line="240" w:lineRule="auto"/>
              <w:jc w:val="both"/>
              <w:rPr>
                <w:rFonts w:cstheme="minorHAnsi"/>
              </w:rPr>
            </w:pPr>
            <w:r w:rsidRPr="00FF64F8">
              <w:rPr>
                <w:rFonts w:cstheme="minorHAnsi"/>
              </w:rPr>
              <w:t xml:space="preserve">UNDP, </w:t>
            </w:r>
            <w:r w:rsidR="008D21D9" w:rsidRPr="00FF64F8">
              <w:rPr>
                <w:rFonts w:cstheme="minorHAnsi"/>
              </w:rPr>
              <w:t>MZ project</w:t>
            </w:r>
          </w:p>
        </w:tc>
        <w:tc>
          <w:tcPr>
            <w:tcW w:w="4674" w:type="dxa"/>
            <w:gridSpan w:val="2"/>
            <w:vAlign w:val="center"/>
          </w:tcPr>
          <w:p w14:paraId="750EDD2D" w14:textId="14557525" w:rsidR="00B06A3F" w:rsidRPr="00FF64F8" w:rsidRDefault="00B06A3F" w:rsidP="00B06A3F">
            <w:pPr>
              <w:tabs>
                <w:tab w:val="left" w:pos="1080"/>
              </w:tabs>
              <w:spacing w:before="20" w:after="20" w:line="240" w:lineRule="auto"/>
              <w:jc w:val="both"/>
              <w:rPr>
                <w:rFonts w:cstheme="minorHAnsi"/>
              </w:rPr>
            </w:pPr>
          </w:p>
        </w:tc>
        <w:tc>
          <w:tcPr>
            <w:tcW w:w="1450" w:type="dxa"/>
            <w:vAlign w:val="center"/>
          </w:tcPr>
          <w:p w14:paraId="56480F91" w14:textId="0488476D" w:rsidR="00B06A3F" w:rsidRPr="00FF64F8" w:rsidRDefault="007003CB" w:rsidP="00B06A3F">
            <w:pPr>
              <w:tabs>
                <w:tab w:val="left" w:pos="1080"/>
              </w:tabs>
              <w:spacing w:before="20" w:after="20" w:line="240" w:lineRule="auto"/>
              <w:jc w:val="both"/>
              <w:rPr>
                <w:rFonts w:cstheme="minorHAnsi"/>
              </w:rPr>
            </w:pPr>
            <w:r w:rsidRPr="00FF64F8">
              <w:rPr>
                <w:rFonts w:cstheme="minorHAnsi"/>
              </w:rPr>
              <w:t xml:space="preserve">Initiated </w:t>
            </w:r>
          </w:p>
        </w:tc>
      </w:tr>
      <w:tr w:rsidR="00B06A3F" w:rsidRPr="00FF64F8" w14:paraId="3B160214" w14:textId="77777777" w:rsidTr="001F2D05">
        <w:tc>
          <w:tcPr>
            <w:tcW w:w="15115" w:type="dxa"/>
            <w:gridSpan w:val="8"/>
          </w:tcPr>
          <w:p w14:paraId="60807504" w14:textId="2645EA75" w:rsidR="00B06A3F" w:rsidRPr="00FF64F8" w:rsidRDefault="00B06A3F" w:rsidP="00B06A3F">
            <w:pPr>
              <w:tabs>
                <w:tab w:val="left" w:pos="1080"/>
              </w:tabs>
              <w:spacing w:before="20" w:after="20" w:line="240" w:lineRule="auto"/>
              <w:jc w:val="both"/>
              <w:rPr>
                <w:rFonts w:cstheme="minorHAnsi"/>
              </w:rPr>
            </w:pPr>
            <w:r w:rsidRPr="00FF64F8">
              <w:rPr>
                <w:rFonts w:cstheme="minorHAnsi"/>
                <w:b/>
              </w:rPr>
              <w:t xml:space="preserve">Evaluation recommendation </w:t>
            </w:r>
            <w:r w:rsidR="007003CB" w:rsidRPr="00FF64F8">
              <w:rPr>
                <w:rFonts w:cstheme="minorHAnsi"/>
                <w:b/>
              </w:rPr>
              <w:t>6</w:t>
            </w:r>
            <w:r w:rsidRPr="00FF64F8">
              <w:rPr>
                <w:rFonts w:cstheme="minorHAnsi"/>
                <w:b/>
              </w:rPr>
              <w:t>.</w:t>
            </w:r>
            <w:r w:rsidR="00D46093" w:rsidRPr="00FF64F8">
              <w:rPr>
                <w:rFonts w:cstheme="minorHAnsi"/>
                <w:b/>
              </w:rPr>
              <w:t xml:space="preserve"> </w:t>
            </w:r>
            <w:r w:rsidR="00D46093" w:rsidRPr="00FF64F8">
              <w:t xml:space="preserve"> </w:t>
            </w:r>
            <w:r w:rsidR="00D46093" w:rsidRPr="00FF64F8">
              <w:rPr>
                <w:rFonts w:cstheme="minorHAnsi"/>
              </w:rPr>
              <w:t xml:space="preserve">Support social inclusion and gender mainstreaming by strengthening development capacities of local government and </w:t>
            </w:r>
            <w:proofErr w:type="spellStart"/>
            <w:r w:rsidR="00D46093" w:rsidRPr="00FF64F8">
              <w:rPr>
                <w:rFonts w:cstheme="minorHAnsi"/>
              </w:rPr>
              <w:t>mjesne</w:t>
            </w:r>
            <w:proofErr w:type="spellEnd"/>
            <w:r w:rsidR="00D46093" w:rsidRPr="00FF64F8">
              <w:rPr>
                <w:rFonts w:cstheme="minorHAnsi"/>
              </w:rPr>
              <w:t xml:space="preserve"> </w:t>
            </w:r>
            <w:proofErr w:type="spellStart"/>
            <w:r w:rsidR="00D46093" w:rsidRPr="00FF64F8">
              <w:rPr>
                <w:rFonts w:cstheme="minorHAnsi"/>
              </w:rPr>
              <w:t>zajednice</w:t>
            </w:r>
            <w:proofErr w:type="spellEnd"/>
            <w:r w:rsidR="00D46093" w:rsidRPr="00FF64F8">
              <w:rPr>
                <w:rFonts w:cstheme="minorHAnsi"/>
              </w:rPr>
              <w:t xml:space="preserve"> in terms of addressing the lack of understanding on what constitutes and how to address social exclusion. Combine this with a strategic gender sensitive planning and monitoring process, which is critical for ensuring sustainable gender-sensitive </w:t>
            </w:r>
            <w:proofErr w:type="spellStart"/>
            <w:r w:rsidR="00D46093" w:rsidRPr="00FF64F8">
              <w:rPr>
                <w:rFonts w:cstheme="minorHAnsi"/>
              </w:rPr>
              <w:t>mjesne</w:t>
            </w:r>
            <w:proofErr w:type="spellEnd"/>
            <w:r w:rsidR="00D46093" w:rsidRPr="00FF64F8">
              <w:rPr>
                <w:rFonts w:cstheme="minorHAnsi"/>
              </w:rPr>
              <w:t xml:space="preserve"> </w:t>
            </w:r>
            <w:proofErr w:type="spellStart"/>
            <w:r w:rsidR="00D46093" w:rsidRPr="00FF64F8">
              <w:rPr>
                <w:rFonts w:cstheme="minorHAnsi"/>
              </w:rPr>
              <w:t>zajednice</w:t>
            </w:r>
            <w:proofErr w:type="spellEnd"/>
            <w:r w:rsidR="00D46093" w:rsidRPr="00FF64F8">
              <w:rPr>
                <w:rFonts w:cstheme="minorHAnsi"/>
              </w:rPr>
              <w:t>. This can be effectively done by further widening opportunities for women to act as agents of change in their communities and by expanding the potential for women’s leadership and activism.</w:t>
            </w:r>
          </w:p>
        </w:tc>
      </w:tr>
      <w:tr w:rsidR="00B06A3F" w:rsidRPr="00FF64F8" w14:paraId="45E556CD" w14:textId="77777777" w:rsidTr="00E422D0">
        <w:tc>
          <w:tcPr>
            <w:tcW w:w="15115" w:type="dxa"/>
            <w:gridSpan w:val="8"/>
          </w:tcPr>
          <w:p w14:paraId="11996C88" w14:textId="6363FD88" w:rsidR="00B06A3F" w:rsidRPr="00FF64F8" w:rsidRDefault="00B06A3F" w:rsidP="00B06A3F">
            <w:pPr>
              <w:tabs>
                <w:tab w:val="left" w:pos="1080"/>
              </w:tabs>
              <w:spacing w:before="20" w:after="20" w:line="240" w:lineRule="auto"/>
              <w:jc w:val="both"/>
              <w:rPr>
                <w:rFonts w:cstheme="minorHAnsi"/>
              </w:rPr>
            </w:pPr>
            <w:r w:rsidRPr="00FF64F8">
              <w:rPr>
                <w:rFonts w:cstheme="minorHAnsi"/>
                <w:b/>
              </w:rPr>
              <w:t xml:space="preserve">Management response: </w:t>
            </w:r>
            <w:r w:rsidR="00D46093" w:rsidRPr="00FF64F8">
              <w:rPr>
                <w:rFonts w:cstheme="minorHAnsi"/>
                <w:b/>
              </w:rPr>
              <w:t>In principle, UNDP agrees with this recommendation but within boundaries of the legal opportunities and limitations of MZs.</w:t>
            </w:r>
          </w:p>
        </w:tc>
      </w:tr>
      <w:tr w:rsidR="00E809BA" w:rsidRPr="00FF64F8" w14:paraId="32C40C92" w14:textId="77777777" w:rsidTr="00A12525">
        <w:tc>
          <w:tcPr>
            <w:tcW w:w="5553" w:type="dxa"/>
          </w:tcPr>
          <w:p w14:paraId="47A524D0" w14:textId="2208F875" w:rsidR="00B06A3F" w:rsidRPr="00FF64F8" w:rsidRDefault="000C3E61" w:rsidP="007B5C30">
            <w:pPr>
              <w:tabs>
                <w:tab w:val="left" w:pos="1080"/>
              </w:tabs>
              <w:spacing w:before="20" w:after="20"/>
              <w:jc w:val="both"/>
              <w:rPr>
                <w:rFonts w:cstheme="minorHAnsi"/>
              </w:rPr>
            </w:pPr>
            <w:r w:rsidRPr="00FF64F8">
              <w:rPr>
                <w:rFonts w:cstheme="minorHAnsi"/>
              </w:rPr>
              <w:t xml:space="preserve">6.a </w:t>
            </w:r>
            <w:r w:rsidR="00D46093" w:rsidRPr="00FF64F8">
              <w:rPr>
                <w:rFonts w:cstheme="minorHAnsi"/>
              </w:rPr>
              <w:t xml:space="preserve">Regarding social inclusion, the Project commits to continue being involved in raising awareness about socially excluded groups, data mapping and analysis derived from findings and recommendations of Human Development Report on Social Inclusion.  </w:t>
            </w:r>
          </w:p>
          <w:p w14:paraId="65827105" w14:textId="34D54FC5" w:rsidR="00D46093" w:rsidRPr="00FF64F8" w:rsidRDefault="000C3E61" w:rsidP="000C3E61">
            <w:pPr>
              <w:tabs>
                <w:tab w:val="left" w:pos="1080"/>
              </w:tabs>
              <w:spacing w:before="20" w:after="20"/>
              <w:jc w:val="both"/>
              <w:rPr>
                <w:rFonts w:cstheme="minorHAnsi"/>
              </w:rPr>
            </w:pPr>
            <w:r w:rsidRPr="00FF64F8">
              <w:rPr>
                <w:rFonts w:cstheme="minorHAnsi"/>
              </w:rPr>
              <w:t xml:space="preserve">6.b </w:t>
            </w:r>
            <w:r w:rsidR="00D46093" w:rsidRPr="00FF64F8">
              <w:rPr>
                <w:rFonts w:cstheme="minorHAnsi"/>
              </w:rPr>
              <w:t xml:space="preserve">Regarding gender equality and empowerment of women, UNDP commits to work on several parallel tracks. The first is gender mainstreaming of all project interventions. Secondly, monitoring and evaluation will be fully gender-sensitive and the Project will collect sex disaggregated data that are in turn regularly </w:t>
            </w:r>
            <w:r w:rsidR="003E6A75" w:rsidRPr="00FF64F8">
              <w:rPr>
                <w:rFonts w:cstheme="minorHAnsi"/>
              </w:rPr>
              <w:t>analyzed</w:t>
            </w:r>
            <w:r w:rsidR="00D46093" w:rsidRPr="00FF64F8">
              <w:rPr>
                <w:rFonts w:cstheme="minorHAnsi"/>
              </w:rPr>
              <w:t xml:space="preserve"> to achieve parity on all fronts. Thirdly, gender specific activities will be implemented where the need is or where gaps prove to be too high. Women as drivers of change will continue to be applied as an overarching approach- whereby underutilized resources of women at the community level are being tapped into, and spaces and opportunities </w:t>
            </w:r>
            <w:r w:rsidR="00D46093" w:rsidRPr="00FF64F8">
              <w:rPr>
                <w:rFonts w:cstheme="minorHAnsi"/>
              </w:rPr>
              <w:lastRenderedPageBreak/>
              <w:t xml:space="preserve">provided by the project- to create a multiplier effect, and ultimately contribute to social change.     </w:t>
            </w:r>
          </w:p>
          <w:p w14:paraId="7E596B3D" w14:textId="30F9CE56" w:rsidR="00D46093" w:rsidRPr="00FF64F8" w:rsidRDefault="000C3E61" w:rsidP="000C3E61">
            <w:pPr>
              <w:tabs>
                <w:tab w:val="left" w:pos="1080"/>
              </w:tabs>
              <w:spacing w:before="20" w:after="20"/>
              <w:jc w:val="both"/>
              <w:rPr>
                <w:rFonts w:cstheme="minorHAnsi"/>
              </w:rPr>
            </w:pPr>
            <w:proofErr w:type="gramStart"/>
            <w:r w:rsidRPr="00FF64F8">
              <w:rPr>
                <w:rFonts w:cstheme="minorHAnsi"/>
              </w:rPr>
              <w:t xml:space="preserve">6.c </w:t>
            </w:r>
            <w:r w:rsidR="00D46093" w:rsidRPr="00FF64F8">
              <w:rPr>
                <w:rFonts w:cstheme="minorHAnsi"/>
              </w:rPr>
              <w:t>In particular, synergetic</w:t>
            </w:r>
            <w:proofErr w:type="gramEnd"/>
            <w:r w:rsidR="00D46093" w:rsidRPr="00FF64F8">
              <w:rPr>
                <w:rFonts w:cstheme="minorHAnsi"/>
              </w:rPr>
              <w:t xml:space="preserve"> actions aiming at further strengthening of leadership of women through Women in Elections project will be jointly designed and implemented for multiplier effect.</w:t>
            </w:r>
          </w:p>
        </w:tc>
        <w:tc>
          <w:tcPr>
            <w:tcW w:w="1280" w:type="dxa"/>
            <w:vAlign w:val="center"/>
          </w:tcPr>
          <w:p w14:paraId="4773FE31" w14:textId="1A77E3F6" w:rsidR="00B06A3F" w:rsidRPr="00FF64F8" w:rsidRDefault="000C3E61" w:rsidP="00B06A3F">
            <w:pPr>
              <w:tabs>
                <w:tab w:val="left" w:pos="1080"/>
              </w:tabs>
              <w:spacing w:before="20" w:after="20" w:line="240" w:lineRule="auto"/>
              <w:jc w:val="both"/>
              <w:rPr>
                <w:rFonts w:cstheme="minorHAnsi"/>
              </w:rPr>
            </w:pPr>
            <w:r w:rsidRPr="00FF64F8">
              <w:rPr>
                <w:rFonts w:cstheme="minorHAnsi"/>
              </w:rPr>
              <w:lastRenderedPageBreak/>
              <w:t>12/2019</w:t>
            </w:r>
          </w:p>
        </w:tc>
        <w:tc>
          <w:tcPr>
            <w:tcW w:w="2158" w:type="dxa"/>
            <w:gridSpan w:val="3"/>
            <w:vAlign w:val="center"/>
          </w:tcPr>
          <w:p w14:paraId="47EB8188" w14:textId="6EDF0E50" w:rsidR="00B06A3F" w:rsidRPr="00FF64F8" w:rsidRDefault="008D21D9" w:rsidP="00B06A3F">
            <w:pPr>
              <w:tabs>
                <w:tab w:val="left" w:pos="1080"/>
              </w:tabs>
              <w:spacing w:before="20" w:after="20" w:line="240" w:lineRule="auto"/>
              <w:jc w:val="both"/>
              <w:rPr>
                <w:rFonts w:cstheme="minorHAnsi"/>
              </w:rPr>
            </w:pPr>
            <w:r w:rsidRPr="00FF64F8">
              <w:rPr>
                <w:rFonts w:cstheme="minorHAnsi"/>
              </w:rPr>
              <w:t>MZ project</w:t>
            </w:r>
          </w:p>
        </w:tc>
        <w:tc>
          <w:tcPr>
            <w:tcW w:w="4674" w:type="dxa"/>
            <w:gridSpan w:val="2"/>
            <w:vAlign w:val="center"/>
          </w:tcPr>
          <w:p w14:paraId="30D50F2E" w14:textId="2534D5C5" w:rsidR="00165EAB" w:rsidRPr="00FF64F8" w:rsidRDefault="00165EAB" w:rsidP="00B06A3F">
            <w:pPr>
              <w:tabs>
                <w:tab w:val="left" w:pos="1080"/>
              </w:tabs>
              <w:spacing w:before="20" w:after="20" w:line="240" w:lineRule="auto"/>
              <w:jc w:val="both"/>
              <w:rPr>
                <w:rFonts w:cstheme="minorHAnsi"/>
              </w:rPr>
            </w:pPr>
          </w:p>
        </w:tc>
        <w:tc>
          <w:tcPr>
            <w:tcW w:w="1450" w:type="dxa"/>
            <w:vAlign w:val="center"/>
          </w:tcPr>
          <w:p w14:paraId="78B42A34" w14:textId="7DEA65CB" w:rsidR="00B06A3F" w:rsidRPr="00FF64F8" w:rsidRDefault="000C3E61" w:rsidP="00B06A3F">
            <w:pPr>
              <w:tabs>
                <w:tab w:val="left" w:pos="1080"/>
              </w:tabs>
              <w:spacing w:before="20" w:after="20" w:line="240" w:lineRule="auto"/>
              <w:jc w:val="both"/>
              <w:rPr>
                <w:rFonts w:cstheme="minorHAnsi"/>
                <w:color w:val="185262"/>
              </w:rPr>
            </w:pPr>
            <w:r w:rsidRPr="00FF64F8">
              <w:rPr>
                <w:rFonts w:cstheme="minorHAnsi"/>
              </w:rPr>
              <w:t>Initiated</w:t>
            </w:r>
          </w:p>
        </w:tc>
      </w:tr>
      <w:tr w:rsidR="00ED3FE0" w:rsidRPr="00FF64F8" w14:paraId="56DD3D1A" w14:textId="77777777" w:rsidTr="00162762">
        <w:tc>
          <w:tcPr>
            <w:tcW w:w="15115" w:type="dxa"/>
            <w:gridSpan w:val="8"/>
          </w:tcPr>
          <w:p w14:paraId="74F42FDE" w14:textId="78C5D2C8" w:rsidR="00ED3FE0" w:rsidRPr="00FF64F8" w:rsidRDefault="00ED3FE0" w:rsidP="00B06A3F">
            <w:pPr>
              <w:tabs>
                <w:tab w:val="left" w:pos="1080"/>
              </w:tabs>
              <w:spacing w:before="20" w:after="20" w:line="240" w:lineRule="auto"/>
              <w:jc w:val="both"/>
              <w:rPr>
                <w:rFonts w:cstheme="minorHAnsi"/>
              </w:rPr>
            </w:pPr>
            <w:r w:rsidRPr="00FF64F8">
              <w:rPr>
                <w:rFonts w:cstheme="minorHAnsi"/>
                <w:b/>
              </w:rPr>
              <w:t xml:space="preserve">Evaluation recommendation </w:t>
            </w:r>
            <w:r w:rsidR="00D46093" w:rsidRPr="00FF64F8">
              <w:rPr>
                <w:rFonts w:cstheme="minorHAnsi"/>
                <w:b/>
              </w:rPr>
              <w:t>7</w:t>
            </w:r>
            <w:r w:rsidRPr="00FF64F8">
              <w:rPr>
                <w:rFonts w:cstheme="minorHAnsi"/>
                <w:b/>
              </w:rPr>
              <w:t>.</w:t>
            </w:r>
            <w:r w:rsidR="00D46093" w:rsidRPr="00FF64F8">
              <w:rPr>
                <w:rFonts w:cstheme="minorHAnsi"/>
                <w:b/>
              </w:rPr>
              <w:t xml:space="preserve"> </w:t>
            </w:r>
            <w:r w:rsidR="00D46093" w:rsidRPr="00FF64F8">
              <w:t xml:space="preserve"> </w:t>
            </w:r>
            <w:r w:rsidR="00D46093" w:rsidRPr="00FF64F8">
              <w:rPr>
                <w:rFonts w:cstheme="minorHAnsi"/>
                <w:b/>
              </w:rPr>
              <w:t>Contribute to development. Future Project interventions should aim to localise further the Sustainable Development Goals (</w:t>
            </w:r>
            <w:proofErr w:type="gramStart"/>
            <w:r w:rsidR="00D46093" w:rsidRPr="00FF64F8">
              <w:rPr>
                <w:rFonts w:cstheme="minorHAnsi"/>
                <w:b/>
              </w:rPr>
              <w:t>in particular SDGs</w:t>
            </w:r>
            <w:proofErr w:type="gramEnd"/>
            <w:r w:rsidR="00D46093" w:rsidRPr="00FF64F8">
              <w:rPr>
                <w:rFonts w:cstheme="minorHAnsi"/>
                <w:b/>
              </w:rPr>
              <w:t xml:space="preserve"> 5 and 11) by linking them to planned systemic changes at the local government and </w:t>
            </w:r>
            <w:proofErr w:type="spellStart"/>
            <w:r w:rsidR="00D46093" w:rsidRPr="00FF64F8">
              <w:rPr>
                <w:rFonts w:cstheme="minorHAnsi"/>
                <w:b/>
              </w:rPr>
              <w:t>mjesne</w:t>
            </w:r>
            <w:proofErr w:type="spellEnd"/>
            <w:r w:rsidR="00D46093" w:rsidRPr="00FF64F8">
              <w:rPr>
                <w:rFonts w:cstheme="minorHAnsi"/>
                <w:b/>
              </w:rPr>
              <w:t xml:space="preserve"> </w:t>
            </w:r>
            <w:proofErr w:type="spellStart"/>
            <w:r w:rsidR="00D46093" w:rsidRPr="00FF64F8">
              <w:rPr>
                <w:rFonts w:cstheme="minorHAnsi"/>
                <w:b/>
              </w:rPr>
              <w:t>zajednice</w:t>
            </w:r>
            <w:proofErr w:type="spellEnd"/>
            <w:r w:rsidR="00D46093" w:rsidRPr="00FF64F8">
              <w:rPr>
                <w:rFonts w:cstheme="minorHAnsi"/>
                <w:b/>
              </w:rPr>
              <w:t xml:space="preserve"> level.</w:t>
            </w:r>
          </w:p>
        </w:tc>
      </w:tr>
      <w:tr w:rsidR="00ED3FE0" w:rsidRPr="00FF64F8" w14:paraId="0C926843" w14:textId="77777777" w:rsidTr="00916D0D">
        <w:tc>
          <w:tcPr>
            <w:tcW w:w="15115" w:type="dxa"/>
            <w:gridSpan w:val="8"/>
          </w:tcPr>
          <w:p w14:paraId="7D5A4EEA" w14:textId="5F839DBA" w:rsidR="00ED3FE0" w:rsidRPr="00FF64F8" w:rsidRDefault="00ED3FE0" w:rsidP="00B06A3F">
            <w:pPr>
              <w:tabs>
                <w:tab w:val="left" w:pos="1080"/>
              </w:tabs>
              <w:spacing w:before="20" w:after="20" w:line="240" w:lineRule="auto"/>
              <w:jc w:val="both"/>
              <w:rPr>
                <w:rFonts w:cstheme="minorHAnsi"/>
              </w:rPr>
            </w:pPr>
            <w:r w:rsidRPr="00FF64F8">
              <w:rPr>
                <w:rFonts w:cstheme="minorHAnsi"/>
                <w:b/>
              </w:rPr>
              <w:t xml:space="preserve">Management response: UNDP agrees with this </w:t>
            </w:r>
            <w:r w:rsidR="00D46093" w:rsidRPr="00FF64F8">
              <w:rPr>
                <w:rFonts w:cstheme="minorHAnsi"/>
                <w:b/>
              </w:rPr>
              <w:t>recommendation</w:t>
            </w:r>
            <w:r w:rsidRPr="00FF64F8">
              <w:rPr>
                <w:rFonts w:cstheme="minorHAnsi"/>
                <w:b/>
              </w:rPr>
              <w:t>.</w:t>
            </w:r>
            <w:r w:rsidR="00D46093" w:rsidRPr="00FF64F8">
              <w:rPr>
                <w:rFonts w:cstheme="minorHAnsi"/>
                <w:b/>
              </w:rPr>
              <w:t xml:space="preserve"> </w:t>
            </w:r>
          </w:p>
        </w:tc>
      </w:tr>
      <w:tr w:rsidR="00E809BA" w:rsidRPr="00FF64F8" w14:paraId="0491C197" w14:textId="77777777" w:rsidTr="00A12525">
        <w:tc>
          <w:tcPr>
            <w:tcW w:w="5553" w:type="dxa"/>
          </w:tcPr>
          <w:p w14:paraId="4E00C47C" w14:textId="77777777" w:rsidR="000C3E61" w:rsidRPr="00FF64F8" w:rsidRDefault="000C3E61" w:rsidP="000C3E61">
            <w:pPr>
              <w:tabs>
                <w:tab w:val="left" w:pos="1080"/>
              </w:tabs>
              <w:spacing w:before="20" w:after="20"/>
              <w:jc w:val="both"/>
              <w:rPr>
                <w:rFonts w:cstheme="minorHAnsi"/>
              </w:rPr>
            </w:pPr>
            <w:r w:rsidRPr="00FF64F8">
              <w:rPr>
                <w:rFonts w:cstheme="minorHAnsi"/>
              </w:rPr>
              <w:t xml:space="preserve">7.a </w:t>
            </w:r>
            <w:r w:rsidR="00D46093" w:rsidRPr="00FF64F8">
              <w:rPr>
                <w:rFonts w:cstheme="minorHAnsi"/>
              </w:rPr>
              <w:t>Continue supporting 2030 Agenda and implementation of SDGs (</w:t>
            </w:r>
            <w:proofErr w:type="gramStart"/>
            <w:r w:rsidR="00D46093" w:rsidRPr="00FF64F8">
              <w:rPr>
                <w:rFonts w:cstheme="minorHAnsi"/>
              </w:rPr>
              <w:t>in particular SDGs</w:t>
            </w:r>
            <w:proofErr w:type="gramEnd"/>
            <w:r w:rsidR="00D46093" w:rsidRPr="00FF64F8">
              <w:rPr>
                <w:rFonts w:cstheme="minorHAnsi"/>
              </w:rPr>
              <w:t xml:space="preserve"> 5, 11 and 16) by raising awareness and mobilising action for structural or soft changes and transformation of processes at the LG and MZ levels.</w:t>
            </w:r>
          </w:p>
          <w:p w14:paraId="67B6928D" w14:textId="1FD51E86" w:rsidR="00ED3FE0" w:rsidRPr="00FF64F8" w:rsidRDefault="000C3E61" w:rsidP="000C3E61">
            <w:pPr>
              <w:tabs>
                <w:tab w:val="left" w:pos="1080"/>
              </w:tabs>
              <w:spacing w:before="20" w:after="20"/>
              <w:jc w:val="both"/>
              <w:rPr>
                <w:rFonts w:cstheme="minorHAnsi"/>
                <w:bCs/>
              </w:rPr>
            </w:pPr>
            <w:r w:rsidRPr="00FF64F8">
              <w:rPr>
                <w:rFonts w:cstheme="minorHAnsi"/>
              </w:rPr>
              <w:t xml:space="preserve">7.b </w:t>
            </w:r>
            <w:r w:rsidR="00D46093" w:rsidRPr="00FF64F8">
              <w:rPr>
                <w:rFonts w:cstheme="minorHAnsi"/>
              </w:rPr>
              <w:t>Community Hubs will be utilised as a platform for information sharing, dialogue, sourcing ideas and forging action. UNDP commits to pursue this as a cross-cutting theme for all activities.</w:t>
            </w:r>
          </w:p>
        </w:tc>
        <w:tc>
          <w:tcPr>
            <w:tcW w:w="1280" w:type="dxa"/>
            <w:vAlign w:val="center"/>
          </w:tcPr>
          <w:p w14:paraId="62211E9C" w14:textId="24089D4A" w:rsidR="00ED3FE0" w:rsidRPr="00FF64F8" w:rsidRDefault="000C3E61" w:rsidP="00ED3FE0">
            <w:pPr>
              <w:tabs>
                <w:tab w:val="left" w:pos="1080"/>
              </w:tabs>
              <w:spacing w:before="20" w:after="20" w:line="240" w:lineRule="auto"/>
              <w:jc w:val="both"/>
              <w:rPr>
                <w:rFonts w:cstheme="minorHAnsi"/>
              </w:rPr>
            </w:pPr>
            <w:r w:rsidRPr="00FF64F8">
              <w:rPr>
                <w:rFonts w:cstheme="minorHAnsi"/>
              </w:rPr>
              <w:t>12/2019</w:t>
            </w:r>
          </w:p>
        </w:tc>
        <w:tc>
          <w:tcPr>
            <w:tcW w:w="2158" w:type="dxa"/>
            <w:gridSpan w:val="3"/>
            <w:vAlign w:val="center"/>
          </w:tcPr>
          <w:p w14:paraId="2BA03C63" w14:textId="38C0A005" w:rsidR="00ED3FE0" w:rsidRPr="00FF64F8" w:rsidRDefault="008D21D9" w:rsidP="00ED3FE0">
            <w:pPr>
              <w:tabs>
                <w:tab w:val="left" w:pos="1080"/>
              </w:tabs>
              <w:spacing w:before="20" w:after="20" w:line="240" w:lineRule="auto"/>
              <w:jc w:val="both"/>
              <w:rPr>
                <w:rFonts w:cstheme="minorHAnsi"/>
              </w:rPr>
            </w:pPr>
            <w:r w:rsidRPr="00FF64F8">
              <w:rPr>
                <w:rFonts w:cstheme="minorHAnsi"/>
              </w:rPr>
              <w:t>MZ Project</w:t>
            </w:r>
          </w:p>
        </w:tc>
        <w:tc>
          <w:tcPr>
            <w:tcW w:w="4674" w:type="dxa"/>
            <w:gridSpan w:val="2"/>
          </w:tcPr>
          <w:p w14:paraId="3D396327" w14:textId="17515675" w:rsidR="00ED3FE0" w:rsidRPr="00FF64F8" w:rsidRDefault="00ED3FE0" w:rsidP="00ED3FE0">
            <w:pPr>
              <w:spacing w:line="276" w:lineRule="auto"/>
              <w:jc w:val="both"/>
              <w:rPr>
                <w:rFonts w:cstheme="minorHAnsi"/>
              </w:rPr>
            </w:pPr>
          </w:p>
        </w:tc>
        <w:tc>
          <w:tcPr>
            <w:tcW w:w="1450" w:type="dxa"/>
            <w:vAlign w:val="center"/>
          </w:tcPr>
          <w:p w14:paraId="5D9DAA0E" w14:textId="7E4D20DA" w:rsidR="00ED3FE0" w:rsidRPr="00FF64F8" w:rsidRDefault="000C3E61" w:rsidP="00ED3FE0">
            <w:pPr>
              <w:tabs>
                <w:tab w:val="left" w:pos="1080"/>
              </w:tabs>
              <w:spacing w:before="20" w:after="20" w:line="240" w:lineRule="auto"/>
              <w:jc w:val="both"/>
              <w:rPr>
                <w:rFonts w:cstheme="minorHAnsi"/>
                <w:color w:val="185262"/>
              </w:rPr>
            </w:pPr>
            <w:r w:rsidRPr="00FF64F8">
              <w:rPr>
                <w:rFonts w:cstheme="minorHAnsi"/>
              </w:rPr>
              <w:t xml:space="preserve">Initiated </w:t>
            </w:r>
          </w:p>
        </w:tc>
      </w:tr>
      <w:tr w:rsidR="00ED3FE0" w:rsidRPr="00FF64F8" w14:paraId="6AD1228A" w14:textId="77777777" w:rsidTr="00FA1801">
        <w:tc>
          <w:tcPr>
            <w:tcW w:w="15115" w:type="dxa"/>
            <w:gridSpan w:val="8"/>
          </w:tcPr>
          <w:p w14:paraId="635263F2" w14:textId="55DA8F69" w:rsidR="00ED3FE0" w:rsidRPr="00FF64F8" w:rsidRDefault="00ED3FE0" w:rsidP="00ED3FE0">
            <w:pPr>
              <w:tabs>
                <w:tab w:val="left" w:pos="1080"/>
              </w:tabs>
              <w:spacing w:before="20" w:after="20" w:line="240" w:lineRule="auto"/>
              <w:jc w:val="both"/>
              <w:rPr>
                <w:rFonts w:cstheme="minorHAnsi"/>
              </w:rPr>
            </w:pPr>
            <w:r w:rsidRPr="00FF64F8">
              <w:rPr>
                <w:rFonts w:cstheme="minorHAnsi"/>
                <w:b/>
              </w:rPr>
              <w:t xml:space="preserve">Evaluation recommendation </w:t>
            </w:r>
            <w:r w:rsidR="00D46093" w:rsidRPr="00FF64F8">
              <w:rPr>
                <w:rFonts w:cstheme="minorHAnsi"/>
                <w:b/>
              </w:rPr>
              <w:t>8</w:t>
            </w:r>
            <w:r w:rsidRPr="00FF64F8">
              <w:rPr>
                <w:rFonts w:cstheme="minorHAnsi"/>
                <w:b/>
              </w:rPr>
              <w:t>.</w:t>
            </w:r>
            <w:r w:rsidR="00284F6B" w:rsidRPr="00FF64F8">
              <w:rPr>
                <w:rFonts w:cstheme="minorHAnsi"/>
                <w:b/>
              </w:rPr>
              <w:t xml:space="preserve"> </w:t>
            </w:r>
            <w:r w:rsidR="00284F6B" w:rsidRPr="00FF64F8">
              <w:t xml:space="preserve"> </w:t>
            </w:r>
            <w:r w:rsidR="00284F6B" w:rsidRPr="00FF64F8">
              <w:rPr>
                <w:rFonts w:cstheme="minorHAnsi"/>
              </w:rPr>
              <w:t>Develop a strategic framework for cooperation with civil society. In accordance with the findings of the 2018 European Commission Progress Report on Bosnia and Herzegovina, develop a strategic framework for cooperation with civil society at all levels of governance. Utilise the potential of the Project to contribute to this new strategic approach by building on the achieved results in terms of working closely with civil society and by utilising a participatory approach.</w:t>
            </w:r>
          </w:p>
        </w:tc>
      </w:tr>
      <w:tr w:rsidR="00ED3FE0" w:rsidRPr="00FF64F8" w14:paraId="16D7FA75" w14:textId="77777777" w:rsidTr="0002129D">
        <w:tc>
          <w:tcPr>
            <w:tcW w:w="15115" w:type="dxa"/>
            <w:gridSpan w:val="8"/>
          </w:tcPr>
          <w:p w14:paraId="66B708C2" w14:textId="1F61C8E5" w:rsidR="00ED3FE0" w:rsidRPr="00FF64F8" w:rsidRDefault="00ED3FE0" w:rsidP="00ED3FE0">
            <w:pPr>
              <w:tabs>
                <w:tab w:val="left" w:pos="1080"/>
              </w:tabs>
              <w:spacing w:before="20" w:after="20" w:line="240" w:lineRule="auto"/>
              <w:jc w:val="both"/>
              <w:rPr>
                <w:rFonts w:cstheme="minorHAnsi"/>
              </w:rPr>
            </w:pPr>
            <w:r w:rsidRPr="00FF64F8">
              <w:rPr>
                <w:rFonts w:cstheme="minorHAnsi"/>
                <w:b/>
              </w:rPr>
              <w:t xml:space="preserve">Management response: UNDP </w:t>
            </w:r>
            <w:r w:rsidR="00ED15C0" w:rsidRPr="00FF64F8">
              <w:rPr>
                <w:rFonts w:cstheme="minorHAnsi"/>
                <w:b/>
              </w:rPr>
              <w:t xml:space="preserve">partially </w:t>
            </w:r>
            <w:r w:rsidRPr="00FF64F8">
              <w:rPr>
                <w:rFonts w:cstheme="minorHAnsi"/>
                <w:b/>
              </w:rPr>
              <w:t>agrees with this finding.</w:t>
            </w:r>
            <w:r w:rsidR="00284F6B" w:rsidRPr="00FF64F8">
              <w:rPr>
                <w:rFonts w:cstheme="minorHAnsi"/>
                <w:b/>
              </w:rPr>
              <w:t xml:space="preserve"> </w:t>
            </w:r>
            <w:r w:rsidR="00284F6B" w:rsidRPr="00FF64F8">
              <w:t xml:space="preserve"> </w:t>
            </w:r>
            <w:r w:rsidR="00284F6B" w:rsidRPr="00FF64F8">
              <w:rPr>
                <w:rFonts w:cstheme="minorHAnsi"/>
              </w:rPr>
              <w:t>UNDP agrees with this recommendation but only with its aspect of offering continued support to civil society organizations and community-based organizations. We do not quite understand what specific reference the evaluator is referring to, nor do we understand what strategic framework for cooperation with civil society means especially from the perspective of ‘all levels of government.</w:t>
            </w:r>
            <w:r w:rsidR="00284F6B" w:rsidRPr="00FF64F8">
              <w:rPr>
                <w:rFonts w:eastAsia="Times New Roman" w:cstheme="minorHAnsi"/>
              </w:rPr>
              <w:t xml:space="preserve"> UNDP agrees with the continued need to support civil society in Bosnia and Herzegovina. </w:t>
            </w:r>
            <w:r w:rsidR="00284F6B" w:rsidRPr="00FF64F8">
              <w:t xml:space="preserve"> </w:t>
            </w:r>
            <w:r w:rsidR="00284F6B" w:rsidRPr="00FF64F8">
              <w:rPr>
                <w:rFonts w:eastAsia="Times New Roman" w:cstheme="minorHAnsi"/>
              </w:rPr>
              <w:t>However, developing a formal strategic framework for cooperation with civil society in Bosnia and Herzegovina is somewhat beyond the scope of this Project, and should be tackled as a primary target of a dedicated initiative.</w:t>
            </w:r>
          </w:p>
        </w:tc>
      </w:tr>
      <w:tr w:rsidR="00E809BA" w:rsidRPr="00FF64F8" w14:paraId="5C58432E" w14:textId="77777777" w:rsidTr="00A12525">
        <w:tc>
          <w:tcPr>
            <w:tcW w:w="5553" w:type="dxa"/>
          </w:tcPr>
          <w:p w14:paraId="50179156" w14:textId="77777777" w:rsidR="00296526" w:rsidRPr="00FF64F8" w:rsidRDefault="00296526" w:rsidP="00ED0A77">
            <w:pPr>
              <w:tabs>
                <w:tab w:val="left" w:pos="1080"/>
              </w:tabs>
              <w:spacing w:before="20" w:after="20"/>
              <w:jc w:val="both"/>
              <w:rPr>
                <w:rFonts w:cstheme="minorHAnsi"/>
              </w:rPr>
            </w:pPr>
            <w:r w:rsidRPr="00FF64F8">
              <w:rPr>
                <w:rFonts w:cstheme="minorHAnsi"/>
              </w:rPr>
              <w:t xml:space="preserve">8.a </w:t>
            </w:r>
            <w:r w:rsidR="00284F6B" w:rsidRPr="00FF64F8">
              <w:rPr>
                <w:rFonts w:cstheme="minorHAnsi"/>
              </w:rPr>
              <w:t xml:space="preserve">Support CSOs to foster more substantive involvement of citizens in decision making on one hand, and on the other to better engage MZs in identifying priorities of citizens. </w:t>
            </w:r>
          </w:p>
          <w:p w14:paraId="406C721E" w14:textId="77777777" w:rsidR="00296526" w:rsidRPr="00FF64F8" w:rsidRDefault="00296526" w:rsidP="00ED0A77">
            <w:pPr>
              <w:tabs>
                <w:tab w:val="left" w:pos="1080"/>
              </w:tabs>
              <w:spacing w:before="20" w:after="20"/>
              <w:jc w:val="both"/>
              <w:rPr>
                <w:rFonts w:cstheme="minorHAnsi"/>
              </w:rPr>
            </w:pPr>
          </w:p>
          <w:p w14:paraId="76B01745" w14:textId="3277C719" w:rsidR="00ED3FE0" w:rsidRPr="00FF64F8" w:rsidRDefault="00296526" w:rsidP="00ED0A77">
            <w:pPr>
              <w:tabs>
                <w:tab w:val="left" w:pos="1080"/>
              </w:tabs>
              <w:spacing w:before="20" w:after="20"/>
              <w:jc w:val="both"/>
              <w:rPr>
                <w:rFonts w:cstheme="minorHAnsi"/>
              </w:rPr>
            </w:pPr>
            <w:r w:rsidRPr="00FF64F8">
              <w:rPr>
                <w:rFonts w:cstheme="minorHAnsi"/>
              </w:rPr>
              <w:lastRenderedPageBreak/>
              <w:t xml:space="preserve">8.b </w:t>
            </w:r>
            <w:r w:rsidR="00284F6B" w:rsidRPr="00FF64F8">
              <w:rPr>
                <w:rFonts w:cstheme="minorHAnsi"/>
              </w:rPr>
              <w:t xml:space="preserve">Deepen cooperation with the CSOs to gain momentum for implementation of the four MZ vision models. </w:t>
            </w:r>
          </w:p>
        </w:tc>
        <w:tc>
          <w:tcPr>
            <w:tcW w:w="1280" w:type="dxa"/>
            <w:vAlign w:val="center"/>
          </w:tcPr>
          <w:p w14:paraId="5C7997D1" w14:textId="65D92F25" w:rsidR="00ED3FE0" w:rsidRPr="00FF64F8" w:rsidRDefault="00296526" w:rsidP="00ED3FE0">
            <w:pPr>
              <w:tabs>
                <w:tab w:val="left" w:pos="1080"/>
              </w:tabs>
              <w:spacing w:before="20" w:after="20" w:line="240" w:lineRule="auto"/>
              <w:jc w:val="both"/>
              <w:rPr>
                <w:rFonts w:cstheme="minorHAnsi"/>
              </w:rPr>
            </w:pPr>
            <w:r w:rsidRPr="00FF64F8">
              <w:rPr>
                <w:rFonts w:cstheme="minorHAnsi"/>
              </w:rPr>
              <w:lastRenderedPageBreak/>
              <w:t>12/2019</w:t>
            </w:r>
          </w:p>
        </w:tc>
        <w:tc>
          <w:tcPr>
            <w:tcW w:w="2158" w:type="dxa"/>
            <w:gridSpan w:val="3"/>
            <w:vAlign w:val="center"/>
          </w:tcPr>
          <w:p w14:paraId="3FC2208A" w14:textId="72E71ABF" w:rsidR="00ED3FE0" w:rsidRPr="00FF64F8" w:rsidRDefault="001C1F0E" w:rsidP="00ED3FE0">
            <w:pPr>
              <w:tabs>
                <w:tab w:val="left" w:pos="1080"/>
              </w:tabs>
              <w:spacing w:before="20" w:after="20" w:line="240" w:lineRule="auto"/>
              <w:jc w:val="both"/>
              <w:rPr>
                <w:rFonts w:cstheme="minorHAnsi"/>
              </w:rPr>
            </w:pPr>
            <w:r w:rsidRPr="00FF64F8">
              <w:rPr>
                <w:rFonts w:cstheme="minorHAnsi"/>
              </w:rPr>
              <w:t xml:space="preserve">UNDP, </w:t>
            </w:r>
            <w:r w:rsidR="008D21D9" w:rsidRPr="00FF64F8">
              <w:rPr>
                <w:rFonts w:cstheme="minorHAnsi"/>
              </w:rPr>
              <w:t>MZ Project</w:t>
            </w:r>
          </w:p>
        </w:tc>
        <w:tc>
          <w:tcPr>
            <w:tcW w:w="4674" w:type="dxa"/>
            <w:gridSpan w:val="2"/>
          </w:tcPr>
          <w:p w14:paraId="15673264" w14:textId="7C78D5E0" w:rsidR="00ED3FE0" w:rsidRPr="00FF64F8" w:rsidRDefault="00ED3FE0" w:rsidP="00ED3FE0">
            <w:pPr>
              <w:spacing w:line="276" w:lineRule="auto"/>
              <w:jc w:val="both"/>
              <w:rPr>
                <w:rFonts w:cstheme="minorHAnsi"/>
              </w:rPr>
            </w:pPr>
          </w:p>
        </w:tc>
        <w:tc>
          <w:tcPr>
            <w:tcW w:w="1450" w:type="dxa"/>
            <w:vAlign w:val="center"/>
          </w:tcPr>
          <w:p w14:paraId="5557908F" w14:textId="77777777" w:rsidR="00296526" w:rsidRPr="00FF64F8" w:rsidRDefault="00296526" w:rsidP="00ED3FE0">
            <w:pPr>
              <w:tabs>
                <w:tab w:val="left" w:pos="1080"/>
              </w:tabs>
              <w:spacing w:before="20" w:after="20" w:line="240" w:lineRule="auto"/>
              <w:jc w:val="both"/>
              <w:rPr>
                <w:rFonts w:cstheme="minorHAnsi"/>
                <w:color w:val="185262"/>
              </w:rPr>
            </w:pPr>
          </w:p>
          <w:p w14:paraId="2E905B80" w14:textId="60C1422D" w:rsidR="00ED3FE0" w:rsidRPr="00FF64F8" w:rsidRDefault="00296526" w:rsidP="00ED3FE0">
            <w:pPr>
              <w:tabs>
                <w:tab w:val="left" w:pos="1080"/>
              </w:tabs>
              <w:spacing w:before="20" w:after="20" w:line="240" w:lineRule="auto"/>
              <w:jc w:val="both"/>
              <w:rPr>
                <w:rFonts w:cstheme="minorHAnsi"/>
              </w:rPr>
            </w:pPr>
            <w:r w:rsidRPr="00FF64F8">
              <w:rPr>
                <w:rFonts w:cstheme="minorHAnsi"/>
              </w:rPr>
              <w:t xml:space="preserve">Initiated </w:t>
            </w:r>
          </w:p>
          <w:p w14:paraId="3CA18B3B" w14:textId="77777777" w:rsidR="00296526" w:rsidRPr="00FF64F8" w:rsidRDefault="00296526" w:rsidP="00ED3FE0">
            <w:pPr>
              <w:tabs>
                <w:tab w:val="left" w:pos="1080"/>
              </w:tabs>
              <w:spacing w:before="20" w:after="20" w:line="240" w:lineRule="auto"/>
              <w:jc w:val="both"/>
              <w:rPr>
                <w:rFonts w:cstheme="minorHAnsi"/>
              </w:rPr>
            </w:pPr>
          </w:p>
          <w:p w14:paraId="3A32E774" w14:textId="77777777" w:rsidR="00296526" w:rsidRPr="00FF64F8" w:rsidRDefault="00296526" w:rsidP="00ED3FE0">
            <w:pPr>
              <w:tabs>
                <w:tab w:val="left" w:pos="1080"/>
              </w:tabs>
              <w:spacing w:before="20" w:after="20" w:line="240" w:lineRule="auto"/>
              <w:jc w:val="both"/>
              <w:rPr>
                <w:rFonts w:cstheme="minorHAnsi"/>
              </w:rPr>
            </w:pPr>
          </w:p>
          <w:p w14:paraId="0E981DB5" w14:textId="77777777" w:rsidR="00296526" w:rsidRPr="00FF64F8" w:rsidRDefault="00296526" w:rsidP="00ED3FE0">
            <w:pPr>
              <w:tabs>
                <w:tab w:val="left" w:pos="1080"/>
              </w:tabs>
              <w:spacing w:before="20" w:after="20" w:line="240" w:lineRule="auto"/>
              <w:jc w:val="both"/>
              <w:rPr>
                <w:rFonts w:cstheme="minorHAnsi"/>
              </w:rPr>
            </w:pPr>
          </w:p>
          <w:p w14:paraId="3304DB27" w14:textId="7DD139E7" w:rsidR="00296526" w:rsidRPr="00FF64F8" w:rsidRDefault="00296526" w:rsidP="00ED3FE0">
            <w:pPr>
              <w:tabs>
                <w:tab w:val="left" w:pos="1080"/>
              </w:tabs>
              <w:spacing w:before="20" w:after="20" w:line="240" w:lineRule="auto"/>
              <w:jc w:val="both"/>
              <w:rPr>
                <w:rFonts w:cstheme="minorHAnsi"/>
                <w:color w:val="185262"/>
              </w:rPr>
            </w:pPr>
            <w:r w:rsidRPr="00FF64F8">
              <w:rPr>
                <w:rFonts w:cstheme="minorHAnsi"/>
              </w:rPr>
              <w:t xml:space="preserve">Initiated </w:t>
            </w:r>
          </w:p>
        </w:tc>
      </w:tr>
      <w:tr w:rsidR="00ED3FE0" w:rsidRPr="00FF64F8" w14:paraId="09D5C796" w14:textId="77777777" w:rsidTr="000E3BC7">
        <w:tc>
          <w:tcPr>
            <w:tcW w:w="15115" w:type="dxa"/>
            <w:gridSpan w:val="8"/>
          </w:tcPr>
          <w:p w14:paraId="789F142C" w14:textId="4064A63E" w:rsidR="00ED3FE0" w:rsidRPr="00FF64F8" w:rsidRDefault="00ED3FE0" w:rsidP="00ED3FE0">
            <w:pPr>
              <w:tabs>
                <w:tab w:val="left" w:pos="1080"/>
              </w:tabs>
              <w:spacing w:before="20" w:after="20" w:line="240" w:lineRule="auto"/>
              <w:jc w:val="both"/>
              <w:rPr>
                <w:rFonts w:cstheme="minorHAnsi"/>
              </w:rPr>
            </w:pPr>
            <w:r w:rsidRPr="00FF64F8">
              <w:rPr>
                <w:rFonts w:cstheme="minorHAnsi"/>
                <w:b/>
              </w:rPr>
              <w:lastRenderedPageBreak/>
              <w:t xml:space="preserve">Evaluation recommendation </w:t>
            </w:r>
            <w:r w:rsidR="00D46093" w:rsidRPr="00FF64F8">
              <w:rPr>
                <w:rFonts w:cstheme="minorHAnsi"/>
                <w:b/>
              </w:rPr>
              <w:t>9</w:t>
            </w:r>
            <w:r w:rsidRPr="00FF64F8">
              <w:rPr>
                <w:rFonts w:cstheme="minorHAnsi"/>
                <w:b/>
              </w:rPr>
              <w:t>.</w:t>
            </w:r>
            <w:r w:rsidR="00284F6B" w:rsidRPr="00FF64F8">
              <w:rPr>
                <w:rFonts w:cstheme="minorHAnsi"/>
                <w:b/>
              </w:rPr>
              <w:t xml:space="preserve"> </w:t>
            </w:r>
            <w:r w:rsidR="00284F6B" w:rsidRPr="00FF64F8">
              <w:t xml:space="preserve"> </w:t>
            </w:r>
            <w:r w:rsidR="00284F6B" w:rsidRPr="00FF64F8">
              <w:rPr>
                <w:rFonts w:cstheme="minorHAnsi"/>
              </w:rPr>
              <w:t>Strengthen horizontal and vertical linkages. Local government has access to IPA II funds as part of Bosnia and Herzegovina’s progress towards EU candidate country status. Strengthening horizontal and vertical linkages at the local level would provide local government with increased opportunities to access IPA funds under the sectors of Democracy and Governance, Social Policy, Environment and Climate Change (which have been the focus of local priority projects to date). The centralised government finance system distances local government and as a result financial sustainability is among the top concerns of local government. Addressing this issue is essential for the sustainability of the Project and its activities.</w:t>
            </w:r>
          </w:p>
        </w:tc>
      </w:tr>
      <w:tr w:rsidR="00ED3FE0" w:rsidRPr="00FF64F8" w14:paraId="52421E75" w14:textId="77777777" w:rsidTr="002E774F">
        <w:tc>
          <w:tcPr>
            <w:tcW w:w="15115" w:type="dxa"/>
            <w:gridSpan w:val="8"/>
          </w:tcPr>
          <w:p w14:paraId="18D22E2C" w14:textId="5767DF1B" w:rsidR="00ED3FE0" w:rsidRPr="00FF64F8" w:rsidRDefault="00ED3FE0" w:rsidP="00ED3FE0">
            <w:pPr>
              <w:tabs>
                <w:tab w:val="left" w:pos="1080"/>
              </w:tabs>
              <w:spacing w:before="20" w:after="20" w:line="240" w:lineRule="auto"/>
              <w:jc w:val="both"/>
              <w:rPr>
                <w:rFonts w:cstheme="minorHAnsi"/>
              </w:rPr>
            </w:pPr>
            <w:r w:rsidRPr="00FF64F8">
              <w:rPr>
                <w:rFonts w:cstheme="minorHAnsi"/>
                <w:b/>
              </w:rPr>
              <w:t xml:space="preserve">Management response: </w:t>
            </w:r>
            <w:r w:rsidR="00284F6B" w:rsidRPr="00FF64F8">
              <w:rPr>
                <w:rFonts w:cstheme="minorHAnsi"/>
              </w:rPr>
              <w:t>UNDP agrees that strengthening horizontal and vertical linkages at the local level would provide local governments with increased opportunities to access IPA II funds however it would be useful to define whether we are talking about institutional, human or legal linkages are being explored. UNDP agrees that more broadly the Project may be geared to contribute to this goal. However, capacitating stakeholders for IPA II absorption is a complex, costly and long-term endeavour that requires a significant investment, undivided attention and focused action- and would be best treated by a separate programmatic intervention and a distinct funding source.</w:t>
            </w:r>
          </w:p>
        </w:tc>
      </w:tr>
      <w:tr w:rsidR="00907196" w:rsidRPr="00FF64F8" w14:paraId="604FD062" w14:textId="77777777" w:rsidTr="002E774F">
        <w:tc>
          <w:tcPr>
            <w:tcW w:w="15115" w:type="dxa"/>
            <w:gridSpan w:val="8"/>
          </w:tcPr>
          <w:p w14:paraId="3F69FE5B" w14:textId="3E100605" w:rsidR="00907196" w:rsidRPr="00FF64F8" w:rsidRDefault="00907196" w:rsidP="00ED3FE0">
            <w:pPr>
              <w:tabs>
                <w:tab w:val="left" w:pos="1080"/>
              </w:tabs>
              <w:spacing w:before="20" w:after="20" w:line="240" w:lineRule="auto"/>
              <w:jc w:val="both"/>
              <w:rPr>
                <w:rFonts w:cstheme="minorHAnsi"/>
                <w:b/>
              </w:rPr>
            </w:pPr>
            <w:r w:rsidRPr="00FF64F8">
              <w:rPr>
                <w:rFonts w:cstheme="minorHAnsi"/>
                <w:b/>
              </w:rPr>
              <w:t xml:space="preserve">Evaluation recommendation number 10 (specific for phase 1): </w:t>
            </w:r>
            <w:r w:rsidRPr="00FF64F8">
              <w:rPr>
                <w:rFonts w:cstheme="minorHAnsi"/>
              </w:rPr>
              <w:t xml:space="preserve">Operationally, the Project should continue to work on Outcome 3 and explore avenues to amend the legal frameworks that regulate local self-governance in </w:t>
            </w:r>
            <w:proofErr w:type="spellStart"/>
            <w:r w:rsidRPr="00FF64F8">
              <w:rPr>
                <w:rFonts w:cstheme="minorHAnsi"/>
              </w:rPr>
              <w:t>Republika</w:t>
            </w:r>
            <w:proofErr w:type="spellEnd"/>
            <w:r w:rsidRPr="00FF64F8">
              <w:rPr>
                <w:rFonts w:cstheme="minorHAnsi"/>
              </w:rPr>
              <w:t xml:space="preserve"> Srpska, the Federation of Bosnia and Herzegovina and </w:t>
            </w:r>
            <w:proofErr w:type="spellStart"/>
            <w:r w:rsidRPr="00FF64F8">
              <w:rPr>
                <w:rFonts w:cstheme="minorHAnsi"/>
              </w:rPr>
              <w:t>Brčko</w:t>
            </w:r>
            <w:proofErr w:type="spellEnd"/>
            <w:r w:rsidRPr="00FF64F8">
              <w:rPr>
                <w:rFonts w:cstheme="minorHAnsi"/>
              </w:rPr>
              <w:t xml:space="preserve"> District. This effort should </w:t>
            </w:r>
            <w:proofErr w:type="gramStart"/>
            <w:r w:rsidRPr="00FF64F8">
              <w:rPr>
                <w:rFonts w:cstheme="minorHAnsi"/>
              </w:rPr>
              <w:t>in particular target</w:t>
            </w:r>
            <w:proofErr w:type="gramEnd"/>
            <w:r w:rsidRPr="00FF64F8">
              <w:rPr>
                <w:rFonts w:cstheme="minorHAnsi"/>
              </w:rPr>
              <w:t xml:space="preserve"> potential influencers who would be willing to push the reform agenda on the table of members of parliament and other relevant institutional bodies (some already cultivated).</w:t>
            </w:r>
          </w:p>
        </w:tc>
      </w:tr>
      <w:tr w:rsidR="00907196" w:rsidRPr="00FF64F8" w14:paraId="453A1EAA" w14:textId="77777777" w:rsidTr="002E774F">
        <w:tc>
          <w:tcPr>
            <w:tcW w:w="15115" w:type="dxa"/>
            <w:gridSpan w:val="8"/>
          </w:tcPr>
          <w:p w14:paraId="4874D5C7" w14:textId="0DFE6050" w:rsidR="00907196" w:rsidRPr="00FF64F8" w:rsidRDefault="007C6B6B" w:rsidP="00ED3FE0">
            <w:pPr>
              <w:tabs>
                <w:tab w:val="left" w:pos="1080"/>
              </w:tabs>
              <w:spacing w:before="20" w:after="20" w:line="240" w:lineRule="auto"/>
              <w:jc w:val="both"/>
              <w:rPr>
                <w:rFonts w:cstheme="minorHAnsi"/>
                <w:b/>
              </w:rPr>
            </w:pPr>
            <w:r w:rsidRPr="00FF64F8">
              <w:rPr>
                <w:rFonts w:cstheme="minorHAnsi"/>
                <w:b/>
              </w:rPr>
              <w:t xml:space="preserve">Management response: </w:t>
            </w:r>
            <w:r w:rsidRPr="00FF64F8">
              <w:rPr>
                <w:rFonts w:cstheme="minorHAnsi"/>
              </w:rPr>
              <w:t xml:space="preserve">UNDP agrees that the completion of Outcome 3 requires perseverance and continuous cooperation with the opinion makers and influencers to jointly promote the benefits of amending legal framework that regulates local self-governance across board- while fully </w:t>
            </w:r>
            <w:proofErr w:type="gramStart"/>
            <w:r w:rsidRPr="00FF64F8">
              <w:rPr>
                <w:rFonts w:cstheme="minorHAnsi"/>
              </w:rPr>
              <w:t>taking into account</w:t>
            </w:r>
            <w:proofErr w:type="gramEnd"/>
            <w:r w:rsidRPr="00FF64F8">
              <w:rPr>
                <w:rFonts w:cstheme="minorHAnsi"/>
              </w:rPr>
              <w:t xml:space="preserve"> the political realities and noting that completion of this milestone will stretch beyond the first Project cycle</w:t>
            </w:r>
            <w:r w:rsidR="00ED1A83" w:rsidRPr="00FF64F8">
              <w:rPr>
                <w:rFonts w:cstheme="minorHAnsi"/>
              </w:rPr>
              <w:t xml:space="preserve">. </w:t>
            </w:r>
          </w:p>
        </w:tc>
      </w:tr>
      <w:tr w:rsidR="00907196" w:rsidRPr="00FF64F8" w14:paraId="3A0424DC" w14:textId="77777777" w:rsidTr="00A12525">
        <w:tc>
          <w:tcPr>
            <w:tcW w:w="5553" w:type="dxa"/>
            <w:vAlign w:val="center"/>
          </w:tcPr>
          <w:p w14:paraId="14D950E5" w14:textId="04198A60" w:rsidR="00907196" w:rsidRPr="00FF64F8" w:rsidRDefault="00104A54" w:rsidP="00104A54">
            <w:pPr>
              <w:tabs>
                <w:tab w:val="left" w:pos="1080"/>
              </w:tabs>
              <w:spacing w:before="20" w:after="20"/>
              <w:jc w:val="both"/>
              <w:rPr>
                <w:rFonts w:cstheme="minorHAnsi"/>
              </w:rPr>
            </w:pPr>
            <w:r w:rsidRPr="00FF64F8">
              <w:rPr>
                <w:rFonts w:cstheme="minorHAnsi"/>
              </w:rPr>
              <w:t xml:space="preserve"> 10.</w:t>
            </w:r>
            <w:proofErr w:type="spellStart"/>
            <w:r w:rsidR="00CF04F3" w:rsidRPr="00FF64F8">
              <w:rPr>
                <w:rFonts w:cstheme="minorHAnsi"/>
              </w:rPr>
              <w:t>a</w:t>
            </w:r>
            <w:proofErr w:type="spellEnd"/>
            <w:r w:rsidRPr="00FF64F8">
              <w:rPr>
                <w:rFonts w:cstheme="minorHAnsi"/>
              </w:rPr>
              <w:t xml:space="preserve"> </w:t>
            </w:r>
            <w:r w:rsidR="007C6B6B" w:rsidRPr="00FF64F8">
              <w:rPr>
                <w:rFonts w:cstheme="minorHAnsi"/>
              </w:rPr>
              <w:t xml:space="preserve">In this respect, UNDP is fully reliant on co-creation, cooperation and support in strategic advocacy efforts from Swiss Development Cooperation and Government of Sweden in months to come. </w:t>
            </w:r>
          </w:p>
        </w:tc>
        <w:tc>
          <w:tcPr>
            <w:tcW w:w="1280" w:type="dxa"/>
            <w:vAlign w:val="center"/>
          </w:tcPr>
          <w:p w14:paraId="700115DD" w14:textId="030EE7FD" w:rsidR="00907196" w:rsidRPr="00FF64F8" w:rsidRDefault="001C1F0E" w:rsidP="00907196">
            <w:pPr>
              <w:tabs>
                <w:tab w:val="left" w:pos="1080"/>
              </w:tabs>
              <w:spacing w:before="20" w:after="20" w:line="240" w:lineRule="auto"/>
              <w:jc w:val="both"/>
              <w:rPr>
                <w:rFonts w:cstheme="minorHAnsi"/>
              </w:rPr>
            </w:pPr>
            <w:r w:rsidRPr="00FF64F8">
              <w:rPr>
                <w:rFonts w:cstheme="minorHAnsi"/>
              </w:rPr>
              <w:t>10/2019</w:t>
            </w:r>
          </w:p>
        </w:tc>
        <w:tc>
          <w:tcPr>
            <w:tcW w:w="2158" w:type="dxa"/>
            <w:gridSpan w:val="3"/>
            <w:vAlign w:val="center"/>
          </w:tcPr>
          <w:p w14:paraId="74B0B3B9" w14:textId="5CE3ABE0" w:rsidR="00907196" w:rsidRPr="00FF64F8" w:rsidRDefault="001C1F0E" w:rsidP="00907196">
            <w:pPr>
              <w:tabs>
                <w:tab w:val="left" w:pos="1080"/>
              </w:tabs>
              <w:spacing w:before="20" w:after="20" w:line="240" w:lineRule="auto"/>
              <w:jc w:val="both"/>
              <w:rPr>
                <w:rFonts w:cstheme="minorHAnsi"/>
              </w:rPr>
            </w:pPr>
            <w:r w:rsidRPr="00FF64F8">
              <w:rPr>
                <w:rFonts w:cstheme="minorHAnsi"/>
              </w:rPr>
              <w:t xml:space="preserve">UNDP, MZ Project </w:t>
            </w:r>
          </w:p>
        </w:tc>
        <w:tc>
          <w:tcPr>
            <w:tcW w:w="4674" w:type="dxa"/>
            <w:gridSpan w:val="2"/>
            <w:vAlign w:val="center"/>
          </w:tcPr>
          <w:p w14:paraId="39EBA489" w14:textId="69E7390D" w:rsidR="00907196" w:rsidRPr="00FF64F8" w:rsidRDefault="001C1F0E" w:rsidP="00907196">
            <w:pPr>
              <w:tabs>
                <w:tab w:val="left" w:pos="1080"/>
              </w:tabs>
              <w:spacing w:before="20" w:after="20" w:line="240" w:lineRule="auto"/>
              <w:jc w:val="both"/>
              <w:rPr>
                <w:rFonts w:cstheme="minorHAnsi"/>
              </w:rPr>
            </w:pPr>
            <w:r w:rsidRPr="00FF64F8">
              <w:rPr>
                <w:rFonts w:cstheme="minorHAnsi"/>
              </w:rPr>
              <w:t>Legal reform should not be happening for the sake of legal reform and our most recent experiences come to show that we need to continue working on structural solutions that can be used for system change.</w:t>
            </w:r>
          </w:p>
        </w:tc>
        <w:tc>
          <w:tcPr>
            <w:tcW w:w="1450" w:type="dxa"/>
            <w:vAlign w:val="center"/>
          </w:tcPr>
          <w:p w14:paraId="2013FE01" w14:textId="0008E7BE" w:rsidR="00907196" w:rsidRPr="00FF64F8" w:rsidRDefault="001C1F0E" w:rsidP="00907196">
            <w:pPr>
              <w:tabs>
                <w:tab w:val="left" w:pos="1080"/>
              </w:tabs>
              <w:spacing w:before="20" w:after="20" w:line="240" w:lineRule="auto"/>
              <w:jc w:val="both"/>
              <w:rPr>
                <w:rFonts w:cstheme="minorHAnsi"/>
                <w:color w:val="185262"/>
              </w:rPr>
            </w:pPr>
            <w:r w:rsidRPr="00FF64F8">
              <w:rPr>
                <w:rFonts w:cstheme="minorHAnsi"/>
              </w:rPr>
              <w:t>Initiated</w:t>
            </w:r>
            <w:r w:rsidRPr="00FF64F8">
              <w:rPr>
                <w:rFonts w:cstheme="minorHAnsi"/>
                <w:color w:val="185262"/>
              </w:rPr>
              <w:t xml:space="preserve"> </w:t>
            </w:r>
          </w:p>
        </w:tc>
      </w:tr>
      <w:tr w:rsidR="001C1F0E" w:rsidRPr="00FF64F8" w14:paraId="63B5C1F7" w14:textId="77777777" w:rsidTr="007729C8">
        <w:tc>
          <w:tcPr>
            <w:tcW w:w="15115" w:type="dxa"/>
            <w:gridSpan w:val="8"/>
            <w:vAlign w:val="center"/>
          </w:tcPr>
          <w:p w14:paraId="1A8B0E71" w14:textId="482F1B65" w:rsidR="001C1F0E" w:rsidRPr="00FF64F8" w:rsidRDefault="001C1F0E" w:rsidP="00907196">
            <w:pPr>
              <w:tabs>
                <w:tab w:val="left" w:pos="1080"/>
              </w:tabs>
              <w:spacing w:before="20" w:after="20" w:line="240" w:lineRule="auto"/>
              <w:jc w:val="both"/>
              <w:rPr>
                <w:rFonts w:cstheme="minorHAnsi"/>
              </w:rPr>
            </w:pPr>
            <w:r w:rsidRPr="00FF64F8">
              <w:rPr>
                <w:rFonts w:cstheme="minorHAnsi"/>
                <w:b/>
              </w:rPr>
              <w:t>Evaluation recommendation 11 (specific for phase 1):</w:t>
            </w:r>
            <w:r w:rsidRPr="00FF64F8">
              <w:rPr>
                <w:rFonts w:cstheme="minorHAnsi"/>
              </w:rPr>
              <w:t xml:space="preserve"> The members of the Project Institutional Partners Board recommended that UNDP alongside the Government of Sweden and the Swiss Agency for Development and Cooperation should use their resources, reputation and contacts for a subtle outreach campaign among newly elected members of Parliament in order to familiarise them with the Project results and intention to instigate legislative changes.</w:t>
            </w:r>
          </w:p>
        </w:tc>
      </w:tr>
      <w:tr w:rsidR="001C1F0E" w:rsidRPr="00FF64F8" w14:paraId="5AC85351" w14:textId="77777777" w:rsidTr="000D2B09">
        <w:tc>
          <w:tcPr>
            <w:tcW w:w="15115" w:type="dxa"/>
            <w:gridSpan w:val="8"/>
            <w:vAlign w:val="center"/>
          </w:tcPr>
          <w:p w14:paraId="0119EDE6" w14:textId="45FCF532" w:rsidR="001C1F0E" w:rsidRPr="00FF64F8" w:rsidRDefault="001C1F0E" w:rsidP="00907196">
            <w:pPr>
              <w:tabs>
                <w:tab w:val="left" w:pos="1080"/>
              </w:tabs>
              <w:spacing w:before="20" w:after="20" w:line="240" w:lineRule="auto"/>
              <w:jc w:val="both"/>
              <w:rPr>
                <w:rFonts w:cstheme="minorHAnsi"/>
                <w:b/>
              </w:rPr>
            </w:pPr>
            <w:r w:rsidRPr="00FF64F8">
              <w:rPr>
                <w:rFonts w:cstheme="minorHAnsi"/>
                <w:b/>
              </w:rPr>
              <w:t xml:space="preserve">Management response: </w:t>
            </w:r>
            <w:r w:rsidRPr="00FF64F8">
              <w:t xml:space="preserve"> </w:t>
            </w:r>
            <w:r w:rsidRPr="00FF64F8">
              <w:rPr>
                <w:rFonts w:cstheme="minorHAnsi"/>
              </w:rPr>
              <w:t xml:space="preserve">UNDP agrees that amending local self-governance legal framework in </w:t>
            </w:r>
            <w:proofErr w:type="spellStart"/>
            <w:r w:rsidRPr="00FF64F8">
              <w:rPr>
                <w:rFonts w:cstheme="minorHAnsi"/>
              </w:rPr>
              <w:t>BiH</w:t>
            </w:r>
            <w:proofErr w:type="spellEnd"/>
            <w:r w:rsidRPr="00FF64F8">
              <w:rPr>
                <w:rFonts w:cstheme="minorHAnsi"/>
              </w:rPr>
              <w:t xml:space="preserve"> will require a concerted effort</w:t>
            </w:r>
            <w:r w:rsidR="00CF04F3" w:rsidRPr="00FF64F8">
              <w:rPr>
                <w:rFonts w:cstheme="minorHAnsi"/>
              </w:rPr>
              <w:t>.</w:t>
            </w:r>
          </w:p>
        </w:tc>
      </w:tr>
      <w:tr w:rsidR="00907196" w:rsidRPr="00FF64F8" w14:paraId="75F3B40B" w14:textId="77777777" w:rsidTr="00A12525">
        <w:tc>
          <w:tcPr>
            <w:tcW w:w="5553" w:type="dxa"/>
            <w:vAlign w:val="center"/>
          </w:tcPr>
          <w:p w14:paraId="204CB900" w14:textId="61240C55" w:rsidR="00907196" w:rsidRPr="00FF64F8" w:rsidRDefault="00F60BF6" w:rsidP="00F60BF6">
            <w:pPr>
              <w:tabs>
                <w:tab w:val="left" w:pos="1080"/>
              </w:tabs>
              <w:spacing w:before="20" w:after="20"/>
              <w:jc w:val="both"/>
              <w:rPr>
                <w:rFonts w:cstheme="minorHAnsi"/>
              </w:rPr>
            </w:pPr>
            <w:r w:rsidRPr="00FF64F8">
              <w:rPr>
                <w:rFonts w:cstheme="minorHAnsi"/>
              </w:rPr>
              <w:t xml:space="preserve">11.a </w:t>
            </w:r>
            <w:r w:rsidR="007E3EC0" w:rsidRPr="00FF64F8">
              <w:rPr>
                <w:rFonts w:cstheme="minorHAnsi"/>
              </w:rPr>
              <w:t xml:space="preserve">UNDP will join efforts with Swiss Development Cooperation and Government of Sweden targeting newly </w:t>
            </w:r>
            <w:r w:rsidR="007E3EC0" w:rsidRPr="00FF64F8">
              <w:rPr>
                <w:rFonts w:cstheme="minorHAnsi"/>
              </w:rPr>
              <w:lastRenderedPageBreak/>
              <w:t>elected members of Parliament in order to familiarise them with the Project results and to instigate legislative changes.</w:t>
            </w:r>
          </w:p>
        </w:tc>
        <w:tc>
          <w:tcPr>
            <w:tcW w:w="1280" w:type="dxa"/>
            <w:vAlign w:val="center"/>
          </w:tcPr>
          <w:p w14:paraId="3A61EBA0" w14:textId="6832E56D" w:rsidR="00907196" w:rsidRPr="00FF64F8" w:rsidRDefault="00E92136" w:rsidP="00907196">
            <w:pPr>
              <w:tabs>
                <w:tab w:val="left" w:pos="1080"/>
              </w:tabs>
              <w:spacing w:before="20" w:after="20" w:line="240" w:lineRule="auto"/>
              <w:jc w:val="both"/>
              <w:rPr>
                <w:rFonts w:cstheme="minorHAnsi"/>
              </w:rPr>
            </w:pPr>
            <w:r w:rsidRPr="00FF64F8">
              <w:rPr>
                <w:rFonts w:cstheme="minorHAnsi"/>
              </w:rPr>
              <w:lastRenderedPageBreak/>
              <w:t>10/2019</w:t>
            </w:r>
          </w:p>
        </w:tc>
        <w:tc>
          <w:tcPr>
            <w:tcW w:w="2158" w:type="dxa"/>
            <w:gridSpan w:val="3"/>
            <w:vAlign w:val="center"/>
          </w:tcPr>
          <w:p w14:paraId="59993390" w14:textId="37985017" w:rsidR="00907196" w:rsidRPr="00FF64F8" w:rsidRDefault="00E92136" w:rsidP="00907196">
            <w:pPr>
              <w:tabs>
                <w:tab w:val="left" w:pos="1080"/>
              </w:tabs>
              <w:spacing w:before="20" w:after="20" w:line="240" w:lineRule="auto"/>
              <w:jc w:val="both"/>
              <w:rPr>
                <w:rFonts w:cstheme="minorHAnsi"/>
              </w:rPr>
            </w:pPr>
            <w:r w:rsidRPr="00FF64F8">
              <w:rPr>
                <w:rFonts w:cstheme="minorHAnsi"/>
              </w:rPr>
              <w:t>UNDP, MZ Project</w:t>
            </w:r>
          </w:p>
        </w:tc>
        <w:tc>
          <w:tcPr>
            <w:tcW w:w="4674" w:type="dxa"/>
            <w:gridSpan w:val="2"/>
            <w:vAlign w:val="center"/>
          </w:tcPr>
          <w:p w14:paraId="655BFE5E" w14:textId="77777777" w:rsidR="00907196" w:rsidRPr="00FF64F8" w:rsidRDefault="00907196" w:rsidP="00907196">
            <w:pPr>
              <w:tabs>
                <w:tab w:val="left" w:pos="1080"/>
              </w:tabs>
              <w:spacing w:before="20" w:after="20" w:line="240" w:lineRule="auto"/>
              <w:jc w:val="both"/>
              <w:rPr>
                <w:rFonts w:cstheme="minorHAnsi"/>
              </w:rPr>
            </w:pPr>
          </w:p>
        </w:tc>
        <w:tc>
          <w:tcPr>
            <w:tcW w:w="1450" w:type="dxa"/>
            <w:vAlign w:val="center"/>
          </w:tcPr>
          <w:p w14:paraId="153A3AF0" w14:textId="3056C8E5" w:rsidR="00907196" w:rsidRPr="00FF64F8" w:rsidRDefault="004A443D" w:rsidP="00907196">
            <w:pPr>
              <w:tabs>
                <w:tab w:val="left" w:pos="1080"/>
              </w:tabs>
              <w:spacing w:before="20" w:after="20" w:line="240" w:lineRule="auto"/>
              <w:jc w:val="both"/>
              <w:rPr>
                <w:rFonts w:cstheme="minorHAnsi"/>
              </w:rPr>
            </w:pPr>
            <w:r w:rsidRPr="00FF64F8">
              <w:rPr>
                <w:rFonts w:cstheme="minorHAnsi"/>
              </w:rPr>
              <w:t xml:space="preserve">Initiated </w:t>
            </w:r>
          </w:p>
        </w:tc>
      </w:tr>
      <w:tr w:rsidR="00E92136" w:rsidRPr="00FF64F8" w14:paraId="5A32CC20" w14:textId="77777777" w:rsidTr="000345F7">
        <w:tc>
          <w:tcPr>
            <w:tcW w:w="15115" w:type="dxa"/>
            <w:gridSpan w:val="8"/>
            <w:vAlign w:val="center"/>
          </w:tcPr>
          <w:p w14:paraId="1A62C52B" w14:textId="1EC67A96" w:rsidR="00E92136" w:rsidRPr="00FF64F8" w:rsidRDefault="00E92136" w:rsidP="00907196">
            <w:pPr>
              <w:tabs>
                <w:tab w:val="left" w:pos="1080"/>
              </w:tabs>
              <w:spacing w:before="20" w:after="20" w:line="240" w:lineRule="auto"/>
              <w:jc w:val="both"/>
              <w:rPr>
                <w:rFonts w:cstheme="minorHAnsi"/>
              </w:rPr>
            </w:pPr>
            <w:r w:rsidRPr="00FF64F8">
              <w:rPr>
                <w:rFonts w:cstheme="minorHAnsi"/>
                <w:b/>
              </w:rPr>
              <w:t>Evaluation recommendation</w:t>
            </w:r>
            <w:r w:rsidR="00A24EE1" w:rsidRPr="00FF64F8">
              <w:rPr>
                <w:rFonts w:cstheme="minorHAnsi"/>
                <w:b/>
              </w:rPr>
              <w:t xml:space="preserve"> </w:t>
            </w:r>
            <w:r w:rsidRPr="00FF64F8">
              <w:rPr>
                <w:rFonts w:cstheme="minorHAnsi"/>
                <w:b/>
              </w:rPr>
              <w:t>12 (specific for phase 1):</w:t>
            </w:r>
            <w:r w:rsidRPr="00FF64F8">
              <w:rPr>
                <w:rFonts w:cstheme="minorHAnsi"/>
              </w:rPr>
              <w:t xml:space="preserve"> </w:t>
            </w:r>
            <w:r w:rsidRPr="00FF64F8">
              <w:t xml:space="preserve"> </w:t>
            </w:r>
            <w:r w:rsidR="003F2412" w:rsidRPr="00FF64F8">
              <w:rPr>
                <w:rFonts w:cstheme="minorHAnsi"/>
              </w:rPr>
              <w:t>Given that the Project does not have a comprehensive communication strategy where outreach activates could be embedded, the evaluation recommends the development of an advocacy or communication plan for Phase II and the appointment of a specialist as a permanent team member to lead this important aspect of the new vision for local governance and its improved impact.</w:t>
            </w:r>
          </w:p>
        </w:tc>
      </w:tr>
      <w:tr w:rsidR="004A443D" w:rsidRPr="00FF64F8" w14:paraId="40735992" w14:textId="77777777" w:rsidTr="000345F7">
        <w:tc>
          <w:tcPr>
            <w:tcW w:w="15115" w:type="dxa"/>
            <w:gridSpan w:val="8"/>
            <w:vAlign w:val="center"/>
          </w:tcPr>
          <w:p w14:paraId="1C2B33EA" w14:textId="3926D0AE" w:rsidR="004A443D" w:rsidRPr="00FF64F8" w:rsidRDefault="004A443D" w:rsidP="00907196">
            <w:pPr>
              <w:tabs>
                <w:tab w:val="left" w:pos="1080"/>
              </w:tabs>
              <w:spacing w:before="20" w:after="20" w:line="240" w:lineRule="auto"/>
              <w:jc w:val="both"/>
              <w:rPr>
                <w:rFonts w:cstheme="minorHAnsi"/>
              </w:rPr>
            </w:pPr>
            <w:r w:rsidRPr="00FF64F8">
              <w:rPr>
                <w:rFonts w:cstheme="minorHAnsi"/>
                <w:b/>
              </w:rPr>
              <w:t>Management response:</w:t>
            </w:r>
            <w:r w:rsidRPr="00FF64F8">
              <w:rPr>
                <w:rFonts w:cstheme="minorHAnsi"/>
              </w:rPr>
              <w:t xml:space="preserve"> UNDP agrees with the recommendation. </w:t>
            </w:r>
          </w:p>
        </w:tc>
      </w:tr>
      <w:tr w:rsidR="004A443D" w:rsidRPr="00FF64F8" w14:paraId="690CDA43" w14:textId="77777777" w:rsidTr="00A12525">
        <w:tc>
          <w:tcPr>
            <w:tcW w:w="5553" w:type="dxa"/>
            <w:shd w:val="clear" w:color="auto" w:fill="auto"/>
            <w:vAlign w:val="center"/>
          </w:tcPr>
          <w:p w14:paraId="7F44A54E" w14:textId="690A3D00" w:rsidR="004A443D" w:rsidRPr="00FF64F8" w:rsidRDefault="00215624" w:rsidP="00215624">
            <w:pPr>
              <w:tabs>
                <w:tab w:val="left" w:pos="1080"/>
              </w:tabs>
              <w:spacing w:before="20" w:after="20"/>
              <w:jc w:val="both"/>
              <w:rPr>
                <w:rFonts w:cstheme="minorHAnsi"/>
              </w:rPr>
            </w:pPr>
            <w:r w:rsidRPr="00FF64F8">
              <w:rPr>
                <w:rFonts w:cstheme="minorHAnsi"/>
              </w:rPr>
              <w:t xml:space="preserve">12.a </w:t>
            </w:r>
            <w:r w:rsidR="004A443D" w:rsidRPr="00FF64F8">
              <w:rPr>
                <w:rFonts w:cstheme="minorHAnsi"/>
              </w:rPr>
              <w:t xml:space="preserve">Communications efforts </w:t>
            </w:r>
            <w:r w:rsidR="00F60BF6" w:rsidRPr="00FF64F8">
              <w:rPr>
                <w:rFonts w:cstheme="minorHAnsi"/>
              </w:rPr>
              <w:t xml:space="preserve">will be identified </w:t>
            </w:r>
            <w:r w:rsidR="004A443D" w:rsidRPr="00FF64F8">
              <w:rPr>
                <w:rFonts w:cstheme="minorHAnsi"/>
              </w:rPr>
              <w:t xml:space="preserve">in a strategic manner </w:t>
            </w:r>
            <w:r w:rsidR="009F302E" w:rsidRPr="00FF64F8">
              <w:rPr>
                <w:rFonts w:cstheme="minorHAnsi"/>
              </w:rPr>
              <w:t>for</w:t>
            </w:r>
            <w:r w:rsidR="004A443D" w:rsidRPr="00FF64F8">
              <w:rPr>
                <w:rFonts w:cstheme="minorHAnsi"/>
              </w:rPr>
              <w:t xml:space="preserve"> </w:t>
            </w:r>
            <w:r w:rsidRPr="00FF64F8">
              <w:rPr>
                <w:rFonts w:cstheme="minorHAnsi"/>
              </w:rPr>
              <w:t xml:space="preserve">possible </w:t>
            </w:r>
            <w:r w:rsidR="004A443D" w:rsidRPr="00FF64F8">
              <w:rPr>
                <w:rFonts w:cstheme="minorHAnsi"/>
              </w:rPr>
              <w:t xml:space="preserve">next phase of the Project. </w:t>
            </w:r>
          </w:p>
        </w:tc>
        <w:tc>
          <w:tcPr>
            <w:tcW w:w="1384" w:type="dxa"/>
            <w:gridSpan w:val="2"/>
            <w:vAlign w:val="center"/>
          </w:tcPr>
          <w:p w14:paraId="078694BB" w14:textId="006C6A42" w:rsidR="004A443D" w:rsidRPr="00FF64F8" w:rsidRDefault="009F302E" w:rsidP="004A443D">
            <w:pPr>
              <w:tabs>
                <w:tab w:val="left" w:pos="1080"/>
              </w:tabs>
              <w:spacing w:before="20" w:after="20" w:line="240" w:lineRule="auto"/>
              <w:jc w:val="both"/>
              <w:rPr>
                <w:rFonts w:cstheme="minorHAnsi"/>
              </w:rPr>
            </w:pPr>
            <w:r w:rsidRPr="00FF64F8">
              <w:rPr>
                <w:rFonts w:cstheme="minorHAnsi"/>
              </w:rPr>
              <w:t>1</w:t>
            </w:r>
            <w:r w:rsidR="001D079D" w:rsidRPr="00FF64F8">
              <w:rPr>
                <w:rFonts w:cstheme="minorHAnsi"/>
              </w:rPr>
              <w:t>0</w:t>
            </w:r>
            <w:r w:rsidR="004A443D" w:rsidRPr="00FF64F8">
              <w:rPr>
                <w:rFonts w:cstheme="minorHAnsi"/>
              </w:rPr>
              <w:t>/2019</w:t>
            </w:r>
          </w:p>
        </w:tc>
        <w:tc>
          <w:tcPr>
            <w:tcW w:w="1924" w:type="dxa"/>
            <w:vAlign w:val="center"/>
          </w:tcPr>
          <w:p w14:paraId="510472EB" w14:textId="2C6A6DFB" w:rsidR="004A443D" w:rsidRPr="00FF64F8" w:rsidRDefault="004A443D" w:rsidP="004A443D">
            <w:pPr>
              <w:tabs>
                <w:tab w:val="left" w:pos="1080"/>
              </w:tabs>
              <w:spacing w:before="20" w:after="20" w:line="240" w:lineRule="auto"/>
              <w:jc w:val="both"/>
              <w:rPr>
                <w:rFonts w:cstheme="minorHAnsi"/>
              </w:rPr>
            </w:pPr>
            <w:r w:rsidRPr="00FF64F8">
              <w:rPr>
                <w:rFonts w:cstheme="minorHAnsi"/>
              </w:rPr>
              <w:t>UNDP, MZ Project</w:t>
            </w:r>
          </w:p>
        </w:tc>
        <w:tc>
          <w:tcPr>
            <w:tcW w:w="4793" w:type="dxa"/>
            <w:gridSpan w:val="2"/>
            <w:vAlign w:val="center"/>
          </w:tcPr>
          <w:p w14:paraId="32B988EC" w14:textId="2EF9AD43" w:rsidR="004A443D" w:rsidRPr="00FF64F8" w:rsidRDefault="004A443D" w:rsidP="004A443D">
            <w:pPr>
              <w:pStyle w:val="CommentText"/>
              <w:rPr>
                <w:rFonts w:cstheme="minorHAnsi"/>
                <w:szCs w:val="22"/>
              </w:rPr>
            </w:pPr>
            <w:r w:rsidRPr="00FF64F8">
              <w:rPr>
                <w:rFonts w:cstheme="minorHAnsi"/>
                <w:szCs w:val="22"/>
              </w:rPr>
              <w:t>The project communication strategy is already in the advanced draft stage.</w:t>
            </w:r>
          </w:p>
        </w:tc>
        <w:tc>
          <w:tcPr>
            <w:tcW w:w="1461" w:type="dxa"/>
            <w:gridSpan w:val="2"/>
            <w:vAlign w:val="center"/>
          </w:tcPr>
          <w:p w14:paraId="12C6A0A0" w14:textId="6E9D2A5F" w:rsidR="004A443D" w:rsidRPr="00FF64F8" w:rsidRDefault="004A443D" w:rsidP="004A443D">
            <w:pPr>
              <w:tabs>
                <w:tab w:val="left" w:pos="1080"/>
              </w:tabs>
              <w:spacing w:before="20" w:after="20" w:line="240" w:lineRule="auto"/>
              <w:jc w:val="both"/>
              <w:rPr>
                <w:rFonts w:cstheme="minorHAnsi"/>
                <w:color w:val="185262"/>
              </w:rPr>
            </w:pPr>
            <w:r w:rsidRPr="00FF64F8">
              <w:rPr>
                <w:rFonts w:cstheme="minorHAnsi"/>
              </w:rPr>
              <w:t xml:space="preserve">Initiated </w:t>
            </w:r>
          </w:p>
        </w:tc>
      </w:tr>
      <w:tr w:rsidR="004A443D" w:rsidRPr="00FF64F8" w14:paraId="097EE36A" w14:textId="77777777" w:rsidTr="000345F7">
        <w:tc>
          <w:tcPr>
            <w:tcW w:w="15115" w:type="dxa"/>
            <w:gridSpan w:val="8"/>
            <w:vAlign w:val="center"/>
          </w:tcPr>
          <w:p w14:paraId="34CF2302" w14:textId="44057394" w:rsidR="004A443D" w:rsidRPr="00FF64F8" w:rsidRDefault="00A24EE1" w:rsidP="00907196">
            <w:pPr>
              <w:tabs>
                <w:tab w:val="left" w:pos="1080"/>
              </w:tabs>
              <w:spacing w:before="20" w:after="20" w:line="240" w:lineRule="auto"/>
              <w:jc w:val="both"/>
              <w:rPr>
                <w:rFonts w:cstheme="minorHAnsi"/>
              </w:rPr>
            </w:pPr>
            <w:r w:rsidRPr="00FF64F8">
              <w:rPr>
                <w:rFonts w:cstheme="minorHAnsi"/>
                <w:b/>
              </w:rPr>
              <w:t>Evaluation recommendation 13 (specific for phase 1):</w:t>
            </w:r>
            <w:r w:rsidRPr="00FF64F8">
              <w:rPr>
                <w:rFonts w:cstheme="minorHAnsi"/>
              </w:rPr>
              <w:t xml:space="preserve">  Additional donor funds and co-financing arrangements should be sought in order to increase the number of positive grassroots initiatives and diffuse good practices across the country. This could possibly involve other international donors such as the EU Delegation to Bosnia and Herzegovina, bilateral donors and actors such as USAID, UK, Switzerland, OSCE, etc. Co-financing and in-kind contributions </w:t>
            </w:r>
            <w:proofErr w:type="gramStart"/>
            <w:r w:rsidRPr="00FF64F8">
              <w:rPr>
                <w:rFonts w:cstheme="minorHAnsi"/>
              </w:rPr>
              <w:t>in particular should</w:t>
            </w:r>
            <w:proofErr w:type="gramEnd"/>
            <w:r w:rsidRPr="00FF64F8">
              <w:rPr>
                <w:rFonts w:cstheme="minorHAnsi"/>
              </w:rPr>
              <w:t xml:space="preserve"> be sought from institutional partners, but out-of-the-box institutional arrangements and implementation modalities need to be set up at the senior level in order to make such arrangements possible</w:t>
            </w:r>
          </w:p>
        </w:tc>
      </w:tr>
      <w:tr w:rsidR="004A443D" w:rsidRPr="00FF64F8" w14:paraId="46E80EAF" w14:textId="77777777" w:rsidTr="000345F7">
        <w:tc>
          <w:tcPr>
            <w:tcW w:w="15115" w:type="dxa"/>
            <w:gridSpan w:val="8"/>
            <w:vAlign w:val="center"/>
          </w:tcPr>
          <w:p w14:paraId="37A81987" w14:textId="37E5426D" w:rsidR="004A443D" w:rsidRPr="00FF64F8" w:rsidRDefault="00A24EE1" w:rsidP="00907196">
            <w:pPr>
              <w:tabs>
                <w:tab w:val="left" w:pos="1080"/>
              </w:tabs>
              <w:spacing w:before="20" w:after="20" w:line="240" w:lineRule="auto"/>
              <w:jc w:val="both"/>
              <w:rPr>
                <w:rFonts w:cstheme="minorHAnsi"/>
                <w:b/>
              </w:rPr>
            </w:pPr>
            <w:r w:rsidRPr="00FF64F8">
              <w:rPr>
                <w:rFonts w:cstheme="minorHAnsi"/>
                <w:b/>
              </w:rPr>
              <w:t xml:space="preserve">Management response: </w:t>
            </w:r>
            <w:r w:rsidRPr="00FF64F8">
              <w:t xml:space="preserve"> </w:t>
            </w:r>
            <w:r w:rsidRPr="00FF64F8">
              <w:rPr>
                <w:rFonts w:cstheme="minorHAnsi"/>
              </w:rPr>
              <w:t>UNDP agrees with the commendable proposition to increase the number of positive grassroots initiatives and diffuse good practices across the country to the extent possible</w:t>
            </w:r>
            <w:r w:rsidRPr="00FF64F8">
              <w:rPr>
                <w:rFonts w:cstheme="minorHAnsi"/>
                <w:b/>
              </w:rPr>
              <w:t xml:space="preserve">. </w:t>
            </w:r>
          </w:p>
        </w:tc>
      </w:tr>
      <w:tr w:rsidR="00A24EE1" w:rsidRPr="00FF64F8" w14:paraId="7E5EE85C" w14:textId="77777777" w:rsidTr="00A12525">
        <w:tc>
          <w:tcPr>
            <w:tcW w:w="5553" w:type="dxa"/>
            <w:shd w:val="clear" w:color="auto" w:fill="auto"/>
            <w:vAlign w:val="center"/>
          </w:tcPr>
          <w:p w14:paraId="57E0AF5D" w14:textId="7A56F693" w:rsidR="00A24EE1" w:rsidRPr="00FF64F8" w:rsidRDefault="00215624" w:rsidP="00215624">
            <w:pPr>
              <w:tabs>
                <w:tab w:val="left" w:pos="1080"/>
              </w:tabs>
              <w:spacing w:before="20" w:after="20"/>
              <w:jc w:val="both"/>
              <w:rPr>
                <w:rFonts w:cstheme="minorHAnsi"/>
              </w:rPr>
            </w:pPr>
            <w:bookmarkStart w:id="2" w:name="_Hlk9244840"/>
            <w:r w:rsidRPr="00FF64F8">
              <w:rPr>
                <w:rFonts w:cstheme="minorHAnsi"/>
              </w:rPr>
              <w:t>13.</w:t>
            </w:r>
            <w:proofErr w:type="spellStart"/>
            <w:r w:rsidRPr="00FF64F8">
              <w:rPr>
                <w:rFonts w:cstheme="minorHAnsi"/>
              </w:rPr>
              <w:t>a</w:t>
            </w:r>
            <w:proofErr w:type="spellEnd"/>
            <w:r w:rsidRPr="00FF64F8">
              <w:rPr>
                <w:rFonts w:cstheme="minorHAnsi"/>
              </w:rPr>
              <w:t xml:space="preserve"> </w:t>
            </w:r>
            <w:r w:rsidR="00A24EE1" w:rsidRPr="00FF64F8">
              <w:rPr>
                <w:rFonts w:cstheme="minorHAnsi"/>
              </w:rPr>
              <w:t>In the future, new co-financing arrangements and opportunities for additional donor funds will be investigated</w:t>
            </w:r>
            <w:r w:rsidR="00443B19" w:rsidRPr="00FF64F8">
              <w:rPr>
                <w:rFonts w:cstheme="minorHAnsi"/>
              </w:rPr>
              <w:t>.</w:t>
            </w:r>
          </w:p>
        </w:tc>
        <w:tc>
          <w:tcPr>
            <w:tcW w:w="1384" w:type="dxa"/>
            <w:gridSpan w:val="2"/>
            <w:vAlign w:val="center"/>
          </w:tcPr>
          <w:p w14:paraId="61B4689C" w14:textId="5197AED2" w:rsidR="00A24EE1" w:rsidRPr="00FF64F8" w:rsidRDefault="0089308C" w:rsidP="00A24EE1">
            <w:pPr>
              <w:tabs>
                <w:tab w:val="left" w:pos="1080"/>
              </w:tabs>
              <w:spacing w:before="20" w:after="20" w:line="240" w:lineRule="auto"/>
              <w:jc w:val="both"/>
              <w:rPr>
                <w:rFonts w:cstheme="minorHAnsi"/>
              </w:rPr>
            </w:pPr>
            <w:r w:rsidRPr="00FF64F8">
              <w:rPr>
                <w:rFonts w:cstheme="minorHAnsi"/>
              </w:rPr>
              <w:t>9</w:t>
            </w:r>
            <w:r w:rsidR="00443B19" w:rsidRPr="00FF64F8">
              <w:rPr>
                <w:rFonts w:cstheme="minorHAnsi"/>
              </w:rPr>
              <w:t>/2020</w:t>
            </w:r>
          </w:p>
        </w:tc>
        <w:tc>
          <w:tcPr>
            <w:tcW w:w="1924" w:type="dxa"/>
            <w:vAlign w:val="center"/>
          </w:tcPr>
          <w:p w14:paraId="611E231A" w14:textId="6E46CDA8" w:rsidR="00A24EE1" w:rsidRPr="00FF64F8" w:rsidRDefault="00443B19" w:rsidP="00A24EE1">
            <w:pPr>
              <w:tabs>
                <w:tab w:val="left" w:pos="1080"/>
              </w:tabs>
              <w:spacing w:before="20" w:after="20" w:line="240" w:lineRule="auto"/>
              <w:jc w:val="both"/>
              <w:rPr>
                <w:rFonts w:cstheme="minorHAnsi"/>
              </w:rPr>
            </w:pPr>
            <w:r w:rsidRPr="00FF64F8">
              <w:rPr>
                <w:rFonts w:cstheme="minorHAnsi"/>
              </w:rPr>
              <w:t xml:space="preserve">UNDP senior management </w:t>
            </w:r>
          </w:p>
        </w:tc>
        <w:tc>
          <w:tcPr>
            <w:tcW w:w="4793" w:type="dxa"/>
            <w:gridSpan w:val="2"/>
            <w:vAlign w:val="center"/>
          </w:tcPr>
          <w:p w14:paraId="5C359501" w14:textId="15BDFDB5" w:rsidR="00A24EE1" w:rsidRPr="00FF64F8" w:rsidRDefault="00443B19" w:rsidP="00A24EE1">
            <w:pPr>
              <w:pStyle w:val="CommentText"/>
              <w:rPr>
                <w:rFonts w:cstheme="minorHAnsi"/>
                <w:szCs w:val="22"/>
              </w:rPr>
            </w:pPr>
            <w:r w:rsidRPr="00FF64F8">
              <w:rPr>
                <w:rFonts w:cstheme="minorHAnsi"/>
                <w:szCs w:val="22"/>
              </w:rPr>
              <w:t>Being highly dependent on both strong political will and ample resources, it is to be explored whether, in a foreseeable future, a united front could be formed between donor community and relevant authorities to pursue this issue.</w:t>
            </w:r>
          </w:p>
        </w:tc>
        <w:tc>
          <w:tcPr>
            <w:tcW w:w="1461" w:type="dxa"/>
            <w:gridSpan w:val="2"/>
            <w:vAlign w:val="center"/>
          </w:tcPr>
          <w:p w14:paraId="0EA22B2C" w14:textId="2999013C" w:rsidR="00A24EE1" w:rsidRPr="00FF64F8" w:rsidRDefault="00443B19" w:rsidP="00A24EE1">
            <w:pPr>
              <w:tabs>
                <w:tab w:val="left" w:pos="1080"/>
              </w:tabs>
              <w:spacing w:before="20" w:after="20" w:line="240" w:lineRule="auto"/>
              <w:jc w:val="both"/>
              <w:rPr>
                <w:rFonts w:cstheme="minorHAnsi"/>
                <w:color w:val="185262"/>
              </w:rPr>
            </w:pPr>
            <w:r w:rsidRPr="00FF64F8">
              <w:rPr>
                <w:rFonts w:cstheme="minorHAnsi"/>
              </w:rPr>
              <w:t xml:space="preserve">Not initiated </w:t>
            </w:r>
          </w:p>
        </w:tc>
      </w:tr>
      <w:bookmarkEnd w:id="2"/>
      <w:tr w:rsidR="00A24EE1" w:rsidRPr="00FF64F8" w14:paraId="313BBBDF" w14:textId="77777777" w:rsidTr="000345F7">
        <w:tc>
          <w:tcPr>
            <w:tcW w:w="15115" w:type="dxa"/>
            <w:gridSpan w:val="8"/>
            <w:vAlign w:val="center"/>
          </w:tcPr>
          <w:p w14:paraId="6F552A11" w14:textId="0A8DAD29" w:rsidR="00A24EE1" w:rsidRPr="00FF64F8" w:rsidRDefault="00443B19" w:rsidP="00907196">
            <w:pPr>
              <w:tabs>
                <w:tab w:val="left" w:pos="1080"/>
              </w:tabs>
              <w:spacing w:before="20" w:after="20" w:line="240" w:lineRule="auto"/>
              <w:jc w:val="both"/>
              <w:rPr>
                <w:rFonts w:cstheme="minorHAnsi"/>
                <w:b/>
              </w:rPr>
            </w:pPr>
            <w:r w:rsidRPr="00FF64F8">
              <w:rPr>
                <w:rFonts w:cstheme="minorHAnsi"/>
                <w:b/>
              </w:rPr>
              <w:t>Evaluation recommendation 1</w:t>
            </w:r>
            <w:r w:rsidR="008623A0" w:rsidRPr="00FF64F8">
              <w:rPr>
                <w:rFonts w:cstheme="minorHAnsi"/>
                <w:b/>
              </w:rPr>
              <w:t>4</w:t>
            </w:r>
            <w:r w:rsidRPr="00FF64F8">
              <w:rPr>
                <w:rFonts w:cstheme="minorHAnsi"/>
                <w:b/>
              </w:rPr>
              <w:t xml:space="preserve"> (specific for phase 1): </w:t>
            </w:r>
            <w:r w:rsidRPr="00FF64F8">
              <w:rPr>
                <w:rFonts w:cstheme="minorHAnsi"/>
              </w:rPr>
              <w:t xml:space="preserve"> The last phase of the Project should further pursue building mechanisms for synergy with projects supported by the Government of Sweden, Swiss Agency for Development and Cooperation as well as UNDP. Such projects could consider, for instance, expanding the eligibility criteria of their funding schemes to include actions specific to non-project </w:t>
            </w:r>
            <w:proofErr w:type="spellStart"/>
            <w:r w:rsidRPr="00FF64F8">
              <w:rPr>
                <w:rFonts w:cstheme="minorHAnsi"/>
              </w:rPr>
              <w:t>mjesne</w:t>
            </w:r>
            <w:proofErr w:type="spellEnd"/>
            <w:r w:rsidRPr="00FF64F8">
              <w:rPr>
                <w:rFonts w:cstheme="minorHAnsi"/>
              </w:rPr>
              <w:t xml:space="preserve"> </w:t>
            </w:r>
            <w:proofErr w:type="spellStart"/>
            <w:r w:rsidRPr="00FF64F8">
              <w:rPr>
                <w:rFonts w:cstheme="minorHAnsi"/>
              </w:rPr>
              <w:t>zajednice</w:t>
            </w:r>
            <w:proofErr w:type="spellEnd"/>
            <w:r w:rsidRPr="00FF64F8">
              <w:rPr>
                <w:rFonts w:cstheme="minorHAnsi"/>
              </w:rPr>
              <w:t xml:space="preserve"> and/or issue calls to </w:t>
            </w:r>
            <w:proofErr w:type="spellStart"/>
            <w:r w:rsidRPr="00FF64F8">
              <w:rPr>
                <w:rFonts w:cstheme="minorHAnsi"/>
              </w:rPr>
              <w:t>mjesne</w:t>
            </w:r>
            <w:proofErr w:type="spellEnd"/>
            <w:r w:rsidRPr="00FF64F8">
              <w:rPr>
                <w:rFonts w:cstheme="minorHAnsi"/>
              </w:rPr>
              <w:t xml:space="preserve"> </w:t>
            </w:r>
            <w:proofErr w:type="spellStart"/>
            <w:r w:rsidRPr="00FF64F8">
              <w:rPr>
                <w:rFonts w:cstheme="minorHAnsi"/>
              </w:rPr>
              <w:t>zajednice</w:t>
            </w:r>
            <w:proofErr w:type="spellEnd"/>
            <w:r w:rsidRPr="00FF64F8">
              <w:rPr>
                <w:rFonts w:cstheme="minorHAnsi"/>
              </w:rPr>
              <w:t xml:space="preserve"> for locally implemented projects. </w:t>
            </w:r>
          </w:p>
        </w:tc>
      </w:tr>
      <w:tr w:rsidR="00443B19" w:rsidRPr="00FF64F8" w14:paraId="0A9B9436" w14:textId="77777777" w:rsidTr="000345F7">
        <w:tc>
          <w:tcPr>
            <w:tcW w:w="15115" w:type="dxa"/>
            <w:gridSpan w:val="8"/>
            <w:vAlign w:val="center"/>
          </w:tcPr>
          <w:p w14:paraId="373F187F" w14:textId="5CF6EB06" w:rsidR="00443B19" w:rsidRPr="00FF64F8" w:rsidRDefault="00443B19" w:rsidP="00907196">
            <w:pPr>
              <w:tabs>
                <w:tab w:val="left" w:pos="1080"/>
              </w:tabs>
              <w:spacing w:before="20" w:after="20" w:line="240" w:lineRule="auto"/>
              <w:jc w:val="both"/>
              <w:rPr>
                <w:rFonts w:cstheme="minorHAnsi"/>
                <w:b/>
              </w:rPr>
            </w:pPr>
            <w:r w:rsidRPr="00FF64F8">
              <w:rPr>
                <w:rFonts w:cstheme="minorHAnsi"/>
                <w:b/>
              </w:rPr>
              <w:t xml:space="preserve">Management response: </w:t>
            </w:r>
            <w:r w:rsidRPr="00FF64F8">
              <w:rPr>
                <w:rFonts w:cstheme="minorHAnsi"/>
              </w:rPr>
              <w:t xml:space="preserve">UNDP agrees with the relevance of the recommendation. </w:t>
            </w:r>
          </w:p>
        </w:tc>
      </w:tr>
      <w:tr w:rsidR="00443B19" w:rsidRPr="00FF64F8" w14:paraId="6FB35A8D" w14:textId="77777777" w:rsidTr="00FF64F8">
        <w:trPr>
          <w:trHeight w:val="615"/>
        </w:trPr>
        <w:tc>
          <w:tcPr>
            <w:tcW w:w="5553" w:type="dxa"/>
            <w:vAlign w:val="center"/>
          </w:tcPr>
          <w:p w14:paraId="221A7CBE" w14:textId="5CEA870E" w:rsidR="00443B19" w:rsidRPr="00FF64F8" w:rsidRDefault="0017160F" w:rsidP="0017160F">
            <w:pPr>
              <w:spacing w:line="276" w:lineRule="auto"/>
              <w:jc w:val="both"/>
              <w:rPr>
                <w:rFonts w:cstheme="minorHAnsi"/>
              </w:rPr>
            </w:pPr>
            <w:r w:rsidRPr="00FF64F8">
              <w:rPr>
                <w:rFonts w:cstheme="minorHAnsi"/>
              </w:rPr>
              <w:t xml:space="preserve">14.a </w:t>
            </w:r>
            <w:r w:rsidR="000A304C" w:rsidRPr="00FF64F8">
              <w:rPr>
                <w:rFonts w:cstheme="minorHAnsi"/>
              </w:rPr>
              <w:t>UNDP</w:t>
            </w:r>
            <w:r w:rsidR="00443B19" w:rsidRPr="00FF64F8">
              <w:rPr>
                <w:rFonts w:cstheme="minorHAnsi"/>
              </w:rPr>
              <w:t xml:space="preserve"> gives its undivided attention to synergies wherever made possible by complex organisational procedures, donor arrangements and systems, as well as diverse project dynamics, and/or locations- that tend to impede synergies despite the apparent complementarities. </w:t>
            </w:r>
            <w:proofErr w:type="gramStart"/>
            <w:r w:rsidR="00443B19" w:rsidRPr="00FF64F8">
              <w:rPr>
                <w:rFonts w:cstheme="minorHAnsi"/>
              </w:rPr>
              <w:lastRenderedPageBreak/>
              <w:t>In light of</w:t>
            </w:r>
            <w:proofErr w:type="gramEnd"/>
            <w:r w:rsidR="00443B19" w:rsidRPr="00FF64F8">
              <w:rPr>
                <w:rFonts w:cstheme="minorHAnsi"/>
              </w:rPr>
              <w:t xml:space="preserve"> this, an extra mile and additional resources are required to fully succeed in this.</w:t>
            </w:r>
          </w:p>
        </w:tc>
        <w:tc>
          <w:tcPr>
            <w:tcW w:w="1384" w:type="dxa"/>
            <w:gridSpan w:val="2"/>
            <w:vAlign w:val="center"/>
          </w:tcPr>
          <w:p w14:paraId="6D3048AE" w14:textId="53B704D4" w:rsidR="00443B19" w:rsidRPr="00FF64F8" w:rsidRDefault="00677C99" w:rsidP="00443B19">
            <w:pPr>
              <w:tabs>
                <w:tab w:val="left" w:pos="1080"/>
              </w:tabs>
              <w:spacing w:before="20" w:after="20" w:line="240" w:lineRule="auto"/>
              <w:jc w:val="both"/>
              <w:rPr>
                <w:rFonts w:cstheme="minorHAnsi"/>
              </w:rPr>
            </w:pPr>
            <w:r w:rsidRPr="00FF64F8">
              <w:rPr>
                <w:rFonts w:cstheme="minorHAnsi"/>
              </w:rPr>
              <w:lastRenderedPageBreak/>
              <w:t>12</w:t>
            </w:r>
            <w:r w:rsidR="000A304C" w:rsidRPr="00FF64F8">
              <w:rPr>
                <w:rFonts w:cstheme="minorHAnsi"/>
              </w:rPr>
              <w:t>/20</w:t>
            </w:r>
            <w:r w:rsidRPr="00FF64F8">
              <w:rPr>
                <w:rFonts w:cstheme="minorHAnsi"/>
              </w:rPr>
              <w:t>19</w:t>
            </w:r>
          </w:p>
        </w:tc>
        <w:tc>
          <w:tcPr>
            <w:tcW w:w="1924" w:type="dxa"/>
            <w:vAlign w:val="center"/>
          </w:tcPr>
          <w:p w14:paraId="70613C3C" w14:textId="6524A3E9" w:rsidR="00443B19" w:rsidRPr="00FF64F8" w:rsidRDefault="000A304C" w:rsidP="00443B19">
            <w:pPr>
              <w:tabs>
                <w:tab w:val="left" w:pos="1080"/>
              </w:tabs>
              <w:spacing w:before="20" w:after="20" w:line="240" w:lineRule="auto"/>
              <w:jc w:val="both"/>
              <w:rPr>
                <w:rFonts w:cstheme="minorHAnsi"/>
              </w:rPr>
            </w:pPr>
            <w:r w:rsidRPr="00FF64F8">
              <w:rPr>
                <w:rFonts w:cstheme="minorHAnsi"/>
              </w:rPr>
              <w:t>UNDP</w:t>
            </w:r>
          </w:p>
        </w:tc>
        <w:tc>
          <w:tcPr>
            <w:tcW w:w="4793" w:type="dxa"/>
            <w:gridSpan w:val="2"/>
          </w:tcPr>
          <w:p w14:paraId="5D50C1E8" w14:textId="77777777" w:rsidR="00443B19" w:rsidRPr="00FF64F8" w:rsidRDefault="00443B19" w:rsidP="00443B19">
            <w:pPr>
              <w:tabs>
                <w:tab w:val="left" w:pos="1080"/>
              </w:tabs>
              <w:spacing w:before="20" w:after="20" w:line="240" w:lineRule="auto"/>
              <w:jc w:val="both"/>
              <w:rPr>
                <w:rFonts w:cstheme="minorHAnsi"/>
              </w:rPr>
            </w:pPr>
          </w:p>
        </w:tc>
        <w:tc>
          <w:tcPr>
            <w:tcW w:w="1461" w:type="dxa"/>
            <w:gridSpan w:val="2"/>
            <w:vAlign w:val="center"/>
          </w:tcPr>
          <w:p w14:paraId="7E2BC1B6" w14:textId="49C1FA84" w:rsidR="00443B19" w:rsidRPr="00FF64F8" w:rsidRDefault="000A304C" w:rsidP="00443B19">
            <w:pPr>
              <w:tabs>
                <w:tab w:val="left" w:pos="1080"/>
              </w:tabs>
              <w:spacing w:before="20" w:after="20" w:line="240" w:lineRule="auto"/>
              <w:jc w:val="both"/>
              <w:rPr>
                <w:rFonts w:cstheme="minorHAnsi"/>
              </w:rPr>
            </w:pPr>
            <w:r w:rsidRPr="00FF64F8">
              <w:rPr>
                <w:rFonts w:cstheme="minorHAnsi"/>
              </w:rPr>
              <w:t xml:space="preserve">Initiated </w:t>
            </w:r>
          </w:p>
        </w:tc>
      </w:tr>
    </w:tbl>
    <w:p w14:paraId="74262580" w14:textId="193B3068" w:rsidR="00A12525" w:rsidRDefault="00A12525" w:rsidP="00375E43">
      <w:pPr>
        <w:rPr>
          <w:rFonts w:cstheme="minorHAnsi"/>
        </w:rPr>
      </w:pPr>
    </w:p>
    <w:sectPr w:rsidR="00A12525" w:rsidSect="00B86A67">
      <w:footerReference w:type="default" r:id="rId7"/>
      <w:footerReference w:type="first" r:id="rId8"/>
      <w:pgSz w:w="16838" w:h="11906" w:orient="landscape"/>
      <w:pgMar w:top="1440" w:right="709" w:bottom="1276" w:left="85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DADCE" w14:textId="77777777" w:rsidR="00CA59EC" w:rsidRDefault="00CA59EC" w:rsidP="00B920E0">
      <w:pPr>
        <w:spacing w:after="0" w:line="240" w:lineRule="auto"/>
      </w:pPr>
      <w:r>
        <w:separator/>
      </w:r>
    </w:p>
  </w:endnote>
  <w:endnote w:type="continuationSeparator" w:id="0">
    <w:p w14:paraId="6A2A6D88" w14:textId="77777777" w:rsidR="00CA59EC" w:rsidRDefault="00CA59EC" w:rsidP="00B92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804319"/>
      <w:docPartObj>
        <w:docPartGallery w:val="Page Numbers (Bottom of Page)"/>
        <w:docPartUnique/>
      </w:docPartObj>
    </w:sdtPr>
    <w:sdtEndPr>
      <w:rPr>
        <w:noProof/>
      </w:rPr>
    </w:sdtEndPr>
    <w:sdtContent>
      <w:p w14:paraId="5BB29E39" w14:textId="77777777" w:rsidR="000128BF" w:rsidRDefault="000128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6CD51C" w14:textId="77777777" w:rsidR="000128BF" w:rsidRDefault="000128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533021"/>
      <w:docPartObj>
        <w:docPartGallery w:val="Page Numbers (Bottom of Page)"/>
        <w:docPartUnique/>
      </w:docPartObj>
    </w:sdtPr>
    <w:sdtEndPr>
      <w:rPr>
        <w:noProof/>
      </w:rPr>
    </w:sdtEndPr>
    <w:sdtContent>
      <w:p w14:paraId="2A342A74" w14:textId="6DF25756" w:rsidR="00B86A67" w:rsidRDefault="00B86A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F99CCB" w14:textId="77777777" w:rsidR="000128BF" w:rsidRPr="008E582C" w:rsidRDefault="000128BF">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E1CEB" w14:textId="77777777" w:rsidR="00CA59EC" w:rsidRDefault="00CA59EC" w:rsidP="00B920E0">
      <w:pPr>
        <w:spacing w:after="0" w:line="240" w:lineRule="auto"/>
      </w:pPr>
      <w:r>
        <w:separator/>
      </w:r>
    </w:p>
  </w:footnote>
  <w:footnote w:type="continuationSeparator" w:id="0">
    <w:p w14:paraId="7AAE59AC" w14:textId="77777777" w:rsidR="00CA59EC" w:rsidRDefault="00CA59EC" w:rsidP="00B920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0DB0"/>
    <w:multiLevelType w:val="hybridMultilevel"/>
    <w:tmpl w:val="74069CDC"/>
    <w:lvl w:ilvl="0" w:tplc="DB1A32BC">
      <w:start w:val="6"/>
      <w:numFmt w:val="bullet"/>
      <w:lvlText w:val="-"/>
      <w:lvlJc w:val="left"/>
      <w:pPr>
        <w:ind w:left="36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17D19"/>
    <w:multiLevelType w:val="hybridMultilevel"/>
    <w:tmpl w:val="D3C25856"/>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F6D0E"/>
    <w:multiLevelType w:val="hybridMultilevel"/>
    <w:tmpl w:val="656A1BFC"/>
    <w:lvl w:ilvl="0" w:tplc="3DAC83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3B5B93"/>
    <w:multiLevelType w:val="hybridMultilevel"/>
    <w:tmpl w:val="D084DD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87804"/>
    <w:multiLevelType w:val="hybridMultilevel"/>
    <w:tmpl w:val="3160BB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92D55"/>
    <w:multiLevelType w:val="hybridMultilevel"/>
    <w:tmpl w:val="993074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5569A3"/>
    <w:multiLevelType w:val="hybridMultilevel"/>
    <w:tmpl w:val="DCEAB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01A77"/>
    <w:multiLevelType w:val="multilevel"/>
    <w:tmpl w:val="35AA41EE"/>
    <w:lvl w:ilvl="0">
      <w:start w:val="4"/>
      <w:numFmt w:val="decimal"/>
      <w:pStyle w:val="Heading1"/>
      <w:lvlText w:val="%1"/>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b/>
        <w:bCs w:val="0"/>
        <w:i w:val="0"/>
        <w:iCs w:val="0"/>
        <w:caps w:val="0"/>
        <w:smallCaps w:val="0"/>
        <w:strike w:val="0"/>
        <w:dstrike w:val="0"/>
        <w:noProof w:val="0"/>
        <w:vanish w:val="0"/>
        <w:color w:val="18526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900" w:hanging="720"/>
      </w:pPr>
      <w:rPr>
        <w:rFonts w:hint="default"/>
        <w:b w:val="0"/>
        <w:bCs w:val="0"/>
        <w:i w:val="0"/>
        <w:iCs w:val="0"/>
        <w:caps w:val="0"/>
        <w:smallCaps w:val="0"/>
        <w:strike w:val="0"/>
        <w:dstrike w:val="0"/>
        <w:noProof w:val="0"/>
        <w:vanish w:val="0"/>
        <w:color w:val="1896A3"/>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20A45B38"/>
    <w:multiLevelType w:val="hybridMultilevel"/>
    <w:tmpl w:val="96DAC8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3B715D"/>
    <w:multiLevelType w:val="hybridMultilevel"/>
    <w:tmpl w:val="DB5E5690"/>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FA1B73"/>
    <w:multiLevelType w:val="hybridMultilevel"/>
    <w:tmpl w:val="691E24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5E19AB"/>
    <w:multiLevelType w:val="hybridMultilevel"/>
    <w:tmpl w:val="DCDC9D42"/>
    <w:lvl w:ilvl="0" w:tplc="7D8010A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E95376"/>
    <w:multiLevelType w:val="hybridMultilevel"/>
    <w:tmpl w:val="E58E3EA4"/>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153FEC"/>
    <w:multiLevelType w:val="hybridMultilevel"/>
    <w:tmpl w:val="B724937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045FE"/>
    <w:multiLevelType w:val="hybridMultilevel"/>
    <w:tmpl w:val="FC1A0A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B1030B"/>
    <w:multiLevelType w:val="hybridMultilevel"/>
    <w:tmpl w:val="035C5F3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7275B3"/>
    <w:multiLevelType w:val="hybridMultilevel"/>
    <w:tmpl w:val="49906B34"/>
    <w:lvl w:ilvl="0" w:tplc="1D36FCB6">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457DF1"/>
    <w:multiLevelType w:val="hybridMultilevel"/>
    <w:tmpl w:val="A370B146"/>
    <w:lvl w:ilvl="0" w:tplc="3DAC838C">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8" w15:restartNumberingAfterBreak="0">
    <w:nsid w:val="4A904C29"/>
    <w:multiLevelType w:val="hybridMultilevel"/>
    <w:tmpl w:val="10920C1E"/>
    <w:lvl w:ilvl="0" w:tplc="08CCF6C8">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DDE7DF5"/>
    <w:multiLevelType w:val="multilevel"/>
    <w:tmpl w:val="FD1480D0"/>
    <w:lvl w:ilvl="0">
      <w:start w:val="1"/>
      <w:numFmt w:val="decimal"/>
      <w:lvlText w:val="%1."/>
      <w:lvlJc w:val="left"/>
      <w:pPr>
        <w:ind w:left="360" w:hanging="360"/>
      </w:pPr>
      <w:rPr>
        <w:rFonts w:asciiTheme="minorHAnsi" w:hAnsiTheme="minorHAnsi" w:cstheme="minorBidi" w:hint="default"/>
        <w:b w:val="0"/>
      </w:rPr>
    </w:lvl>
    <w:lvl w:ilvl="1">
      <w:start w:val="1"/>
      <w:numFmt w:val="decimal"/>
      <w:lvlText w:val="%1.%2."/>
      <w:lvlJc w:val="left"/>
      <w:pPr>
        <w:ind w:left="720" w:hanging="360"/>
      </w:pPr>
      <w:rPr>
        <w:rFonts w:asciiTheme="minorHAnsi" w:hAnsiTheme="minorHAnsi" w:cstheme="minorBidi" w:hint="default"/>
        <w:b w:val="0"/>
      </w:rPr>
    </w:lvl>
    <w:lvl w:ilvl="2">
      <w:start w:val="1"/>
      <w:numFmt w:val="decimal"/>
      <w:lvlText w:val="%1.%2.%3."/>
      <w:lvlJc w:val="left"/>
      <w:pPr>
        <w:ind w:left="1440" w:hanging="720"/>
      </w:pPr>
      <w:rPr>
        <w:rFonts w:asciiTheme="minorHAnsi" w:hAnsiTheme="minorHAnsi" w:cstheme="minorBidi" w:hint="default"/>
        <w:b w:val="0"/>
      </w:rPr>
    </w:lvl>
    <w:lvl w:ilvl="3">
      <w:start w:val="1"/>
      <w:numFmt w:val="decimal"/>
      <w:lvlText w:val="%1.%2.%3.%4."/>
      <w:lvlJc w:val="left"/>
      <w:pPr>
        <w:ind w:left="1800" w:hanging="720"/>
      </w:pPr>
      <w:rPr>
        <w:rFonts w:asciiTheme="minorHAnsi" w:hAnsiTheme="minorHAnsi" w:cstheme="minorBidi" w:hint="default"/>
        <w:b w:val="0"/>
      </w:rPr>
    </w:lvl>
    <w:lvl w:ilvl="4">
      <w:start w:val="1"/>
      <w:numFmt w:val="decimal"/>
      <w:lvlText w:val="%1.%2.%3.%4.%5."/>
      <w:lvlJc w:val="left"/>
      <w:pPr>
        <w:ind w:left="2520" w:hanging="1080"/>
      </w:pPr>
      <w:rPr>
        <w:rFonts w:asciiTheme="minorHAnsi" w:hAnsiTheme="minorHAnsi" w:cstheme="minorBidi" w:hint="default"/>
        <w:b w:val="0"/>
      </w:rPr>
    </w:lvl>
    <w:lvl w:ilvl="5">
      <w:start w:val="1"/>
      <w:numFmt w:val="decimal"/>
      <w:lvlText w:val="%1.%2.%3.%4.%5.%6."/>
      <w:lvlJc w:val="left"/>
      <w:pPr>
        <w:ind w:left="2880" w:hanging="1080"/>
      </w:pPr>
      <w:rPr>
        <w:rFonts w:asciiTheme="minorHAnsi" w:hAnsiTheme="minorHAnsi" w:cstheme="minorBidi" w:hint="default"/>
        <w:b w:val="0"/>
      </w:rPr>
    </w:lvl>
    <w:lvl w:ilvl="6">
      <w:start w:val="1"/>
      <w:numFmt w:val="decimal"/>
      <w:lvlText w:val="%1.%2.%3.%4.%5.%6.%7."/>
      <w:lvlJc w:val="left"/>
      <w:pPr>
        <w:ind w:left="3600" w:hanging="1440"/>
      </w:pPr>
      <w:rPr>
        <w:rFonts w:asciiTheme="minorHAnsi" w:hAnsiTheme="minorHAnsi" w:cstheme="minorBidi" w:hint="default"/>
        <w:b w:val="0"/>
      </w:rPr>
    </w:lvl>
    <w:lvl w:ilvl="7">
      <w:start w:val="1"/>
      <w:numFmt w:val="decimal"/>
      <w:lvlText w:val="%1.%2.%3.%4.%5.%6.%7.%8."/>
      <w:lvlJc w:val="left"/>
      <w:pPr>
        <w:ind w:left="3960" w:hanging="1440"/>
      </w:pPr>
      <w:rPr>
        <w:rFonts w:asciiTheme="minorHAnsi" w:hAnsiTheme="minorHAnsi" w:cstheme="minorBidi" w:hint="default"/>
        <w:b w:val="0"/>
      </w:rPr>
    </w:lvl>
    <w:lvl w:ilvl="8">
      <w:start w:val="1"/>
      <w:numFmt w:val="decimal"/>
      <w:lvlText w:val="%1.%2.%3.%4.%5.%6.%7.%8.%9."/>
      <w:lvlJc w:val="left"/>
      <w:pPr>
        <w:ind w:left="4680" w:hanging="1800"/>
      </w:pPr>
      <w:rPr>
        <w:rFonts w:asciiTheme="minorHAnsi" w:hAnsiTheme="minorHAnsi" w:cstheme="minorBidi" w:hint="default"/>
        <w:b w:val="0"/>
      </w:rPr>
    </w:lvl>
  </w:abstractNum>
  <w:abstractNum w:abstractNumId="20" w15:restartNumberingAfterBreak="0">
    <w:nsid w:val="50883387"/>
    <w:multiLevelType w:val="multilevel"/>
    <w:tmpl w:val="0E60D0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1125C88"/>
    <w:multiLevelType w:val="hybridMultilevel"/>
    <w:tmpl w:val="24543108"/>
    <w:lvl w:ilvl="0" w:tplc="18189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2463EE"/>
    <w:multiLevelType w:val="hybridMultilevel"/>
    <w:tmpl w:val="D312D21A"/>
    <w:lvl w:ilvl="0" w:tplc="3DAC838C">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23" w15:restartNumberingAfterBreak="0">
    <w:nsid w:val="588405C5"/>
    <w:multiLevelType w:val="hybridMultilevel"/>
    <w:tmpl w:val="666235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A7693C"/>
    <w:multiLevelType w:val="hybridMultilevel"/>
    <w:tmpl w:val="5540EE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3D7F4D"/>
    <w:multiLevelType w:val="hybridMultilevel"/>
    <w:tmpl w:val="C3A40F90"/>
    <w:lvl w:ilvl="0" w:tplc="DB1A32BC">
      <w:start w:val="6"/>
      <w:numFmt w:val="bullet"/>
      <w:lvlText w:val="-"/>
      <w:lvlJc w:val="left"/>
      <w:pPr>
        <w:ind w:left="360" w:hanging="360"/>
      </w:pPr>
      <w:rPr>
        <w:rFonts w:ascii="Calibri" w:eastAsiaTheme="minorEastAsia"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6656AE8"/>
    <w:multiLevelType w:val="hybridMultilevel"/>
    <w:tmpl w:val="AB52F512"/>
    <w:lvl w:ilvl="0" w:tplc="1B46AA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0E0C9B"/>
    <w:multiLevelType w:val="hybridMultilevel"/>
    <w:tmpl w:val="9120E928"/>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474B13"/>
    <w:multiLevelType w:val="hybridMultilevel"/>
    <w:tmpl w:val="208A9ED0"/>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875743"/>
    <w:multiLevelType w:val="hybridMultilevel"/>
    <w:tmpl w:val="43045D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18"/>
  </w:num>
  <w:num w:numId="4">
    <w:abstractNumId w:val="3"/>
  </w:num>
  <w:num w:numId="5">
    <w:abstractNumId w:val="25"/>
  </w:num>
  <w:num w:numId="6">
    <w:abstractNumId w:val="0"/>
  </w:num>
  <w:num w:numId="7">
    <w:abstractNumId w:val="2"/>
  </w:num>
  <w:num w:numId="8">
    <w:abstractNumId w:val="22"/>
  </w:num>
  <w:num w:numId="9">
    <w:abstractNumId w:val="17"/>
  </w:num>
  <w:num w:numId="10">
    <w:abstractNumId w:val="19"/>
  </w:num>
  <w:num w:numId="11">
    <w:abstractNumId w:val="26"/>
  </w:num>
  <w:num w:numId="12">
    <w:abstractNumId w:val="16"/>
  </w:num>
  <w:num w:numId="13">
    <w:abstractNumId w:val="21"/>
  </w:num>
  <w:num w:numId="14">
    <w:abstractNumId w:val="11"/>
  </w:num>
  <w:num w:numId="15">
    <w:abstractNumId w:val="9"/>
  </w:num>
  <w:num w:numId="16">
    <w:abstractNumId w:val="27"/>
  </w:num>
  <w:num w:numId="17">
    <w:abstractNumId w:val="6"/>
  </w:num>
  <w:num w:numId="18">
    <w:abstractNumId w:val="4"/>
  </w:num>
  <w:num w:numId="19">
    <w:abstractNumId w:val="15"/>
  </w:num>
  <w:num w:numId="20">
    <w:abstractNumId w:val="13"/>
  </w:num>
  <w:num w:numId="21">
    <w:abstractNumId w:val="23"/>
  </w:num>
  <w:num w:numId="22">
    <w:abstractNumId w:val="1"/>
  </w:num>
  <w:num w:numId="23">
    <w:abstractNumId w:val="5"/>
  </w:num>
  <w:num w:numId="24">
    <w:abstractNumId w:val="12"/>
  </w:num>
  <w:num w:numId="25">
    <w:abstractNumId w:val="28"/>
  </w:num>
  <w:num w:numId="26">
    <w:abstractNumId w:val="14"/>
  </w:num>
  <w:num w:numId="27">
    <w:abstractNumId w:val="24"/>
  </w:num>
  <w:num w:numId="28">
    <w:abstractNumId w:val="10"/>
  </w:num>
  <w:num w:numId="29">
    <w:abstractNumId w:val="8"/>
  </w:num>
  <w:num w:numId="30">
    <w:abstractNumId w:val="29"/>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BD7"/>
    <w:rsid w:val="000128BF"/>
    <w:rsid w:val="00027989"/>
    <w:rsid w:val="00036164"/>
    <w:rsid w:val="0004448A"/>
    <w:rsid w:val="00081ED2"/>
    <w:rsid w:val="000A304C"/>
    <w:rsid w:val="000A3A00"/>
    <w:rsid w:val="000B49D1"/>
    <w:rsid w:val="000B54E2"/>
    <w:rsid w:val="000C37B1"/>
    <w:rsid w:val="000C3E61"/>
    <w:rsid w:val="000E6B00"/>
    <w:rsid w:val="00104A54"/>
    <w:rsid w:val="00105B2A"/>
    <w:rsid w:val="00132836"/>
    <w:rsid w:val="00165EAB"/>
    <w:rsid w:val="0017160F"/>
    <w:rsid w:val="00193D77"/>
    <w:rsid w:val="001B153E"/>
    <w:rsid w:val="001B53F5"/>
    <w:rsid w:val="001B7895"/>
    <w:rsid w:val="001C1F0E"/>
    <w:rsid w:val="001D079D"/>
    <w:rsid w:val="001D3729"/>
    <w:rsid w:val="001E7128"/>
    <w:rsid w:val="001F18E2"/>
    <w:rsid w:val="00205D19"/>
    <w:rsid w:val="00215624"/>
    <w:rsid w:val="00215869"/>
    <w:rsid w:val="002240B5"/>
    <w:rsid w:val="00233731"/>
    <w:rsid w:val="002606A7"/>
    <w:rsid w:val="002659D0"/>
    <w:rsid w:val="00266523"/>
    <w:rsid w:val="002718A6"/>
    <w:rsid w:val="00284F6B"/>
    <w:rsid w:val="00286DFE"/>
    <w:rsid w:val="00296526"/>
    <w:rsid w:val="002B579B"/>
    <w:rsid w:val="002B6AD6"/>
    <w:rsid w:val="002F1343"/>
    <w:rsid w:val="0030519B"/>
    <w:rsid w:val="00305367"/>
    <w:rsid w:val="0031393D"/>
    <w:rsid w:val="003238FF"/>
    <w:rsid w:val="00327B63"/>
    <w:rsid w:val="003350E3"/>
    <w:rsid w:val="00360EE7"/>
    <w:rsid w:val="00367E99"/>
    <w:rsid w:val="00375E43"/>
    <w:rsid w:val="00385F87"/>
    <w:rsid w:val="003869A4"/>
    <w:rsid w:val="003869D1"/>
    <w:rsid w:val="003966E9"/>
    <w:rsid w:val="003A1036"/>
    <w:rsid w:val="003A48A0"/>
    <w:rsid w:val="003A648A"/>
    <w:rsid w:val="003B1423"/>
    <w:rsid w:val="003B6AAA"/>
    <w:rsid w:val="003C7279"/>
    <w:rsid w:val="003D3FB1"/>
    <w:rsid w:val="003E6A75"/>
    <w:rsid w:val="003F2412"/>
    <w:rsid w:val="00414F0D"/>
    <w:rsid w:val="00434C4D"/>
    <w:rsid w:val="00443B19"/>
    <w:rsid w:val="0045376D"/>
    <w:rsid w:val="004601BB"/>
    <w:rsid w:val="004611D1"/>
    <w:rsid w:val="00464DDA"/>
    <w:rsid w:val="004779E4"/>
    <w:rsid w:val="004916B7"/>
    <w:rsid w:val="004A443D"/>
    <w:rsid w:val="004B3925"/>
    <w:rsid w:val="004B5C0E"/>
    <w:rsid w:val="004D590F"/>
    <w:rsid w:val="004D6061"/>
    <w:rsid w:val="004D74E2"/>
    <w:rsid w:val="005269D7"/>
    <w:rsid w:val="00536193"/>
    <w:rsid w:val="00557F61"/>
    <w:rsid w:val="00562A01"/>
    <w:rsid w:val="00564375"/>
    <w:rsid w:val="00570C02"/>
    <w:rsid w:val="00572680"/>
    <w:rsid w:val="00576486"/>
    <w:rsid w:val="005978A9"/>
    <w:rsid w:val="005A08DF"/>
    <w:rsid w:val="005B75F3"/>
    <w:rsid w:val="005C5417"/>
    <w:rsid w:val="005D2E46"/>
    <w:rsid w:val="005E715F"/>
    <w:rsid w:val="00633BB0"/>
    <w:rsid w:val="0063436D"/>
    <w:rsid w:val="0065270B"/>
    <w:rsid w:val="00663C22"/>
    <w:rsid w:val="00677A60"/>
    <w:rsid w:val="00677C99"/>
    <w:rsid w:val="00681E07"/>
    <w:rsid w:val="00682D50"/>
    <w:rsid w:val="006923B6"/>
    <w:rsid w:val="006B1614"/>
    <w:rsid w:val="006C5BA5"/>
    <w:rsid w:val="006F01CE"/>
    <w:rsid w:val="007003CB"/>
    <w:rsid w:val="0070318E"/>
    <w:rsid w:val="00727E38"/>
    <w:rsid w:val="007663E4"/>
    <w:rsid w:val="00772DBB"/>
    <w:rsid w:val="00773728"/>
    <w:rsid w:val="007B5C30"/>
    <w:rsid w:val="007B6DAB"/>
    <w:rsid w:val="007C6B6B"/>
    <w:rsid w:val="007E0A41"/>
    <w:rsid w:val="007E3EC0"/>
    <w:rsid w:val="008202B8"/>
    <w:rsid w:val="0084564E"/>
    <w:rsid w:val="00852D5A"/>
    <w:rsid w:val="008564D4"/>
    <w:rsid w:val="008605FC"/>
    <w:rsid w:val="008623A0"/>
    <w:rsid w:val="00880748"/>
    <w:rsid w:val="0089308C"/>
    <w:rsid w:val="008C74EB"/>
    <w:rsid w:val="008D21D9"/>
    <w:rsid w:val="008E582C"/>
    <w:rsid w:val="008F0EB5"/>
    <w:rsid w:val="00907196"/>
    <w:rsid w:val="00913922"/>
    <w:rsid w:val="0092500B"/>
    <w:rsid w:val="00940999"/>
    <w:rsid w:val="00947049"/>
    <w:rsid w:val="009A168F"/>
    <w:rsid w:val="009A6B79"/>
    <w:rsid w:val="009F302E"/>
    <w:rsid w:val="00A013EC"/>
    <w:rsid w:val="00A050B8"/>
    <w:rsid w:val="00A12525"/>
    <w:rsid w:val="00A14A38"/>
    <w:rsid w:val="00A24EE1"/>
    <w:rsid w:val="00A26289"/>
    <w:rsid w:val="00A41B7D"/>
    <w:rsid w:val="00A430B8"/>
    <w:rsid w:val="00A4630C"/>
    <w:rsid w:val="00A51FD5"/>
    <w:rsid w:val="00A930D9"/>
    <w:rsid w:val="00AD39A1"/>
    <w:rsid w:val="00AE6100"/>
    <w:rsid w:val="00B05356"/>
    <w:rsid w:val="00B06A3F"/>
    <w:rsid w:val="00B171CA"/>
    <w:rsid w:val="00B23E00"/>
    <w:rsid w:val="00B419A5"/>
    <w:rsid w:val="00B41B65"/>
    <w:rsid w:val="00B42F1D"/>
    <w:rsid w:val="00B456BE"/>
    <w:rsid w:val="00B459DE"/>
    <w:rsid w:val="00B719A8"/>
    <w:rsid w:val="00B86A67"/>
    <w:rsid w:val="00B920E0"/>
    <w:rsid w:val="00BA31F6"/>
    <w:rsid w:val="00BA37BE"/>
    <w:rsid w:val="00BD4569"/>
    <w:rsid w:val="00BE25A4"/>
    <w:rsid w:val="00BE6B76"/>
    <w:rsid w:val="00C063B5"/>
    <w:rsid w:val="00C45371"/>
    <w:rsid w:val="00C6141D"/>
    <w:rsid w:val="00CA59EC"/>
    <w:rsid w:val="00CB6DA3"/>
    <w:rsid w:val="00CD391B"/>
    <w:rsid w:val="00CF04F3"/>
    <w:rsid w:val="00D12A36"/>
    <w:rsid w:val="00D13965"/>
    <w:rsid w:val="00D2795E"/>
    <w:rsid w:val="00D27C53"/>
    <w:rsid w:val="00D46093"/>
    <w:rsid w:val="00D5314A"/>
    <w:rsid w:val="00D87025"/>
    <w:rsid w:val="00DD593D"/>
    <w:rsid w:val="00DF580F"/>
    <w:rsid w:val="00E07F66"/>
    <w:rsid w:val="00E12D0A"/>
    <w:rsid w:val="00E22DB0"/>
    <w:rsid w:val="00E22E33"/>
    <w:rsid w:val="00E31139"/>
    <w:rsid w:val="00E61BD7"/>
    <w:rsid w:val="00E809BA"/>
    <w:rsid w:val="00E92136"/>
    <w:rsid w:val="00E94037"/>
    <w:rsid w:val="00E96FF7"/>
    <w:rsid w:val="00EA4AF6"/>
    <w:rsid w:val="00EC200E"/>
    <w:rsid w:val="00EC5C1F"/>
    <w:rsid w:val="00ED0A77"/>
    <w:rsid w:val="00ED15C0"/>
    <w:rsid w:val="00ED1A83"/>
    <w:rsid w:val="00ED3FE0"/>
    <w:rsid w:val="00EE55C8"/>
    <w:rsid w:val="00F11879"/>
    <w:rsid w:val="00F1396E"/>
    <w:rsid w:val="00F53D2C"/>
    <w:rsid w:val="00F561F4"/>
    <w:rsid w:val="00F576B7"/>
    <w:rsid w:val="00F60BF6"/>
    <w:rsid w:val="00F60CEC"/>
    <w:rsid w:val="00F64B7B"/>
    <w:rsid w:val="00F6539E"/>
    <w:rsid w:val="00FA11F8"/>
    <w:rsid w:val="00FA7B83"/>
    <w:rsid w:val="00FC570A"/>
    <w:rsid w:val="00FD76EB"/>
    <w:rsid w:val="00FE4AAF"/>
    <w:rsid w:val="00FE5BB0"/>
    <w:rsid w:val="00FF6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F205C"/>
  <w15:chartTrackingRefBased/>
  <w15:docId w15:val="{3F69541E-0FFC-4BAE-9028-FAE2D1D6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1BD7"/>
    <w:rPr>
      <w:lang w:val="en-GB"/>
    </w:rPr>
  </w:style>
  <w:style w:type="paragraph" w:styleId="Heading1">
    <w:name w:val="heading 1"/>
    <w:basedOn w:val="Normal"/>
    <w:next w:val="Normal"/>
    <w:link w:val="Heading1Char"/>
    <w:uiPriority w:val="9"/>
    <w:qFormat/>
    <w:rsid w:val="00E61BD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61BD7"/>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61BD7"/>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61BD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61BD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61BD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61BD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61BD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61BD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BD7"/>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E61BD7"/>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E61BD7"/>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semiHidden/>
    <w:rsid w:val="00E61BD7"/>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semiHidden/>
    <w:rsid w:val="00E61BD7"/>
    <w:rPr>
      <w:rFonts w:asciiTheme="majorHAnsi" w:eastAsiaTheme="majorEastAsia" w:hAnsiTheme="majorHAnsi" w:cstheme="majorBidi"/>
      <w:color w:val="2E74B5" w:themeColor="accent1" w:themeShade="BF"/>
      <w:lang w:val="en-GB"/>
    </w:rPr>
  </w:style>
  <w:style w:type="character" w:customStyle="1" w:styleId="Heading6Char">
    <w:name w:val="Heading 6 Char"/>
    <w:basedOn w:val="DefaultParagraphFont"/>
    <w:link w:val="Heading6"/>
    <w:uiPriority w:val="9"/>
    <w:semiHidden/>
    <w:rsid w:val="00E61BD7"/>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E61BD7"/>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E61B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E61BD7"/>
    <w:rPr>
      <w:rFonts w:asciiTheme="majorHAnsi" w:eastAsiaTheme="majorEastAsia" w:hAnsiTheme="majorHAnsi" w:cstheme="majorBidi"/>
      <w:i/>
      <w:iCs/>
      <w:color w:val="272727" w:themeColor="text1" w:themeTint="D8"/>
      <w:sz w:val="21"/>
      <w:szCs w:val="21"/>
      <w:lang w:val="en-GB"/>
    </w:rPr>
  </w:style>
  <w:style w:type="paragraph" w:customStyle="1" w:styleId="G-heading2">
    <w:name w:val="G-heading2"/>
    <w:basedOn w:val="Heading2"/>
    <w:link w:val="G-heading2Char"/>
    <w:qFormat/>
    <w:rsid w:val="00E61BD7"/>
    <w:pPr>
      <w:pBdr>
        <w:top w:val="nil"/>
        <w:left w:val="nil"/>
        <w:bottom w:val="nil"/>
        <w:right w:val="nil"/>
        <w:between w:val="nil"/>
        <w:bar w:val="nil"/>
      </w:pBdr>
    </w:pPr>
    <w:rPr>
      <w:rFonts w:ascii="Calibri" w:eastAsia="Calibri" w:hAnsi="Calibri" w:cs="Calibri"/>
      <w:b/>
      <w:color w:val="185262"/>
      <w:u w:color="374C80"/>
      <w:bdr w:val="nil"/>
      <w:lang w:eastAsia="zh-CN"/>
    </w:rPr>
  </w:style>
  <w:style w:type="character" w:customStyle="1" w:styleId="G-heading2Char">
    <w:name w:val="G-heading2 Char"/>
    <w:basedOn w:val="Heading2Char"/>
    <w:link w:val="G-heading2"/>
    <w:rsid w:val="00E61BD7"/>
    <w:rPr>
      <w:rFonts w:ascii="Calibri" w:eastAsia="Calibri" w:hAnsi="Calibri" w:cs="Calibri"/>
      <w:b/>
      <w:color w:val="185262"/>
      <w:sz w:val="26"/>
      <w:szCs w:val="26"/>
      <w:u w:color="374C80"/>
      <w:bdr w:val="nil"/>
      <w:lang w:val="en-GB" w:eastAsia="zh-CN"/>
    </w:rPr>
  </w:style>
  <w:style w:type="paragraph" w:styleId="ListParagraph">
    <w:name w:val="List Paragraph"/>
    <w:aliases w:val="List Paragraph (numbered (a)),List Paragraph Char Char Char,Use Case List Paragraph,List Paragraph2"/>
    <w:basedOn w:val="Normal"/>
    <w:link w:val="ListParagraphChar"/>
    <w:uiPriority w:val="34"/>
    <w:qFormat/>
    <w:rsid w:val="00C45371"/>
    <w:pPr>
      <w:spacing w:after="0" w:line="240" w:lineRule="auto"/>
      <w:ind w:left="720"/>
    </w:pPr>
    <w:rPr>
      <w:rFonts w:ascii="Calibri" w:hAnsi="Calibri" w:cs="Calibri"/>
      <w:lang w:val="en-US"/>
    </w:rPr>
  </w:style>
  <w:style w:type="paragraph" w:styleId="NoSpacing">
    <w:name w:val="No Spacing"/>
    <w:link w:val="NoSpacingChar"/>
    <w:uiPriority w:val="1"/>
    <w:qFormat/>
    <w:rsid w:val="00B920E0"/>
    <w:pPr>
      <w:spacing w:after="0" w:line="240" w:lineRule="auto"/>
    </w:pPr>
    <w:rPr>
      <w:rFonts w:ascii="Arial" w:eastAsiaTheme="minorEastAsia" w:hAnsi="Arial" w:cs="Times New Roman"/>
      <w:szCs w:val="24"/>
      <w:lang w:val="en-GB"/>
    </w:rPr>
  </w:style>
  <w:style w:type="character" w:customStyle="1" w:styleId="NoSpacingChar">
    <w:name w:val="No Spacing Char"/>
    <w:link w:val="NoSpacing"/>
    <w:uiPriority w:val="1"/>
    <w:locked/>
    <w:rsid w:val="00B920E0"/>
    <w:rPr>
      <w:rFonts w:ascii="Arial" w:eastAsiaTheme="minorEastAsia" w:hAnsi="Arial" w:cs="Times New Roman"/>
      <w:szCs w:val="24"/>
      <w:lang w:val="en-GB"/>
    </w:rPr>
  </w:style>
  <w:style w:type="paragraph" w:styleId="FootnoteText">
    <w:name w:val="footnote text"/>
    <w:aliases w:val="Lábjegyzet-szöveg,single space,footnote text,ft,Footnote Text Char1 Char,Footnote Text Char2 Char Char,Footnote Text Char Char2 Char Char,Footnote Text Char1 Char Char Char,Footnote Text Char Char Char Char Char,Footnote Text Blue,Char"/>
    <w:basedOn w:val="Normal"/>
    <w:link w:val="FootnoteTextChar"/>
    <w:autoRedefine/>
    <w:uiPriority w:val="99"/>
    <w:unhideWhenUsed/>
    <w:qFormat/>
    <w:rsid w:val="00B920E0"/>
    <w:pPr>
      <w:spacing w:after="0" w:line="240" w:lineRule="auto"/>
      <w:jc w:val="both"/>
    </w:pPr>
    <w:rPr>
      <w:rFonts w:ascii="Calibri" w:eastAsiaTheme="minorEastAsia" w:hAnsi="Calibri" w:cs="Times New Roman"/>
      <w:sz w:val="20"/>
      <w:szCs w:val="24"/>
      <w:lang w:eastAsia="ja-JP"/>
    </w:rPr>
  </w:style>
  <w:style w:type="character" w:customStyle="1" w:styleId="FootnoteTextChar">
    <w:name w:val="Footnote Text Char"/>
    <w:aliases w:val="Lábjegyzet-szöveg Char,single space Char,footnote text Char,ft Char,Footnote Text Char1 Char Char,Footnote Text Char2 Char Char Char,Footnote Text Char Char2 Char Char Char,Footnote Text Char1 Char Char Char Char,Char Char"/>
    <w:basedOn w:val="DefaultParagraphFont"/>
    <w:link w:val="FootnoteText"/>
    <w:uiPriority w:val="99"/>
    <w:rsid w:val="00B920E0"/>
    <w:rPr>
      <w:rFonts w:ascii="Calibri" w:eastAsiaTheme="minorEastAsia" w:hAnsi="Calibri" w:cs="Times New Roman"/>
      <w:sz w:val="20"/>
      <w:szCs w:val="24"/>
      <w:lang w:val="en-GB" w:eastAsia="ja-JP"/>
    </w:rPr>
  </w:style>
  <w:style w:type="character" w:styleId="FootnoteReference">
    <w:name w:val="footnote reference"/>
    <w:aliases w:val="ftref,Footnotes refss,Footnote Reference1,16 Point,Superscript 6 Point,Fußnotenzeichen DISS,BVI fnr,Footnote Reference Number,nota pié di pagina,Footnote symbol,Footnote reference number,Times 10 Point,Exposant 3 Point,note TESI"/>
    <w:link w:val="Char2"/>
    <w:uiPriority w:val="99"/>
    <w:qFormat/>
    <w:rsid w:val="00B920E0"/>
    <w:rPr>
      <w:vertAlign w:val="superscript"/>
    </w:rPr>
  </w:style>
  <w:style w:type="paragraph" w:customStyle="1" w:styleId="Char2">
    <w:name w:val="Char2"/>
    <w:basedOn w:val="Normal"/>
    <w:link w:val="FootnoteReference"/>
    <w:uiPriority w:val="99"/>
    <w:rsid w:val="00B920E0"/>
    <w:pPr>
      <w:spacing w:line="240" w:lineRule="exact"/>
      <w:jc w:val="both"/>
    </w:pPr>
    <w:rPr>
      <w:vertAlign w:val="superscript"/>
      <w:lang w:val="en-US"/>
    </w:rPr>
  </w:style>
  <w:style w:type="table" w:styleId="TableGrid">
    <w:name w:val="Table Grid"/>
    <w:basedOn w:val="TableNormal"/>
    <w:uiPriority w:val="39"/>
    <w:rsid w:val="00562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5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39E"/>
    <w:rPr>
      <w:lang w:val="en-GB"/>
    </w:rPr>
  </w:style>
  <w:style w:type="paragraph" w:styleId="Footer">
    <w:name w:val="footer"/>
    <w:basedOn w:val="Normal"/>
    <w:link w:val="FooterChar"/>
    <w:uiPriority w:val="99"/>
    <w:unhideWhenUsed/>
    <w:rsid w:val="00F65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39E"/>
    <w:rPr>
      <w:lang w:val="en-GB"/>
    </w:rPr>
  </w:style>
  <w:style w:type="paragraph" w:styleId="CommentText">
    <w:name w:val="annotation text"/>
    <w:basedOn w:val="Normal"/>
    <w:link w:val="CommentTextChar"/>
    <w:autoRedefine/>
    <w:uiPriority w:val="99"/>
    <w:unhideWhenUsed/>
    <w:rsid w:val="005269D7"/>
    <w:pPr>
      <w:spacing w:after="0" w:line="276" w:lineRule="auto"/>
      <w:jc w:val="both"/>
    </w:pPr>
    <w:rPr>
      <w:rFonts w:ascii="Calibri" w:eastAsia="Times New Roman" w:hAnsi="Calibri" w:cs="Times New Roman"/>
      <w:szCs w:val="24"/>
      <w:lang w:eastAsia="es-ES"/>
    </w:rPr>
  </w:style>
  <w:style w:type="character" w:customStyle="1" w:styleId="CommentTextChar">
    <w:name w:val="Comment Text Char"/>
    <w:basedOn w:val="DefaultParagraphFont"/>
    <w:link w:val="CommentText"/>
    <w:uiPriority w:val="99"/>
    <w:rsid w:val="005269D7"/>
    <w:rPr>
      <w:rFonts w:ascii="Calibri" w:eastAsia="Times New Roman" w:hAnsi="Calibri" w:cs="Times New Roman"/>
      <w:szCs w:val="24"/>
      <w:lang w:val="en-GB" w:eastAsia="es-ES"/>
    </w:rPr>
  </w:style>
  <w:style w:type="character" w:customStyle="1" w:styleId="ListParagraphChar">
    <w:name w:val="List Paragraph Char"/>
    <w:aliases w:val="List Paragraph (numbered (a)) Char,List Paragraph Char Char Char Char,Use Case List Paragraph Char,List Paragraph2 Char"/>
    <w:basedOn w:val="DefaultParagraphFont"/>
    <w:link w:val="ListParagraph"/>
    <w:uiPriority w:val="34"/>
    <w:locked/>
    <w:rsid w:val="00A14A38"/>
    <w:rPr>
      <w:rFonts w:ascii="Calibri" w:hAnsi="Calibri" w:cs="Calibri"/>
    </w:rPr>
  </w:style>
  <w:style w:type="character" w:styleId="CommentReference">
    <w:name w:val="annotation reference"/>
    <w:basedOn w:val="DefaultParagraphFont"/>
    <w:uiPriority w:val="99"/>
    <w:semiHidden/>
    <w:unhideWhenUsed/>
    <w:rsid w:val="003350E3"/>
    <w:rPr>
      <w:sz w:val="16"/>
      <w:szCs w:val="16"/>
    </w:rPr>
  </w:style>
  <w:style w:type="paragraph" w:styleId="CommentSubject">
    <w:name w:val="annotation subject"/>
    <w:basedOn w:val="CommentText"/>
    <w:next w:val="CommentText"/>
    <w:link w:val="CommentSubjectChar"/>
    <w:uiPriority w:val="99"/>
    <w:semiHidden/>
    <w:unhideWhenUsed/>
    <w:rsid w:val="003350E3"/>
    <w:pPr>
      <w:spacing w:after="160" w:line="240" w:lineRule="auto"/>
      <w:jc w:val="left"/>
    </w:pPr>
    <w:rPr>
      <w:rFonts w:asciiTheme="minorHAnsi" w:eastAsiaTheme="minorHAnsi" w:hAnsiTheme="minorHAnsi" w:cstheme="minorBidi"/>
      <w:b/>
      <w:bCs/>
      <w:sz w:val="20"/>
      <w:szCs w:val="20"/>
      <w:lang w:eastAsia="en-US"/>
    </w:rPr>
  </w:style>
  <w:style w:type="character" w:customStyle="1" w:styleId="CommentSubjectChar">
    <w:name w:val="Comment Subject Char"/>
    <w:basedOn w:val="CommentTextChar"/>
    <w:link w:val="CommentSubject"/>
    <w:uiPriority w:val="99"/>
    <w:semiHidden/>
    <w:rsid w:val="003350E3"/>
    <w:rPr>
      <w:rFonts w:ascii="Calibri" w:eastAsia="Times New Roman" w:hAnsi="Calibri" w:cs="Times New Roman"/>
      <w:b/>
      <w:bCs/>
      <w:sz w:val="20"/>
      <w:szCs w:val="20"/>
      <w:lang w:val="en-GB" w:eastAsia="es-ES"/>
    </w:rPr>
  </w:style>
  <w:style w:type="paragraph" w:styleId="BalloonText">
    <w:name w:val="Balloon Text"/>
    <w:basedOn w:val="Normal"/>
    <w:link w:val="BalloonTextChar"/>
    <w:uiPriority w:val="99"/>
    <w:semiHidden/>
    <w:unhideWhenUsed/>
    <w:rsid w:val="003350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0E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60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3454</Words>
  <Characters>19693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Jones</dc:creator>
  <cp:keywords/>
  <dc:description/>
  <cp:lastModifiedBy>Amra Zorlak</cp:lastModifiedBy>
  <cp:revision>2</cp:revision>
  <dcterms:created xsi:type="dcterms:W3CDTF">2019-05-21T10:04:00Z</dcterms:created>
  <dcterms:modified xsi:type="dcterms:W3CDTF">2019-05-21T10:04:00Z</dcterms:modified>
</cp:coreProperties>
</file>