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3E3EF" w14:textId="054545DE" w:rsidR="004964CD" w:rsidRPr="005A1C05" w:rsidRDefault="00D13B5B" w:rsidP="004964CD">
      <w:pPr>
        <w:spacing w:after="15" w:line="278" w:lineRule="auto"/>
        <w:ind w:left="1168" w:right="1302" w:hanging="3"/>
        <w:jc w:val="center"/>
        <w:rPr>
          <w:rFonts w:ascii="Tw Cen MT" w:hAnsi="Tw Cen MT"/>
          <w:b/>
          <w:color w:val="000000" w:themeColor="text1"/>
          <w:sz w:val="28"/>
          <w:lang w:val="fr-CA"/>
        </w:rPr>
      </w:pPr>
      <w:r w:rsidRPr="005A1C05">
        <w:rPr>
          <w:rFonts w:ascii="Tw Cen MT" w:eastAsia="Times New Roman" w:hAnsi="Tw Cen MT"/>
          <w:b/>
          <w:bCs/>
          <w:sz w:val="24"/>
          <w:lang w:eastAsia="fr-FR"/>
        </w:rPr>
        <w:t xml:space="preserve">Réponse </w:t>
      </w:r>
      <w:r w:rsidR="003F4F09" w:rsidRPr="005A1C05">
        <w:rPr>
          <w:rFonts w:ascii="Tw Cen MT" w:eastAsia="Times New Roman" w:hAnsi="Tw Cen MT"/>
          <w:b/>
          <w:bCs/>
          <w:sz w:val="24"/>
          <w:lang w:eastAsia="fr-FR"/>
        </w:rPr>
        <w:t>du PNUD aux recommandations</w:t>
      </w:r>
      <w:r w:rsidR="00A83B76" w:rsidRPr="005A1C05">
        <w:rPr>
          <w:rFonts w:ascii="Tw Cen MT" w:eastAsia="Times New Roman" w:hAnsi="Tw Cen MT"/>
          <w:b/>
          <w:bCs/>
          <w:sz w:val="24"/>
          <w:lang w:eastAsia="fr-FR"/>
        </w:rPr>
        <w:t xml:space="preserve"> faites sur l’évaluation du </w:t>
      </w:r>
      <w:r w:rsidR="00021070" w:rsidRPr="005A1C05">
        <w:rPr>
          <w:rFonts w:ascii="Tw Cen MT" w:hAnsi="Tw Cen MT"/>
          <w:b/>
          <w:color w:val="000000" w:themeColor="text1"/>
          <w:lang w:val="fr-CA"/>
        </w:rPr>
        <w:t>« Projet Femmes Jeunes entreprenants et Citoyenneté (</w:t>
      </w:r>
      <w:proofErr w:type="spellStart"/>
      <w:r w:rsidR="00021070" w:rsidRPr="005A1C05">
        <w:rPr>
          <w:rFonts w:ascii="Tw Cen MT" w:hAnsi="Tw Cen MT"/>
          <w:b/>
          <w:color w:val="000000" w:themeColor="text1"/>
          <w:lang w:val="fr-CA"/>
        </w:rPr>
        <w:t>ProFeJeC</w:t>
      </w:r>
      <w:proofErr w:type="spellEnd"/>
      <w:r w:rsidR="00021070" w:rsidRPr="005A1C05">
        <w:rPr>
          <w:rFonts w:ascii="Tw Cen MT" w:hAnsi="Tw Cen MT"/>
          <w:b/>
          <w:color w:val="000000" w:themeColor="text1"/>
          <w:lang w:val="fr-CA"/>
        </w:rPr>
        <w:t>)</w:t>
      </w:r>
    </w:p>
    <w:p w14:paraId="4B4BDB00" w14:textId="13DD2548" w:rsidR="00D13B5B" w:rsidRPr="005A1C05" w:rsidRDefault="00D13B5B" w:rsidP="001C0D5B">
      <w:pPr>
        <w:spacing w:after="0"/>
        <w:jc w:val="center"/>
        <w:rPr>
          <w:rFonts w:ascii="Tw Cen MT" w:eastAsia="Times New Roman" w:hAnsi="Tw Cen MT"/>
          <w:sz w:val="24"/>
          <w:lang w:eastAsia="fr-FR"/>
        </w:rPr>
      </w:pPr>
    </w:p>
    <w:p w14:paraId="381D60AC" w14:textId="303C00D9" w:rsidR="001C0D5B" w:rsidRPr="005A1C05" w:rsidRDefault="001C0D5B" w:rsidP="001C0D5B">
      <w:pPr>
        <w:rPr>
          <w:rFonts w:ascii="Tw Cen MT" w:eastAsia="Times New Roman" w:hAnsi="Tw Cen MT"/>
          <w:b/>
          <w:bCs/>
          <w:lang w:eastAsia="fr-FR"/>
        </w:rPr>
      </w:pPr>
    </w:p>
    <w:p w14:paraId="5A127FDF" w14:textId="4D2C2209" w:rsidR="00D13B5B" w:rsidRPr="005A1C05" w:rsidRDefault="003F4F09" w:rsidP="00280C5B">
      <w:pPr>
        <w:rPr>
          <w:rFonts w:ascii="Tw Cen MT" w:eastAsia="Times New Roman" w:hAnsi="Tw Cen MT"/>
          <w:b/>
          <w:bCs/>
          <w:sz w:val="24"/>
          <w:lang w:eastAsia="fr-FR"/>
        </w:rPr>
      </w:pPr>
      <w:r w:rsidRPr="005A1C05">
        <w:rPr>
          <w:rFonts w:ascii="Tw Cen MT" w:eastAsia="Times New Roman" w:hAnsi="Tw Cen MT"/>
          <w:b/>
          <w:bCs/>
          <w:sz w:val="24"/>
          <w:lang w:eastAsia="fr-FR"/>
        </w:rPr>
        <w:t>M</w:t>
      </w:r>
      <w:r w:rsidR="004A2DA1" w:rsidRPr="005A1C05">
        <w:rPr>
          <w:rFonts w:ascii="Tw Cen MT" w:eastAsia="Times New Roman" w:hAnsi="Tw Cen MT"/>
          <w:b/>
          <w:bCs/>
          <w:sz w:val="24"/>
          <w:lang w:eastAsia="fr-FR"/>
        </w:rPr>
        <w:t xml:space="preserve">anagement </w:t>
      </w:r>
      <w:r w:rsidR="00A4000C" w:rsidRPr="005A1C05">
        <w:rPr>
          <w:rFonts w:ascii="Tw Cen MT" w:eastAsia="Times New Roman" w:hAnsi="Tw Cen MT"/>
          <w:b/>
          <w:bCs/>
          <w:sz w:val="24"/>
          <w:lang w:eastAsia="fr-FR"/>
        </w:rPr>
        <w:t>réponse</w:t>
      </w:r>
      <w:r w:rsidR="004A2DA1" w:rsidRPr="005A1C05">
        <w:rPr>
          <w:rFonts w:ascii="Tw Cen MT" w:eastAsia="Times New Roman" w:hAnsi="Tw Cen MT"/>
          <w:b/>
          <w:bCs/>
          <w:sz w:val="24"/>
          <w:lang w:eastAsia="fr-FR"/>
        </w:rPr>
        <w:t xml:space="preserve"> des recommandations</w:t>
      </w:r>
    </w:p>
    <w:tbl>
      <w:tblPr>
        <w:tblpPr w:leftFromText="180" w:rightFromText="180" w:vertAnchor="text" w:horzAnchor="margin" w:tblpX="-204" w:tblpY="15"/>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25"/>
        <w:gridCol w:w="3261"/>
        <w:gridCol w:w="2551"/>
        <w:gridCol w:w="1701"/>
        <w:gridCol w:w="1418"/>
        <w:gridCol w:w="992"/>
        <w:gridCol w:w="1843"/>
      </w:tblGrid>
      <w:tr w:rsidR="00150DAE" w:rsidRPr="005A1C05" w14:paraId="2169B402" w14:textId="03073D8A" w:rsidTr="00150DAE">
        <w:trPr>
          <w:trHeight w:val="359"/>
          <w:tblHeader/>
        </w:trPr>
        <w:tc>
          <w:tcPr>
            <w:tcW w:w="2825" w:type="dxa"/>
            <w:vMerge w:val="restart"/>
            <w:shd w:val="clear" w:color="auto" w:fill="C0C0C0"/>
            <w:tcMar>
              <w:top w:w="0" w:type="dxa"/>
              <w:left w:w="108" w:type="dxa"/>
              <w:bottom w:w="0" w:type="dxa"/>
              <w:right w:w="108" w:type="dxa"/>
            </w:tcMar>
            <w:vAlign w:val="center"/>
          </w:tcPr>
          <w:p w14:paraId="12C0829A" w14:textId="4963CDDC" w:rsidR="00150DAE" w:rsidRPr="005A1C05" w:rsidRDefault="00150DAE" w:rsidP="00121FD2">
            <w:pPr>
              <w:spacing w:after="0" w:line="240" w:lineRule="auto"/>
              <w:jc w:val="center"/>
              <w:rPr>
                <w:rFonts w:ascii="Tw Cen MT" w:eastAsia="Times New Roman" w:hAnsi="Tw Cen MT"/>
                <w:sz w:val="24"/>
                <w:szCs w:val="24"/>
                <w:lang w:eastAsia="fr-FR"/>
              </w:rPr>
            </w:pPr>
            <w:r w:rsidRPr="005A1C05">
              <w:rPr>
                <w:rFonts w:ascii="Tw Cen MT" w:eastAsia="Times New Roman" w:hAnsi="Tw Cen MT"/>
                <w:b/>
                <w:bCs/>
                <w:sz w:val="24"/>
                <w:szCs w:val="24"/>
                <w:lang w:eastAsia="fr-FR"/>
              </w:rPr>
              <w:t>Recommandations (celles adressées au PNUD)</w:t>
            </w:r>
          </w:p>
        </w:tc>
        <w:tc>
          <w:tcPr>
            <w:tcW w:w="8931" w:type="dxa"/>
            <w:gridSpan w:val="4"/>
            <w:shd w:val="clear" w:color="auto" w:fill="C0C0C0"/>
            <w:vAlign w:val="center"/>
          </w:tcPr>
          <w:p w14:paraId="203399B5" w14:textId="104493AD" w:rsidR="00150DAE" w:rsidRPr="005A1C05" w:rsidRDefault="00150DAE" w:rsidP="008E2EB0">
            <w:pPr>
              <w:spacing w:after="0" w:line="240" w:lineRule="auto"/>
              <w:jc w:val="center"/>
              <w:rPr>
                <w:rFonts w:ascii="Tw Cen MT" w:eastAsia="Times New Roman" w:hAnsi="Tw Cen MT"/>
                <w:b/>
                <w:bCs/>
                <w:sz w:val="24"/>
                <w:szCs w:val="24"/>
                <w:lang w:eastAsia="fr-FR"/>
              </w:rPr>
            </w:pPr>
            <w:r>
              <w:rPr>
                <w:rFonts w:ascii="Tw Cen MT" w:eastAsia="Times New Roman" w:hAnsi="Tw Cen MT"/>
                <w:b/>
                <w:bCs/>
                <w:sz w:val="24"/>
                <w:szCs w:val="24"/>
                <w:lang w:eastAsia="fr-FR"/>
              </w:rPr>
              <w:t xml:space="preserve">Réponse de l’Administration </w:t>
            </w:r>
          </w:p>
        </w:tc>
        <w:tc>
          <w:tcPr>
            <w:tcW w:w="2835" w:type="dxa"/>
            <w:gridSpan w:val="2"/>
            <w:shd w:val="clear" w:color="auto" w:fill="C0C0C0"/>
          </w:tcPr>
          <w:p w14:paraId="47D0800B" w14:textId="6B907F9A" w:rsidR="00150DAE" w:rsidRDefault="00150DAE" w:rsidP="008E2EB0">
            <w:pPr>
              <w:spacing w:after="0" w:line="240" w:lineRule="auto"/>
              <w:jc w:val="center"/>
              <w:rPr>
                <w:rFonts w:ascii="Tw Cen MT" w:eastAsia="Times New Roman" w:hAnsi="Tw Cen MT"/>
                <w:b/>
                <w:bCs/>
                <w:sz w:val="24"/>
                <w:szCs w:val="24"/>
                <w:lang w:eastAsia="fr-FR"/>
              </w:rPr>
            </w:pPr>
            <w:r>
              <w:rPr>
                <w:rFonts w:ascii="Tw Cen MT" w:eastAsia="Times New Roman" w:hAnsi="Tw Cen MT"/>
                <w:b/>
                <w:bCs/>
                <w:sz w:val="24"/>
                <w:szCs w:val="24"/>
                <w:lang w:eastAsia="fr-FR"/>
              </w:rPr>
              <w:t>Suivi</w:t>
            </w:r>
          </w:p>
        </w:tc>
      </w:tr>
      <w:tr w:rsidR="00150DAE" w:rsidRPr="005A1C05" w14:paraId="10AE0A77" w14:textId="24CD0695" w:rsidTr="00150DAE">
        <w:trPr>
          <w:trHeight w:val="652"/>
        </w:trPr>
        <w:tc>
          <w:tcPr>
            <w:tcW w:w="2825" w:type="dxa"/>
            <w:vMerge/>
            <w:vAlign w:val="center"/>
          </w:tcPr>
          <w:p w14:paraId="6F2B6B65" w14:textId="77777777" w:rsidR="00150DAE" w:rsidRPr="005A1C05" w:rsidRDefault="00150DAE" w:rsidP="00FD3047">
            <w:pPr>
              <w:spacing w:after="0" w:line="240" w:lineRule="auto"/>
              <w:rPr>
                <w:rFonts w:ascii="Tw Cen MT" w:eastAsia="Times New Roman" w:hAnsi="Tw Cen MT"/>
                <w:sz w:val="24"/>
                <w:szCs w:val="24"/>
                <w:lang w:eastAsia="fr-FR"/>
              </w:rPr>
            </w:pPr>
          </w:p>
        </w:tc>
        <w:tc>
          <w:tcPr>
            <w:tcW w:w="3261" w:type="dxa"/>
            <w:shd w:val="clear" w:color="auto" w:fill="E6E6E6"/>
            <w:tcMar>
              <w:top w:w="0" w:type="dxa"/>
              <w:left w:w="108" w:type="dxa"/>
              <w:bottom w:w="0" w:type="dxa"/>
              <w:right w:w="108" w:type="dxa"/>
            </w:tcMar>
            <w:vAlign w:val="center"/>
          </w:tcPr>
          <w:p w14:paraId="6FC3E425" w14:textId="0797AAD4" w:rsidR="00150DAE" w:rsidRPr="005A1C05" w:rsidRDefault="00150DAE" w:rsidP="00FD3047">
            <w:pPr>
              <w:spacing w:after="0" w:line="240" w:lineRule="auto"/>
              <w:jc w:val="center"/>
              <w:rPr>
                <w:rFonts w:ascii="Tw Cen MT" w:eastAsia="Times New Roman" w:hAnsi="Tw Cen MT"/>
                <w:sz w:val="24"/>
                <w:szCs w:val="24"/>
                <w:lang w:eastAsia="fr-FR"/>
              </w:rPr>
            </w:pPr>
            <w:r w:rsidRPr="005A1C05">
              <w:rPr>
                <w:rFonts w:ascii="Tw Cen MT" w:eastAsia="Times New Roman" w:hAnsi="Tw Cen MT"/>
                <w:b/>
                <w:bCs/>
                <w:sz w:val="24"/>
                <w:szCs w:val="24"/>
                <w:lang w:eastAsia="fr-FR"/>
              </w:rPr>
              <w:t>Réponse (pertinence, actualité, faisabilité)</w:t>
            </w:r>
          </w:p>
        </w:tc>
        <w:tc>
          <w:tcPr>
            <w:tcW w:w="2551" w:type="dxa"/>
            <w:shd w:val="clear" w:color="auto" w:fill="E6E6E6"/>
            <w:vAlign w:val="center"/>
          </w:tcPr>
          <w:p w14:paraId="7842FCE4" w14:textId="48EDC9BB" w:rsidR="00150DAE" w:rsidRPr="005A1C05" w:rsidRDefault="00150DAE" w:rsidP="00FD3047">
            <w:pPr>
              <w:spacing w:after="0" w:line="240" w:lineRule="auto"/>
              <w:jc w:val="center"/>
              <w:rPr>
                <w:rFonts w:ascii="Tw Cen MT" w:eastAsia="Times New Roman" w:hAnsi="Tw Cen MT"/>
                <w:b/>
                <w:bCs/>
                <w:sz w:val="24"/>
                <w:szCs w:val="24"/>
                <w:lang w:eastAsia="fr-FR"/>
              </w:rPr>
            </w:pPr>
            <w:r>
              <w:rPr>
                <w:rFonts w:ascii="Tw Cen MT" w:eastAsia="Times New Roman" w:hAnsi="Tw Cen MT"/>
                <w:b/>
                <w:bCs/>
                <w:sz w:val="24"/>
                <w:szCs w:val="24"/>
                <w:lang w:eastAsia="fr-FR"/>
              </w:rPr>
              <w:t>Actions Principales</w:t>
            </w:r>
          </w:p>
        </w:tc>
        <w:tc>
          <w:tcPr>
            <w:tcW w:w="1701" w:type="dxa"/>
            <w:shd w:val="clear" w:color="auto" w:fill="E6E6E6"/>
            <w:vAlign w:val="center"/>
          </w:tcPr>
          <w:p w14:paraId="0AE4A2AD" w14:textId="53EC449A" w:rsidR="00150DAE" w:rsidRPr="005A1C05" w:rsidRDefault="00150DAE" w:rsidP="00150DAE">
            <w:pPr>
              <w:spacing w:after="0" w:line="240" w:lineRule="auto"/>
              <w:jc w:val="center"/>
              <w:rPr>
                <w:rFonts w:ascii="Tw Cen MT" w:eastAsia="Times New Roman" w:hAnsi="Tw Cen MT"/>
                <w:b/>
                <w:bCs/>
                <w:sz w:val="24"/>
                <w:szCs w:val="24"/>
                <w:lang w:eastAsia="fr-FR"/>
              </w:rPr>
            </w:pPr>
            <w:r w:rsidRPr="005A1C05">
              <w:rPr>
                <w:rFonts w:ascii="Tw Cen MT" w:eastAsia="Times New Roman" w:hAnsi="Tw Cen MT"/>
                <w:b/>
                <w:bCs/>
                <w:sz w:val="24"/>
                <w:szCs w:val="24"/>
                <w:lang w:eastAsia="fr-FR"/>
              </w:rPr>
              <w:t>Délai de mise en œuvre des actions</w:t>
            </w:r>
          </w:p>
        </w:tc>
        <w:tc>
          <w:tcPr>
            <w:tcW w:w="1418" w:type="dxa"/>
            <w:shd w:val="clear" w:color="auto" w:fill="E6E6E6"/>
            <w:vAlign w:val="center"/>
          </w:tcPr>
          <w:p w14:paraId="6BE3F3BF" w14:textId="7C8AD79C" w:rsidR="00150DAE" w:rsidRPr="005A1C05" w:rsidRDefault="00150DAE" w:rsidP="00150DAE">
            <w:pPr>
              <w:spacing w:after="0" w:line="240" w:lineRule="auto"/>
              <w:jc w:val="center"/>
              <w:rPr>
                <w:rFonts w:ascii="Tw Cen MT" w:eastAsia="Times New Roman" w:hAnsi="Tw Cen MT"/>
                <w:b/>
                <w:bCs/>
                <w:sz w:val="24"/>
                <w:szCs w:val="24"/>
                <w:lang w:eastAsia="fr-FR"/>
              </w:rPr>
            </w:pPr>
            <w:r w:rsidRPr="005A1C05">
              <w:rPr>
                <w:rFonts w:ascii="Tw Cen MT" w:eastAsia="Times New Roman" w:hAnsi="Tw Cen MT"/>
                <w:b/>
                <w:bCs/>
                <w:sz w:val="24"/>
                <w:szCs w:val="24"/>
                <w:lang w:eastAsia="fr-FR"/>
              </w:rPr>
              <w:t>Unité Responsable</w:t>
            </w:r>
          </w:p>
        </w:tc>
        <w:tc>
          <w:tcPr>
            <w:tcW w:w="992" w:type="dxa"/>
            <w:shd w:val="clear" w:color="auto" w:fill="E6E6E6"/>
          </w:tcPr>
          <w:p w14:paraId="24277C57" w14:textId="723BBD99" w:rsidR="00150DAE" w:rsidRPr="005A1C05" w:rsidRDefault="00150DAE" w:rsidP="00150DAE">
            <w:pPr>
              <w:spacing w:after="0" w:line="240" w:lineRule="auto"/>
              <w:jc w:val="center"/>
              <w:rPr>
                <w:rFonts w:ascii="Tw Cen MT" w:eastAsia="Times New Roman" w:hAnsi="Tw Cen MT"/>
                <w:b/>
                <w:bCs/>
                <w:sz w:val="24"/>
                <w:szCs w:val="24"/>
                <w:lang w:eastAsia="fr-FR"/>
              </w:rPr>
            </w:pPr>
            <w:r>
              <w:rPr>
                <w:rFonts w:ascii="Tw Cen MT" w:eastAsia="Times New Roman" w:hAnsi="Tw Cen MT"/>
                <w:b/>
                <w:bCs/>
                <w:sz w:val="24"/>
                <w:szCs w:val="24"/>
                <w:lang w:eastAsia="fr-FR"/>
              </w:rPr>
              <w:t>Statut</w:t>
            </w:r>
          </w:p>
        </w:tc>
        <w:tc>
          <w:tcPr>
            <w:tcW w:w="1843" w:type="dxa"/>
            <w:shd w:val="clear" w:color="auto" w:fill="E6E6E6"/>
          </w:tcPr>
          <w:p w14:paraId="688251C7" w14:textId="7341BD4C" w:rsidR="00150DAE" w:rsidRDefault="00150DAE" w:rsidP="00150DAE">
            <w:pPr>
              <w:spacing w:after="0" w:line="240" w:lineRule="auto"/>
              <w:jc w:val="center"/>
              <w:rPr>
                <w:rFonts w:ascii="Tw Cen MT" w:eastAsia="Times New Roman" w:hAnsi="Tw Cen MT"/>
                <w:b/>
                <w:bCs/>
                <w:sz w:val="24"/>
                <w:szCs w:val="24"/>
                <w:lang w:eastAsia="fr-FR"/>
              </w:rPr>
            </w:pPr>
            <w:r>
              <w:rPr>
                <w:rFonts w:ascii="Tw Cen MT" w:eastAsia="Times New Roman" w:hAnsi="Tw Cen MT"/>
                <w:b/>
                <w:bCs/>
                <w:sz w:val="24"/>
                <w:szCs w:val="24"/>
                <w:lang w:eastAsia="fr-FR"/>
              </w:rPr>
              <w:t>Commentaires</w:t>
            </w:r>
          </w:p>
        </w:tc>
      </w:tr>
      <w:tr w:rsidR="00150DAE" w:rsidRPr="005A1C05" w14:paraId="2208CA17" w14:textId="6A881C5A" w:rsidTr="00150DAE">
        <w:trPr>
          <w:trHeight w:val="633"/>
        </w:trPr>
        <w:tc>
          <w:tcPr>
            <w:tcW w:w="2825" w:type="dxa"/>
            <w:tcMar>
              <w:top w:w="0" w:type="dxa"/>
              <w:left w:w="108" w:type="dxa"/>
              <w:bottom w:w="0" w:type="dxa"/>
              <w:right w:w="108" w:type="dxa"/>
            </w:tcMar>
            <w:vAlign w:val="center"/>
          </w:tcPr>
          <w:p w14:paraId="15B12D0E" w14:textId="5B45C792" w:rsidR="00150DAE" w:rsidRPr="005A1C05" w:rsidRDefault="00150DAE" w:rsidP="00FD3047">
            <w:pPr>
              <w:pStyle w:val="Corpsdetexte"/>
              <w:spacing w:before="1"/>
              <w:ind w:right="14"/>
              <w:jc w:val="both"/>
              <w:rPr>
                <w:rFonts w:ascii="Tw Cen MT" w:hAnsi="Tw Cen MT"/>
                <w:sz w:val="24"/>
                <w:szCs w:val="24"/>
                <w:lang w:val="fr-CA"/>
              </w:rPr>
            </w:pPr>
            <w:r w:rsidRPr="005A1C05">
              <w:rPr>
                <w:rFonts w:ascii="Tw Cen MT" w:hAnsi="Tw Cen MT"/>
                <w:sz w:val="24"/>
                <w:szCs w:val="24"/>
                <w:lang w:val="fr-CA"/>
              </w:rPr>
              <w:t>1/</w:t>
            </w:r>
            <w:r w:rsidRPr="005A1C05">
              <w:rPr>
                <w:rFonts w:ascii="Tw Cen MT" w:hAnsi="Tw Cen MT"/>
              </w:rPr>
              <w:t xml:space="preserve"> </w:t>
            </w:r>
            <w:r w:rsidRPr="005A1C05">
              <w:rPr>
                <w:rFonts w:ascii="Tw Cen MT" w:hAnsi="Tw Cen MT"/>
                <w:sz w:val="24"/>
                <w:szCs w:val="24"/>
                <w:lang w:val="fr-CA"/>
              </w:rPr>
              <w:t xml:space="preserve">Poursuivre l’accompagnement des incubés sur une période de six (6) mois au moins en vue de pérenniser les actions du projet et plus de viabilité des entreprises incubées ; </w:t>
            </w:r>
            <w:r w:rsidRPr="005A1C05">
              <w:rPr>
                <w:rFonts w:ascii="Tw Cen MT" w:hAnsi="Tw Cen MT"/>
                <w:sz w:val="24"/>
                <w:szCs w:val="24"/>
                <w:lang w:val="fr-CA"/>
              </w:rPr>
              <w:tab/>
            </w:r>
          </w:p>
        </w:tc>
        <w:tc>
          <w:tcPr>
            <w:tcW w:w="3261" w:type="dxa"/>
            <w:tcMar>
              <w:top w:w="0" w:type="dxa"/>
              <w:left w:w="108" w:type="dxa"/>
              <w:bottom w:w="0" w:type="dxa"/>
              <w:right w:w="108" w:type="dxa"/>
            </w:tcMar>
            <w:vAlign w:val="center"/>
          </w:tcPr>
          <w:p w14:paraId="62A3732F" w14:textId="5194D522" w:rsidR="00150DAE" w:rsidRPr="00FD3047" w:rsidRDefault="00150DAE" w:rsidP="00FD3047">
            <w:pPr>
              <w:rPr>
                <w:rFonts w:ascii="Tw Cen MT" w:hAnsi="Tw Cen MT"/>
                <w:b/>
                <w:bCs/>
              </w:rPr>
            </w:pPr>
            <w:r w:rsidRPr="00FD3047">
              <w:rPr>
                <w:rFonts w:ascii="Tw Cen MT" w:hAnsi="Tw Cen MT"/>
                <w:b/>
                <w:bCs/>
              </w:rPr>
              <w:t>Acceptée entièrement</w:t>
            </w:r>
          </w:p>
          <w:p w14:paraId="491A3F1D" w14:textId="1F999986" w:rsidR="00150DAE" w:rsidRPr="005A1C05" w:rsidRDefault="00150DAE" w:rsidP="00FD3047">
            <w:pPr>
              <w:rPr>
                <w:rFonts w:ascii="Tw Cen MT" w:eastAsia="Times New Roman" w:hAnsi="Tw Cen MT"/>
                <w:sz w:val="24"/>
                <w:szCs w:val="24"/>
                <w:lang w:eastAsia="fr-FR"/>
              </w:rPr>
            </w:pPr>
            <w:r w:rsidRPr="005A1C05">
              <w:rPr>
                <w:rFonts w:ascii="Tw Cen MT" w:hAnsi="Tw Cen MT"/>
              </w:rPr>
              <w:t xml:space="preserve">Dans le cadre du </w:t>
            </w:r>
            <w:proofErr w:type="gramStart"/>
            <w:r>
              <w:rPr>
                <w:rFonts w:ascii="Tw Cen MT" w:hAnsi="Tw Cen MT"/>
              </w:rPr>
              <w:t xml:space="preserve">projet </w:t>
            </w:r>
            <w:r>
              <w:t xml:space="preserve"> «</w:t>
            </w:r>
            <w:proofErr w:type="gramEnd"/>
            <w:r>
              <w:t> </w:t>
            </w:r>
            <w:proofErr w:type="spellStart"/>
            <w:r w:rsidRPr="005A1C05">
              <w:rPr>
                <w:rFonts w:ascii="Tw Cen MT" w:hAnsi="Tw Cen MT"/>
              </w:rPr>
              <w:t>Collaborate</w:t>
            </w:r>
            <w:proofErr w:type="spellEnd"/>
            <w:r w:rsidRPr="005A1C05">
              <w:rPr>
                <w:rFonts w:ascii="Tw Cen MT" w:hAnsi="Tw Cen MT"/>
              </w:rPr>
              <w:t xml:space="preserve"> and </w:t>
            </w:r>
            <w:proofErr w:type="spellStart"/>
            <w:r w:rsidRPr="005A1C05">
              <w:rPr>
                <w:rFonts w:ascii="Tw Cen MT" w:hAnsi="Tw Cen MT"/>
              </w:rPr>
              <w:t>Innovate</w:t>
            </w:r>
            <w:proofErr w:type="spellEnd"/>
            <w:r w:rsidRPr="005A1C05">
              <w:rPr>
                <w:rFonts w:ascii="Tw Cen MT" w:hAnsi="Tw Cen MT"/>
              </w:rPr>
              <w:t xml:space="preserve"> for Business </w:t>
            </w:r>
            <w:proofErr w:type="spellStart"/>
            <w:r w:rsidRPr="005A1C05">
              <w:rPr>
                <w:rFonts w:ascii="Tw Cen MT" w:hAnsi="Tw Cen MT"/>
              </w:rPr>
              <w:t>Resilience</w:t>
            </w:r>
            <w:proofErr w:type="spellEnd"/>
            <w:r w:rsidRPr="005A1C05">
              <w:rPr>
                <w:rFonts w:ascii="Tw Cen MT" w:hAnsi="Tw Cen MT"/>
              </w:rPr>
              <w:t xml:space="preserve"> and Inclusive Solutions</w:t>
            </w:r>
            <w:r>
              <w:rPr>
                <w:rFonts w:ascii="Tw Cen MT" w:hAnsi="Tw Cen MT"/>
              </w:rPr>
              <w:t> »</w:t>
            </w:r>
            <w:r w:rsidRPr="005A1C05">
              <w:rPr>
                <w:rFonts w:ascii="Tw Cen MT" w:hAnsi="Tw Cen MT"/>
              </w:rPr>
              <w:t xml:space="preserve"> (COLIBRIS), il est prévu l’accélération des entreprises incubés</w:t>
            </w:r>
            <w:r>
              <w:rPr>
                <w:rFonts w:ascii="Tw Cen MT" w:hAnsi="Tw Cen MT"/>
              </w:rPr>
              <w:t xml:space="preserve"> sur 12 mois</w:t>
            </w:r>
            <w:r w:rsidRPr="005A1C05">
              <w:rPr>
                <w:rFonts w:ascii="Tw Cen MT" w:hAnsi="Tw Cen MT"/>
              </w:rPr>
              <w:t xml:space="preserve"> en vue d’une part de renforcer leurs viabilité et d’autre part de faciliter leur passage à l’échelle</w:t>
            </w:r>
          </w:p>
        </w:tc>
        <w:tc>
          <w:tcPr>
            <w:tcW w:w="2551" w:type="dxa"/>
            <w:vAlign w:val="center"/>
          </w:tcPr>
          <w:p w14:paraId="5FC0A507" w14:textId="3603A313" w:rsidR="00150DAE" w:rsidRPr="005A1C05" w:rsidRDefault="00150DAE" w:rsidP="00FD3047">
            <w:pPr>
              <w:rPr>
                <w:rFonts w:ascii="Tw Cen MT" w:hAnsi="Tw Cen MT"/>
              </w:rPr>
            </w:pPr>
            <w:r>
              <w:rPr>
                <w:rFonts w:ascii="Arial" w:hAnsi="Arial" w:cs="Arial"/>
                <w:color w:val="333333"/>
                <w:sz w:val="20"/>
                <w:szCs w:val="20"/>
                <w:shd w:val="clear" w:color="auto" w:fill="FFFFFF"/>
              </w:rPr>
              <w:t>Accélérer les entreprises incubé</w:t>
            </w:r>
            <w:r>
              <w:rPr>
                <w:rFonts w:ascii="Arial" w:hAnsi="Arial" w:cs="Arial"/>
                <w:color w:val="333333"/>
                <w:sz w:val="20"/>
                <w:szCs w:val="20"/>
                <w:shd w:val="clear" w:color="auto" w:fill="FFFFFF"/>
              </w:rPr>
              <w:t>e</w:t>
            </w:r>
            <w:r>
              <w:rPr>
                <w:rFonts w:ascii="Arial" w:hAnsi="Arial" w:cs="Arial"/>
                <w:color w:val="333333"/>
                <w:sz w:val="20"/>
                <w:szCs w:val="20"/>
                <w:shd w:val="clear" w:color="auto" w:fill="FFFFFF"/>
              </w:rPr>
              <w:t>s sur 12 mois en vue d’une part de renforcer leurs viabilité et d’autre part de faciliter leur passage à l’échelle</w:t>
            </w:r>
          </w:p>
        </w:tc>
        <w:tc>
          <w:tcPr>
            <w:tcW w:w="1701" w:type="dxa"/>
            <w:vAlign w:val="center"/>
          </w:tcPr>
          <w:p w14:paraId="6921694A" w14:textId="21A46957"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 xml:space="preserve">Décembre </w:t>
            </w:r>
            <w:r w:rsidRPr="005A1C05">
              <w:rPr>
                <w:rFonts w:ascii="Tw Cen MT" w:eastAsia="Times New Roman" w:hAnsi="Tw Cen MT"/>
                <w:sz w:val="24"/>
                <w:szCs w:val="24"/>
                <w:lang w:eastAsia="fr-FR"/>
              </w:rPr>
              <w:t>2022</w:t>
            </w:r>
          </w:p>
        </w:tc>
        <w:tc>
          <w:tcPr>
            <w:tcW w:w="1418" w:type="dxa"/>
            <w:vAlign w:val="center"/>
          </w:tcPr>
          <w:p w14:paraId="71F85AB9" w14:textId="5466F911" w:rsidR="00150DAE" w:rsidRPr="005A1C05" w:rsidRDefault="00150DAE" w:rsidP="00FD3047">
            <w:pPr>
              <w:rPr>
                <w:rFonts w:ascii="Tw Cen MT" w:eastAsia="Times New Roman" w:hAnsi="Tw Cen MT"/>
                <w:sz w:val="24"/>
                <w:szCs w:val="24"/>
                <w:lang w:eastAsia="fr-FR"/>
              </w:rPr>
            </w:pPr>
            <w:r w:rsidRPr="005A1C05">
              <w:rPr>
                <w:rFonts w:ascii="Tw Cen MT" w:eastAsia="Times New Roman" w:hAnsi="Tw Cen MT"/>
                <w:sz w:val="24"/>
                <w:szCs w:val="24"/>
                <w:lang w:eastAsia="fr-FR"/>
              </w:rPr>
              <w:t>Gouvernance</w:t>
            </w:r>
          </w:p>
        </w:tc>
        <w:tc>
          <w:tcPr>
            <w:tcW w:w="992" w:type="dxa"/>
          </w:tcPr>
          <w:p w14:paraId="57A44704" w14:textId="22B140F8"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Non initiée</w:t>
            </w:r>
          </w:p>
        </w:tc>
        <w:tc>
          <w:tcPr>
            <w:tcW w:w="1843" w:type="dxa"/>
          </w:tcPr>
          <w:p w14:paraId="02B49977" w14:textId="77777777" w:rsidR="00150DAE" w:rsidRPr="005A1C05" w:rsidRDefault="00150DAE" w:rsidP="00FD3047">
            <w:pPr>
              <w:rPr>
                <w:rFonts w:ascii="Tw Cen MT" w:eastAsia="Times New Roman" w:hAnsi="Tw Cen MT"/>
                <w:sz w:val="24"/>
                <w:szCs w:val="24"/>
                <w:lang w:eastAsia="fr-FR"/>
              </w:rPr>
            </w:pPr>
          </w:p>
        </w:tc>
      </w:tr>
      <w:tr w:rsidR="00150DAE" w:rsidRPr="005A1C05" w14:paraId="7F66FE89" w14:textId="65702BDE" w:rsidTr="00150DAE">
        <w:trPr>
          <w:trHeight w:val="633"/>
        </w:trPr>
        <w:tc>
          <w:tcPr>
            <w:tcW w:w="2825" w:type="dxa"/>
            <w:vMerge w:val="restart"/>
            <w:tcMar>
              <w:top w:w="0" w:type="dxa"/>
              <w:left w:w="108" w:type="dxa"/>
              <w:bottom w:w="0" w:type="dxa"/>
              <w:right w:w="108" w:type="dxa"/>
            </w:tcMar>
            <w:vAlign w:val="center"/>
          </w:tcPr>
          <w:p w14:paraId="110C9A67" w14:textId="53D85209" w:rsidR="00150DAE" w:rsidRPr="005A1C05" w:rsidRDefault="00150DAE" w:rsidP="00FD3047">
            <w:pPr>
              <w:pStyle w:val="Corpsdetexte"/>
              <w:spacing w:before="1"/>
              <w:ind w:right="14"/>
              <w:jc w:val="both"/>
              <w:rPr>
                <w:rFonts w:ascii="Tw Cen MT" w:hAnsi="Tw Cen MT"/>
                <w:sz w:val="24"/>
                <w:szCs w:val="24"/>
                <w:lang w:val="fr-CA"/>
              </w:rPr>
            </w:pPr>
            <w:r w:rsidRPr="005A1C05">
              <w:rPr>
                <w:rFonts w:ascii="Tw Cen MT" w:hAnsi="Tw Cen MT"/>
                <w:sz w:val="24"/>
                <w:szCs w:val="24"/>
                <w:lang w:val="fr-CA"/>
              </w:rPr>
              <w:t>2/ Renforcer les capacités de l’écosystème entrepreneurial du Burkina Faso à travers la création d’un espace et un cadre propices pour les incubateurs ;</w:t>
            </w:r>
          </w:p>
        </w:tc>
        <w:tc>
          <w:tcPr>
            <w:tcW w:w="3261" w:type="dxa"/>
            <w:vMerge w:val="restart"/>
            <w:tcMar>
              <w:top w:w="0" w:type="dxa"/>
              <w:left w:w="108" w:type="dxa"/>
              <w:bottom w:w="0" w:type="dxa"/>
              <w:right w:w="108" w:type="dxa"/>
            </w:tcMar>
            <w:vAlign w:val="center"/>
          </w:tcPr>
          <w:p w14:paraId="4C5764FA" w14:textId="77777777" w:rsidR="00150DAE" w:rsidRPr="00FD3047" w:rsidRDefault="00150DAE" w:rsidP="00FD3047">
            <w:pPr>
              <w:rPr>
                <w:rFonts w:ascii="Tw Cen MT" w:hAnsi="Tw Cen MT"/>
                <w:b/>
                <w:bCs/>
              </w:rPr>
            </w:pPr>
            <w:r w:rsidRPr="00FD3047">
              <w:rPr>
                <w:rFonts w:ascii="Tw Cen MT" w:hAnsi="Tw Cen MT"/>
                <w:b/>
                <w:bCs/>
              </w:rPr>
              <w:t>Acceptée entièrement</w:t>
            </w:r>
          </w:p>
          <w:p w14:paraId="0AD7CA16" w14:textId="77777777" w:rsidR="00150DAE" w:rsidRPr="005A1C05" w:rsidRDefault="00150DAE" w:rsidP="00FD3047">
            <w:pPr>
              <w:rPr>
                <w:rFonts w:ascii="Tw Cen MT" w:hAnsi="Tw Cen MT"/>
              </w:rPr>
            </w:pPr>
            <w:r w:rsidRPr="005A1C05">
              <w:rPr>
                <w:rFonts w:ascii="Tw Cen MT" w:hAnsi="Tw Cen MT"/>
              </w:rPr>
              <w:t xml:space="preserve">Le </w:t>
            </w:r>
            <w:proofErr w:type="spellStart"/>
            <w:r w:rsidRPr="005A1C05">
              <w:rPr>
                <w:rFonts w:ascii="Tw Cen MT" w:hAnsi="Tw Cen MT"/>
              </w:rPr>
              <w:t>ProFeJeC</w:t>
            </w:r>
            <w:proofErr w:type="spellEnd"/>
            <w:r w:rsidRPr="005A1C05">
              <w:rPr>
                <w:rFonts w:ascii="Tw Cen MT" w:hAnsi="Tw Cen MT"/>
              </w:rPr>
              <w:t xml:space="preserve"> </w:t>
            </w:r>
            <w:r>
              <w:rPr>
                <w:rFonts w:ascii="Tw Cen MT" w:hAnsi="Tw Cen MT"/>
              </w:rPr>
              <w:t xml:space="preserve">de part des actions coordonnées </w:t>
            </w:r>
            <w:r w:rsidRPr="005A1C05">
              <w:rPr>
                <w:rFonts w:ascii="Tw Cen MT" w:hAnsi="Tw Cen MT"/>
              </w:rPr>
              <w:t xml:space="preserve">a suscité la création d’une faitière des incubateurs durant sa phase de mise en œuvre. Cela a abouti à la création effective de la faitière. </w:t>
            </w:r>
          </w:p>
          <w:p w14:paraId="2B8C133F" w14:textId="76F03858" w:rsidR="00150DAE" w:rsidRPr="005A1C05" w:rsidRDefault="00150DAE" w:rsidP="00FD3047">
            <w:pPr>
              <w:rPr>
                <w:rFonts w:ascii="Tw Cen MT" w:eastAsia="Times New Roman" w:hAnsi="Tw Cen MT"/>
                <w:sz w:val="24"/>
                <w:szCs w:val="24"/>
                <w:lang w:eastAsia="fr-FR"/>
              </w:rPr>
            </w:pPr>
            <w:r w:rsidRPr="005A1C05">
              <w:rPr>
                <w:rFonts w:ascii="Tw Cen MT" w:hAnsi="Tw Cen MT"/>
              </w:rPr>
              <w:lastRenderedPageBreak/>
              <w:t xml:space="preserve">Il faudrait donc veiller au renforcement des capacités financières, techniques et matérielles de la faitière. </w:t>
            </w:r>
            <w:r>
              <w:rPr>
                <w:rFonts w:ascii="Tw Cen MT" w:hAnsi="Tw Cen MT"/>
              </w:rPr>
              <w:t xml:space="preserve">Par ailleurs, dans le cadre du COLIBRIS, </w:t>
            </w:r>
            <w:r w:rsidRPr="005A1C05">
              <w:rPr>
                <w:rFonts w:ascii="Tw Cen MT" w:hAnsi="Tw Cen MT"/>
              </w:rPr>
              <w:t xml:space="preserve">il est aussi </w:t>
            </w:r>
            <w:r>
              <w:rPr>
                <w:rFonts w:ascii="Tw Cen MT" w:hAnsi="Tw Cen MT"/>
              </w:rPr>
              <w:t xml:space="preserve">prévu </w:t>
            </w:r>
            <w:r>
              <w:rPr>
                <w:rFonts w:ascii="Tw Cen MT" w:hAnsi="Tw Cen MT"/>
              </w:rPr>
              <w:t>l</w:t>
            </w:r>
            <w:r w:rsidRPr="005A1C05">
              <w:rPr>
                <w:rFonts w:ascii="Tw Cen MT" w:hAnsi="Tw Cen MT"/>
              </w:rPr>
              <w:t xml:space="preserve">’appui </w:t>
            </w:r>
            <w:r>
              <w:rPr>
                <w:rFonts w:ascii="Tw Cen MT" w:hAnsi="Tw Cen MT"/>
              </w:rPr>
              <w:t xml:space="preserve">à </w:t>
            </w:r>
            <w:r w:rsidRPr="005A1C05">
              <w:rPr>
                <w:rFonts w:ascii="Tw Cen MT" w:hAnsi="Tw Cen MT"/>
              </w:rPr>
              <w:t>la mise en place d’un cadre réglementaire et de financement propice à l’entrepreneuriat innovant aux startups, TPE et PME</w:t>
            </w:r>
          </w:p>
        </w:tc>
        <w:tc>
          <w:tcPr>
            <w:tcW w:w="2551" w:type="dxa"/>
            <w:vAlign w:val="center"/>
          </w:tcPr>
          <w:p w14:paraId="25C9C7CE" w14:textId="151F7E52" w:rsidR="00150DAE" w:rsidRPr="005A1C05" w:rsidRDefault="00150DAE" w:rsidP="00FD3047">
            <w:pPr>
              <w:rPr>
                <w:rFonts w:ascii="Tw Cen MT" w:hAnsi="Tw Cen MT"/>
              </w:rPr>
            </w:pPr>
            <w:r>
              <w:rPr>
                <w:rFonts w:ascii="Arial" w:hAnsi="Arial" w:cs="Arial"/>
                <w:color w:val="333333"/>
                <w:sz w:val="20"/>
                <w:szCs w:val="20"/>
                <w:shd w:val="clear" w:color="auto" w:fill="FFFFFF"/>
              </w:rPr>
              <w:lastRenderedPageBreak/>
              <w:t>Renforcer les capacités financières, techniques et matérielles de la faitière des incubateurs</w:t>
            </w:r>
          </w:p>
        </w:tc>
        <w:tc>
          <w:tcPr>
            <w:tcW w:w="1701" w:type="dxa"/>
            <w:vAlign w:val="center"/>
          </w:tcPr>
          <w:p w14:paraId="550638D3" w14:textId="690E40A9" w:rsidR="00150DAE"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 xml:space="preserve">Décembre </w:t>
            </w:r>
            <w:r>
              <w:rPr>
                <w:rFonts w:ascii="Tw Cen MT" w:eastAsia="Times New Roman" w:hAnsi="Tw Cen MT"/>
                <w:sz w:val="24"/>
                <w:szCs w:val="24"/>
                <w:lang w:eastAsia="fr-FR"/>
              </w:rPr>
              <w:t>2021</w:t>
            </w:r>
          </w:p>
        </w:tc>
        <w:tc>
          <w:tcPr>
            <w:tcW w:w="1418" w:type="dxa"/>
            <w:vAlign w:val="center"/>
          </w:tcPr>
          <w:p w14:paraId="543F26F1" w14:textId="1BF5720F" w:rsidR="00150DAE" w:rsidRPr="005A1C05" w:rsidRDefault="00150DAE" w:rsidP="00FD3047">
            <w:pPr>
              <w:rPr>
                <w:rFonts w:ascii="Tw Cen MT" w:eastAsia="Times New Roman" w:hAnsi="Tw Cen MT"/>
                <w:sz w:val="24"/>
                <w:szCs w:val="24"/>
                <w:lang w:eastAsia="fr-FR"/>
              </w:rPr>
            </w:pPr>
            <w:r w:rsidRPr="005A1C05">
              <w:rPr>
                <w:rFonts w:ascii="Tw Cen MT" w:eastAsia="Times New Roman" w:hAnsi="Tw Cen MT"/>
                <w:sz w:val="24"/>
                <w:szCs w:val="24"/>
                <w:lang w:eastAsia="fr-FR"/>
              </w:rPr>
              <w:t>Gouvernance</w:t>
            </w:r>
          </w:p>
        </w:tc>
        <w:tc>
          <w:tcPr>
            <w:tcW w:w="992" w:type="dxa"/>
          </w:tcPr>
          <w:p w14:paraId="03A6A48E" w14:textId="1507A7FF"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Non initiée</w:t>
            </w:r>
          </w:p>
        </w:tc>
        <w:tc>
          <w:tcPr>
            <w:tcW w:w="1843" w:type="dxa"/>
          </w:tcPr>
          <w:p w14:paraId="1B4FC1FD" w14:textId="77777777" w:rsidR="00150DAE" w:rsidRPr="005A1C05" w:rsidRDefault="00150DAE" w:rsidP="00FD3047">
            <w:pPr>
              <w:rPr>
                <w:rFonts w:ascii="Tw Cen MT" w:eastAsia="Times New Roman" w:hAnsi="Tw Cen MT"/>
                <w:sz w:val="24"/>
                <w:szCs w:val="24"/>
                <w:lang w:eastAsia="fr-FR"/>
              </w:rPr>
            </w:pPr>
          </w:p>
        </w:tc>
      </w:tr>
      <w:tr w:rsidR="00150DAE" w:rsidRPr="005A1C05" w14:paraId="76D62A7A" w14:textId="5DD1C553" w:rsidTr="00150DAE">
        <w:trPr>
          <w:trHeight w:val="633"/>
        </w:trPr>
        <w:tc>
          <w:tcPr>
            <w:tcW w:w="2825" w:type="dxa"/>
            <w:vMerge/>
            <w:tcMar>
              <w:top w:w="0" w:type="dxa"/>
              <w:left w:w="108" w:type="dxa"/>
              <w:bottom w:w="0" w:type="dxa"/>
              <w:right w:w="108" w:type="dxa"/>
            </w:tcMar>
            <w:vAlign w:val="center"/>
          </w:tcPr>
          <w:p w14:paraId="3CB559A5" w14:textId="77777777" w:rsidR="00150DAE" w:rsidRPr="005A1C05" w:rsidRDefault="00150DAE" w:rsidP="00FD3047">
            <w:pPr>
              <w:pStyle w:val="Corpsdetexte"/>
              <w:spacing w:before="1"/>
              <w:ind w:right="14"/>
              <w:jc w:val="both"/>
              <w:rPr>
                <w:rFonts w:ascii="Tw Cen MT" w:hAnsi="Tw Cen MT"/>
                <w:sz w:val="24"/>
                <w:szCs w:val="24"/>
                <w:lang w:val="fr-CA"/>
              </w:rPr>
            </w:pPr>
          </w:p>
        </w:tc>
        <w:tc>
          <w:tcPr>
            <w:tcW w:w="3261" w:type="dxa"/>
            <w:vMerge/>
            <w:tcMar>
              <w:top w:w="0" w:type="dxa"/>
              <w:left w:w="108" w:type="dxa"/>
              <w:bottom w:w="0" w:type="dxa"/>
              <w:right w:w="108" w:type="dxa"/>
            </w:tcMar>
            <w:vAlign w:val="center"/>
          </w:tcPr>
          <w:p w14:paraId="143CD7A0" w14:textId="0DDD6FA6" w:rsidR="00150DAE" w:rsidRPr="005A1C05" w:rsidRDefault="00150DAE" w:rsidP="00FD3047">
            <w:pPr>
              <w:rPr>
                <w:rFonts w:ascii="Tw Cen MT" w:eastAsia="Times New Roman" w:hAnsi="Tw Cen MT"/>
                <w:sz w:val="24"/>
                <w:szCs w:val="24"/>
                <w:lang w:eastAsia="fr-FR"/>
              </w:rPr>
            </w:pPr>
          </w:p>
        </w:tc>
        <w:tc>
          <w:tcPr>
            <w:tcW w:w="2551" w:type="dxa"/>
            <w:vAlign w:val="center"/>
          </w:tcPr>
          <w:p w14:paraId="0EEB2C7C" w14:textId="75AB33E2" w:rsidR="00150DAE" w:rsidRPr="00FD3047" w:rsidRDefault="00150DAE" w:rsidP="00FD3047">
            <w:pPr>
              <w:rPr>
                <w:rFonts w:ascii="Tw Cen MT" w:hAnsi="Tw Cen MT"/>
              </w:rPr>
            </w:pPr>
            <w:r w:rsidRPr="00FD3047">
              <w:rPr>
                <w:rFonts w:ascii="Arial" w:hAnsi="Arial" w:cs="Arial"/>
                <w:color w:val="333333"/>
                <w:sz w:val="20"/>
                <w:szCs w:val="20"/>
                <w:shd w:val="clear" w:color="auto" w:fill="F9F9F9"/>
              </w:rPr>
              <w:t xml:space="preserve">Mettre en place d’un cadre réglementaire et de financement propice à </w:t>
            </w:r>
            <w:r w:rsidRPr="00FD3047">
              <w:rPr>
                <w:rFonts w:ascii="Arial" w:hAnsi="Arial" w:cs="Arial"/>
                <w:color w:val="333333"/>
                <w:sz w:val="20"/>
                <w:szCs w:val="20"/>
                <w:shd w:val="clear" w:color="auto" w:fill="F9F9F9"/>
              </w:rPr>
              <w:lastRenderedPageBreak/>
              <w:t>l’entrepreneuriat innovant aux startups, TPE et PME</w:t>
            </w:r>
          </w:p>
        </w:tc>
        <w:tc>
          <w:tcPr>
            <w:tcW w:w="1701" w:type="dxa"/>
            <w:vAlign w:val="center"/>
          </w:tcPr>
          <w:p w14:paraId="3892DDF1" w14:textId="22F22E9D"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lastRenderedPageBreak/>
              <w:t>Décembre 2021</w:t>
            </w:r>
          </w:p>
        </w:tc>
        <w:tc>
          <w:tcPr>
            <w:tcW w:w="1418" w:type="dxa"/>
            <w:vAlign w:val="center"/>
          </w:tcPr>
          <w:p w14:paraId="61462713" w14:textId="2613DCF3" w:rsidR="00150DAE" w:rsidRPr="005A1C05" w:rsidRDefault="00150DAE" w:rsidP="00FD3047">
            <w:pPr>
              <w:rPr>
                <w:rFonts w:ascii="Tw Cen MT" w:eastAsia="Times New Roman" w:hAnsi="Tw Cen MT"/>
                <w:sz w:val="24"/>
                <w:szCs w:val="24"/>
                <w:lang w:eastAsia="fr-FR"/>
              </w:rPr>
            </w:pPr>
            <w:r w:rsidRPr="005A1C05">
              <w:rPr>
                <w:rFonts w:ascii="Tw Cen MT" w:eastAsia="Times New Roman" w:hAnsi="Tw Cen MT"/>
                <w:sz w:val="24"/>
                <w:szCs w:val="24"/>
                <w:lang w:eastAsia="fr-FR"/>
              </w:rPr>
              <w:t>Gouvernance</w:t>
            </w:r>
          </w:p>
        </w:tc>
        <w:tc>
          <w:tcPr>
            <w:tcW w:w="992" w:type="dxa"/>
          </w:tcPr>
          <w:p w14:paraId="418036E6" w14:textId="61C49D21"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Non initiée</w:t>
            </w:r>
          </w:p>
        </w:tc>
        <w:tc>
          <w:tcPr>
            <w:tcW w:w="1843" w:type="dxa"/>
          </w:tcPr>
          <w:p w14:paraId="538BE6C1" w14:textId="77777777" w:rsidR="00150DAE" w:rsidRPr="005A1C05" w:rsidRDefault="00150DAE" w:rsidP="00FD3047">
            <w:pPr>
              <w:rPr>
                <w:rFonts w:ascii="Tw Cen MT" w:eastAsia="Times New Roman" w:hAnsi="Tw Cen MT"/>
                <w:sz w:val="24"/>
                <w:szCs w:val="24"/>
                <w:lang w:eastAsia="fr-FR"/>
              </w:rPr>
            </w:pPr>
          </w:p>
        </w:tc>
      </w:tr>
      <w:tr w:rsidR="00150DAE" w:rsidRPr="005A1C05" w14:paraId="0EB218AB" w14:textId="28262266" w:rsidTr="00150DAE">
        <w:trPr>
          <w:trHeight w:val="633"/>
        </w:trPr>
        <w:tc>
          <w:tcPr>
            <w:tcW w:w="2825" w:type="dxa"/>
            <w:tcMar>
              <w:top w:w="0" w:type="dxa"/>
              <w:left w:w="108" w:type="dxa"/>
              <w:bottom w:w="0" w:type="dxa"/>
              <w:right w:w="108" w:type="dxa"/>
            </w:tcMar>
            <w:vAlign w:val="center"/>
          </w:tcPr>
          <w:p w14:paraId="2F622B14" w14:textId="4597C587" w:rsidR="00150DAE" w:rsidRPr="005A1C05" w:rsidRDefault="00150DAE" w:rsidP="00FD3047">
            <w:pPr>
              <w:pStyle w:val="Corpsdetexte"/>
              <w:spacing w:before="1"/>
              <w:ind w:right="14"/>
              <w:jc w:val="both"/>
              <w:rPr>
                <w:rFonts w:ascii="Tw Cen MT" w:hAnsi="Tw Cen MT"/>
                <w:sz w:val="24"/>
                <w:szCs w:val="24"/>
                <w:lang w:val="fr-CA"/>
              </w:rPr>
            </w:pPr>
            <w:r w:rsidRPr="005A1C05">
              <w:rPr>
                <w:rFonts w:ascii="Tw Cen MT" w:hAnsi="Tw Cen MT"/>
                <w:sz w:val="24"/>
                <w:szCs w:val="24"/>
                <w:lang w:val="fr-CA"/>
              </w:rPr>
              <w:t>3/ Mettre en place un dispositif d’animation d’intelligence collective en favorisant le partage d’expérience, la mutualisation des services ;</w:t>
            </w:r>
          </w:p>
          <w:p w14:paraId="1A77EDDD" w14:textId="2FDE030B" w:rsidR="00150DAE" w:rsidRPr="005A1C05" w:rsidRDefault="00150DAE" w:rsidP="00FD3047">
            <w:pPr>
              <w:pStyle w:val="Corpsdetexte"/>
              <w:spacing w:before="1"/>
              <w:ind w:right="14"/>
              <w:jc w:val="both"/>
              <w:rPr>
                <w:rFonts w:ascii="Tw Cen MT" w:hAnsi="Tw Cen MT"/>
                <w:sz w:val="24"/>
                <w:szCs w:val="24"/>
                <w:lang w:val="fr-CA"/>
              </w:rPr>
            </w:pPr>
          </w:p>
        </w:tc>
        <w:tc>
          <w:tcPr>
            <w:tcW w:w="3261" w:type="dxa"/>
            <w:tcMar>
              <w:top w:w="0" w:type="dxa"/>
              <w:left w:w="108" w:type="dxa"/>
              <w:bottom w:w="0" w:type="dxa"/>
              <w:right w:w="108" w:type="dxa"/>
            </w:tcMar>
            <w:vAlign w:val="center"/>
          </w:tcPr>
          <w:p w14:paraId="516B0E88" w14:textId="77777777" w:rsidR="00150DAE" w:rsidRPr="00FD3047" w:rsidRDefault="00150DAE" w:rsidP="00FD3047">
            <w:pPr>
              <w:rPr>
                <w:rFonts w:ascii="Tw Cen MT" w:hAnsi="Tw Cen MT"/>
                <w:b/>
                <w:bCs/>
              </w:rPr>
            </w:pPr>
            <w:r w:rsidRPr="00FD3047">
              <w:rPr>
                <w:rFonts w:ascii="Tw Cen MT" w:hAnsi="Tw Cen MT"/>
                <w:b/>
                <w:bCs/>
              </w:rPr>
              <w:t>Acceptée entièrement</w:t>
            </w:r>
          </w:p>
          <w:p w14:paraId="53240E57" w14:textId="131959DD" w:rsidR="00150DAE" w:rsidRPr="005A1C05" w:rsidRDefault="00150DAE" w:rsidP="00FD3047">
            <w:pPr>
              <w:rPr>
                <w:rFonts w:ascii="Tw Cen MT" w:hAnsi="Tw Cen MT"/>
              </w:rPr>
            </w:pPr>
            <w:r w:rsidRPr="005A1C05">
              <w:rPr>
                <w:rFonts w:ascii="Tw Cen MT" w:hAnsi="Tw Cen MT"/>
              </w:rPr>
              <w:t xml:space="preserve">Durant la mise en œuvre du </w:t>
            </w:r>
            <w:proofErr w:type="spellStart"/>
            <w:r w:rsidRPr="005A1C05">
              <w:rPr>
                <w:rFonts w:ascii="Tw Cen MT" w:hAnsi="Tw Cen MT"/>
              </w:rPr>
              <w:t>ProFeJeC</w:t>
            </w:r>
            <w:proofErr w:type="spellEnd"/>
            <w:r w:rsidRPr="005A1C05">
              <w:rPr>
                <w:rFonts w:ascii="Tw Cen MT" w:hAnsi="Tw Cen MT"/>
              </w:rPr>
              <w:t xml:space="preserve">, une collaboration avec </w:t>
            </w:r>
            <w:r>
              <w:rPr>
                <w:rFonts w:ascii="Tw Cen MT" w:hAnsi="Tw Cen MT"/>
              </w:rPr>
              <w:t>l</w:t>
            </w:r>
            <w:r w:rsidRPr="005A1C05">
              <w:rPr>
                <w:rFonts w:ascii="Tw Cen MT" w:hAnsi="Tw Cen MT"/>
              </w:rPr>
              <w:t xml:space="preserve">’AUF avait déjà permis la collaboration entre 8 incubateurs et 6 universités publiques et privées </w:t>
            </w:r>
            <w:proofErr w:type="spellStart"/>
            <w:r>
              <w:rPr>
                <w:rFonts w:ascii="Tw Cen MT" w:hAnsi="Tw Cen MT"/>
              </w:rPr>
              <w:t>debouchant</w:t>
            </w:r>
            <w:proofErr w:type="spellEnd"/>
            <w:r>
              <w:rPr>
                <w:rFonts w:ascii="Tw Cen MT" w:hAnsi="Tw Cen MT"/>
              </w:rPr>
              <w:t xml:space="preserve"> sur la formulant de</w:t>
            </w:r>
            <w:r w:rsidRPr="005A1C05">
              <w:rPr>
                <w:rFonts w:ascii="Tw Cen MT" w:hAnsi="Tw Cen MT"/>
              </w:rPr>
              <w:t xml:space="preserve"> 4 projets</w:t>
            </w:r>
            <w:r>
              <w:rPr>
                <w:rFonts w:ascii="Tw Cen MT" w:hAnsi="Tw Cen MT"/>
              </w:rPr>
              <w:t xml:space="preserve"> à fort impact social</w:t>
            </w:r>
            <w:r w:rsidRPr="005A1C05">
              <w:rPr>
                <w:rFonts w:ascii="Tw Cen MT" w:hAnsi="Tw Cen MT"/>
              </w:rPr>
              <w:t>.</w:t>
            </w:r>
          </w:p>
          <w:p w14:paraId="05ECF88D" w14:textId="29470C8E" w:rsidR="00150DAE" w:rsidRPr="005A1C05" w:rsidRDefault="00150DAE" w:rsidP="00FD3047">
            <w:pPr>
              <w:rPr>
                <w:rFonts w:ascii="Tw Cen MT" w:eastAsia="Times New Roman" w:hAnsi="Tw Cen MT"/>
                <w:sz w:val="24"/>
                <w:szCs w:val="24"/>
                <w:lang w:eastAsia="fr-FR"/>
              </w:rPr>
            </w:pPr>
            <w:r w:rsidRPr="005A1C05">
              <w:rPr>
                <w:rFonts w:ascii="Tw Cen MT" w:hAnsi="Tw Cen MT"/>
              </w:rPr>
              <w:t>Dans le cadre du COLIBRIS, une série d’action est prévu dans le s</w:t>
            </w:r>
            <w:r>
              <w:rPr>
                <w:rFonts w:ascii="Tw Cen MT" w:hAnsi="Tw Cen MT"/>
              </w:rPr>
              <w:t xml:space="preserve">ens </w:t>
            </w:r>
            <w:proofErr w:type="gramStart"/>
            <w:r w:rsidRPr="005A1C05">
              <w:rPr>
                <w:rFonts w:ascii="Tw Cen MT" w:hAnsi="Tw Cen MT"/>
              </w:rPr>
              <w:t xml:space="preserve">du </w:t>
            </w:r>
            <w:r w:rsidRPr="005A1C05">
              <w:rPr>
                <w:rFonts w:ascii="Tw Cen MT" w:hAnsi="Tw Cen MT"/>
                <w:sz w:val="24"/>
                <w:szCs w:val="24"/>
                <w:lang w:val="fr-CA"/>
              </w:rPr>
              <w:t xml:space="preserve"> partage</w:t>
            </w:r>
            <w:proofErr w:type="gramEnd"/>
            <w:r w:rsidRPr="005A1C05">
              <w:rPr>
                <w:rFonts w:ascii="Tw Cen MT" w:hAnsi="Tw Cen MT"/>
                <w:sz w:val="24"/>
                <w:szCs w:val="24"/>
                <w:lang w:val="fr-CA"/>
              </w:rPr>
              <w:t xml:space="preserve"> d’expérience,</w:t>
            </w:r>
            <w:r>
              <w:rPr>
                <w:rFonts w:ascii="Tw Cen MT" w:hAnsi="Tw Cen MT"/>
                <w:sz w:val="24"/>
                <w:szCs w:val="24"/>
                <w:lang w:val="fr-CA"/>
              </w:rPr>
              <w:t xml:space="preserve"> de</w:t>
            </w:r>
            <w:r w:rsidRPr="005A1C05">
              <w:rPr>
                <w:rFonts w:ascii="Tw Cen MT" w:hAnsi="Tw Cen MT"/>
                <w:sz w:val="24"/>
                <w:szCs w:val="24"/>
                <w:lang w:val="fr-CA"/>
              </w:rPr>
              <w:t xml:space="preserve"> la mutualisation des services à travers </w:t>
            </w:r>
            <w:r>
              <w:rPr>
                <w:rFonts w:ascii="Tw Cen MT" w:hAnsi="Tw Cen MT"/>
                <w:sz w:val="24"/>
                <w:szCs w:val="24"/>
                <w:lang w:val="fr-CA"/>
              </w:rPr>
              <w:t xml:space="preserve">notamment </w:t>
            </w:r>
            <w:r w:rsidRPr="005A1C05">
              <w:rPr>
                <w:rFonts w:ascii="Tw Cen MT" w:hAnsi="Tw Cen MT"/>
                <w:sz w:val="24"/>
                <w:szCs w:val="24"/>
                <w:lang w:val="fr-CA"/>
              </w:rPr>
              <w:t xml:space="preserve">des ateliers de </w:t>
            </w:r>
            <w:proofErr w:type="spellStart"/>
            <w:r w:rsidRPr="005A1C05">
              <w:rPr>
                <w:rFonts w:ascii="Tw Cen MT" w:hAnsi="Tw Cen MT"/>
                <w:sz w:val="24"/>
                <w:szCs w:val="24"/>
                <w:lang w:val="fr-CA"/>
              </w:rPr>
              <w:t>sensmaking</w:t>
            </w:r>
            <w:proofErr w:type="spellEnd"/>
            <w:r w:rsidRPr="005A1C05">
              <w:rPr>
                <w:rFonts w:ascii="Tw Cen MT" w:hAnsi="Tw Cen MT"/>
                <w:sz w:val="24"/>
                <w:szCs w:val="24"/>
                <w:lang w:val="fr-CA"/>
              </w:rPr>
              <w:t xml:space="preserve"> multi acteurs, des </w:t>
            </w:r>
            <w:r>
              <w:rPr>
                <w:rFonts w:ascii="Tw Cen MT" w:hAnsi="Tw Cen MT"/>
                <w:sz w:val="24"/>
                <w:szCs w:val="24"/>
                <w:lang w:val="fr-CA"/>
              </w:rPr>
              <w:t xml:space="preserve">ateliers de </w:t>
            </w:r>
            <w:r w:rsidRPr="005A1C05">
              <w:rPr>
                <w:rFonts w:ascii="Tw Cen MT" w:hAnsi="Tw Cen MT"/>
                <w:sz w:val="24"/>
                <w:szCs w:val="24"/>
                <w:lang w:val="fr-CA"/>
              </w:rPr>
              <w:t>réseautages etc.</w:t>
            </w:r>
          </w:p>
        </w:tc>
        <w:tc>
          <w:tcPr>
            <w:tcW w:w="2551" w:type="dxa"/>
            <w:vAlign w:val="center"/>
          </w:tcPr>
          <w:p w14:paraId="66AD34CC" w14:textId="35E6D6E8" w:rsidR="00150DAE" w:rsidRPr="005A1C05" w:rsidRDefault="00150DAE" w:rsidP="00FD3047">
            <w:pPr>
              <w:rPr>
                <w:rFonts w:ascii="Tw Cen MT" w:hAnsi="Tw Cen MT"/>
              </w:rPr>
            </w:pPr>
            <w:r>
              <w:rPr>
                <w:rFonts w:ascii="Arial" w:hAnsi="Arial" w:cs="Arial"/>
                <w:color w:val="333333"/>
                <w:sz w:val="20"/>
                <w:szCs w:val="20"/>
                <w:shd w:val="clear" w:color="auto" w:fill="FFFFFF"/>
              </w:rPr>
              <w:t xml:space="preserve">Organiser des ateliers de </w:t>
            </w:r>
            <w:proofErr w:type="spellStart"/>
            <w:r>
              <w:rPr>
                <w:rFonts w:ascii="Arial" w:hAnsi="Arial" w:cs="Arial"/>
                <w:color w:val="333333"/>
                <w:sz w:val="20"/>
                <w:szCs w:val="20"/>
                <w:shd w:val="clear" w:color="auto" w:fill="FFFFFF"/>
              </w:rPr>
              <w:t>sensmaking</w:t>
            </w:r>
            <w:proofErr w:type="spellEnd"/>
            <w:r>
              <w:rPr>
                <w:rFonts w:ascii="Arial" w:hAnsi="Arial" w:cs="Arial"/>
                <w:color w:val="333333"/>
                <w:sz w:val="20"/>
                <w:szCs w:val="20"/>
                <w:shd w:val="clear" w:color="auto" w:fill="FFFFFF"/>
              </w:rPr>
              <w:t xml:space="preserve"> multi acteurs et de réseautages pour un partage d'expérience de la mutualisation des services</w:t>
            </w:r>
          </w:p>
        </w:tc>
        <w:tc>
          <w:tcPr>
            <w:tcW w:w="1701" w:type="dxa"/>
            <w:vAlign w:val="center"/>
          </w:tcPr>
          <w:p w14:paraId="08A10C57" w14:textId="711FD382"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 xml:space="preserve">Décembre </w:t>
            </w:r>
            <w:r w:rsidRPr="005A1C05">
              <w:rPr>
                <w:rFonts w:ascii="Tw Cen MT" w:eastAsia="Times New Roman" w:hAnsi="Tw Cen MT"/>
                <w:sz w:val="24"/>
                <w:szCs w:val="24"/>
                <w:lang w:eastAsia="fr-FR"/>
              </w:rPr>
              <w:t>2022</w:t>
            </w:r>
          </w:p>
        </w:tc>
        <w:tc>
          <w:tcPr>
            <w:tcW w:w="1418" w:type="dxa"/>
            <w:vAlign w:val="center"/>
          </w:tcPr>
          <w:p w14:paraId="22477C47" w14:textId="76743429" w:rsidR="00150DAE" w:rsidRPr="005A1C05" w:rsidRDefault="00150DAE" w:rsidP="00FD3047">
            <w:pPr>
              <w:rPr>
                <w:rFonts w:ascii="Tw Cen MT" w:eastAsia="Times New Roman" w:hAnsi="Tw Cen MT"/>
                <w:sz w:val="24"/>
                <w:szCs w:val="24"/>
                <w:lang w:eastAsia="fr-FR"/>
              </w:rPr>
            </w:pPr>
            <w:r w:rsidRPr="005A1C05">
              <w:rPr>
                <w:rFonts w:ascii="Tw Cen MT" w:eastAsia="Times New Roman" w:hAnsi="Tw Cen MT"/>
                <w:sz w:val="24"/>
                <w:szCs w:val="24"/>
                <w:lang w:eastAsia="fr-FR"/>
              </w:rPr>
              <w:t>Gouvernance</w:t>
            </w:r>
          </w:p>
        </w:tc>
        <w:tc>
          <w:tcPr>
            <w:tcW w:w="992" w:type="dxa"/>
          </w:tcPr>
          <w:p w14:paraId="733E0FCC" w14:textId="78AE7656"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Non initiée</w:t>
            </w:r>
          </w:p>
        </w:tc>
        <w:tc>
          <w:tcPr>
            <w:tcW w:w="1843" w:type="dxa"/>
          </w:tcPr>
          <w:p w14:paraId="5A025EFF" w14:textId="77777777" w:rsidR="00150DAE" w:rsidRPr="005A1C05" w:rsidRDefault="00150DAE" w:rsidP="00FD3047">
            <w:pPr>
              <w:rPr>
                <w:rFonts w:ascii="Tw Cen MT" w:eastAsia="Times New Roman" w:hAnsi="Tw Cen MT"/>
                <w:sz w:val="24"/>
                <w:szCs w:val="24"/>
                <w:lang w:eastAsia="fr-FR"/>
              </w:rPr>
            </w:pPr>
          </w:p>
        </w:tc>
      </w:tr>
      <w:tr w:rsidR="00150DAE" w:rsidRPr="005A1C05" w14:paraId="38B0C963" w14:textId="28034277" w:rsidTr="00150DAE">
        <w:trPr>
          <w:trHeight w:val="633"/>
        </w:trPr>
        <w:tc>
          <w:tcPr>
            <w:tcW w:w="2825" w:type="dxa"/>
            <w:tcMar>
              <w:top w:w="0" w:type="dxa"/>
              <w:left w:w="108" w:type="dxa"/>
              <w:bottom w:w="0" w:type="dxa"/>
              <w:right w:w="108" w:type="dxa"/>
            </w:tcMar>
            <w:vAlign w:val="center"/>
          </w:tcPr>
          <w:p w14:paraId="03EE4ABC" w14:textId="673EA760" w:rsidR="00150DAE" w:rsidRPr="005A1C05" w:rsidRDefault="00150DAE" w:rsidP="00FD3047">
            <w:pPr>
              <w:pStyle w:val="Corpsdetexte"/>
              <w:spacing w:before="1"/>
              <w:ind w:right="14"/>
              <w:jc w:val="both"/>
              <w:rPr>
                <w:rFonts w:ascii="Tw Cen MT" w:hAnsi="Tw Cen MT"/>
                <w:sz w:val="24"/>
                <w:szCs w:val="24"/>
                <w:lang w:val="fr-CA"/>
              </w:rPr>
            </w:pPr>
            <w:r>
              <w:rPr>
                <w:rFonts w:ascii="Tw Cen MT" w:hAnsi="Tw Cen MT"/>
                <w:sz w:val="24"/>
                <w:szCs w:val="24"/>
                <w:lang w:val="fr-CA"/>
              </w:rPr>
              <w:lastRenderedPageBreak/>
              <w:t>4</w:t>
            </w:r>
            <w:r w:rsidRPr="005A1C05">
              <w:rPr>
                <w:rFonts w:ascii="Tw Cen MT" w:hAnsi="Tw Cen MT"/>
                <w:sz w:val="24"/>
                <w:szCs w:val="24"/>
                <w:lang w:val="fr-CA"/>
              </w:rPr>
              <w:t>/ Disponibiliser un accompagnement de Coaching supplémentaires pour les entreprises (Coaching personnalisés) dont le coût est élevé.</w:t>
            </w:r>
          </w:p>
        </w:tc>
        <w:tc>
          <w:tcPr>
            <w:tcW w:w="3261" w:type="dxa"/>
            <w:tcMar>
              <w:top w:w="0" w:type="dxa"/>
              <w:left w:w="108" w:type="dxa"/>
              <w:bottom w:w="0" w:type="dxa"/>
              <w:right w:w="108" w:type="dxa"/>
            </w:tcMar>
            <w:vAlign w:val="center"/>
          </w:tcPr>
          <w:p w14:paraId="1B3BEE86" w14:textId="77777777" w:rsidR="00150DAE" w:rsidRPr="00FD3047" w:rsidRDefault="00150DAE" w:rsidP="00FD3047">
            <w:pPr>
              <w:rPr>
                <w:rFonts w:ascii="Tw Cen MT" w:hAnsi="Tw Cen MT"/>
                <w:b/>
                <w:bCs/>
              </w:rPr>
            </w:pPr>
            <w:r w:rsidRPr="00FD3047">
              <w:rPr>
                <w:rFonts w:ascii="Tw Cen MT" w:hAnsi="Tw Cen MT"/>
                <w:b/>
                <w:bCs/>
              </w:rPr>
              <w:t>Acceptée entièrement</w:t>
            </w:r>
          </w:p>
          <w:p w14:paraId="67B5B974" w14:textId="7BF6F502" w:rsidR="00150DAE" w:rsidRPr="00FD3047" w:rsidRDefault="00150DAE" w:rsidP="00FD3047">
            <w:pPr>
              <w:rPr>
                <w:rFonts w:ascii="Tw Cen MT" w:hAnsi="Tw Cen MT"/>
                <w:b/>
                <w:bCs/>
              </w:rPr>
            </w:pPr>
            <w:r w:rsidRPr="005A1C05">
              <w:rPr>
                <w:rFonts w:ascii="Tw Cen MT" w:hAnsi="Tw Cen MT"/>
              </w:rPr>
              <w:t xml:space="preserve">Dans le cadre du </w:t>
            </w:r>
            <w:proofErr w:type="spellStart"/>
            <w:r w:rsidRPr="005A1C05">
              <w:rPr>
                <w:rFonts w:ascii="Tw Cen MT" w:hAnsi="Tw Cen MT"/>
              </w:rPr>
              <w:t>ProFeJeC</w:t>
            </w:r>
            <w:proofErr w:type="spellEnd"/>
            <w:r w:rsidRPr="005A1C05">
              <w:rPr>
                <w:rFonts w:ascii="Tw Cen MT" w:hAnsi="Tw Cen MT"/>
              </w:rPr>
              <w:t xml:space="preserve">, une étude sur </w:t>
            </w:r>
            <w:r>
              <w:rPr>
                <w:rFonts w:ascii="Tw Cen MT" w:hAnsi="Tw Cen MT"/>
              </w:rPr>
              <w:t xml:space="preserve">la </w:t>
            </w:r>
            <w:r w:rsidRPr="005A1C05">
              <w:rPr>
                <w:rFonts w:ascii="Tw Cen MT" w:hAnsi="Tw Cen MT"/>
              </w:rPr>
              <w:t xml:space="preserve">conception d’un mécanisme de coaching mentorat a été </w:t>
            </w:r>
            <w:r>
              <w:rPr>
                <w:rFonts w:ascii="Tw Cen MT" w:hAnsi="Tw Cen MT"/>
              </w:rPr>
              <w:t>réalisé</w:t>
            </w:r>
            <w:r w:rsidRPr="005A1C05">
              <w:rPr>
                <w:rFonts w:ascii="Tw Cen MT" w:hAnsi="Tw Cen MT"/>
              </w:rPr>
              <w:t>. Elle n’a pas totalement pu être mis en place. Ainsi, il est prévu dans le cadre du COLIBRIS la mise en œuvre effective de cette étude à travers la mise ne place d’un pool de formateurs, coachs tuteurs en ligne et en présentiel</w:t>
            </w:r>
            <w:r>
              <w:rPr>
                <w:rFonts w:ascii="Tw Cen MT" w:hAnsi="Tw Cen MT"/>
              </w:rPr>
              <w:t>.</w:t>
            </w:r>
          </w:p>
        </w:tc>
        <w:tc>
          <w:tcPr>
            <w:tcW w:w="2551" w:type="dxa"/>
            <w:vAlign w:val="center"/>
          </w:tcPr>
          <w:p w14:paraId="419888F5" w14:textId="29A95C57" w:rsidR="00150DAE" w:rsidRDefault="00150DAE" w:rsidP="00FD30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Mettre en place un pool de formateurs, coachs tuteurs en ligne et en présentiel.</w:t>
            </w:r>
          </w:p>
        </w:tc>
        <w:tc>
          <w:tcPr>
            <w:tcW w:w="1701" w:type="dxa"/>
            <w:vAlign w:val="center"/>
          </w:tcPr>
          <w:p w14:paraId="13CAF579" w14:textId="0631C4D0"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Décembre 2022</w:t>
            </w:r>
          </w:p>
        </w:tc>
        <w:tc>
          <w:tcPr>
            <w:tcW w:w="1418" w:type="dxa"/>
            <w:vAlign w:val="center"/>
          </w:tcPr>
          <w:p w14:paraId="6C37EDF5" w14:textId="77777777" w:rsidR="00150DAE" w:rsidRPr="005A1C05" w:rsidRDefault="00150DAE" w:rsidP="00FD3047">
            <w:pPr>
              <w:rPr>
                <w:rFonts w:ascii="Tw Cen MT" w:eastAsia="Times New Roman" w:hAnsi="Tw Cen MT"/>
                <w:sz w:val="24"/>
                <w:szCs w:val="24"/>
                <w:lang w:eastAsia="fr-FR"/>
              </w:rPr>
            </w:pPr>
          </w:p>
        </w:tc>
        <w:tc>
          <w:tcPr>
            <w:tcW w:w="992" w:type="dxa"/>
          </w:tcPr>
          <w:p w14:paraId="6C80012C" w14:textId="37B34994" w:rsidR="00150DAE" w:rsidRPr="005A1C05" w:rsidRDefault="00150DAE" w:rsidP="00FD3047">
            <w:pPr>
              <w:rPr>
                <w:rFonts w:ascii="Tw Cen MT" w:eastAsia="Times New Roman" w:hAnsi="Tw Cen MT"/>
                <w:sz w:val="24"/>
                <w:szCs w:val="24"/>
                <w:lang w:eastAsia="fr-FR"/>
              </w:rPr>
            </w:pPr>
            <w:r>
              <w:rPr>
                <w:rFonts w:ascii="Tw Cen MT" w:eastAsia="Times New Roman" w:hAnsi="Tw Cen MT"/>
                <w:sz w:val="24"/>
                <w:szCs w:val="24"/>
                <w:lang w:eastAsia="fr-FR"/>
              </w:rPr>
              <w:t>Non initiée</w:t>
            </w:r>
          </w:p>
        </w:tc>
        <w:tc>
          <w:tcPr>
            <w:tcW w:w="1843" w:type="dxa"/>
          </w:tcPr>
          <w:p w14:paraId="2019A34D" w14:textId="77777777" w:rsidR="00150DAE" w:rsidRPr="005A1C05" w:rsidRDefault="00150DAE" w:rsidP="00FD3047">
            <w:pPr>
              <w:rPr>
                <w:rFonts w:ascii="Tw Cen MT" w:eastAsia="Times New Roman" w:hAnsi="Tw Cen MT"/>
                <w:sz w:val="24"/>
                <w:szCs w:val="24"/>
                <w:lang w:eastAsia="fr-FR"/>
              </w:rPr>
            </w:pPr>
          </w:p>
        </w:tc>
      </w:tr>
      <w:tr w:rsidR="00150DAE" w:rsidRPr="005A1C05" w14:paraId="456748D6" w14:textId="129A932C" w:rsidTr="00150DAE">
        <w:trPr>
          <w:trHeight w:val="633"/>
        </w:trPr>
        <w:tc>
          <w:tcPr>
            <w:tcW w:w="2825" w:type="dxa"/>
            <w:tcMar>
              <w:top w:w="0" w:type="dxa"/>
              <w:left w:w="108" w:type="dxa"/>
              <w:bottom w:w="0" w:type="dxa"/>
              <w:right w:w="108" w:type="dxa"/>
            </w:tcMar>
            <w:vAlign w:val="center"/>
          </w:tcPr>
          <w:p w14:paraId="7A0ED126" w14:textId="74FAFC25" w:rsidR="00150DAE" w:rsidRPr="005A1C05" w:rsidRDefault="00150DAE" w:rsidP="00FD3047">
            <w:pPr>
              <w:pStyle w:val="Corpsdetexte"/>
              <w:spacing w:before="1"/>
              <w:ind w:right="14"/>
              <w:jc w:val="both"/>
              <w:rPr>
                <w:rFonts w:ascii="Tw Cen MT" w:hAnsi="Tw Cen MT"/>
                <w:sz w:val="24"/>
                <w:szCs w:val="24"/>
                <w:lang w:val="fr-CA"/>
              </w:rPr>
            </w:pPr>
            <w:r>
              <w:rPr>
                <w:rFonts w:ascii="Tw Cen MT" w:hAnsi="Tw Cen MT"/>
                <w:sz w:val="24"/>
                <w:szCs w:val="24"/>
                <w:lang w:val="fr-CA"/>
              </w:rPr>
              <w:t>5</w:t>
            </w:r>
            <w:r w:rsidRPr="005A1C05">
              <w:rPr>
                <w:rFonts w:ascii="Tw Cen MT" w:hAnsi="Tw Cen MT"/>
                <w:sz w:val="24"/>
                <w:szCs w:val="24"/>
                <w:lang w:val="fr-CA"/>
              </w:rPr>
              <w:t>/ Améliorer le niveau de communication ;</w:t>
            </w:r>
          </w:p>
        </w:tc>
        <w:tc>
          <w:tcPr>
            <w:tcW w:w="3261" w:type="dxa"/>
            <w:tcMar>
              <w:top w:w="0" w:type="dxa"/>
              <w:left w:w="108" w:type="dxa"/>
              <w:bottom w:w="0" w:type="dxa"/>
              <w:right w:w="108" w:type="dxa"/>
            </w:tcMar>
            <w:vAlign w:val="center"/>
          </w:tcPr>
          <w:p w14:paraId="0106B125" w14:textId="77777777" w:rsidR="00150DAE" w:rsidRDefault="00150DAE" w:rsidP="00FD3047">
            <w:pPr>
              <w:rPr>
                <w:rFonts w:ascii="Tw Cen MT" w:eastAsia="Times New Roman" w:hAnsi="Tw Cen MT"/>
                <w:b/>
                <w:bCs/>
                <w:sz w:val="24"/>
                <w:szCs w:val="24"/>
                <w:lang w:eastAsia="fr-FR"/>
              </w:rPr>
            </w:pPr>
            <w:r>
              <w:rPr>
                <w:rFonts w:ascii="Tw Cen MT" w:eastAsia="Times New Roman" w:hAnsi="Tw Cen MT"/>
                <w:b/>
                <w:bCs/>
                <w:sz w:val="24"/>
                <w:szCs w:val="24"/>
                <w:lang w:eastAsia="fr-FR"/>
              </w:rPr>
              <w:t>Rejetée</w:t>
            </w:r>
          </w:p>
          <w:p w14:paraId="1D818E7E" w14:textId="77777777" w:rsidR="00150DAE" w:rsidRDefault="00150DAE" w:rsidP="00FD3047">
            <w:pPr>
              <w:rPr>
                <w:rFonts w:ascii="Tw Cen MT" w:hAnsi="Tw Cen MT"/>
              </w:rPr>
            </w:pPr>
            <w:r w:rsidRPr="005A1C05">
              <w:rPr>
                <w:rFonts w:ascii="Tw Cen MT" w:hAnsi="Tw Cen MT"/>
              </w:rPr>
              <w:t>Des cadres de concertations ont été instaurés entre l’unité de gestion et les principales parties prenantes. Ces rencontres ont pu se tenir en présentiel et en virtuel pour tenir compte de la pandémie à COVID 19</w:t>
            </w:r>
          </w:p>
          <w:p w14:paraId="6A3E90C5" w14:textId="77777777" w:rsidR="00150DAE" w:rsidRDefault="00150DAE" w:rsidP="00FD3047">
            <w:pPr>
              <w:rPr>
                <w:rFonts w:ascii="Tw Cen MT" w:hAnsi="Tw Cen MT"/>
              </w:rPr>
            </w:pPr>
          </w:p>
          <w:p w14:paraId="257A8C94" w14:textId="0E4438AA" w:rsidR="00150DAE" w:rsidRPr="005A1C05" w:rsidRDefault="00150DAE" w:rsidP="00FD3047">
            <w:pPr>
              <w:rPr>
                <w:rFonts w:ascii="Tw Cen MT" w:eastAsia="Times New Roman" w:hAnsi="Tw Cen MT"/>
                <w:sz w:val="24"/>
                <w:szCs w:val="24"/>
                <w:lang w:eastAsia="fr-FR"/>
              </w:rPr>
            </w:pPr>
          </w:p>
        </w:tc>
        <w:tc>
          <w:tcPr>
            <w:tcW w:w="2551" w:type="dxa"/>
            <w:vAlign w:val="center"/>
          </w:tcPr>
          <w:p w14:paraId="42455540" w14:textId="3E580E8B" w:rsidR="00150DAE" w:rsidRPr="005A1C05" w:rsidRDefault="00150DAE" w:rsidP="00FD3047">
            <w:pPr>
              <w:rPr>
                <w:rFonts w:ascii="Tw Cen MT" w:hAnsi="Tw Cen MT"/>
              </w:rPr>
            </w:pPr>
          </w:p>
        </w:tc>
        <w:tc>
          <w:tcPr>
            <w:tcW w:w="1701" w:type="dxa"/>
            <w:vAlign w:val="center"/>
          </w:tcPr>
          <w:p w14:paraId="19520772" w14:textId="77777777" w:rsidR="00150DAE" w:rsidRPr="005A1C05" w:rsidRDefault="00150DAE" w:rsidP="00FD3047">
            <w:pPr>
              <w:rPr>
                <w:rFonts w:ascii="Tw Cen MT" w:eastAsia="Times New Roman" w:hAnsi="Tw Cen MT"/>
                <w:sz w:val="24"/>
                <w:szCs w:val="24"/>
                <w:lang w:eastAsia="fr-FR"/>
              </w:rPr>
            </w:pPr>
          </w:p>
        </w:tc>
        <w:tc>
          <w:tcPr>
            <w:tcW w:w="1418" w:type="dxa"/>
            <w:vAlign w:val="center"/>
          </w:tcPr>
          <w:p w14:paraId="1CE8D0C8" w14:textId="77777777" w:rsidR="00150DAE" w:rsidRPr="005A1C05" w:rsidRDefault="00150DAE" w:rsidP="00FD3047">
            <w:pPr>
              <w:rPr>
                <w:rFonts w:ascii="Tw Cen MT" w:eastAsia="Times New Roman" w:hAnsi="Tw Cen MT"/>
                <w:sz w:val="24"/>
                <w:szCs w:val="24"/>
                <w:lang w:eastAsia="fr-FR"/>
              </w:rPr>
            </w:pPr>
          </w:p>
        </w:tc>
        <w:tc>
          <w:tcPr>
            <w:tcW w:w="992" w:type="dxa"/>
          </w:tcPr>
          <w:p w14:paraId="49566BBD" w14:textId="77777777" w:rsidR="00150DAE" w:rsidRPr="005A1C05" w:rsidRDefault="00150DAE" w:rsidP="00FD3047">
            <w:pPr>
              <w:rPr>
                <w:rFonts w:ascii="Tw Cen MT" w:eastAsia="Times New Roman" w:hAnsi="Tw Cen MT"/>
                <w:sz w:val="24"/>
                <w:szCs w:val="24"/>
                <w:lang w:eastAsia="fr-FR"/>
              </w:rPr>
            </w:pPr>
          </w:p>
        </w:tc>
        <w:tc>
          <w:tcPr>
            <w:tcW w:w="1843" w:type="dxa"/>
          </w:tcPr>
          <w:p w14:paraId="4F0CBC6D" w14:textId="77777777" w:rsidR="00150DAE" w:rsidRPr="005A1C05" w:rsidRDefault="00150DAE" w:rsidP="00FD3047">
            <w:pPr>
              <w:rPr>
                <w:rFonts w:ascii="Tw Cen MT" w:eastAsia="Times New Roman" w:hAnsi="Tw Cen MT"/>
                <w:sz w:val="24"/>
                <w:szCs w:val="24"/>
                <w:lang w:eastAsia="fr-FR"/>
              </w:rPr>
            </w:pPr>
          </w:p>
        </w:tc>
      </w:tr>
      <w:tr w:rsidR="00150DAE" w:rsidRPr="005A1C05" w14:paraId="2CC911F9" w14:textId="36A57957" w:rsidTr="00150DAE">
        <w:trPr>
          <w:trHeight w:val="633"/>
        </w:trPr>
        <w:tc>
          <w:tcPr>
            <w:tcW w:w="2825" w:type="dxa"/>
            <w:tcMar>
              <w:top w:w="0" w:type="dxa"/>
              <w:left w:w="108" w:type="dxa"/>
              <w:bottom w:w="0" w:type="dxa"/>
              <w:right w:w="108" w:type="dxa"/>
            </w:tcMar>
            <w:vAlign w:val="center"/>
          </w:tcPr>
          <w:p w14:paraId="1192108B" w14:textId="6E22B317" w:rsidR="00150DAE" w:rsidRPr="005A1C05" w:rsidRDefault="00150DAE" w:rsidP="00FD3047">
            <w:pPr>
              <w:pStyle w:val="Corpsdetexte"/>
              <w:spacing w:before="1"/>
              <w:ind w:right="14"/>
              <w:jc w:val="both"/>
              <w:rPr>
                <w:rFonts w:ascii="Tw Cen MT" w:hAnsi="Tw Cen MT"/>
                <w:sz w:val="24"/>
                <w:szCs w:val="24"/>
                <w:lang w:val="fr-CA"/>
              </w:rPr>
            </w:pPr>
            <w:r>
              <w:rPr>
                <w:rFonts w:ascii="Tw Cen MT" w:hAnsi="Tw Cen MT"/>
                <w:sz w:val="24"/>
                <w:szCs w:val="24"/>
                <w:lang w:val="fr-CA"/>
              </w:rPr>
              <w:t>6/</w:t>
            </w:r>
            <w:r w:rsidRPr="005A1C05">
              <w:rPr>
                <w:rFonts w:ascii="Tw Cen MT" w:hAnsi="Tw Cen MT"/>
                <w:sz w:val="24"/>
                <w:szCs w:val="24"/>
                <w:lang w:val="fr-CA"/>
              </w:rPr>
              <w:t>Renforcer les fonds d’amorçage pour les projets de technologie ;</w:t>
            </w:r>
          </w:p>
        </w:tc>
        <w:tc>
          <w:tcPr>
            <w:tcW w:w="3261" w:type="dxa"/>
            <w:tcMar>
              <w:top w:w="0" w:type="dxa"/>
              <w:left w:w="108" w:type="dxa"/>
              <w:bottom w:w="0" w:type="dxa"/>
              <w:right w:w="108" w:type="dxa"/>
            </w:tcMar>
            <w:vAlign w:val="center"/>
          </w:tcPr>
          <w:p w14:paraId="38CA9593" w14:textId="2E3E7C5E" w:rsidR="00150DAE" w:rsidRDefault="00150DAE" w:rsidP="00FD3047">
            <w:pPr>
              <w:rPr>
                <w:rFonts w:ascii="Tw Cen MT" w:eastAsia="Times New Roman" w:hAnsi="Tw Cen MT"/>
                <w:b/>
                <w:bCs/>
                <w:sz w:val="24"/>
                <w:szCs w:val="24"/>
                <w:lang w:eastAsia="fr-FR"/>
              </w:rPr>
            </w:pPr>
            <w:r>
              <w:rPr>
                <w:rFonts w:ascii="Tw Cen MT" w:eastAsia="Times New Roman" w:hAnsi="Tw Cen MT"/>
                <w:b/>
                <w:bCs/>
                <w:sz w:val="24"/>
                <w:szCs w:val="24"/>
                <w:lang w:eastAsia="fr-FR"/>
              </w:rPr>
              <w:t>Rejetée</w:t>
            </w:r>
          </w:p>
          <w:p w14:paraId="2E35E489" w14:textId="648D330F" w:rsidR="00150DAE" w:rsidRDefault="00150DAE" w:rsidP="00FD3047">
            <w:pPr>
              <w:rPr>
                <w:rFonts w:ascii="Tw Cen MT" w:eastAsia="Times New Roman" w:hAnsi="Tw Cen MT"/>
                <w:b/>
                <w:bCs/>
                <w:sz w:val="24"/>
                <w:szCs w:val="24"/>
                <w:lang w:eastAsia="fr-FR"/>
              </w:rPr>
            </w:pPr>
            <w:r w:rsidRPr="005A1C05">
              <w:rPr>
                <w:rFonts w:ascii="Tw Cen MT" w:hAnsi="Tw Cen MT"/>
              </w:rPr>
              <w:t xml:space="preserve">Le fonds d’amorçage remis à chaque incubé était de 2 000 000 FCFA. Ce montant a été fonction </w:t>
            </w:r>
            <w:r w:rsidRPr="005A1C05">
              <w:rPr>
                <w:rFonts w:ascii="Tw Cen MT" w:hAnsi="Tw Cen MT"/>
              </w:rPr>
              <w:lastRenderedPageBreak/>
              <w:t xml:space="preserve">de l’enveloppe financière </w:t>
            </w:r>
            <w:r>
              <w:rPr>
                <w:rFonts w:ascii="Tw Cen MT" w:hAnsi="Tw Cen MT"/>
              </w:rPr>
              <w:t xml:space="preserve">limité </w:t>
            </w:r>
            <w:r w:rsidRPr="005A1C05">
              <w:rPr>
                <w:rFonts w:ascii="Tw Cen MT" w:hAnsi="Tw Cen MT"/>
              </w:rPr>
              <w:t>du projet lui-même.</w:t>
            </w:r>
          </w:p>
          <w:p w14:paraId="2B915E44" w14:textId="50FB6558" w:rsidR="00150DAE" w:rsidRPr="005A1C05" w:rsidRDefault="00150DAE" w:rsidP="00FD3047">
            <w:pPr>
              <w:rPr>
                <w:rFonts w:ascii="Tw Cen MT" w:eastAsia="Times New Roman" w:hAnsi="Tw Cen MT"/>
                <w:sz w:val="24"/>
                <w:szCs w:val="24"/>
                <w:lang w:eastAsia="fr-FR"/>
              </w:rPr>
            </w:pPr>
          </w:p>
        </w:tc>
        <w:tc>
          <w:tcPr>
            <w:tcW w:w="2551" w:type="dxa"/>
            <w:vAlign w:val="center"/>
          </w:tcPr>
          <w:p w14:paraId="1C6A27E2" w14:textId="5010F7EA" w:rsidR="00150DAE" w:rsidRPr="005A1C05" w:rsidRDefault="00150DAE" w:rsidP="00FD3047">
            <w:pPr>
              <w:rPr>
                <w:rFonts w:ascii="Tw Cen MT" w:hAnsi="Tw Cen MT"/>
              </w:rPr>
            </w:pPr>
          </w:p>
        </w:tc>
        <w:tc>
          <w:tcPr>
            <w:tcW w:w="1701" w:type="dxa"/>
            <w:vAlign w:val="center"/>
          </w:tcPr>
          <w:p w14:paraId="5765607F" w14:textId="77777777" w:rsidR="00150DAE" w:rsidRPr="005A1C05" w:rsidRDefault="00150DAE" w:rsidP="00FD3047">
            <w:pPr>
              <w:rPr>
                <w:rFonts w:ascii="Tw Cen MT" w:eastAsia="Times New Roman" w:hAnsi="Tw Cen MT"/>
                <w:sz w:val="24"/>
                <w:szCs w:val="24"/>
                <w:lang w:eastAsia="fr-FR"/>
              </w:rPr>
            </w:pPr>
          </w:p>
        </w:tc>
        <w:tc>
          <w:tcPr>
            <w:tcW w:w="1418" w:type="dxa"/>
            <w:vAlign w:val="center"/>
          </w:tcPr>
          <w:p w14:paraId="7885BA6C" w14:textId="77777777" w:rsidR="00150DAE" w:rsidRPr="005A1C05" w:rsidRDefault="00150DAE" w:rsidP="00FD3047">
            <w:pPr>
              <w:rPr>
                <w:rFonts w:ascii="Tw Cen MT" w:eastAsia="Times New Roman" w:hAnsi="Tw Cen MT"/>
                <w:sz w:val="24"/>
                <w:szCs w:val="24"/>
                <w:lang w:eastAsia="fr-FR"/>
              </w:rPr>
            </w:pPr>
          </w:p>
        </w:tc>
        <w:tc>
          <w:tcPr>
            <w:tcW w:w="992" w:type="dxa"/>
          </w:tcPr>
          <w:p w14:paraId="4E560993" w14:textId="77777777" w:rsidR="00150DAE" w:rsidRPr="005A1C05" w:rsidRDefault="00150DAE" w:rsidP="00FD3047">
            <w:pPr>
              <w:rPr>
                <w:rFonts w:ascii="Tw Cen MT" w:eastAsia="Times New Roman" w:hAnsi="Tw Cen MT"/>
                <w:sz w:val="24"/>
                <w:szCs w:val="24"/>
                <w:lang w:eastAsia="fr-FR"/>
              </w:rPr>
            </w:pPr>
          </w:p>
        </w:tc>
        <w:tc>
          <w:tcPr>
            <w:tcW w:w="1843" w:type="dxa"/>
          </w:tcPr>
          <w:p w14:paraId="052CCCFC" w14:textId="77777777" w:rsidR="00150DAE" w:rsidRPr="005A1C05" w:rsidRDefault="00150DAE" w:rsidP="00FD3047">
            <w:pPr>
              <w:rPr>
                <w:rFonts w:ascii="Tw Cen MT" w:eastAsia="Times New Roman" w:hAnsi="Tw Cen MT"/>
                <w:sz w:val="24"/>
                <w:szCs w:val="24"/>
                <w:lang w:eastAsia="fr-FR"/>
              </w:rPr>
            </w:pPr>
          </w:p>
        </w:tc>
      </w:tr>
      <w:tr w:rsidR="00150DAE" w:rsidRPr="005A1C05" w14:paraId="312899C4" w14:textId="22C092E0" w:rsidTr="00150DAE">
        <w:trPr>
          <w:trHeight w:val="633"/>
        </w:trPr>
        <w:tc>
          <w:tcPr>
            <w:tcW w:w="2825" w:type="dxa"/>
            <w:tcMar>
              <w:top w:w="0" w:type="dxa"/>
              <w:left w:w="108" w:type="dxa"/>
              <w:bottom w:w="0" w:type="dxa"/>
              <w:right w:w="108" w:type="dxa"/>
            </w:tcMar>
            <w:vAlign w:val="center"/>
          </w:tcPr>
          <w:p w14:paraId="70057C62" w14:textId="2DAE6892" w:rsidR="00150DAE" w:rsidRPr="005A1C05" w:rsidRDefault="00150DAE" w:rsidP="00FD3047">
            <w:pPr>
              <w:pStyle w:val="Corpsdetexte"/>
              <w:spacing w:before="1"/>
              <w:ind w:right="14"/>
              <w:jc w:val="both"/>
              <w:rPr>
                <w:rFonts w:ascii="Tw Cen MT" w:hAnsi="Tw Cen MT"/>
                <w:sz w:val="24"/>
                <w:szCs w:val="24"/>
                <w:lang w:val="fr-CA"/>
              </w:rPr>
            </w:pPr>
            <w:r>
              <w:rPr>
                <w:rFonts w:ascii="Tw Cen MT" w:hAnsi="Tw Cen MT"/>
                <w:sz w:val="24"/>
                <w:szCs w:val="24"/>
                <w:lang w:val="fr-CA"/>
              </w:rPr>
              <w:t>7</w:t>
            </w:r>
            <w:r w:rsidRPr="005A1C05">
              <w:rPr>
                <w:rFonts w:ascii="Tw Cen MT" w:hAnsi="Tw Cen MT"/>
                <w:sz w:val="24"/>
                <w:szCs w:val="24"/>
                <w:lang w:val="fr-CA"/>
              </w:rPr>
              <w:t>/ Augmenter la part du budget dans le cadre du projet ;</w:t>
            </w:r>
          </w:p>
        </w:tc>
        <w:tc>
          <w:tcPr>
            <w:tcW w:w="3261" w:type="dxa"/>
            <w:tcMar>
              <w:top w:w="0" w:type="dxa"/>
              <w:left w:w="108" w:type="dxa"/>
              <w:bottom w:w="0" w:type="dxa"/>
              <w:right w:w="108" w:type="dxa"/>
            </w:tcMar>
            <w:vAlign w:val="center"/>
          </w:tcPr>
          <w:p w14:paraId="48523CA9" w14:textId="77777777" w:rsidR="00150DAE" w:rsidRDefault="00150DAE" w:rsidP="00FD3047">
            <w:pPr>
              <w:rPr>
                <w:rFonts w:ascii="Tw Cen MT" w:eastAsia="Times New Roman" w:hAnsi="Tw Cen MT"/>
                <w:b/>
                <w:bCs/>
                <w:sz w:val="24"/>
                <w:szCs w:val="24"/>
                <w:lang w:eastAsia="fr-FR"/>
              </w:rPr>
            </w:pPr>
            <w:r>
              <w:rPr>
                <w:rFonts w:ascii="Tw Cen MT" w:eastAsia="Times New Roman" w:hAnsi="Tw Cen MT"/>
                <w:b/>
                <w:bCs/>
                <w:sz w:val="24"/>
                <w:szCs w:val="24"/>
                <w:lang w:eastAsia="fr-FR"/>
              </w:rPr>
              <w:t>Rejetée</w:t>
            </w:r>
          </w:p>
          <w:p w14:paraId="1D81A088" w14:textId="67035302" w:rsidR="00150DAE" w:rsidRPr="005A1C05" w:rsidRDefault="00150DAE" w:rsidP="00FD3047">
            <w:pPr>
              <w:rPr>
                <w:rFonts w:ascii="Tw Cen MT" w:eastAsia="Times New Roman" w:hAnsi="Tw Cen MT"/>
                <w:sz w:val="24"/>
                <w:szCs w:val="24"/>
                <w:lang w:eastAsia="fr-FR"/>
              </w:rPr>
            </w:pPr>
            <w:r w:rsidRPr="005A1C05">
              <w:rPr>
                <w:rFonts w:ascii="Tw Cen MT" w:hAnsi="Tw Cen MT"/>
              </w:rPr>
              <w:t>Les attentes exprimé</w:t>
            </w:r>
            <w:r>
              <w:rPr>
                <w:rFonts w:ascii="Tw Cen MT" w:hAnsi="Tw Cen MT"/>
              </w:rPr>
              <w:t>e</w:t>
            </w:r>
            <w:r w:rsidRPr="005A1C05">
              <w:rPr>
                <w:rFonts w:ascii="Tw Cen MT" w:hAnsi="Tw Cen MT"/>
              </w:rPr>
              <w:t xml:space="preserve">s vis-à-vis du </w:t>
            </w:r>
            <w:proofErr w:type="spellStart"/>
            <w:r>
              <w:rPr>
                <w:rFonts w:ascii="Tw Cen MT" w:hAnsi="Tw Cen MT"/>
              </w:rPr>
              <w:t>ProFeJeC</w:t>
            </w:r>
            <w:proofErr w:type="spellEnd"/>
            <w:r>
              <w:rPr>
                <w:rFonts w:ascii="Tw Cen MT" w:hAnsi="Tw Cen MT"/>
              </w:rPr>
              <w:t xml:space="preserve"> </w:t>
            </w:r>
            <w:r w:rsidRPr="005A1C05">
              <w:rPr>
                <w:rFonts w:ascii="Tw Cen MT" w:hAnsi="Tw Cen MT"/>
              </w:rPr>
              <w:t xml:space="preserve">par </w:t>
            </w:r>
            <w:proofErr w:type="gramStart"/>
            <w:r w:rsidRPr="005A1C05">
              <w:rPr>
                <w:rFonts w:ascii="Tw Cen MT" w:hAnsi="Tw Cen MT"/>
              </w:rPr>
              <w:t>les différentes acteurs</w:t>
            </w:r>
            <w:proofErr w:type="gramEnd"/>
            <w:r w:rsidRPr="005A1C05">
              <w:rPr>
                <w:rFonts w:ascii="Tw Cen MT" w:hAnsi="Tw Cen MT"/>
              </w:rPr>
              <w:t xml:space="preserve"> de l’écosystème entrepreneuriale étai</w:t>
            </w:r>
            <w:r>
              <w:rPr>
                <w:rFonts w:ascii="Tw Cen MT" w:hAnsi="Tw Cen MT"/>
              </w:rPr>
              <w:t>ent</w:t>
            </w:r>
            <w:r w:rsidRPr="005A1C05">
              <w:rPr>
                <w:rFonts w:ascii="Tw Cen MT" w:hAnsi="Tw Cen MT"/>
              </w:rPr>
              <w:t xml:space="preserve"> très grandes</w:t>
            </w:r>
            <w:r>
              <w:rPr>
                <w:rFonts w:ascii="Tw Cen MT" w:hAnsi="Tw Cen MT"/>
              </w:rPr>
              <w:t>,</w:t>
            </w:r>
            <w:r w:rsidRPr="005A1C05">
              <w:rPr>
                <w:rFonts w:ascii="Tw Cen MT" w:hAnsi="Tw Cen MT"/>
              </w:rPr>
              <w:t xml:space="preserve"> au-delà notamment des capacités financière du projet</w:t>
            </w:r>
            <w:r>
              <w:rPr>
                <w:rFonts w:ascii="Tw Cen MT" w:hAnsi="Tw Cen MT"/>
              </w:rPr>
              <w:t>. Le projet a par ailleurs clos sans financement additionnel.</w:t>
            </w:r>
          </w:p>
        </w:tc>
        <w:tc>
          <w:tcPr>
            <w:tcW w:w="2551" w:type="dxa"/>
            <w:vAlign w:val="center"/>
          </w:tcPr>
          <w:p w14:paraId="509CFBE0" w14:textId="45B53EE0" w:rsidR="00150DAE" w:rsidRPr="005A1C05" w:rsidRDefault="00150DAE" w:rsidP="00FD3047">
            <w:pPr>
              <w:rPr>
                <w:rFonts w:ascii="Tw Cen MT" w:hAnsi="Tw Cen MT"/>
              </w:rPr>
            </w:pPr>
          </w:p>
        </w:tc>
        <w:tc>
          <w:tcPr>
            <w:tcW w:w="1701" w:type="dxa"/>
            <w:vAlign w:val="center"/>
          </w:tcPr>
          <w:p w14:paraId="3641F2F3" w14:textId="77777777" w:rsidR="00150DAE" w:rsidRPr="005A1C05" w:rsidRDefault="00150DAE" w:rsidP="00FD3047">
            <w:pPr>
              <w:rPr>
                <w:rFonts w:ascii="Tw Cen MT" w:eastAsia="Times New Roman" w:hAnsi="Tw Cen MT"/>
                <w:sz w:val="24"/>
                <w:szCs w:val="24"/>
                <w:lang w:eastAsia="fr-FR"/>
              </w:rPr>
            </w:pPr>
          </w:p>
        </w:tc>
        <w:tc>
          <w:tcPr>
            <w:tcW w:w="1418" w:type="dxa"/>
            <w:vAlign w:val="center"/>
          </w:tcPr>
          <w:p w14:paraId="705D611E" w14:textId="77777777" w:rsidR="00150DAE" w:rsidRPr="005A1C05" w:rsidRDefault="00150DAE" w:rsidP="00FD3047">
            <w:pPr>
              <w:rPr>
                <w:rFonts w:ascii="Tw Cen MT" w:eastAsia="Times New Roman" w:hAnsi="Tw Cen MT"/>
                <w:sz w:val="24"/>
                <w:szCs w:val="24"/>
                <w:lang w:eastAsia="fr-FR"/>
              </w:rPr>
            </w:pPr>
          </w:p>
        </w:tc>
        <w:tc>
          <w:tcPr>
            <w:tcW w:w="992" w:type="dxa"/>
          </w:tcPr>
          <w:p w14:paraId="61A1C6F6" w14:textId="77777777" w:rsidR="00150DAE" w:rsidRPr="005A1C05" w:rsidRDefault="00150DAE" w:rsidP="00FD3047">
            <w:pPr>
              <w:rPr>
                <w:rFonts w:ascii="Tw Cen MT" w:eastAsia="Times New Roman" w:hAnsi="Tw Cen MT"/>
                <w:sz w:val="24"/>
                <w:szCs w:val="24"/>
                <w:lang w:eastAsia="fr-FR"/>
              </w:rPr>
            </w:pPr>
          </w:p>
        </w:tc>
        <w:tc>
          <w:tcPr>
            <w:tcW w:w="1843" w:type="dxa"/>
          </w:tcPr>
          <w:p w14:paraId="50CF5F1C" w14:textId="77777777" w:rsidR="00150DAE" w:rsidRPr="005A1C05" w:rsidRDefault="00150DAE" w:rsidP="00FD3047">
            <w:pPr>
              <w:rPr>
                <w:rFonts w:ascii="Tw Cen MT" w:eastAsia="Times New Roman" w:hAnsi="Tw Cen MT"/>
                <w:sz w:val="24"/>
                <w:szCs w:val="24"/>
                <w:lang w:eastAsia="fr-FR"/>
              </w:rPr>
            </w:pPr>
          </w:p>
        </w:tc>
      </w:tr>
      <w:tr w:rsidR="00150DAE" w:rsidRPr="005A1C05" w14:paraId="3DF03223" w14:textId="3E8096CE" w:rsidTr="00150DAE">
        <w:trPr>
          <w:trHeight w:val="633"/>
        </w:trPr>
        <w:tc>
          <w:tcPr>
            <w:tcW w:w="2825" w:type="dxa"/>
            <w:tcMar>
              <w:top w:w="0" w:type="dxa"/>
              <w:left w:w="108" w:type="dxa"/>
              <w:bottom w:w="0" w:type="dxa"/>
              <w:right w:w="108" w:type="dxa"/>
            </w:tcMar>
            <w:vAlign w:val="center"/>
          </w:tcPr>
          <w:p w14:paraId="38DBC4F4" w14:textId="05EBAF02" w:rsidR="00150DAE" w:rsidRPr="005A1C05" w:rsidRDefault="00150DAE" w:rsidP="00FD3047">
            <w:pPr>
              <w:pStyle w:val="Corpsdetexte"/>
              <w:spacing w:before="1"/>
              <w:ind w:right="14"/>
              <w:jc w:val="both"/>
              <w:rPr>
                <w:rFonts w:ascii="Tw Cen MT" w:hAnsi="Tw Cen MT"/>
                <w:sz w:val="24"/>
                <w:szCs w:val="24"/>
                <w:lang w:val="fr-CA"/>
              </w:rPr>
            </w:pPr>
            <w:r>
              <w:rPr>
                <w:rFonts w:ascii="Tw Cen MT" w:hAnsi="Tw Cen MT"/>
                <w:sz w:val="24"/>
                <w:szCs w:val="24"/>
                <w:lang w:val="fr-CA"/>
              </w:rPr>
              <w:t>8</w:t>
            </w:r>
            <w:r w:rsidRPr="005A1C05">
              <w:rPr>
                <w:rFonts w:ascii="Tw Cen MT" w:hAnsi="Tw Cen MT"/>
                <w:sz w:val="24"/>
                <w:szCs w:val="24"/>
                <w:lang w:val="fr-CA"/>
              </w:rPr>
              <w:t>/ Augmenter le temps d’incubation ;</w:t>
            </w:r>
          </w:p>
        </w:tc>
        <w:tc>
          <w:tcPr>
            <w:tcW w:w="3261" w:type="dxa"/>
            <w:tcMar>
              <w:top w:w="0" w:type="dxa"/>
              <w:left w:w="108" w:type="dxa"/>
              <w:bottom w:w="0" w:type="dxa"/>
              <w:right w:w="108" w:type="dxa"/>
            </w:tcMar>
            <w:vAlign w:val="center"/>
          </w:tcPr>
          <w:p w14:paraId="2B357F80" w14:textId="77777777" w:rsidR="00150DAE" w:rsidRDefault="00150DAE" w:rsidP="00FD3047">
            <w:pPr>
              <w:rPr>
                <w:rFonts w:ascii="Tw Cen MT" w:eastAsia="Times New Roman" w:hAnsi="Tw Cen MT"/>
                <w:b/>
                <w:bCs/>
                <w:sz w:val="24"/>
                <w:szCs w:val="24"/>
                <w:lang w:eastAsia="fr-FR"/>
              </w:rPr>
            </w:pPr>
            <w:r>
              <w:rPr>
                <w:rFonts w:ascii="Tw Cen MT" w:eastAsia="Times New Roman" w:hAnsi="Tw Cen MT"/>
                <w:b/>
                <w:bCs/>
                <w:sz w:val="24"/>
                <w:szCs w:val="24"/>
                <w:lang w:eastAsia="fr-FR"/>
              </w:rPr>
              <w:t>Rejetée</w:t>
            </w:r>
          </w:p>
          <w:p w14:paraId="621F9663" w14:textId="7BC4BFE7" w:rsidR="00150DAE" w:rsidRPr="005A1C05" w:rsidRDefault="00150DAE" w:rsidP="00FD3047">
            <w:pPr>
              <w:rPr>
                <w:rFonts w:ascii="Tw Cen MT" w:eastAsia="Times New Roman" w:hAnsi="Tw Cen MT"/>
                <w:sz w:val="24"/>
                <w:szCs w:val="24"/>
                <w:lang w:eastAsia="fr-FR"/>
              </w:rPr>
            </w:pPr>
            <w:r w:rsidRPr="005A1C05">
              <w:rPr>
                <w:rFonts w:ascii="Tw Cen MT" w:hAnsi="Tw Cen MT"/>
              </w:rPr>
              <w:t xml:space="preserve">Le temps d’incubation a été d’une année. Cependant, les termes des différents contrats </w:t>
            </w:r>
            <w:r>
              <w:rPr>
                <w:rFonts w:ascii="Tw Cen MT" w:hAnsi="Tw Cen MT"/>
              </w:rPr>
              <w:t>avec les incubateurs</w:t>
            </w:r>
            <w:r w:rsidRPr="005A1C05">
              <w:rPr>
                <w:rFonts w:ascii="Tw Cen MT" w:hAnsi="Tw Cen MT"/>
              </w:rPr>
              <w:t xml:space="preserve"> stipulaient</w:t>
            </w:r>
            <w:r>
              <w:rPr>
                <w:rFonts w:ascii="Tw Cen MT" w:hAnsi="Tw Cen MT"/>
              </w:rPr>
              <w:t xml:space="preserve"> </w:t>
            </w:r>
            <w:r w:rsidRPr="005A1C05">
              <w:rPr>
                <w:rFonts w:ascii="Tw Cen MT" w:hAnsi="Tw Cen MT"/>
              </w:rPr>
              <w:t xml:space="preserve">que l’accompagnement pouvait dépasser ce délai pour les projets dont la nécessité était avérée sans toutefois dépasser la durée d’exécution </w:t>
            </w:r>
            <w:r>
              <w:rPr>
                <w:rFonts w:ascii="Tw Cen MT" w:hAnsi="Tw Cen MT"/>
              </w:rPr>
              <w:t>d</w:t>
            </w:r>
            <w:r w:rsidRPr="005A1C05">
              <w:rPr>
                <w:rFonts w:ascii="Tw Cen MT" w:hAnsi="Tw Cen MT"/>
              </w:rPr>
              <w:t xml:space="preserve">u </w:t>
            </w:r>
            <w:proofErr w:type="spellStart"/>
            <w:r w:rsidRPr="005A1C05">
              <w:rPr>
                <w:rFonts w:ascii="Tw Cen MT" w:hAnsi="Tw Cen MT"/>
              </w:rPr>
              <w:t>ProFeJeC</w:t>
            </w:r>
            <w:proofErr w:type="spellEnd"/>
            <w:r w:rsidRPr="005A1C05">
              <w:rPr>
                <w:rFonts w:ascii="Tw Cen MT" w:hAnsi="Tw Cen MT"/>
              </w:rPr>
              <w:t xml:space="preserve">. </w:t>
            </w:r>
            <w:r>
              <w:rPr>
                <w:rFonts w:ascii="Tw Cen MT" w:hAnsi="Tw Cen MT"/>
              </w:rPr>
              <w:t xml:space="preserve">C’est ainsi que la durée de certains projets s’est </w:t>
            </w:r>
            <w:proofErr w:type="gramStart"/>
            <w:r>
              <w:rPr>
                <w:rFonts w:ascii="Tw Cen MT" w:hAnsi="Tw Cen MT"/>
              </w:rPr>
              <w:t>étendu</w:t>
            </w:r>
            <w:proofErr w:type="gramEnd"/>
            <w:r>
              <w:rPr>
                <w:rFonts w:ascii="Tw Cen MT" w:hAnsi="Tw Cen MT"/>
              </w:rPr>
              <w:t xml:space="preserve"> jusqu’à</w:t>
            </w:r>
            <w:r w:rsidRPr="005A1C05">
              <w:rPr>
                <w:rFonts w:ascii="Tw Cen MT" w:hAnsi="Tw Cen MT"/>
              </w:rPr>
              <w:t xml:space="preserve"> </w:t>
            </w:r>
            <w:r>
              <w:rPr>
                <w:rFonts w:ascii="Tw Cen MT" w:hAnsi="Tw Cen MT"/>
              </w:rPr>
              <w:t>18</w:t>
            </w:r>
            <w:r w:rsidRPr="005A1C05">
              <w:rPr>
                <w:rFonts w:ascii="Tw Cen MT" w:hAnsi="Tw Cen MT"/>
              </w:rPr>
              <w:t xml:space="preserve"> ans</w:t>
            </w:r>
            <w:r>
              <w:rPr>
                <w:rFonts w:ascii="Tw Cen MT" w:hAnsi="Tw Cen MT"/>
              </w:rPr>
              <w:t>.</w:t>
            </w:r>
          </w:p>
        </w:tc>
        <w:tc>
          <w:tcPr>
            <w:tcW w:w="2551" w:type="dxa"/>
            <w:vAlign w:val="center"/>
          </w:tcPr>
          <w:p w14:paraId="5B5C6E9A" w14:textId="4CBCBB92" w:rsidR="00150DAE" w:rsidRPr="005A1C05" w:rsidRDefault="00150DAE" w:rsidP="00FD3047">
            <w:pPr>
              <w:rPr>
                <w:rFonts w:ascii="Tw Cen MT" w:hAnsi="Tw Cen MT"/>
              </w:rPr>
            </w:pPr>
          </w:p>
        </w:tc>
        <w:tc>
          <w:tcPr>
            <w:tcW w:w="1701" w:type="dxa"/>
            <w:vAlign w:val="center"/>
          </w:tcPr>
          <w:p w14:paraId="44033B38" w14:textId="77777777" w:rsidR="00150DAE" w:rsidRPr="005A1C05" w:rsidRDefault="00150DAE" w:rsidP="00FD3047">
            <w:pPr>
              <w:rPr>
                <w:rFonts w:ascii="Tw Cen MT" w:eastAsia="Times New Roman" w:hAnsi="Tw Cen MT"/>
                <w:sz w:val="24"/>
                <w:szCs w:val="24"/>
                <w:lang w:eastAsia="fr-FR"/>
              </w:rPr>
            </w:pPr>
          </w:p>
        </w:tc>
        <w:tc>
          <w:tcPr>
            <w:tcW w:w="1418" w:type="dxa"/>
            <w:vAlign w:val="center"/>
          </w:tcPr>
          <w:p w14:paraId="1104F491" w14:textId="77777777" w:rsidR="00150DAE" w:rsidRPr="005A1C05" w:rsidRDefault="00150DAE" w:rsidP="00FD3047">
            <w:pPr>
              <w:rPr>
                <w:rFonts w:ascii="Tw Cen MT" w:eastAsia="Times New Roman" w:hAnsi="Tw Cen MT"/>
                <w:sz w:val="24"/>
                <w:szCs w:val="24"/>
                <w:lang w:eastAsia="fr-FR"/>
              </w:rPr>
            </w:pPr>
          </w:p>
        </w:tc>
        <w:tc>
          <w:tcPr>
            <w:tcW w:w="992" w:type="dxa"/>
          </w:tcPr>
          <w:p w14:paraId="303E3FE2" w14:textId="77777777" w:rsidR="00150DAE" w:rsidRPr="005A1C05" w:rsidRDefault="00150DAE" w:rsidP="00FD3047">
            <w:pPr>
              <w:rPr>
                <w:rFonts w:ascii="Tw Cen MT" w:eastAsia="Times New Roman" w:hAnsi="Tw Cen MT"/>
                <w:sz w:val="24"/>
                <w:szCs w:val="24"/>
                <w:lang w:eastAsia="fr-FR"/>
              </w:rPr>
            </w:pPr>
          </w:p>
        </w:tc>
        <w:tc>
          <w:tcPr>
            <w:tcW w:w="1843" w:type="dxa"/>
          </w:tcPr>
          <w:p w14:paraId="66262A4F" w14:textId="77777777" w:rsidR="00150DAE" w:rsidRPr="005A1C05" w:rsidRDefault="00150DAE" w:rsidP="00FD3047">
            <w:pPr>
              <w:rPr>
                <w:rFonts w:ascii="Tw Cen MT" w:eastAsia="Times New Roman" w:hAnsi="Tw Cen MT"/>
                <w:sz w:val="24"/>
                <w:szCs w:val="24"/>
                <w:lang w:eastAsia="fr-FR"/>
              </w:rPr>
            </w:pPr>
          </w:p>
        </w:tc>
      </w:tr>
    </w:tbl>
    <w:p w14:paraId="36513F8F" w14:textId="77777777" w:rsidR="00CA370E" w:rsidRPr="005A1C05" w:rsidRDefault="00CA370E" w:rsidP="004964CD">
      <w:pPr>
        <w:rPr>
          <w:rFonts w:ascii="Tw Cen MT" w:hAnsi="Tw Cen MT"/>
        </w:rPr>
      </w:pPr>
    </w:p>
    <w:sectPr w:rsidR="00CA370E" w:rsidRPr="005A1C05" w:rsidSect="00D13B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5C6C" w14:textId="77777777" w:rsidR="008B01D7" w:rsidRDefault="008B01D7" w:rsidP="002B6C34">
      <w:pPr>
        <w:spacing w:after="0" w:line="240" w:lineRule="auto"/>
      </w:pPr>
      <w:r>
        <w:separator/>
      </w:r>
    </w:p>
  </w:endnote>
  <w:endnote w:type="continuationSeparator" w:id="0">
    <w:p w14:paraId="1A837344" w14:textId="77777777" w:rsidR="008B01D7" w:rsidRDefault="008B01D7" w:rsidP="002B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3F24" w14:textId="77777777" w:rsidR="008B01D7" w:rsidRDefault="008B01D7" w:rsidP="002B6C34">
      <w:pPr>
        <w:spacing w:after="0" w:line="240" w:lineRule="auto"/>
      </w:pPr>
      <w:r>
        <w:separator/>
      </w:r>
    </w:p>
  </w:footnote>
  <w:footnote w:type="continuationSeparator" w:id="0">
    <w:p w14:paraId="17AA2FAC" w14:textId="77777777" w:rsidR="008B01D7" w:rsidRDefault="008B01D7" w:rsidP="002B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125B"/>
    <w:multiLevelType w:val="hybridMultilevel"/>
    <w:tmpl w:val="B86C9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6546D"/>
    <w:multiLevelType w:val="hybridMultilevel"/>
    <w:tmpl w:val="285CB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C6937"/>
    <w:multiLevelType w:val="hybridMultilevel"/>
    <w:tmpl w:val="DF80B69A"/>
    <w:lvl w:ilvl="0" w:tplc="6D82918A">
      <w:start w:val="2"/>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2217FE"/>
    <w:multiLevelType w:val="hybridMultilevel"/>
    <w:tmpl w:val="78943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A7A53"/>
    <w:multiLevelType w:val="hybridMultilevel"/>
    <w:tmpl w:val="37ECB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0A"/>
    <w:multiLevelType w:val="hybridMultilevel"/>
    <w:tmpl w:val="CC6ABCD0"/>
    <w:lvl w:ilvl="0" w:tplc="6900BFC0">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FD2B4D"/>
    <w:multiLevelType w:val="hybridMultilevel"/>
    <w:tmpl w:val="AA5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2829F8"/>
    <w:multiLevelType w:val="hybridMultilevel"/>
    <w:tmpl w:val="8592D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202CF"/>
    <w:multiLevelType w:val="hybridMultilevel"/>
    <w:tmpl w:val="000AD8A6"/>
    <w:lvl w:ilvl="0" w:tplc="AF388B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34329B"/>
    <w:multiLevelType w:val="hybridMultilevel"/>
    <w:tmpl w:val="23FCD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E22C89"/>
    <w:multiLevelType w:val="hybridMultilevel"/>
    <w:tmpl w:val="64188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14638"/>
    <w:multiLevelType w:val="hybridMultilevel"/>
    <w:tmpl w:val="1C58C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E78E6"/>
    <w:multiLevelType w:val="hybridMultilevel"/>
    <w:tmpl w:val="B412C2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A67427B"/>
    <w:multiLevelType w:val="hybridMultilevel"/>
    <w:tmpl w:val="398E813A"/>
    <w:lvl w:ilvl="0" w:tplc="4596E566">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C972A0B"/>
    <w:multiLevelType w:val="hybridMultilevel"/>
    <w:tmpl w:val="3B00E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3544E"/>
    <w:multiLevelType w:val="hybridMultilevel"/>
    <w:tmpl w:val="DDE06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EB7001"/>
    <w:multiLevelType w:val="hybridMultilevel"/>
    <w:tmpl w:val="4BDEFD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5"/>
  </w:num>
  <w:num w:numId="5">
    <w:abstractNumId w:val="12"/>
  </w:num>
  <w:num w:numId="6">
    <w:abstractNumId w:val="14"/>
  </w:num>
  <w:num w:numId="7">
    <w:abstractNumId w:val="7"/>
  </w:num>
  <w:num w:numId="8">
    <w:abstractNumId w:val="13"/>
  </w:num>
  <w:num w:numId="9">
    <w:abstractNumId w:val="10"/>
  </w:num>
  <w:num w:numId="10">
    <w:abstractNumId w:val="16"/>
  </w:num>
  <w:num w:numId="11">
    <w:abstractNumId w:val="6"/>
  </w:num>
  <w:num w:numId="12">
    <w:abstractNumId w:val="4"/>
  </w:num>
  <w:num w:numId="13">
    <w:abstractNumId w:val="0"/>
  </w:num>
  <w:num w:numId="14">
    <w:abstractNumId w:val="1"/>
  </w:num>
  <w:num w:numId="15">
    <w:abstractNumId w:val="17"/>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5B"/>
    <w:rsid w:val="00021070"/>
    <w:rsid w:val="00032932"/>
    <w:rsid w:val="00036FEA"/>
    <w:rsid w:val="000411AF"/>
    <w:rsid w:val="000416C2"/>
    <w:rsid w:val="00043479"/>
    <w:rsid w:val="0004585E"/>
    <w:rsid w:val="00050830"/>
    <w:rsid w:val="00051443"/>
    <w:rsid w:val="0005298F"/>
    <w:rsid w:val="00065F32"/>
    <w:rsid w:val="0008373C"/>
    <w:rsid w:val="00091DE6"/>
    <w:rsid w:val="000A0271"/>
    <w:rsid w:val="000E0827"/>
    <w:rsid w:val="000E26C0"/>
    <w:rsid w:val="0010392E"/>
    <w:rsid w:val="00121FD2"/>
    <w:rsid w:val="00130DD2"/>
    <w:rsid w:val="00136622"/>
    <w:rsid w:val="00140EEC"/>
    <w:rsid w:val="00150DAE"/>
    <w:rsid w:val="00172A35"/>
    <w:rsid w:val="00183514"/>
    <w:rsid w:val="001846D0"/>
    <w:rsid w:val="00187538"/>
    <w:rsid w:val="001A681B"/>
    <w:rsid w:val="001A7383"/>
    <w:rsid w:val="001B6BFB"/>
    <w:rsid w:val="001C0D5B"/>
    <w:rsid w:val="001D32B1"/>
    <w:rsid w:val="001D54EA"/>
    <w:rsid w:val="001D7056"/>
    <w:rsid w:val="001F2013"/>
    <w:rsid w:val="002127EA"/>
    <w:rsid w:val="00223DF9"/>
    <w:rsid w:val="002348F2"/>
    <w:rsid w:val="00237B7F"/>
    <w:rsid w:val="002406CB"/>
    <w:rsid w:val="00242B2F"/>
    <w:rsid w:val="00252DCC"/>
    <w:rsid w:val="00275464"/>
    <w:rsid w:val="00280C5B"/>
    <w:rsid w:val="00284648"/>
    <w:rsid w:val="00290DB7"/>
    <w:rsid w:val="00292217"/>
    <w:rsid w:val="002B6C34"/>
    <w:rsid w:val="002C109D"/>
    <w:rsid w:val="002C2109"/>
    <w:rsid w:val="002D474F"/>
    <w:rsid w:val="002E29CB"/>
    <w:rsid w:val="002E5395"/>
    <w:rsid w:val="003011B6"/>
    <w:rsid w:val="00305583"/>
    <w:rsid w:val="00314569"/>
    <w:rsid w:val="0033044E"/>
    <w:rsid w:val="0033486C"/>
    <w:rsid w:val="00361A96"/>
    <w:rsid w:val="00386EDE"/>
    <w:rsid w:val="00387085"/>
    <w:rsid w:val="003A1F7C"/>
    <w:rsid w:val="003C30F7"/>
    <w:rsid w:val="003F4F09"/>
    <w:rsid w:val="004020BC"/>
    <w:rsid w:val="0040218A"/>
    <w:rsid w:val="0043287D"/>
    <w:rsid w:val="0044250B"/>
    <w:rsid w:val="00455C1E"/>
    <w:rsid w:val="00464954"/>
    <w:rsid w:val="004768CB"/>
    <w:rsid w:val="00492322"/>
    <w:rsid w:val="004964CD"/>
    <w:rsid w:val="004971BF"/>
    <w:rsid w:val="004A2DA1"/>
    <w:rsid w:val="004B2F0F"/>
    <w:rsid w:val="004F786E"/>
    <w:rsid w:val="00506605"/>
    <w:rsid w:val="005237A5"/>
    <w:rsid w:val="00526523"/>
    <w:rsid w:val="005277A5"/>
    <w:rsid w:val="00535E5E"/>
    <w:rsid w:val="00554D63"/>
    <w:rsid w:val="00581F06"/>
    <w:rsid w:val="00596D41"/>
    <w:rsid w:val="005A1C05"/>
    <w:rsid w:val="005A71F4"/>
    <w:rsid w:val="005C5376"/>
    <w:rsid w:val="005C789C"/>
    <w:rsid w:val="005D2472"/>
    <w:rsid w:val="005D3A86"/>
    <w:rsid w:val="005D67AD"/>
    <w:rsid w:val="00613E34"/>
    <w:rsid w:val="00617447"/>
    <w:rsid w:val="00622B48"/>
    <w:rsid w:val="006231B2"/>
    <w:rsid w:val="006407D1"/>
    <w:rsid w:val="006441BB"/>
    <w:rsid w:val="0064636A"/>
    <w:rsid w:val="0068180F"/>
    <w:rsid w:val="00683C4C"/>
    <w:rsid w:val="00692C95"/>
    <w:rsid w:val="00697380"/>
    <w:rsid w:val="006A21E3"/>
    <w:rsid w:val="006A7B20"/>
    <w:rsid w:val="006B4DE1"/>
    <w:rsid w:val="006B762F"/>
    <w:rsid w:val="006C2133"/>
    <w:rsid w:val="006C4137"/>
    <w:rsid w:val="006E5B01"/>
    <w:rsid w:val="007273AC"/>
    <w:rsid w:val="0075103F"/>
    <w:rsid w:val="007C156B"/>
    <w:rsid w:val="007C19E6"/>
    <w:rsid w:val="00836EC1"/>
    <w:rsid w:val="00845E0A"/>
    <w:rsid w:val="00853BAF"/>
    <w:rsid w:val="00854A0F"/>
    <w:rsid w:val="008608CB"/>
    <w:rsid w:val="0086522F"/>
    <w:rsid w:val="00877326"/>
    <w:rsid w:val="00884F65"/>
    <w:rsid w:val="00885FA3"/>
    <w:rsid w:val="008910D8"/>
    <w:rsid w:val="008928EB"/>
    <w:rsid w:val="008B01D7"/>
    <w:rsid w:val="008B50AD"/>
    <w:rsid w:val="008D28B2"/>
    <w:rsid w:val="008D3E15"/>
    <w:rsid w:val="008E145A"/>
    <w:rsid w:val="008E2EB0"/>
    <w:rsid w:val="008E386C"/>
    <w:rsid w:val="009176A9"/>
    <w:rsid w:val="00927F07"/>
    <w:rsid w:val="00954414"/>
    <w:rsid w:val="00975182"/>
    <w:rsid w:val="009A1A9E"/>
    <w:rsid w:val="009B681A"/>
    <w:rsid w:val="009C51DC"/>
    <w:rsid w:val="009E2157"/>
    <w:rsid w:val="009E7B4A"/>
    <w:rsid w:val="009F46DB"/>
    <w:rsid w:val="00A14CE9"/>
    <w:rsid w:val="00A4000C"/>
    <w:rsid w:val="00A40CBE"/>
    <w:rsid w:val="00A4227C"/>
    <w:rsid w:val="00A54183"/>
    <w:rsid w:val="00A60075"/>
    <w:rsid w:val="00A83B76"/>
    <w:rsid w:val="00A904DD"/>
    <w:rsid w:val="00A90B3B"/>
    <w:rsid w:val="00AC1070"/>
    <w:rsid w:val="00AE232C"/>
    <w:rsid w:val="00AE69C8"/>
    <w:rsid w:val="00B03651"/>
    <w:rsid w:val="00B204EE"/>
    <w:rsid w:val="00B51101"/>
    <w:rsid w:val="00B54CE4"/>
    <w:rsid w:val="00B647DF"/>
    <w:rsid w:val="00B84B4B"/>
    <w:rsid w:val="00B93F8A"/>
    <w:rsid w:val="00BC0163"/>
    <w:rsid w:val="00BC5637"/>
    <w:rsid w:val="00BD0B3C"/>
    <w:rsid w:val="00BD1294"/>
    <w:rsid w:val="00BE3935"/>
    <w:rsid w:val="00BF6FA8"/>
    <w:rsid w:val="00C17471"/>
    <w:rsid w:val="00C2767C"/>
    <w:rsid w:val="00C35801"/>
    <w:rsid w:val="00C41742"/>
    <w:rsid w:val="00C42696"/>
    <w:rsid w:val="00C44542"/>
    <w:rsid w:val="00C951A2"/>
    <w:rsid w:val="00CA370E"/>
    <w:rsid w:val="00CA4635"/>
    <w:rsid w:val="00CC2A51"/>
    <w:rsid w:val="00D13B5B"/>
    <w:rsid w:val="00D210C1"/>
    <w:rsid w:val="00D23AF2"/>
    <w:rsid w:val="00D27190"/>
    <w:rsid w:val="00D338F1"/>
    <w:rsid w:val="00D35DE8"/>
    <w:rsid w:val="00D401B9"/>
    <w:rsid w:val="00D40FF4"/>
    <w:rsid w:val="00D4707F"/>
    <w:rsid w:val="00D66913"/>
    <w:rsid w:val="00D87C6E"/>
    <w:rsid w:val="00DB3429"/>
    <w:rsid w:val="00DC3357"/>
    <w:rsid w:val="00DC4574"/>
    <w:rsid w:val="00DE04A5"/>
    <w:rsid w:val="00E009A9"/>
    <w:rsid w:val="00E02A1C"/>
    <w:rsid w:val="00E217BF"/>
    <w:rsid w:val="00E3623C"/>
    <w:rsid w:val="00E66941"/>
    <w:rsid w:val="00E74197"/>
    <w:rsid w:val="00EA0A79"/>
    <w:rsid w:val="00EA6FE3"/>
    <w:rsid w:val="00EB0B35"/>
    <w:rsid w:val="00EC6265"/>
    <w:rsid w:val="00EC6BB9"/>
    <w:rsid w:val="00F321C2"/>
    <w:rsid w:val="00F53530"/>
    <w:rsid w:val="00F66340"/>
    <w:rsid w:val="00F8413C"/>
    <w:rsid w:val="00F97BF1"/>
    <w:rsid w:val="00FA5F5E"/>
    <w:rsid w:val="00FB0F27"/>
    <w:rsid w:val="00FD0E3F"/>
    <w:rsid w:val="00FD3047"/>
    <w:rsid w:val="00FF1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779"/>
  <w15:docId w15:val="{C5F61658-B8A4-4FE3-93AB-0D697C05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5B"/>
    <w:rPr>
      <w:rFonts w:ascii="Calibri" w:eastAsia="Calibri" w:hAnsi="Calibri" w:cs="Times New Roman"/>
    </w:rPr>
  </w:style>
  <w:style w:type="paragraph" w:styleId="Titre1">
    <w:name w:val="heading 1"/>
    <w:basedOn w:val="Normal"/>
    <w:next w:val="Normal"/>
    <w:link w:val="Titre1Car"/>
    <w:qFormat/>
    <w:rsid w:val="002B6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1C0D5B"/>
    <w:pPr>
      <w:keepNext/>
      <w:suppressAutoHyphens/>
      <w:spacing w:before="240" w:after="60" w:line="240" w:lineRule="auto"/>
      <w:jc w:val="both"/>
      <w:outlineLvl w:val="2"/>
    </w:pPr>
    <w:rPr>
      <w:rFonts w:ascii="Cambria" w:eastAsia="Times New Roman" w:hAnsi="Cambria"/>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Liste couleur - Accent 11,List Paragraph,L_4,References,Paragraphe de liste1,List Paragraph1,normal,Premier,Normal11,Normal2,Normal3,Normal4,Normal5,Normal6,Normal7,Normal8,Normal9,Normal10,Normal111,Normal12,Normal13,Normal14"/>
    <w:basedOn w:val="Normal"/>
    <w:link w:val="ParagraphedelisteCar"/>
    <w:uiPriority w:val="34"/>
    <w:qFormat/>
    <w:rsid w:val="00D13B5B"/>
    <w:pPr>
      <w:spacing w:after="0" w:line="240" w:lineRule="auto"/>
      <w:ind w:left="720"/>
    </w:pPr>
    <w:rPr>
      <w:rFonts w:ascii="Times New Roman" w:eastAsia="Times New Roman" w:hAnsi="Times New Roman"/>
      <w:sz w:val="24"/>
      <w:szCs w:val="24"/>
      <w:lang w:eastAsia="fr-FR"/>
    </w:rPr>
  </w:style>
  <w:style w:type="character" w:customStyle="1" w:styleId="ParagraphedelisteCar">
    <w:name w:val="Paragraphe de liste Car"/>
    <w:aliases w:val="texte Car,Liste couleur - Accent 11 Car,List Paragraph Car,L_4 Car,References Car,Paragraphe de liste1 Car,List Paragraph1 Car,normal Car,Premier Car,Normal11 Car,Normal2 Car,Normal3 Car,Normal4 Car,Normal5 Car,Normal6 Car"/>
    <w:basedOn w:val="Policepardfaut"/>
    <w:link w:val="Paragraphedeliste"/>
    <w:uiPriority w:val="34"/>
    <w:rsid w:val="00D13B5B"/>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33486C"/>
    <w:pPr>
      <w:spacing w:after="120" w:line="480" w:lineRule="auto"/>
    </w:pPr>
  </w:style>
  <w:style w:type="character" w:customStyle="1" w:styleId="Corpsdetexte2Car">
    <w:name w:val="Corps de texte 2 Car"/>
    <w:basedOn w:val="Policepardfaut"/>
    <w:link w:val="Corpsdetexte2"/>
    <w:rsid w:val="0033486C"/>
    <w:rPr>
      <w:rFonts w:ascii="Calibri" w:eastAsia="Calibri" w:hAnsi="Calibri" w:cs="Times New Roman"/>
    </w:rPr>
  </w:style>
  <w:style w:type="character" w:customStyle="1" w:styleId="Titre3Car">
    <w:name w:val="Titre 3 Car"/>
    <w:basedOn w:val="Policepardfaut"/>
    <w:link w:val="Titre3"/>
    <w:rsid w:val="001C0D5B"/>
    <w:rPr>
      <w:rFonts w:ascii="Cambria" w:eastAsia="Times New Roman" w:hAnsi="Cambria" w:cs="Times New Roman"/>
      <w:b/>
      <w:bCs/>
      <w:sz w:val="26"/>
      <w:szCs w:val="26"/>
      <w:lang w:eastAsia="ar-SA"/>
    </w:rPr>
  </w:style>
  <w:style w:type="paragraph" w:styleId="NormalWeb">
    <w:name w:val="Normal (Web)"/>
    <w:basedOn w:val="Normal"/>
    <w:uiPriority w:val="99"/>
    <w:rsid w:val="00A83B7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rsid w:val="002B6C34"/>
    <w:rPr>
      <w:rFonts w:asciiTheme="majorHAnsi" w:eastAsiaTheme="majorEastAsia" w:hAnsiTheme="majorHAnsi" w:cstheme="majorBidi"/>
      <w:color w:val="365F91" w:themeColor="accent1" w:themeShade="BF"/>
      <w:sz w:val="32"/>
      <w:szCs w:val="32"/>
    </w:rPr>
  </w:style>
  <w:style w:type="character" w:styleId="lev">
    <w:name w:val="Strong"/>
    <w:uiPriority w:val="22"/>
    <w:qFormat/>
    <w:rsid w:val="002B6C34"/>
    <w:rPr>
      <w:b/>
      <w:bCs/>
    </w:rPr>
  </w:style>
  <w:style w:type="paragraph" w:styleId="Notedebasdepage">
    <w:name w:val="footnote text"/>
    <w:aliases w:val="fn,ADB,single space,footnote text Char,fn Char,ADB Char,single space Char Char,Fußnotentextf,FOOTNOTES,Geneva 9,Font: Geneva 9,Boston 10,f,Footnote Text 1,Footnote Text Char Char Char,Char,ALTS FOOTNO,ft,Fußnote,Fu?notentextf"/>
    <w:basedOn w:val="Normal"/>
    <w:link w:val="NotedebasdepageCar"/>
    <w:uiPriority w:val="99"/>
    <w:unhideWhenUsed/>
    <w:rsid w:val="002B6C34"/>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aliases w:val="fn Car,ADB Car,single space Car,footnote text Char Car,fn Char Car,ADB Char Car,single space Char Char Car,Fußnotentextf Car,FOOTNOTES Car,Geneva 9 Car,Font: Geneva 9 Car,Boston 10 Car,f Car,Footnote Text 1 Car,Char Car,ft Car"/>
    <w:basedOn w:val="Policepardfaut"/>
    <w:link w:val="Notedebasdepage"/>
    <w:uiPriority w:val="99"/>
    <w:rsid w:val="002B6C34"/>
    <w:rPr>
      <w:sz w:val="20"/>
      <w:szCs w:val="20"/>
    </w:rPr>
  </w:style>
  <w:style w:type="character" w:styleId="Appelnotedebasdep">
    <w:name w:val="footnote reference"/>
    <w:aliases w:val="16 Point,Superscript 6 Point,ftref, BVI fnr,BVI fnr,Знак сноски 1,Normal + Font:9 Point,Superscript 3 Point Times,footnote ref,Superscript 6 Point + 11 pt,Carattere Char1,Carattere Char Char Carattere Carattere Char Char,fr"/>
    <w:basedOn w:val="Policepardfaut"/>
    <w:link w:val="BVIfnrCharCharChar"/>
    <w:uiPriority w:val="99"/>
    <w:unhideWhenUsed/>
    <w:rsid w:val="002B6C34"/>
    <w:rPr>
      <w:vertAlign w:val="superscript"/>
    </w:rPr>
  </w:style>
  <w:style w:type="paragraph" w:customStyle="1" w:styleId="BVIfnrCharCharChar">
    <w:name w:val="BVI fnr Char Char Char"/>
    <w:aliases w:val="ftref Char Char Char,16 Point Char Char Char,Superscript 6 Point Char Char Char"/>
    <w:basedOn w:val="Normal"/>
    <w:link w:val="Appelnotedebasdep"/>
    <w:uiPriority w:val="99"/>
    <w:rsid w:val="002B6C34"/>
    <w:pPr>
      <w:spacing w:before="120" w:after="160" w:line="240" w:lineRule="exact"/>
      <w:jc w:val="both"/>
    </w:pPr>
    <w:rPr>
      <w:rFonts w:asciiTheme="minorHAnsi" w:eastAsiaTheme="minorHAnsi" w:hAnsiTheme="minorHAnsi" w:cstheme="minorBidi"/>
      <w:vertAlign w:val="superscript"/>
    </w:rPr>
  </w:style>
  <w:style w:type="paragraph" w:styleId="Commentaire">
    <w:name w:val="annotation text"/>
    <w:basedOn w:val="Normal"/>
    <w:link w:val="CommentaireCar"/>
    <w:uiPriority w:val="99"/>
    <w:unhideWhenUsed/>
    <w:rsid w:val="002B6C34"/>
    <w:pPr>
      <w:widowControl w:val="0"/>
      <w:autoSpaceDE w:val="0"/>
      <w:autoSpaceDN w:val="0"/>
      <w:spacing w:after="0" w:line="240" w:lineRule="auto"/>
    </w:pPr>
    <w:rPr>
      <w:rFonts w:ascii="Arial" w:eastAsia="Arial" w:hAnsi="Arial" w:cs="Arial"/>
      <w:sz w:val="20"/>
      <w:szCs w:val="20"/>
      <w:lang w:val="en-US"/>
    </w:rPr>
  </w:style>
  <w:style w:type="character" w:customStyle="1" w:styleId="CommentaireCar">
    <w:name w:val="Commentaire Car"/>
    <w:basedOn w:val="Policepardfaut"/>
    <w:link w:val="Commentaire"/>
    <w:uiPriority w:val="99"/>
    <w:rsid w:val="002B6C34"/>
    <w:rPr>
      <w:rFonts w:ascii="Arial" w:eastAsia="Arial" w:hAnsi="Arial" w:cs="Arial"/>
      <w:sz w:val="20"/>
      <w:szCs w:val="20"/>
      <w:lang w:val="en-US"/>
    </w:rPr>
  </w:style>
  <w:style w:type="character" w:styleId="Accentuation">
    <w:name w:val="Emphasis"/>
    <w:basedOn w:val="Policepardfaut"/>
    <w:uiPriority w:val="20"/>
    <w:qFormat/>
    <w:rsid w:val="002B6C34"/>
    <w:rPr>
      <w:i/>
      <w:iCs/>
    </w:rPr>
  </w:style>
  <w:style w:type="paragraph" w:styleId="Corpsdetexte">
    <w:name w:val="Body Text"/>
    <w:basedOn w:val="Normal"/>
    <w:link w:val="CorpsdetexteCar"/>
    <w:uiPriority w:val="99"/>
    <w:unhideWhenUsed/>
    <w:rsid w:val="002E29CB"/>
    <w:pPr>
      <w:spacing w:after="120"/>
    </w:pPr>
  </w:style>
  <w:style w:type="character" w:customStyle="1" w:styleId="CorpsdetexteCar">
    <w:name w:val="Corps de texte Car"/>
    <w:basedOn w:val="Policepardfaut"/>
    <w:link w:val="Corpsdetexte"/>
    <w:uiPriority w:val="99"/>
    <w:rsid w:val="002E29CB"/>
    <w:rPr>
      <w:rFonts w:ascii="Calibri" w:eastAsia="Calibri" w:hAnsi="Calibri" w:cs="Times New Roman"/>
    </w:rPr>
  </w:style>
  <w:style w:type="character" w:styleId="Marquedecommentaire">
    <w:name w:val="annotation reference"/>
    <w:basedOn w:val="Policepardfaut"/>
    <w:uiPriority w:val="99"/>
    <w:semiHidden/>
    <w:unhideWhenUsed/>
    <w:rsid w:val="002E29CB"/>
    <w:rPr>
      <w:sz w:val="16"/>
      <w:szCs w:val="16"/>
    </w:rPr>
  </w:style>
  <w:style w:type="paragraph" w:customStyle="1" w:styleId="TableParagraph">
    <w:name w:val="Table Paragraph"/>
    <w:basedOn w:val="Normal"/>
    <w:uiPriority w:val="1"/>
    <w:qFormat/>
    <w:rsid w:val="002E29CB"/>
    <w:pPr>
      <w:widowControl w:val="0"/>
      <w:autoSpaceDE w:val="0"/>
      <w:autoSpaceDN w:val="0"/>
      <w:spacing w:after="0" w:line="240" w:lineRule="auto"/>
      <w:ind w:left="107"/>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9921">
      <w:bodyDiv w:val="1"/>
      <w:marLeft w:val="0"/>
      <w:marRight w:val="0"/>
      <w:marTop w:val="0"/>
      <w:marBottom w:val="0"/>
      <w:divBdr>
        <w:top w:val="none" w:sz="0" w:space="0" w:color="auto"/>
        <w:left w:val="none" w:sz="0" w:space="0" w:color="auto"/>
        <w:bottom w:val="none" w:sz="0" w:space="0" w:color="auto"/>
        <w:right w:val="none" w:sz="0" w:space="0" w:color="auto"/>
      </w:divBdr>
    </w:div>
    <w:div w:id="172382325">
      <w:bodyDiv w:val="1"/>
      <w:marLeft w:val="0"/>
      <w:marRight w:val="0"/>
      <w:marTop w:val="0"/>
      <w:marBottom w:val="0"/>
      <w:divBdr>
        <w:top w:val="none" w:sz="0" w:space="0" w:color="auto"/>
        <w:left w:val="none" w:sz="0" w:space="0" w:color="auto"/>
        <w:bottom w:val="none" w:sz="0" w:space="0" w:color="auto"/>
        <w:right w:val="none" w:sz="0" w:space="0" w:color="auto"/>
      </w:divBdr>
    </w:div>
    <w:div w:id="2561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929B-7301-4E5D-A1E3-2AAD8386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686</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SNU</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ousmane.sedogo</dc:creator>
  <cp:lastModifiedBy>Salifou Zoungrana</cp:lastModifiedBy>
  <cp:revision>3</cp:revision>
  <dcterms:created xsi:type="dcterms:W3CDTF">2021-07-30T06:39:00Z</dcterms:created>
  <dcterms:modified xsi:type="dcterms:W3CDTF">2021-08-09T01:57:00Z</dcterms:modified>
</cp:coreProperties>
</file>