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3726" w14:textId="77777777" w:rsidR="00441924" w:rsidRDefault="00441924"/>
    <w:p w14:paraId="39F57423" w14:textId="77777777" w:rsidR="00E210CC" w:rsidRPr="00C4626B" w:rsidRDefault="00E210CC" w:rsidP="00E210CC">
      <w:pPr>
        <w:pStyle w:val="HCh"/>
      </w:pPr>
      <w:r w:rsidRPr="00C4626B">
        <w:t>Annex</w:t>
      </w:r>
    </w:p>
    <w:p w14:paraId="1875398F" w14:textId="24DBA41B" w:rsidR="00E210CC" w:rsidRPr="00C4626B" w:rsidRDefault="00E210CC" w:rsidP="00E210CC">
      <w:pPr>
        <w:pStyle w:val="HCh"/>
      </w:pPr>
      <w:r w:rsidRPr="00C4626B">
        <w:t>Key recommendations and management response</w:t>
      </w:r>
      <w:r w:rsidR="007F1076">
        <w:t xml:space="preserve"> – FASNETT MTR</w:t>
      </w:r>
    </w:p>
    <w:p w14:paraId="642DEA6E" w14:textId="77777777" w:rsidR="00E210CC" w:rsidRDefault="00E210CC" w:rsidP="00E210CC">
      <w:pPr>
        <w:tabs>
          <w:tab w:val="left" w:pos="1080"/>
        </w:tabs>
        <w:rPr>
          <w:sz w:val="20"/>
          <w:szCs w:val="20"/>
        </w:rPr>
      </w:pPr>
    </w:p>
    <w:p w14:paraId="508762BD" w14:textId="77777777" w:rsidR="00E210CC" w:rsidRPr="00C4626B" w:rsidRDefault="00E210CC" w:rsidP="00E210CC">
      <w:pPr>
        <w:tabs>
          <w:tab w:val="left" w:pos="1080"/>
        </w:tabs>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03"/>
        <w:gridCol w:w="2908"/>
        <w:gridCol w:w="2605"/>
        <w:gridCol w:w="1522"/>
        <w:gridCol w:w="1159"/>
      </w:tblGrid>
      <w:tr w:rsidR="00E210CC" w:rsidRPr="00C5739B" w14:paraId="630639DE" w14:textId="77777777" w:rsidTr="00441924">
        <w:tc>
          <w:tcPr>
            <w:tcW w:w="12327" w:type="dxa"/>
            <w:gridSpan w:val="5"/>
            <w:shd w:val="clear" w:color="auto" w:fill="F3F3F3"/>
          </w:tcPr>
          <w:p w14:paraId="74E3D243" w14:textId="77777777" w:rsidR="00E210CC" w:rsidRPr="00C5739B" w:rsidRDefault="00E210CC" w:rsidP="00441924">
            <w:pPr>
              <w:tabs>
                <w:tab w:val="left" w:pos="1080"/>
              </w:tabs>
              <w:rPr>
                <w:sz w:val="20"/>
                <w:szCs w:val="20"/>
              </w:rPr>
            </w:pPr>
            <w:r w:rsidRPr="00C5739B">
              <w:rPr>
                <w:b/>
                <w:sz w:val="20"/>
                <w:szCs w:val="20"/>
              </w:rPr>
              <w:t xml:space="preserve">Evaluation recommendation 1. </w:t>
            </w:r>
            <w:r w:rsidRPr="00E210CC">
              <w:rPr>
                <w:b/>
                <w:i/>
                <w:sz w:val="20"/>
                <w:szCs w:val="20"/>
              </w:rPr>
              <w:t xml:space="preserve">Terminate the National Implemented Modality (NIM) </w:t>
            </w:r>
            <w:r w:rsidRPr="00E210CC">
              <w:rPr>
                <w:b/>
                <w:sz w:val="20"/>
                <w:szCs w:val="20"/>
              </w:rPr>
              <w:t xml:space="preserve">– </w:t>
            </w:r>
            <w:r w:rsidRPr="00E210CC">
              <w:rPr>
                <w:sz w:val="20"/>
                <w:szCs w:val="20"/>
              </w:rPr>
              <w:t>The project’s limited results have shown that Tuvalu does not have the required capacity to carry out this type of project within the expected implementation period. UNDP and the Government should therefore have a dialogue about the recommended termination of the NIM. This should however not reduce the GoT participation in the project, since both UNDP and GoT should have the interest of a strong national participation.</w:t>
            </w:r>
          </w:p>
        </w:tc>
      </w:tr>
      <w:tr w:rsidR="00E210CC" w:rsidRPr="00C5739B" w14:paraId="33042BCE" w14:textId="77777777" w:rsidTr="00441924">
        <w:tc>
          <w:tcPr>
            <w:tcW w:w="12327" w:type="dxa"/>
            <w:gridSpan w:val="5"/>
            <w:shd w:val="clear" w:color="auto" w:fill="F3F3F3"/>
          </w:tcPr>
          <w:p w14:paraId="00E6D849" w14:textId="54079059" w:rsidR="00E210CC" w:rsidRPr="001E137E" w:rsidRDefault="00E210CC" w:rsidP="00335E2B">
            <w:pPr>
              <w:tabs>
                <w:tab w:val="left" w:pos="1080"/>
              </w:tabs>
              <w:jc w:val="both"/>
              <w:rPr>
                <w:sz w:val="20"/>
                <w:szCs w:val="20"/>
                <w:lang w:val="en-GB"/>
              </w:rPr>
            </w:pPr>
            <w:r w:rsidRPr="00C5739B">
              <w:rPr>
                <w:b/>
                <w:sz w:val="20"/>
                <w:szCs w:val="20"/>
              </w:rPr>
              <w:t xml:space="preserve">Management response: </w:t>
            </w:r>
            <w:r w:rsidR="00DC60B2" w:rsidRPr="00DC60B2">
              <w:rPr>
                <w:b/>
                <w:i/>
                <w:sz w:val="20"/>
                <w:szCs w:val="20"/>
              </w:rPr>
              <w:t>Disagree.</w:t>
            </w:r>
            <w:r w:rsidR="00DC60B2">
              <w:rPr>
                <w:b/>
                <w:sz w:val="20"/>
                <w:szCs w:val="20"/>
              </w:rPr>
              <w:t xml:space="preserve"> </w:t>
            </w:r>
            <w:r w:rsidR="001E137E" w:rsidRPr="006E67C8">
              <w:rPr>
                <w:sz w:val="20"/>
                <w:szCs w:val="20"/>
                <w:lang w:val="en-GB"/>
              </w:rPr>
              <w:t>The change fr</w:t>
            </w:r>
            <w:r w:rsidR="001E137E">
              <w:rPr>
                <w:sz w:val="20"/>
                <w:szCs w:val="20"/>
                <w:lang w:val="en-GB"/>
              </w:rPr>
              <w:t>om</w:t>
            </w:r>
            <w:r w:rsidR="001E137E" w:rsidRPr="006E67C8">
              <w:rPr>
                <w:sz w:val="20"/>
                <w:szCs w:val="20"/>
                <w:lang w:val="en-GB"/>
              </w:rPr>
              <w:t xml:space="preserve"> </w:t>
            </w:r>
            <w:r w:rsidR="001E137E">
              <w:rPr>
                <w:sz w:val="20"/>
                <w:szCs w:val="20"/>
                <w:lang w:val="en-GB"/>
              </w:rPr>
              <w:t xml:space="preserve">the current </w:t>
            </w:r>
            <w:r w:rsidR="001E137E" w:rsidRPr="006E67C8">
              <w:rPr>
                <w:sz w:val="20"/>
                <w:szCs w:val="20"/>
                <w:lang w:val="en-GB"/>
              </w:rPr>
              <w:t xml:space="preserve">NIM </w:t>
            </w:r>
            <w:r w:rsidR="001E137E">
              <w:rPr>
                <w:sz w:val="20"/>
                <w:szCs w:val="20"/>
                <w:lang w:val="en-GB"/>
              </w:rPr>
              <w:t xml:space="preserve">arrangement </w:t>
            </w:r>
            <w:r w:rsidR="001E137E" w:rsidRPr="006E67C8">
              <w:rPr>
                <w:sz w:val="20"/>
                <w:szCs w:val="20"/>
                <w:lang w:val="en-GB"/>
              </w:rPr>
              <w:t xml:space="preserve">to DIM (Direct Implementation Modality) </w:t>
            </w:r>
            <w:r w:rsidR="001E137E">
              <w:rPr>
                <w:sz w:val="20"/>
                <w:szCs w:val="20"/>
                <w:lang w:val="en-GB"/>
              </w:rPr>
              <w:t>will be</w:t>
            </w:r>
            <w:r w:rsidR="001E137E" w:rsidRPr="006E67C8">
              <w:rPr>
                <w:sz w:val="20"/>
                <w:szCs w:val="20"/>
                <w:lang w:val="en-GB"/>
              </w:rPr>
              <w:t xml:space="preserve"> a complicated process</w:t>
            </w:r>
            <w:r w:rsidR="001E137E">
              <w:rPr>
                <w:sz w:val="20"/>
                <w:szCs w:val="20"/>
                <w:lang w:val="en-GB"/>
              </w:rPr>
              <w:t>. It</w:t>
            </w:r>
            <w:r w:rsidR="001E137E" w:rsidRPr="006E67C8">
              <w:rPr>
                <w:sz w:val="20"/>
                <w:szCs w:val="20"/>
                <w:lang w:val="en-GB"/>
              </w:rPr>
              <w:t xml:space="preserve"> </w:t>
            </w:r>
            <w:r w:rsidR="001E137E">
              <w:rPr>
                <w:sz w:val="20"/>
                <w:szCs w:val="20"/>
                <w:lang w:val="en-GB"/>
              </w:rPr>
              <w:t xml:space="preserve">will </w:t>
            </w:r>
            <w:r w:rsidR="001E137E" w:rsidRPr="006E67C8">
              <w:rPr>
                <w:sz w:val="20"/>
                <w:szCs w:val="20"/>
                <w:lang w:val="en-GB"/>
              </w:rPr>
              <w:t>need additional requirements and will further delay the FASNETT implementation.</w:t>
            </w:r>
            <w:r w:rsidR="001E137E">
              <w:rPr>
                <w:b/>
                <w:sz w:val="20"/>
                <w:szCs w:val="20"/>
                <w:lang w:val="en-GB"/>
              </w:rPr>
              <w:t xml:space="preserve"> </w:t>
            </w:r>
            <w:r w:rsidR="00335E2B" w:rsidRPr="00335E2B">
              <w:rPr>
                <w:sz w:val="20"/>
                <w:szCs w:val="20"/>
                <w:lang w:val="en-GB"/>
              </w:rPr>
              <w:t xml:space="preserve">During the PPG stage (ref: ProDoc), the decision in the NIM arrangement was for the TEC to be the Responsible Party, which will </w:t>
            </w:r>
            <w:r w:rsidR="00335E2B" w:rsidRPr="00335E2B">
              <w:rPr>
                <w:iCs/>
                <w:sz w:val="20"/>
                <w:szCs w:val="20"/>
                <w:lang w:val="en-GB"/>
              </w:rPr>
              <w:t>“act on behalf of and as designated by the IP</w:t>
            </w:r>
            <w:r w:rsidR="00406E7C">
              <w:rPr>
                <w:iCs/>
                <w:sz w:val="20"/>
                <w:szCs w:val="20"/>
                <w:lang w:val="en-GB"/>
              </w:rPr>
              <w:t>”</w:t>
            </w:r>
            <w:r w:rsidR="00335E2B" w:rsidRPr="00335E2B">
              <w:rPr>
                <w:iCs/>
                <w:sz w:val="20"/>
                <w:szCs w:val="20"/>
                <w:lang w:val="en-GB"/>
              </w:rPr>
              <w:t xml:space="preserve"> (MTET/DOE). This </w:t>
            </w:r>
            <w:r w:rsidR="00970B7D">
              <w:rPr>
                <w:iCs/>
                <w:sz w:val="20"/>
                <w:szCs w:val="20"/>
                <w:lang w:val="en-GB"/>
              </w:rPr>
              <w:t xml:space="preserve">arrangement </w:t>
            </w:r>
            <w:proofErr w:type="gramStart"/>
            <w:r w:rsidR="00970B7D">
              <w:rPr>
                <w:iCs/>
                <w:sz w:val="20"/>
                <w:szCs w:val="20"/>
                <w:lang w:val="en-GB"/>
              </w:rPr>
              <w:t>took into account</w:t>
            </w:r>
            <w:proofErr w:type="gramEnd"/>
            <w:r w:rsidR="00970B7D">
              <w:rPr>
                <w:iCs/>
                <w:sz w:val="20"/>
                <w:szCs w:val="20"/>
                <w:lang w:val="en-GB"/>
              </w:rPr>
              <w:t xml:space="preserve"> the organizational structure</w:t>
            </w:r>
            <w:r w:rsidR="00335E2B" w:rsidRPr="00335E2B">
              <w:rPr>
                <w:iCs/>
                <w:sz w:val="20"/>
                <w:szCs w:val="20"/>
                <w:lang w:val="en-GB"/>
              </w:rPr>
              <w:t xml:space="preserve"> of the MTET/DOE</w:t>
            </w:r>
            <w:r w:rsidR="00970B7D">
              <w:rPr>
                <w:iCs/>
                <w:sz w:val="20"/>
                <w:szCs w:val="20"/>
                <w:lang w:val="en-GB"/>
              </w:rPr>
              <w:t xml:space="preserve"> being the project owner and main </w:t>
            </w:r>
            <w:r w:rsidR="00494AFB">
              <w:rPr>
                <w:iCs/>
                <w:sz w:val="20"/>
                <w:szCs w:val="20"/>
                <w:lang w:val="en-GB"/>
              </w:rPr>
              <w:t xml:space="preserve">beneficiary of the project, </w:t>
            </w:r>
            <w:r w:rsidR="00751A14">
              <w:rPr>
                <w:iCs/>
                <w:sz w:val="20"/>
                <w:szCs w:val="20"/>
                <w:lang w:val="en-GB"/>
              </w:rPr>
              <w:t>o</w:t>
            </w:r>
            <w:r w:rsidR="00970B7D">
              <w:rPr>
                <w:iCs/>
                <w:sz w:val="20"/>
                <w:szCs w:val="20"/>
                <w:lang w:val="en-GB"/>
              </w:rPr>
              <w:t>n behalf of the Government of Tuvalu</w:t>
            </w:r>
            <w:r w:rsidR="00494AFB">
              <w:rPr>
                <w:iCs/>
                <w:sz w:val="20"/>
                <w:szCs w:val="20"/>
                <w:lang w:val="en-GB"/>
              </w:rPr>
              <w:t>.</w:t>
            </w:r>
            <w:r w:rsidR="00970B7D">
              <w:rPr>
                <w:iCs/>
                <w:sz w:val="20"/>
                <w:szCs w:val="20"/>
                <w:lang w:val="en-GB"/>
              </w:rPr>
              <w:t xml:space="preserve"> </w:t>
            </w:r>
            <w:r w:rsidR="00494AFB">
              <w:rPr>
                <w:iCs/>
                <w:sz w:val="20"/>
                <w:szCs w:val="20"/>
                <w:lang w:val="en-GB"/>
              </w:rPr>
              <w:t>The MTET/DOE</w:t>
            </w:r>
            <w:r w:rsidR="00335E2B" w:rsidRPr="00335E2B">
              <w:rPr>
                <w:iCs/>
                <w:sz w:val="20"/>
                <w:szCs w:val="20"/>
                <w:lang w:val="en-GB"/>
              </w:rPr>
              <w:t xml:space="preserve"> retain</w:t>
            </w:r>
            <w:r w:rsidR="00970B7D">
              <w:rPr>
                <w:iCs/>
                <w:sz w:val="20"/>
                <w:szCs w:val="20"/>
                <w:lang w:val="en-GB"/>
              </w:rPr>
              <w:t>s</w:t>
            </w:r>
            <w:r w:rsidR="00335E2B" w:rsidRPr="00335E2B">
              <w:rPr>
                <w:iCs/>
                <w:sz w:val="20"/>
                <w:szCs w:val="20"/>
                <w:lang w:val="en-GB"/>
              </w:rPr>
              <w:t xml:space="preserve"> its oversight and policy umbrella role over TEC.</w:t>
            </w:r>
            <w:r w:rsidR="00335E2B">
              <w:rPr>
                <w:iCs/>
                <w:sz w:val="20"/>
                <w:szCs w:val="20"/>
                <w:lang w:val="en-GB"/>
              </w:rPr>
              <w:t xml:space="preserve"> </w:t>
            </w:r>
            <w:r w:rsidR="00DC4F09">
              <w:rPr>
                <w:sz w:val="20"/>
                <w:szCs w:val="20"/>
                <w:lang w:val="en-GB"/>
              </w:rPr>
              <w:t xml:space="preserve"> </w:t>
            </w:r>
            <w:r w:rsidR="00BA4DB9">
              <w:rPr>
                <w:sz w:val="20"/>
                <w:szCs w:val="20"/>
                <w:lang w:val="en-GB"/>
              </w:rPr>
              <w:t xml:space="preserve">A dialogue among </w:t>
            </w:r>
            <w:r w:rsidR="00BA4DB9">
              <w:rPr>
                <w:sz w:val="20"/>
                <w:szCs w:val="20"/>
              </w:rPr>
              <w:t xml:space="preserve">MTET/DOE, UNDP, </w:t>
            </w:r>
            <w:proofErr w:type="gramStart"/>
            <w:r w:rsidR="00BA4DB9">
              <w:rPr>
                <w:sz w:val="20"/>
                <w:szCs w:val="20"/>
              </w:rPr>
              <w:t>TEC</w:t>
            </w:r>
            <w:proofErr w:type="gramEnd"/>
            <w:r w:rsidR="00BA4DB9">
              <w:rPr>
                <w:sz w:val="20"/>
                <w:szCs w:val="20"/>
              </w:rPr>
              <w:t xml:space="preserve"> and PMU</w:t>
            </w:r>
            <w:r w:rsidR="00BA4DB9">
              <w:rPr>
                <w:sz w:val="20"/>
                <w:szCs w:val="20"/>
                <w:lang w:val="en-GB"/>
              </w:rPr>
              <w:t xml:space="preserve"> was necessary to clarify the Responsib</w:t>
            </w:r>
            <w:r w:rsidR="00751A14">
              <w:rPr>
                <w:sz w:val="20"/>
                <w:szCs w:val="20"/>
                <w:lang w:val="en-GB"/>
              </w:rPr>
              <w:t>le</w:t>
            </w:r>
            <w:r w:rsidR="00BA4DB9">
              <w:rPr>
                <w:sz w:val="20"/>
                <w:szCs w:val="20"/>
                <w:lang w:val="en-GB"/>
              </w:rPr>
              <w:t xml:space="preserve"> Party role of TEC and define the responsibilities </w:t>
            </w:r>
            <w:r w:rsidR="00494AFB">
              <w:rPr>
                <w:sz w:val="20"/>
                <w:szCs w:val="20"/>
                <w:lang w:val="en-GB"/>
              </w:rPr>
              <w:t xml:space="preserve">between DOE and TEC </w:t>
            </w:r>
            <w:r w:rsidR="00BA4DB9">
              <w:rPr>
                <w:sz w:val="20"/>
                <w:szCs w:val="20"/>
                <w:lang w:val="en-GB"/>
              </w:rPr>
              <w:t xml:space="preserve">that could be articulated in a Memorandum Order </w:t>
            </w:r>
            <w:r w:rsidR="00190C7A">
              <w:rPr>
                <w:sz w:val="20"/>
                <w:szCs w:val="20"/>
                <w:lang w:val="en-GB"/>
              </w:rPr>
              <w:t xml:space="preserve">(or whatever executive instrument) </w:t>
            </w:r>
            <w:r w:rsidR="00751A14">
              <w:rPr>
                <w:sz w:val="20"/>
                <w:szCs w:val="20"/>
                <w:lang w:val="en-GB"/>
              </w:rPr>
              <w:t xml:space="preserve">and define </w:t>
            </w:r>
            <w:r w:rsidR="00BA4DB9">
              <w:rPr>
                <w:sz w:val="20"/>
                <w:szCs w:val="20"/>
                <w:lang w:val="en-GB"/>
              </w:rPr>
              <w:t xml:space="preserve">the sharing of responsibilities between </w:t>
            </w:r>
            <w:r w:rsidR="00751A14">
              <w:rPr>
                <w:sz w:val="20"/>
                <w:szCs w:val="20"/>
                <w:lang w:val="en-GB"/>
              </w:rPr>
              <w:t>these 2 entities</w:t>
            </w:r>
            <w:r w:rsidR="00BA4DB9">
              <w:rPr>
                <w:sz w:val="20"/>
                <w:szCs w:val="20"/>
                <w:lang w:val="en-GB"/>
              </w:rPr>
              <w:t xml:space="preserve"> to be facilitated by </w:t>
            </w:r>
            <w:r w:rsidR="00751A14">
              <w:rPr>
                <w:sz w:val="20"/>
                <w:szCs w:val="20"/>
                <w:lang w:val="en-GB"/>
              </w:rPr>
              <w:t xml:space="preserve">the </w:t>
            </w:r>
            <w:r w:rsidR="00BA4DB9">
              <w:rPr>
                <w:sz w:val="20"/>
                <w:szCs w:val="20"/>
                <w:lang w:val="en-GB"/>
              </w:rPr>
              <w:t xml:space="preserve">PMU to fast track the </w:t>
            </w:r>
            <w:r w:rsidR="00751A14">
              <w:rPr>
                <w:sz w:val="20"/>
                <w:szCs w:val="20"/>
                <w:lang w:val="en-GB"/>
              </w:rPr>
              <w:t xml:space="preserve">project </w:t>
            </w:r>
            <w:r w:rsidR="00BA4DB9">
              <w:rPr>
                <w:sz w:val="20"/>
                <w:szCs w:val="20"/>
                <w:lang w:val="en-GB"/>
              </w:rPr>
              <w:t>implementation.</w:t>
            </w:r>
            <w:r w:rsidR="00970B7D">
              <w:rPr>
                <w:sz w:val="20"/>
                <w:szCs w:val="20"/>
                <w:lang w:val="en-GB"/>
              </w:rPr>
              <w:t xml:space="preserve"> </w:t>
            </w:r>
            <w:r w:rsidR="00494AFB">
              <w:rPr>
                <w:sz w:val="20"/>
                <w:szCs w:val="20"/>
                <w:lang w:val="en-GB"/>
              </w:rPr>
              <w:t>In the interest of maintaining a strong national participation, t</w:t>
            </w:r>
            <w:r w:rsidR="00335E2B" w:rsidRPr="00335E2B">
              <w:rPr>
                <w:sz w:val="20"/>
                <w:szCs w:val="20"/>
                <w:lang w:val="en-GB"/>
              </w:rPr>
              <w:t>he current direction of the MTET/DOE leadership</w:t>
            </w:r>
            <w:r w:rsidR="00970B7D">
              <w:rPr>
                <w:sz w:val="20"/>
                <w:szCs w:val="20"/>
                <w:lang w:val="en-GB"/>
              </w:rPr>
              <w:t>, therefore,</w:t>
            </w:r>
            <w:r w:rsidR="00335E2B" w:rsidRPr="00335E2B">
              <w:rPr>
                <w:sz w:val="20"/>
                <w:szCs w:val="20"/>
                <w:lang w:val="en-GB"/>
              </w:rPr>
              <w:t xml:space="preserve"> </w:t>
            </w:r>
            <w:r w:rsidR="00335E2B">
              <w:rPr>
                <w:sz w:val="20"/>
                <w:szCs w:val="20"/>
                <w:lang w:val="en-GB"/>
              </w:rPr>
              <w:t xml:space="preserve">is </w:t>
            </w:r>
            <w:r w:rsidR="00335E2B" w:rsidRPr="00335E2B">
              <w:rPr>
                <w:sz w:val="20"/>
                <w:szCs w:val="20"/>
                <w:lang w:val="en-GB"/>
              </w:rPr>
              <w:t xml:space="preserve">to </w:t>
            </w:r>
            <w:r w:rsidR="00970B7D">
              <w:rPr>
                <w:sz w:val="20"/>
                <w:szCs w:val="20"/>
                <w:lang w:val="en-GB"/>
              </w:rPr>
              <w:t>continue the NIM arrangement</w:t>
            </w:r>
            <w:r w:rsidR="00494AFB">
              <w:rPr>
                <w:sz w:val="20"/>
                <w:szCs w:val="20"/>
                <w:lang w:val="en-GB"/>
              </w:rPr>
              <w:t xml:space="preserve"> with the strengthening of the project management as discussed below</w:t>
            </w:r>
            <w:r w:rsidR="00970B7D">
              <w:rPr>
                <w:sz w:val="20"/>
                <w:szCs w:val="20"/>
                <w:lang w:val="en-GB"/>
              </w:rPr>
              <w:t xml:space="preserve">. </w:t>
            </w:r>
          </w:p>
        </w:tc>
      </w:tr>
      <w:tr w:rsidR="00E210CC" w:rsidRPr="00C5739B" w14:paraId="12732B85" w14:textId="77777777" w:rsidTr="00441924">
        <w:trPr>
          <w:trHeight w:val="135"/>
        </w:trPr>
        <w:tc>
          <w:tcPr>
            <w:tcW w:w="4403" w:type="dxa"/>
            <w:vMerge w:val="restart"/>
            <w:shd w:val="clear" w:color="auto" w:fill="F3F3F3"/>
          </w:tcPr>
          <w:p w14:paraId="42115C06"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08" w:type="dxa"/>
            <w:vMerge w:val="restart"/>
            <w:shd w:val="clear" w:color="auto" w:fill="F3F3F3"/>
          </w:tcPr>
          <w:p w14:paraId="2F041D85"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05" w:type="dxa"/>
            <w:vMerge w:val="restart"/>
            <w:shd w:val="clear" w:color="auto" w:fill="F3F3F3"/>
          </w:tcPr>
          <w:p w14:paraId="4BED567A"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11" w:type="dxa"/>
            <w:gridSpan w:val="2"/>
            <w:shd w:val="clear" w:color="auto" w:fill="F3F3F3"/>
          </w:tcPr>
          <w:p w14:paraId="6B1B5405"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3B704A3A" w14:textId="77777777" w:rsidTr="00441924">
        <w:trPr>
          <w:trHeight w:val="135"/>
        </w:trPr>
        <w:tc>
          <w:tcPr>
            <w:tcW w:w="4403" w:type="dxa"/>
            <w:vMerge/>
            <w:shd w:val="clear" w:color="auto" w:fill="F3F3F3"/>
          </w:tcPr>
          <w:p w14:paraId="67594FC7" w14:textId="77777777" w:rsidR="00E210CC" w:rsidRPr="00C5739B" w:rsidRDefault="00E210CC" w:rsidP="00441924">
            <w:pPr>
              <w:tabs>
                <w:tab w:val="left" w:pos="1080"/>
              </w:tabs>
              <w:rPr>
                <w:sz w:val="20"/>
                <w:szCs w:val="20"/>
              </w:rPr>
            </w:pPr>
          </w:p>
        </w:tc>
        <w:tc>
          <w:tcPr>
            <w:tcW w:w="2908" w:type="dxa"/>
            <w:vMerge/>
            <w:shd w:val="clear" w:color="auto" w:fill="F3F3F3"/>
          </w:tcPr>
          <w:p w14:paraId="6856638D" w14:textId="77777777" w:rsidR="00E210CC" w:rsidRPr="00C5739B" w:rsidRDefault="00E210CC" w:rsidP="00441924">
            <w:pPr>
              <w:tabs>
                <w:tab w:val="left" w:pos="1080"/>
              </w:tabs>
              <w:rPr>
                <w:b/>
                <w:sz w:val="20"/>
                <w:szCs w:val="20"/>
              </w:rPr>
            </w:pPr>
          </w:p>
        </w:tc>
        <w:tc>
          <w:tcPr>
            <w:tcW w:w="2605" w:type="dxa"/>
            <w:vMerge/>
            <w:shd w:val="clear" w:color="auto" w:fill="F3F3F3"/>
          </w:tcPr>
          <w:p w14:paraId="55360564" w14:textId="77777777" w:rsidR="00E210CC" w:rsidRPr="00C5739B" w:rsidRDefault="00E210CC" w:rsidP="00441924">
            <w:pPr>
              <w:tabs>
                <w:tab w:val="left" w:pos="1080"/>
              </w:tabs>
              <w:rPr>
                <w:b/>
                <w:sz w:val="20"/>
                <w:szCs w:val="20"/>
              </w:rPr>
            </w:pPr>
          </w:p>
        </w:tc>
        <w:tc>
          <w:tcPr>
            <w:tcW w:w="1252" w:type="dxa"/>
          </w:tcPr>
          <w:p w14:paraId="1479C01F"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59" w:type="dxa"/>
          </w:tcPr>
          <w:p w14:paraId="1DCC233B" w14:textId="77777777" w:rsidR="00E210CC" w:rsidRPr="00C5739B" w:rsidRDefault="00E210CC" w:rsidP="00441924">
            <w:pPr>
              <w:tabs>
                <w:tab w:val="left" w:pos="1080"/>
              </w:tabs>
              <w:jc w:val="center"/>
              <w:rPr>
                <w:b/>
                <w:sz w:val="20"/>
                <w:szCs w:val="20"/>
              </w:rPr>
            </w:pPr>
            <w:r w:rsidRPr="00C5739B">
              <w:rPr>
                <w:b/>
                <w:sz w:val="20"/>
                <w:szCs w:val="20"/>
              </w:rPr>
              <w:t>Status</w:t>
            </w:r>
          </w:p>
        </w:tc>
      </w:tr>
      <w:tr w:rsidR="00E210CC" w:rsidRPr="00C5739B" w14:paraId="65A98308" w14:textId="77777777" w:rsidTr="00441924">
        <w:tc>
          <w:tcPr>
            <w:tcW w:w="4403" w:type="dxa"/>
          </w:tcPr>
          <w:p w14:paraId="5DDC6AF6" w14:textId="6DBE6380" w:rsidR="00E210CC" w:rsidRPr="00C5739B" w:rsidRDefault="00E210CC" w:rsidP="00441924">
            <w:pPr>
              <w:tabs>
                <w:tab w:val="left" w:pos="1080"/>
              </w:tabs>
              <w:rPr>
                <w:sz w:val="20"/>
                <w:szCs w:val="20"/>
              </w:rPr>
            </w:pPr>
            <w:r w:rsidRPr="00C5739B">
              <w:rPr>
                <w:sz w:val="20"/>
                <w:szCs w:val="20"/>
              </w:rPr>
              <w:t xml:space="preserve">1.1 </w:t>
            </w:r>
            <w:r w:rsidR="00471B37">
              <w:rPr>
                <w:sz w:val="20"/>
                <w:szCs w:val="20"/>
              </w:rPr>
              <w:t xml:space="preserve">Dialogue among MTET/DOE, UNDP, </w:t>
            </w:r>
            <w:r w:rsidR="00D8502F">
              <w:rPr>
                <w:sz w:val="20"/>
                <w:szCs w:val="20"/>
              </w:rPr>
              <w:t>TEC,</w:t>
            </w:r>
            <w:r w:rsidR="00471B37">
              <w:rPr>
                <w:sz w:val="20"/>
                <w:szCs w:val="20"/>
              </w:rPr>
              <w:t xml:space="preserve"> and PMU </w:t>
            </w:r>
          </w:p>
        </w:tc>
        <w:tc>
          <w:tcPr>
            <w:tcW w:w="2908" w:type="dxa"/>
          </w:tcPr>
          <w:p w14:paraId="6C003BAD" w14:textId="77777777" w:rsidR="00E210CC" w:rsidRPr="00C5739B" w:rsidRDefault="00471B37" w:rsidP="00441924">
            <w:pPr>
              <w:tabs>
                <w:tab w:val="left" w:pos="1080"/>
              </w:tabs>
              <w:rPr>
                <w:sz w:val="20"/>
                <w:szCs w:val="20"/>
              </w:rPr>
            </w:pPr>
            <w:r>
              <w:rPr>
                <w:sz w:val="20"/>
                <w:szCs w:val="20"/>
              </w:rPr>
              <w:t>June 10, 2021</w:t>
            </w:r>
          </w:p>
        </w:tc>
        <w:tc>
          <w:tcPr>
            <w:tcW w:w="2605" w:type="dxa"/>
          </w:tcPr>
          <w:p w14:paraId="5FFE53A8" w14:textId="4E29E9F6" w:rsidR="00E210CC" w:rsidRPr="00C5739B" w:rsidRDefault="00471B37" w:rsidP="00441924">
            <w:pPr>
              <w:tabs>
                <w:tab w:val="left" w:pos="1080"/>
              </w:tabs>
              <w:rPr>
                <w:sz w:val="20"/>
                <w:szCs w:val="20"/>
              </w:rPr>
            </w:pPr>
            <w:r>
              <w:rPr>
                <w:sz w:val="20"/>
                <w:szCs w:val="20"/>
              </w:rPr>
              <w:t>MTET/DOE</w:t>
            </w:r>
            <w:r w:rsidR="00536AF6">
              <w:rPr>
                <w:sz w:val="20"/>
                <w:szCs w:val="20"/>
              </w:rPr>
              <w:t xml:space="preserve"> (Lead)</w:t>
            </w:r>
            <w:r>
              <w:rPr>
                <w:sz w:val="20"/>
                <w:szCs w:val="20"/>
              </w:rPr>
              <w:t>, UNDP, TEC</w:t>
            </w:r>
            <w:r w:rsidR="00751A14">
              <w:rPr>
                <w:sz w:val="20"/>
                <w:szCs w:val="20"/>
              </w:rPr>
              <w:t>,</w:t>
            </w:r>
            <w:r>
              <w:rPr>
                <w:sz w:val="20"/>
                <w:szCs w:val="20"/>
              </w:rPr>
              <w:t xml:space="preserve"> and PMU</w:t>
            </w:r>
          </w:p>
        </w:tc>
        <w:tc>
          <w:tcPr>
            <w:tcW w:w="1252" w:type="dxa"/>
          </w:tcPr>
          <w:p w14:paraId="3ADC3EF4" w14:textId="77777777" w:rsidR="00E210CC" w:rsidRPr="00C5739B" w:rsidRDefault="00E210CC" w:rsidP="00441924">
            <w:pPr>
              <w:tabs>
                <w:tab w:val="left" w:pos="1080"/>
              </w:tabs>
              <w:rPr>
                <w:sz w:val="20"/>
                <w:szCs w:val="20"/>
              </w:rPr>
            </w:pPr>
          </w:p>
        </w:tc>
        <w:tc>
          <w:tcPr>
            <w:tcW w:w="1159" w:type="dxa"/>
          </w:tcPr>
          <w:p w14:paraId="2E67F833" w14:textId="77777777" w:rsidR="00E210CC" w:rsidRPr="00C5739B" w:rsidRDefault="006E67C8" w:rsidP="00441924">
            <w:pPr>
              <w:tabs>
                <w:tab w:val="left" w:pos="1080"/>
              </w:tabs>
              <w:rPr>
                <w:sz w:val="20"/>
                <w:szCs w:val="20"/>
              </w:rPr>
            </w:pPr>
            <w:r>
              <w:rPr>
                <w:sz w:val="20"/>
                <w:szCs w:val="20"/>
              </w:rPr>
              <w:t>Completed</w:t>
            </w:r>
          </w:p>
        </w:tc>
      </w:tr>
      <w:tr w:rsidR="00E210CC" w:rsidRPr="00C5739B" w14:paraId="5F7B6F93" w14:textId="77777777" w:rsidTr="00441924">
        <w:tc>
          <w:tcPr>
            <w:tcW w:w="4403" w:type="dxa"/>
          </w:tcPr>
          <w:p w14:paraId="3314C730" w14:textId="5EC92FD3" w:rsidR="00E210CC" w:rsidRPr="00C5739B" w:rsidRDefault="00E210CC" w:rsidP="00441924">
            <w:pPr>
              <w:tabs>
                <w:tab w:val="left" w:pos="1080"/>
              </w:tabs>
              <w:rPr>
                <w:sz w:val="20"/>
                <w:szCs w:val="20"/>
              </w:rPr>
            </w:pPr>
            <w:r w:rsidRPr="00C5739B">
              <w:rPr>
                <w:sz w:val="20"/>
                <w:szCs w:val="20"/>
              </w:rPr>
              <w:t xml:space="preserve">1.2 </w:t>
            </w:r>
            <w:r w:rsidR="00471B37">
              <w:rPr>
                <w:sz w:val="20"/>
                <w:szCs w:val="20"/>
              </w:rPr>
              <w:t>Deci</w:t>
            </w:r>
            <w:r w:rsidR="00987B4F">
              <w:rPr>
                <w:sz w:val="20"/>
                <w:szCs w:val="20"/>
              </w:rPr>
              <w:t>sion</w:t>
            </w:r>
            <w:r w:rsidR="00471B37">
              <w:rPr>
                <w:sz w:val="20"/>
                <w:szCs w:val="20"/>
              </w:rPr>
              <w:t xml:space="preserve"> on the continuing and strengthening of the NIM arrangement by defining roles among DOE, TEC</w:t>
            </w:r>
            <w:r w:rsidR="00751A14">
              <w:rPr>
                <w:sz w:val="20"/>
                <w:szCs w:val="20"/>
              </w:rPr>
              <w:t>,</w:t>
            </w:r>
            <w:r w:rsidR="00471B37">
              <w:rPr>
                <w:sz w:val="20"/>
                <w:szCs w:val="20"/>
              </w:rPr>
              <w:t xml:space="preserve"> and PMU.</w:t>
            </w:r>
          </w:p>
        </w:tc>
        <w:tc>
          <w:tcPr>
            <w:tcW w:w="2908" w:type="dxa"/>
          </w:tcPr>
          <w:p w14:paraId="3F2A4AE3" w14:textId="77777777" w:rsidR="00E210CC" w:rsidRPr="00C5739B" w:rsidRDefault="00471B37" w:rsidP="00441924">
            <w:pPr>
              <w:tabs>
                <w:tab w:val="left" w:pos="1080"/>
              </w:tabs>
              <w:rPr>
                <w:sz w:val="20"/>
                <w:szCs w:val="20"/>
              </w:rPr>
            </w:pPr>
            <w:r>
              <w:rPr>
                <w:sz w:val="20"/>
                <w:szCs w:val="20"/>
              </w:rPr>
              <w:t>June 20, 2021</w:t>
            </w:r>
          </w:p>
        </w:tc>
        <w:tc>
          <w:tcPr>
            <w:tcW w:w="2605" w:type="dxa"/>
          </w:tcPr>
          <w:p w14:paraId="5487C71F" w14:textId="22E475D6" w:rsidR="00E210CC" w:rsidRPr="00C5739B" w:rsidRDefault="00471B37" w:rsidP="00441924">
            <w:pPr>
              <w:tabs>
                <w:tab w:val="left" w:pos="1080"/>
              </w:tabs>
              <w:rPr>
                <w:sz w:val="20"/>
                <w:szCs w:val="20"/>
              </w:rPr>
            </w:pPr>
            <w:r>
              <w:rPr>
                <w:sz w:val="20"/>
                <w:szCs w:val="20"/>
              </w:rPr>
              <w:t>MTET/DOE</w:t>
            </w:r>
            <w:r w:rsidR="00536AF6">
              <w:rPr>
                <w:sz w:val="20"/>
                <w:szCs w:val="20"/>
              </w:rPr>
              <w:t xml:space="preserve"> (Lead)</w:t>
            </w:r>
            <w:r>
              <w:rPr>
                <w:sz w:val="20"/>
                <w:szCs w:val="20"/>
              </w:rPr>
              <w:t>, UNDP</w:t>
            </w:r>
            <w:r w:rsidR="00751A14">
              <w:rPr>
                <w:sz w:val="20"/>
                <w:szCs w:val="20"/>
              </w:rPr>
              <w:t>,</w:t>
            </w:r>
            <w:r>
              <w:rPr>
                <w:sz w:val="20"/>
                <w:szCs w:val="20"/>
              </w:rPr>
              <w:t xml:space="preserve"> and TEC</w:t>
            </w:r>
          </w:p>
        </w:tc>
        <w:tc>
          <w:tcPr>
            <w:tcW w:w="1252" w:type="dxa"/>
          </w:tcPr>
          <w:p w14:paraId="77EED63C" w14:textId="77777777" w:rsidR="00E210CC" w:rsidRPr="00C5739B" w:rsidRDefault="00E210CC" w:rsidP="00441924">
            <w:pPr>
              <w:tabs>
                <w:tab w:val="left" w:pos="1080"/>
              </w:tabs>
              <w:rPr>
                <w:sz w:val="20"/>
                <w:szCs w:val="20"/>
              </w:rPr>
            </w:pPr>
          </w:p>
        </w:tc>
        <w:tc>
          <w:tcPr>
            <w:tcW w:w="1159" w:type="dxa"/>
          </w:tcPr>
          <w:p w14:paraId="209DC42B" w14:textId="77777777" w:rsidR="00E210CC" w:rsidRPr="00C5739B" w:rsidRDefault="006E67C8" w:rsidP="00441924">
            <w:pPr>
              <w:tabs>
                <w:tab w:val="left" w:pos="1080"/>
              </w:tabs>
              <w:rPr>
                <w:sz w:val="20"/>
                <w:szCs w:val="20"/>
              </w:rPr>
            </w:pPr>
            <w:r>
              <w:rPr>
                <w:sz w:val="20"/>
                <w:szCs w:val="20"/>
              </w:rPr>
              <w:t>Completed</w:t>
            </w:r>
          </w:p>
        </w:tc>
      </w:tr>
      <w:tr w:rsidR="00E210CC" w:rsidRPr="00C5739B" w14:paraId="29913A07" w14:textId="77777777" w:rsidTr="00441924">
        <w:tc>
          <w:tcPr>
            <w:tcW w:w="4403" w:type="dxa"/>
          </w:tcPr>
          <w:p w14:paraId="1D743EF5" w14:textId="4F865471" w:rsidR="00E210CC" w:rsidRPr="00C5739B" w:rsidRDefault="00E210CC" w:rsidP="00441924">
            <w:pPr>
              <w:tabs>
                <w:tab w:val="left" w:pos="1080"/>
              </w:tabs>
              <w:rPr>
                <w:sz w:val="20"/>
                <w:szCs w:val="20"/>
              </w:rPr>
            </w:pPr>
            <w:r w:rsidRPr="00C5739B">
              <w:rPr>
                <w:sz w:val="20"/>
                <w:szCs w:val="20"/>
              </w:rPr>
              <w:t xml:space="preserve">1.3 </w:t>
            </w:r>
            <w:r w:rsidR="00471B37">
              <w:rPr>
                <w:sz w:val="20"/>
                <w:szCs w:val="20"/>
              </w:rPr>
              <w:t xml:space="preserve">MTET/DOE to issue a Memo Order </w:t>
            </w:r>
            <w:r w:rsidR="00582E03" w:rsidRPr="00582E03">
              <w:rPr>
                <w:sz w:val="20"/>
                <w:szCs w:val="20"/>
              </w:rPr>
              <w:t xml:space="preserve">to have a sharing of responsibility in managing </w:t>
            </w:r>
            <w:proofErr w:type="gramStart"/>
            <w:r w:rsidR="00582E03" w:rsidRPr="00582E03">
              <w:rPr>
                <w:sz w:val="20"/>
                <w:szCs w:val="20"/>
              </w:rPr>
              <w:t>and  over</w:t>
            </w:r>
            <w:r w:rsidR="00582E03">
              <w:rPr>
                <w:sz w:val="20"/>
                <w:szCs w:val="20"/>
              </w:rPr>
              <w:t>seeing</w:t>
            </w:r>
            <w:proofErr w:type="gramEnd"/>
            <w:r w:rsidR="00582E03">
              <w:rPr>
                <w:sz w:val="20"/>
                <w:szCs w:val="20"/>
              </w:rPr>
              <w:t xml:space="preserve"> the project: for DOE (Comp. 1, 2 and 4 and </w:t>
            </w:r>
            <w:r w:rsidR="00471B37">
              <w:rPr>
                <w:sz w:val="20"/>
                <w:szCs w:val="20"/>
              </w:rPr>
              <w:t xml:space="preserve">for TEC </w:t>
            </w:r>
            <w:r w:rsidR="00582E03">
              <w:rPr>
                <w:sz w:val="20"/>
                <w:szCs w:val="20"/>
              </w:rPr>
              <w:t xml:space="preserve">(Comp. 3). PMU will continue to </w:t>
            </w:r>
            <w:r w:rsidR="00471B37">
              <w:rPr>
                <w:sz w:val="20"/>
                <w:szCs w:val="20"/>
              </w:rPr>
              <w:t>in charge of day-to-day operations</w:t>
            </w:r>
            <w:r w:rsidR="00962B08">
              <w:rPr>
                <w:sz w:val="20"/>
                <w:szCs w:val="20"/>
              </w:rPr>
              <w:t xml:space="preserve"> </w:t>
            </w:r>
            <w:r w:rsidR="00582E03">
              <w:rPr>
                <w:sz w:val="20"/>
                <w:szCs w:val="20"/>
              </w:rPr>
              <w:t>but will coordinate very closely with DOE and TEC in the implementation of their respective Components</w:t>
            </w:r>
            <w:r w:rsidR="00987B4F">
              <w:rPr>
                <w:sz w:val="20"/>
                <w:szCs w:val="20"/>
              </w:rPr>
              <w:t>;</w:t>
            </w:r>
            <w:r w:rsidR="00471B37">
              <w:rPr>
                <w:sz w:val="20"/>
                <w:szCs w:val="20"/>
              </w:rPr>
              <w:t xml:space="preserve"> and MTET/DOE retains the policy and executive oversight</w:t>
            </w:r>
            <w:r w:rsidR="00987B4F">
              <w:rPr>
                <w:sz w:val="20"/>
                <w:szCs w:val="20"/>
              </w:rPr>
              <w:t xml:space="preserve"> under a NIM</w:t>
            </w:r>
            <w:r w:rsidR="00471B37">
              <w:rPr>
                <w:sz w:val="20"/>
                <w:szCs w:val="20"/>
              </w:rPr>
              <w:t xml:space="preserve"> </w:t>
            </w:r>
          </w:p>
        </w:tc>
        <w:tc>
          <w:tcPr>
            <w:tcW w:w="2908" w:type="dxa"/>
          </w:tcPr>
          <w:p w14:paraId="0FA00DB4" w14:textId="652DE646" w:rsidR="00E210CC" w:rsidRPr="00C5739B" w:rsidRDefault="00A142F5" w:rsidP="00441924">
            <w:pPr>
              <w:tabs>
                <w:tab w:val="left" w:pos="1080"/>
              </w:tabs>
              <w:rPr>
                <w:sz w:val="20"/>
                <w:szCs w:val="20"/>
              </w:rPr>
            </w:pPr>
            <w:r>
              <w:rPr>
                <w:sz w:val="20"/>
                <w:szCs w:val="20"/>
              </w:rPr>
              <w:t xml:space="preserve">September </w:t>
            </w:r>
            <w:r w:rsidR="009652EC">
              <w:rPr>
                <w:sz w:val="20"/>
                <w:szCs w:val="20"/>
              </w:rPr>
              <w:t>30</w:t>
            </w:r>
            <w:r w:rsidR="00471B37">
              <w:rPr>
                <w:sz w:val="20"/>
                <w:szCs w:val="20"/>
              </w:rPr>
              <w:t>, 2021</w:t>
            </w:r>
          </w:p>
        </w:tc>
        <w:tc>
          <w:tcPr>
            <w:tcW w:w="2605" w:type="dxa"/>
          </w:tcPr>
          <w:p w14:paraId="0A3A7DEC" w14:textId="404BD27C" w:rsidR="00E210CC" w:rsidRPr="00C5739B" w:rsidRDefault="00471B37" w:rsidP="00441924">
            <w:pPr>
              <w:tabs>
                <w:tab w:val="left" w:pos="1080"/>
              </w:tabs>
              <w:rPr>
                <w:sz w:val="20"/>
                <w:szCs w:val="20"/>
              </w:rPr>
            </w:pPr>
            <w:r>
              <w:rPr>
                <w:sz w:val="20"/>
                <w:szCs w:val="20"/>
              </w:rPr>
              <w:t>MTET/DOE</w:t>
            </w:r>
            <w:r w:rsidR="00536AF6">
              <w:rPr>
                <w:sz w:val="20"/>
                <w:szCs w:val="20"/>
              </w:rPr>
              <w:t xml:space="preserve"> </w:t>
            </w:r>
          </w:p>
        </w:tc>
        <w:tc>
          <w:tcPr>
            <w:tcW w:w="1252" w:type="dxa"/>
          </w:tcPr>
          <w:p w14:paraId="00FD7DD0" w14:textId="28A3C429" w:rsidR="00E210CC" w:rsidRPr="00C5739B" w:rsidRDefault="00582E03" w:rsidP="00441924">
            <w:pPr>
              <w:tabs>
                <w:tab w:val="left" w:pos="1080"/>
              </w:tabs>
              <w:rPr>
                <w:sz w:val="20"/>
                <w:szCs w:val="20"/>
              </w:rPr>
            </w:pPr>
            <w:r>
              <w:rPr>
                <w:sz w:val="20"/>
                <w:szCs w:val="20"/>
              </w:rPr>
              <w:t xml:space="preserve">A Responsibility Matrix has been agreed </w:t>
            </w:r>
            <w:r w:rsidR="00536AF6">
              <w:rPr>
                <w:sz w:val="20"/>
                <w:szCs w:val="20"/>
              </w:rPr>
              <w:t xml:space="preserve">upon </w:t>
            </w:r>
            <w:r>
              <w:rPr>
                <w:sz w:val="20"/>
                <w:szCs w:val="20"/>
              </w:rPr>
              <w:t>to guide the details of implementation.</w:t>
            </w:r>
          </w:p>
        </w:tc>
        <w:tc>
          <w:tcPr>
            <w:tcW w:w="1159" w:type="dxa"/>
          </w:tcPr>
          <w:p w14:paraId="17D03516" w14:textId="77777777" w:rsidR="00E210CC" w:rsidRPr="00C5739B" w:rsidRDefault="00E210CC" w:rsidP="00441924">
            <w:pPr>
              <w:tabs>
                <w:tab w:val="left" w:pos="1080"/>
              </w:tabs>
              <w:rPr>
                <w:sz w:val="20"/>
                <w:szCs w:val="20"/>
              </w:rPr>
            </w:pPr>
          </w:p>
        </w:tc>
      </w:tr>
    </w:tbl>
    <w:p w14:paraId="436BE3E4" w14:textId="77777777" w:rsidR="00E210CC" w:rsidRPr="00BD1669" w:rsidRDefault="00E210CC" w:rsidP="00E210CC">
      <w:pPr>
        <w:tabs>
          <w:tab w:val="left" w:pos="1080"/>
        </w:tabs>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2918"/>
        <w:gridCol w:w="2611"/>
        <w:gridCol w:w="1253"/>
        <w:gridCol w:w="1161"/>
      </w:tblGrid>
      <w:tr w:rsidR="00E210CC" w:rsidRPr="00C5739B" w14:paraId="66DECAC2" w14:textId="77777777" w:rsidTr="00441924">
        <w:tc>
          <w:tcPr>
            <w:tcW w:w="12327" w:type="dxa"/>
            <w:gridSpan w:val="5"/>
            <w:shd w:val="clear" w:color="auto" w:fill="F3F3F3"/>
          </w:tcPr>
          <w:p w14:paraId="1D126CA6" w14:textId="77777777" w:rsidR="00E210CC" w:rsidRPr="00C5739B" w:rsidRDefault="00E210CC" w:rsidP="00441924">
            <w:pPr>
              <w:tabs>
                <w:tab w:val="left" w:pos="1080"/>
              </w:tabs>
              <w:rPr>
                <w:sz w:val="20"/>
                <w:szCs w:val="20"/>
              </w:rPr>
            </w:pPr>
            <w:r w:rsidRPr="00C5739B">
              <w:rPr>
                <w:b/>
                <w:sz w:val="20"/>
                <w:szCs w:val="20"/>
              </w:rPr>
              <w:t xml:space="preserve">Evaluation recommendation 2. </w:t>
            </w:r>
            <w:r w:rsidRPr="00E210CC">
              <w:rPr>
                <w:b/>
                <w:i/>
                <w:iCs/>
                <w:sz w:val="20"/>
                <w:szCs w:val="20"/>
              </w:rPr>
              <w:t xml:space="preserve">Improve project management – </w:t>
            </w:r>
            <w:r w:rsidRPr="00E210CC">
              <w:rPr>
                <w:iCs/>
                <w:sz w:val="20"/>
                <w:szCs w:val="20"/>
              </w:rPr>
              <w:t xml:space="preserve">The project structure should be reorganized in accordance with the MTR report par. 4.3.1. The PMU should be strengthened to improve project effectiveness and efficiency. This could be done through training, advisory from specialized consultants, and changes in the staff set-up, which are issues the Government and UNDP should have a dialogue about to reach the best decisions. In the case that the Government and UNDP decide not to terminate the NIM, the </w:t>
            </w:r>
            <w:proofErr w:type="gramStart"/>
            <w:r w:rsidRPr="00E210CC">
              <w:rPr>
                <w:iCs/>
                <w:sz w:val="20"/>
                <w:szCs w:val="20"/>
              </w:rPr>
              <w:t>second best</w:t>
            </w:r>
            <w:proofErr w:type="gramEnd"/>
            <w:r w:rsidRPr="00E210CC">
              <w:rPr>
                <w:iCs/>
                <w:sz w:val="20"/>
                <w:szCs w:val="20"/>
              </w:rPr>
              <w:t xml:space="preserve"> option would be to transfer the executing </w:t>
            </w:r>
            <w:r w:rsidRPr="00E210CC">
              <w:rPr>
                <w:iCs/>
                <w:sz w:val="20"/>
                <w:szCs w:val="20"/>
              </w:rPr>
              <w:lastRenderedPageBreak/>
              <w:t xml:space="preserve">agency responsibility to TEC. </w:t>
            </w:r>
            <w:r w:rsidRPr="00E210CC">
              <w:rPr>
                <w:sz w:val="20"/>
                <w:szCs w:val="20"/>
              </w:rPr>
              <w:t>MoU’s with important project partners and other stakeholders could also improve project delivery, as long as the documents are concrete enough to be able to monitor their compliance.</w:t>
            </w:r>
          </w:p>
        </w:tc>
      </w:tr>
      <w:tr w:rsidR="00E210CC" w:rsidRPr="00C5739B" w14:paraId="2BF6A23B" w14:textId="77777777" w:rsidTr="00441924">
        <w:tc>
          <w:tcPr>
            <w:tcW w:w="12327" w:type="dxa"/>
            <w:gridSpan w:val="5"/>
            <w:shd w:val="clear" w:color="auto" w:fill="F3F3F3"/>
          </w:tcPr>
          <w:p w14:paraId="0C1565FF" w14:textId="0BBC5F60" w:rsidR="00E210CC" w:rsidRPr="00C5739B" w:rsidRDefault="00E210CC" w:rsidP="00441924">
            <w:pPr>
              <w:tabs>
                <w:tab w:val="left" w:pos="1080"/>
              </w:tabs>
              <w:rPr>
                <w:b/>
                <w:sz w:val="20"/>
                <w:szCs w:val="20"/>
              </w:rPr>
            </w:pPr>
            <w:r w:rsidRPr="00C5739B">
              <w:rPr>
                <w:b/>
                <w:sz w:val="20"/>
                <w:szCs w:val="20"/>
              </w:rPr>
              <w:lastRenderedPageBreak/>
              <w:t>Management response:</w:t>
            </w:r>
            <w:r w:rsidR="00471B37">
              <w:rPr>
                <w:b/>
                <w:sz w:val="20"/>
                <w:szCs w:val="20"/>
              </w:rPr>
              <w:t xml:space="preserve"> </w:t>
            </w:r>
            <w:r w:rsidR="008036CE" w:rsidRPr="007E799E">
              <w:rPr>
                <w:b/>
                <w:i/>
                <w:sz w:val="20"/>
                <w:szCs w:val="20"/>
              </w:rPr>
              <w:t>Agree</w:t>
            </w:r>
            <w:r w:rsidR="00A75710">
              <w:rPr>
                <w:i/>
                <w:sz w:val="20"/>
                <w:szCs w:val="20"/>
              </w:rPr>
              <w:t>.</w:t>
            </w:r>
            <w:r w:rsidR="008036CE">
              <w:rPr>
                <w:sz w:val="20"/>
                <w:szCs w:val="20"/>
              </w:rPr>
              <w:t xml:space="preserve"> </w:t>
            </w:r>
            <w:r w:rsidR="001F7043">
              <w:rPr>
                <w:sz w:val="20"/>
                <w:szCs w:val="20"/>
              </w:rPr>
              <w:t>In line with the decision to maintain the NIM arrangement, t</w:t>
            </w:r>
            <w:r w:rsidR="008036CE">
              <w:rPr>
                <w:sz w:val="20"/>
                <w:szCs w:val="20"/>
              </w:rPr>
              <w:t xml:space="preserve">he project </w:t>
            </w:r>
            <w:r w:rsidR="001F7043">
              <w:rPr>
                <w:sz w:val="20"/>
                <w:szCs w:val="20"/>
              </w:rPr>
              <w:t xml:space="preserve">management </w:t>
            </w:r>
            <w:r w:rsidR="00751A14">
              <w:rPr>
                <w:sz w:val="20"/>
                <w:szCs w:val="20"/>
              </w:rPr>
              <w:t xml:space="preserve">will </w:t>
            </w:r>
            <w:r w:rsidR="008036CE">
              <w:rPr>
                <w:sz w:val="20"/>
                <w:szCs w:val="20"/>
              </w:rPr>
              <w:t xml:space="preserve">be </w:t>
            </w:r>
            <w:r w:rsidR="00553894">
              <w:rPr>
                <w:sz w:val="20"/>
                <w:szCs w:val="20"/>
              </w:rPr>
              <w:t xml:space="preserve">strengthened </w:t>
            </w:r>
            <w:r w:rsidR="00D767CF">
              <w:rPr>
                <w:sz w:val="20"/>
                <w:szCs w:val="20"/>
              </w:rPr>
              <w:t xml:space="preserve">consistent with </w:t>
            </w:r>
            <w:r w:rsidR="008A05FC">
              <w:rPr>
                <w:sz w:val="20"/>
                <w:szCs w:val="20"/>
              </w:rPr>
              <w:t xml:space="preserve">the management response </w:t>
            </w:r>
            <w:r w:rsidR="00D767CF">
              <w:rPr>
                <w:sz w:val="20"/>
                <w:szCs w:val="20"/>
              </w:rPr>
              <w:t xml:space="preserve">to the MTR </w:t>
            </w:r>
            <w:r w:rsidR="008A05FC">
              <w:rPr>
                <w:sz w:val="20"/>
                <w:szCs w:val="20"/>
              </w:rPr>
              <w:t xml:space="preserve">Recommendation 1. </w:t>
            </w:r>
            <w:r w:rsidR="008036CE">
              <w:rPr>
                <w:sz w:val="20"/>
                <w:szCs w:val="20"/>
              </w:rPr>
              <w:t xml:space="preserve"> </w:t>
            </w:r>
            <w:r w:rsidR="00494AFB">
              <w:rPr>
                <w:sz w:val="20"/>
                <w:szCs w:val="20"/>
                <w:lang w:val="en-GB"/>
              </w:rPr>
              <w:t>T</w:t>
            </w:r>
            <w:r w:rsidR="00494AFB" w:rsidRPr="00335E2B">
              <w:rPr>
                <w:sz w:val="20"/>
                <w:szCs w:val="20"/>
                <w:lang w:val="en-GB"/>
              </w:rPr>
              <w:t xml:space="preserve">he lack of capacity of the DOE to host the PMU </w:t>
            </w:r>
            <w:r w:rsidR="00553894">
              <w:rPr>
                <w:sz w:val="20"/>
                <w:szCs w:val="20"/>
                <w:lang w:val="en-GB"/>
              </w:rPr>
              <w:t xml:space="preserve">as found </w:t>
            </w:r>
            <w:r w:rsidR="00494AFB">
              <w:rPr>
                <w:sz w:val="20"/>
                <w:szCs w:val="20"/>
                <w:lang w:val="en-GB"/>
              </w:rPr>
              <w:t xml:space="preserve">during the MTR was </w:t>
            </w:r>
            <w:r w:rsidR="00494AFB" w:rsidRPr="00335E2B">
              <w:rPr>
                <w:sz w:val="20"/>
                <w:szCs w:val="20"/>
                <w:lang w:val="en-GB"/>
              </w:rPr>
              <w:t xml:space="preserve">due to </w:t>
            </w:r>
            <w:r w:rsidR="00494AFB">
              <w:rPr>
                <w:sz w:val="20"/>
                <w:szCs w:val="20"/>
                <w:lang w:val="en-GB"/>
              </w:rPr>
              <w:t xml:space="preserve">DOE </w:t>
            </w:r>
            <w:r w:rsidR="00494AFB" w:rsidRPr="00335E2B">
              <w:rPr>
                <w:sz w:val="20"/>
                <w:szCs w:val="20"/>
                <w:lang w:val="en-GB"/>
              </w:rPr>
              <w:t>staff change-overs</w:t>
            </w:r>
            <w:r w:rsidR="00494AFB">
              <w:rPr>
                <w:sz w:val="20"/>
                <w:szCs w:val="20"/>
                <w:lang w:val="en-GB"/>
              </w:rPr>
              <w:t xml:space="preserve"> and study leave</w:t>
            </w:r>
            <w:r w:rsidR="00553894">
              <w:rPr>
                <w:sz w:val="20"/>
                <w:szCs w:val="20"/>
                <w:lang w:val="en-GB"/>
              </w:rPr>
              <w:t xml:space="preserve"> at that time</w:t>
            </w:r>
            <w:r w:rsidR="00494AFB">
              <w:rPr>
                <w:sz w:val="20"/>
                <w:szCs w:val="20"/>
                <w:lang w:val="en-GB"/>
              </w:rPr>
              <w:t xml:space="preserve">. </w:t>
            </w:r>
            <w:r w:rsidR="00BA4DB9">
              <w:rPr>
                <w:sz w:val="20"/>
                <w:szCs w:val="20"/>
                <w:lang w:val="en-GB"/>
              </w:rPr>
              <w:t xml:space="preserve">A new Director for the DOE was </w:t>
            </w:r>
            <w:r w:rsidR="00553894">
              <w:rPr>
                <w:sz w:val="20"/>
                <w:szCs w:val="20"/>
                <w:lang w:val="en-GB"/>
              </w:rPr>
              <w:t xml:space="preserve">recently </w:t>
            </w:r>
            <w:r w:rsidR="00BA4DB9">
              <w:rPr>
                <w:sz w:val="20"/>
                <w:szCs w:val="20"/>
                <w:lang w:val="en-GB"/>
              </w:rPr>
              <w:t>appointed in the 2</w:t>
            </w:r>
            <w:r w:rsidR="00BA4DB9" w:rsidRPr="005B7696">
              <w:rPr>
                <w:sz w:val="20"/>
                <w:szCs w:val="20"/>
                <w:vertAlign w:val="superscript"/>
                <w:lang w:val="en-GB"/>
              </w:rPr>
              <w:t>nd</w:t>
            </w:r>
            <w:r w:rsidR="00BA4DB9">
              <w:rPr>
                <w:sz w:val="20"/>
                <w:szCs w:val="20"/>
                <w:lang w:val="en-GB"/>
              </w:rPr>
              <w:t xml:space="preserve"> week of June 2021 </w:t>
            </w:r>
            <w:r w:rsidR="00553894">
              <w:rPr>
                <w:sz w:val="20"/>
                <w:szCs w:val="20"/>
                <w:lang w:val="en-GB"/>
              </w:rPr>
              <w:t>after his return from foreign study leave. He</w:t>
            </w:r>
            <w:r w:rsidR="00BA4DB9">
              <w:rPr>
                <w:sz w:val="20"/>
                <w:szCs w:val="20"/>
                <w:lang w:val="en-GB"/>
              </w:rPr>
              <w:t xml:space="preserve"> will be working closely on the oversight of the FASNETT implementation</w:t>
            </w:r>
            <w:r w:rsidR="001F7043">
              <w:rPr>
                <w:sz w:val="20"/>
                <w:szCs w:val="20"/>
                <w:lang w:val="en-GB"/>
              </w:rPr>
              <w:t xml:space="preserve"> as the National Project Director representing the GoT in the Project Organization Structure</w:t>
            </w:r>
            <w:r w:rsidR="00F96566">
              <w:rPr>
                <w:sz w:val="20"/>
                <w:szCs w:val="20"/>
                <w:lang w:val="en-GB"/>
              </w:rPr>
              <w:t xml:space="preserve">. </w:t>
            </w:r>
            <w:r w:rsidR="00970B7D" w:rsidRPr="00335E2B">
              <w:rPr>
                <w:sz w:val="20"/>
                <w:szCs w:val="20"/>
                <w:lang w:val="en-GB"/>
              </w:rPr>
              <w:t xml:space="preserve">MTET/DOE </w:t>
            </w:r>
            <w:r w:rsidR="00F96566">
              <w:rPr>
                <w:sz w:val="20"/>
                <w:szCs w:val="20"/>
                <w:lang w:val="en-GB"/>
              </w:rPr>
              <w:t xml:space="preserve">will continue to have the </w:t>
            </w:r>
            <w:r w:rsidR="00970B7D" w:rsidRPr="00335E2B">
              <w:rPr>
                <w:sz w:val="20"/>
                <w:szCs w:val="20"/>
                <w:lang w:val="en-GB"/>
              </w:rPr>
              <w:t xml:space="preserve">policy </w:t>
            </w:r>
            <w:r w:rsidR="00F96566">
              <w:rPr>
                <w:sz w:val="20"/>
                <w:szCs w:val="20"/>
                <w:lang w:val="en-GB"/>
              </w:rPr>
              <w:t>umbrella</w:t>
            </w:r>
            <w:r w:rsidR="00970B7D">
              <w:rPr>
                <w:sz w:val="20"/>
                <w:szCs w:val="20"/>
                <w:lang w:val="en-GB"/>
              </w:rPr>
              <w:t xml:space="preserve"> </w:t>
            </w:r>
            <w:r w:rsidR="00F96566">
              <w:rPr>
                <w:sz w:val="20"/>
                <w:szCs w:val="20"/>
                <w:lang w:val="en-GB"/>
              </w:rPr>
              <w:t>and regulatory function</w:t>
            </w:r>
            <w:r w:rsidR="00F96566" w:rsidRPr="00335E2B">
              <w:rPr>
                <w:sz w:val="20"/>
                <w:szCs w:val="20"/>
                <w:lang w:val="en-GB"/>
              </w:rPr>
              <w:t xml:space="preserve"> </w:t>
            </w:r>
            <w:r w:rsidR="00F96566">
              <w:rPr>
                <w:sz w:val="20"/>
                <w:szCs w:val="20"/>
                <w:lang w:val="en-GB"/>
              </w:rPr>
              <w:t xml:space="preserve">over </w:t>
            </w:r>
            <w:r w:rsidR="00F96566" w:rsidRPr="00335E2B">
              <w:rPr>
                <w:sz w:val="20"/>
                <w:szCs w:val="20"/>
                <w:lang w:val="en-GB"/>
              </w:rPr>
              <w:t xml:space="preserve">TEC </w:t>
            </w:r>
            <w:r w:rsidR="00F96566">
              <w:rPr>
                <w:sz w:val="20"/>
                <w:szCs w:val="20"/>
                <w:lang w:val="en-GB"/>
              </w:rPr>
              <w:t xml:space="preserve">which will be in-charge </w:t>
            </w:r>
            <w:r w:rsidR="00D17410">
              <w:rPr>
                <w:sz w:val="20"/>
                <w:szCs w:val="20"/>
                <w:lang w:val="en-GB"/>
              </w:rPr>
              <w:t xml:space="preserve">also </w:t>
            </w:r>
            <w:r w:rsidR="00F96566">
              <w:rPr>
                <w:sz w:val="20"/>
                <w:szCs w:val="20"/>
                <w:lang w:val="en-GB"/>
              </w:rPr>
              <w:t>of providing the technical support to MTET/DOE</w:t>
            </w:r>
            <w:r w:rsidR="00D17410">
              <w:rPr>
                <w:sz w:val="20"/>
                <w:szCs w:val="20"/>
                <w:lang w:val="en-GB"/>
              </w:rPr>
              <w:t xml:space="preserve">. </w:t>
            </w:r>
            <w:r w:rsidR="003E1805">
              <w:rPr>
                <w:sz w:val="20"/>
                <w:szCs w:val="20"/>
                <w:lang w:val="en-GB"/>
              </w:rPr>
              <w:t>A</w:t>
            </w:r>
            <w:r w:rsidR="00D17410">
              <w:rPr>
                <w:sz w:val="20"/>
                <w:szCs w:val="20"/>
                <w:lang w:val="en-GB"/>
              </w:rPr>
              <w:t xml:space="preserve"> </w:t>
            </w:r>
            <w:r w:rsidR="003E1805">
              <w:rPr>
                <w:sz w:val="20"/>
                <w:szCs w:val="20"/>
                <w:lang w:val="en-GB"/>
              </w:rPr>
              <w:t xml:space="preserve">scheme of </w:t>
            </w:r>
            <w:r w:rsidR="00D17410">
              <w:rPr>
                <w:sz w:val="20"/>
                <w:szCs w:val="20"/>
                <w:lang w:val="en-GB"/>
              </w:rPr>
              <w:t>sharing of responsibilities in managing the project to fast track its implementation was decided that would allow DOE to focus on the Component 1 (</w:t>
            </w:r>
            <w:r w:rsidR="003E1805">
              <w:rPr>
                <w:sz w:val="20"/>
                <w:szCs w:val="20"/>
                <w:lang w:val="en-GB"/>
              </w:rPr>
              <w:t>A</w:t>
            </w:r>
            <w:r w:rsidR="00D17410">
              <w:rPr>
                <w:sz w:val="20"/>
                <w:szCs w:val="20"/>
                <w:lang w:val="en-GB"/>
              </w:rPr>
              <w:t>wareness</w:t>
            </w:r>
            <w:r w:rsidR="003E1805">
              <w:rPr>
                <w:sz w:val="20"/>
                <w:szCs w:val="20"/>
                <w:lang w:val="en-GB"/>
              </w:rPr>
              <w:t>), Component 2 (Policy, Regulations, Planning and Administration) and Component 4 (Financing Mechanisms); while TEC will focus on the more technology-related Component 3 (Demonstrations and Replication Planning) and the same time providing technical support in the other Components assigned to DOE</w:t>
            </w:r>
            <w:r w:rsidR="009863F9">
              <w:rPr>
                <w:sz w:val="20"/>
                <w:szCs w:val="20"/>
                <w:lang w:val="en-GB"/>
              </w:rPr>
              <w:t>, as necessary</w:t>
            </w:r>
            <w:r w:rsidR="003E1805">
              <w:rPr>
                <w:sz w:val="20"/>
                <w:szCs w:val="20"/>
                <w:lang w:val="en-GB"/>
              </w:rPr>
              <w:t xml:space="preserve">. The detailed </w:t>
            </w:r>
            <w:r w:rsidR="009863F9">
              <w:rPr>
                <w:sz w:val="20"/>
                <w:szCs w:val="20"/>
                <w:lang w:val="en-GB"/>
              </w:rPr>
              <w:t xml:space="preserve">tasks and </w:t>
            </w:r>
            <w:r w:rsidR="003E1805">
              <w:rPr>
                <w:sz w:val="20"/>
                <w:szCs w:val="20"/>
                <w:lang w:val="en-GB"/>
              </w:rPr>
              <w:t>implementation work will be performed by</w:t>
            </w:r>
            <w:r w:rsidR="009863F9">
              <w:rPr>
                <w:sz w:val="20"/>
                <w:szCs w:val="20"/>
                <w:lang w:val="en-GB"/>
              </w:rPr>
              <w:t xml:space="preserve"> hired</w:t>
            </w:r>
            <w:r w:rsidR="003E1805">
              <w:rPr>
                <w:sz w:val="20"/>
                <w:szCs w:val="20"/>
                <w:lang w:val="en-GB"/>
              </w:rPr>
              <w:t xml:space="preserve"> national and international consultants or contractors who will be supervised by DOE and TEC in their respective Components. </w:t>
            </w:r>
            <w:r w:rsidR="00AD6368">
              <w:rPr>
                <w:sz w:val="20"/>
                <w:szCs w:val="20"/>
                <w:lang w:val="en-GB"/>
              </w:rPr>
              <w:t>The Project Board has authorized the hiring of the CTA, the Project Coordinator</w:t>
            </w:r>
            <w:r w:rsidR="00D767CF">
              <w:rPr>
                <w:sz w:val="20"/>
                <w:szCs w:val="20"/>
                <w:lang w:val="en-GB"/>
              </w:rPr>
              <w:t>,</w:t>
            </w:r>
            <w:r w:rsidR="00AD6368">
              <w:rPr>
                <w:sz w:val="20"/>
                <w:szCs w:val="20"/>
                <w:lang w:val="en-GB"/>
              </w:rPr>
              <w:t xml:space="preserve"> and </w:t>
            </w:r>
            <w:r w:rsidR="00F44AA8">
              <w:rPr>
                <w:sz w:val="20"/>
                <w:szCs w:val="20"/>
                <w:lang w:val="en-GB"/>
              </w:rPr>
              <w:t xml:space="preserve">the </w:t>
            </w:r>
            <w:r w:rsidR="00A4234C">
              <w:rPr>
                <w:sz w:val="20"/>
                <w:szCs w:val="20"/>
                <w:lang w:val="en-GB"/>
              </w:rPr>
              <w:t>Internat</w:t>
            </w:r>
            <w:r w:rsidR="00F44AA8">
              <w:rPr>
                <w:sz w:val="20"/>
                <w:szCs w:val="20"/>
                <w:lang w:val="en-GB"/>
              </w:rPr>
              <w:t>i</w:t>
            </w:r>
            <w:r w:rsidR="00A4234C">
              <w:rPr>
                <w:sz w:val="20"/>
                <w:szCs w:val="20"/>
                <w:lang w:val="en-GB"/>
              </w:rPr>
              <w:t xml:space="preserve">onal Consultant for Project </w:t>
            </w:r>
            <w:r w:rsidR="00F44AA8">
              <w:rPr>
                <w:sz w:val="20"/>
                <w:szCs w:val="20"/>
                <w:lang w:val="en-GB"/>
              </w:rPr>
              <w:t xml:space="preserve">Demonstrations </w:t>
            </w:r>
            <w:r w:rsidR="00AD6368">
              <w:rPr>
                <w:sz w:val="20"/>
                <w:szCs w:val="20"/>
                <w:lang w:val="en-GB"/>
              </w:rPr>
              <w:t xml:space="preserve">to provide continuous technical assistance to PMU. </w:t>
            </w:r>
            <w:r w:rsidR="009863F9">
              <w:rPr>
                <w:sz w:val="20"/>
                <w:szCs w:val="20"/>
                <w:lang w:val="en-GB"/>
              </w:rPr>
              <w:t xml:space="preserve">A Responsibility Matrix will </w:t>
            </w:r>
            <w:r w:rsidR="00D767CF">
              <w:rPr>
                <w:sz w:val="20"/>
                <w:szCs w:val="20"/>
                <w:lang w:val="en-GB"/>
              </w:rPr>
              <w:t xml:space="preserve">delineate </w:t>
            </w:r>
            <w:r w:rsidR="00190C7A">
              <w:rPr>
                <w:sz w:val="20"/>
                <w:szCs w:val="20"/>
                <w:lang w:val="en-GB"/>
              </w:rPr>
              <w:t xml:space="preserve">the necessary </w:t>
            </w:r>
            <w:r w:rsidR="006E67C8">
              <w:rPr>
                <w:sz w:val="20"/>
                <w:szCs w:val="20"/>
                <w:lang w:val="en-GB"/>
              </w:rPr>
              <w:t xml:space="preserve">implementation </w:t>
            </w:r>
            <w:r w:rsidR="00190C7A">
              <w:rPr>
                <w:sz w:val="20"/>
                <w:szCs w:val="20"/>
                <w:lang w:val="en-GB"/>
              </w:rPr>
              <w:t xml:space="preserve">tasks/steps </w:t>
            </w:r>
            <w:r w:rsidR="009863F9">
              <w:rPr>
                <w:sz w:val="20"/>
                <w:szCs w:val="20"/>
                <w:lang w:val="en-GB"/>
              </w:rPr>
              <w:t xml:space="preserve">and the implementation guidelines as well as the timelines </w:t>
            </w:r>
            <w:r w:rsidR="006E67C8">
              <w:rPr>
                <w:sz w:val="20"/>
                <w:szCs w:val="20"/>
                <w:lang w:val="en-GB"/>
              </w:rPr>
              <w:t xml:space="preserve">and necessary resource inputs </w:t>
            </w:r>
            <w:r w:rsidR="009863F9">
              <w:rPr>
                <w:sz w:val="20"/>
                <w:szCs w:val="20"/>
                <w:lang w:val="en-GB"/>
              </w:rPr>
              <w:t xml:space="preserve">for </w:t>
            </w:r>
            <w:r w:rsidR="006E67C8">
              <w:rPr>
                <w:sz w:val="20"/>
                <w:szCs w:val="20"/>
                <w:lang w:val="en-GB"/>
              </w:rPr>
              <w:t xml:space="preserve">completing </w:t>
            </w:r>
            <w:r w:rsidR="009863F9">
              <w:rPr>
                <w:sz w:val="20"/>
                <w:szCs w:val="20"/>
                <w:lang w:val="en-GB"/>
              </w:rPr>
              <w:t xml:space="preserve">the project Activities </w:t>
            </w:r>
            <w:r w:rsidR="006E67C8">
              <w:rPr>
                <w:sz w:val="20"/>
                <w:szCs w:val="20"/>
                <w:lang w:val="en-GB"/>
              </w:rPr>
              <w:t>towards</w:t>
            </w:r>
            <w:r w:rsidR="009863F9">
              <w:rPr>
                <w:sz w:val="20"/>
                <w:szCs w:val="20"/>
                <w:lang w:val="en-GB"/>
              </w:rPr>
              <w:t xml:space="preserve"> producing the re</w:t>
            </w:r>
            <w:r w:rsidR="00F44AA8">
              <w:rPr>
                <w:sz w:val="20"/>
                <w:szCs w:val="20"/>
                <w:lang w:val="en-GB"/>
              </w:rPr>
              <w:t>quir</w:t>
            </w:r>
            <w:r w:rsidR="009863F9">
              <w:rPr>
                <w:sz w:val="20"/>
                <w:szCs w:val="20"/>
                <w:lang w:val="en-GB"/>
              </w:rPr>
              <w:t>ed Outputs</w:t>
            </w:r>
            <w:r w:rsidR="00F44AA8">
              <w:rPr>
                <w:sz w:val="20"/>
                <w:szCs w:val="20"/>
                <w:lang w:val="en-GB"/>
              </w:rPr>
              <w:t xml:space="preserve"> to improve project delivery performance</w:t>
            </w:r>
            <w:r w:rsidR="009863F9">
              <w:rPr>
                <w:sz w:val="20"/>
                <w:szCs w:val="20"/>
                <w:lang w:val="en-GB"/>
              </w:rPr>
              <w:t xml:space="preserve">. </w:t>
            </w:r>
            <w:r w:rsidR="00190C7A">
              <w:rPr>
                <w:sz w:val="20"/>
                <w:szCs w:val="20"/>
                <w:lang w:val="en-GB"/>
              </w:rPr>
              <w:t>It will also indicate the need for possible extension of the overall implementation period depending on the necessary time to complete each Output beyond the approved target completion date of February 2022</w:t>
            </w:r>
            <w:r w:rsidR="006E67C8">
              <w:rPr>
                <w:sz w:val="20"/>
                <w:szCs w:val="20"/>
                <w:lang w:val="en-GB"/>
              </w:rPr>
              <w:t xml:space="preserve">, considering the </w:t>
            </w:r>
            <w:r w:rsidR="00F44AA8">
              <w:rPr>
                <w:sz w:val="20"/>
                <w:szCs w:val="20"/>
                <w:lang w:val="en-GB"/>
              </w:rPr>
              <w:t>technical requirements and p</w:t>
            </w:r>
            <w:r w:rsidR="006E67C8">
              <w:rPr>
                <w:sz w:val="20"/>
                <w:szCs w:val="20"/>
                <w:lang w:val="en-GB"/>
              </w:rPr>
              <w:t>roject implementation delays</w:t>
            </w:r>
            <w:r w:rsidR="00190C7A">
              <w:rPr>
                <w:sz w:val="20"/>
                <w:szCs w:val="20"/>
                <w:lang w:val="en-GB"/>
              </w:rPr>
              <w:t xml:space="preserve">. </w:t>
            </w:r>
            <w:r w:rsidR="009863F9">
              <w:rPr>
                <w:sz w:val="20"/>
                <w:szCs w:val="20"/>
                <w:lang w:val="en-GB"/>
              </w:rPr>
              <w:t>Th</w:t>
            </w:r>
            <w:r w:rsidR="00AD6368">
              <w:rPr>
                <w:sz w:val="20"/>
                <w:szCs w:val="20"/>
                <w:lang w:val="en-GB"/>
              </w:rPr>
              <w:t>is</w:t>
            </w:r>
            <w:r w:rsidR="009863F9">
              <w:rPr>
                <w:sz w:val="20"/>
                <w:szCs w:val="20"/>
                <w:lang w:val="en-GB"/>
              </w:rPr>
              <w:t xml:space="preserve"> updated project management arrangement clarifies</w:t>
            </w:r>
            <w:r w:rsidR="00970B7D">
              <w:rPr>
                <w:sz w:val="20"/>
                <w:szCs w:val="20"/>
                <w:lang w:val="en-GB"/>
              </w:rPr>
              <w:t xml:space="preserve"> </w:t>
            </w:r>
            <w:r w:rsidR="00970B7D" w:rsidRPr="00335E2B">
              <w:rPr>
                <w:sz w:val="20"/>
                <w:szCs w:val="20"/>
                <w:lang w:val="en-GB"/>
              </w:rPr>
              <w:t xml:space="preserve">the ProDoc’s provision on the </w:t>
            </w:r>
            <w:r w:rsidR="009863F9">
              <w:rPr>
                <w:sz w:val="20"/>
                <w:szCs w:val="20"/>
                <w:lang w:val="en-GB"/>
              </w:rPr>
              <w:t xml:space="preserve">Project Organization and the </w:t>
            </w:r>
            <w:r w:rsidR="00970B7D" w:rsidRPr="00335E2B">
              <w:rPr>
                <w:sz w:val="20"/>
                <w:szCs w:val="20"/>
                <w:lang w:val="en-GB"/>
              </w:rPr>
              <w:t xml:space="preserve">Responsible Party role of TEC </w:t>
            </w:r>
            <w:r w:rsidR="009863F9">
              <w:rPr>
                <w:sz w:val="20"/>
                <w:szCs w:val="20"/>
                <w:lang w:val="en-GB"/>
              </w:rPr>
              <w:t>in</w:t>
            </w:r>
            <w:r w:rsidR="00970B7D" w:rsidRPr="00335E2B">
              <w:rPr>
                <w:sz w:val="20"/>
                <w:szCs w:val="20"/>
                <w:lang w:val="en-GB"/>
              </w:rPr>
              <w:t xml:space="preserve"> </w:t>
            </w:r>
            <w:r w:rsidR="00970B7D">
              <w:rPr>
                <w:sz w:val="20"/>
                <w:szCs w:val="20"/>
                <w:lang w:val="en-GB"/>
              </w:rPr>
              <w:t>maintain</w:t>
            </w:r>
            <w:r w:rsidR="009863F9">
              <w:rPr>
                <w:sz w:val="20"/>
                <w:szCs w:val="20"/>
                <w:lang w:val="en-GB"/>
              </w:rPr>
              <w:t>ing</w:t>
            </w:r>
            <w:r w:rsidR="00970B7D" w:rsidRPr="00335E2B">
              <w:rPr>
                <w:sz w:val="20"/>
                <w:szCs w:val="20"/>
                <w:lang w:val="en-GB"/>
              </w:rPr>
              <w:t xml:space="preserve"> the NIM arrangement</w:t>
            </w:r>
            <w:r w:rsidR="00190C7A">
              <w:rPr>
                <w:sz w:val="20"/>
                <w:szCs w:val="20"/>
                <w:lang w:val="en-GB"/>
              </w:rPr>
              <w:t>.</w:t>
            </w:r>
            <w:r w:rsidR="009863F9">
              <w:rPr>
                <w:sz w:val="20"/>
                <w:szCs w:val="20"/>
                <w:lang w:val="en-GB"/>
              </w:rPr>
              <w:t xml:space="preserve"> </w:t>
            </w:r>
            <w:r w:rsidR="00190C7A">
              <w:rPr>
                <w:sz w:val="20"/>
                <w:szCs w:val="20"/>
                <w:lang w:val="en-GB"/>
              </w:rPr>
              <w:t>It</w:t>
            </w:r>
            <w:r w:rsidR="009863F9">
              <w:rPr>
                <w:sz w:val="20"/>
                <w:szCs w:val="20"/>
                <w:lang w:val="en-GB"/>
              </w:rPr>
              <w:t xml:space="preserve"> will be the subject of </w:t>
            </w:r>
            <w:r w:rsidR="00F44AA8">
              <w:rPr>
                <w:sz w:val="20"/>
                <w:szCs w:val="20"/>
                <w:lang w:val="en-GB"/>
              </w:rPr>
              <w:t>a</w:t>
            </w:r>
            <w:r w:rsidR="009863F9">
              <w:rPr>
                <w:sz w:val="20"/>
                <w:szCs w:val="20"/>
                <w:lang w:val="en-GB"/>
              </w:rPr>
              <w:t xml:space="preserve"> Memorandum Order</w:t>
            </w:r>
            <w:r w:rsidR="00190C7A">
              <w:rPr>
                <w:sz w:val="20"/>
                <w:szCs w:val="20"/>
                <w:lang w:val="en-GB"/>
              </w:rPr>
              <w:t>, guidelines</w:t>
            </w:r>
            <w:r w:rsidR="009863F9">
              <w:rPr>
                <w:sz w:val="20"/>
                <w:szCs w:val="20"/>
                <w:lang w:val="en-GB"/>
              </w:rPr>
              <w:t xml:space="preserve"> </w:t>
            </w:r>
            <w:r w:rsidR="00190C7A">
              <w:rPr>
                <w:sz w:val="20"/>
                <w:szCs w:val="20"/>
                <w:lang w:val="en-GB"/>
              </w:rPr>
              <w:t xml:space="preserve">and project completion plan </w:t>
            </w:r>
            <w:r w:rsidR="009863F9">
              <w:rPr>
                <w:sz w:val="20"/>
                <w:szCs w:val="20"/>
                <w:lang w:val="en-GB"/>
              </w:rPr>
              <w:t>as agreed.</w:t>
            </w:r>
            <w:r w:rsidR="00190C7A">
              <w:rPr>
                <w:sz w:val="20"/>
                <w:szCs w:val="20"/>
                <w:lang w:val="en-GB"/>
              </w:rPr>
              <w:t xml:space="preserve"> </w:t>
            </w:r>
            <w:r w:rsidR="00AD6368">
              <w:rPr>
                <w:sz w:val="20"/>
                <w:szCs w:val="20"/>
                <w:lang w:val="en-GB"/>
              </w:rPr>
              <w:t xml:space="preserve">The National Advisory Committee on Energy (NACE) that is being activated and institutionalized through the </w:t>
            </w:r>
            <w:r w:rsidR="00F44AA8">
              <w:rPr>
                <w:sz w:val="20"/>
                <w:szCs w:val="20"/>
                <w:lang w:val="en-GB"/>
              </w:rPr>
              <w:t xml:space="preserve">ongoing development of the </w:t>
            </w:r>
            <w:r w:rsidR="00AD6368">
              <w:rPr>
                <w:sz w:val="20"/>
                <w:szCs w:val="20"/>
                <w:lang w:val="en-GB"/>
              </w:rPr>
              <w:t>Energy Act will supplement the policy making and stakeholder consultative functions of DOE</w:t>
            </w:r>
            <w:r w:rsidR="00F44AA8">
              <w:rPr>
                <w:sz w:val="20"/>
                <w:szCs w:val="20"/>
                <w:lang w:val="en-GB"/>
              </w:rPr>
              <w:t>.</w:t>
            </w:r>
            <w:r w:rsidR="00AD6368">
              <w:rPr>
                <w:sz w:val="20"/>
                <w:szCs w:val="20"/>
                <w:lang w:val="en-GB"/>
              </w:rPr>
              <w:t xml:space="preserve"> </w:t>
            </w:r>
            <w:r w:rsidR="00190C7A">
              <w:rPr>
                <w:sz w:val="20"/>
                <w:szCs w:val="20"/>
                <w:lang w:val="en-GB"/>
              </w:rPr>
              <w:t xml:space="preserve">The regular UNDP/DOE/TEC/PMU weekly oversight coordination meeting which was initiated before the MTR will continue to be conducted </w:t>
            </w:r>
            <w:r w:rsidR="00AD6368">
              <w:rPr>
                <w:sz w:val="20"/>
                <w:szCs w:val="20"/>
                <w:lang w:val="en-GB"/>
              </w:rPr>
              <w:t xml:space="preserve">to track progress, </w:t>
            </w:r>
            <w:r w:rsidR="00F44AA8">
              <w:rPr>
                <w:sz w:val="20"/>
                <w:szCs w:val="20"/>
                <w:lang w:val="en-GB"/>
              </w:rPr>
              <w:t>resolve</w:t>
            </w:r>
            <w:r w:rsidR="00AD6368">
              <w:rPr>
                <w:sz w:val="20"/>
                <w:szCs w:val="20"/>
                <w:lang w:val="en-GB"/>
              </w:rPr>
              <w:t xml:space="preserve"> project issues</w:t>
            </w:r>
            <w:r w:rsidR="00F44AA8">
              <w:rPr>
                <w:sz w:val="20"/>
                <w:szCs w:val="20"/>
                <w:lang w:val="en-GB"/>
              </w:rPr>
              <w:t>,</w:t>
            </w:r>
            <w:r w:rsidR="00AD6368">
              <w:rPr>
                <w:sz w:val="20"/>
                <w:szCs w:val="20"/>
                <w:lang w:val="en-GB"/>
              </w:rPr>
              <w:t xml:space="preserve"> </w:t>
            </w:r>
            <w:r w:rsidR="00F44AA8">
              <w:rPr>
                <w:sz w:val="20"/>
                <w:szCs w:val="20"/>
                <w:lang w:val="en-GB"/>
              </w:rPr>
              <w:t>manage various</w:t>
            </w:r>
            <w:r w:rsidR="00AD6368">
              <w:rPr>
                <w:sz w:val="20"/>
                <w:szCs w:val="20"/>
                <w:lang w:val="en-GB"/>
              </w:rPr>
              <w:t xml:space="preserve"> </w:t>
            </w:r>
            <w:proofErr w:type="gramStart"/>
            <w:r w:rsidR="00AD6368">
              <w:rPr>
                <w:sz w:val="20"/>
                <w:szCs w:val="20"/>
                <w:lang w:val="en-GB"/>
              </w:rPr>
              <w:t>risk</w:t>
            </w:r>
            <w:r w:rsidR="00F44AA8">
              <w:rPr>
                <w:sz w:val="20"/>
                <w:szCs w:val="20"/>
                <w:lang w:val="en-GB"/>
              </w:rPr>
              <w:t>s</w:t>
            </w:r>
            <w:proofErr w:type="gramEnd"/>
            <w:r w:rsidR="00AD6368">
              <w:rPr>
                <w:sz w:val="20"/>
                <w:szCs w:val="20"/>
                <w:lang w:val="en-GB"/>
              </w:rPr>
              <w:t xml:space="preserve"> and facilitate decision making to fast track project implementation.</w:t>
            </w:r>
            <w:r w:rsidR="00190C7A">
              <w:rPr>
                <w:sz w:val="20"/>
                <w:szCs w:val="20"/>
                <w:lang w:val="en-GB"/>
              </w:rPr>
              <w:t xml:space="preserve"> </w:t>
            </w:r>
            <w:r w:rsidR="00970B7D">
              <w:rPr>
                <w:sz w:val="20"/>
                <w:szCs w:val="20"/>
                <w:lang w:val="en-GB"/>
              </w:rPr>
              <w:t xml:space="preserve"> </w:t>
            </w:r>
            <w:r w:rsidR="008036CE">
              <w:rPr>
                <w:sz w:val="20"/>
                <w:szCs w:val="20"/>
              </w:rPr>
              <w:t xml:space="preserve"> </w:t>
            </w:r>
          </w:p>
        </w:tc>
      </w:tr>
      <w:tr w:rsidR="00E210CC" w:rsidRPr="00C5739B" w14:paraId="533BAEF7" w14:textId="77777777" w:rsidTr="00441924">
        <w:trPr>
          <w:trHeight w:val="135"/>
        </w:trPr>
        <w:tc>
          <w:tcPr>
            <w:tcW w:w="4384" w:type="dxa"/>
            <w:vMerge w:val="restart"/>
            <w:shd w:val="clear" w:color="auto" w:fill="F3F3F3"/>
          </w:tcPr>
          <w:p w14:paraId="2FBA8CEC"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18" w:type="dxa"/>
            <w:vMerge w:val="restart"/>
            <w:shd w:val="clear" w:color="auto" w:fill="F3F3F3"/>
          </w:tcPr>
          <w:p w14:paraId="22BD0B42"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11" w:type="dxa"/>
            <w:vMerge w:val="restart"/>
            <w:shd w:val="clear" w:color="auto" w:fill="F3F3F3"/>
          </w:tcPr>
          <w:p w14:paraId="4965AE6E"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14" w:type="dxa"/>
            <w:gridSpan w:val="2"/>
            <w:shd w:val="clear" w:color="auto" w:fill="F3F3F3"/>
          </w:tcPr>
          <w:p w14:paraId="5CE1886D"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1C5382AF" w14:textId="77777777" w:rsidTr="00441924">
        <w:trPr>
          <w:trHeight w:val="135"/>
        </w:trPr>
        <w:tc>
          <w:tcPr>
            <w:tcW w:w="4384" w:type="dxa"/>
            <w:vMerge/>
            <w:shd w:val="clear" w:color="auto" w:fill="F3F3F3"/>
          </w:tcPr>
          <w:p w14:paraId="33B40CC1" w14:textId="77777777" w:rsidR="00E210CC" w:rsidRPr="00C5739B" w:rsidRDefault="00E210CC" w:rsidP="00441924">
            <w:pPr>
              <w:tabs>
                <w:tab w:val="left" w:pos="1080"/>
              </w:tabs>
              <w:rPr>
                <w:sz w:val="20"/>
                <w:szCs w:val="20"/>
              </w:rPr>
            </w:pPr>
          </w:p>
        </w:tc>
        <w:tc>
          <w:tcPr>
            <w:tcW w:w="2918" w:type="dxa"/>
            <w:vMerge/>
            <w:shd w:val="clear" w:color="auto" w:fill="F3F3F3"/>
          </w:tcPr>
          <w:p w14:paraId="1D5A057B" w14:textId="77777777" w:rsidR="00E210CC" w:rsidRPr="00C5739B" w:rsidRDefault="00E210CC" w:rsidP="00441924">
            <w:pPr>
              <w:tabs>
                <w:tab w:val="left" w:pos="1080"/>
              </w:tabs>
              <w:rPr>
                <w:b/>
                <w:sz w:val="20"/>
                <w:szCs w:val="20"/>
              </w:rPr>
            </w:pPr>
          </w:p>
        </w:tc>
        <w:tc>
          <w:tcPr>
            <w:tcW w:w="2611" w:type="dxa"/>
            <w:vMerge/>
            <w:shd w:val="clear" w:color="auto" w:fill="F3F3F3"/>
          </w:tcPr>
          <w:p w14:paraId="21911075" w14:textId="77777777" w:rsidR="00E210CC" w:rsidRPr="00C5739B" w:rsidRDefault="00E210CC" w:rsidP="00441924">
            <w:pPr>
              <w:tabs>
                <w:tab w:val="left" w:pos="1080"/>
              </w:tabs>
              <w:rPr>
                <w:b/>
                <w:sz w:val="20"/>
                <w:szCs w:val="20"/>
              </w:rPr>
            </w:pPr>
          </w:p>
        </w:tc>
        <w:tc>
          <w:tcPr>
            <w:tcW w:w="1253" w:type="dxa"/>
          </w:tcPr>
          <w:p w14:paraId="55312B00"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61" w:type="dxa"/>
          </w:tcPr>
          <w:p w14:paraId="5A4B7850" w14:textId="77777777" w:rsidR="00E210CC" w:rsidRPr="00C5739B" w:rsidRDefault="00E210CC" w:rsidP="00441924">
            <w:pPr>
              <w:tabs>
                <w:tab w:val="left" w:pos="1080"/>
              </w:tabs>
              <w:jc w:val="center"/>
              <w:rPr>
                <w:b/>
                <w:sz w:val="20"/>
                <w:szCs w:val="20"/>
              </w:rPr>
            </w:pPr>
            <w:r w:rsidRPr="00C5739B">
              <w:rPr>
                <w:b/>
                <w:sz w:val="20"/>
                <w:szCs w:val="20"/>
              </w:rPr>
              <w:t>Status</w:t>
            </w:r>
          </w:p>
        </w:tc>
      </w:tr>
      <w:tr w:rsidR="008A05FC" w:rsidRPr="00C5739B" w14:paraId="597DB594" w14:textId="77777777" w:rsidTr="00441924">
        <w:tc>
          <w:tcPr>
            <w:tcW w:w="4384" w:type="dxa"/>
          </w:tcPr>
          <w:p w14:paraId="4AC94373" w14:textId="20134858" w:rsidR="008A05FC" w:rsidRPr="00C5739B" w:rsidRDefault="008A05FC" w:rsidP="008A05FC">
            <w:pPr>
              <w:tabs>
                <w:tab w:val="left" w:pos="1080"/>
              </w:tabs>
              <w:rPr>
                <w:sz w:val="20"/>
                <w:szCs w:val="20"/>
              </w:rPr>
            </w:pPr>
            <w:r w:rsidRPr="00C5739B">
              <w:rPr>
                <w:sz w:val="20"/>
                <w:szCs w:val="20"/>
              </w:rPr>
              <w:t xml:space="preserve">2.1 </w:t>
            </w:r>
            <w:r>
              <w:rPr>
                <w:sz w:val="20"/>
                <w:szCs w:val="20"/>
              </w:rPr>
              <w:t>Discussion and decision on the improvement of the project management and reporting system involving MTET/DOE, TEC</w:t>
            </w:r>
            <w:r w:rsidR="00D767CF">
              <w:rPr>
                <w:sz w:val="20"/>
                <w:szCs w:val="20"/>
              </w:rPr>
              <w:t>,</w:t>
            </w:r>
            <w:r>
              <w:rPr>
                <w:sz w:val="20"/>
                <w:szCs w:val="20"/>
              </w:rPr>
              <w:t xml:space="preserve"> and PMU</w:t>
            </w:r>
            <w:r w:rsidR="00AA6BC6">
              <w:rPr>
                <w:sz w:val="20"/>
                <w:szCs w:val="20"/>
              </w:rPr>
              <w:t xml:space="preserve">. The new Director of DOE will assume the National Project Director role as described in the </w:t>
            </w:r>
            <w:proofErr w:type="spellStart"/>
            <w:r w:rsidR="00AA6BC6">
              <w:rPr>
                <w:sz w:val="20"/>
                <w:szCs w:val="20"/>
              </w:rPr>
              <w:t>ProDoc</w:t>
            </w:r>
            <w:proofErr w:type="spellEnd"/>
            <w:r w:rsidR="00AA6BC6">
              <w:rPr>
                <w:sz w:val="20"/>
                <w:szCs w:val="20"/>
              </w:rPr>
              <w:t>/Project Management structure. The reporting system will follow the sharing of responsibilities described in Response #1.3 above.</w:t>
            </w:r>
          </w:p>
        </w:tc>
        <w:tc>
          <w:tcPr>
            <w:tcW w:w="2918" w:type="dxa"/>
          </w:tcPr>
          <w:p w14:paraId="262D5E62" w14:textId="77777777" w:rsidR="008A05FC" w:rsidRPr="00C5739B" w:rsidRDefault="008A05FC" w:rsidP="008A05FC">
            <w:pPr>
              <w:tabs>
                <w:tab w:val="left" w:pos="1080"/>
              </w:tabs>
              <w:rPr>
                <w:sz w:val="20"/>
                <w:szCs w:val="20"/>
              </w:rPr>
            </w:pPr>
            <w:r>
              <w:rPr>
                <w:sz w:val="20"/>
                <w:szCs w:val="20"/>
              </w:rPr>
              <w:t xml:space="preserve">June </w:t>
            </w:r>
            <w:r w:rsidR="00AD6368">
              <w:rPr>
                <w:sz w:val="20"/>
                <w:szCs w:val="20"/>
              </w:rPr>
              <w:t>2</w:t>
            </w:r>
            <w:r>
              <w:rPr>
                <w:sz w:val="20"/>
                <w:szCs w:val="20"/>
              </w:rPr>
              <w:t>0, 2021</w:t>
            </w:r>
          </w:p>
        </w:tc>
        <w:tc>
          <w:tcPr>
            <w:tcW w:w="2611" w:type="dxa"/>
          </w:tcPr>
          <w:p w14:paraId="358A93A5" w14:textId="1D3641DB" w:rsidR="008A05FC" w:rsidRPr="00C5739B" w:rsidRDefault="008A05FC" w:rsidP="008A05FC">
            <w:pPr>
              <w:tabs>
                <w:tab w:val="left" w:pos="1080"/>
              </w:tabs>
              <w:rPr>
                <w:sz w:val="20"/>
                <w:szCs w:val="20"/>
              </w:rPr>
            </w:pPr>
            <w:r>
              <w:rPr>
                <w:sz w:val="20"/>
                <w:szCs w:val="20"/>
              </w:rPr>
              <w:t>MTET/DOE</w:t>
            </w:r>
            <w:r w:rsidR="00536AF6">
              <w:rPr>
                <w:sz w:val="20"/>
                <w:szCs w:val="20"/>
              </w:rPr>
              <w:t xml:space="preserve"> (Lead)</w:t>
            </w:r>
            <w:r>
              <w:rPr>
                <w:sz w:val="20"/>
                <w:szCs w:val="20"/>
              </w:rPr>
              <w:t xml:space="preserve">, UNDP, </w:t>
            </w:r>
            <w:r w:rsidR="00D8502F">
              <w:rPr>
                <w:sz w:val="20"/>
                <w:szCs w:val="20"/>
              </w:rPr>
              <w:t>TEC,</w:t>
            </w:r>
            <w:r>
              <w:rPr>
                <w:sz w:val="20"/>
                <w:szCs w:val="20"/>
              </w:rPr>
              <w:t xml:space="preserve"> and PMU</w:t>
            </w:r>
          </w:p>
        </w:tc>
        <w:tc>
          <w:tcPr>
            <w:tcW w:w="1253" w:type="dxa"/>
          </w:tcPr>
          <w:p w14:paraId="204EE3B4" w14:textId="77777777" w:rsidR="008A05FC" w:rsidRPr="00C5739B" w:rsidRDefault="008A05FC" w:rsidP="008A05FC">
            <w:pPr>
              <w:tabs>
                <w:tab w:val="left" w:pos="1080"/>
              </w:tabs>
              <w:rPr>
                <w:sz w:val="20"/>
                <w:szCs w:val="20"/>
              </w:rPr>
            </w:pPr>
          </w:p>
        </w:tc>
        <w:tc>
          <w:tcPr>
            <w:tcW w:w="1161" w:type="dxa"/>
          </w:tcPr>
          <w:p w14:paraId="0D82442A" w14:textId="77777777" w:rsidR="008A05FC" w:rsidRPr="00C5739B" w:rsidRDefault="006E67C8" w:rsidP="008A05FC">
            <w:pPr>
              <w:tabs>
                <w:tab w:val="left" w:pos="1080"/>
              </w:tabs>
              <w:rPr>
                <w:sz w:val="20"/>
                <w:szCs w:val="20"/>
              </w:rPr>
            </w:pPr>
            <w:r>
              <w:rPr>
                <w:sz w:val="20"/>
                <w:szCs w:val="20"/>
              </w:rPr>
              <w:t>Completed</w:t>
            </w:r>
          </w:p>
        </w:tc>
      </w:tr>
      <w:tr w:rsidR="008A05FC" w:rsidRPr="00C5739B" w14:paraId="7B12C279" w14:textId="77777777" w:rsidTr="00441924">
        <w:tc>
          <w:tcPr>
            <w:tcW w:w="4384" w:type="dxa"/>
          </w:tcPr>
          <w:p w14:paraId="46ABE30E" w14:textId="54A3A4BD" w:rsidR="008A05FC" w:rsidRPr="00C5739B" w:rsidRDefault="008A05FC" w:rsidP="008A05FC">
            <w:pPr>
              <w:tabs>
                <w:tab w:val="left" w:pos="1080"/>
              </w:tabs>
              <w:rPr>
                <w:sz w:val="20"/>
                <w:szCs w:val="20"/>
              </w:rPr>
            </w:pPr>
            <w:r w:rsidRPr="00C5739B">
              <w:rPr>
                <w:sz w:val="20"/>
                <w:szCs w:val="20"/>
              </w:rPr>
              <w:t xml:space="preserve">2.2 </w:t>
            </w:r>
            <w:r>
              <w:rPr>
                <w:sz w:val="20"/>
                <w:szCs w:val="20"/>
              </w:rPr>
              <w:t xml:space="preserve">Documentation of the agreed </w:t>
            </w:r>
            <w:r w:rsidR="00D767CF">
              <w:rPr>
                <w:sz w:val="20"/>
                <w:szCs w:val="20"/>
              </w:rPr>
              <w:t xml:space="preserve">system for </w:t>
            </w:r>
            <w:r>
              <w:rPr>
                <w:sz w:val="20"/>
                <w:szCs w:val="20"/>
              </w:rPr>
              <w:t xml:space="preserve">project management and reporting/monitoring </w:t>
            </w:r>
          </w:p>
        </w:tc>
        <w:tc>
          <w:tcPr>
            <w:tcW w:w="2918" w:type="dxa"/>
          </w:tcPr>
          <w:p w14:paraId="4B326654" w14:textId="45601729" w:rsidR="008A05FC" w:rsidRPr="00C5739B" w:rsidRDefault="00A142F5" w:rsidP="008A05FC">
            <w:pPr>
              <w:tabs>
                <w:tab w:val="left" w:pos="1080"/>
              </w:tabs>
              <w:rPr>
                <w:sz w:val="20"/>
                <w:szCs w:val="20"/>
              </w:rPr>
            </w:pPr>
            <w:r>
              <w:rPr>
                <w:sz w:val="20"/>
                <w:szCs w:val="20"/>
              </w:rPr>
              <w:t xml:space="preserve">September </w:t>
            </w:r>
            <w:r w:rsidR="00AD6368">
              <w:rPr>
                <w:sz w:val="20"/>
                <w:szCs w:val="20"/>
              </w:rPr>
              <w:t>1</w:t>
            </w:r>
            <w:r w:rsidR="008A05FC">
              <w:rPr>
                <w:sz w:val="20"/>
                <w:szCs w:val="20"/>
              </w:rPr>
              <w:t>0, 2021</w:t>
            </w:r>
          </w:p>
        </w:tc>
        <w:tc>
          <w:tcPr>
            <w:tcW w:w="2611" w:type="dxa"/>
          </w:tcPr>
          <w:p w14:paraId="678C80FA" w14:textId="687E292C" w:rsidR="008A05FC" w:rsidRPr="00C5739B" w:rsidRDefault="008A05FC" w:rsidP="008A05FC">
            <w:pPr>
              <w:tabs>
                <w:tab w:val="left" w:pos="1080"/>
              </w:tabs>
              <w:rPr>
                <w:sz w:val="20"/>
                <w:szCs w:val="20"/>
              </w:rPr>
            </w:pPr>
            <w:r>
              <w:rPr>
                <w:sz w:val="20"/>
                <w:szCs w:val="20"/>
              </w:rPr>
              <w:t>MTET/DOE</w:t>
            </w:r>
            <w:r w:rsidR="00536AF6">
              <w:rPr>
                <w:sz w:val="20"/>
                <w:szCs w:val="20"/>
              </w:rPr>
              <w:t xml:space="preserve"> (Lead)</w:t>
            </w:r>
            <w:r>
              <w:rPr>
                <w:sz w:val="20"/>
                <w:szCs w:val="20"/>
              </w:rPr>
              <w:t xml:space="preserve">, </w:t>
            </w:r>
            <w:r w:rsidR="00D8502F">
              <w:rPr>
                <w:sz w:val="20"/>
                <w:szCs w:val="20"/>
              </w:rPr>
              <w:t>UNDP,</w:t>
            </w:r>
            <w:r>
              <w:rPr>
                <w:sz w:val="20"/>
                <w:szCs w:val="20"/>
              </w:rPr>
              <w:t xml:space="preserve"> and TEC</w:t>
            </w:r>
          </w:p>
        </w:tc>
        <w:tc>
          <w:tcPr>
            <w:tcW w:w="1253" w:type="dxa"/>
          </w:tcPr>
          <w:p w14:paraId="143CD635" w14:textId="77777777" w:rsidR="008A05FC" w:rsidRPr="00C5739B" w:rsidRDefault="008A05FC" w:rsidP="008A05FC">
            <w:pPr>
              <w:tabs>
                <w:tab w:val="left" w:pos="1080"/>
              </w:tabs>
              <w:rPr>
                <w:sz w:val="20"/>
                <w:szCs w:val="20"/>
              </w:rPr>
            </w:pPr>
          </w:p>
        </w:tc>
        <w:tc>
          <w:tcPr>
            <w:tcW w:w="1161" w:type="dxa"/>
          </w:tcPr>
          <w:p w14:paraId="7CF26B7E" w14:textId="77777777" w:rsidR="008A05FC" w:rsidRPr="00C5739B" w:rsidRDefault="008A05FC" w:rsidP="008A05FC">
            <w:pPr>
              <w:tabs>
                <w:tab w:val="left" w:pos="1080"/>
              </w:tabs>
              <w:rPr>
                <w:sz w:val="20"/>
                <w:szCs w:val="20"/>
              </w:rPr>
            </w:pPr>
          </w:p>
        </w:tc>
      </w:tr>
      <w:tr w:rsidR="008A05FC" w:rsidRPr="00C5739B" w14:paraId="53FB1E06" w14:textId="77777777" w:rsidTr="00441924">
        <w:tc>
          <w:tcPr>
            <w:tcW w:w="4384" w:type="dxa"/>
          </w:tcPr>
          <w:p w14:paraId="19BB85FC" w14:textId="5FAB292D" w:rsidR="008A05FC" w:rsidRPr="00C5739B" w:rsidRDefault="008A05FC" w:rsidP="008A05FC">
            <w:pPr>
              <w:tabs>
                <w:tab w:val="left" w:pos="1080"/>
              </w:tabs>
              <w:rPr>
                <w:sz w:val="20"/>
                <w:szCs w:val="20"/>
              </w:rPr>
            </w:pPr>
            <w:r w:rsidRPr="00C5739B">
              <w:rPr>
                <w:sz w:val="20"/>
                <w:szCs w:val="20"/>
              </w:rPr>
              <w:t>2.3</w:t>
            </w:r>
            <w:r>
              <w:rPr>
                <w:sz w:val="20"/>
                <w:szCs w:val="20"/>
              </w:rPr>
              <w:t xml:space="preserve"> </w:t>
            </w:r>
            <w:r w:rsidR="00336F57">
              <w:rPr>
                <w:sz w:val="20"/>
                <w:szCs w:val="20"/>
              </w:rPr>
              <w:t xml:space="preserve">Issuance of </w:t>
            </w:r>
            <w:r>
              <w:rPr>
                <w:sz w:val="20"/>
                <w:szCs w:val="20"/>
              </w:rPr>
              <w:t xml:space="preserve">the Memo Order </w:t>
            </w:r>
            <w:r w:rsidR="00336F57">
              <w:rPr>
                <w:sz w:val="20"/>
                <w:szCs w:val="20"/>
              </w:rPr>
              <w:t xml:space="preserve">regarding the </w:t>
            </w:r>
            <w:r>
              <w:rPr>
                <w:sz w:val="20"/>
                <w:szCs w:val="20"/>
              </w:rPr>
              <w:t xml:space="preserve">agreed implementation arrangements in </w:t>
            </w:r>
            <w:r w:rsidR="00D767CF">
              <w:rPr>
                <w:sz w:val="20"/>
                <w:szCs w:val="20"/>
              </w:rPr>
              <w:t xml:space="preserve">Item </w:t>
            </w:r>
            <w:r>
              <w:rPr>
                <w:sz w:val="20"/>
                <w:szCs w:val="20"/>
              </w:rPr>
              <w:t>1.3</w:t>
            </w:r>
            <w:r w:rsidR="00AD6368">
              <w:rPr>
                <w:sz w:val="20"/>
                <w:szCs w:val="20"/>
              </w:rPr>
              <w:t xml:space="preserve"> above</w:t>
            </w:r>
            <w:r>
              <w:rPr>
                <w:sz w:val="20"/>
                <w:szCs w:val="20"/>
              </w:rPr>
              <w:t xml:space="preserve">  </w:t>
            </w:r>
          </w:p>
        </w:tc>
        <w:tc>
          <w:tcPr>
            <w:tcW w:w="2918" w:type="dxa"/>
          </w:tcPr>
          <w:p w14:paraId="4A0FC8EC" w14:textId="12654DC0" w:rsidR="008A05FC" w:rsidRPr="00C5739B" w:rsidRDefault="00A142F5" w:rsidP="008A05FC">
            <w:pPr>
              <w:tabs>
                <w:tab w:val="left" w:pos="1080"/>
              </w:tabs>
              <w:rPr>
                <w:sz w:val="20"/>
                <w:szCs w:val="20"/>
              </w:rPr>
            </w:pPr>
            <w:r>
              <w:rPr>
                <w:sz w:val="20"/>
                <w:szCs w:val="20"/>
              </w:rPr>
              <w:t xml:space="preserve">September </w:t>
            </w:r>
            <w:r w:rsidR="000C68F8">
              <w:rPr>
                <w:sz w:val="20"/>
                <w:szCs w:val="20"/>
              </w:rPr>
              <w:t>30</w:t>
            </w:r>
            <w:r w:rsidR="008A05FC">
              <w:rPr>
                <w:sz w:val="20"/>
                <w:szCs w:val="20"/>
              </w:rPr>
              <w:t>, 2021</w:t>
            </w:r>
          </w:p>
        </w:tc>
        <w:tc>
          <w:tcPr>
            <w:tcW w:w="2611" w:type="dxa"/>
          </w:tcPr>
          <w:p w14:paraId="5A9BDE4C" w14:textId="77777777" w:rsidR="008A05FC" w:rsidRPr="00C5739B" w:rsidRDefault="008A05FC" w:rsidP="008A05FC">
            <w:pPr>
              <w:tabs>
                <w:tab w:val="left" w:pos="1080"/>
              </w:tabs>
              <w:rPr>
                <w:sz w:val="20"/>
                <w:szCs w:val="20"/>
              </w:rPr>
            </w:pPr>
            <w:r>
              <w:rPr>
                <w:sz w:val="20"/>
                <w:szCs w:val="20"/>
              </w:rPr>
              <w:t>MTET/DOE</w:t>
            </w:r>
          </w:p>
        </w:tc>
        <w:tc>
          <w:tcPr>
            <w:tcW w:w="1253" w:type="dxa"/>
          </w:tcPr>
          <w:p w14:paraId="28ABFE46" w14:textId="77777777" w:rsidR="008A05FC" w:rsidRPr="00C5739B" w:rsidRDefault="008A05FC" w:rsidP="008A05FC">
            <w:pPr>
              <w:tabs>
                <w:tab w:val="left" w:pos="1080"/>
              </w:tabs>
              <w:rPr>
                <w:sz w:val="20"/>
                <w:szCs w:val="20"/>
              </w:rPr>
            </w:pPr>
          </w:p>
        </w:tc>
        <w:tc>
          <w:tcPr>
            <w:tcW w:w="1161" w:type="dxa"/>
          </w:tcPr>
          <w:p w14:paraId="69469626" w14:textId="77777777" w:rsidR="008A05FC" w:rsidRPr="00C5739B" w:rsidRDefault="008A05FC" w:rsidP="008A05FC">
            <w:pPr>
              <w:tabs>
                <w:tab w:val="left" w:pos="1080"/>
              </w:tabs>
              <w:rPr>
                <w:sz w:val="20"/>
                <w:szCs w:val="20"/>
              </w:rPr>
            </w:pPr>
          </w:p>
        </w:tc>
      </w:tr>
    </w:tbl>
    <w:p w14:paraId="63BBAD6F" w14:textId="77777777" w:rsidR="00E210CC" w:rsidRPr="00BD1669" w:rsidRDefault="00E210CC" w:rsidP="00E210CC">
      <w:pPr>
        <w:tabs>
          <w:tab w:val="left" w:pos="1080"/>
        </w:tabs>
        <w:rPr>
          <w:sz w:val="20"/>
          <w:szCs w:val="20"/>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E210CC" w:rsidRPr="00C5739B" w14:paraId="49B18AFA" w14:textId="77777777" w:rsidTr="00441924">
        <w:tc>
          <w:tcPr>
            <w:tcW w:w="12327" w:type="dxa"/>
            <w:gridSpan w:val="5"/>
            <w:shd w:val="clear" w:color="auto" w:fill="F3F3F3"/>
          </w:tcPr>
          <w:p w14:paraId="31F972B0" w14:textId="77777777" w:rsidR="00E210CC" w:rsidRPr="00C5739B" w:rsidRDefault="00E210CC" w:rsidP="00441924">
            <w:pPr>
              <w:tabs>
                <w:tab w:val="left" w:pos="1080"/>
              </w:tabs>
              <w:rPr>
                <w:b/>
                <w:sz w:val="20"/>
                <w:szCs w:val="20"/>
              </w:rPr>
            </w:pPr>
            <w:r w:rsidRPr="00C5739B">
              <w:rPr>
                <w:sz w:val="20"/>
                <w:szCs w:val="20"/>
              </w:rPr>
              <w:br w:type="page"/>
            </w:r>
            <w:r w:rsidRPr="00C5739B">
              <w:rPr>
                <w:b/>
                <w:sz w:val="20"/>
                <w:szCs w:val="20"/>
              </w:rPr>
              <w:t xml:space="preserve">Evaluation recommendation 3. </w:t>
            </w:r>
            <w:r w:rsidRPr="00E210CC">
              <w:rPr>
                <w:b/>
                <w:i/>
                <w:sz w:val="20"/>
                <w:szCs w:val="20"/>
              </w:rPr>
              <w:t>Visibility</w:t>
            </w:r>
            <w:r w:rsidRPr="00E210CC">
              <w:rPr>
                <w:b/>
                <w:sz w:val="20"/>
                <w:szCs w:val="20"/>
              </w:rPr>
              <w:t xml:space="preserve"> - </w:t>
            </w:r>
            <w:r w:rsidRPr="00E210CC">
              <w:rPr>
                <w:sz w:val="20"/>
                <w:szCs w:val="20"/>
              </w:rPr>
              <w:t xml:space="preserve">Many government officials in the energy sector and other relevant areas know only remotely about the </w:t>
            </w:r>
            <w:r w:rsidRPr="00E210CC">
              <w:rPr>
                <w:sz w:val="20"/>
                <w:szCs w:val="20"/>
              </w:rPr>
              <w:lastRenderedPageBreak/>
              <w:t xml:space="preserve">FASNETT project. It is crucial that the project improves its visibility, to raise interest in collaboration and coordination, and to be able to disseminate best practices </w:t>
            </w:r>
            <w:proofErr w:type="gramStart"/>
            <w:r w:rsidRPr="00E210CC">
              <w:rPr>
                <w:sz w:val="20"/>
                <w:szCs w:val="20"/>
              </w:rPr>
              <w:t>later on</w:t>
            </w:r>
            <w:proofErr w:type="gramEnd"/>
            <w:r w:rsidRPr="00E210CC">
              <w:rPr>
                <w:sz w:val="20"/>
                <w:szCs w:val="20"/>
              </w:rPr>
              <w:t xml:space="preserve"> during implementation. This could be done through media (Internet, radio, etc.), printed material, and most of all the project’s presence in multi-stakeholder events, in collaboration with public and private stakeholders and other projects.</w:t>
            </w:r>
          </w:p>
        </w:tc>
      </w:tr>
      <w:tr w:rsidR="00E210CC" w:rsidRPr="00C5739B" w14:paraId="57A6254F" w14:textId="77777777" w:rsidTr="00441924">
        <w:tc>
          <w:tcPr>
            <w:tcW w:w="12327" w:type="dxa"/>
            <w:gridSpan w:val="5"/>
            <w:tcBorders>
              <w:top w:val="single" w:sz="4" w:space="0" w:color="auto"/>
              <w:bottom w:val="single" w:sz="6" w:space="0" w:color="auto"/>
            </w:tcBorders>
            <w:shd w:val="clear" w:color="auto" w:fill="F3F3F3"/>
          </w:tcPr>
          <w:p w14:paraId="3B2D65C6" w14:textId="15069B3A" w:rsidR="00E210CC" w:rsidRPr="00DA6916" w:rsidRDefault="00E210CC" w:rsidP="00DA6916">
            <w:pPr>
              <w:tabs>
                <w:tab w:val="left" w:pos="1080"/>
              </w:tabs>
              <w:rPr>
                <w:sz w:val="20"/>
                <w:szCs w:val="20"/>
                <w:lang w:val="en-GB"/>
              </w:rPr>
            </w:pPr>
            <w:r w:rsidRPr="00C5739B">
              <w:rPr>
                <w:b/>
                <w:sz w:val="20"/>
                <w:szCs w:val="20"/>
              </w:rPr>
              <w:lastRenderedPageBreak/>
              <w:t>Management response</w:t>
            </w:r>
            <w:r w:rsidRPr="00C5739B">
              <w:rPr>
                <w:sz w:val="20"/>
                <w:szCs w:val="20"/>
              </w:rPr>
              <w:t xml:space="preserve">: </w:t>
            </w:r>
            <w:r w:rsidR="00027D3D" w:rsidRPr="00027D3D">
              <w:rPr>
                <w:b/>
                <w:i/>
                <w:sz w:val="20"/>
                <w:szCs w:val="20"/>
              </w:rPr>
              <w:t>Agree</w:t>
            </w:r>
            <w:r w:rsidR="00027D3D">
              <w:rPr>
                <w:sz w:val="20"/>
                <w:szCs w:val="20"/>
              </w:rPr>
              <w:t xml:space="preserve">. </w:t>
            </w:r>
            <w:r w:rsidR="00AA6BC6">
              <w:rPr>
                <w:sz w:val="20"/>
                <w:szCs w:val="20"/>
              </w:rPr>
              <w:t xml:space="preserve">The </w:t>
            </w:r>
            <w:r w:rsidR="00DA6916" w:rsidRPr="00DA6916">
              <w:rPr>
                <w:sz w:val="20"/>
                <w:szCs w:val="20"/>
                <w:lang w:val="en-GB"/>
              </w:rPr>
              <w:t xml:space="preserve">Project </w:t>
            </w:r>
            <w:r w:rsidR="00AA6BC6">
              <w:rPr>
                <w:sz w:val="20"/>
                <w:szCs w:val="20"/>
                <w:lang w:val="en-GB"/>
              </w:rPr>
              <w:t xml:space="preserve">will continue to pursue the improvement of </w:t>
            </w:r>
            <w:r w:rsidR="00DA6916" w:rsidRPr="00DA6916">
              <w:rPr>
                <w:sz w:val="20"/>
                <w:szCs w:val="20"/>
                <w:lang w:val="en-GB"/>
              </w:rPr>
              <w:t xml:space="preserve">awareness </w:t>
            </w:r>
            <w:r w:rsidR="00AA6BC6">
              <w:rPr>
                <w:sz w:val="20"/>
                <w:szCs w:val="20"/>
                <w:lang w:val="en-GB"/>
              </w:rPr>
              <w:t xml:space="preserve">and visibility </w:t>
            </w:r>
            <w:r w:rsidR="00AA6BC6" w:rsidRPr="00AA6BC6">
              <w:rPr>
                <w:sz w:val="20"/>
                <w:szCs w:val="20"/>
                <w:lang w:val="en-GB"/>
              </w:rPr>
              <w:t>for the project</w:t>
            </w:r>
            <w:r w:rsidR="00AA6BC6">
              <w:rPr>
                <w:sz w:val="20"/>
                <w:szCs w:val="20"/>
                <w:lang w:val="en-GB"/>
              </w:rPr>
              <w:t xml:space="preserve"> and its </w:t>
            </w:r>
            <w:r w:rsidR="00DA6916" w:rsidRPr="00DA6916">
              <w:rPr>
                <w:sz w:val="20"/>
                <w:szCs w:val="20"/>
                <w:lang w:val="en-GB"/>
              </w:rPr>
              <w:t>activities</w:t>
            </w:r>
            <w:r w:rsidR="00AA6BC6">
              <w:rPr>
                <w:sz w:val="20"/>
                <w:szCs w:val="20"/>
                <w:lang w:val="en-GB"/>
              </w:rPr>
              <w:t xml:space="preserve"> and desired results</w:t>
            </w:r>
            <w:r w:rsidR="00DA6916" w:rsidRPr="00DA6916">
              <w:rPr>
                <w:sz w:val="20"/>
                <w:szCs w:val="20"/>
                <w:lang w:val="en-GB"/>
              </w:rPr>
              <w:t>.</w:t>
            </w:r>
            <w:r w:rsidR="00286298">
              <w:rPr>
                <w:sz w:val="20"/>
                <w:szCs w:val="20"/>
                <w:lang w:val="en-GB"/>
              </w:rPr>
              <w:t xml:space="preserve"> The Project Team </w:t>
            </w:r>
            <w:r w:rsidR="00F8511C">
              <w:rPr>
                <w:sz w:val="20"/>
                <w:szCs w:val="20"/>
                <w:lang w:val="en-GB"/>
              </w:rPr>
              <w:t xml:space="preserve">as assisted by the Consultant </w:t>
            </w:r>
            <w:r w:rsidR="00286298">
              <w:rPr>
                <w:sz w:val="20"/>
                <w:szCs w:val="20"/>
                <w:lang w:val="en-GB"/>
              </w:rPr>
              <w:t>will continue with the main activities as described below on</w:t>
            </w:r>
            <w:r w:rsidR="00F8511C">
              <w:rPr>
                <w:sz w:val="20"/>
                <w:szCs w:val="20"/>
                <w:lang w:val="en-GB"/>
              </w:rPr>
              <w:t xml:space="preserve"> the</w:t>
            </w:r>
            <w:r w:rsidR="00286298">
              <w:rPr>
                <w:sz w:val="20"/>
                <w:szCs w:val="20"/>
                <w:lang w:val="en-GB"/>
              </w:rPr>
              <w:t xml:space="preserve"> development of a communication plan, </w:t>
            </w:r>
            <w:r w:rsidR="00F8511C">
              <w:rPr>
                <w:sz w:val="20"/>
                <w:szCs w:val="20"/>
                <w:lang w:val="en-GB"/>
              </w:rPr>
              <w:t xml:space="preserve">the </w:t>
            </w:r>
            <w:r w:rsidR="00286298">
              <w:rPr>
                <w:sz w:val="20"/>
                <w:szCs w:val="20"/>
                <w:lang w:val="en-GB"/>
              </w:rPr>
              <w:t>preparation of mu</w:t>
            </w:r>
            <w:r w:rsidR="00F8511C">
              <w:rPr>
                <w:sz w:val="20"/>
                <w:szCs w:val="20"/>
                <w:lang w:val="en-GB"/>
              </w:rPr>
              <w:t>l</w:t>
            </w:r>
            <w:r w:rsidR="00286298">
              <w:rPr>
                <w:sz w:val="20"/>
                <w:szCs w:val="20"/>
                <w:lang w:val="en-GB"/>
              </w:rPr>
              <w:t>t</w:t>
            </w:r>
            <w:r w:rsidR="00F8511C">
              <w:rPr>
                <w:sz w:val="20"/>
                <w:szCs w:val="20"/>
                <w:lang w:val="en-GB"/>
              </w:rPr>
              <w:t>i</w:t>
            </w:r>
            <w:r w:rsidR="00286298">
              <w:rPr>
                <w:sz w:val="20"/>
                <w:szCs w:val="20"/>
                <w:lang w:val="en-GB"/>
              </w:rPr>
              <w:t>media materials th</w:t>
            </w:r>
            <w:r w:rsidR="00F8511C">
              <w:rPr>
                <w:sz w:val="20"/>
                <w:szCs w:val="20"/>
                <w:lang w:val="en-GB"/>
              </w:rPr>
              <w:t>r</w:t>
            </w:r>
            <w:r w:rsidR="00286298">
              <w:rPr>
                <w:sz w:val="20"/>
                <w:szCs w:val="20"/>
                <w:lang w:val="en-GB"/>
              </w:rPr>
              <w:t>ough various pl</w:t>
            </w:r>
            <w:r w:rsidR="00F8511C">
              <w:rPr>
                <w:sz w:val="20"/>
                <w:szCs w:val="20"/>
                <w:lang w:val="en-GB"/>
              </w:rPr>
              <w:t>a</w:t>
            </w:r>
            <w:r w:rsidR="00286298">
              <w:rPr>
                <w:sz w:val="20"/>
                <w:szCs w:val="20"/>
                <w:lang w:val="en-GB"/>
              </w:rPr>
              <w:t xml:space="preserve">tforms and </w:t>
            </w:r>
            <w:r w:rsidR="00F8511C">
              <w:rPr>
                <w:sz w:val="20"/>
                <w:szCs w:val="20"/>
                <w:lang w:val="en-GB"/>
              </w:rPr>
              <w:t xml:space="preserve">the </w:t>
            </w:r>
            <w:r w:rsidR="00286298">
              <w:rPr>
                <w:sz w:val="20"/>
                <w:szCs w:val="20"/>
                <w:lang w:val="en-GB"/>
              </w:rPr>
              <w:t>dissemination of information materials with the key messages under the communication plan</w:t>
            </w:r>
            <w:r w:rsidR="00DA6916" w:rsidRPr="00DA6916">
              <w:rPr>
                <w:sz w:val="20"/>
                <w:szCs w:val="20"/>
                <w:lang w:val="en-GB"/>
              </w:rPr>
              <w:t>.</w:t>
            </w:r>
            <w:r w:rsidR="00DA6916">
              <w:rPr>
                <w:sz w:val="20"/>
                <w:szCs w:val="20"/>
                <w:lang w:val="en-GB"/>
              </w:rPr>
              <w:t xml:space="preserve"> </w:t>
            </w:r>
          </w:p>
        </w:tc>
      </w:tr>
      <w:tr w:rsidR="00E210CC" w:rsidRPr="00C5739B" w14:paraId="6C48702E"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1BF23360"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35A99E07"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47203634"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39CC438E"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07029DAF"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32048D7F" w14:textId="77777777" w:rsidR="00E210CC" w:rsidRPr="00C5739B" w:rsidRDefault="00E210CC"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73B5137B" w14:textId="77777777" w:rsidR="00E210CC" w:rsidRPr="00C5739B" w:rsidRDefault="00E210CC"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04B9476E" w14:textId="77777777" w:rsidR="00E210CC" w:rsidRPr="00C5739B" w:rsidRDefault="00E210CC"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52F5F03F"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400E7DF3" w14:textId="77777777" w:rsidR="00E210CC" w:rsidRPr="00C5739B" w:rsidRDefault="00E210CC" w:rsidP="00441924">
            <w:pPr>
              <w:tabs>
                <w:tab w:val="left" w:pos="1080"/>
              </w:tabs>
              <w:jc w:val="center"/>
              <w:rPr>
                <w:b/>
                <w:sz w:val="20"/>
                <w:szCs w:val="20"/>
              </w:rPr>
            </w:pPr>
            <w:r w:rsidRPr="00C5739B">
              <w:rPr>
                <w:b/>
                <w:sz w:val="20"/>
                <w:szCs w:val="20"/>
              </w:rPr>
              <w:t>Status</w:t>
            </w:r>
          </w:p>
        </w:tc>
      </w:tr>
      <w:tr w:rsidR="00E210CC" w:rsidRPr="00C5739B" w14:paraId="55A1BBDC" w14:textId="77777777" w:rsidTr="00441924">
        <w:tc>
          <w:tcPr>
            <w:tcW w:w="4374" w:type="dxa"/>
            <w:tcBorders>
              <w:top w:val="single" w:sz="6" w:space="0" w:color="auto"/>
              <w:bottom w:val="single" w:sz="6" w:space="0" w:color="auto"/>
              <w:right w:val="single" w:sz="6" w:space="0" w:color="auto"/>
            </w:tcBorders>
          </w:tcPr>
          <w:p w14:paraId="0A680437" w14:textId="3FA182D7" w:rsidR="00E210CC" w:rsidRPr="00C5739B" w:rsidRDefault="00E210CC" w:rsidP="00441924">
            <w:pPr>
              <w:tabs>
                <w:tab w:val="left" w:pos="1080"/>
              </w:tabs>
              <w:rPr>
                <w:sz w:val="20"/>
                <w:szCs w:val="20"/>
              </w:rPr>
            </w:pPr>
            <w:r w:rsidRPr="00C5739B">
              <w:rPr>
                <w:sz w:val="20"/>
                <w:szCs w:val="20"/>
              </w:rPr>
              <w:t xml:space="preserve">3.1 </w:t>
            </w:r>
            <w:r w:rsidR="00DA6916">
              <w:rPr>
                <w:sz w:val="20"/>
                <w:szCs w:val="20"/>
              </w:rPr>
              <w:t>Development of a communication plan for all stakeholders, beneficiaries</w:t>
            </w:r>
            <w:r w:rsidR="00D767CF">
              <w:rPr>
                <w:sz w:val="20"/>
                <w:szCs w:val="20"/>
              </w:rPr>
              <w:t>,</w:t>
            </w:r>
            <w:r w:rsidR="00DA6916">
              <w:rPr>
                <w:sz w:val="20"/>
                <w:szCs w:val="20"/>
              </w:rPr>
              <w:t xml:space="preserve"> and individuals on FASNETT</w:t>
            </w:r>
            <w:r w:rsidR="003903A3">
              <w:rPr>
                <w:sz w:val="20"/>
                <w:szCs w:val="20"/>
              </w:rPr>
              <w:t>. (</w:t>
            </w:r>
            <w:r w:rsidR="003903A3" w:rsidRPr="003903A3">
              <w:rPr>
                <w:sz w:val="20"/>
                <w:szCs w:val="20"/>
              </w:rPr>
              <w:t>This is linked to the Project’s Output</w:t>
            </w:r>
            <w:r w:rsidR="003903A3">
              <w:rPr>
                <w:sz w:val="20"/>
                <w:szCs w:val="20"/>
              </w:rPr>
              <w:t xml:space="preserve"> 1.5, Activity 1.5.1</w:t>
            </w:r>
            <w:r w:rsidR="00F42737">
              <w:rPr>
                <w:sz w:val="20"/>
                <w:szCs w:val="20"/>
              </w:rPr>
              <w:t xml:space="preserve">. Please refer to </w:t>
            </w:r>
            <w:proofErr w:type="spellStart"/>
            <w:r w:rsidR="00F42737">
              <w:rPr>
                <w:sz w:val="20"/>
                <w:szCs w:val="20"/>
              </w:rPr>
              <w:t>ProDoc</w:t>
            </w:r>
            <w:proofErr w:type="spellEnd"/>
            <w:r w:rsidR="003903A3">
              <w:rPr>
                <w:sz w:val="20"/>
                <w:szCs w:val="20"/>
              </w:rPr>
              <w:t>)</w:t>
            </w:r>
          </w:p>
        </w:tc>
        <w:tc>
          <w:tcPr>
            <w:tcW w:w="2916" w:type="dxa"/>
            <w:tcBorders>
              <w:top w:val="single" w:sz="6" w:space="0" w:color="auto"/>
              <w:left w:val="single" w:sz="6" w:space="0" w:color="auto"/>
              <w:bottom w:val="single" w:sz="6" w:space="0" w:color="auto"/>
              <w:right w:val="single" w:sz="6" w:space="0" w:color="auto"/>
            </w:tcBorders>
          </w:tcPr>
          <w:p w14:paraId="537669F3" w14:textId="397DB7D1" w:rsidR="00E210CC" w:rsidRPr="00C5739B" w:rsidRDefault="00286298" w:rsidP="00441924">
            <w:pPr>
              <w:tabs>
                <w:tab w:val="left" w:pos="1080"/>
              </w:tabs>
              <w:rPr>
                <w:sz w:val="20"/>
                <w:szCs w:val="20"/>
              </w:rPr>
            </w:pPr>
            <w:r>
              <w:rPr>
                <w:sz w:val="20"/>
                <w:szCs w:val="20"/>
              </w:rPr>
              <w:t>August 31,</w:t>
            </w:r>
            <w:r w:rsidR="00DA6916">
              <w:rPr>
                <w:sz w:val="20"/>
                <w:szCs w:val="20"/>
              </w:rPr>
              <w:t xml:space="preserve"> 2021</w:t>
            </w:r>
          </w:p>
        </w:tc>
        <w:tc>
          <w:tcPr>
            <w:tcW w:w="2600" w:type="dxa"/>
            <w:tcBorders>
              <w:top w:val="single" w:sz="6" w:space="0" w:color="auto"/>
              <w:left w:val="single" w:sz="6" w:space="0" w:color="auto"/>
              <w:bottom w:val="single" w:sz="6" w:space="0" w:color="auto"/>
              <w:right w:val="single" w:sz="6" w:space="0" w:color="auto"/>
            </w:tcBorders>
          </w:tcPr>
          <w:p w14:paraId="00CB836C" w14:textId="1668573D" w:rsidR="00E210CC" w:rsidRPr="00C5739B" w:rsidRDefault="00DA6916" w:rsidP="00441924">
            <w:pPr>
              <w:tabs>
                <w:tab w:val="left" w:pos="1080"/>
              </w:tabs>
              <w:rPr>
                <w:sz w:val="20"/>
                <w:szCs w:val="20"/>
              </w:rPr>
            </w:pPr>
            <w:r>
              <w:rPr>
                <w:sz w:val="20"/>
                <w:szCs w:val="20"/>
              </w:rPr>
              <w:t>PMU</w:t>
            </w:r>
            <w:r w:rsidR="00286298">
              <w:rPr>
                <w:sz w:val="20"/>
                <w:szCs w:val="20"/>
              </w:rPr>
              <w:t xml:space="preserve"> (Lead)</w:t>
            </w:r>
            <w:r>
              <w:rPr>
                <w:sz w:val="20"/>
                <w:szCs w:val="20"/>
              </w:rPr>
              <w:t>, MTET/DOE, TEC</w:t>
            </w:r>
          </w:p>
        </w:tc>
        <w:tc>
          <w:tcPr>
            <w:tcW w:w="1252" w:type="dxa"/>
            <w:tcBorders>
              <w:top w:val="single" w:sz="6" w:space="0" w:color="auto"/>
              <w:left w:val="single" w:sz="6" w:space="0" w:color="auto"/>
              <w:bottom w:val="single" w:sz="6" w:space="0" w:color="auto"/>
              <w:right w:val="single" w:sz="6" w:space="0" w:color="auto"/>
            </w:tcBorders>
          </w:tcPr>
          <w:p w14:paraId="1A7D682E"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58126B0D" w14:textId="17A4930B" w:rsidR="00E210CC" w:rsidRPr="00C5739B" w:rsidRDefault="00286298" w:rsidP="00441924">
            <w:pPr>
              <w:tabs>
                <w:tab w:val="left" w:pos="1080"/>
              </w:tabs>
              <w:rPr>
                <w:sz w:val="20"/>
                <w:szCs w:val="20"/>
              </w:rPr>
            </w:pPr>
            <w:r>
              <w:rPr>
                <w:sz w:val="20"/>
                <w:szCs w:val="20"/>
              </w:rPr>
              <w:t>Ongoing work by consultant</w:t>
            </w:r>
          </w:p>
        </w:tc>
      </w:tr>
      <w:tr w:rsidR="00E210CC" w:rsidRPr="00C5739B" w14:paraId="7C262C5A" w14:textId="77777777" w:rsidTr="00441924">
        <w:tc>
          <w:tcPr>
            <w:tcW w:w="4374" w:type="dxa"/>
            <w:tcBorders>
              <w:top w:val="single" w:sz="6" w:space="0" w:color="auto"/>
              <w:bottom w:val="single" w:sz="6" w:space="0" w:color="auto"/>
              <w:right w:val="single" w:sz="6" w:space="0" w:color="auto"/>
            </w:tcBorders>
          </w:tcPr>
          <w:p w14:paraId="38B0B8E5" w14:textId="79B3344F" w:rsidR="00E210CC" w:rsidRPr="00C5739B" w:rsidRDefault="00E210CC" w:rsidP="00441924">
            <w:pPr>
              <w:tabs>
                <w:tab w:val="left" w:pos="1080"/>
              </w:tabs>
              <w:rPr>
                <w:sz w:val="20"/>
                <w:szCs w:val="20"/>
              </w:rPr>
            </w:pPr>
            <w:r w:rsidRPr="00C5739B">
              <w:rPr>
                <w:sz w:val="20"/>
                <w:szCs w:val="20"/>
              </w:rPr>
              <w:t xml:space="preserve">3.2 </w:t>
            </w:r>
            <w:r w:rsidR="00DA6916">
              <w:rPr>
                <w:sz w:val="20"/>
                <w:szCs w:val="20"/>
              </w:rPr>
              <w:t>Preparation of multi-media materials and content messages for the popular platforms based on the communication plan</w:t>
            </w:r>
            <w:r w:rsidR="003903A3">
              <w:rPr>
                <w:sz w:val="20"/>
                <w:szCs w:val="20"/>
              </w:rPr>
              <w:t>. (Activity 1.5.3)</w:t>
            </w:r>
            <w:r w:rsidR="00DA6916">
              <w:rPr>
                <w:sz w:val="20"/>
                <w:szCs w:val="20"/>
              </w:rPr>
              <w:t xml:space="preserve">  </w:t>
            </w:r>
          </w:p>
        </w:tc>
        <w:tc>
          <w:tcPr>
            <w:tcW w:w="2916" w:type="dxa"/>
            <w:tcBorders>
              <w:top w:val="single" w:sz="6" w:space="0" w:color="auto"/>
              <w:left w:val="single" w:sz="6" w:space="0" w:color="auto"/>
              <w:bottom w:val="single" w:sz="6" w:space="0" w:color="auto"/>
              <w:right w:val="single" w:sz="6" w:space="0" w:color="auto"/>
            </w:tcBorders>
          </w:tcPr>
          <w:p w14:paraId="6EB1F817" w14:textId="2701AC29" w:rsidR="00E210CC" w:rsidRPr="00C5739B" w:rsidRDefault="00286298" w:rsidP="00441924">
            <w:pPr>
              <w:tabs>
                <w:tab w:val="left" w:pos="1080"/>
              </w:tabs>
              <w:rPr>
                <w:sz w:val="20"/>
                <w:szCs w:val="20"/>
              </w:rPr>
            </w:pPr>
            <w:r>
              <w:rPr>
                <w:sz w:val="20"/>
                <w:szCs w:val="20"/>
              </w:rPr>
              <w:t>September 30.</w:t>
            </w:r>
            <w:r w:rsidR="00534D77">
              <w:rPr>
                <w:sz w:val="20"/>
                <w:szCs w:val="20"/>
              </w:rPr>
              <w:t xml:space="preserve"> 2021</w:t>
            </w:r>
          </w:p>
        </w:tc>
        <w:tc>
          <w:tcPr>
            <w:tcW w:w="2600" w:type="dxa"/>
            <w:tcBorders>
              <w:top w:val="single" w:sz="6" w:space="0" w:color="auto"/>
              <w:left w:val="single" w:sz="6" w:space="0" w:color="auto"/>
              <w:bottom w:val="single" w:sz="6" w:space="0" w:color="auto"/>
              <w:right w:val="single" w:sz="6" w:space="0" w:color="auto"/>
            </w:tcBorders>
          </w:tcPr>
          <w:p w14:paraId="3C876E76" w14:textId="6CC3EEF3" w:rsidR="00E210CC" w:rsidRPr="00C5739B" w:rsidRDefault="00534D77" w:rsidP="00441924">
            <w:pPr>
              <w:tabs>
                <w:tab w:val="left" w:pos="1080"/>
              </w:tabs>
              <w:rPr>
                <w:sz w:val="20"/>
                <w:szCs w:val="20"/>
              </w:rPr>
            </w:pPr>
            <w:r>
              <w:rPr>
                <w:sz w:val="20"/>
                <w:szCs w:val="20"/>
              </w:rPr>
              <w:t>PMU</w:t>
            </w:r>
            <w:r w:rsidR="00286298">
              <w:rPr>
                <w:sz w:val="20"/>
                <w:szCs w:val="20"/>
              </w:rPr>
              <w:t xml:space="preserve"> (Lead)</w:t>
            </w:r>
            <w:r>
              <w:rPr>
                <w:sz w:val="20"/>
                <w:szCs w:val="20"/>
              </w:rPr>
              <w:t>, MTET/DOE, TEC</w:t>
            </w:r>
          </w:p>
        </w:tc>
        <w:tc>
          <w:tcPr>
            <w:tcW w:w="1252" w:type="dxa"/>
            <w:tcBorders>
              <w:top w:val="single" w:sz="6" w:space="0" w:color="auto"/>
              <w:left w:val="single" w:sz="6" w:space="0" w:color="auto"/>
              <w:bottom w:val="single" w:sz="6" w:space="0" w:color="auto"/>
              <w:right w:val="single" w:sz="6" w:space="0" w:color="auto"/>
            </w:tcBorders>
          </w:tcPr>
          <w:p w14:paraId="32A5721F"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1017CD28" w14:textId="77777777" w:rsidR="00E210CC" w:rsidRPr="00C5739B" w:rsidRDefault="00E210CC" w:rsidP="00441924">
            <w:pPr>
              <w:tabs>
                <w:tab w:val="left" w:pos="1080"/>
              </w:tabs>
              <w:rPr>
                <w:sz w:val="20"/>
                <w:szCs w:val="20"/>
              </w:rPr>
            </w:pPr>
          </w:p>
        </w:tc>
      </w:tr>
      <w:tr w:rsidR="00E210CC" w:rsidRPr="00C5739B" w14:paraId="65FE5E38" w14:textId="77777777" w:rsidTr="00441924">
        <w:tc>
          <w:tcPr>
            <w:tcW w:w="4374" w:type="dxa"/>
            <w:tcBorders>
              <w:top w:val="single" w:sz="6" w:space="0" w:color="auto"/>
              <w:bottom w:val="single" w:sz="4" w:space="0" w:color="auto"/>
              <w:right w:val="single" w:sz="6" w:space="0" w:color="auto"/>
            </w:tcBorders>
          </w:tcPr>
          <w:p w14:paraId="5F807B12" w14:textId="5B0F1A7A" w:rsidR="00E210CC" w:rsidRPr="00C5739B" w:rsidRDefault="00E210CC" w:rsidP="00441924">
            <w:pPr>
              <w:tabs>
                <w:tab w:val="left" w:pos="1080"/>
              </w:tabs>
              <w:rPr>
                <w:sz w:val="20"/>
                <w:szCs w:val="20"/>
              </w:rPr>
            </w:pPr>
            <w:r w:rsidRPr="00C5739B">
              <w:rPr>
                <w:sz w:val="20"/>
                <w:szCs w:val="20"/>
              </w:rPr>
              <w:t>3.3</w:t>
            </w:r>
            <w:r w:rsidR="00DA6916">
              <w:rPr>
                <w:sz w:val="20"/>
                <w:szCs w:val="20"/>
              </w:rPr>
              <w:t xml:space="preserve"> Dissemination of the awareness </w:t>
            </w:r>
            <w:r w:rsidR="00D767CF">
              <w:rPr>
                <w:sz w:val="20"/>
                <w:szCs w:val="20"/>
              </w:rPr>
              <w:t xml:space="preserve">raising </w:t>
            </w:r>
            <w:r w:rsidR="00DA6916">
              <w:rPr>
                <w:sz w:val="20"/>
                <w:szCs w:val="20"/>
              </w:rPr>
              <w:t xml:space="preserve">messages through various platforms </w:t>
            </w:r>
            <w:r w:rsidR="00534D77">
              <w:rPr>
                <w:sz w:val="20"/>
                <w:szCs w:val="20"/>
              </w:rPr>
              <w:t xml:space="preserve">and networks </w:t>
            </w:r>
            <w:r w:rsidR="00DA6916">
              <w:rPr>
                <w:sz w:val="20"/>
                <w:szCs w:val="20"/>
              </w:rPr>
              <w:t xml:space="preserve">and conduct spot surveys for effectiveness </w:t>
            </w:r>
            <w:proofErr w:type="gramStart"/>
            <w:r w:rsidR="00DA6916">
              <w:rPr>
                <w:sz w:val="20"/>
                <w:szCs w:val="20"/>
              </w:rPr>
              <w:t>in order to</w:t>
            </w:r>
            <w:proofErr w:type="gramEnd"/>
            <w:r w:rsidR="00DA6916">
              <w:rPr>
                <w:sz w:val="20"/>
                <w:szCs w:val="20"/>
              </w:rPr>
              <w:t xml:space="preserve"> improve further visibility</w:t>
            </w:r>
            <w:r w:rsidR="003903A3">
              <w:rPr>
                <w:sz w:val="20"/>
                <w:szCs w:val="20"/>
              </w:rPr>
              <w:t>. (Activity 1.5.4)</w:t>
            </w:r>
            <w:r w:rsidR="00DA6916">
              <w:rPr>
                <w:sz w:val="20"/>
                <w:szCs w:val="20"/>
              </w:rPr>
              <w:t xml:space="preserve"> </w:t>
            </w:r>
          </w:p>
        </w:tc>
        <w:tc>
          <w:tcPr>
            <w:tcW w:w="2916" w:type="dxa"/>
            <w:tcBorders>
              <w:top w:val="single" w:sz="6" w:space="0" w:color="auto"/>
              <w:left w:val="single" w:sz="6" w:space="0" w:color="auto"/>
              <w:bottom w:val="single" w:sz="4" w:space="0" w:color="auto"/>
              <w:right w:val="single" w:sz="6" w:space="0" w:color="auto"/>
            </w:tcBorders>
          </w:tcPr>
          <w:p w14:paraId="5EFE3D79" w14:textId="06367591" w:rsidR="00E210CC" w:rsidRPr="00C5739B" w:rsidDel="0081599E" w:rsidRDefault="00286298" w:rsidP="00441924">
            <w:pPr>
              <w:tabs>
                <w:tab w:val="left" w:pos="1080"/>
              </w:tabs>
              <w:rPr>
                <w:sz w:val="20"/>
                <w:szCs w:val="20"/>
              </w:rPr>
            </w:pPr>
            <w:r>
              <w:rPr>
                <w:sz w:val="20"/>
                <w:szCs w:val="20"/>
              </w:rPr>
              <w:t>October 31,</w:t>
            </w:r>
            <w:r w:rsidR="00534D77">
              <w:rPr>
                <w:sz w:val="20"/>
                <w:szCs w:val="20"/>
              </w:rPr>
              <w:t xml:space="preserve"> 2021</w:t>
            </w:r>
          </w:p>
        </w:tc>
        <w:tc>
          <w:tcPr>
            <w:tcW w:w="2600" w:type="dxa"/>
            <w:tcBorders>
              <w:top w:val="single" w:sz="6" w:space="0" w:color="auto"/>
              <w:left w:val="single" w:sz="6" w:space="0" w:color="auto"/>
              <w:bottom w:val="single" w:sz="4" w:space="0" w:color="auto"/>
              <w:right w:val="single" w:sz="6" w:space="0" w:color="auto"/>
            </w:tcBorders>
          </w:tcPr>
          <w:p w14:paraId="5A89464A" w14:textId="74812C06" w:rsidR="00E210CC" w:rsidRPr="00C5739B" w:rsidDel="0081599E" w:rsidRDefault="00534D77" w:rsidP="00441924">
            <w:pPr>
              <w:tabs>
                <w:tab w:val="left" w:pos="1080"/>
              </w:tabs>
              <w:rPr>
                <w:sz w:val="20"/>
                <w:szCs w:val="20"/>
              </w:rPr>
            </w:pPr>
            <w:r>
              <w:rPr>
                <w:sz w:val="20"/>
                <w:szCs w:val="20"/>
              </w:rPr>
              <w:t>PMU</w:t>
            </w:r>
            <w:r w:rsidR="00286298">
              <w:rPr>
                <w:sz w:val="20"/>
                <w:szCs w:val="20"/>
              </w:rPr>
              <w:t xml:space="preserve"> (Lead)</w:t>
            </w:r>
            <w:r>
              <w:rPr>
                <w:sz w:val="20"/>
                <w:szCs w:val="20"/>
              </w:rPr>
              <w:t xml:space="preserve">, MTET/DOE, </w:t>
            </w:r>
            <w:r w:rsidR="00D8502F">
              <w:rPr>
                <w:sz w:val="20"/>
                <w:szCs w:val="20"/>
              </w:rPr>
              <w:t>TEC</w:t>
            </w:r>
          </w:p>
        </w:tc>
        <w:tc>
          <w:tcPr>
            <w:tcW w:w="1252" w:type="dxa"/>
            <w:tcBorders>
              <w:top w:val="single" w:sz="6" w:space="0" w:color="auto"/>
              <w:left w:val="single" w:sz="6" w:space="0" w:color="auto"/>
              <w:bottom w:val="single" w:sz="4" w:space="0" w:color="auto"/>
              <w:right w:val="single" w:sz="6" w:space="0" w:color="auto"/>
            </w:tcBorders>
          </w:tcPr>
          <w:p w14:paraId="5F5A5DF9"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28D3F22D" w14:textId="77777777" w:rsidR="00E210CC" w:rsidRPr="00C5739B" w:rsidRDefault="00E210CC" w:rsidP="00441924">
            <w:pPr>
              <w:tabs>
                <w:tab w:val="left" w:pos="1080"/>
              </w:tabs>
              <w:rPr>
                <w:sz w:val="20"/>
                <w:szCs w:val="20"/>
              </w:rPr>
            </w:pPr>
          </w:p>
        </w:tc>
      </w:tr>
    </w:tbl>
    <w:p w14:paraId="6A717B2F" w14:textId="77777777" w:rsidR="00E210CC" w:rsidRDefault="00E210CC"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E210CC" w:rsidRPr="00C5739B" w14:paraId="0854E537" w14:textId="77777777" w:rsidTr="00441924">
        <w:tc>
          <w:tcPr>
            <w:tcW w:w="12327" w:type="dxa"/>
            <w:gridSpan w:val="5"/>
            <w:shd w:val="clear" w:color="auto" w:fill="F3F3F3"/>
          </w:tcPr>
          <w:p w14:paraId="1E8FA90C" w14:textId="1A82E349" w:rsidR="00E210CC" w:rsidRPr="009F71B5" w:rsidRDefault="00E210CC" w:rsidP="00441924">
            <w:pPr>
              <w:tabs>
                <w:tab w:val="left" w:pos="1080"/>
              </w:tabs>
              <w:rPr>
                <w:b/>
                <w:sz w:val="20"/>
                <w:szCs w:val="20"/>
              </w:rPr>
            </w:pPr>
            <w:r w:rsidRPr="009F71B5">
              <w:rPr>
                <w:sz w:val="20"/>
                <w:szCs w:val="20"/>
              </w:rPr>
              <w:br w:type="page"/>
            </w:r>
            <w:r w:rsidRPr="009F71B5">
              <w:rPr>
                <w:b/>
                <w:sz w:val="20"/>
                <w:szCs w:val="20"/>
              </w:rPr>
              <w:t xml:space="preserve">Evaluation recommendation 4. </w:t>
            </w:r>
            <w:r w:rsidRPr="009F71B5">
              <w:rPr>
                <w:rFonts w:ascii="Cambria" w:hAnsi="Cambria"/>
                <w:b/>
                <w:i/>
                <w:iCs/>
                <w:sz w:val="20"/>
                <w:szCs w:val="20"/>
              </w:rPr>
              <w:t>Enhance Technical Capacity</w:t>
            </w:r>
            <w:r w:rsidRPr="009F71B5">
              <w:rPr>
                <w:rFonts w:ascii="Cambria" w:hAnsi="Cambria"/>
                <w:i/>
                <w:iCs/>
                <w:sz w:val="20"/>
                <w:szCs w:val="20"/>
              </w:rPr>
              <w:t xml:space="preserve"> – </w:t>
            </w:r>
            <w:r w:rsidRPr="009F71B5">
              <w:rPr>
                <w:rFonts w:ascii="Cambria" w:hAnsi="Cambria"/>
                <w:sz w:val="20"/>
                <w:szCs w:val="20"/>
              </w:rPr>
              <w:t>Mainstream into staff appraisal criteri</w:t>
            </w:r>
            <w:r w:rsidR="007E799E">
              <w:rPr>
                <w:rFonts w:ascii="Cambria" w:hAnsi="Cambria"/>
                <w:sz w:val="20"/>
                <w:szCs w:val="20"/>
              </w:rPr>
              <w:t>a</w:t>
            </w:r>
            <w:r w:rsidRPr="009F71B5">
              <w:rPr>
                <w:rFonts w:ascii="Cambria" w:hAnsi="Cambria"/>
                <w:sz w:val="20"/>
                <w:szCs w:val="20"/>
              </w:rPr>
              <w:t xml:space="preserve"> of knowledge towards renewable energy or conduct quarterly trainings. Most importantly, international technical assistance is needed to assist the Department of Energy.</w:t>
            </w:r>
          </w:p>
        </w:tc>
      </w:tr>
      <w:tr w:rsidR="00E210CC" w:rsidRPr="00C5739B" w14:paraId="1E78485A" w14:textId="77777777" w:rsidTr="00441924">
        <w:tc>
          <w:tcPr>
            <w:tcW w:w="12327" w:type="dxa"/>
            <w:gridSpan w:val="5"/>
            <w:tcBorders>
              <w:top w:val="single" w:sz="4" w:space="0" w:color="auto"/>
              <w:bottom w:val="single" w:sz="6" w:space="0" w:color="auto"/>
            </w:tcBorders>
            <w:shd w:val="clear" w:color="auto" w:fill="F3F3F3"/>
          </w:tcPr>
          <w:p w14:paraId="3BEA16C5" w14:textId="77777777" w:rsidR="00E210CC" w:rsidRPr="00C5739B" w:rsidRDefault="00E210CC" w:rsidP="00441924">
            <w:pPr>
              <w:tabs>
                <w:tab w:val="left" w:pos="1080"/>
              </w:tabs>
              <w:rPr>
                <w:sz w:val="20"/>
                <w:szCs w:val="20"/>
              </w:rPr>
            </w:pPr>
            <w:r w:rsidRPr="00C5739B">
              <w:rPr>
                <w:b/>
                <w:sz w:val="20"/>
                <w:szCs w:val="20"/>
              </w:rPr>
              <w:t>Management response</w:t>
            </w:r>
            <w:r w:rsidRPr="00C5739B">
              <w:rPr>
                <w:sz w:val="20"/>
                <w:szCs w:val="20"/>
              </w:rPr>
              <w:t>:</w:t>
            </w:r>
            <w:r w:rsidR="00804A8A">
              <w:rPr>
                <w:sz w:val="20"/>
                <w:szCs w:val="20"/>
              </w:rPr>
              <w:t xml:space="preserve"> </w:t>
            </w:r>
            <w:r w:rsidR="00804A8A" w:rsidRPr="00804A8A">
              <w:rPr>
                <w:b/>
                <w:i/>
                <w:sz w:val="20"/>
                <w:szCs w:val="20"/>
              </w:rPr>
              <w:t>Agree</w:t>
            </w:r>
            <w:r w:rsidR="00804A8A">
              <w:rPr>
                <w:b/>
                <w:i/>
                <w:sz w:val="20"/>
                <w:szCs w:val="20"/>
              </w:rPr>
              <w:t xml:space="preserve"> </w:t>
            </w:r>
            <w:r w:rsidR="00804A8A">
              <w:rPr>
                <w:sz w:val="20"/>
                <w:szCs w:val="20"/>
              </w:rPr>
              <w:t xml:space="preserve">on enhancing technical capacity and familiarity of the DOE staff on FASNETT’s </w:t>
            </w:r>
            <w:r w:rsidR="00FA2EAD" w:rsidRPr="00FA2EAD">
              <w:rPr>
                <w:sz w:val="20"/>
                <w:szCs w:val="20"/>
              </w:rPr>
              <w:t xml:space="preserve">RE and EE program activities and desired outputs </w:t>
            </w:r>
            <w:r w:rsidR="00E32682">
              <w:rPr>
                <w:sz w:val="20"/>
                <w:szCs w:val="20"/>
              </w:rPr>
              <w:t>(in addition to their</w:t>
            </w:r>
            <w:r w:rsidR="00804A8A">
              <w:rPr>
                <w:sz w:val="20"/>
                <w:szCs w:val="20"/>
              </w:rPr>
              <w:t xml:space="preserve"> overall national</w:t>
            </w:r>
            <w:r w:rsidR="00E32682">
              <w:rPr>
                <w:sz w:val="20"/>
                <w:szCs w:val="20"/>
              </w:rPr>
              <w:t xml:space="preserve"> </w:t>
            </w:r>
            <w:r w:rsidR="00FA2EAD">
              <w:rPr>
                <w:sz w:val="20"/>
                <w:szCs w:val="20"/>
              </w:rPr>
              <w:t xml:space="preserve">program </w:t>
            </w:r>
            <w:r w:rsidR="00E32682">
              <w:rPr>
                <w:sz w:val="20"/>
                <w:szCs w:val="20"/>
              </w:rPr>
              <w:t>scope).</w:t>
            </w:r>
            <w:r w:rsidR="00804A8A">
              <w:rPr>
                <w:sz w:val="20"/>
                <w:szCs w:val="20"/>
              </w:rPr>
              <w:t xml:space="preserve"> </w:t>
            </w:r>
            <w:r w:rsidR="00C921FE">
              <w:rPr>
                <w:sz w:val="20"/>
                <w:szCs w:val="20"/>
              </w:rPr>
              <w:t>TEC and its RE and EE Department should supplement capacity and provide technical assistance to DOE and PMU on the technical aspects of the program, particularly in the implementation of the FASNETT demos and the baseline projects.</w:t>
            </w:r>
            <w:r w:rsidR="00804A8A">
              <w:rPr>
                <w:sz w:val="20"/>
                <w:szCs w:val="20"/>
              </w:rPr>
              <w:t xml:space="preserve"> </w:t>
            </w:r>
            <w:r w:rsidR="00A17F7D">
              <w:rPr>
                <w:sz w:val="20"/>
                <w:szCs w:val="20"/>
              </w:rPr>
              <w:t xml:space="preserve">This will be in consonance with the management responses in item #1 and 2 above on implementing the Responsible Party role of TEC.   </w:t>
            </w:r>
            <w:r w:rsidR="00804A8A">
              <w:rPr>
                <w:sz w:val="20"/>
                <w:szCs w:val="20"/>
              </w:rPr>
              <w:t xml:space="preserve"> </w:t>
            </w:r>
            <w:r w:rsidRPr="00C5739B">
              <w:rPr>
                <w:sz w:val="20"/>
                <w:szCs w:val="20"/>
              </w:rPr>
              <w:t xml:space="preserve"> </w:t>
            </w:r>
          </w:p>
        </w:tc>
      </w:tr>
      <w:tr w:rsidR="00E210CC" w:rsidRPr="00C5739B" w14:paraId="63D35D93"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077C74CC"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4C997041"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357445A8"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48A101EB"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1FA3BCE2"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3EB9BC00" w14:textId="77777777" w:rsidR="00E210CC" w:rsidRPr="00C5739B" w:rsidRDefault="00E210CC"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766E1F8B" w14:textId="77777777" w:rsidR="00E210CC" w:rsidRPr="00C5739B" w:rsidRDefault="00E210CC"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79BD05A3" w14:textId="77777777" w:rsidR="00E210CC" w:rsidRPr="00C5739B" w:rsidRDefault="00E210CC"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638E3F04"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63145F95" w14:textId="77777777" w:rsidR="00E210CC" w:rsidRPr="00C5739B" w:rsidRDefault="00E210CC" w:rsidP="00441924">
            <w:pPr>
              <w:tabs>
                <w:tab w:val="left" w:pos="1080"/>
              </w:tabs>
              <w:jc w:val="center"/>
              <w:rPr>
                <w:b/>
                <w:sz w:val="20"/>
                <w:szCs w:val="20"/>
              </w:rPr>
            </w:pPr>
            <w:r w:rsidRPr="00C5739B">
              <w:rPr>
                <w:b/>
                <w:sz w:val="20"/>
                <w:szCs w:val="20"/>
              </w:rPr>
              <w:t>Status</w:t>
            </w:r>
          </w:p>
        </w:tc>
      </w:tr>
      <w:tr w:rsidR="00E210CC" w:rsidRPr="00C5739B" w14:paraId="45542906" w14:textId="77777777" w:rsidTr="00FA2EAD">
        <w:trPr>
          <w:trHeight w:val="85"/>
        </w:trPr>
        <w:tc>
          <w:tcPr>
            <w:tcW w:w="4374" w:type="dxa"/>
            <w:tcBorders>
              <w:top w:val="single" w:sz="6" w:space="0" w:color="auto"/>
              <w:bottom w:val="single" w:sz="6" w:space="0" w:color="auto"/>
              <w:right w:val="single" w:sz="6" w:space="0" w:color="auto"/>
            </w:tcBorders>
          </w:tcPr>
          <w:p w14:paraId="6791F733" w14:textId="7D2CD2C5" w:rsidR="00E210CC" w:rsidRPr="00C5739B" w:rsidRDefault="00E210CC" w:rsidP="00441924">
            <w:pPr>
              <w:tabs>
                <w:tab w:val="left" w:pos="1080"/>
              </w:tabs>
              <w:rPr>
                <w:sz w:val="20"/>
                <w:szCs w:val="20"/>
              </w:rPr>
            </w:pPr>
            <w:r>
              <w:rPr>
                <w:sz w:val="20"/>
                <w:szCs w:val="20"/>
              </w:rPr>
              <w:t>4</w:t>
            </w:r>
            <w:r w:rsidRPr="00C5739B">
              <w:rPr>
                <w:sz w:val="20"/>
                <w:szCs w:val="20"/>
              </w:rPr>
              <w:t xml:space="preserve">.1 </w:t>
            </w:r>
            <w:r w:rsidR="00C921FE">
              <w:rPr>
                <w:sz w:val="20"/>
                <w:szCs w:val="20"/>
              </w:rPr>
              <w:t xml:space="preserve">Capacity building </w:t>
            </w:r>
            <w:r w:rsidR="000D7795">
              <w:rPr>
                <w:sz w:val="20"/>
                <w:szCs w:val="20"/>
              </w:rPr>
              <w:t xml:space="preserve">needs analysis and development/adoption </w:t>
            </w:r>
            <w:proofErr w:type="gramStart"/>
            <w:r w:rsidR="00C921FE">
              <w:rPr>
                <w:sz w:val="20"/>
                <w:szCs w:val="20"/>
              </w:rPr>
              <w:t xml:space="preserve">of </w:t>
            </w:r>
            <w:r w:rsidR="000D7795">
              <w:rPr>
                <w:sz w:val="20"/>
                <w:szCs w:val="20"/>
              </w:rPr>
              <w:t xml:space="preserve"> training</w:t>
            </w:r>
            <w:proofErr w:type="gramEnd"/>
            <w:r w:rsidR="000D7795">
              <w:rPr>
                <w:sz w:val="20"/>
                <w:szCs w:val="20"/>
              </w:rPr>
              <w:t xml:space="preserve"> programs for </w:t>
            </w:r>
            <w:r w:rsidR="00C921FE">
              <w:rPr>
                <w:sz w:val="20"/>
                <w:szCs w:val="20"/>
              </w:rPr>
              <w:t xml:space="preserve">key officials and staff of DOE and other related departments in </w:t>
            </w:r>
            <w:r w:rsidR="007369C2">
              <w:rPr>
                <w:sz w:val="20"/>
                <w:szCs w:val="20"/>
              </w:rPr>
              <w:t>familiarizing with the RE/EE technologies and administering</w:t>
            </w:r>
            <w:r w:rsidR="00C921FE">
              <w:rPr>
                <w:sz w:val="20"/>
                <w:szCs w:val="20"/>
              </w:rPr>
              <w:t xml:space="preserve"> the RE/EE program</w:t>
            </w:r>
            <w:r w:rsidR="007369C2">
              <w:rPr>
                <w:sz w:val="20"/>
                <w:szCs w:val="20"/>
              </w:rPr>
              <w:t>.</w:t>
            </w:r>
            <w:r w:rsidR="00C921FE">
              <w:rPr>
                <w:sz w:val="20"/>
                <w:szCs w:val="20"/>
              </w:rPr>
              <w:t xml:space="preserve"> </w:t>
            </w:r>
            <w:r w:rsidR="00AE7F16">
              <w:rPr>
                <w:sz w:val="20"/>
                <w:szCs w:val="20"/>
              </w:rPr>
              <w:t xml:space="preserve">This is linked to the </w:t>
            </w:r>
            <w:r w:rsidR="003903A3">
              <w:rPr>
                <w:sz w:val="20"/>
                <w:szCs w:val="20"/>
              </w:rPr>
              <w:t>Project’s Output 1.3, Activity 1.3.1.</w:t>
            </w:r>
          </w:p>
        </w:tc>
        <w:tc>
          <w:tcPr>
            <w:tcW w:w="2916" w:type="dxa"/>
            <w:tcBorders>
              <w:top w:val="single" w:sz="6" w:space="0" w:color="auto"/>
              <w:left w:val="single" w:sz="6" w:space="0" w:color="auto"/>
              <w:bottom w:val="single" w:sz="6" w:space="0" w:color="auto"/>
              <w:right w:val="single" w:sz="6" w:space="0" w:color="auto"/>
            </w:tcBorders>
          </w:tcPr>
          <w:p w14:paraId="65C55C35" w14:textId="4642C22C" w:rsidR="00E210CC" w:rsidRPr="00C5739B" w:rsidRDefault="009652EC" w:rsidP="00441924">
            <w:pPr>
              <w:tabs>
                <w:tab w:val="left" w:pos="1080"/>
              </w:tabs>
              <w:rPr>
                <w:sz w:val="20"/>
                <w:szCs w:val="20"/>
              </w:rPr>
            </w:pPr>
            <w:r>
              <w:rPr>
                <w:sz w:val="20"/>
                <w:szCs w:val="20"/>
              </w:rPr>
              <w:t>August</w:t>
            </w:r>
            <w:r w:rsidR="000D7795">
              <w:rPr>
                <w:sz w:val="20"/>
                <w:szCs w:val="20"/>
              </w:rPr>
              <w:t xml:space="preserve"> 2021</w:t>
            </w:r>
          </w:p>
        </w:tc>
        <w:tc>
          <w:tcPr>
            <w:tcW w:w="2600" w:type="dxa"/>
            <w:tcBorders>
              <w:top w:val="single" w:sz="6" w:space="0" w:color="auto"/>
              <w:left w:val="single" w:sz="6" w:space="0" w:color="auto"/>
              <w:bottom w:val="single" w:sz="6" w:space="0" w:color="auto"/>
              <w:right w:val="single" w:sz="6" w:space="0" w:color="auto"/>
            </w:tcBorders>
          </w:tcPr>
          <w:p w14:paraId="5F6F40AF" w14:textId="6EC356E5" w:rsidR="00E210CC" w:rsidRPr="00C5739B" w:rsidRDefault="000D7795" w:rsidP="00441924">
            <w:pPr>
              <w:tabs>
                <w:tab w:val="left" w:pos="1080"/>
              </w:tabs>
              <w:rPr>
                <w:sz w:val="20"/>
                <w:szCs w:val="20"/>
              </w:rPr>
            </w:pPr>
            <w:r>
              <w:rPr>
                <w:sz w:val="20"/>
                <w:szCs w:val="20"/>
              </w:rPr>
              <w:t>PMU</w:t>
            </w:r>
            <w:r w:rsidR="00536AF6">
              <w:rPr>
                <w:sz w:val="20"/>
                <w:szCs w:val="20"/>
              </w:rPr>
              <w:t xml:space="preserve"> (Lead)</w:t>
            </w:r>
            <w:r>
              <w:rPr>
                <w:sz w:val="20"/>
                <w:szCs w:val="20"/>
              </w:rPr>
              <w:t>, MTET/DOE, TEC</w:t>
            </w:r>
          </w:p>
        </w:tc>
        <w:tc>
          <w:tcPr>
            <w:tcW w:w="1252" w:type="dxa"/>
            <w:tcBorders>
              <w:top w:val="single" w:sz="6" w:space="0" w:color="auto"/>
              <w:left w:val="single" w:sz="6" w:space="0" w:color="auto"/>
              <w:bottom w:val="single" w:sz="6" w:space="0" w:color="auto"/>
              <w:right w:val="single" w:sz="6" w:space="0" w:color="auto"/>
            </w:tcBorders>
          </w:tcPr>
          <w:p w14:paraId="4A1154D6"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15F078BA" w14:textId="77777777" w:rsidR="00E210CC" w:rsidRPr="00C5739B" w:rsidRDefault="00E210CC" w:rsidP="00441924">
            <w:pPr>
              <w:tabs>
                <w:tab w:val="left" w:pos="1080"/>
              </w:tabs>
              <w:rPr>
                <w:sz w:val="20"/>
                <w:szCs w:val="20"/>
              </w:rPr>
            </w:pPr>
          </w:p>
        </w:tc>
      </w:tr>
      <w:tr w:rsidR="00E210CC" w:rsidRPr="00C5739B" w14:paraId="4610B852" w14:textId="77777777" w:rsidTr="00441924">
        <w:tc>
          <w:tcPr>
            <w:tcW w:w="4374" w:type="dxa"/>
            <w:tcBorders>
              <w:top w:val="single" w:sz="6" w:space="0" w:color="auto"/>
              <w:bottom w:val="single" w:sz="6" w:space="0" w:color="auto"/>
              <w:right w:val="single" w:sz="6" w:space="0" w:color="auto"/>
            </w:tcBorders>
          </w:tcPr>
          <w:p w14:paraId="48B6A086" w14:textId="2387A31A" w:rsidR="00E210CC" w:rsidRPr="00C5739B" w:rsidRDefault="00E210CC" w:rsidP="00441924">
            <w:pPr>
              <w:tabs>
                <w:tab w:val="left" w:pos="1080"/>
              </w:tabs>
              <w:rPr>
                <w:sz w:val="20"/>
                <w:szCs w:val="20"/>
              </w:rPr>
            </w:pPr>
            <w:r>
              <w:rPr>
                <w:sz w:val="20"/>
                <w:szCs w:val="20"/>
              </w:rPr>
              <w:t>4</w:t>
            </w:r>
            <w:r w:rsidRPr="00C5739B">
              <w:rPr>
                <w:sz w:val="20"/>
                <w:szCs w:val="20"/>
              </w:rPr>
              <w:t xml:space="preserve">.2 </w:t>
            </w:r>
            <w:r w:rsidR="00A17F7D">
              <w:rPr>
                <w:sz w:val="20"/>
                <w:szCs w:val="20"/>
              </w:rPr>
              <w:t xml:space="preserve">Acquisition, </w:t>
            </w:r>
            <w:proofErr w:type="gramStart"/>
            <w:r w:rsidR="00A17F7D">
              <w:rPr>
                <w:sz w:val="20"/>
                <w:szCs w:val="20"/>
              </w:rPr>
              <w:t>development  and</w:t>
            </w:r>
            <w:proofErr w:type="gramEnd"/>
            <w:r w:rsidR="00A17F7D">
              <w:rPr>
                <w:sz w:val="20"/>
                <w:szCs w:val="20"/>
              </w:rPr>
              <w:t xml:space="preserve"> training on necessary management tools such as integrated </w:t>
            </w:r>
            <w:r w:rsidR="00A17F7D">
              <w:rPr>
                <w:sz w:val="20"/>
                <w:szCs w:val="20"/>
              </w:rPr>
              <w:lastRenderedPageBreak/>
              <w:t>energy planning software, databases</w:t>
            </w:r>
            <w:r w:rsidR="001D00C8">
              <w:rPr>
                <w:sz w:val="20"/>
                <w:szCs w:val="20"/>
              </w:rPr>
              <w:t>,</w:t>
            </w:r>
            <w:r w:rsidR="00A17F7D">
              <w:rPr>
                <w:sz w:val="20"/>
                <w:szCs w:val="20"/>
              </w:rPr>
              <w:t xml:space="preserve"> and monitoring system (</w:t>
            </w:r>
            <w:r w:rsidR="003903A3">
              <w:rPr>
                <w:sz w:val="20"/>
                <w:szCs w:val="20"/>
              </w:rPr>
              <w:t xml:space="preserve">Activity </w:t>
            </w:r>
            <w:r w:rsidR="00A17F7D">
              <w:rPr>
                <w:sz w:val="20"/>
                <w:szCs w:val="20"/>
              </w:rPr>
              <w:t>2.3.3) in addition to the specialized technical training courses conducted by TEC.</w:t>
            </w:r>
            <w:r w:rsidR="003903A3">
              <w:rPr>
                <w:sz w:val="20"/>
                <w:szCs w:val="20"/>
              </w:rPr>
              <w:t xml:space="preserve"> (Output 1.3, Activity 1.3.2)</w:t>
            </w:r>
          </w:p>
        </w:tc>
        <w:tc>
          <w:tcPr>
            <w:tcW w:w="2916" w:type="dxa"/>
            <w:tcBorders>
              <w:top w:val="single" w:sz="6" w:space="0" w:color="auto"/>
              <w:left w:val="single" w:sz="6" w:space="0" w:color="auto"/>
              <w:bottom w:val="single" w:sz="6" w:space="0" w:color="auto"/>
              <w:right w:val="single" w:sz="6" w:space="0" w:color="auto"/>
            </w:tcBorders>
          </w:tcPr>
          <w:p w14:paraId="21390A40" w14:textId="0A1FEDB3" w:rsidR="00E210CC" w:rsidRPr="00C5739B" w:rsidRDefault="000D7795" w:rsidP="00441924">
            <w:pPr>
              <w:tabs>
                <w:tab w:val="left" w:pos="1080"/>
              </w:tabs>
              <w:rPr>
                <w:sz w:val="20"/>
                <w:szCs w:val="20"/>
              </w:rPr>
            </w:pPr>
            <w:r>
              <w:rPr>
                <w:sz w:val="20"/>
                <w:szCs w:val="20"/>
              </w:rPr>
              <w:lastRenderedPageBreak/>
              <w:t>December 2021</w:t>
            </w:r>
          </w:p>
        </w:tc>
        <w:tc>
          <w:tcPr>
            <w:tcW w:w="2600" w:type="dxa"/>
            <w:tcBorders>
              <w:top w:val="single" w:sz="6" w:space="0" w:color="auto"/>
              <w:left w:val="single" w:sz="6" w:space="0" w:color="auto"/>
              <w:bottom w:val="single" w:sz="6" w:space="0" w:color="auto"/>
              <w:right w:val="single" w:sz="6" w:space="0" w:color="auto"/>
            </w:tcBorders>
          </w:tcPr>
          <w:p w14:paraId="244AFD5D" w14:textId="387CECBB" w:rsidR="00E210CC" w:rsidRPr="00C5739B" w:rsidRDefault="000D7795" w:rsidP="00441924">
            <w:pPr>
              <w:tabs>
                <w:tab w:val="left" w:pos="1080"/>
              </w:tabs>
              <w:rPr>
                <w:sz w:val="20"/>
                <w:szCs w:val="20"/>
              </w:rPr>
            </w:pPr>
            <w:r>
              <w:rPr>
                <w:sz w:val="20"/>
                <w:szCs w:val="20"/>
              </w:rPr>
              <w:t>PMU</w:t>
            </w:r>
            <w:r w:rsidR="00536AF6">
              <w:rPr>
                <w:sz w:val="20"/>
                <w:szCs w:val="20"/>
              </w:rPr>
              <w:t xml:space="preserve"> (Lead)</w:t>
            </w:r>
            <w:r>
              <w:rPr>
                <w:sz w:val="20"/>
                <w:szCs w:val="20"/>
              </w:rPr>
              <w:t>, MTET/DOE</w:t>
            </w:r>
            <w:r w:rsidR="001D00C8">
              <w:rPr>
                <w:sz w:val="20"/>
                <w:szCs w:val="20"/>
              </w:rPr>
              <w:t>,</w:t>
            </w:r>
            <w:r w:rsidR="00A17F7D">
              <w:rPr>
                <w:sz w:val="20"/>
                <w:szCs w:val="20"/>
              </w:rPr>
              <w:t xml:space="preserve"> and</w:t>
            </w:r>
            <w:r>
              <w:rPr>
                <w:sz w:val="20"/>
                <w:szCs w:val="20"/>
              </w:rPr>
              <w:t xml:space="preserve"> TEC </w:t>
            </w:r>
          </w:p>
        </w:tc>
        <w:tc>
          <w:tcPr>
            <w:tcW w:w="1252" w:type="dxa"/>
            <w:tcBorders>
              <w:top w:val="single" w:sz="6" w:space="0" w:color="auto"/>
              <w:left w:val="single" w:sz="6" w:space="0" w:color="auto"/>
              <w:bottom w:val="single" w:sz="6" w:space="0" w:color="auto"/>
              <w:right w:val="single" w:sz="6" w:space="0" w:color="auto"/>
            </w:tcBorders>
          </w:tcPr>
          <w:p w14:paraId="6BE69088"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074390A5" w14:textId="77777777" w:rsidR="00E210CC" w:rsidRPr="00C5739B" w:rsidRDefault="00E210CC" w:rsidP="00441924">
            <w:pPr>
              <w:tabs>
                <w:tab w:val="left" w:pos="1080"/>
              </w:tabs>
              <w:rPr>
                <w:sz w:val="20"/>
                <w:szCs w:val="20"/>
              </w:rPr>
            </w:pPr>
          </w:p>
        </w:tc>
      </w:tr>
      <w:tr w:rsidR="00E210CC" w:rsidRPr="00C5739B" w14:paraId="18706D32" w14:textId="77777777" w:rsidTr="00441924">
        <w:tc>
          <w:tcPr>
            <w:tcW w:w="4374" w:type="dxa"/>
            <w:tcBorders>
              <w:top w:val="single" w:sz="6" w:space="0" w:color="auto"/>
              <w:bottom w:val="single" w:sz="4" w:space="0" w:color="auto"/>
              <w:right w:val="single" w:sz="6" w:space="0" w:color="auto"/>
            </w:tcBorders>
          </w:tcPr>
          <w:p w14:paraId="0A7C0C57" w14:textId="1BD2F543" w:rsidR="00E210CC" w:rsidRPr="00C5739B" w:rsidRDefault="00E210CC" w:rsidP="00441924">
            <w:pPr>
              <w:tabs>
                <w:tab w:val="left" w:pos="1080"/>
              </w:tabs>
              <w:rPr>
                <w:sz w:val="20"/>
                <w:szCs w:val="20"/>
              </w:rPr>
            </w:pPr>
            <w:r>
              <w:rPr>
                <w:sz w:val="20"/>
                <w:szCs w:val="20"/>
              </w:rPr>
              <w:t>4</w:t>
            </w:r>
            <w:r w:rsidRPr="00C5739B">
              <w:rPr>
                <w:sz w:val="20"/>
                <w:szCs w:val="20"/>
              </w:rPr>
              <w:t>.3</w:t>
            </w:r>
            <w:r w:rsidR="007369C2">
              <w:rPr>
                <w:sz w:val="20"/>
                <w:szCs w:val="20"/>
              </w:rPr>
              <w:t xml:space="preserve"> </w:t>
            </w:r>
            <w:r w:rsidR="00A17F7D">
              <w:rPr>
                <w:sz w:val="20"/>
                <w:szCs w:val="20"/>
              </w:rPr>
              <w:t>Development and establishment of an evaluation and improvement scheme to ensure that the capacity building and training activities are achieving the desired outcomes.</w:t>
            </w:r>
            <w:r w:rsidR="003903A3">
              <w:rPr>
                <w:sz w:val="20"/>
                <w:szCs w:val="20"/>
              </w:rPr>
              <w:t xml:space="preserve"> (Output 1.4</w:t>
            </w:r>
            <w:r w:rsidR="00F42737">
              <w:rPr>
                <w:sz w:val="20"/>
                <w:szCs w:val="20"/>
              </w:rPr>
              <w:t>, Activity 1.4.1</w:t>
            </w:r>
            <w:r w:rsidR="003903A3">
              <w:rPr>
                <w:sz w:val="20"/>
                <w:szCs w:val="20"/>
              </w:rPr>
              <w:t>)</w:t>
            </w:r>
          </w:p>
        </w:tc>
        <w:tc>
          <w:tcPr>
            <w:tcW w:w="2916" w:type="dxa"/>
            <w:tcBorders>
              <w:top w:val="single" w:sz="6" w:space="0" w:color="auto"/>
              <w:left w:val="single" w:sz="6" w:space="0" w:color="auto"/>
              <w:bottom w:val="single" w:sz="4" w:space="0" w:color="auto"/>
              <w:right w:val="single" w:sz="6" w:space="0" w:color="auto"/>
            </w:tcBorders>
          </w:tcPr>
          <w:p w14:paraId="53F22452" w14:textId="304CD3CF" w:rsidR="00E210CC" w:rsidRPr="00C5739B" w:rsidDel="0081599E" w:rsidRDefault="009652EC" w:rsidP="00441924">
            <w:pPr>
              <w:tabs>
                <w:tab w:val="left" w:pos="1080"/>
              </w:tabs>
              <w:rPr>
                <w:sz w:val="20"/>
                <w:szCs w:val="20"/>
              </w:rPr>
            </w:pPr>
            <w:r>
              <w:rPr>
                <w:sz w:val="20"/>
                <w:szCs w:val="20"/>
              </w:rPr>
              <w:t>February 2022</w:t>
            </w:r>
          </w:p>
        </w:tc>
        <w:tc>
          <w:tcPr>
            <w:tcW w:w="2600" w:type="dxa"/>
            <w:tcBorders>
              <w:top w:val="single" w:sz="6" w:space="0" w:color="auto"/>
              <w:left w:val="single" w:sz="6" w:space="0" w:color="auto"/>
              <w:bottom w:val="single" w:sz="4" w:space="0" w:color="auto"/>
              <w:right w:val="single" w:sz="6" w:space="0" w:color="auto"/>
            </w:tcBorders>
          </w:tcPr>
          <w:p w14:paraId="0B6838E8" w14:textId="09668E6F" w:rsidR="00E210CC" w:rsidRPr="00C5739B" w:rsidDel="0081599E" w:rsidRDefault="000D7795" w:rsidP="00441924">
            <w:pPr>
              <w:tabs>
                <w:tab w:val="left" w:pos="1080"/>
              </w:tabs>
              <w:rPr>
                <w:sz w:val="20"/>
                <w:szCs w:val="20"/>
              </w:rPr>
            </w:pPr>
            <w:r>
              <w:rPr>
                <w:sz w:val="20"/>
                <w:szCs w:val="20"/>
              </w:rPr>
              <w:t>PMU</w:t>
            </w:r>
            <w:r w:rsidR="00536AF6">
              <w:rPr>
                <w:sz w:val="20"/>
                <w:szCs w:val="20"/>
              </w:rPr>
              <w:t xml:space="preserve"> (Lead)</w:t>
            </w:r>
            <w:r>
              <w:rPr>
                <w:sz w:val="20"/>
                <w:szCs w:val="20"/>
              </w:rPr>
              <w:t xml:space="preserve">, MTET/DOE, </w:t>
            </w:r>
            <w:r w:rsidR="00D8502F">
              <w:rPr>
                <w:sz w:val="20"/>
                <w:szCs w:val="20"/>
              </w:rPr>
              <w:t>TEC,</w:t>
            </w:r>
            <w:r>
              <w:rPr>
                <w:sz w:val="20"/>
                <w:szCs w:val="20"/>
              </w:rPr>
              <w:t xml:space="preserve"> and stakeholders</w:t>
            </w:r>
          </w:p>
        </w:tc>
        <w:tc>
          <w:tcPr>
            <w:tcW w:w="1252" w:type="dxa"/>
            <w:tcBorders>
              <w:top w:val="single" w:sz="6" w:space="0" w:color="auto"/>
              <w:left w:val="single" w:sz="6" w:space="0" w:color="auto"/>
              <w:bottom w:val="single" w:sz="4" w:space="0" w:color="auto"/>
              <w:right w:val="single" w:sz="6" w:space="0" w:color="auto"/>
            </w:tcBorders>
          </w:tcPr>
          <w:p w14:paraId="385BCAF6"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34861F6D" w14:textId="77777777" w:rsidR="00E210CC" w:rsidRPr="00C5739B" w:rsidRDefault="00E210CC" w:rsidP="00441924">
            <w:pPr>
              <w:tabs>
                <w:tab w:val="left" w:pos="1080"/>
              </w:tabs>
              <w:rPr>
                <w:sz w:val="20"/>
                <w:szCs w:val="20"/>
              </w:rPr>
            </w:pPr>
          </w:p>
        </w:tc>
      </w:tr>
    </w:tbl>
    <w:p w14:paraId="2C19CD6A" w14:textId="77777777" w:rsidR="00E210CC" w:rsidRDefault="00E210CC"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E210CC" w:rsidRPr="00C5739B" w14:paraId="55390998" w14:textId="77777777" w:rsidTr="00441924">
        <w:tc>
          <w:tcPr>
            <w:tcW w:w="12327" w:type="dxa"/>
            <w:gridSpan w:val="5"/>
            <w:shd w:val="clear" w:color="auto" w:fill="F3F3F3"/>
          </w:tcPr>
          <w:p w14:paraId="74EA2276" w14:textId="2A5619CC" w:rsidR="00E210CC" w:rsidRPr="00C5739B" w:rsidRDefault="00E210CC"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Pr>
                <w:b/>
                <w:sz w:val="20"/>
                <w:szCs w:val="20"/>
              </w:rPr>
              <w:t>5</w:t>
            </w:r>
            <w:r w:rsidRPr="00C5739B">
              <w:rPr>
                <w:b/>
                <w:sz w:val="20"/>
                <w:szCs w:val="20"/>
              </w:rPr>
              <w:t xml:space="preserve">. </w:t>
            </w:r>
            <w:r w:rsidRPr="00E210CC">
              <w:rPr>
                <w:rFonts w:ascii="Cambria" w:hAnsi="Cambria"/>
                <w:b/>
                <w:i/>
                <w:iCs/>
                <w:sz w:val="22"/>
              </w:rPr>
              <w:t>Partnership and stakeholder engagement</w:t>
            </w:r>
            <w:r w:rsidRPr="00DE5B3F">
              <w:rPr>
                <w:rFonts w:ascii="Cambria" w:hAnsi="Cambria"/>
                <w:sz w:val="22"/>
              </w:rPr>
              <w:t>: Improved and active stakeholder engagement is demanded</w:t>
            </w:r>
            <w:r>
              <w:rPr>
                <w:rFonts w:ascii="Cambria" w:hAnsi="Cambria"/>
                <w:sz w:val="22"/>
              </w:rPr>
              <w:t xml:space="preserve"> at all</w:t>
            </w:r>
            <w:r w:rsidRPr="00DE5B3F">
              <w:rPr>
                <w:rFonts w:ascii="Cambria" w:hAnsi="Cambria"/>
                <w:sz w:val="22"/>
              </w:rPr>
              <w:t xml:space="preserve"> stage</w:t>
            </w:r>
            <w:r>
              <w:rPr>
                <w:rFonts w:ascii="Cambria" w:hAnsi="Cambria"/>
                <w:sz w:val="22"/>
              </w:rPr>
              <w:t>s</w:t>
            </w:r>
            <w:r w:rsidRPr="00DE5B3F">
              <w:rPr>
                <w:rFonts w:ascii="Cambria" w:hAnsi="Cambria"/>
                <w:sz w:val="22"/>
              </w:rPr>
              <w:t xml:space="preserve"> of the project</w:t>
            </w:r>
            <w:r>
              <w:rPr>
                <w:rFonts w:ascii="Cambria" w:hAnsi="Cambria"/>
                <w:sz w:val="22"/>
              </w:rPr>
              <w:t xml:space="preserve"> and is urgent right now</w:t>
            </w:r>
            <w:r w:rsidRPr="00DE5B3F">
              <w:rPr>
                <w:rFonts w:ascii="Cambria" w:hAnsi="Cambria"/>
                <w:sz w:val="22"/>
              </w:rPr>
              <w:t>. This should result in well-coordinated activities and flow of information.</w:t>
            </w:r>
          </w:p>
        </w:tc>
      </w:tr>
      <w:tr w:rsidR="00E210CC" w:rsidRPr="00C5739B" w14:paraId="7DAF9AFB" w14:textId="77777777" w:rsidTr="00441924">
        <w:tc>
          <w:tcPr>
            <w:tcW w:w="12327" w:type="dxa"/>
            <w:gridSpan w:val="5"/>
            <w:tcBorders>
              <w:top w:val="single" w:sz="4" w:space="0" w:color="auto"/>
              <w:bottom w:val="single" w:sz="6" w:space="0" w:color="auto"/>
            </w:tcBorders>
            <w:shd w:val="clear" w:color="auto" w:fill="F3F3F3"/>
          </w:tcPr>
          <w:p w14:paraId="0831E876" w14:textId="77777777" w:rsidR="00E210CC" w:rsidRPr="00C5739B" w:rsidRDefault="00E210CC" w:rsidP="00441924">
            <w:pPr>
              <w:tabs>
                <w:tab w:val="left" w:pos="1080"/>
              </w:tabs>
              <w:rPr>
                <w:sz w:val="20"/>
                <w:szCs w:val="20"/>
              </w:rPr>
            </w:pPr>
            <w:r w:rsidRPr="00C5739B">
              <w:rPr>
                <w:b/>
                <w:sz w:val="20"/>
                <w:szCs w:val="20"/>
              </w:rPr>
              <w:t>Management response</w:t>
            </w:r>
            <w:r w:rsidRPr="00C5739B">
              <w:rPr>
                <w:sz w:val="20"/>
                <w:szCs w:val="20"/>
              </w:rPr>
              <w:t xml:space="preserve">: </w:t>
            </w:r>
            <w:r w:rsidR="000D7795" w:rsidRPr="000D7795">
              <w:rPr>
                <w:b/>
                <w:i/>
                <w:sz w:val="20"/>
                <w:szCs w:val="20"/>
              </w:rPr>
              <w:t>Agree</w:t>
            </w:r>
            <w:r w:rsidR="000D7795">
              <w:rPr>
                <w:sz w:val="20"/>
                <w:szCs w:val="20"/>
              </w:rPr>
              <w:t xml:space="preserve">. NACE should be engaged to be more actively involved in the stakeholder engagement, participative consultation with the consumer groups and related policy making </w:t>
            </w:r>
            <w:proofErr w:type="gramStart"/>
            <w:r w:rsidR="000D7795">
              <w:rPr>
                <w:sz w:val="20"/>
                <w:szCs w:val="20"/>
              </w:rPr>
              <w:t>in order to</w:t>
            </w:r>
            <w:proofErr w:type="gramEnd"/>
            <w:r w:rsidR="000D7795">
              <w:rPr>
                <w:sz w:val="20"/>
                <w:szCs w:val="20"/>
              </w:rPr>
              <w:t xml:space="preserve"> augment capacity of MTET/DOE in dealing with the multi-sectoral aspects of the RE/EE program administration.</w:t>
            </w:r>
          </w:p>
        </w:tc>
      </w:tr>
      <w:tr w:rsidR="00E210CC" w:rsidRPr="00C5739B" w14:paraId="634E04DB"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54D97E27"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36C97875"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6A1EF59F"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40C1BBCA"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007BE882"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431D228B" w14:textId="77777777" w:rsidR="00E210CC" w:rsidRPr="00C5739B" w:rsidRDefault="00E210CC"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4FC3184B" w14:textId="77777777" w:rsidR="00E210CC" w:rsidRPr="00C5739B" w:rsidRDefault="00E210CC"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0A87E15F" w14:textId="77777777" w:rsidR="00E210CC" w:rsidRPr="00C5739B" w:rsidRDefault="00E210CC"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19DDB11C"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68E05078" w14:textId="77777777" w:rsidR="00E210CC" w:rsidRPr="00C5739B" w:rsidRDefault="00E210CC" w:rsidP="00441924">
            <w:pPr>
              <w:tabs>
                <w:tab w:val="left" w:pos="1080"/>
              </w:tabs>
              <w:jc w:val="center"/>
              <w:rPr>
                <w:b/>
                <w:sz w:val="20"/>
                <w:szCs w:val="20"/>
              </w:rPr>
            </w:pPr>
            <w:r w:rsidRPr="00C5739B">
              <w:rPr>
                <w:b/>
                <w:sz w:val="20"/>
                <w:szCs w:val="20"/>
              </w:rPr>
              <w:t>Status</w:t>
            </w:r>
          </w:p>
        </w:tc>
      </w:tr>
      <w:tr w:rsidR="00E210CC" w:rsidRPr="00C5739B" w14:paraId="7997ED7A" w14:textId="77777777" w:rsidTr="00441924">
        <w:tc>
          <w:tcPr>
            <w:tcW w:w="4374" w:type="dxa"/>
            <w:tcBorders>
              <w:top w:val="single" w:sz="6" w:space="0" w:color="auto"/>
              <w:bottom w:val="single" w:sz="6" w:space="0" w:color="auto"/>
              <w:right w:val="single" w:sz="6" w:space="0" w:color="auto"/>
            </w:tcBorders>
          </w:tcPr>
          <w:p w14:paraId="2C937FB2" w14:textId="4ED40979" w:rsidR="00E210CC" w:rsidRPr="00C5739B" w:rsidRDefault="009F71B5" w:rsidP="00441924">
            <w:pPr>
              <w:tabs>
                <w:tab w:val="left" w:pos="1080"/>
              </w:tabs>
              <w:rPr>
                <w:sz w:val="20"/>
                <w:szCs w:val="20"/>
              </w:rPr>
            </w:pPr>
            <w:r>
              <w:rPr>
                <w:sz w:val="20"/>
                <w:szCs w:val="20"/>
              </w:rPr>
              <w:t>5</w:t>
            </w:r>
            <w:r w:rsidR="00E210CC" w:rsidRPr="00C5739B">
              <w:rPr>
                <w:sz w:val="20"/>
                <w:szCs w:val="20"/>
              </w:rPr>
              <w:t xml:space="preserve">.1 </w:t>
            </w:r>
            <w:r w:rsidR="00A17F7D">
              <w:rPr>
                <w:sz w:val="20"/>
                <w:szCs w:val="20"/>
              </w:rPr>
              <w:t>I</w:t>
            </w:r>
            <w:r w:rsidR="00A17F7D" w:rsidRPr="00C921FE">
              <w:rPr>
                <w:sz w:val="20"/>
                <w:szCs w:val="20"/>
              </w:rPr>
              <w:t>mprovement of the institutional working arrangements and implementing guidelines for NAC</w:t>
            </w:r>
            <w:r w:rsidR="00A17F7D">
              <w:rPr>
                <w:sz w:val="20"/>
                <w:szCs w:val="20"/>
              </w:rPr>
              <w:t>E in working with the multi-sectoral stakeholders (</w:t>
            </w:r>
            <w:r w:rsidR="003903A3">
              <w:rPr>
                <w:sz w:val="20"/>
                <w:szCs w:val="20"/>
              </w:rPr>
              <w:t xml:space="preserve">Linked to Activity </w:t>
            </w:r>
            <w:r w:rsidR="00A17F7D">
              <w:rPr>
                <w:sz w:val="20"/>
                <w:szCs w:val="20"/>
              </w:rPr>
              <w:t>2.4.1)</w:t>
            </w:r>
          </w:p>
        </w:tc>
        <w:tc>
          <w:tcPr>
            <w:tcW w:w="2916" w:type="dxa"/>
            <w:tcBorders>
              <w:top w:val="single" w:sz="6" w:space="0" w:color="auto"/>
              <w:left w:val="single" w:sz="6" w:space="0" w:color="auto"/>
              <w:bottom w:val="single" w:sz="6" w:space="0" w:color="auto"/>
              <w:right w:val="single" w:sz="6" w:space="0" w:color="auto"/>
            </w:tcBorders>
          </w:tcPr>
          <w:p w14:paraId="3196998C" w14:textId="0E6683CB" w:rsidR="00E210CC" w:rsidRPr="00C5739B" w:rsidRDefault="009652EC" w:rsidP="00441924">
            <w:pPr>
              <w:tabs>
                <w:tab w:val="left" w:pos="1080"/>
              </w:tabs>
              <w:rPr>
                <w:sz w:val="20"/>
                <w:szCs w:val="20"/>
              </w:rPr>
            </w:pPr>
            <w:r>
              <w:rPr>
                <w:sz w:val="20"/>
                <w:szCs w:val="20"/>
              </w:rPr>
              <w:t xml:space="preserve">September </w:t>
            </w:r>
            <w:r w:rsidR="002D480E">
              <w:rPr>
                <w:sz w:val="20"/>
                <w:szCs w:val="20"/>
              </w:rPr>
              <w:t>2021</w:t>
            </w:r>
          </w:p>
        </w:tc>
        <w:tc>
          <w:tcPr>
            <w:tcW w:w="2600" w:type="dxa"/>
            <w:tcBorders>
              <w:top w:val="single" w:sz="6" w:space="0" w:color="auto"/>
              <w:left w:val="single" w:sz="6" w:space="0" w:color="auto"/>
              <w:bottom w:val="single" w:sz="6" w:space="0" w:color="auto"/>
              <w:right w:val="single" w:sz="6" w:space="0" w:color="auto"/>
            </w:tcBorders>
          </w:tcPr>
          <w:p w14:paraId="798D5294" w14:textId="603863D6" w:rsidR="00E210CC" w:rsidRPr="00C5739B" w:rsidRDefault="002D480E" w:rsidP="00441924">
            <w:pPr>
              <w:tabs>
                <w:tab w:val="left" w:pos="1080"/>
              </w:tabs>
              <w:rPr>
                <w:sz w:val="20"/>
                <w:szCs w:val="20"/>
              </w:rPr>
            </w:pPr>
            <w:r>
              <w:rPr>
                <w:sz w:val="20"/>
                <w:szCs w:val="20"/>
              </w:rPr>
              <w:t>PMU</w:t>
            </w:r>
            <w:r w:rsidR="00F42737">
              <w:rPr>
                <w:sz w:val="20"/>
                <w:szCs w:val="20"/>
              </w:rPr>
              <w:t xml:space="preserve"> (Lead)</w:t>
            </w:r>
            <w:r>
              <w:rPr>
                <w:sz w:val="20"/>
                <w:szCs w:val="20"/>
              </w:rPr>
              <w:t xml:space="preserve">, MTET/DOE, </w:t>
            </w:r>
            <w:r w:rsidR="00D8502F">
              <w:rPr>
                <w:sz w:val="20"/>
                <w:szCs w:val="20"/>
              </w:rPr>
              <w:t>TEC,</w:t>
            </w:r>
            <w:r>
              <w:rPr>
                <w:sz w:val="20"/>
                <w:szCs w:val="20"/>
              </w:rPr>
              <w:t xml:space="preserve"> </w:t>
            </w:r>
          </w:p>
        </w:tc>
        <w:tc>
          <w:tcPr>
            <w:tcW w:w="1252" w:type="dxa"/>
            <w:tcBorders>
              <w:top w:val="single" w:sz="6" w:space="0" w:color="auto"/>
              <w:left w:val="single" w:sz="6" w:space="0" w:color="auto"/>
              <w:bottom w:val="single" w:sz="6" w:space="0" w:color="auto"/>
              <w:right w:val="single" w:sz="6" w:space="0" w:color="auto"/>
            </w:tcBorders>
          </w:tcPr>
          <w:p w14:paraId="3DA60199"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24981630" w14:textId="77777777" w:rsidR="00E210CC" w:rsidRPr="00C5739B" w:rsidRDefault="00E210CC" w:rsidP="00441924">
            <w:pPr>
              <w:tabs>
                <w:tab w:val="left" w:pos="1080"/>
              </w:tabs>
              <w:rPr>
                <w:sz w:val="20"/>
                <w:szCs w:val="20"/>
              </w:rPr>
            </w:pPr>
          </w:p>
        </w:tc>
      </w:tr>
      <w:tr w:rsidR="00E210CC" w:rsidRPr="00C5739B" w14:paraId="20A6FE3F" w14:textId="77777777" w:rsidTr="00441924">
        <w:tc>
          <w:tcPr>
            <w:tcW w:w="4374" w:type="dxa"/>
            <w:tcBorders>
              <w:top w:val="single" w:sz="6" w:space="0" w:color="auto"/>
              <w:bottom w:val="single" w:sz="6" w:space="0" w:color="auto"/>
              <w:right w:val="single" w:sz="6" w:space="0" w:color="auto"/>
            </w:tcBorders>
          </w:tcPr>
          <w:p w14:paraId="547E4A72" w14:textId="1BB5ADB8" w:rsidR="00E210CC" w:rsidRPr="00C5739B" w:rsidRDefault="009F71B5" w:rsidP="00441924">
            <w:pPr>
              <w:tabs>
                <w:tab w:val="left" w:pos="1080"/>
              </w:tabs>
              <w:rPr>
                <w:sz w:val="20"/>
                <w:szCs w:val="20"/>
              </w:rPr>
            </w:pPr>
            <w:r>
              <w:rPr>
                <w:sz w:val="20"/>
                <w:szCs w:val="20"/>
              </w:rPr>
              <w:t>5</w:t>
            </w:r>
            <w:r w:rsidR="00E210CC" w:rsidRPr="00C5739B">
              <w:rPr>
                <w:sz w:val="20"/>
                <w:szCs w:val="20"/>
              </w:rPr>
              <w:t xml:space="preserve">.2 </w:t>
            </w:r>
            <w:r w:rsidR="00A17F7D" w:rsidRPr="000D7795">
              <w:rPr>
                <w:sz w:val="20"/>
                <w:szCs w:val="20"/>
              </w:rPr>
              <w:t xml:space="preserve">Coordination and establishment of technical working groups (TWGs) comprised of the relevant government agencies, local leaders, financial </w:t>
            </w:r>
            <w:r w:rsidR="00D8502F" w:rsidRPr="000D7795">
              <w:rPr>
                <w:sz w:val="20"/>
                <w:szCs w:val="20"/>
              </w:rPr>
              <w:t>sector,</w:t>
            </w:r>
            <w:r w:rsidR="00A17F7D" w:rsidRPr="000D7795">
              <w:rPr>
                <w:sz w:val="20"/>
                <w:szCs w:val="20"/>
              </w:rPr>
              <w:t xml:space="preserve"> and support industry to remove related barriers</w:t>
            </w:r>
            <w:r w:rsidR="00A17F7D">
              <w:rPr>
                <w:sz w:val="20"/>
                <w:szCs w:val="20"/>
              </w:rPr>
              <w:t xml:space="preserve"> (</w:t>
            </w:r>
            <w:r w:rsidR="00F42737">
              <w:rPr>
                <w:sz w:val="20"/>
                <w:szCs w:val="20"/>
              </w:rPr>
              <w:t xml:space="preserve">Activity </w:t>
            </w:r>
            <w:r w:rsidR="00A17F7D">
              <w:rPr>
                <w:sz w:val="20"/>
                <w:szCs w:val="20"/>
              </w:rPr>
              <w:t>2.4.2)</w:t>
            </w:r>
            <w:r w:rsidR="00A17F7D" w:rsidRPr="000D7795">
              <w:rPr>
                <w:sz w:val="20"/>
                <w:szCs w:val="20"/>
              </w:rPr>
              <w:t xml:space="preserve"> Coordination and establishment of technical working groups (TWGs) comprised of the relevant government agencies, local leaders, financial </w:t>
            </w:r>
            <w:r w:rsidR="00D8502F" w:rsidRPr="000D7795">
              <w:rPr>
                <w:sz w:val="20"/>
                <w:szCs w:val="20"/>
              </w:rPr>
              <w:t>sector,</w:t>
            </w:r>
            <w:r w:rsidR="00A17F7D" w:rsidRPr="000D7795">
              <w:rPr>
                <w:sz w:val="20"/>
                <w:szCs w:val="20"/>
              </w:rPr>
              <w:t xml:space="preserve"> and support industry to remove related barriers</w:t>
            </w:r>
            <w:r w:rsidR="00A17F7D">
              <w:rPr>
                <w:sz w:val="20"/>
                <w:szCs w:val="20"/>
              </w:rPr>
              <w:t xml:space="preserve"> (</w:t>
            </w:r>
            <w:r w:rsidR="00F42737">
              <w:rPr>
                <w:sz w:val="20"/>
                <w:szCs w:val="20"/>
              </w:rPr>
              <w:t xml:space="preserve">Activity </w:t>
            </w:r>
            <w:r w:rsidR="00A17F7D">
              <w:rPr>
                <w:sz w:val="20"/>
                <w:szCs w:val="20"/>
              </w:rPr>
              <w:t>2.4.2)</w:t>
            </w:r>
          </w:p>
        </w:tc>
        <w:tc>
          <w:tcPr>
            <w:tcW w:w="2916" w:type="dxa"/>
            <w:tcBorders>
              <w:top w:val="single" w:sz="6" w:space="0" w:color="auto"/>
              <w:left w:val="single" w:sz="6" w:space="0" w:color="auto"/>
              <w:bottom w:val="single" w:sz="6" w:space="0" w:color="auto"/>
              <w:right w:val="single" w:sz="6" w:space="0" w:color="auto"/>
            </w:tcBorders>
          </w:tcPr>
          <w:p w14:paraId="0BFACB43" w14:textId="6E5AF755" w:rsidR="00E210CC" w:rsidRPr="00C5739B" w:rsidRDefault="002D480E"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2F5486A2" w14:textId="5CD408A6" w:rsidR="00E210CC" w:rsidRPr="00C5739B" w:rsidRDefault="002D480E" w:rsidP="00441924">
            <w:pPr>
              <w:tabs>
                <w:tab w:val="left" w:pos="1080"/>
              </w:tabs>
              <w:rPr>
                <w:sz w:val="20"/>
                <w:szCs w:val="20"/>
              </w:rPr>
            </w:pPr>
            <w:r>
              <w:rPr>
                <w:sz w:val="20"/>
                <w:szCs w:val="20"/>
              </w:rPr>
              <w:t>PMU</w:t>
            </w:r>
            <w:r w:rsidR="00F42737">
              <w:rPr>
                <w:sz w:val="20"/>
                <w:szCs w:val="20"/>
              </w:rPr>
              <w:t xml:space="preserve"> (Lead)</w:t>
            </w:r>
            <w:r>
              <w:rPr>
                <w:sz w:val="20"/>
                <w:szCs w:val="20"/>
              </w:rPr>
              <w:t xml:space="preserve">, MTET/DOE, </w:t>
            </w:r>
            <w:r w:rsidR="00D8502F">
              <w:rPr>
                <w:sz w:val="20"/>
                <w:szCs w:val="20"/>
              </w:rPr>
              <w:t>TEC</w:t>
            </w:r>
          </w:p>
        </w:tc>
        <w:tc>
          <w:tcPr>
            <w:tcW w:w="1252" w:type="dxa"/>
            <w:tcBorders>
              <w:top w:val="single" w:sz="6" w:space="0" w:color="auto"/>
              <w:left w:val="single" w:sz="6" w:space="0" w:color="auto"/>
              <w:bottom w:val="single" w:sz="6" w:space="0" w:color="auto"/>
              <w:right w:val="single" w:sz="6" w:space="0" w:color="auto"/>
            </w:tcBorders>
          </w:tcPr>
          <w:p w14:paraId="58BDBEA8"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024809A7" w14:textId="77777777" w:rsidR="00E210CC" w:rsidRPr="00C5739B" w:rsidRDefault="00E210CC" w:rsidP="00441924">
            <w:pPr>
              <w:tabs>
                <w:tab w:val="left" w:pos="1080"/>
              </w:tabs>
              <w:rPr>
                <w:sz w:val="20"/>
                <w:szCs w:val="20"/>
              </w:rPr>
            </w:pPr>
          </w:p>
        </w:tc>
      </w:tr>
      <w:tr w:rsidR="00E210CC" w:rsidRPr="00C5739B" w14:paraId="4392474A" w14:textId="77777777" w:rsidTr="00441924">
        <w:tc>
          <w:tcPr>
            <w:tcW w:w="4374" w:type="dxa"/>
            <w:tcBorders>
              <w:top w:val="single" w:sz="6" w:space="0" w:color="auto"/>
              <w:bottom w:val="single" w:sz="4" w:space="0" w:color="auto"/>
              <w:right w:val="single" w:sz="6" w:space="0" w:color="auto"/>
            </w:tcBorders>
          </w:tcPr>
          <w:p w14:paraId="417481AB" w14:textId="26A60A1B" w:rsidR="00E210CC" w:rsidRPr="00C5739B" w:rsidRDefault="009F71B5" w:rsidP="00441924">
            <w:pPr>
              <w:tabs>
                <w:tab w:val="left" w:pos="1080"/>
              </w:tabs>
              <w:rPr>
                <w:sz w:val="20"/>
                <w:szCs w:val="20"/>
              </w:rPr>
            </w:pPr>
            <w:r>
              <w:rPr>
                <w:sz w:val="20"/>
                <w:szCs w:val="20"/>
              </w:rPr>
              <w:t>5</w:t>
            </w:r>
            <w:r w:rsidR="00E210CC" w:rsidRPr="00C5739B">
              <w:rPr>
                <w:sz w:val="20"/>
                <w:szCs w:val="20"/>
              </w:rPr>
              <w:t>.3</w:t>
            </w:r>
            <w:r w:rsidR="00A17F7D">
              <w:rPr>
                <w:sz w:val="20"/>
                <w:szCs w:val="20"/>
              </w:rPr>
              <w:t xml:space="preserve"> </w:t>
            </w:r>
            <w:r w:rsidR="00A17F7D" w:rsidRPr="00422567">
              <w:rPr>
                <w:rFonts w:eastAsia="Calibri" w:cstheme="minorHAnsi"/>
                <w:kern w:val="1"/>
                <w:sz w:val="22"/>
                <w:szCs w:val="22"/>
                <w:lang w:eastAsia="ar-SA"/>
              </w:rPr>
              <w:t xml:space="preserve">Development and approval of follow-up and sustainability plan for the monitoring, evaluation and enhancement of </w:t>
            </w:r>
            <w:r w:rsidR="00A17F7D">
              <w:rPr>
                <w:rFonts w:eastAsia="Calibri" w:cstheme="minorHAnsi"/>
                <w:kern w:val="1"/>
                <w:sz w:val="22"/>
                <w:szCs w:val="22"/>
                <w:lang w:eastAsia="ar-SA"/>
              </w:rPr>
              <w:t>RE/EE</w:t>
            </w:r>
            <w:r w:rsidR="00A17F7D" w:rsidRPr="00422567">
              <w:rPr>
                <w:rFonts w:eastAsia="Calibri" w:cstheme="minorHAnsi"/>
                <w:kern w:val="1"/>
                <w:sz w:val="22"/>
                <w:szCs w:val="22"/>
                <w:lang w:eastAsia="ar-SA"/>
              </w:rPr>
              <w:t xml:space="preserve"> plans and policies, as well as enhancements of the institutional framework and mechanisms for sustainably enforcing consistent government </w:t>
            </w:r>
            <w:proofErr w:type="gramStart"/>
            <w:r w:rsidR="00A17F7D" w:rsidRPr="00422567">
              <w:rPr>
                <w:rFonts w:eastAsia="Calibri" w:cstheme="minorHAnsi"/>
                <w:kern w:val="1"/>
                <w:sz w:val="22"/>
                <w:szCs w:val="22"/>
                <w:lang w:eastAsia="ar-SA"/>
              </w:rPr>
              <w:t>policies  on</w:t>
            </w:r>
            <w:proofErr w:type="gramEnd"/>
            <w:r w:rsidR="00A17F7D" w:rsidRPr="00422567">
              <w:rPr>
                <w:rFonts w:eastAsia="Calibri" w:cstheme="minorHAnsi"/>
                <w:kern w:val="1"/>
                <w:sz w:val="22"/>
                <w:szCs w:val="22"/>
                <w:lang w:eastAsia="ar-SA"/>
              </w:rPr>
              <w:t xml:space="preserve"> RE/EE to support national </w:t>
            </w:r>
            <w:r w:rsidR="00A17F7D" w:rsidRPr="00422567">
              <w:rPr>
                <w:rFonts w:eastAsia="Calibri" w:cstheme="minorHAnsi"/>
                <w:kern w:val="1"/>
                <w:sz w:val="22"/>
                <w:szCs w:val="22"/>
                <w:lang w:eastAsia="ar-SA"/>
              </w:rPr>
              <w:lastRenderedPageBreak/>
              <w:t>development</w:t>
            </w:r>
            <w:r w:rsidR="00A17F7D">
              <w:rPr>
                <w:rFonts w:eastAsia="Calibri" w:cstheme="minorHAnsi"/>
                <w:kern w:val="1"/>
                <w:sz w:val="22"/>
                <w:szCs w:val="22"/>
                <w:lang w:eastAsia="ar-SA"/>
              </w:rPr>
              <w:t xml:space="preserve"> </w:t>
            </w:r>
            <w:r w:rsidR="0051651F">
              <w:rPr>
                <w:rFonts w:eastAsia="Calibri" w:cstheme="minorHAnsi"/>
                <w:kern w:val="1"/>
                <w:sz w:val="22"/>
                <w:szCs w:val="22"/>
                <w:lang w:eastAsia="ar-SA"/>
              </w:rPr>
              <w:t xml:space="preserve">by achieving the 100% RE in power generation </w:t>
            </w:r>
            <w:r w:rsidR="00A17F7D">
              <w:rPr>
                <w:rFonts w:eastAsia="Calibri" w:cstheme="minorHAnsi"/>
                <w:kern w:val="1"/>
                <w:sz w:val="22"/>
                <w:szCs w:val="22"/>
                <w:lang w:eastAsia="ar-SA"/>
              </w:rPr>
              <w:t>(</w:t>
            </w:r>
            <w:r w:rsidR="00F42737">
              <w:rPr>
                <w:rFonts w:eastAsia="Calibri" w:cstheme="minorHAnsi"/>
                <w:kern w:val="1"/>
                <w:sz w:val="22"/>
                <w:szCs w:val="22"/>
                <w:lang w:eastAsia="ar-SA"/>
              </w:rPr>
              <w:t xml:space="preserve">Activity </w:t>
            </w:r>
            <w:r w:rsidR="00A17F7D">
              <w:rPr>
                <w:rFonts w:eastAsia="Calibri" w:cstheme="minorHAnsi"/>
                <w:kern w:val="1"/>
                <w:sz w:val="22"/>
                <w:szCs w:val="22"/>
                <w:lang w:eastAsia="ar-SA"/>
              </w:rPr>
              <w:t>2.7.1)</w:t>
            </w:r>
          </w:p>
        </w:tc>
        <w:tc>
          <w:tcPr>
            <w:tcW w:w="2916" w:type="dxa"/>
            <w:tcBorders>
              <w:top w:val="single" w:sz="6" w:space="0" w:color="auto"/>
              <w:left w:val="single" w:sz="6" w:space="0" w:color="auto"/>
              <w:bottom w:val="single" w:sz="4" w:space="0" w:color="auto"/>
              <w:right w:val="single" w:sz="6" w:space="0" w:color="auto"/>
            </w:tcBorders>
          </w:tcPr>
          <w:p w14:paraId="2D9F523E" w14:textId="1C7EC402" w:rsidR="00E210CC" w:rsidRPr="00C5739B" w:rsidDel="0081599E" w:rsidRDefault="009652EC" w:rsidP="00441924">
            <w:pPr>
              <w:tabs>
                <w:tab w:val="left" w:pos="1080"/>
              </w:tabs>
              <w:rPr>
                <w:sz w:val="20"/>
                <w:szCs w:val="20"/>
              </w:rPr>
            </w:pPr>
            <w:r>
              <w:rPr>
                <w:sz w:val="20"/>
                <w:szCs w:val="20"/>
              </w:rPr>
              <w:lastRenderedPageBreak/>
              <w:t xml:space="preserve">June </w:t>
            </w:r>
            <w:r w:rsidR="002D480E">
              <w:rPr>
                <w:sz w:val="20"/>
                <w:szCs w:val="20"/>
              </w:rPr>
              <w:t>202</w:t>
            </w:r>
            <w:r>
              <w:rPr>
                <w:sz w:val="20"/>
                <w:szCs w:val="20"/>
              </w:rPr>
              <w:t>2</w:t>
            </w:r>
          </w:p>
        </w:tc>
        <w:tc>
          <w:tcPr>
            <w:tcW w:w="2600" w:type="dxa"/>
            <w:tcBorders>
              <w:top w:val="single" w:sz="6" w:space="0" w:color="auto"/>
              <w:left w:val="single" w:sz="6" w:space="0" w:color="auto"/>
              <w:bottom w:val="single" w:sz="4" w:space="0" w:color="auto"/>
              <w:right w:val="single" w:sz="6" w:space="0" w:color="auto"/>
            </w:tcBorders>
          </w:tcPr>
          <w:p w14:paraId="5422D530" w14:textId="761DDA3B" w:rsidR="00E210CC" w:rsidRPr="00C5739B" w:rsidDel="0081599E" w:rsidRDefault="002D480E" w:rsidP="00441924">
            <w:pPr>
              <w:tabs>
                <w:tab w:val="left" w:pos="1080"/>
              </w:tabs>
              <w:rPr>
                <w:sz w:val="20"/>
                <w:szCs w:val="20"/>
              </w:rPr>
            </w:pPr>
            <w:r>
              <w:rPr>
                <w:sz w:val="20"/>
                <w:szCs w:val="20"/>
              </w:rPr>
              <w:t>PMU</w:t>
            </w:r>
            <w:r w:rsidR="00F42737">
              <w:rPr>
                <w:sz w:val="20"/>
                <w:szCs w:val="20"/>
              </w:rPr>
              <w:t xml:space="preserve"> (Lead)</w:t>
            </w:r>
            <w:r>
              <w:rPr>
                <w:sz w:val="20"/>
                <w:szCs w:val="20"/>
              </w:rPr>
              <w:t xml:space="preserve">, MTET/DOE, </w:t>
            </w:r>
            <w:r w:rsidR="00D8502F">
              <w:rPr>
                <w:sz w:val="20"/>
                <w:szCs w:val="20"/>
              </w:rPr>
              <w:t>TEC</w:t>
            </w:r>
          </w:p>
        </w:tc>
        <w:tc>
          <w:tcPr>
            <w:tcW w:w="1252" w:type="dxa"/>
            <w:tcBorders>
              <w:top w:val="single" w:sz="6" w:space="0" w:color="auto"/>
              <w:left w:val="single" w:sz="6" w:space="0" w:color="auto"/>
              <w:bottom w:val="single" w:sz="4" w:space="0" w:color="auto"/>
              <w:right w:val="single" w:sz="6" w:space="0" w:color="auto"/>
            </w:tcBorders>
          </w:tcPr>
          <w:p w14:paraId="575962E9"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1B3461A2" w14:textId="77777777" w:rsidR="00E210CC" w:rsidRPr="00C5739B" w:rsidRDefault="00E210CC" w:rsidP="00441924">
            <w:pPr>
              <w:tabs>
                <w:tab w:val="left" w:pos="1080"/>
              </w:tabs>
              <w:rPr>
                <w:sz w:val="20"/>
                <w:szCs w:val="20"/>
              </w:rPr>
            </w:pPr>
          </w:p>
        </w:tc>
      </w:tr>
    </w:tbl>
    <w:p w14:paraId="5DC5A7A4" w14:textId="77777777" w:rsidR="00E210CC" w:rsidRDefault="00E210CC"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E210CC" w:rsidRPr="00C5739B" w14:paraId="2BFCAB6E" w14:textId="77777777" w:rsidTr="00441924">
        <w:tc>
          <w:tcPr>
            <w:tcW w:w="12327" w:type="dxa"/>
            <w:gridSpan w:val="5"/>
            <w:shd w:val="clear" w:color="auto" w:fill="F3F3F3"/>
          </w:tcPr>
          <w:p w14:paraId="02BD1C8B" w14:textId="77777777" w:rsidR="00E210CC" w:rsidRPr="00C5739B" w:rsidRDefault="00E210CC"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sidR="009F71B5">
              <w:rPr>
                <w:b/>
                <w:sz w:val="20"/>
                <w:szCs w:val="20"/>
              </w:rPr>
              <w:t>6</w:t>
            </w:r>
            <w:r w:rsidRPr="00C5739B">
              <w:rPr>
                <w:b/>
                <w:sz w:val="20"/>
                <w:szCs w:val="20"/>
              </w:rPr>
              <w:t xml:space="preserve">. </w:t>
            </w:r>
            <w:r w:rsidR="009F71B5" w:rsidRPr="009F71B5">
              <w:rPr>
                <w:b/>
                <w:i/>
                <w:iCs/>
                <w:sz w:val="20"/>
                <w:szCs w:val="20"/>
              </w:rPr>
              <w:t xml:space="preserve">Develop and implement an integrated management plan for the Tafua Pond: </w:t>
            </w:r>
            <w:r w:rsidR="009F71B5" w:rsidRPr="009F71B5">
              <w:rPr>
                <w:iCs/>
                <w:sz w:val="20"/>
                <w:szCs w:val="20"/>
              </w:rPr>
              <w:t>The mangrove pond site for the floating solar panels is heavily polluted, and a multi-stakeholder approach could create a win-win situation. F</w:t>
            </w:r>
            <w:r w:rsidR="009F71B5" w:rsidRPr="009F71B5">
              <w:rPr>
                <w:sz w:val="20"/>
                <w:szCs w:val="20"/>
              </w:rPr>
              <w:t>or the reasons explained above, the project should partner with the following stakeholders who have a common objective to clean and improve the biodiversity of the pond: Department of Environment, the NGO Tuvalu Climate Action Network, Department of Agriculture, UNDP-GEF R2R project, and the Saugavaka local project.</w:t>
            </w:r>
          </w:p>
        </w:tc>
      </w:tr>
      <w:tr w:rsidR="00E210CC" w:rsidRPr="00C5739B" w14:paraId="78889FD8" w14:textId="77777777" w:rsidTr="00441924">
        <w:tc>
          <w:tcPr>
            <w:tcW w:w="12327" w:type="dxa"/>
            <w:gridSpan w:val="5"/>
            <w:tcBorders>
              <w:top w:val="single" w:sz="4" w:space="0" w:color="auto"/>
              <w:bottom w:val="single" w:sz="6" w:space="0" w:color="auto"/>
            </w:tcBorders>
            <w:shd w:val="clear" w:color="auto" w:fill="F3F3F3"/>
          </w:tcPr>
          <w:p w14:paraId="174977E1" w14:textId="77777777" w:rsidR="00E210CC" w:rsidRPr="00C5739B" w:rsidRDefault="00E210CC" w:rsidP="00441924">
            <w:pPr>
              <w:tabs>
                <w:tab w:val="left" w:pos="1080"/>
              </w:tabs>
              <w:rPr>
                <w:sz w:val="20"/>
                <w:szCs w:val="20"/>
              </w:rPr>
            </w:pPr>
            <w:r w:rsidRPr="00C5739B">
              <w:rPr>
                <w:b/>
                <w:sz w:val="20"/>
                <w:szCs w:val="20"/>
              </w:rPr>
              <w:t>Management response</w:t>
            </w:r>
            <w:r w:rsidRPr="00C5739B">
              <w:rPr>
                <w:sz w:val="20"/>
                <w:szCs w:val="20"/>
              </w:rPr>
              <w:t xml:space="preserve">: </w:t>
            </w:r>
            <w:r w:rsidR="002D480E" w:rsidRPr="002D480E">
              <w:rPr>
                <w:b/>
                <w:i/>
                <w:sz w:val="20"/>
                <w:szCs w:val="20"/>
              </w:rPr>
              <w:t>Agree</w:t>
            </w:r>
            <w:r w:rsidR="002D480E">
              <w:rPr>
                <w:sz w:val="20"/>
                <w:szCs w:val="20"/>
              </w:rPr>
              <w:t xml:space="preserve">. The Project has developed a scheme </w:t>
            </w:r>
            <w:r w:rsidR="0051651F">
              <w:rPr>
                <w:sz w:val="20"/>
                <w:szCs w:val="20"/>
              </w:rPr>
              <w:t xml:space="preserve">and initiated to implement remediation </w:t>
            </w:r>
            <w:r w:rsidR="002D480E">
              <w:rPr>
                <w:sz w:val="20"/>
                <w:szCs w:val="20"/>
              </w:rPr>
              <w:t xml:space="preserve">to clean up the pond water to prepare it for the construction and installation works for the FSPV facility. Considering that the pond </w:t>
            </w:r>
            <w:r w:rsidR="0051651F">
              <w:rPr>
                <w:sz w:val="20"/>
                <w:szCs w:val="20"/>
              </w:rPr>
              <w:t xml:space="preserve">is also a common place for various projects and activities by interested stakeholders for different purposes, the Project has coordinated with the Kaupule (local government) on the policy to control the indiscriminate disposal of pig wastes into the pond and is developing an integrated </w:t>
            </w:r>
            <w:r w:rsidR="009E6571">
              <w:rPr>
                <w:sz w:val="20"/>
                <w:szCs w:val="20"/>
              </w:rPr>
              <w:t xml:space="preserve">and sustainable </w:t>
            </w:r>
            <w:r w:rsidR="0051651F">
              <w:rPr>
                <w:sz w:val="20"/>
                <w:szCs w:val="20"/>
              </w:rPr>
              <w:t xml:space="preserve">approach in </w:t>
            </w:r>
            <w:r w:rsidR="009E6571">
              <w:rPr>
                <w:sz w:val="20"/>
                <w:szCs w:val="20"/>
              </w:rPr>
              <w:t xml:space="preserve">the common use of the pond and </w:t>
            </w:r>
            <w:r w:rsidR="0051651F">
              <w:rPr>
                <w:sz w:val="20"/>
                <w:szCs w:val="20"/>
              </w:rPr>
              <w:t xml:space="preserve">preserving </w:t>
            </w:r>
            <w:r w:rsidR="009E6571">
              <w:rPr>
                <w:sz w:val="20"/>
                <w:szCs w:val="20"/>
              </w:rPr>
              <w:t>its</w:t>
            </w:r>
            <w:r w:rsidR="0051651F">
              <w:rPr>
                <w:sz w:val="20"/>
                <w:szCs w:val="20"/>
              </w:rPr>
              <w:t xml:space="preserve"> desired water quality. This will be one of the development agenda that will be tackled by the NACE in consultation with the Kaupule and other </w:t>
            </w:r>
            <w:r w:rsidR="009E6571">
              <w:rPr>
                <w:sz w:val="20"/>
                <w:szCs w:val="20"/>
              </w:rPr>
              <w:t>interested stakeholders</w:t>
            </w:r>
            <w:r w:rsidR="0051651F">
              <w:rPr>
                <w:sz w:val="20"/>
                <w:szCs w:val="20"/>
              </w:rPr>
              <w:t xml:space="preserve">.   </w:t>
            </w:r>
          </w:p>
        </w:tc>
      </w:tr>
      <w:tr w:rsidR="00E210CC" w:rsidRPr="00C5739B" w14:paraId="37A85327"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2C6908A6"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547D806D"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6DB4B14F"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48030A20"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4ACACAF6"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4F8ADDBA" w14:textId="77777777" w:rsidR="00E210CC" w:rsidRPr="00C5739B" w:rsidRDefault="00E210CC"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1D690B41" w14:textId="77777777" w:rsidR="00E210CC" w:rsidRPr="00C5739B" w:rsidRDefault="00E210CC"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61E1788E" w14:textId="77777777" w:rsidR="00E210CC" w:rsidRPr="00C5739B" w:rsidRDefault="00E210CC"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21DAC56A"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60D44793" w14:textId="77777777" w:rsidR="00E210CC" w:rsidRPr="00C5739B" w:rsidRDefault="00E210CC" w:rsidP="00441924">
            <w:pPr>
              <w:tabs>
                <w:tab w:val="left" w:pos="1080"/>
              </w:tabs>
              <w:jc w:val="center"/>
              <w:rPr>
                <w:b/>
                <w:sz w:val="20"/>
                <w:szCs w:val="20"/>
              </w:rPr>
            </w:pPr>
            <w:r w:rsidRPr="00C5739B">
              <w:rPr>
                <w:b/>
                <w:sz w:val="20"/>
                <w:szCs w:val="20"/>
              </w:rPr>
              <w:t>Status</w:t>
            </w:r>
          </w:p>
        </w:tc>
      </w:tr>
      <w:tr w:rsidR="00E210CC" w:rsidRPr="00C5739B" w14:paraId="2901F9A1" w14:textId="77777777" w:rsidTr="00441924">
        <w:tc>
          <w:tcPr>
            <w:tcW w:w="4374" w:type="dxa"/>
            <w:tcBorders>
              <w:top w:val="single" w:sz="6" w:space="0" w:color="auto"/>
              <w:bottom w:val="single" w:sz="6" w:space="0" w:color="auto"/>
              <w:right w:val="single" w:sz="6" w:space="0" w:color="auto"/>
            </w:tcBorders>
          </w:tcPr>
          <w:p w14:paraId="60D9232C" w14:textId="77777777" w:rsidR="00E210CC" w:rsidRPr="00C5739B" w:rsidRDefault="009F71B5" w:rsidP="00441924">
            <w:pPr>
              <w:tabs>
                <w:tab w:val="left" w:pos="1080"/>
              </w:tabs>
              <w:rPr>
                <w:sz w:val="20"/>
                <w:szCs w:val="20"/>
              </w:rPr>
            </w:pPr>
            <w:r>
              <w:rPr>
                <w:sz w:val="20"/>
                <w:szCs w:val="20"/>
              </w:rPr>
              <w:t>6</w:t>
            </w:r>
            <w:r w:rsidR="00E210CC" w:rsidRPr="00C5739B">
              <w:rPr>
                <w:sz w:val="20"/>
                <w:szCs w:val="20"/>
              </w:rPr>
              <w:t xml:space="preserve">.1 </w:t>
            </w:r>
            <w:r w:rsidR="002D480E">
              <w:rPr>
                <w:sz w:val="20"/>
                <w:szCs w:val="20"/>
              </w:rPr>
              <w:t>Implementation of the pond water clean-up</w:t>
            </w:r>
            <w:r w:rsidR="009E6571">
              <w:rPr>
                <w:sz w:val="20"/>
                <w:szCs w:val="20"/>
              </w:rPr>
              <w:t xml:space="preserve"> scheme in cooperation Dept of Public Works and various stakeholders in preparation for the FSPV installation  </w:t>
            </w:r>
            <w:r w:rsidR="002D480E">
              <w:rPr>
                <w:sz w:val="20"/>
                <w:szCs w:val="20"/>
              </w:rPr>
              <w:t xml:space="preserve"> </w:t>
            </w:r>
          </w:p>
        </w:tc>
        <w:tc>
          <w:tcPr>
            <w:tcW w:w="2916" w:type="dxa"/>
            <w:tcBorders>
              <w:top w:val="single" w:sz="6" w:space="0" w:color="auto"/>
              <w:left w:val="single" w:sz="6" w:space="0" w:color="auto"/>
              <w:bottom w:val="single" w:sz="6" w:space="0" w:color="auto"/>
              <w:right w:val="single" w:sz="6" w:space="0" w:color="auto"/>
            </w:tcBorders>
          </w:tcPr>
          <w:p w14:paraId="052726BB" w14:textId="7249FAF2" w:rsidR="00E210CC" w:rsidRPr="00C5739B" w:rsidRDefault="009E6571"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4A057BF2" w14:textId="2CCA423B" w:rsidR="00E210CC" w:rsidRPr="00C5739B" w:rsidRDefault="009E6571" w:rsidP="00441924">
            <w:pPr>
              <w:tabs>
                <w:tab w:val="left" w:pos="1080"/>
              </w:tabs>
              <w:rPr>
                <w:sz w:val="20"/>
                <w:szCs w:val="20"/>
              </w:rPr>
            </w:pPr>
            <w:r>
              <w:rPr>
                <w:sz w:val="20"/>
                <w:szCs w:val="20"/>
              </w:rPr>
              <w:t>PMU</w:t>
            </w:r>
            <w:r w:rsidR="00B36B62">
              <w:rPr>
                <w:sz w:val="20"/>
                <w:szCs w:val="20"/>
              </w:rPr>
              <w:t xml:space="preserve"> (Lead)</w:t>
            </w:r>
            <w:r>
              <w:rPr>
                <w:sz w:val="20"/>
                <w:szCs w:val="20"/>
              </w:rPr>
              <w:t xml:space="preserve">, MTET/DOE, TEC, DPW </w:t>
            </w:r>
          </w:p>
        </w:tc>
        <w:tc>
          <w:tcPr>
            <w:tcW w:w="1252" w:type="dxa"/>
            <w:tcBorders>
              <w:top w:val="single" w:sz="6" w:space="0" w:color="auto"/>
              <w:left w:val="single" w:sz="6" w:space="0" w:color="auto"/>
              <w:bottom w:val="single" w:sz="6" w:space="0" w:color="auto"/>
              <w:right w:val="single" w:sz="6" w:space="0" w:color="auto"/>
            </w:tcBorders>
          </w:tcPr>
          <w:p w14:paraId="4F70CC9A"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35661A0B" w14:textId="77777777" w:rsidR="00E210CC" w:rsidRPr="00C5739B" w:rsidRDefault="00E210CC" w:rsidP="00441924">
            <w:pPr>
              <w:tabs>
                <w:tab w:val="left" w:pos="1080"/>
              </w:tabs>
              <w:rPr>
                <w:sz w:val="20"/>
                <w:szCs w:val="20"/>
              </w:rPr>
            </w:pPr>
          </w:p>
        </w:tc>
      </w:tr>
      <w:tr w:rsidR="00E210CC" w:rsidRPr="00C5739B" w14:paraId="6E1D9634" w14:textId="77777777" w:rsidTr="00441924">
        <w:tc>
          <w:tcPr>
            <w:tcW w:w="4374" w:type="dxa"/>
            <w:tcBorders>
              <w:top w:val="single" w:sz="6" w:space="0" w:color="auto"/>
              <w:bottom w:val="single" w:sz="6" w:space="0" w:color="auto"/>
              <w:right w:val="single" w:sz="6" w:space="0" w:color="auto"/>
            </w:tcBorders>
          </w:tcPr>
          <w:p w14:paraId="4BD262F7" w14:textId="77777777" w:rsidR="00E210CC" w:rsidRPr="00C5739B" w:rsidRDefault="009F71B5" w:rsidP="009E6571">
            <w:pPr>
              <w:tabs>
                <w:tab w:val="left" w:pos="780"/>
              </w:tabs>
              <w:rPr>
                <w:sz w:val="20"/>
                <w:szCs w:val="20"/>
              </w:rPr>
            </w:pPr>
            <w:r>
              <w:rPr>
                <w:sz w:val="20"/>
                <w:szCs w:val="20"/>
              </w:rPr>
              <w:t>6</w:t>
            </w:r>
            <w:r w:rsidR="00E210CC" w:rsidRPr="00C5739B">
              <w:rPr>
                <w:sz w:val="20"/>
                <w:szCs w:val="20"/>
              </w:rPr>
              <w:t xml:space="preserve">.2 </w:t>
            </w:r>
            <w:r w:rsidR="009E6571">
              <w:rPr>
                <w:sz w:val="20"/>
                <w:szCs w:val="20"/>
              </w:rPr>
              <w:t>Establishment and enforcement of the local policy on the common use of the pond and the control of the indiscriminate disposal of pig wastes into the pond as the immediate step</w:t>
            </w:r>
            <w:r w:rsidR="009E6571">
              <w:rPr>
                <w:sz w:val="20"/>
                <w:szCs w:val="20"/>
              </w:rPr>
              <w:tab/>
            </w:r>
          </w:p>
        </w:tc>
        <w:tc>
          <w:tcPr>
            <w:tcW w:w="2916" w:type="dxa"/>
            <w:tcBorders>
              <w:top w:val="single" w:sz="6" w:space="0" w:color="auto"/>
              <w:left w:val="single" w:sz="6" w:space="0" w:color="auto"/>
              <w:bottom w:val="single" w:sz="6" w:space="0" w:color="auto"/>
              <w:right w:val="single" w:sz="6" w:space="0" w:color="auto"/>
            </w:tcBorders>
          </w:tcPr>
          <w:p w14:paraId="612B7086" w14:textId="463243B6" w:rsidR="00E210CC" w:rsidRPr="00C5739B" w:rsidRDefault="009652EC" w:rsidP="00441924">
            <w:pPr>
              <w:tabs>
                <w:tab w:val="left" w:pos="1080"/>
              </w:tabs>
              <w:rPr>
                <w:sz w:val="20"/>
                <w:szCs w:val="20"/>
              </w:rPr>
            </w:pPr>
            <w:r>
              <w:rPr>
                <w:sz w:val="20"/>
                <w:szCs w:val="20"/>
              </w:rPr>
              <w:t xml:space="preserve">April </w:t>
            </w:r>
            <w:r w:rsidR="00F42737">
              <w:rPr>
                <w:sz w:val="20"/>
                <w:szCs w:val="20"/>
              </w:rPr>
              <w:t>2022</w:t>
            </w:r>
          </w:p>
        </w:tc>
        <w:tc>
          <w:tcPr>
            <w:tcW w:w="2600" w:type="dxa"/>
            <w:tcBorders>
              <w:top w:val="single" w:sz="6" w:space="0" w:color="auto"/>
              <w:left w:val="single" w:sz="6" w:space="0" w:color="auto"/>
              <w:bottom w:val="single" w:sz="6" w:space="0" w:color="auto"/>
              <w:right w:val="single" w:sz="6" w:space="0" w:color="auto"/>
            </w:tcBorders>
          </w:tcPr>
          <w:p w14:paraId="5A88B9DE" w14:textId="166682D2" w:rsidR="00E210CC" w:rsidRPr="00C5739B" w:rsidRDefault="00E401DE" w:rsidP="00441924">
            <w:pPr>
              <w:tabs>
                <w:tab w:val="left" w:pos="1080"/>
              </w:tabs>
              <w:rPr>
                <w:sz w:val="20"/>
                <w:szCs w:val="20"/>
              </w:rPr>
            </w:pPr>
            <w:r>
              <w:rPr>
                <w:sz w:val="20"/>
                <w:szCs w:val="20"/>
              </w:rPr>
              <w:t>PMU</w:t>
            </w:r>
            <w:r w:rsidR="00B36B62">
              <w:rPr>
                <w:sz w:val="20"/>
                <w:szCs w:val="20"/>
              </w:rPr>
              <w:t xml:space="preserve"> (Lead)</w:t>
            </w:r>
            <w:r>
              <w:rPr>
                <w:sz w:val="20"/>
                <w:szCs w:val="20"/>
              </w:rPr>
              <w:t>, MTET/DOE, TEC</w:t>
            </w:r>
          </w:p>
        </w:tc>
        <w:tc>
          <w:tcPr>
            <w:tcW w:w="1252" w:type="dxa"/>
            <w:tcBorders>
              <w:top w:val="single" w:sz="6" w:space="0" w:color="auto"/>
              <w:left w:val="single" w:sz="6" w:space="0" w:color="auto"/>
              <w:bottom w:val="single" w:sz="6" w:space="0" w:color="auto"/>
              <w:right w:val="single" w:sz="6" w:space="0" w:color="auto"/>
            </w:tcBorders>
          </w:tcPr>
          <w:p w14:paraId="4A4F56C9" w14:textId="50286D46" w:rsidR="00E210CC" w:rsidRPr="00C5739B" w:rsidRDefault="00F42737" w:rsidP="00441924">
            <w:pPr>
              <w:tabs>
                <w:tab w:val="left" w:pos="1080"/>
              </w:tabs>
              <w:rPr>
                <w:sz w:val="20"/>
                <w:szCs w:val="20"/>
              </w:rPr>
            </w:pPr>
            <w:r>
              <w:rPr>
                <w:sz w:val="20"/>
                <w:szCs w:val="20"/>
              </w:rPr>
              <w:t>Pending request for project extension</w:t>
            </w:r>
          </w:p>
        </w:tc>
        <w:tc>
          <w:tcPr>
            <w:tcW w:w="1185" w:type="dxa"/>
            <w:tcBorders>
              <w:top w:val="single" w:sz="6" w:space="0" w:color="auto"/>
              <w:left w:val="single" w:sz="6" w:space="0" w:color="auto"/>
              <w:bottom w:val="single" w:sz="6" w:space="0" w:color="auto"/>
            </w:tcBorders>
          </w:tcPr>
          <w:p w14:paraId="60C12E64" w14:textId="77777777" w:rsidR="00E210CC" w:rsidRPr="00C5739B" w:rsidRDefault="00E210CC" w:rsidP="00441924">
            <w:pPr>
              <w:tabs>
                <w:tab w:val="left" w:pos="1080"/>
              </w:tabs>
              <w:rPr>
                <w:sz w:val="20"/>
                <w:szCs w:val="20"/>
              </w:rPr>
            </w:pPr>
          </w:p>
        </w:tc>
      </w:tr>
      <w:tr w:rsidR="00E210CC" w:rsidRPr="00C5739B" w14:paraId="57DB853E" w14:textId="77777777" w:rsidTr="00441924">
        <w:tc>
          <w:tcPr>
            <w:tcW w:w="4374" w:type="dxa"/>
            <w:tcBorders>
              <w:top w:val="single" w:sz="6" w:space="0" w:color="auto"/>
              <w:bottom w:val="single" w:sz="4" w:space="0" w:color="auto"/>
              <w:right w:val="single" w:sz="6" w:space="0" w:color="auto"/>
            </w:tcBorders>
          </w:tcPr>
          <w:p w14:paraId="00184DF8" w14:textId="77777777" w:rsidR="00E210CC" w:rsidRPr="00C5739B" w:rsidRDefault="009F71B5" w:rsidP="00441924">
            <w:pPr>
              <w:tabs>
                <w:tab w:val="left" w:pos="1080"/>
              </w:tabs>
              <w:rPr>
                <w:sz w:val="20"/>
                <w:szCs w:val="20"/>
              </w:rPr>
            </w:pPr>
            <w:r>
              <w:rPr>
                <w:sz w:val="20"/>
                <w:szCs w:val="20"/>
              </w:rPr>
              <w:t>6</w:t>
            </w:r>
            <w:r w:rsidR="00E210CC" w:rsidRPr="00C5739B">
              <w:rPr>
                <w:sz w:val="20"/>
                <w:szCs w:val="20"/>
              </w:rPr>
              <w:t>.3</w:t>
            </w:r>
            <w:r w:rsidR="009E6571">
              <w:rPr>
                <w:sz w:val="20"/>
                <w:szCs w:val="20"/>
              </w:rPr>
              <w:t xml:space="preserve"> Develop</w:t>
            </w:r>
            <w:r w:rsidR="00E401DE">
              <w:rPr>
                <w:sz w:val="20"/>
                <w:szCs w:val="20"/>
              </w:rPr>
              <w:t>ment and implementation of</w:t>
            </w:r>
            <w:r w:rsidR="009E6571">
              <w:rPr>
                <w:sz w:val="20"/>
                <w:szCs w:val="20"/>
              </w:rPr>
              <w:t xml:space="preserve"> an integrated and sustainable </w:t>
            </w:r>
            <w:r w:rsidR="00E401DE">
              <w:rPr>
                <w:sz w:val="20"/>
                <w:szCs w:val="20"/>
              </w:rPr>
              <w:t>plan</w:t>
            </w:r>
            <w:r w:rsidR="009E6571">
              <w:rPr>
                <w:sz w:val="20"/>
                <w:szCs w:val="20"/>
              </w:rPr>
              <w:t xml:space="preserve"> in the common use of the pond and preserving its desired water quality and related biodiversity requirements</w:t>
            </w:r>
          </w:p>
        </w:tc>
        <w:tc>
          <w:tcPr>
            <w:tcW w:w="2916" w:type="dxa"/>
            <w:tcBorders>
              <w:top w:val="single" w:sz="6" w:space="0" w:color="auto"/>
              <w:left w:val="single" w:sz="6" w:space="0" w:color="auto"/>
              <w:bottom w:val="single" w:sz="4" w:space="0" w:color="auto"/>
              <w:right w:val="single" w:sz="6" w:space="0" w:color="auto"/>
            </w:tcBorders>
          </w:tcPr>
          <w:p w14:paraId="3F73C6FC" w14:textId="75B5652A" w:rsidR="00E210CC" w:rsidRPr="00C5739B" w:rsidDel="0081599E" w:rsidRDefault="00F42737" w:rsidP="00441924">
            <w:pPr>
              <w:tabs>
                <w:tab w:val="left" w:pos="1080"/>
              </w:tabs>
              <w:rPr>
                <w:sz w:val="20"/>
                <w:szCs w:val="20"/>
              </w:rPr>
            </w:pPr>
            <w:r>
              <w:rPr>
                <w:sz w:val="20"/>
                <w:szCs w:val="20"/>
              </w:rPr>
              <w:t>November 2022</w:t>
            </w:r>
          </w:p>
        </w:tc>
        <w:tc>
          <w:tcPr>
            <w:tcW w:w="2600" w:type="dxa"/>
            <w:tcBorders>
              <w:top w:val="single" w:sz="6" w:space="0" w:color="auto"/>
              <w:left w:val="single" w:sz="6" w:space="0" w:color="auto"/>
              <w:bottom w:val="single" w:sz="4" w:space="0" w:color="auto"/>
              <w:right w:val="single" w:sz="6" w:space="0" w:color="auto"/>
            </w:tcBorders>
          </w:tcPr>
          <w:p w14:paraId="57A58B9C" w14:textId="4AF6E2E9" w:rsidR="00E210CC" w:rsidRPr="00C5739B" w:rsidDel="0081599E" w:rsidRDefault="00E401DE" w:rsidP="00441924">
            <w:pPr>
              <w:tabs>
                <w:tab w:val="left" w:pos="1080"/>
              </w:tabs>
              <w:rPr>
                <w:sz w:val="20"/>
                <w:szCs w:val="20"/>
              </w:rPr>
            </w:pPr>
            <w:r>
              <w:rPr>
                <w:sz w:val="20"/>
                <w:szCs w:val="20"/>
              </w:rPr>
              <w:t>PMU, MTET/DOE</w:t>
            </w:r>
            <w:r w:rsidR="00B36B62">
              <w:rPr>
                <w:sz w:val="20"/>
                <w:szCs w:val="20"/>
              </w:rPr>
              <w:t xml:space="preserve"> (Lead)</w:t>
            </w:r>
            <w:r>
              <w:rPr>
                <w:sz w:val="20"/>
                <w:szCs w:val="20"/>
              </w:rPr>
              <w:t>, TEC</w:t>
            </w:r>
          </w:p>
        </w:tc>
        <w:tc>
          <w:tcPr>
            <w:tcW w:w="1252" w:type="dxa"/>
            <w:tcBorders>
              <w:top w:val="single" w:sz="6" w:space="0" w:color="auto"/>
              <w:left w:val="single" w:sz="6" w:space="0" w:color="auto"/>
              <w:bottom w:val="single" w:sz="4" w:space="0" w:color="auto"/>
              <w:right w:val="single" w:sz="6" w:space="0" w:color="auto"/>
            </w:tcBorders>
          </w:tcPr>
          <w:p w14:paraId="04E9D3E4"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19727ABE" w14:textId="77777777" w:rsidR="00E210CC" w:rsidRPr="00C5739B" w:rsidRDefault="00E210CC" w:rsidP="00441924">
            <w:pPr>
              <w:tabs>
                <w:tab w:val="left" w:pos="1080"/>
              </w:tabs>
              <w:rPr>
                <w:sz w:val="20"/>
                <w:szCs w:val="20"/>
              </w:rPr>
            </w:pPr>
          </w:p>
        </w:tc>
      </w:tr>
    </w:tbl>
    <w:p w14:paraId="1B937A89" w14:textId="77777777" w:rsidR="00E210CC" w:rsidRDefault="00E210CC"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E210CC" w:rsidRPr="00C5739B" w14:paraId="749EE659" w14:textId="77777777" w:rsidTr="00441924">
        <w:tc>
          <w:tcPr>
            <w:tcW w:w="12327" w:type="dxa"/>
            <w:gridSpan w:val="5"/>
            <w:shd w:val="clear" w:color="auto" w:fill="F3F3F3"/>
          </w:tcPr>
          <w:p w14:paraId="03D0998A" w14:textId="77777777" w:rsidR="00E210CC" w:rsidRPr="00C5739B" w:rsidRDefault="00E210CC"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sidR="009F71B5">
              <w:rPr>
                <w:b/>
                <w:sz w:val="20"/>
                <w:szCs w:val="20"/>
              </w:rPr>
              <w:t>7</w:t>
            </w:r>
            <w:r w:rsidRPr="00C5739B">
              <w:rPr>
                <w:b/>
                <w:sz w:val="20"/>
                <w:szCs w:val="20"/>
              </w:rPr>
              <w:t xml:space="preserve">. </w:t>
            </w:r>
            <w:r w:rsidR="009F71B5" w:rsidRPr="009F71B5">
              <w:rPr>
                <w:b/>
                <w:i/>
                <w:iCs/>
                <w:sz w:val="20"/>
                <w:szCs w:val="20"/>
              </w:rPr>
              <w:t xml:space="preserve">Build education system capacity: </w:t>
            </w:r>
            <w:r w:rsidR="009F71B5" w:rsidRPr="009F71B5">
              <w:rPr>
                <w:sz w:val="20"/>
                <w:szCs w:val="20"/>
              </w:rPr>
              <w:t>Explore with existing educational institutions in Tuvalu how to design and deliver energy courses or certificates at the different levels, streaming from primary to tertiary education locally and offer tuition scholarships.</w:t>
            </w:r>
          </w:p>
        </w:tc>
      </w:tr>
      <w:tr w:rsidR="00E210CC" w:rsidRPr="00C5739B" w14:paraId="53699729" w14:textId="77777777" w:rsidTr="00441924">
        <w:tc>
          <w:tcPr>
            <w:tcW w:w="12327" w:type="dxa"/>
            <w:gridSpan w:val="5"/>
            <w:tcBorders>
              <w:top w:val="single" w:sz="4" w:space="0" w:color="auto"/>
              <w:bottom w:val="single" w:sz="6" w:space="0" w:color="auto"/>
            </w:tcBorders>
            <w:shd w:val="clear" w:color="auto" w:fill="F3F3F3"/>
          </w:tcPr>
          <w:p w14:paraId="0EF7CC69" w14:textId="77777777" w:rsidR="00E210CC" w:rsidRPr="00C5739B" w:rsidRDefault="00E210CC" w:rsidP="00441924">
            <w:pPr>
              <w:tabs>
                <w:tab w:val="left" w:pos="1080"/>
              </w:tabs>
              <w:rPr>
                <w:sz w:val="20"/>
                <w:szCs w:val="20"/>
              </w:rPr>
            </w:pPr>
            <w:r w:rsidRPr="00C5739B">
              <w:rPr>
                <w:b/>
                <w:sz w:val="20"/>
                <w:szCs w:val="20"/>
              </w:rPr>
              <w:t>Management response</w:t>
            </w:r>
            <w:r w:rsidRPr="00C5739B">
              <w:rPr>
                <w:sz w:val="20"/>
                <w:szCs w:val="20"/>
              </w:rPr>
              <w:t xml:space="preserve">: </w:t>
            </w:r>
            <w:r w:rsidR="00E401DE" w:rsidRPr="00E401DE">
              <w:rPr>
                <w:b/>
                <w:i/>
                <w:sz w:val="20"/>
                <w:szCs w:val="20"/>
              </w:rPr>
              <w:t>Agree</w:t>
            </w:r>
            <w:r w:rsidR="00E401DE">
              <w:rPr>
                <w:sz w:val="20"/>
                <w:szCs w:val="20"/>
              </w:rPr>
              <w:t>. The Project through the PMU has coordinated with the Department of Education on the introduction of RE/EE-related courses in the relevant curricula. This will require basic knowledge need analysis</w:t>
            </w:r>
            <w:r w:rsidR="00033051">
              <w:rPr>
                <w:sz w:val="20"/>
                <w:szCs w:val="20"/>
              </w:rPr>
              <w:t xml:space="preserve"> at the different educational levels</w:t>
            </w:r>
            <w:r w:rsidR="00E401DE">
              <w:rPr>
                <w:sz w:val="20"/>
                <w:szCs w:val="20"/>
              </w:rPr>
              <w:t xml:space="preserve">, development of the appropriate curriculum adjustments, preparation and production of specific instructional </w:t>
            </w:r>
            <w:proofErr w:type="gramStart"/>
            <w:r w:rsidR="00E401DE">
              <w:rPr>
                <w:sz w:val="20"/>
                <w:szCs w:val="20"/>
              </w:rPr>
              <w:t>materials,  follow</w:t>
            </w:r>
            <w:proofErr w:type="gramEnd"/>
            <w:r w:rsidR="00E401DE">
              <w:rPr>
                <w:sz w:val="20"/>
                <w:szCs w:val="20"/>
              </w:rPr>
              <w:t xml:space="preserve">-up planning and </w:t>
            </w:r>
            <w:r w:rsidR="00033051">
              <w:rPr>
                <w:sz w:val="20"/>
                <w:szCs w:val="20"/>
              </w:rPr>
              <w:t>adoption of the MOAs to implement the plan.</w:t>
            </w:r>
          </w:p>
        </w:tc>
      </w:tr>
      <w:tr w:rsidR="00E210CC" w:rsidRPr="00C5739B" w14:paraId="6B313ADE"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14D8D085"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5CC442E0"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70466CEE"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58CDD355"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114B0959"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5AAC526E" w14:textId="77777777" w:rsidR="00E210CC" w:rsidRPr="00C5739B" w:rsidRDefault="00E210CC"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1FE32280" w14:textId="77777777" w:rsidR="00E210CC" w:rsidRPr="00C5739B" w:rsidRDefault="00E210CC"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67AF487D" w14:textId="77777777" w:rsidR="00E210CC" w:rsidRPr="00C5739B" w:rsidRDefault="00E210CC"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4A7CC1E5"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2F2749E8" w14:textId="77777777" w:rsidR="00E210CC" w:rsidRPr="00C5739B" w:rsidRDefault="00E210CC" w:rsidP="00441924">
            <w:pPr>
              <w:tabs>
                <w:tab w:val="left" w:pos="1080"/>
              </w:tabs>
              <w:jc w:val="center"/>
              <w:rPr>
                <w:b/>
                <w:sz w:val="20"/>
                <w:szCs w:val="20"/>
              </w:rPr>
            </w:pPr>
            <w:r w:rsidRPr="00C5739B">
              <w:rPr>
                <w:b/>
                <w:sz w:val="20"/>
                <w:szCs w:val="20"/>
              </w:rPr>
              <w:t>Status</w:t>
            </w:r>
          </w:p>
        </w:tc>
      </w:tr>
      <w:tr w:rsidR="00033051" w:rsidRPr="00C5739B" w14:paraId="7B5DE982" w14:textId="77777777" w:rsidTr="00441924">
        <w:tc>
          <w:tcPr>
            <w:tcW w:w="4374" w:type="dxa"/>
            <w:tcBorders>
              <w:top w:val="single" w:sz="6" w:space="0" w:color="auto"/>
              <w:bottom w:val="single" w:sz="6" w:space="0" w:color="auto"/>
              <w:right w:val="single" w:sz="6" w:space="0" w:color="auto"/>
            </w:tcBorders>
          </w:tcPr>
          <w:p w14:paraId="06B25A6D" w14:textId="339E2799" w:rsidR="00033051" w:rsidRPr="00C5739B" w:rsidRDefault="00033051" w:rsidP="00033051">
            <w:pPr>
              <w:tabs>
                <w:tab w:val="left" w:pos="1080"/>
              </w:tabs>
              <w:rPr>
                <w:sz w:val="20"/>
                <w:szCs w:val="20"/>
              </w:rPr>
            </w:pPr>
            <w:r>
              <w:rPr>
                <w:sz w:val="20"/>
                <w:szCs w:val="20"/>
              </w:rPr>
              <w:t>7</w:t>
            </w:r>
            <w:r w:rsidRPr="00C5739B">
              <w:rPr>
                <w:sz w:val="20"/>
                <w:szCs w:val="20"/>
              </w:rPr>
              <w:t xml:space="preserve">.1 </w:t>
            </w:r>
            <w:r>
              <w:rPr>
                <w:sz w:val="20"/>
                <w:szCs w:val="20"/>
              </w:rPr>
              <w:t>Training needs analysis for RE/EE technology appreciation and development plan for the appropriate courses and instructional materials</w:t>
            </w:r>
            <w:r w:rsidR="009B0F8B">
              <w:rPr>
                <w:sz w:val="20"/>
                <w:szCs w:val="20"/>
              </w:rPr>
              <w:t xml:space="preserve">. </w:t>
            </w:r>
            <w:r w:rsidR="00035F00">
              <w:rPr>
                <w:sz w:val="20"/>
                <w:szCs w:val="20"/>
              </w:rPr>
              <w:lastRenderedPageBreak/>
              <w:t>(Activity 1.3.2)</w:t>
            </w:r>
          </w:p>
        </w:tc>
        <w:tc>
          <w:tcPr>
            <w:tcW w:w="2916" w:type="dxa"/>
            <w:tcBorders>
              <w:top w:val="single" w:sz="6" w:space="0" w:color="auto"/>
              <w:left w:val="single" w:sz="6" w:space="0" w:color="auto"/>
              <w:bottom w:val="single" w:sz="6" w:space="0" w:color="auto"/>
              <w:right w:val="single" w:sz="6" w:space="0" w:color="auto"/>
            </w:tcBorders>
          </w:tcPr>
          <w:p w14:paraId="0343B8D4" w14:textId="5068968C" w:rsidR="00033051" w:rsidRPr="00C5739B" w:rsidRDefault="00035F00" w:rsidP="00033051">
            <w:pPr>
              <w:tabs>
                <w:tab w:val="left" w:pos="1080"/>
              </w:tabs>
              <w:rPr>
                <w:sz w:val="20"/>
                <w:szCs w:val="20"/>
              </w:rPr>
            </w:pPr>
            <w:r>
              <w:rPr>
                <w:sz w:val="20"/>
                <w:szCs w:val="20"/>
              </w:rPr>
              <w:lastRenderedPageBreak/>
              <w:t>August</w:t>
            </w:r>
            <w:r w:rsidR="00033051">
              <w:rPr>
                <w:sz w:val="20"/>
                <w:szCs w:val="20"/>
              </w:rPr>
              <w:t xml:space="preserve"> 2021</w:t>
            </w:r>
          </w:p>
        </w:tc>
        <w:tc>
          <w:tcPr>
            <w:tcW w:w="2600" w:type="dxa"/>
            <w:tcBorders>
              <w:top w:val="single" w:sz="6" w:space="0" w:color="auto"/>
              <w:left w:val="single" w:sz="6" w:space="0" w:color="auto"/>
              <w:bottom w:val="single" w:sz="6" w:space="0" w:color="auto"/>
              <w:right w:val="single" w:sz="6" w:space="0" w:color="auto"/>
            </w:tcBorders>
          </w:tcPr>
          <w:p w14:paraId="58165D74" w14:textId="4EF6FA6A" w:rsidR="00033051" w:rsidRPr="00C5739B" w:rsidRDefault="00D60E49" w:rsidP="00033051">
            <w:pPr>
              <w:tabs>
                <w:tab w:val="left" w:pos="1080"/>
              </w:tabs>
              <w:rPr>
                <w:sz w:val="20"/>
                <w:szCs w:val="20"/>
              </w:rPr>
            </w:pPr>
            <w:r>
              <w:rPr>
                <w:sz w:val="20"/>
                <w:szCs w:val="20"/>
              </w:rPr>
              <w:t>PMU</w:t>
            </w:r>
            <w:r w:rsidR="00035F00">
              <w:rPr>
                <w:sz w:val="20"/>
                <w:szCs w:val="20"/>
              </w:rPr>
              <w:t xml:space="preserve"> (Lead)</w:t>
            </w:r>
            <w:r>
              <w:rPr>
                <w:sz w:val="20"/>
                <w:szCs w:val="20"/>
              </w:rPr>
              <w:t xml:space="preserve">, MTET/DOE, </w:t>
            </w:r>
            <w:proofErr w:type="spellStart"/>
            <w:r>
              <w:rPr>
                <w:sz w:val="20"/>
                <w:szCs w:val="20"/>
              </w:rPr>
              <w:t>DoEd</w:t>
            </w:r>
            <w:proofErr w:type="spellEnd"/>
            <w:r>
              <w:rPr>
                <w:sz w:val="20"/>
                <w:szCs w:val="20"/>
              </w:rPr>
              <w:t xml:space="preserve">, Academic Institutions, stakeholders with technical </w:t>
            </w:r>
            <w:r>
              <w:rPr>
                <w:sz w:val="20"/>
                <w:szCs w:val="20"/>
              </w:rPr>
              <w:lastRenderedPageBreak/>
              <w:t>assistance of consultants</w:t>
            </w:r>
          </w:p>
        </w:tc>
        <w:tc>
          <w:tcPr>
            <w:tcW w:w="1252" w:type="dxa"/>
            <w:tcBorders>
              <w:top w:val="single" w:sz="6" w:space="0" w:color="auto"/>
              <w:left w:val="single" w:sz="6" w:space="0" w:color="auto"/>
              <w:bottom w:val="single" w:sz="6" w:space="0" w:color="auto"/>
              <w:right w:val="single" w:sz="6" w:space="0" w:color="auto"/>
            </w:tcBorders>
          </w:tcPr>
          <w:p w14:paraId="6D0C0D12" w14:textId="77777777" w:rsidR="00033051" w:rsidRPr="00C5739B" w:rsidRDefault="00033051" w:rsidP="00033051">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025E6BE5" w14:textId="77777777" w:rsidR="00033051" w:rsidRPr="00C5739B" w:rsidRDefault="00033051" w:rsidP="00033051">
            <w:pPr>
              <w:tabs>
                <w:tab w:val="left" w:pos="1080"/>
              </w:tabs>
              <w:rPr>
                <w:sz w:val="20"/>
                <w:szCs w:val="20"/>
              </w:rPr>
            </w:pPr>
          </w:p>
        </w:tc>
      </w:tr>
      <w:tr w:rsidR="00033051" w:rsidRPr="00C5739B" w14:paraId="06A5DDA6" w14:textId="77777777" w:rsidTr="00441924">
        <w:tc>
          <w:tcPr>
            <w:tcW w:w="4374" w:type="dxa"/>
            <w:tcBorders>
              <w:top w:val="single" w:sz="6" w:space="0" w:color="auto"/>
              <w:bottom w:val="single" w:sz="6" w:space="0" w:color="auto"/>
              <w:right w:val="single" w:sz="6" w:space="0" w:color="auto"/>
            </w:tcBorders>
          </w:tcPr>
          <w:p w14:paraId="5CD41EB5" w14:textId="5B14D5FD" w:rsidR="00033051" w:rsidRPr="00C5739B" w:rsidRDefault="00033051" w:rsidP="00033051">
            <w:pPr>
              <w:tabs>
                <w:tab w:val="left" w:pos="1080"/>
              </w:tabs>
              <w:rPr>
                <w:sz w:val="20"/>
                <w:szCs w:val="20"/>
              </w:rPr>
            </w:pPr>
            <w:r>
              <w:rPr>
                <w:sz w:val="20"/>
                <w:szCs w:val="20"/>
              </w:rPr>
              <w:t>7</w:t>
            </w:r>
            <w:r w:rsidRPr="00C5739B">
              <w:rPr>
                <w:sz w:val="20"/>
                <w:szCs w:val="20"/>
              </w:rPr>
              <w:t xml:space="preserve">.2 </w:t>
            </w:r>
            <w:r>
              <w:rPr>
                <w:sz w:val="20"/>
                <w:szCs w:val="20"/>
              </w:rPr>
              <w:t>Development and implementation of the curriculum adjustments with Department of Education</w:t>
            </w:r>
            <w:r w:rsidR="00035F00">
              <w:rPr>
                <w:sz w:val="20"/>
                <w:szCs w:val="20"/>
              </w:rPr>
              <w:t xml:space="preserve"> (Activity 1.3.2)</w:t>
            </w:r>
          </w:p>
        </w:tc>
        <w:tc>
          <w:tcPr>
            <w:tcW w:w="2916" w:type="dxa"/>
            <w:tcBorders>
              <w:top w:val="single" w:sz="6" w:space="0" w:color="auto"/>
              <w:left w:val="single" w:sz="6" w:space="0" w:color="auto"/>
              <w:bottom w:val="single" w:sz="6" w:space="0" w:color="auto"/>
              <w:right w:val="single" w:sz="6" w:space="0" w:color="auto"/>
            </w:tcBorders>
          </w:tcPr>
          <w:p w14:paraId="50AAE7AF" w14:textId="576458B1" w:rsidR="00033051" w:rsidRPr="00C5739B" w:rsidRDefault="00033051" w:rsidP="00033051">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47870DEC" w14:textId="7933450D" w:rsidR="00033051" w:rsidRPr="00C5739B" w:rsidRDefault="00D60E49" w:rsidP="00033051">
            <w:pPr>
              <w:tabs>
                <w:tab w:val="left" w:pos="1080"/>
              </w:tabs>
              <w:rPr>
                <w:sz w:val="20"/>
                <w:szCs w:val="20"/>
              </w:rPr>
            </w:pPr>
            <w:r>
              <w:rPr>
                <w:sz w:val="20"/>
                <w:szCs w:val="20"/>
              </w:rPr>
              <w:t>PMU</w:t>
            </w:r>
            <w:r w:rsidR="00035F00">
              <w:rPr>
                <w:sz w:val="20"/>
                <w:szCs w:val="20"/>
              </w:rPr>
              <w:t xml:space="preserve"> (Lead)</w:t>
            </w:r>
            <w:r>
              <w:rPr>
                <w:sz w:val="20"/>
                <w:szCs w:val="20"/>
              </w:rPr>
              <w:t xml:space="preserve">, MTET/DOE, </w:t>
            </w:r>
            <w:proofErr w:type="spellStart"/>
            <w:r>
              <w:rPr>
                <w:sz w:val="20"/>
                <w:szCs w:val="20"/>
              </w:rPr>
              <w:t>DoEd</w:t>
            </w:r>
            <w:proofErr w:type="spellEnd"/>
            <w:r>
              <w:rPr>
                <w:sz w:val="20"/>
                <w:szCs w:val="20"/>
              </w:rPr>
              <w:t>, Academic Institutions, stakeholders with technical assistance of consultants</w:t>
            </w:r>
          </w:p>
        </w:tc>
        <w:tc>
          <w:tcPr>
            <w:tcW w:w="1252" w:type="dxa"/>
            <w:tcBorders>
              <w:top w:val="single" w:sz="6" w:space="0" w:color="auto"/>
              <w:left w:val="single" w:sz="6" w:space="0" w:color="auto"/>
              <w:bottom w:val="single" w:sz="6" w:space="0" w:color="auto"/>
              <w:right w:val="single" w:sz="6" w:space="0" w:color="auto"/>
            </w:tcBorders>
          </w:tcPr>
          <w:p w14:paraId="232DFF69" w14:textId="77777777" w:rsidR="00033051" w:rsidRPr="00C5739B" w:rsidRDefault="00033051" w:rsidP="00033051">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36AC2F78" w14:textId="77777777" w:rsidR="00033051" w:rsidRPr="00C5739B" w:rsidRDefault="00033051" w:rsidP="00033051">
            <w:pPr>
              <w:tabs>
                <w:tab w:val="left" w:pos="1080"/>
              </w:tabs>
              <w:rPr>
                <w:sz w:val="20"/>
                <w:szCs w:val="20"/>
              </w:rPr>
            </w:pPr>
          </w:p>
        </w:tc>
      </w:tr>
      <w:tr w:rsidR="00033051" w:rsidRPr="00C5739B" w14:paraId="18DFE04F" w14:textId="77777777" w:rsidTr="00441924">
        <w:tc>
          <w:tcPr>
            <w:tcW w:w="4374" w:type="dxa"/>
            <w:tcBorders>
              <w:top w:val="single" w:sz="6" w:space="0" w:color="auto"/>
              <w:bottom w:val="single" w:sz="4" w:space="0" w:color="auto"/>
              <w:right w:val="single" w:sz="6" w:space="0" w:color="auto"/>
            </w:tcBorders>
          </w:tcPr>
          <w:p w14:paraId="2434CE9F" w14:textId="76E630C6" w:rsidR="00033051" w:rsidRPr="00C5739B" w:rsidRDefault="00033051" w:rsidP="00033051">
            <w:pPr>
              <w:tabs>
                <w:tab w:val="left" w:pos="1080"/>
              </w:tabs>
              <w:rPr>
                <w:sz w:val="20"/>
                <w:szCs w:val="20"/>
              </w:rPr>
            </w:pPr>
            <w:r>
              <w:rPr>
                <w:sz w:val="20"/>
                <w:szCs w:val="20"/>
              </w:rPr>
              <w:t>7</w:t>
            </w:r>
            <w:r w:rsidRPr="00C5739B">
              <w:rPr>
                <w:sz w:val="20"/>
                <w:szCs w:val="20"/>
              </w:rPr>
              <w:t>.3</w:t>
            </w:r>
            <w:r>
              <w:rPr>
                <w:sz w:val="20"/>
                <w:szCs w:val="20"/>
              </w:rPr>
              <w:t xml:space="preserve"> Adoption </w:t>
            </w:r>
            <w:r w:rsidR="00D60E49">
              <w:rPr>
                <w:sz w:val="20"/>
                <w:szCs w:val="20"/>
              </w:rPr>
              <w:t xml:space="preserve">and execution </w:t>
            </w:r>
            <w:r>
              <w:rPr>
                <w:sz w:val="20"/>
                <w:szCs w:val="20"/>
              </w:rPr>
              <w:t xml:space="preserve">of the MOAs to implement the plan, monitor and evaluate the results for further improvement and institutionalize the improved curriculum. </w:t>
            </w:r>
            <w:r w:rsidR="00035F00">
              <w:rPr>
                <w:sz w:val="20"/>
                <w:szCs w:val="20"/>
              </w:rPr>
              <w:t>(Activity 1.3.2)</w:t>
            </w:r>
            <w:r>
              <w:rPr>
                <w:sz w:val="20"/>
                <w:szCs w:val="20"/>
              </w:rPr>
              <w:t xml:space="preserve">  </w:t>
            </w:r>
          </w:p>
        </w:tc>
        <w:tc>
          <w:tcPr>
            <w:tcW w:w="2916" w:type="dxa"/>
            <w:tcBorders>
              <w:top w:val="single" w:sz="6" w:space="0" w:color="auto"/>
              <w:left w:val="single" w:sz="6" w:space="0" w:color="auto"/>
              <w:bottom w:val="single" w:sz="4" w:space="0" w:color="auto"/>
              <w:right w:val="single" w:sz="6" w:space="0" w:color="auto"/>
            </w:tcBorders>
          </w:tcPr>
          <w:p w14:paraId="18E76EC6" w14:textId="3FAB645A" w:rsidR="00033051" w:rsidRPr="00C5739B" w:rsidDel="0081599E" w:rsidRDefault="00033051" w:rsidP="00033051">
            <w:pPr>
              <w:tabs>
                <w:tab w:val="left" w:pos="1080"/>
              </w:tabs>
              <w:rPr>
                <w:sz w:val="20"/>
                <w:szCs w:val="20"/>
              </w:rPr>
            </w:pPr>
            <w:r>
              <w:rPr>
                <w:sz w:val="20"/>
                <w:szCs w:val="20"/>
              </w:rPr>
              <w:t>February 2022</w:t>
            </w:r>
          </w:p>
        </w:tc>
        <w:tc>
          <w:tcPr>
            <w:tcW w:w="2600" w:type="dxa"/>
            <w:tcBorders>
              <w:top w:val="single" w:sz="6" w:space="0" w:color="auto"/>
              <w:left w:val="single" w:sz="6" w:space="0" w:color="auto"/>
              <w:bottom w:val="single" w:sz="4" w:space="0" w:color="auto"/>
              <w:right w:val="single" w:sz="6" w:space="0" w:color="auto"/>
            </w:tcBorders>
          </w:tcPr>
          <w:p w14:paraId="01916093" w14:textId="6F254BC5" w:rsidR="00033051" w:rsidRPr="00C5739B" w:rsidDel="0081599E" w:rsidRDefault="00D60E49" w:rsidP="00033051">
            <w:pPr>
              <w:tabs>
                <w:tab w:val="left" w:pos="1080"/>
              </w:tabs>
              <w:rPr>
                <w:sz w:val="20"/>
                <w:szCs w:val="20"/>
              </w:rPr>
            </w:pPr>
            <w:r>
              <w:rPr>
                <w:sz w:val="20"/>
                <w:szCs w:val="20"/>
              </w:rPr>
              <w:t>PMU, MTET/DOE</w:t>
            </w:r>
            <w:r w:rsidR="00035F00">
              <w:rPr>
                <w:sz w:val="20"/>
                <w:szCs w:val="20"/>
              </w:rPr>
              <w:t xml:space="preserve"> (Lead)</w:t>
            </w:r>
            <w:r>
              <w:rPr>
                <w:sz w:val="20"/>
                <w:szCs w:val="20"/>
              </w:rPr>
              <w:t xml:space="preserve">, </w:t>
            </w:r>
            <w:proofErr w:type="spellStart"/>
            <w:r>
              <w:rPr>
                <w:sz w:val="20"/>
                <w:szCs w:val="20"/>
              </w:rPr>
              <w:t>DoEd</w:t>
            </w:r>
            <w:proofErr w:type="spellEnd"/>
          </w:p>
        </w:tc>
        <w:tc>
          <w:tcPr>
            <w:tcW w:w="1252" w:type="dxa"/>
            <w:tcBorders>
              <w:top w:val="single" w:sz="6" w:space="0" w:color="auto"/>
              <w:left w:val="single" w:sz="6" w:space="0" w:color="auto"/>
              <w:bottom w:val="single" w:sz="4" w:space="0" w:color="auto"/>
              <w:right w:val="single" w:sz="6" w:space="0" w:color="auto"/>
            </w:tcBorders>
          </w:tcPr>
          <w:p w14:paraId="4132952F" w14:textId="77777777" w:rsidR="00033051" w:rsidRPr="00C5739B" w:rsidRDefault="00033051" w:rsidP="00033051">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4C92053D" w14:textId="77777777" w:rsidR="00033051" w:rsidRPr="00C5739B" w:rsidRDefault="00033051" w:rsidP="00033051">
            <w:pPr>
              <w:tabs>
                <w:tab w:val="left" w:pos="1080"/>
              </w:tabs>
              <w:rPr>
                <w:sz w:val="20"/>
                <w:szCs w:val="20"/>
              </w:rPr>
            </w:pPr>
          </w:p>
        </w:tc>
      </w:tr>
    </w:tbl>
    <w:p w14:paraId="5FAD06CC" w14:textId="77777777" w:rsidR="00E210CC" w:rsidRDefault="00E210CC"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E210CC" w:rsidRPr="00C5739B" w14:paraId="4320A570" w14:textId="77777777" w:rsidTr="00441924">
        <w:tc>
          <w:tcPr>
            <w:tcW w:w="12327" w:type="dxa"/>
            <w:gridSpan w:val="5"/>
            <w:shd w:val="clear" w:color="auto" w:fill="F3F3F3"/>
          </w:tcPr>
          <w:p w14:paraId="0BEAA09F" w14:textId="77777777" w:rsidR="00E210CC" w:rsidRPr="00C5739B" w:rsidRDefault="00E210CC"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sidR="009F71B5">
              <w:rPr>
                <w:b/>
                <w:sz w:val="20"/>
                <w:szCs w:val="20"/>
              </w:rPr>
              <w:t>8</w:t>
            </w:r>
            <w:r w:rsidRPr="00C5739B">
              <w:rPr>
                <w:b/>
                <w:sz w:val="20"/>
                <w:szCs w:val="20"/>
              </w:rPr>
              <w:t xml:space="preserve">. </w:t>
            </w:r>
            <w:r w:rsidR="009F71B5" w:rsidRPr="009F71B5">
              <w:rPr>
                <w:b/>
                <w:i/>
                <w:iCs/>
                <w:sz w:val="20"/>
                <w:szCs w:val="20"/>
              </w:rPr>
              <w:t xml:space="preserve">Intensify focus on removing financial Barriers – </w:t>
            </w:r>
            <w:r w:rsidR="009F71B5" w:rsidRPr="009F71B5">
              <w:rPr>
                <w:sz w:val="20"/>
                <w:szCs w:val="20"/>
              </w:rPr>
              <w:t xml:space="preserve">A distinguished scheme should be designed for low-income earners and those living in poverty. A possibility could </w:t>
            </w:r>
            <w:proofErr w:type="gramStart"/>
            <w:r w:rsidR="009F71B5" w:rsidRPr="009F71B5">
              <w:rPr>
                <w:sz w:val="20"/>
                <w:szCs w:val="20"/>
              </w:rPr>
              <w:t>e.g.</w:t>
            </w:r>
            <w:proofErr w:type="gramEnd"/>
            <w:r w:rsidR="009F71B5" w:rsidRPr="009F71B5">
              <w:rPr>
                <w:sz w:val="20"/>
                <w:szCs w:val="20"/>
              </w:rPr>
              <w:t xml:space="preserve"> be 50% subsidy on paid appliances, or to exchange appliances that are causing hardship through expensive electricity bills.</w:t>
            </w:r>
          </w:p>
        </w:tc>
      </w:tr>
      <w:tr w:rsidR="00E210CC" w:rsidRPr="00C5739B" w14:paraId="0C97A2EE" w14:textId="77777777" w:rsidTr="00441924">
        <w:tc>
          <w:tcPr>
            <w:tcW w:w="12327" w:type="dxa"/>
            <w:gridSpan w:val="5"/>
            <w:tcBorders>
              <w:top w:val="single" w:sz="4" w:space="0" w:color="auto"/>
              <w:bottom w:val="single" w:sz="6" w:space="0" w:color="auto"/>
            </w:tcBorders>
            <w:shd w:val="clear" w:color="auto" w:fill="F3F3F3"/>
          </w:tcPr>
          <w:p w14:paraId="5677A3EF" w14:textId="77777777" w:rsidR="00D60E49" w:rsidRPr="00D60E49" w:rsidRDefault="00E210CC" w:rsidP="00D60E49">
            <w:pPr>
              <w:tabs>
                <w:tab w:val="left" w:pos="1080"/>
              </w:tabs>
              <w:rPr>
                <w:sz w:val="20"/>
                <w:szCs w:val="20"/>
                <w:lang w:val="en-GB"/>
              </w:rPr>
            </w:pPr>
            <w:r w:rsidRPr="00C5739B">
              <w:rPr>
                <w:b/>
                <w:sz w:val="20"/>
                <w:szCs w:val="20"/>
              </w:rPr>
              <w:t>Management response</w:t>
            </w:r>
            <w:r w:rsidRPr="00C5739B">
              <w:rPr>
                <w:sz w:val="20"/>
                <w:szCs w:val="20"/>
              </w:rPr>
              <w:t xml:space="preserve">: </w:t>
            </w:r>
            <w:r w:rsidR="00D60E49">
              <w:rPr>
                <w:sz w:val="20"/>
                <w:szCs w:val="20"/>
              </w:rPr>
              <w:t xml:space="preserve">Agree. </w:t>
            </w:r>
            <w:r w:rsidR="00F34ED1">
              <w:rPr>
                <w:sz w:val="20"/>
                <w:szCs w:val="20"/>
              </w:rPr>
              <w:t xml:space="preserve">The Project is </w:t>
            </w:r>
            <w:r w:rsidR="00F34ED1" w:rsidRPr="00F34ED1">
              <w:rPr>
                <w:sz w:val="20"/>
                <w:szCs w:val="20"/>
              </w:rPr>
              <w:t>review</w:t>
            </w:r>
            <w:r w:rsidR="00F34ED1">
              <w:rPr>
                <w:sz w:val="20"/>
                <w:szCs w:val="20"/>
              </w:rPr>
              <w:t>ing</w:t>
            </w:r>
            <w:r w:rsidR="00F34ED1" w:rsidRPr="00F34ED1">
              <w:rPr>
                <w:sz w:val="20"/>
                <w:szCs w:val="20"/>
              </w:rPr>
              <w:t xml:space="preserve"> the loan eligibility criteria </w:t>
            </w:r>
            <w:r w:rsidR="00F34ED1">
              <w:rPr>
                <w:sz w:val="20"/>
                <w:szCs w:val="20"/>
              </w:rPr>
              <w:t>and discussing it with DBT</w:t>
            </w:r>
            <w:r w:rsidR="00F34ED1" w:rsidRPr="00F34ED1">
              <w:rPr>
                <w:sz w:val="20"/>
                <w:szCs w:val="20"/>
              </w:rPr>
              <w:t xml:space="preserve"> to include those who are receiving remittances from famil</w:t>
            </w:r>
            <w:r w:rsidR="00F34ED1">
              <w:rPr>
                <w:sz w:val="20"/>
                <w:szCs w:val="20"/>
              </w:rPr>
              <w:t>y members</w:t>
            </w:r>
            <w:r w:rsidR="00F34ED1" w:rsidRPr="00F34ED1">
              <w:rPr>
                <w:sz w:val="20"/>
                <w:szCs w:val="20"/>
              </w:rPr>
              <w:t xml:space="preserve"> </w:t>
            </w:r>
            <w:r w:rsidR="00F34ED1">
              <w:rPr>
                <w:sz w:val="20"/>
                <w:szCs w:val="20"/>
              </w:rPr>
              <w:t xml:space="preserve">working and </w:t>
            </w:r>
            <w:r w:rsidR="00F34ED1" w:rsidRPr="00F34ED1">
              <w:rPr>
                <w:sz w:val="20"/>
                <w:szCs w:val="20"/>
              </w:rPr>
              <w:t>living overseas.</w:t>
            </w:r>
            <w:r w:rsidR="00F34ED1">
              <w:rPr>
                <w:sz w:val="20"/>
                <w:szCs w:val="20"/>
              </w:rPr>
              <w:t xml:space="preserve"> </w:t>
            </w:r>
            <w:r w:rsidR="00F34ED1">
              <w:rPr>
                <w:sz w:val="20"/>
                <w:szCs w:val="20"/>
                <w:lang w:val="en-GB"/>
              </w:rPr>
              <w:t>T</w:t>
            </w:r>
            <w:r w:rsidR="00D60E49" w:rsidRPr="00D60E49">
              <w:rPr>
                <w:sz w:val="20"/>
                <w:szCs w:val="20"/>
                <w:lang w:val="en-GB"/>
              </w:rPr>
              <w:t xml:space="preserve">he scope of DBT financing windows </w:t>
            </w:r>
            <w:r w:rsidR="00F34ED1">
              <w:rPr>
                <w:sz w:val="20"/>
                <w:szCs w:val="20"/>
                <w:lang w:val="en-GB"/>
              </w:rPr>
              <w:t>is likewise being reviewed</w:t>
            </w:r>
            <w:r w:rsidR="00D60E49" w:rsidRPr="00D60E49">
              <w:rPr>
                <w:sz w:val="20"/>
                <w:szCs w:val="20"/>
                <w:lang w:val="en-GB"/>
              </w:rPr>
              <w:t xml:space="preserve">. The funds are now open for both EE appliances and RE (mostly solar PV) small RE power applications. </w:t>
            </w:r>
            <w:r w:rsidR="00F34ED1">
              <w:rPr>
                <w:sz w:val="20"/>
                <w:szCs w:val="20"/>
                <w:lang w:val="en-GB"/>
              </w:rPr>
              <w:t>Some of t</w:t>
            </w:r>
            <w:r w:rsidR="00D60E49" w:rsidRPr="00D60E49">
              <w:rPr>
                <w:sz w:val="20"/>
                <w:szCs w:val="20"/>
                <w:lang w:val="en-GB"/>
              </w:rPr>
              <w:t>he financial incentives have been adopted by DBT</w:t>
            </w:r>
            <w:r w:rsidR="00F34ED1">
              <w:rPr>
                <w:sz w:val="20"/>
                <w:szCs w:val="20"/>
                <w:lang w:val="en-GB"/>
              </w:rPr>
              <w:t>.</w:t>
            </w:r>
            <w:r w:rsidR="00D60E49" w:rsidRPr="00D60E49">
              <w:rPr>
                <w:sz w:val="20"/>
                <w:szCs w:val="20"/>
                <w:lang w:val="en-GB"/>
              </w:rPr>
              <w:t xml:space="preserve"> GoT has included them in the draft Energy Bill that will establish further the legal aspects of the support </w:t>
            </w:r>
            <w:r w:rsidR="00F34ED1">
              <w:rPr>
                <w:sz w:val="20"/>
                <w:szCs w:val="20"/>
                <w:lang w:val="en-GB"/>
              </w:rPr>
              <w:t xml:space="preserve">subsidies </w:t>
            </w:r>
            <w:r w:rsidR="00D60E49" w:rsidRPr="00D60E49">
              <w:rPr>
                <w:sz w:val="20"/>
                <w:szCs w:val="20"/>
                <w:lang w:val="en-GB"/>
              </w:rPr>
              <w:t xml:space="preserve">for the </w:t>
            </w:r>
            <w:r w:rsidR="00F34ED1">
              <w:rPr>
                <w:sz w:val="20"/>
                <w:szCs w:val="20"/>
                <w:lang w:val="en-GB"/>
              </w:rPr>
              <w:t xml:space="preserve">low-income and poor families in acquiring the desired </w:t>
            </w:r>
            <w:r w:rsidR="00D60E49" w:rsidRPr="00D60E49">
              <w:rPr>
                <w:sz w:val="20"/>
                <w:szCs w:val="20"/>
                <w:lang w:val="en-GB"/>
              </w:rPr>
              <w:t xml:space="preserve">RE and EE </w:t>
            </w:r>
            <w:r w:rsidR="00F34ED1">
              <w:rPr>
                <w:sz w:val="20"/>
                <w:szCs w:val="20"/>
                <w:lang w:val="en-GB"/>
              </w:rPr>
              <w:t>devices</w:t>
            </w:r>
            <w:r w:rsidR="00D60E49" w:rsidRPr="00D60E49">
              <w:rPr>
                <w:sz w:val="20"/>
                <w:szCs w:val="20"/>
                <w:lang w:val="en-GB"/>
              </w:rPr>
              <w:t>.</w:t>
            </w:r>
          </w:p>
          <w:p w14:paraId="46D8F764" w14:textId="77777777" w:rsidR="00E210CC" w:rsidRPr="00C5739B" w:rsidRDefault="00E210CC" w:rsidP="00441924">
            <w:pPr>
              <w:tabs>
                <w:tab w:val="left" w:pos="1080"/>
              </w:tabs>
              <w:rPr>
                <w:sz w:val="20"/>
                <w:szCs w:val="20"/>
              </w:rPr>
            </w:pPr>
          </w:p>
        </w:tc>
      </w:tr>
      <w:tr w:rsidR="00E210CC" w:rsidRPr="00C5739B" w14:paraId="712EDEA3"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305231A5" w14:textId="77777777" w:rsidR="00E210CC" w:rsidRPr="00C5739B" w:rsidRDefault="00E210CC"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5C474EB9" w14:textId="77777777" w:rsidR="00E210CC" w:rsidRPr="00C5739B" w:rsidRDefault="00E210CC"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36A3E97F" w14:textId="77777777" w:rsidR="00E210CC" w:rsidRPr="00C5739B" w:rsidRDefault="00E210CC"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49418241" w14:textId="77777777" w:rsidR="00E210CC" w:rsidRPr="00C5739B" w:rsidRDefault="00E210CC" w:rsidP="00441924">
            <w:pPr>
              <w:tabs>
                <w:tab w:val="left" w:pos="1080"/>
              </w:tabs>
              <w:jc w:val="center"/>
              <w:rPr>
                <w:b/>
                <w:sz w:val="20"/>
                <w:szCs w:val="20"/>
              </w:rPr>
            </w:pPr>
            <w:r w:rsidRPr="00C5739B">
              <w:rPr>
                <w:b/>
                <w:sz w:val="20"/>
                <w:szCs w:val="20"/>
              </w:rPr>
              <w:t>Tracking</w:t>
            </w:r>
          </w:p>
        </w:tc>
      </w:tr>
      <w:tr w:rsidR="00E210CC" w:rsidRPr="00C5739B" w14:paraId="3060665E"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2E200A0D" w14:textId="77777777" w:rsidR="00E210CC" w:rsidRPr="00C5739B" w:rsidRDefault="00E210CC"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1E2E71DC" w14:textId="77777777" w:rsidR="00E210CC" w:rsidRPr="00C5739B" w:rsidRDefault="00E210CC"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76D2D64A" w14:textId="77777777" w:rsidR="00E210CC" w:rsidRPr="00C5739B" w:rsidRDefault="00E210CC"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1173DF21" w14:textId="77777777" w:rsidR="00E210CC" w:rsidRPr="00C5739B" w:rsidRDefault="00E210CC"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2543AD69" w14:textId="77777777" w:rsidR="00E210CC" w:rsidRPr="00C5739B" w:rsidRDefault="00E210CC" w:rsidP="00441924">
            <w:pPr>
              <w:tabs>
                <w:tab w:val="left" w:pos="1080"/>
              </w:tabs>
              <w:jc w:val="center"/>
              <w:rPr>
                <w:b/>
                <w:sz w:val="20"/>
                <w:szCs w:val="20"/>
              </w:rPr>
            </w:pPr>
            <w:r w:rsidRPr="00C5739B">
              <w:rPr>
                <w:b/>
                <w:sz w:val="20"/>
                <w:szCs w:val="20"/>
              </w:rPr>
              <w:t>Status</w:t>
            </w:r>
          </w:p>
        </w:tc>
      </w:tr>
      <w:tr w:rsidR="00E210CC" w:rsidRPr="00C5739B" w14:paraId="74A2AD50" w14:textId="77777777" w:rsidTr="00441924">
        <w:tc>
          <w:tcPr>
            <w:tcW w:w="4374" w:type="dxa"/>
            <w:tcBorders>
              <w:top w:val="single" w:sz="6" w:space="0" w:color="auto"/>
              <w:bottom w:val="single" w:sz="6" w:space="0" w:color="auto"/>
              <w:right w:val="single" w:sz="6" w:space="0" w:color="auto"/>
            </w:tcBorders>
          </w:tcPr>
          <w:p w14:paraId="7D43FA16" w14:textId="73A73F7B" w:rsidR="00E210CC" w:rsidRPr="00C5739B" w:rsidRDefault="009F71B5" w:rsidP="00441924">
            <w:pPr>
              <w:tabs>
                <w:tab w:val="left" w:pos="1080"/>
              </w:tabs>
              <w:rPr>
                <w:sz w:val="20"/>
                <w:szCs w:val="20"/>
              </w:rPr>
            </w:pPr>
            <w:r>
              <w:rPr>
                <w:sz w:val="20"/>
                <w:szCs w:val="20"/>
              </w:rPr>
              <w:t>8</w:t>
            </w:r>
            <w:r w:rsidR="00E210CC" w:rsidRPr="00C5739B">
              <w:rPr>
                <w:sz w:val="20"/>
                <w:szCs w:val="20"/>
              </w:rPr>
              <w:t xml:space="preserve">.1 </w:t>
            </w:r>
            <w:r w:rsidR="001748A7">
              <w:rPr>
                <w:sz w:val="20"/>
                <w:szCs w:val="20"/>
              </w:rPr>
              <w:t xml:space="preserve">Finalization of the loan eligibility criteria and scope of coverage for the RE/EE devices and appliances financing scheme for targeted consumers </w:t>
            </w:r>
            <w:r w:rsidR="00035F00">
              <w:rPr>
                <w:sz w:val="20"/>
                <w:szCs w:val="20"/>
              </w:rPr>
              <w:t xml:space="preserve">(Output </w:t>
            </w:r>
            <w:proofErr w:type="gramStart"/>
            <w:r w:rsidR="00035F00">
              <w:rPr>
                <w:sz w:val="20"/>
                <w:szCs w:val="20"/>
              </w:rPr>
              <w:t>4.1.1,/</w:t>
            </w:r>
            <w:proofErr w:type="gramEnd"/>
            <w:r w:rsidR="00035F00">
              <w:rPr>
                <w:sz w:val="20"/>
                <w:szCs w:val="20"/>
              </w:rPr>
              <w:t>activity 1.4.1)</w:t>
            </w:r>
            <w:r w:rsidR="001748A7">
              <w:rPr>
                <w:sz w:val="20"/>
                <w:szCs w:val="20"/>
              </w:rPr>
              <w:t xml:space="preserve"> </w:t>
            </w:r>
          </w:p>
        </w:tc>
        <w:tc>
          <w:tcPr>
            <w:tcW w:w="2916" w:type="dxa"/>
            <w:tcBorders>
              <w:top w:val="single" w:sz="6" w:space="0" w:color="auto"/>
              <w:left w:val="single" w:sz="6" w:space="0" w:color="auto"/>
              <w:bottom w:val="single" w:sz="6" w:space="0" w:color="auto"/>
              <w:right w:val="single" w:sz="6" w:space="0" w:color="auto"/>
            </w:tcBorders>
          </w:tcPr>
          <w:p w14:paraId="33DE2B4F" w14:textId="2D35B9AC" w:rsidR="00E210CC" w:rsidRPr="00C5739B" w:rsidRDefault="001748A7" w:rsidP="00441924">
            <w:pPr>
              <w:tabs>
                <w:tab w:val="left" w:pos="1080"/>
              </w:tabs>
              <w:rPr>
                <w:sz w:val="20"/>
                <w:szCs w:val="20"/>
              </w:rPr>
            </w:pPr>
            <w:r>
              <w:rPr>
                <w:sz w:val="20"/>
                <w:szCs w:val="20"/>
              </w:rPr>
              <w:t>September 2021</w:t>
            </w:r>
          </w:p>
        </w:tc>
        <w:tc>
          <w:tcPr>
            <w:tcW w:w="2600" w:type="dxa"/>
            <w:tcBorders>
              <w:top w:val="single" w:sz="6" w:space="0" w:color="auto"/>
              <w:left w:val="single" w:sz="6" w:space="0" w:color="auto"/>
              <w:bottom w:val="single" w:sz="6" w:space="0" w:color="auto"/>
              <w:right w:val="single" w:sz="6" w:space="0" w:color="auto"/>
            </w:tcBorders>
          </w:tcPr>
          <w:p w14:paraId="6D303F5A" w14:textId="067A0583" w:rsidR="00E210CC" w:rsidRPr="00C5739B" w:rsidRDefault="001748A7" w:rsidP="00441924">
            <w:pPr>
              <w:tabs>
                <w:tab w:val="left" w:pos="1080"/>
              </w:tabs>
              <w:rPr>
                <w:sz w:val="20"/>
                <w:szCs w:val="20"/>
              </w:rPr>
            </w:pPr>
            <w:r>
              <w:rPr>
                <w:sz w:val="20"/>
                <w:szCs w:val="20"/>
              </w:rPr>
              <w:t xml:space="preserve">PMU, MTET/DOE, DBT </w:t>
            </w:r>
            <w:r w:rsidR="00536AF6">
              <w:rPr>
                <w:sz w:val="20"/>
                <w:szCs w:val="20"/>
              </w:rPr>
              <w:t>(Lead)</w:t>
            </w:r>
          </w:p>
        </w:tc>
        <w:tc>
          <w:tcPr>
            <w:tcW w:w="1252" w:type="dxa"/>
            <w:tcBorders>
              <w:top w:val="single" w:sz="6" w:space="0" w:color="auto"/>
              <w:left w:val="single" w:sz="6" w:space="0" w:color="auto"/>
              <w:bottom w:val="single" w:sz="6" w:space="0" w:color="auto"/>
              <w:right w:val="single" w:sz="6" w:space="0" w:color="auto"/>
            </w:tcBorders>
          </w:tcPr>
          <w:p w14:paraId="6EFB4EBD"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3A0889FE" w14:textId="77777777" w:rsidR="00E210CC" w:rsidRPr="00C5739B" w:rsidRDefault="00E210CC" w:rsidP="00441924">
            <w:pPr>
              <w:tabs>
                <w:tab w:val="left" w:pos="1080"/>
              </w:tabs>
              <w:rPr>
                <w:sz w:val="20"/>
                <w:szCs w:val="20"/>
              </w:rPr>
            </w:pPr>
          </w:p>
        </w:tc>
      </w:tr>
      <w:tr w:rsidR="00E210CC" w:rsidRPr="00C5739B" w14:paraId="575E5D1C" w14:textId="77777777" w:rsidTr="00441924">
        <w:tc>
          <w:tcPr>
            <w:tcW w:w="4374" w:type="dxa"/>
            <w:tcBorders>
              <w:top w:val="single" w:sz="6" w:space="0" w:color="auto"/>
              <w:bottom w:val="single" w:sz="6" w:space="0" w:color="auto"/>
              <w:right w:val="single" w:sz="6" w:space="0" w:color="auto"/>
            </w:tcBorders>
          </w:tcPr>
          <w:p w14:paraId="1FDFC050" w14:textId="63606DF5" w:rsidR="00E210CC" w:rsidRPr="00C5739B" w:rsidRDefault="009F71B5" w:rsidP="00441924">
            <w:pPr>
              <w:tabs>
                <w:tab w:val="left" w:pos="1080"/>
              </w:tabs>
              <w:rPr>
                <w:sz w:val="20"/>
                <w:szCs w:val="20"/>
              </w:rPr>
            </w:pPr>
            <w:r>
              <w:rPr>
                <w:sz w:val="20"/>
                <w:szCs w:val="20"/>
              </w:rPr>
              <w:t>8</w:t>
            </w:r>
            <w:r w:rsidR="00E210CC" w:rsidRPr="00C5739B">
              <w:rPr>
                <w:sz w:val="20"/>
                <w:szCs w:val="20"/>
              </w:rPr>
              <w:t xml:space="preserve">.2 </w:t>
            </w:r>
            <w:r w:rsidR="001748A7">
              <w:rPr>
                <w:sz w:val="20"/>
                <w:szCs w:val="20"/>
              </w:rPr>
              <w:t>Development and adoption of policy incentives or subsidy scheme for low-income and poor families to enable them to acquire the desired RE/EE devices and appliances</w:t>
            </w:r>
            <w:r w:rsidR="00035F00">
              <w:rPr>
                <w:sz w:val="20"/>
                <w:szCs w:val="20"/>
              </w:rPr>
              <w:t xml:space="preserve"> (</w:t>
            </w:r>
            <w:r w:rsidR="008C545F">
              <w:rPr>
                <w:sz w:val="20"/>
                <w:szCs w:val="20"/>
              </w:rPr>
              <w:t>Output 4.2.2, Activity 2.2.2)</w:t>
            </w:r>
          </w:p>
        </w:tc>
        <w:tc>
          <w:tcPr>
            <w:tcW w:w="2916" w:type="dxa"/>
            <w:tcBorders>
              <w:top w:val="single" w:sz="6" w:space="0" w:color="auto"/>
              <w:left w:val="single" w:sz="6" w:space="0" w:color="auto"/>
              <w:bottom w:val="single" w:sz="6" w:space="0" w:color="auto"/>
              <w:right w:val="single" w:sz="6" w:space="0" w:color="auto"/>
            </w:tcBorders>
          </w:tcPr>
          <w:p w14:paraId="65E1866A" w14:textId="0120C152" w:rsidR="00E210CC" w:rsidRPr="00C5739B" w:rsidRDefault="001748A7"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17EE8A0B" w14:textId="26EA318A" w:rsidR="00E210CC" w:rsidRPr="00C5739B" w:rsidRDefault="001748A7" w:rsidP="00441924">
            <w:pPr>
              <w:tabs>
                <w:tab w:val="left" w:pos="1080"/>
              </w:tabs>
              <w:rPr>
                <w:sz w:val="20"/>
                <w:szCs w:val="20"/>
              </w:rPr>
            </w:pPr>
            <w:r>
              <w:rPr>
                <w:sz w:val="20"/>
                <w:szCs w:val="20"/>
              </w:rPr>
              <w:t>PMU, MTET/DOE</w:t>
            </w:r>
            <w:r w:rsidR="00536AF6">
              <w:rPr>
                <w:sz w:val="20"/>
                <w:szCs w:val="20"/>
              </w:rPr>
              <w:t xml:space="preserve"> (Lead)</w:t>
            </w:r>
            <w:r>
              <w:rPr>
                <w:sz w:val="20"/>
                <w:szCs w:val="20"/>
              </w:rPr>
              <w:t>, DBT and Dept of Finance</w:t>
            </w:r>
          </w:p>
        </w:tc>
        <w:tc>
          <w:tcPr>
            <w:tcW w:w="1252" w:type="dxa"/>
            <w:tcBorders>
              <w:top w:val="single" w:sz="6" w:space="0" w:color="auto"/>
              <w:left w:val="single" w:sz="6" w:space="0" w:color="auto"/>
              <w:bottom w:val="single" w:sz="6" w:space="0" w:color="auto"/>
              <w:right w:val="single" w:sz="6" w:space="0" w:color="auto"/>
            </w:tcBorders>
          </w:tcPr>
          <w:p w14:paraId="3532934D"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7049B980" w14:textId="77777777" w:rsidR="00E210CC" w:rsidRPr="00C5739B" w:rsidRDefault="00E210CC" w:rsidP="00441924">
            <w:pPr>
              <w:tabs>
                <w:tab w:val="left" w:pos="1080"/>
              </w:tabs>
              <w:rPr>
                <w:sz w:val="20"/>
                <w:szCs w:val="20"/>
              </w:rPr>
            </w:pPr>
          </w:p>
        </w:tc>
      </w:tr>
      <w:tr w:rsidR="00E210CC" w:rsidRPr="00C5739B" w14:paraId="1AD53A24" w14:textId="77777777" w:rsidTr="00441924">
        <w:tc>
          <w:tcPr>
            <w:tcW w:w="4374" w:type="dxa"/>
            <w:tcBorders>
              <w:top w:val="single" w:sz="6" w:space="0" w:color="auto"/>
              <w:bottom w:val="single" w:sz="4" w:space="0" w:color="auto"/>
              <w:right w:val="single" w:sz="6" w:space="0" w:color="auto"/>
            </w:tcBorders>
          </w:tcPr>
          <w:p w14:paraId="5A26CD84" w14:textId="2B63CFB5" w:rsidR="00E210CC" w:rsidRPr="00C5739B" w:rsidRDefault="009F71B5" w:rsidP="00441924">
            <w:pPr>
              <w:tabs>
                <w:tab w:val="left" w:pos="1080"/>
              </w:tabs>
              <w:rPr>
                <w:sz w:val="20"/>
                <w:szCs w:val="20"/>
              </w:rPr>
            </w:pPr>
            <w:r>
              <w:rPr>
                <w:sz w:val="20"/>
                <w:szCs w:val="20"/>
              </w:rPr>
              <w:t>8</w:t>
            </w:r>
            <w:r w:rsidR="00E210CC" w:rsidRPr="00C5739B">
              <w:rPr>
                <w:sz w:val="20"/>
                <w:szCs w:val="20"/>
              </w:rPr>
              <w:t>.3</w:t>
            </w:r>
            <w:r w:rsidR="001748A7">
              <w:rPr>
                <w:sz w:val="20"/>
                <w:szCs w:val="20"/>
              </w:rPr>
              <w:t xml:space="preserve"> Evaluation of the results of the implementation of the adopted financial schemes and adoptions of measures to improve the schemes</w:t>
            </w:r>
            <w:r w:rsidR="008C545F">
              <w:rPr>
                <w:sz w:val="20"/>
                <w:szCs w:val="20"/>
              </w:rPr>
              <w:t>. (Output 4.2.4, Activity 4.2.4)</w:t>
            </w:r>
          </w:p>
        </w:tc>
        <w:tc>
          <w:tcPr>
            <w:tcW w:w="2916" w:type="dxa"/>
            <w:tcBorders>
              <w:top w:val="single" w:sz="6" w:space="0" w:color="auto"/>
              <w:left w:val="single" w:sz="6" w:space="0" w:color="auto"/>
              <w:bottom w:val="single" w:sz="4" w:space="0" w:color="auto"/>
              <w:right w:val="single" w:sz="6" w:space="0" w:color="auto"/>
            </w:tcBorders>
          </w:tcPr>
          <w:p w14:paraId="1DA732B2" w14:textId="60A5255A" w:rsidR="00E210CC" w:rsidRPr="00C5739B" w:rsidDel="0081599E" w:rsidRDefault="001748A7" w:rsidP="00441924">
            <w:pPr>
              <w:tabs>
                <w:tab w:val="left" w:pos="1080"/>
              </w:tabs>
              <w:rPr>
                <w:sz w:val="20"/>
                <w:szCs w:val="20"/>
              </w:rPr>
            </w:pPr>
            <w:r>
              <w:rPr>
                <w:sz w:val="20"/>
                <w:szCs w:val="20"/>
              </w:rPr>
              <w:t>February 2022</w:t>
            </w:r>
          </w:p>
        </w:tc>
        <w:tc>
          <w:tcPr>
            <w:tcW w:w="2600" w:type="dxa"/>
            <w:tcBorders>
              <w:top w:val="single" w:sz="6" w:space="0" w:color="auto"/>
              <w:left w:val="single" w:sz="6" w:space="0" w:color="auto"/>
              <w:bottom w:val="single" w:sz="4" w:space="0" w:color="auto"/>
              <w:right w:val="single" w:sz="6" w:space="0" w:color="auto"/>
            </w:tcBorders>
          </w:tcPr>
          <w:p w14:paraId="3250A62A" w14:textId="4B6EC376" w:rsidR="00E210CC" w:rsidRPr="00C5739B" w:rsidDel="0081599E" w:rsidRDefault="001748A7" w:rsidP="00441924">
            <w:pPr>
              <w:tabs>
                <w:tab w:val="left" w:pos="1080"/>
              </w:tabs>
              <w:rPr>
                <w:sz w:val="20"/>
                <w:szCs w:val="20"/>
              </w:rPr>
            </w:pPr>
            <w:r>
              <w:rPr>
                <w:sz w:val="20"/>
                <w:szCs w:val="20"/>
              </w:rPr>
              <w:t>PMU, MTET/DOE</w:t>
            </w:r>
            <w:r w:rsidR="00536AF6">
              <w:rPr>
                <w:sz w:val="20"/>
                <w:szCs w:val="20"/>
              </w:rPr>
              <w:t xml:space="preserve"> (Lead)</w:t>
            </w:r>
            <w:r>
              <w:rPr>
                <w:sz w:val="20"/>
                <w:szCs w:val="20"/>
              </w:rPr>
              <w:t>, DBT and Dept of Finance</w:t>
            </w:r>
          </w:p>
        </w:tc>
        <w:tc>
          <w:tcPr>
            <w:tcW w:w="1252" w:type="dxa"/>
            <w:tcBorders>
              <w:top w:val="single" w:sz="6" w:space="0" w:color="auto"/>
              <w:left w:val="single" w:sz="6" w:space="0" w:color="auto"/>
              <w:bottom w:val="single" w:sz="4" w:space="0" w:color="auto"/>
              <w:right w:val="single" w:sz="6" w:space="0" w:color="auto"/>
            </w:tcBorders>
          </w:tcPr>
          <w:p w14:paraId="5B036861" w14:textId="77777777" w:rsidR="00E210CC" w:rsidRPr="00C5739B" w:rsidRDefault="00E210CC"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2CC84A40" w14:textId="77777777" w:rsidR="00E210CC" w:rsidRPr="00C5739B" w:rsidRDefault="00E210CC" w:rsidP="00441924">
            <w:pPr>
              <w:tabs>
                <w:tab w:val="left" w:pos="1080"/>
              </w:tabs>
              <w:rPr>
                <w:sz w:val="20"/>
                <w:szCs w:val="20"/>
              </w:rPr>
            </w:pPr>
          </w:p>
        </w:tc>
      </w:tr>
    </w:tbl>
    <w:p w14:paraId="01243619" w14:textId="77777777" w:rsidR="00E210CC" w:rsidRDefault="00E210CC"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9F71B5" w:rsidRPr="00C5739B" w14:paraId="4AF27F87" w14:textId="77777777" w:rsidTr="00441924">
        <w:tc>
          <w:tcPr>
            <w:tcW w:w="12327" w:type="dxa"/>
            <w:gridSpan w:val="5"/>
            <w:shd w:val="clear" w:color="auto" w:fill="F3F3F3"/>
          </w:tcPr>
          <w:p w14:paraId="653C0757" w14:textId="77777777" w:rsidR="009F71B5" w:rsidRPr="00C5739B" w:rsidRDefault="009F71B5"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Pr>
                <w:b/>
                <w:sz w:val="20"/>
                <w:szCs w:val="20"/>
              </w:rPr>
              <w:t>9</w:t>
            </w:r>
            <w:r w:rsidRPr="00C5739B">
              <w:rPr>
                <w:b/>
                <w:sz w:val="20"/>
                <w:szCs w:val="20"/>
              </w:rPr>
              <w:t xml:space="preserve">. </w:t>
            </w:r>
            <w:r w:rsidRPr="009F71B5">
              <w:rPr>
                <w:b/>
                <w:i/>
                <w:iCs/>
                <w:sz w:val="20"/>
                <w:szCs w:val="20"/>
              </w:rPr>
              <w:t xml:space="preserve">Explore applicable and effective business models for the private sector – </w:t>
            </w:r>
            <w:r w:rsidRPr="009F71B5">
              <w:rPr>
                <w:iCs/>
                <w:sz w:val="20"/>
                <w:szCs w:val="20"/>
              </w:rPr>
              <w:t>The private sector development to engage heavily in the EE appliances trade has been overlooked throughout the project implementation process. It would be instrumental to map out demand for different types of financing by company scale (for micro, small, and medium sized enterprises), and determine financing schemes that could be offered to develop suitable models for EE appliance trading in Tuvalu.</w:t>
            </w:r>
          </w:p>
        </w:tc>
      </w:tr>
      <w:tr w:rsidR="009F71B5" w:rsidRPr="00C5739B" w14:paraId="033389AC" w14:textId="77777777" w:rsidTr="00441924">
        <w:tc>
          <w:tcPr>
            <w:tcW w:w="12327" w:type="dxa"/>
            <w:gridSpan w:val="5"/>
            <w:tcBorders>
              <w:top w:val="single" w:sz="4" w:space="0" w:color="auto"/>
              <w:bottom w:val="single" w:sz="6" w:space="0" w:color="auto"/>
            </w:tcBorders>
            <w:shd w:val="clear" w:color="auto" w:fill="F3F3F3"/>
          </w:tcPr>
          <w:p w14:paraId="54134B10" w14:textId="00368B16" w:rsidR="009F71B5" w:rsidRPr="00C5739B" w:rsidRDefault="009F71B5" w:rsidP="00441924">
            <w:pPr>
              <w:tabs>
                <w:tab w:val="left" w:pos="1080"/>
              </w:tabs>
              <w:rPr>
                <w:sz w:val="20"/>
                <w:szCs w:val="20"/>
              </w:rPr>
            </w:pPr>
            <w:r w:rsidRPr="00C5739B">
              <w:rPr>
                <w:b/>
                <w:sz w:val="20"/>
                <w:szCs w:val="20"/>
              </w:rPr>
              <w:lastRenderedPageBreak/>
              <w:t>Management response</w:t>
            </w:r>
            <w:r w:rsidRPr="00C5739B">
              <w:rPr>
                <w:sz w:val="20"/>
                <w:szCs w:val="20"/>
              </w:rPr>
              <w:t xml:space="preserve">: </w:t>
            </w:r>
            <w:r w:rsidR="00A65195" w:rsidRPr="00A65195">
              <w:rPr>
                <w:b/>
                <w:i/>
                <w:sz w:val="20"/>
                <w:szCs w:val="20"/>
              </w:rPr>
              <w:t>Agree</w:t>
            </w:r>
            <w:r w:rsidR="00A65195" w:rsidRPr="00A65195">
              <w:rPr>
                <w:sz w:val="20"/>
                <w:szCs w:val="20"/>
              </w:rPr>
              <w:t>.</w:t>
            </w:r>
            <w:r w:rsidR="00A65195">
              <w:rPr>
                <w:sz w:val="20"/>
                <w:szCs w:val="20"/>
              </w:rPr>
              <w:t xml:space="preserve"> </w:t>
            </w:r>
            <w:r w:rsidR="006339F5">
              <w:rPr>
                <w:sz w:val="20"/>
                <w:szCs w:val="20"/>
              </w:rPr>
              <w:t xml:space="preserve">The participation of the private sector has started to be visible through their involvement in the supply of RE/EE devices and appliances. </w:t>
            </w:r>
            <w:r w:rsidR="004E126B">
              <w:rPr>
                <w:sz w:val="20"/>
                <w:szCs w:val="20"/>
              </w:rPr>
              <w:t>On the other hand, in the utilization side, t</w:t>
            </w:r>
            <w:r w:rsidR="006339F5">
              <w:rPr>
                <w:sz w:val="20"/>
                <w:szCs w:val="20"/>
              </w:rPr>
              <w:t xml:space="preserve">wo private individuals have installed </w:t>
            </w:r>
            <w:r w:rsidR="00DB4E92">
              <w:rPr>
                <w:sz w:val="20"/>
                <w:szCs w:val="20"/>
              </w:rPr>
              <w:t xml:space="preserve">1 – 2 Kva </w:t>
            </w:r>
            <w:r w:rsidR="006339F5">
              <w:rPr>
                <w:sz w:val="20"/>
                <w:szCs w:val="20"/>
              </w:rPr>
              <w:t>solar PV power systems for their own use</w:t>
            </w:r>
            <w:r w:rsidR="00DB4E92">
              <w:rPr>
                <w:sz w:val="20"/>
                <w:szCs w:val="20"/>
              </w:rPr>
              <w:t xml:space="preserve"> for domestic uses and business (laundry and water purification) and invested their own resources. There is a good potential for similar interests. The Project is exploring with DBT and DOE on the development and adoption of business models</w:t>
            </w:r>
            <w:r w:rsidR="00455F19">
              <w:rPr>
                <w:sz w:val="20"/>
                <w:szCs w:val="20"/>
              </w:rPr>
              <w:t>, through technical assistance from consultants to be hired by the project, that could be qualified for financial support. This will be very applicable to roof-top solar PV power systems</w:t>
            </w:r>
            <w:r w:rsidR="004D0D39">
              <w:rPr>
                <w:sz w:val="20"/>
                <w:szCs w:val="20"/>
              </w:rPr>
              <w:t xml:space="preserve"> for private entities, government buildings and schools</w:t>
            </w:r>
            <w:r w:rsidR="00455F19">
              <w:rPr>
                <w:sz w:val="20"/>
                <w:szCs w:val="20"/>
              </w:rPr>
              <w:t xml:space="preserve">. The related policies on RE-enabling schemes and technologies such feed-in tariff, net-metering, net-billing, </w:t>
            </w:r>
            <w:r w:rsidR="00D8502F">
              <w:rPr>
                <w:sz w:val="20"/>
                <w:szCs w:val="20"/>
              </w:rPr>
              <w:t>etc.</w:t>
            </w:r>
            <w:r w:rsidR="00455F19">
              <w:rPr>
                <w:sz w:val="20"/>
                <w:szCs w:val="20"/>
              </w:rPr>
              <w:t xml:space="preserve"> to be done under the World Bank project are in sync with the adoption</w:t>
            </w:r>
            <w:r w:rsidR="004E126B">
              <w:rPr>
                <w:sz w:val="20"/>
                <w:szCs w:val="20"/>
              </w:rPr>
              <w:t xml:space="preserve"> of policies to shift to RE technologies</w:t>
            </w:r>
            <w:r w:rsidR="00455F19">
              <w:rPr>
                <w:sz w:val="20"/>
                <w:szCs w:val="20"/>
              </w:rPr>
              <w:t>. The successful and timely application of these enablers will push forward the private sector interest</w:t>
            </w:r>
            <w:r w:rsidR="004E126B">
              <w:rPr>
                <w:sz w:val="20"/>
                <w:szCs w:val="20"/>
              </w:rPr>
              <w:t xml:space="preserve"> in investing in the promising business models applicable in Tuvalu.</w:t>
            </w:r>
            <w:r w:rsidR="00455F19">
              <w:rPr>
                <w:sz w:val="20"/>
                <w:szCs w:val="20"/>
              </w:rPr>
              <w:t xml:space="preserve">  </w:t>
            </w:r>
            <w:r w:rsidR="00DB4E92">
              <w:rPr>
                <w:sz w:val="20"/>
                <w:szCs w:val="20"/>
              </w:rPr>
              <w:t xml:space="preserve"> </w:t>
            </w:r>
            <w:r w:rsidR="006339F5">
              <w:rPr>
                <w:sz w:val="20"/>
                <w:szCs w:val="20"/>
              </w:rPr>
              <w:t xml:space="preserve">   </w:t>
            </w:r>
          </w:p>
        </w:tc>
      </w:tr>
      <w:tr w:rsidR="009F71B5" w:rsidRPr="00C5739B" w14:paraId="60FF8B0D"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6B352B54" w14:textId="77777777" w:rsidR="009F71B5" w:rsidRPr="00C5739B" w:rsidRDefault="009F71B5"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71CC16EC" w14:textId="77777777" w:rsidR="009F71B5" w:rsidRPr="00C5739B" w:rsidRDefault="009F71B5"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3D9851BF" w14:textId="77777777" w:rsidR="009F71B5" w:rsidRPr="00C5739B" w:rsidRDefault="009F71B5"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1784E986" w14:textId="77777777" w:rsidR="009F71B5" w:rsidRPr="00C5739B" w:rsidRDefault="009F71B5" w:rsidP="00441924">
            <w:pPr>
              <w:tabs>
                <w:tab w:val="left" w:pos="1080"/>
              </w:tabs>
              <w:jc w:val="center"/>
              <w:rPr>
                <w:b/>
                <w:sz w:val="20"/>
                <w:szCs w:val="20"/>
              </w:rPr>
            </w:pPr>
            <w:r w:rsidRPr="00C5739B">
              <w:rPr>
                <w:b/>
                <w:sz w:val="20"/>
                <w:szCs w:val="20"/>
              </w:rPr>
              <w:t>Tracking</w:t>
            </w:r>
          </w:p>
        </w:tc>
      </w:tr>
      <w:tr w:rsidR="009F71B5" w:rsidRPr="00C5739B" w14:paraId="1894AEC8"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4686559A" w14:textId="77777777" w:rsidR="009F71B5" w:rsidRPr="00C5739B" w:rsidRDefault="009F71B5"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2A8ED3A8" w14:textId="77777777" w:rsidR="009F71B5" w:rsidRPr="00C5739B" w:rsidRDefault="009F71B5"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445A9E49" w14:textId="77777777" w:rsidR="009F71B5" w:rsidRPr="00C5739B" w:rsidRDefault="009F71B5"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63773095" w14:textId="77777777" w:rsidR="009F71B5" w:rsidRPr="00C5739B" w:rsidRDefault="009F71B5"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6E8FAAB4" w14:textId="77777777" w:rsidR="009F71B5" w:rsidRPr="00C5739B" w:rsidRDefault="009F71B5" w:rsidP="00441924">
            <w:pPr>
              <w:tabs>
                <w:tab w:val="left" w:pos="1080"/>
              </w:tabs>
              <w:jc w:val="center"/>
              <w:rPr>
                <w:b/>
                <w:sz w:val="20"/>
                <w:szCs w:val="20"/>
              </w:rPr>
            </w:pPr>
            <w:r w:rsidRPr="00C5739B">
              <w:rPr>
                <w:b/>
                <w:sz w:val="20"/>
                <w:szCs w:val="20"/>
              </w:rPr>
              <w:t>Status</w:t>
            </w:r>
          </w:p>
        </w:tc>
      </w:tr>
      <w:tr w:rsidR="009F71B5" w:rsidRPr="00C5739B" w14:paraId="49E07FAD" w14:textId="77777777" w:rsidTr="00441924">
        <w:tc>
          <w:tcPr>
            <w:tcW w:w="4374" w:type="dxa"/>
            <w:tcBorders>
              <w:top w:val="single" w:sz="6" w:space="0" w:color="auto"/>
              <w:bottom w:val="single" w:sz="6" w:space="0" w:color="auto"/>
              <w:right w:val="single" w:sz="6" w:space="0" w:color="auto"/>
            </w:tcBorders>
          </w:tcPr>
          <w:p w14:paraId="1B01FE02" w14:textId="200CDBC1" w:rsidR="009F71B5" w:rsidRPr="00C5739B" w:rsidRDefault="009F71B5" w:rsidP="00441924">
            <w:pPr>
              <w:tabs>
                <w:tab w:val="left" w:pos="1080"/>
              </w:tabs>
              <w:rPr>
                <w:sz w:val="20"/>
                <w:szCs w:val="20"/>
              </w:rPr>
            </w:pPr>
            <w:r>
              <w:rPr>
                <w:sz w:val="20"/>
                <w:szCs w:val="20"/>
              </w:rPr>
              <w:t>9</w:t>
            </w:r>
            <w:r w:rsidRPr="00C5739B">
              <w:rPr>
                <w:sz w:val="20"/>
                <w:szCs w:val="20"/>
              </w:rPr>
              <w:t xml:space="preserve">.1 </w:t>
            </w:r>
            <w:r w:rsidR="004E126B">
              <w:rPr>
                <w:sz w:val="20"/>
                <w:szCs w:val="20"/>
              </w:rPr>
              <w:t>Development and adoption of business models for possible RE/EE investments by private sector with technical assistance from consultants</w:t>
            </w:r>
            <w:r w:rsidR="008C545F">
              <w:rPr>
                <w:sz w:val="20"/>
                <w:szCs w:val="20"/>
              </w:rPr>
              <w:t xml:space="preserve"> (Output 4.1.1, Activity 4.1.1)</w:t>
            </w:r>
            <w:r w:rsidR="004E126B">
              <w:rPr>
                <w:sz w:val="20"/>
                <w:szCs w:val="20"/>
              </w:rPr>
              <w:t xml:space="preserve"> </w:t>
            </w:r>
          </w:p>
        </w:tc>
        <w:tc>
          <w:tcPr>
            <w:tcW w:w="2916" w:type="dxa"/>
            <w:tcBorders>
              <w:top w:val="single" w:sz="6" w:space="0" w:color="auto"/>
              <w:left w:val="single" w:sz="6" w:space="0" w:color="auto"/>
              <w:bottom w:val="single" w:sz="6" w:space="0" w:color="auto"/>
              <w:right w:val="single" w:sz="6" w:space="0" w:color="auto"/>
            </w:tcBorders>
          </w:tcPr>
          <w:p w14:paraId="367A53EA" w14:textId="3A96E13D" w:rsidR="009F71B5" w:rsidRPr="00C5739B" w:rsidRDefault="004E126B"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0DF212E6" w14:textId="5BFB4A45" w:rsidR="009F71B5" w:rsidRPr="00C5739B" w:rsidRDefault="001A7B8A" w:rsidP="00441924">
            <w:pPr>
              <w:tabs>
                <w:tab w:val="left" w:pos="1080"/>
              </w:tabs>
              <w:rPr>
                <w:sz w:val="20"/>
                <w:szCs w:val="20"/>
              </w:rPr>
            </w:pPr>
            <w:r>
              <w:rPr>
                <w:sz w:val="20"/>
                <w:szCs w:val="20"/>
              </w:rPr>
              <w:t>PMU, MTET/DOE</w:t>
            </w:r>
            <w:r w:rsidR="00DB2F46">
              <w:rPr>
                <w:sz w:val="20"/>
                <w:szCs w:val="20"/>
              </w:rPr>
              <w:t xml:space="preserve"> (Lead)</w:t>
            </w:r>
            <w:r>
              <w:rPr>
                <w:sz w:val="20"/>
                <w:szCs w:val="20"/>
              </w:rPr>
              <w:t>, DBT</w:t>
            </w:r>
          </w:p>
        </w:tc>
        <w:tc>
          <w:tcPr>
            <w:tcW w:w="1252" w:type="dxa"/>
            <w:tcBorders>
              <w:top w:val="single" w:sz="6" w:space="0" w:color="auto"/>
              <w:left w:val="single" w:sz="6" w:space="0" w:color="auto"/>
              <w:bottom w:val="single" w:sz="6" w:space="0" w:color="auto"/>
              <w:right w:val="single" w:sz="6" w:space="0" w:color="auto"/>
            </w:tcBorders>
          </w:tcPr>
          <w:p w14:paraId="1ACBC1B2"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15D28FBA" w14:textId="77777777" w:rsidR="009F71B5" w:rsidRPr="00C5739B" w:rsidRDefault="009F71B5" w:rsidP="00441924">
            <w:pPr>
              <w:tabs>
                <w:tab w:val="left" w:pos="1080"/>
              </w:tabs>
              <w:rPr>
                <w:sz w:val="20"/>
                <w:szCs w:val="20"/>
              </w:rPr>
            </w:pPr>
          </w:p>
        </w:tc>
      </w:tr>
      <w:tr w:rsidR="009F71B5" w:rsidRPr="00C5739B" w14:paraId="2602125E" w14:textId="77777777" w:rsidTr="00441924">
        <w:tc>
          <w:tcPr>
            <w:tcW w:w="4374" w:type="dxa"/>
            <w:tcBorders>
              <w:top w:val="single" w:sz="6" w:space="0" w:color="auto"/>
              <w:bottom w:val="single" w:sz="6" w:space="0" w:color="auto"/>
              <w:right w:val="single" w:sz="6" w:space="0" w:color="auto"/>
            </w:tcBorders>
          </w:tcPr>
          <w:p w14:paraId="448EF706" w14:textId="182EB555" w:rsidR="009F71B5" w:rsidRPr="00C5739B" w:rsidRDefault="009F71B5" w:rsidP="00441924">
            <w:pPr>
              <w:tabs>
                <w:tab w:val="left" w:pos="1080"/>
              </w:tabs>
              <w:rPr>
                <w:sz w:val="20"/>
                <w:szCs w:val="20"/>
              </w:rPr>
            </w:pPr>
            <w:r>
              <w:rPr>
                <w:sz w:val="20"/>
                <w:szCs w:val="20"/>
              </w:rPr>
              <w:t>9</w:t>
            </w:r>
            <w:r w:rsidRPr="00C5739B">
              <w:rPr>
                <w:sz w:val="20"/>
                <w:szCs w:val="20"/>
              </w:rPr>
              <w:t xml:space="preserve">.2 </w:t>
            </w:r>
            <w:r w:rsidR="000E70CA">
              <w:rPr>
                <w:sz w:val="20"/>
                <w:szCs w:val="20"/>
              </w:rPr>
              <w:t>Coordination with the WB Project through MTET/DOE on f</w:t>
            </w:r>
            <w:r w:rsidR="004E126B">
              <w:rPr>
                <w:sz w:val="20"/>
                <w:szCs w:val="20"/>
              </w:rPr>
              <w:t xml:space="preserve">ast tracking </w:t>
            </w:r>
            <w:r w:rsidR="00DB2F46">
              <w:rPr>
                <w:sz w:val="20"/>
                <w:szCs w:val="20"/>
              </w:rPr>
              <w:t>the</w:t>
            </w:r>
            <w:r w:rsidR="000E70CA">
              <w:rPr>
                <w:sz w:val="20"/>
                <w:szCs w:val="20"/>
              </w:rPr>
              <w:t xml:space="preserve"> development and</w:t>
            </w:r>
            <w:r w:rsidR="00DB2F46">
              <w:rPr>
                <w:sz w:val="20"/>
                <w:szCs w:val="20"/>
              </w:rPr>
              <w:t xml:space="preserve"> adoption </w:t>
            </w:r>
            <w:r w:rsidR="004E126B">
              <w:rPr>
                <w:sz w:val="20"/>
                <w:szCs w:val="20"/>
              </w:rPr>
              <w:t>of the enabling technologies and requisite technical standards</w:t>
            </w:r>
            <w:r w:rsidR="00DB2F46">
              <w:rPr>
                <w:sz w:val="20"/>
                <w:szCs w:val="20"/>
              </w:rPr>
              <w:t xml:space="preserve"> to be included in the Energy Bill to be the basis of the business models (Output 2.3, Activity 2.3.1 &amp; Output 4.2.1, Activity 4.2.1)</w:t>
            </w:r>
          </w:p>
        </w:tc>
        <w:tc>
          <w:tcPr>
            <w:tcW w:w="2916" w:type="dxa"/>
            <w:tcBorders>
              <w:top w:val="single" w:sz="6" w:space="0" w:color="auto"/>
              <w:left w:val="single" w:sz="6" w:space="0" w:color="auto"/>
              <w:bottom w:val="single" w:sz="6" w:space="0" w:color="auto"/>
              <w:right w:val="single" w:sz="6" w:space="0" w:color="auto"/>
            </w:tcBorders>
          </w:tcPr>
          <w:p w14:paraId="3BA77F97" w14:textId="7C41E818" w:rsidR="009F71B5" w:rsidRPr="00C5739B" w:rsidRDefault="004E126B"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23D6989A" w14:textId="10258AA7" w:rsidR="009F71B5" w:rsidRPr="00C5739B" w:rsidRDefault="001A7B8A" w:rsidP="00441924">
            <w:pPr>
              <w:tabs>
                <w:tab w:val="left" w:pos="1080"/>
              </w:tabs>
              <w:rPr>
                <w:sz w:val="20"/>
                <w:szCs w:val="20"/>
              </w:rPr>
            </w:pPr>
            <w:r>
              <w:rPr>
                <w:sz w:val="20"/>
                <w:szCs w:val="20"/>
              </w:rPr>
              <w:t>PMU, MTET/DOE</w:t>
            </w:r>
            <w:r w:rsidR="00DB2F46">
              <w:rPr>
                <w:sz w:val="20"/>
                <w:szCs w:val="20"/>
              </w:rPr>
              <w:t xml:space="preserve"> (Lead)</w:t>
            </w:r>
            <w:r>
              <w:rPr>
                <w:sz w:val="20"/>
                <w:szCs w:val="20"/>
              </w:rPr>
              <w:t>, DBT, WB Project</w:t>
            </w:r>
          </w:p>
        </w:tc>
        <w:tc>
          <w:tcPr>
            <w:tcW w:w="1252" w:type="dxa"/>
            <w:tcBorders>
              <w:top w:val="single" w:sz="6" w:space="0" w:color="auto"/>
              <w:left w:val="single" w:sz="6" w:space="0" w:color="auto"/>
              <w:bottom w:val="single" w:sz="6" w:space="0" w:color="auto"/>
              <w:right w:val="single" w:sz="6" w:space="0" w:color="auto"/>
            </w:tcBorders>
          </w:tcPr>
          <w:p w14:paraId="7AA91020" w14:textId="753BF4E4"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42DCA711" w14:textId="77777777" w:rsidR="009F71B5" w:rsidRPr="00C5739B" w:rsidRDefault="009F71B5" w:rsidP="00441924">
            <w:pPr>
              <w:tabs>
                <w:tab w:val="left" w:pos="1080"/>
              </w:tabs>
              <w:rPr>
                <w:sz w:val="20"/>
                <w:szCs w:val="20"/>
              </w:rPr>
            </w:pPr>
          </w:p>
        </w:tc>
      </w:tr>
      <w:tr w:rsidR="009F71B5" w:rsidRPr="00C5739B" w14:paraId="3E63746B" w14:textId="77777777" w:rsidTr="00441924">
        <w:tc>
          <w:tcPr>
            <w:tcW w:w="4374" w:type="dxa"/>
            <w:tcBorders>
              <w:top w:val="single" w:sz="6" w:space="0" w:color="auto"/>
              <w:bottom w:val="single" w:sz="4" w:space="0" w:color="auto"/>
              <w:right w:val="single" w:sz="6" w:space="0" w:color="auto"/>
            </w:tcBorders>
          </w:tcPr>
          <w:p w14:paraId="388755CC" w14:textId="0771D323" w:rsidR="009F71B5" w:rsidRPr="00C5739B" w:rsidRDefault="009F71B5" w:rsidP="00441924">
            <w:pPr>
              <w:tabs>
                <w:tab w:val="left" w:pos="1080"/>
              </w:tabs>
              <w:rPr>
                <w:sz w:val="20"/>
                <w:szCs w:val="20"/>
              </w:rPr>
            </w:pPr>
            <w:r>
              <w:rPr>
                <w:sz w:val="20"/>
                <w:szCs w:val="20"/>
              </w:rPr>
              <w:t>9</w:t>
            </w:r>
            <w:r w:rsidRPr="00C5739B">
              <w:rPr>
                <w:sz w:val="20"/>
                <w:szCs w:val="20"/>
              </w:rPr>
              <w:t>.3</w:t>
            </w:r>
            <w:r w:rsidR="00DB2F46">
              <w:rPr>
                <w:sz w:val="20"/>
                <w:szCs w:val="20"/>
              </w:rPr>
              <w:t xml:space="preserve"> Inclusion in the Energy Bill the e</w:t>
            </w:r>
            <w:r w:rsidR="004E126B">
              <w:rPr>
                <w:sz w:val="20"/>
                <w:szCs w:val="20"/>
              </w:rPr>
              <w:t>xpansion of the DBT RE-financing portfolio to provide access and availability of funds to support the increasing demand for RE-based small roof-top power generation system</w:t>
            </w:r>
            <w:r w:rsidR="00171CF2">
              <w:rPr>
                <w:sz w:val="20"/>
                <w:szCs w:val="20"/>
              </w:rPr>
              <w:t>s</w:t>
            </w:r>
            <w:r w:rsidR="00DB2F46">
              <w:rPr>
                <w:sz w:val="20"/>
                <w:szCs w:val="20"/>
              </w:rPr>
              <w:t xml:space="preserve"> (Activity 2.3.1 &amp; Activity 4.2.1)</w:t>
            </w:r>
            <w:r w:rsidR="004E126B">
              <w:rPr>
                <w:sz w:val="20"/>
                <w:szCs w:val="20"/>
              </w:rPr>
              <w:t xml:space="preserve"> </w:t>
            </w:r>
          </w:p>
        </w:tc>
        <w:tc>
          <w:tcPr>
            <w:tcW w:w="2916" w:type="dxa"/>
            <w:tcBorders>
              <w:top w:val="single" w:sz="6" w:space="0" w:color="auto"/>
              <w:left w:val="single" w:sz="6" w:space="0" w:color="auto"/>
              <w:bottom w:val="single" w:sz="4" w:space="0" w:color="auto"/>
              <w:right w:val="single" w:sz="6" w:space="0" w:color="auto"/>
            </w:tcBorders>
          </w:tcPr>
          <w:p w14:paraId="3AF34F0C" w14:textId="6AC72628" w:rsidR="009F71B5" w:rsidRPr="00C5739B" w:rsidDel="0081599E" w:rsidRDefault="004E126B" w:rsidP="00441924">
            <w:pPr>
              <w:tabs>
                <w:tab w:val="left" w:pos="1080"/>
              </w:tabs>
              <w:rPr>
                <w:sz w:val="20"/>
                <w:szCs w:val="20"/>
              </w:rPr>
            </w:pPr>
            <w:r>
              <w:rPr>
                <w:sz w:val="20"/>
                <w:szCs w:val="20"/>
              </w:rPr>
              <w:t>February 2022</w:t>
            </w:r>
          </w:p>
        </w:tc>
        <w:tc>
          <w:tcPr>
            <w:tcW w:w="2600" w:type="dxa"/>
            <w:tcBorders>
              <w:top w:val="single" w:sz="6" w:space="0" w:color="auto"/>
              <w:left w:val="single" w:sz="6" w:space="0" w:color="auto"/>
              <w:bottom w:val="single" w:sz="4" w:space="0" w:color="auto"/>
              <w:right w:val="single" w:sz="6" w:space="0" w:color="auto"/>
            </w:tcBorders>
          </w:tcPr>
          <w:p w14:paraId="232C5455" w14:textId="5926CB34" w:rsidR="009F71B5" w:rsidRPr="00C5739B" w:rsidDel="0081599E" w:rsidRDefault="001A7B8A" w:rsidP="00441924">
            <w:pPr>
              <w:tabs>
                <w:tab w:val="left" w:pos="1080"/>
              </w:tabs>
              <w:rPr>
                <w:sz w:val="20"/>
                <w:szCs w:val="20"/>
              </w:rPr>
            </w:pPr>
            <w:r>
              <w:rPr>
                <w:sz w:val="20"/>
                <w:szCs w:val="20"/>
              </w:rPr>
              <w:t>PMU, MTET/DOE, DBT</w:t>
            </w:r>
            <w:r w:rsidR="00DB2F46">
              <w:rPr>
                <w:sz w:val="20"/>
                <w:szCs w:val="20"/>
              </w:rPr>
              <w:t xml:space="preserve"> (Lead)</w:t>
            </w:r>
            <w:r>
              <w:rPr>
                <w:sz w:val="20"/>
                <w:szCs w:val="20"/>
              </w:rPr>
              <w:t xml:space="preserve">, Department of Finance  </w:t>
            </w:r>
          </w:p>
        </w:tc>
        <w:tc>
          <w:tcPr>
            <w:tcW w:w="1252" w:type="dxa"/>
            <w:tcBorders>
              <w:top w:val="single" w:sz="6" w:space="0" w:color="auto"/>
              <w:left w:val="single" w:sz="6" w:space="0" w:color="auto"/>
              <w:bottom w:val="single" w:sz="4" w:space="0" w:color="auto"/>
              <w:right w:val="single" w:sz="6" w:space="0" w:color="auto"/>
            </w:tcBorders>
          </w:tcPr>
          <w:p w14:paraId="76ABF39A"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3DAD5A06" w14:textId="77777777" w:rsidR="009F71B5" w:rsidRPr="00C5739B" w:rsidRDefault="009F71B5" w:rsidP="00441924">
            <w:pPr>
              <w:tabs>
                <w:tab w:val="left" w:pos="1080"/>
              </w:tabs>
              <w:rPr>
                <w:sz w:val="20"/>
                <w:szCs w:val="20"/>
              </w:rPr>
            </w:pPr>
          </w:p>
        </w:tc>
      </w:tr>
    </w:tbl>
    <w:p w14:paraId="0875F75B" w14:textId="77777777" w:rsidR="00E210CC" w:rsidRDefault="00E210CC"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9F71B5" w:rsidRPr="00C5739B" w14:paraId="5EDB642F" w14:textId="77777777" w:rsidTr="00441924">
        <w:tc>
          <w:tcPr>
            <w:tcW w:w="12327" w:type="dxa"/>
            <w:gridSpan w:val="5"/>
            <w:shd w:val="clear" w:color="auto" w:fill="F3F3F3"/>
          </w:tcPr>
          <w:p w14:paraId="309F004D" w14:textId="77777777" w:rsidR="009F71B5" w:rsidRPr="00C5739B" w:rsidRDefault="009F71B5"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Pr>
                <w:b/>
                <w:sz w:val="20"/>
                <w:szCs w:val="20"/>
              </w:rPr>
              <w:t>10</w:t>
            </w:r>
            <w:r w:rsidRPr="00C5739B">
              <w:rPr>
                <w:b/>
                <w:sz w:val="20"/>
                <w:szCs w:val="20"/>
              </w:rPr>
              <w:t xml:space="preserve">. </w:t>
            </w:r>
            <w:r w:rsidRPr="009F71B5">
              <w:rPr>
                <w:b/>
                <w:i/>
                <w:iCs/>
                <w:sz w:val="20"/>
                <w:szCs w:val="20"/>
              </w:rPr>
              <w:t xml:space="preserve">Focus on Beneficiaries – </w:t>
            </w:r>
            <w:r w:rsidRPr="009F71B5">
              <w:rPr>
                <w:iCs/>
                <w:sz w:val="20"/>
                <w:szCs w:val="20"/>
              </w:rPr>
              <w:t>The project focuses mainly on institutions and communities as its beneficiaries. It would probably be effective in a small sized country to also focus on individuals as primary beneficiaries. This follows the need and project demand to change attitude and behavior towards using energy efficiency appliances. House orientation is of vital priority to installation of solar panels and purchasing of EE appliances. However, it is the decision of the individual that would cause a potential huge transformation to occur.</w:t>
            </w:r>
          </w:p>
        </w:tc>
      </w:tr>
      <w:tr w:rsidR="009F71B5" w:rsidRPr="00C5739B" w14:paraId="78568CA3" w14:textId="77777777" w:rsidTr="00441924">
        <w:tc>
          <w:tcPr>
            <w:tcW w:w="12327" w:type="dxa"/>
            <w:gridSpan w:val="5"/>
            <w:tcBorders>
              <w:top w:val="single" w:sz="4" w:space="0" w:color="auto"/>
              <w:bottom w:val="single" w:sz="6" w:space="0" w:color="auto"/>
            </w:tcBorders>
            <w:shd w:val="clear" w:color="auto" w:fill="F3F3F3"/>
          </w:tcPr>
          <w:p w14:paraId="219F5397" w14:textId="77777777" w:rsidR="009F71B5" w:rsidRPr="00C5739B" w:rsidRDefault="009F71B5" w:rsidP="00441924">
            <w:pPr>
              <w:tabs>
                <w:tab w:val="left" w:pos="1080"/>
              </w:tabs>
              <w:rPr>
                <w:sz w:val="20"/>
                <w:szCs w:val="20"/>
              </w:rPr>
            </w:pPr>
            <w:r w:rsidRPr="00C5739B">
              <w:rPr>
                <w:b/>
                <w:sz w:val="20"/>
                <w:szCs w:val="20"/>
              </w:rPr>
              <w:t>Management response</w:t>
            </w:r>
            <w:r w:rsidRPr="00C5739B">
              <w:rPr>
                <w:sz w:val="20"/>
                <w:szCs w:val="20"/>
              </w:rPr>
              <w:t xml:space="preserve">: </w:t>
            </w:r>
            <w:r w:rsidR="007C7E16" w:rsidRPr="00FB07A1">
              <w:rPr>
                <w:b/>
                <w:i/>
                <w:sz w:val="20"/>
                <w:szCs w:val="20"/>
              </w:rPr>
              <w:t>Disagree</w:t>
            </w:r>
            <w:r w:rsidR="007C7E16">
              <w:rPr>
                <w:sz w:val="20"/>
                <w:szCs w:val="20"/>
              </w:rPr>
              <w:t>. The Project uses a balanced approach to the engagement of beneficiaries whether they are institutions and communities or individual users of RE/EE devices. In fact, programs for the institutions and communities have been covered</w:t>
            </w:r>
            <w:r w:rsidR="006443D9">
              <w:rPr>
                <w:sz w:val="20"/>
                <w:szCs w:val="20"/>
              </w:rPr>
              <w:t xml:space="preserve"> by</w:t>
            </w:r>
            <w:r w:rsidR="007C7E16">
              <w:rPr>
                <w:sz w:val="20"/>
                <w:szCs w:val="20"/>
              </w:rPr>
              <w:t xml:space="preserve"> TEC’s bigger sized RE-based power supply programs. The Project used a 2015 household demand survey as basis for determining the energy needs of individual families and how they can be satisfied by RE and EE technologies. </w:t>
            </w:r>
            <w:r w:rsidR="006443D9">
              <w:rPr>
                <w:sz w:val="20"/>
                <w:szCs w:val="20"/>
              </w:rPr>
              <w:t xml:space="preserve">It also supported a gender survey including energy demand-related questions to determine the implication of gender in the selection and acquisition of RE and EE devices, considering that women are very much involved in domestic financial decisions.  </w:t>
            </w:r>
            <w:r w:rsidR="007C7E16">
              <w:rPr>
                <w:sz w:val="20"/>
                <w:szCs w:val="20"/>
              </w:rPr>
              <w:t xml:space="preserve">     </w:t>
            </w:r>
          </w:p>
        </w:tc>
      </w:tr>
      <w:tr w:rsidR="009F71B5" w:rsidRPr="00C5739B" w14:paraId="08573E4A"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2B5E3FAE" w14:textId="77777777" w:rsidR="009F71B5" w:rsidRPr="00C5739B" w:rsidRDefault="009F71B5"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59BDB06E" w14:textId="77777777" w:rsidR="009F71B5" w:rsidRPr="00C5739B" w:rsidRDefault="009F71B5"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5D264AF8" w14:textId="77777777" w:rsidR="009F71B5" w:rsidRPr="00C5739B" w:rsidRDefault="009F71B5"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2116F239" w14:textId="77777777" w:rsidR="009F71B5" w:rsidRPr="00C5739B" w:rsidRDefault="009F71B5" w:rsidP="00441924">
            <w:pPr>
              <w:tabs>
                <w:tab w:val="left" w:pos="1080"/>
              </w:tabs>
              <w:jc w:val="center"/>
              <w:rPr>
                <w:b/>
                <w:sz w:val="20"/>
                <w:szCs w:val="20"/>
              </w:rPr>
            </w:pPr>
            <w:r w:rsidRPr="00C5739B">
              <w:rPr>
                <w:b/>
                <w:sz w:val="20"/>
                <w:szCs w:val="20"/>
              </w:rPr>
              <w:t>Tracking</w:t>
            </w:r>
          </w:p>
        </w:tc>
      </w:tr>
      <w:tr w:rsidR="009F71B5" w:rsidRPr="00C5739B" w14:paraId="76509266"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15FD5E99" w14:textId="77777777" w:rsidR="009F71B5" w:rsidRPr="00C5739B" w:rsidRDefault="009F71B5"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3422D286" w14:textId="77777777" w:rsidR="009F71B5" w:rsidRPr="00C5739B" w:rsidRDefault="009F71B5"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36F32856" w14:textId="77777777" w:rsidR="009F71B5" w:rsidRPr="00C5739B" w:rsidRDefault="009F71B5"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295F33ED" w14:textId="77777777" w:rsidR="009F71B5" w:rsidRPr="00C5739B" w:rsidRDefault="009F71B5"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4457C5EB" w14:textId="77777777" w:rsidR="009F71B5" w:rsidRPr="00C5739B" w:rsidRDefault="009F71B5" w:rsidP="00441924">
            <w:pPr>
              <w:tabs>
                <w:tab w:val="left" w:pos="1080"/>
              </w:tabs>
              <w:jc w:val="center"/>
              <w:rPr>
                <w:b/>
                <w:sz w:val="20"/>
                <w:szCs w:val="20"/>
              </w:rPr>
            </w:pPr>
            <w:r w:rsidRPr="00C5739B">
              <w:rPr>
                <w:b/>
                <w:sz w:val="20"/>
                <w:szCs w:val="20"/>
              </w:rPr>
              <w:t>Status</w:t>
            </w:r>
          </w:p>
        </w:tc>
      </w:tr>
      <w:tr w:rsidR="009F71B5" w:rsidRPr="00C5739B" w14:paraId="7CA00A13" w14:textId="77777777" w:rsidTr="00441924">
        <w:tc>
          <w:tcPr>
            <w:tcW w:w="4374" w:type="dxa"/>
            <w:tcBorders>
              <w:top w:val="single" w:sz="6" w:space="0" w:color="auto"/>
              <w:bottom w:val="single" w:sz="6" w:space="0" w:color="auto"/>
              <w:right w:val="single" w:sz="6" w:space="0" w:color="auto"/>
            </w:tcBorders>
          </w:tcPr>
          <w:p w14:paraId="0C0D3E95" w14:textId="042E9330" w:rsidR="009F71B5" w:rsidRPr="00C5739B" w:rsidRDefault="002D5C73" w:rsidP="00441924">
            <w:pPr>
              <w:tabs>
                <w:tab w:val="left" w:pos="1080"/>
              </w:tabs>
              <w:rPr>
                <w:sz w:val="20"/>
                <w:szCs w:val="20"/>
              </w:rPr>
            </w:pPr>
            <w:r>
              <w:rPr>
                <w:sz w:val="20"/>
                <w:szCs w:val="20"/>
              </w:rPr>
              <w:lastRenderedPageBreak/>
              <w:t>10</w:t>
            </w:r>
            <w:r w:rsidR="009F71B5" w:rsidRPr="00C5739B">
              <w:rPr>
                <w:sz w:val="20"/>
                <w:szCs w:val="20"/>
              </w:rPr>
              <w:t xml:space="preserve">.1 </w:t>
            </w:r>
            <w:r w:rsidR="006443D9">
              <w:rPr>
                <w:sz w:val="20"/>
                <w:szCs w:val="20"/>
              </w:rPr>
              <w:t xml:space="preserve">Updating of the household survey and determining the patterns of energy supply and demand at the individual household level and factoring in the gender implications in RE/EE </w:t>
            </w:r>
            <w:proofErr w:type="gramStart"/>
            <w:r w:rsidR="006443D9">
              <w:rPr>
                <w:sz w:val="20"/>
                <w:szCs w:val="20"/>
              </w:rPr>
              <w:t>applications</w:t>
            </w:r>
            <w:r w:rsidR="00E02EE9">
              <w:rPr>
                <w:sz w:val="20"/>
                <w:szCs w:val="20"/>
              </w:rPr>
              <w:t xml:space="preserve"> .</w:t>
            </w:r>
            <w:proofErr w:type="gramEnd"/>
            <w:r w:rsidR="00E02EE9">
              <w:rPr>
                <w:sz w:val="20"/>
                <w:szCs w:val="20"/>
              </w:rPr>
              <w:t xml:space="preserve"> The results will contribute </w:t>
            </w:r>
            <w:proofErr w:type="gramStart"/>
            <w:r w:rsidR="00E02EE9">
              <w:rPr>
                <w:sz w:val="20"/>
                <w:szCs w:val="20"/>
              </w:rPr>
              <w:t>in</w:t>
            </w:r>
            <w:proofErr w:type="gramEnd"/>
            <w:r w:rsidR="00E02EE9">
              <w:rPr>
                <w:sz w:val="20"/>
                <w:szCs w:val="20"/>
              </w:rPr>
              <w:t xml:space="preserve"> refining Output 1.5. </w:t>
            </w:r>
          </w:p>
        </w:tc>
        <w:tc>
          <w:tcPr>
            <w:tcW w:w="2916" w:type="dxa"/>
            <w:tcBorders>
              <w:top w:val="single" w:sz="6" w:space="0" w:color="auto"/>
              <w:left w:val="single" w:sz="6" w:space="0" w:color="auto"/>
              <w:bottom w:val="single" w:sz="6" w:space="0" w:color="auto"/>
              <w:right w:val="single" w:sz="6" w:space="0" w:color="auto"/>
            </w:tcBorders>
          </w:tcPr>
          <w:p w14:paraId="7326806A" w14:textId="78FD67C0" w:rsidR="009F71B5" w:rsidRPr="00C5739B" w:rsidRDefault="00C4070F" w:rsidP="00441924">
            <w:pPr>
              <w:tabs>
                <w:tab w:val="left" w:pos="1080"/>
              </w:tabs>
              <w:rPr>
                <w:sz w:val="20"/>
                <w:szCs w:val="20"/>
              </w:rPr>
            </w:pPr>
            <w:r>
              <w:rPr>
                <w:sz w:val="20"/>
                <w:szCs w:val="20"/>
              </w:rPr>
              <w:t>October</w:t>
            </w:r>
            <w:r w:rsidR="00EA5C89">
              <w:rPr>
                <w:sz w:val="20"/>
                <w:szCs w:val="20"/>
              </w:rPr>
              <w:t xml:space="preserve"> 2021</w:t>
            </w:r>
          </w:p>
        </w:tc>
        <w:tc>
          <w:tcPr>
            <w:tcW w:w="2600" w:type="dxa"/>
            <w:tcBorders>
              <w:top w:val="single" w:sz="6" w:space="0" w:color="auto"/>
              <w:left w:val="single" w:sz="6" w:space="0" w:color="auto"/>
              <w:bottom w:val="single" w:sz="6" w:space="0" w:color="auto"/>
              <w:right w:val="single" w:sz="6" w:space="0" w:color="auto"/>
            </w:tcBorders>
          </w:tcPr>
          <w:p w14:paraId="27195BBE" w14:textId="2C822005" w:rsidR="009F71B5" w:rsidRPr="00C5739B" w:rsidRDefault="00EA5C89" w:rsidP="00441924">
            <w:pPr>
              <w:tabs>
                <w:tab w:val="left" w:pos="1080"/>
              </w:tabs>
              <w:rPr>
                <w:sz w:val="20"/>
                <w:szCs w:val="20"/>
              </w:rPr>
            </w:pPr>
            <w:r>
              <w:rPr>
                <w:sz w:val="20"/>
                <w:szCs w:val="20"/>
              </w:rPr>
              <w:t>PMU, MTET/DOE</w:t>
            </w:r>
            <w:r w:rsidR="00C4070F">
              <w:rPr>
                <w:sz w:val="20"/>
                <w:szCs w:val="20"/>
              </w:rPr>
              <w:t xml:space="preserve"> (Lead)</w:t>
            </w:r>
            <w:r>
              <w:rPr>
                <w:sz w:val="20"/>
                <w:szCs w:val="20"/>
              </w:rPr>
              <w:t>, TEC</w:t>
            </w:r>
          </w:p>
        </w:tc>
        <w:tc>
          <w:tcPr>
            <w:tcW w:w="1252" w:type="dxa"/>
            <w:tcBorders>
              <w:top w:val="single" w:sz="6" w:space="0" w:color="auto"/>
              <w:left w:val="single" w:sz="6" w:space="0" w:color="auto"/>
              <w:bottom w:val="single" w:sz="6" w:space="0" w:color="auto"/>
              <w:right w:val="single" w:sz="6" w:space="0" w:color="auto"/>
            </w:tcBorders>
          </w:tcPr>
          <w:p w14:paraId="12E15DF8"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6ADEB3AE" w14:textId="77777777" w:rsidR="009F71B5" w:rsidRPr="00C5739B" w:rsidRDefault="009F71B5" w:rsidP="00441924">
            <w:pPr>
              <w:tabs>
                <w:tab w:val="left" w:pos="1080"/>
              </w:tabs>
              <w:rPr>
                <w:sz w:val="20"/>
                <w:szCs w:val="20"/>
              </w:rPr>
            </w:pPr>
          </w:p>
        </w:tc>
      </w:tr>
      <w:tr w:rsidR="009F71B5" w:rsidRPr="00C5739B" w14:paraId="1D593534" w14:textId="77777777" w:rsidTr="00441924">
        <w:tc>
          <w:tcPr>
            <w:tcW w:w="4374" w:type="dxa"/>
            <w:tcBorders>
              <w:top w:val="single" w:sz="6" w:space="0" w:color="auto"/>
              <w:bottom w:val="single" w:sz="6" w:space="0" w:color="auto"/>
              <w:right w:val="single" w:sz="6" w:space="0" w:color="auto"/>
            </w:tcBorders>
          </w:tcPr>
          <w:p w14:paraId="22AF8273" w14:textId="17132F9E" w:rsidR="009F71B5" w:rsidRPr="00C5739B" w:rsidRDefault="002D5C73" w:rsidP="00441924">
            <w:pPr>
              <w:tabs>
                <w:tab w:val="left" w:pos="1080"/>
              </w:tabs>
              <w:rPr>
                <w:sz w:val="20"/>
                <w:szCs w:val="20"/>
              </w:rPr>
            </w:pPr>
            <w:r>
              <w:rPr>
                <w:sz w:val="20"/>
                <w:szCs w:val="20"/>
              </w:rPr>
              <w:t>10</w:t>
            </w:r>
            <w:r w:rsidR="009F71B5" w:rsidRPr="00C5739B">
              <w:rPr>
                <w:sz w:val="20"/>
                <w:szCs w:val="20"/>
              </w:rPr>
              <w:t xml:space="preserve">.2 </w:t>
            </w:r>
            <w:r w:rsidR="006443D9">
              <w:rPr>
                <w:sz w:val="20"/>
                <w:szCs w:val="20"/>
              </w:rPr>
              <w:t xml:space="preserve">Determination of the appropriate strategy to encourage the institutions and </w:t>
            </w:r>
            <w:r w:rsidR="00EA5C89">
              <w:rPr>
                <w:sz w:val="20"/>
                <w:szCs w:val="20"/>
              </w:rPr>
              <w:t>communities as well as</w:t>
            </w:r>
            <w:r w:rsidR="006443D9">
              <w:rPr>
                <w:sz w:val="20"/>
                <w:szCs w:val="20"/>
              </w:rPr>
              <w:t xml:space="preserve"> individual beneficiaries in adopting RE and EE </w:t>
            </w:r>
          </w:p>
        </w:tc>
        <w:tc>
          <w:tcPr>
            <w:tcW w:w="2916" w:type="dxa"/>
            <w:tcBorders>
              <w:top w:val="single" w:sz="6" w:space="0" w:color="auto"/>
              <w:left w:val="single" w:sz="6" w:space="0" w:color="auto"/>
              <w:bottom w:val="single" w:sz="6" w:space="0" w:color="auto"/>
              <w:right w:val="single" w:sz="6" w:space="0" w:color="auto"/>
            </w:tcBorders>
          </w:tcPr>
          <w:p w14:paraId="422C3FE2" w14:textId="56168508" w:rsidR="009F71B5" w:rsidRPr="00C5739B" w:rsidRDefault="00EA5C89"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369B8D3B" w14:textId="38FA6C6F" w:rsidR="009F71B5" w:rsidRPr="00C5739B" w:rsidRDefault="00EA5C89" w:rsidP="00441924">
            <w:pPr>
              <w:tabs>
                <w:tab w:val="left" w:pos="1080"/>
              </w:tabs>
              <w:rPr>
                <w:sz w:val="20"/>
                <w:szCs w:val="20"/>
              </w:rPr>
            </w:pPr>
            <w:r>
              <w:rPr>
                <w:sz w:val="20"/>
                <w:szCs w:val="20"/>
              </w:rPr>
              <w:t>PMU, MTET/DOE</w:t>
            </w:r>
            <w:r w:rsidR="00C4070F">
              <w:rPr>
                <w:sz w:val="20"/>
                <w:szCs w:val="20"/>
              </w:rPr>
              <w:t xml:space="preserve"> (Lead)</w:t>
            </w:r>
            <w:r>
              <w:rPr>
                <w:sz w:val="20"/>
                <w:szCs w:val="20"/>
              </w:rPr>
              <w:t>, TEC</w:t>
            </w:r>
          </w:p>
        </w:tc>
        <w:tc>
          <w:tcPr>
            <w:tcW w:w="1252" w:type="dxa"/>
            <w:tcBorders>
              <w:top w:val="single" w:sz="6" w:space="0" w:color="auto"/>
              <w:left w:val="single" w:sz="6" w:space="0" w:color="auto"/>
              <w:bottom w:val="single" w:sz="6" w:space="0" w:color="auto"/>
              <w:right w:val="single" w:sz="6" w:space="0" w:color="auto"/>
            </w:tcBorders>
          </w:tcPr>
          <w:p w14:paraId="0885D8E5"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11DE6F1C" w14:textId="77777777" w:rsidR="009F71B5" w:rsidRPr="00C5739B" w:rsidRDefault="009F71B5" w:rsidP="00441924">
            <w:pPr>
              <w:tabs>
                <w:tab w:val="left" w:pos="1080"/>
              </w:tabs>
              <w:rPr>
                <w:sz w:val="20"/>
                <w:szCs w:val="20"/>
              </w:rPr>
            </w:pPr>
          </w:p>
        </w:tc>
      </w:tr>
      <w:tr w:rsidR="009F71B5" w:rsidRPr="00C5739B" w14:paraId="4CCE2F8C" w14:textId="77777777" w:rsidTr="00441924">
        <w:tc>
          <w:tcPr>
            <w:tcW w:w="4374" w:type="dxa"/>
            <w:tcBorders>
              <w:top w:val="single" w:sz="6" w:space="0" w:color="auto"/>
              <w:bottom w:val="single" w:sz="4" w:space="0" w:color="auto"/>
              <w:right w:val="single" w:sz="6" w:space="0" w:color="auto"/>
            </w:tcBorders>
          </w:tcPr>
          <w:p w14:paraId="025ACFEE" w14:textId="77777777" w:rsidR="009F71B5" w:rsidRPr="00C5739B" w:rsidRDefault="002D5C73" w:rsidP="00441924">
            <w:pPr>
              <w:tabs>
                <w:tab w:val="left" w:pos="1080"/>
              </w:tabs>
              <w:rPr>
                <w:sz w:val="20"/>
                <w:szCs w:val="20"/>
              </w:rPr>
            </w:pPr>
            <w:r>
              <w:rPr>
                <w:sz w:val="20"/>
                <w:szCs w:val="20"/>
              </w:rPr>
              <w:t>10</w:t>
            </w:r>
            <w:r w:rsidR="009F71B5" w:rsidRPr="00C5739B">
              <w:rPr>
                <w:sz w:val="20"/>
                <w:szCs w:val="20"/>
              </w:rPr>
              <w:t>.3</w:t>
            </w:r>
            <w:r w:rsidR="00EA5C89">
              <w:rPr>
                <w:sz w:val="20"/>
                <w:szCs w:val="20"/>
              </w:rPr>
              <w:t xml:space="preserve"> Assessment and development of incentive mechanisms suitable for each type of beneficiaries. </w:t>
            </w:r>
          </w:p>
        </w:tc>
        <w:tc>
          <w:tcPr>
            <w:tcW w:w="2916" w:type="dxa"/>
            <w:tcBorders>
              <w:top w:val="single" w:sz="6" w:space="0" w:color="auto"/>
              <w:left w:val="single" w:sz="6" w:space="0" w:color="auto"/>
              <w:bottom w:val="single" w:sz="4" w:space="0" w:color="auto"/>
              <w:right w:val="single" w:sz="6" w:space="0" w:color="auto"/>
            </w:tcBorders>
          </w:tcPr>
          <w:p w14:paraId="70E78E3D" w14:textId="7A1EA0B5" w:rsidR="009F71B5" w:rsidRPr="00C5739B" w:rsidDel="0081599E" w:rsidRDefault="00EA5C89"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4" w:space="0" w:color="auto"/>
              <w:right w:val="single" w:sz="6" w:space="0" w:color="auto"/>
            </w:tcBorders>
          </w:tcPr>
          <w:p w14:paraId="7E489D84" w14:textId="04083D6A" w:rsidR="009F71B5" w:rsidRPr="00C5739B" w:rsidDel="0081599E" w:rsidRDefault="00EA5C89" w:rsidP="00441924">
            <w:pPr>
              <w:tabs>
                <w:tab w:val="left" w:pos="1080"/>
              </w:tabs>
              <w:rPr>
                <w:sz w:val="20"/>
                <w:szCs w:val="20"/>
              </w:rPr>
            </w:pPr>
            <w:r>
              <w:rPr>
                <w:sz w:val="20"/>
                <w:szCs w:val="20"/>
              </w:rPr>
              <w:t>PMU, MTET/DOE</w:t>
            </w:r>
            <w:r w:rsidR="00C4070F">
              <w:rPr>
                <w:sz w:val="20"/>
                <w:szCs w:val="20"/>
              </w:rPr>
              <w:t xml:space="preserve"> (Lead)</w:t>
            </w:r>
            <w:r>
              <w:rPr>
                <w:sz w:val="20"/>
                <w:szCs w:val="20"/>
              </w:rPr>
              <w:t xml:space="preserve">, TEC,  </w:t>
            </w:r>
          </w:p>
        </w:tc>
        <w:tc>
          <w:tcPr>
            <w:tcW w:w="1252" w:type="dxa"/>
            <w:tcBorders>
              <w:top w:val="single" w:sz="6" w:space="0" w:color="auto"/>
              <w:left w:val="single" w:sz="6" w:space="0" w:color="auto"/>
              <w:bottom w:val="single" w:sz="4" w:space="0" w:color="auto"/>
              <w:right w:val="single" w:sz="6" w:space="0" w:color="auto"/>
            </w:tcBorders>
          </w:tcPr>
          <w:p w14:paraId="42CFBC53"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3678A13B" w14:textId="77777777" w:rsidR="009F71B5" w:rsidRPr="00C5739B" w:rsidRDefault="009F71B5" w:rsidP="00441924">
            <w:pPr>
              <w:tabs>
                <w:tab w:val="left" w:pos="1080"/>
              </w:tabs>
              <w:rPr>
                <w:sz w:val="20"/>
                <w:szCs w:val="20"/>
              </w:rPr>
            </w:pPr>
          </w:p>
        </w:tc>
      </w:tr>
    </w:tbl>
    <w:p w14:paraId="1D02E2E8" w14:textId="77777777" w:rsidR="00F939EA" w:rsidRPr="004A03FB" w:rsidRDefault="00F939EA">
      <w:pPr>
        <w:rPr>
          <w:u w:val="single"/>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2916"/>
        <w:gridCol w:w="2600"/>
        <w:gridCol w:w="1252"/>
        <w:gridCol w:w="1185"/>
      </w:tblGrid>
      <w:tr w:rsidR="009F71B5" w:rsidRPr="00C5739B" w14:paraId="0E1E266B" w14:textId="77777777" w:rsidTr="004D0D39">
        <w:trPr>
          <w:trHeight w:val="913"/>
        </w:trPr>
        <w:tc>
          <w:tcPr>
            <w:tcW w:w="12327" w:type="dxa"/>
            <w:gridSpan w:val="5"/>
            <w:shd w:val="clear" w:color="auto" w:fill="F3F3F3"/>
          </w:tcPr>
          <w:p w14:paraId="12C797FB" w14:textId="4B28B026" w:rsidR="009F71B5" w:rsidRPr="00C5739B" w:rsidRDefault="009F71B5"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sidR="002D5C73">
              <w:rPr>
                <w:b/>
                <w:sz w:val="20"/>
                <w:szCs w:val="20"/>
              </w:rPr>
              <w:t>11</w:t>
            </w:r>
            <w:r w:rsidRPr="00C5739B">
              <w:rPr>
                <w:b/>
                <w:sz w:val="20"/>
                <w:szCs w:val="20"/>
              </w:rPr>
              <w:t xml:space="preserve">. </w:t>
            </w:r>
            <w:r w:rsidR="002D5C73" w:rsidRPr="002D5C73">
              <w:rPr>
                <w:b/>
                <w:i/>
                <w:iCs/>
                <w:sz w:val="20"/>
                <w:szCs w:val="20"/>
              </w:rPr>
              <w:t xml:space="preserve">Installation of solar PV on institutions and school buildings – </w:t>
            </w:r>
            <w:r w:rsidR="002D5C73" w:rsidRPr="002D5C73">
              <w:rPr>
                <w:iCs/>
                <w:sz w:val="20"/>
                <w:szCs w:val="20"/>
              </w:rPr>
              <w:t>The majority of institutions and school buildings on Fongafale (main island of Funafuti with highest demand of consumption) do not have solar PV installed. These include the Right Honourable Dr. Sir Tomasi Puapua Convention Centre, Local Government of Funafuti, the Government hall – Tulaakiga, Nauti Primary School, and all the island communit</w:t>
            </w:r>
            <w:r w:rsidR="00D8502F">
              <w:rPr>
                <w:iCs/>
                <w:sz w:val="20"/>
                <w:szCs w:val="20"/>
              </w:rPr>
              <w:t>y</w:t>
            </w:r>
            <w:r w:rsidR="002D5C73" w:rsidRPr="002D5C73">
              <w:rPr>
                <w:iCs/>
                <w:sz w:val="20"/>
                <w:szCs w:val="20"/>
              </w:rPr>
              <w:t xml:space="preserve"> halls. Despite the investment in floating solar panels, project funding (including government counterpart financing) should be able to cover this.</w:t>
            </w:r>
          </w:p>
        </w:tc>
      </w:tr>
      <w:tr w:rsidR="009F71B5" w:rsidRPr="00C5739B" w14:paraId="6A96A537" w14:textId="77777777" w:rsidTr="00441924">
        <w:tc>
          <w:tcPr>
            <w:tcW w:w="12327" w:type="dxa"/>
            <w:gridSpan w:val="5"/>
            <w:tcBorders>
              <w:top w:val="single" w:sz="4" w:space="0" w:color="auto"/>
              <w:bottom w:val="single" w:sz="6" w:space="0" w:color="auto"/>
            </w:tcBorders>
            <w:shd w:val="clear" w:color="auto" w:fill="F3F3F3"/>
          </w:tcPr>
          <w:p w14:paraId="35B48D1F" w14:textId="77777777" w:rsidR="009F71B5" w:rsidRPr="00C5739B" w:rsidRDefault="009F71B5" w:rsidP="00441924">
            <w:pPr>
              <w:tabs>
                <w:tab w:val="left" w:pos="1080"/>
              </w:tabs>
              <w:rPr>
                <w:sz w:val="20"/>
                <w:szCs w:val="20"/>
              </w:rPr>
            </w:pPr>
            <w:r w:rsidRPr="00C5739B">
              <w:rPr>
                <w:b/>
                <w:sz w:val="20"/>
                <w:szCs w:val="20"/>
              </w:rPr>
              <w:t>Management response</w:t>
            </w:r>
            <w:r w:rsidRPr="00C5739B">
              <w:rPr>
                <w:sz w:val="20"/>
                <w:szCs w:val="20"/>
              </w:rPr>
              <w:t xml:space="preserve">: </w:t>
            </w:r>
            <w:r w:rsidR="004D0D39" w:rsidRPr="004D0D39">
              <w:rPr>
                <w:b/>
                <w:i/>
                <w:sz w:val="20"/>
                <w:szCs w:val="20"/>
              </w:rPr>
              <w:t>Agree</w:t>
            </w:r>
            <w:r w:rsidR="004D0D39">
              <w:rPr>
                <w:sz w:val="20"/>
                <w:szCs w:val="20"/>
              </w:rPr>
              <w:t xml:space="preserve">. </w:t>
            </w:r>
            <w:r w:rsidR="00EA5C89">
              <w:rPr>
                <w:sz w:val="20"/>
                <w:szCs w:val="20"/>
              </w:rPr>
              <w:t>Considering the Management Response in #8 and #9</w:t>
            </w:r>
            <w:r w:rsidR="00883FAA">
              <w:rPr>
                <w:sz w:val="20"/>
                <w:szCs w:val="20"/>
              </w:rPr>
              <w:t xml:space="preserve"> as</w:t>
            </w:r>
            <w:r w:rsidR="00EA5C89">
              <w:rPr>
                <w:sz w:val="20"/>
                <w:szCs w:val="20"/>
              </w:rPr>
              <w:t xml:space="preserve"> the financial models, incentives and technical assistance </w:t>
            </w:r>
            <w:r w:rsidR="00883FAA">
              <w:rPr>
                <w:sz w:val="20"/>
                <w:szCs w:val="20"/>
              </w:rPr>
              <w:t xml:space="preserve">are determined by </w:t>
            </w:r>
            <w:r w:rsidR="00EA5C89">
              <w:rPr>
                <w:sz w:val="20"/>
                <w:szCs w:val="20"/>
              </w:rPr>
              <w:t xml:space="preserve">the Project, the installations and available funding (from DBT or from individual resources) </w:t>
            </w:r>
            <w:r w:rsidR="00883FAA">
              <w:rPr>
                <w:sz w:val="20"/>
                <w:szCs w:val="20"/>
              </w:rPr>
              <w:t>for installation of Solar PV facilities in institutions and school buildings</w:t>
            </w:r>
            <w:r w:rsidR="00EA5C89">
              <w:rPr>
                <w:sz w:val="20"/>
                <w:szCs w:val="20"/>
              </w:rPr>
              <w:t xml:space="preserve"> </w:t>
            </w:r>
            <w:r w:rsidR="00883FAA">
              <w:rPr>
                <w:sz w:val="20"/>
                <w:szCs w:val="20"/>
              </w:rPr>
              <w:t>will be encouraged</w:t>
            </w:r>
            <w:r w:rsidR="004D0D39">
              <w:rPr>
                <w:sz w:val="20"/>
                <w:szCs w:val="20"/>
              </w:rPr>
              <w:t xml:space="preserve"> </w:t>
            </w:r>
          </w:p>
        </w:tc>
      </w:tr>
      <w:tr w:rsidR="009F71B5" w:rsidRPr="00C5739B" w14:paraId="3119A0A7" w14:textId="77777777" w:rsidTr="00441924">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304D2FB5" w14:textId="77777777" w:rsidR="009F71B5" w:rsidRPr="00C5739B" w:rsidRDefault="009F71B5" w:rsidP="00441924">
            <w:pPr>
              <w:tabs>
                <w:tab w:val="left" w:pos="1080"/>
              </w:tabs>
              <w:jc w:val="center"/>
              <w:rPr>
                <w:b/>
                <w:sz w:val="20"/>
                <w:szCs w:val="20"/>
              </w:rPr>
            </w:pPr>
            <w:r w:rsidRPr="00C5739B">
              <w:rPr>
                <w:b/>
                <w:sz w:val="20"/>
                <w:szCs w:val="20"/>
              </w:rPr>
              <w:t>Key action(s)</w:t>
            </w:r>
          </w:p>
        </w:tc>
        <w:tc>
          <w:tcPr>
            <w:tcW w:w="2916" w:type="dxa"/>
            <w:vMerge w:val="restart"/>
            <w:tcBorders>
              <w:top w:val="single" w:sz="6" w:space="0" w:color="auto"/>
              <w:left w:val="single" w:sz="6" w:space="0" w:color="auto"/>
              <w:bottom w:val="single" w:sz="6" w:space="0" w:color="auto"/>
              <w:right w:val="single" w:sz="6" w:space="0" w:color="auto"/>
            </w:tcBorders>
            <w:shd w:val="clear" w:color="auto" w:fill="F3F3F3"/>
          </w:tcPr>
          <w:p w14:paraId="1C2C0ED8" w14:textId="77777777" w:rsidR="009F71B5" w:rsidRPr="00C5739B" w:rsidRDefault="009F71B5" w:rsidP="00441924">
            <w:pPr>
              <w:tabs>
                <w:tab w:val="left" w:pos="1080"/>
              </w:tabs>
              <w:jc w:val="center"/>
              <w:rPr>
                <w:b/>
                <w:sz w:val="20"/>
                <w:szCs w:val="20"/>
              </w:rPr>
            </w:pPr>
            <w:r w:rsidRPr="00C5739B">
              <w:rPr>
                <w:b/>
                <w:sz w:val="20"/>
                <w:szCs w:val="20"/>
              </w:rPr>
              <w:t>Time frame</w:t>
            </w:r>
          </w:p>
        </w:tc>
        <w:tc>
          <w:tcPr>
            <w:tcW w:w="2600" w:type="dxa"/>
            <w:vMerge w:val="restart"/>
            <w:tcBorders>
              <w:top w:val="single" w:sz="6" w:space="0" w:color="auto"/>
              <w:left w:val="single" w:sz="6" w:space="0" w:color="auto"/>
              <w:bottom w:val="single" w:sz="6" w:space="0" w:color="auto"/>
              <w:right w:val="single" w:sz="6" w:space="0" w:color="auto"/>
            </w:tcBorders>
            <w:shd w:val="clear" w:color="auto" w:fill="F3F3F3"/>
          </w:tcPr>
          <w:p w14:paraId="61423102" w14:textId="77777777" w:rsidR="009F71B5" w:rsidRPr="00C5739B" w:rsidRDefault="009F71B5" w:rsidP="00441924">
            <w:pPr>
              <w:tabs>
                <w:tab w:val="left" w:pos="1080"/>
              </w:tabs>
              <w:jc w:val="center"/>
              <w:rPr>
                <w:b/>
                <w:sz w:val="20"/>
                <w:szCs w:val="20"/>
              </w:rPr>
            </w:pPr>
            <w:r w:rsidRPr="00C5739B">
              <w:rPr>
                <w:b/>
                <w:sz w:val="20"/>
                <w:szCs w:val="20"/>
              </w:rPr>
              <w:t>Responsible unit(s)</w:t>
            </w:r>
          </w:p>
        </w:tc>
        <w:tc>
          <w:tcPr>
            <w:tcW w:w="2437" w:type="dxa"/>
            <w:gridSpan w:val="2"/>
            <w:tcBorders>
              <w:top w:val="single" w:sz="6" w:space="0" w:color="auto"/>
              <w:left w:val="single" w:sz="6" w:space="0" w:color="auto"/>
              <w:bottom w:val="single" w:sz="6" w:space="0" w:color="auto"/>
            </w:tcBorders>
            <w:shd w:val="clear" w:color="auto" w:fill="F3F3F3"/>
          </w:tcPr>
          <w:p w14:paraId="435F10F0" w14:textId="77777777" w:rsidR="009F71B5" w:rsidRPr="00C5739B" w:rsidRDefault="009F71B5" w:rsidP="00441924">
            <w:pPr>
              <w:tabs>
                <w:tab w:val="left" w:pos="1080"/>
              </w:tabs>
              <w:jc w:val="center"/>
              <w:rPr>
                <w:b/>
                <w:sz w:val="20"/>
                <w:szCs w:val="20"/>
              </w:rPr>
            </w:pPr>
            <w:r w:rsidRPr="00C5739B">
              <w:rPr>
                <w:b/>
                <w:sz w:val="20"/>
                <w:szCs w:val="20"/>
              </w:rPr>
              <w:t>Tracking</w:t>
            </w:r>
          </w:p>
        </w:tc>
      </w:tr>
      <w:tr w:rsidR="009F71B5" w:rsidRPr="00C5739B" w14:paraId="0DAB1B0D" w14:textId="77777777" w:rsidTr="00441924">
        <w:trPr>
          <w:trHeight w:val="135"/>
        </w:trPr>
        <w:tc>
          <w:tcPr>
            <w:tcW w:w="4374" w:type="dxa"/>
            <w:vMerge/>
            <w:tcBorders>
              <w:top w:val="single" w:sz="6" w:space="0" w:color="auto"/>
              <w:bottom w:val="single" w:sz="6" w:space="0" w:color="auto"/>
              <w:right w:val="single" w:sz="6" w:space="0" w:color="auto"/>
            </w:tcBorders>
            <w:shd w:val="clear" w:color="auto" w:fill="F3F3F3"/>
          </w:tcPr>
          <w:p w14:paraId="3F34FBDD" w14:textId="77777777" w:rsidR="009F71B5" w:rsidRPr="00C5739B" w:rsidRDefault="009F71B5" w:rsidP="00441924">
            <w:pPr>
              <w:tabs>
                <w:tab w:val="left" w:pos="1080"/>
              </w:tabs>
              <w:rPr>
                <w:sz w:val="20"/>
                <w:szCs w:val="20"/>
              </w:rPr>
            </w:pPr>
          </w:p>
        </w:tc>
        <w:tc>
          <w:tcPr>
            <w:tcW w:w="2916" w:type="dxa"/>
            <w:vMerge/>
            <w:tcBorders>
              <w:top w:val="single" w:sz="6" w:space="0" w:color="auto"/>
              <w:left w:val="single" w:sz="6" w:space="0" w:color="auto"/>
              <w:bottom w:val="single" w:sz="6" w:space="0" w:color="auto"/>
              <w:right w:val="single" w:sz="6" w:space="0" w:color="auto"/>
            </w:tcBorders>
            <w:shd w:val="clear" w:color="auto" w:fill="F3F3F3"/>
          </w:tcPr>
          <w:p w14:paraId="6EAF14EA" w14:textId="77777777" w:rsidR="009F71B5" w:rsidRPr="00C5739B" w:rsidRDefault="009F71B5" w:rsidP="00441924">
            <w:pPr>
              <w:tabs>
                <w:tab w:val="left" w:pos="1080"/>
              </w:tabs>
              <w:rPr>
                <w:b/>
                <w:sz w:val="20"/>
                <w:szCs w:val="20"/>
              </w:rPr>
            </w:pPr>
          </w:p>
        </w:tc>
        <w:tc>
          <w:tcPr>
            <w:tcW w:w="2600" w:type="dxa"/>
            <w:vMerge/>
            <w:tcBorders>
              <w:top w:val="single" w:sz="6" w:space="0" w:color="auto"/>
              <w:left w:val="single" w:sz="6" w:space="0" w:color="auto"/>
              <w:bottom w:val="single" w:sz="6" w:space="0" w:color="auto"/>
              <w:right w:val="single" w:sz="6" w:space="0" w:color="auto"/>
            </w:tcBorders>
            <w:shd w:val="clear" w:color="auto" w:fill="F3F3F3"/>
          </w:tcPr>
          <w:p w14:paraId="4DC247B9" w14:textId="77777777" w:rsidR="009F71B5" w:rsidRPr="00C5739B" w:rsidRDefault="009F71B5" w:rsidP="00441924">
            <w:pPr>
              <w:tabs>
                <w:tab w:val="left" w:pos="1080"/>
              </w:tabs>
              <w:rPr>
                <w:b/>
                <w:sz w:val="20"/>
                <w:szCs w:val="20"/>
              </w:rPr>
            </w:pPr>
          </w:p>
        </w:tc>
        <w:tc>
          <w:tcPr>
            <w:tcW w:w="1252" w:type="dxa"/>
            <w:tcBorders>
              <w:top w:val="single" w:sz="6" w:space="0" w:color="auto"/>
              <w:left w:val="single" w:sz="6" w:space="0" w:color="auto"/>
              <w:bottom w:val="single" w:sz="6" w:space="0" w:color="auto"/>
              <w:right w:val="single" w:sz="6" w:space="0" w:color="auto"/>
            </w:tcBorders>
          </w:tcPr>
          <w:p w14:paraId="314661A5" w14:textId="77777777" w:rsidR="009F71B5" w:rsidRPr="00C5739B" w:rsidRDefault="009F71B5"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741CBDD2" w14:textId="77777777" w:rsidR="009F71B5" w:rsidRPr="00C5739B" w:rsidRDefault="009F71B5" w:rsidP="00441924">
            <w:pPr>
              <w:tabs>
                <w:tab w:val="left" w:pos="1080"/>
              </w:tabs>
              <w:jc w:val="center"/>
              <w:rPr>
                <w:b/>
                <w:sz w:val="20"/>
                <w:szCs w:val="20"/>
              </w:rPr>
            </w:pPr>
            <w:r w:rsidRPr="00C5739B">
              <w:rPr>
                <w:b/>
                <w:sz w:val="20"/>
                <w:szCs w:val="20"/>
              </w:rPr>
              <w:t>Status</w:t>
            </w:r>
          </w:p>
        </w:tc>
      </w:tr>
      <w:tr w:rsidR="009F71B5" w:rsidRPr="00C5739B" w14:paraId="4AA3632C" w14:textId="77777777" w:rsidTr="00441924">
        <w:tc>
          <w:tcPr>
            <w:tcW w:w="4374" w:type="dxa"/>
            <w:tcBorders>
              <w:top w:val="single" w:sz="6" w:space="0" w:color="auto"/>
              <w:bottom w:val="single" w:sz="6" w:space="0" w:color="auto"/>
              <w:right w:val="single" w:sz="6" w:space="0" w:color="auto"/>
            </w:tcBorders>
          </w:tcPr>
          <w:p w14:paraId="78397BA4" w14:textId="77777777" w:rsidR="009F71B5" w:rsidRPr="00C5739B" w:rsidRDefault="002D5C73" w:rsidP="00441924">
            <w:pPr>
              <w:tabs>
                <w:tab w:val="left" w:pos="1080"/>
              </w:tabs>
              <w:rPr>
                <w:sz w:val="20"/>
                <w:szCs w:val="20"/>
              </w:rPr>
            </w:pPr>
            <w:r>
              <w:rPr>
                <w:sz w:val="20"/>
                <w:szCs w:val="20"/>
              </w:rPr>
              <w:t>11</w:t>
            </w:r>
            <w:r w:rsidR="009F71B5" w:rsidRPr="00C5739B">
              <w:rPr>
                <w:sz w:val="20"/>
                <w:szCs w:val="20"/>
              </w:rPr>
              <w:t xml:space="preserve">.1 </w:t>
            </w:r>
            <w:r w:rsidR="00883FAA">
              <w:rPr>
                <w:sz w:val="20"/>
                <w:szCs w:val="20"/>
              </w:rPr>
              <w:t xml:space="preserve">Assessment of the potential of roof-top Solar PV systems and the strength and stability of existing roofs, for mounting solar PVs and developing guidelines in the installation </w:t>
            </w:r>
          </w:p>
        </w:tc>
        <w:tc>
          <w:tcPr>
            <w:tcW w:w="2916" w:type="dxa"/>
            <w:tcBorders>
              <w:top w:val="single" w:sz="6" w:space="0" w:color="auto"/>
              <w:left w:val="single" w:sz="6" w:space="0" w:color="auto"/>
              <w:bottom w:val="single" w:sz="6" w:space="0" w:color="auto"/>
              <w:right w:val="single" w:sz="6" w:space="0" w:color="auto"/>
            </w:tcBorders>
          </w:tcPr>
          <w:p w14:paraId="50492C14" w14:textId="72FA74D3" w:rsidR="009F71B5" w:rsidRPr="00C5739B" w:rsidRDefault="00B1275F"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222CCB84" w14:textId="18CC7EB8" w:rsidR="009F71B5" w:rsidRPr="00C5739B" w:rsidRDefault="00B1275F" w:rsidP="00441924">
            <w:pPr>
              <w:tabs>
                <w:tab w:val="left" w:pos="1080"/>
              </w:tabs>
              <w:rPr>
                <w:sz w:val="20"/>
                <w:szCs w:val="20"/>
              </w:rPr>
            </w:pPr>
            <w:r>
              <w:rPr>
                <w:sz w:val="20"/>
                <w:szCs w:val="20"/>
              </w:rPr>
              <w:t>PMU, MTET/DOE</w:t>
            </w:r>
            <w:r w:rsidR="00C4070F">
              <w:rPr>
                <w:sz w:val="20"/>
                <w:szCs w:val="20"/>
              </w:rPr>
              <w:t xml:space="preserve"> (Lead)</w:t>
            </w:r>
            <w:r>
              <w:rPr>
                <w:sz w:val="20"/>
                <w:szCs w:val="20"/>
              </w:rPr>
              <w:t>, TEC</w:t>
            </w:r>
          </w:p>
        </w:tc>
        <w:tc>
          <w:tcPr>
            <w:tcW w:w="1252" w:type="dxa"/>
            <w:tcBorders>
              <w:top w:val="single" w:sz="6" w:space="0" w:color="auto"/>
              <w:left w:val="single" w:sz="6" w:space="0" w:color="auto"/>
              <w:bottom w:val="single" w:sz="6" w:space="0" w:color="auto"/>
              <w:right w:val="single" w:sz="6" w:space="0" w:color="auto"/>
            </w:tcBorders>
          </w:tcPr>
          <w:p w14:paraId="2B884F09" w14:textId="68A5896A" w:rsidR="009F71B5" w:rsidRPr="00C5739B" w:rsidRDefault="00C4070F" w:rsidP="00441924">
            <w:pPr>
              <w:tabs>
                <w:tab w:val="left" w:pos="1080"/>
              </w:tabs>
              <w:rPr>
                <w:sz w:val="20"/>
                <w:szCs w:val="20"/>
              </w:rPr>
            </w:pPr>
            <w:r>
              <w:rPr>
                <w:sz w:val="20"/>
                <w:szCs w:val="20"/>
              </w:rPr>
              <w:t>Part of co-financed activities</w:t>
            </w:r>
          </w:p>
        </w:tc>
        <w:tc>
          <w:tcPr>
            <w:tcW w:w="1185" w:type="dxa"/>
            <w:tcBorders>
              <w:top w:val="single" w:sz="6" w:space="0" w:color="auto"/>
              <w:left w:val="single" w:sz="6" w:space="0" w:color="auto"/>
              <w:bottom w:val="single" w:sz="6" w:space="0" w:color="auto"/>
            </w:tcBorders>
          </w:tcPr>
          <w:p w14:paraId="274CDC12" w14:textId="25858D12" w:rsidR="009F71B5" w:rsidRPr="007804C2" w:rsidRDefault="009F71B5" w:rsidP="00441924">
            <w:pPr>
              <w:tabs>
                <w:tab w:val="left" w:pos="1080"/>
              </w:tabs>
              <w:rPr>
                <w:sz w:val="20"/>
                <w:szCs w:val="20"/>
                <w:highlight w:val="yellow"/>
              </w:rPr>
            </w:pPr>
          </w:p>
        </w:tc>
      </w:tr>
      <w:tr w:rsidR="009F71B5" w:rsidRPr="00C5739B" w14:paraId="02EC384F" w14:textId="77777777" w:rsidTr="00441924">
        <w:tc>
          <w:tcPr>
            <w:tcW w:w="4374" w:type="dxa"/>
            <w:tcBorders>
              <w:top w:val="single" w:sz="6" w:space="0" w:color="auto"/>
              <w:bottom w:val="single" w:sz="6" w:space="0" w:color="auto"/>
              <w:right w:val="single" w:sz="6" w:space="0" w:color="auto"/>
            </w:tcBorders>
          </w:tcPr>
          <w:p w14:paraId="79207782" w14:textId="4CCCE9B6" w:rsidR="009F71B5" w:rsidRPr="00C5739B" w:rsidRDefault="002D5C73" w:rsidP="00441924">
            <w:pPr>
              <w:tabs>
                <w:tab w:val="left" w:pos="1080"/>
              </w:tabs>
              <w:rPr>
                <w:sz w:val="20"/>
                <w:szCs w:val="20"/>
              </w:rPr>
            </w:pPr>
            <w:r>
              <w:rPr>
                <w:sz w:val="20"/>
                <w:szCs w:val="20"/>
              </w:rPr>
              <w:t>11</w:t>
            </w:r>
            <w:r w:rsidR="009F71B5" w:rsidRPr="00C5739B">
              <w:rPr>
                <w:sz w:val="20"/>
                <w:szCs w:val="20"/>
              </w:rPr>
              <w:t xml:space="preserve">.2 </w:t>
            </w:r>
            <w:r w:rsidR="00883FAA">
              <w:rPr>
                <w:sz w:val="20"/>
                <w:szCs w:val="20"/>
              </w:rPr>
              <w:t xml:space="preserve">Development and approval of technical specifications for the use of </w:t>
            </w:r>
            <w:proofErr w:type="gramStart"/>
            <w:r w:rsidR="00883FAA">
              <w:rPr>
                <w:sz w:val="20"/>
                <w:szCs w:val="20"/>
              </w:rPr>
              <w:t>roof-tops</w:t>
            </w:r>
            <w:proofErr w:type="gramEnd"/>
            <w:r w:rsidR="00883FAA">
              <w:rPr>
                <w:sz w:val="20"/>
                <w:szCs w:val="20"/>
              </w:rPr>
              <w:t xml:space="preserve"> of government buildings</w:t>
            </w:r>
            <w:r w:rsidR="00B1275F">
              <w:rPr>
                <w:sz w:val="20"/>
                <w:szCs w:val="20"/>
              </w:rPr>
              <w:t xml:space="preserve">, </w:t>
            </w:r>
            <w:r w:rsidR="00D8502F">
              <w:rPr>
                <w:sz w:val="20"/>
                <w:szCs w:val="20"/>
              </w:rPr>
              <w:t>schools,</w:t>
            </w:r>
            <w:r w:rsidR="00883FAA">
              <w:rPr>
                <w:sz w:val="20"/>
                <w:szCs w:val="20"/>
              </w:rPr>
              <w:t xml:space="preserve"> and </w:t>
            </w:r>
            <w:r w:rsidR="00B1275F">
              <w:rPr>
                <w:sz w:val="20"/>
                <w:szCs w:val="20"/>
              </w:rPr>
              <w:t xml:space="preserve">other </w:t>
            </w:r>
            <w:r w:rsidR="00883FAA">
              <w:rPr>
                <w:sz w:val="20"/>
                <w:szCs w:val="20"/>
              </w:rPr>
              <w:t xml:space="preserve">institutions  </w:t>
            </w:r>
          </w:p>
        </w:tc>
        <w:tc>
          <w:tcPr>
            <w:tcW w:w="2916" w:type="dxa"/>
            <w:tcBorders>
              <w:top w:val="single" w:sz="6" w:space="0" w:color="auto"/>
              <w:left w:val="single" w:sz="6" w:space="0" w:color="auto"/>
              <w:bottom w:val="single" w:sz="6" w:space="0" w:color="auto"/>
              <w:right w:val="single" w:sz="6" w:space="0" w:color="auto"/>
            </w:tcBorders>
          </w:tcPr>
          <w:p w14:paraId="6D959EF9" w14:textId="78262079" w:rsidR="009F71B5" w:rsidRPr="00C5739B" w:rsidRDefault="00B1275F" w:rsidP="00441924">
            <w:pPr>
              <w:tabs>
                <w:tab w:val="left" w:pos="1080"/>
              </w:tabs>
              <w:rPr>
                <w:sz w:val="20"/>
                <w:szCs w:val="20"/>
              </w:rPr>
            </w:pPr>
            <w:r>
              <w:rPr>
                <w:sz w:val="20"/>
                <w:szCs w:val="20"/>
              </w:rPr>
              <w:t>December 2021</w:t>
            </w:r>
          </w:p>
        </w:tc>
        <w:tc>
          <w:tcPr>
            <w:tcW w:w="2600" w:type="dxa"/>
            <w:tcBorders>
              <w:top w:val="single" w:sz="6" w:space="0" w:color="auto"/>
              <w:left w:val="single" w:sz="6" w:space="0" w:color="auto"/>
              <w:bottom w:val="single" w:sz="6" w:space="0" w:color="auto"/>
              <w:right w:val="single" w:sz="6" w:space="0" w:color="auto"/>
            </w:tcBorders>
          </w:tcPr>
          <w:p w14:paraId="2000B444" w14:textId="69B8B4AC" w:rsidR="009F71B5" w:rsidRPr="00C5739B" w:rsidRDefault="00B1275F" w:rsidP="00441924">
            <w:pPr>
              <w:tabs>
                <w:tab w:val="left" w:pos="1080"/>
              </w:tabs>
              <w:rPr>
                <w:sz w:val="20"/>
                <w:szCs w:val="20"/>
              </w:rPr>
            </w:pPr>
            <w:r>
              <w:rPr>
                <w:sz w:val="20"/>
                <w:szCs w:val="20"/>
              </w:rPr>
              <w:t>PMU, MTET/DOE</w:t>
            </w:r>
            <w:r w:rsidR="00C4070F">
              <w:rPr>
                <w:sz w:val="20"/>
                <w:szCs w:val="20"/>
              </w:rPr>
              <w:t xml:space="preserve"> (Lead)</w:t>
            </w:r>
            <w:r>
              <w:rPr>
                <w:sz w:val="20"/>
                <w:szCs w:val="20"/>
              </w:rPr>
              <w:t xml:space="preserve">, TEC,  </w:t>
            </w:r>
          </w:p>
        </w:tc>
        <w:tc>
          <w:tcPr>
            <w:tcW w:w="1252" w:type="dxa"/>
            <w:tcBorders>
              <w:top w:val="single" w:sz="6" w:space="0" w:color="auto"/>
              <w:left w:val="single" w:sz="6" w:space="0" w:color="auto"/>
              <w:bottom w:val="single" w:sz="6" w:space="0" w:color="auto"/>
              <w:right w:val="single" w:sz="6" w:space="0" w:color="auto"/>
            </w:tcBorders>
          </w:tcPr>
          <w:p w14:paraId="56104747"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498B5FEF" w14:textId="7EDFFE88" w:rsidR="009F71B5" w:rsidRPr="007804C2" w:rsidRDefault="009F71B5" w:rsidP="00441924">
            <w:pPr>
              <w:tabs>
                <w:tab w:val="left" w:pos="1080"/>
              </w:tabs>
              <w:rPr>
                <w:sz w:val="20"/>
                <w:szCs w:val="20"/>
                <w:highlight w:val="yellow"/>
              </w:rPr>
            </w:pPr>
          </w:p>
        </w:tc>
      </w:tr>
      <w:tr w:rsidR="009F71B5" w:rsidRPr="00C5739B" w14:paraId="45566208" w14:textId="77777777" w:rsidTr="00441924">
        <w:tc>
          <w:tcPr>
            <w:tcW w:w="4374" w:type="dxa"/>
            <w:tcBorders>
              <w:top w:val="single" w:sz="6" w:space="0" w:color="auto"/>
              <w:bottom w:val="single" w:sz="4" w:space="0" w:color="auto"/>
              <w:right w:val="single" w:sz="6" w:space="0" w:color="auto"/>
            </w:tcBorders>
          </w:tcPr>
          <w:p w14:paraId="3B38D211" w14:textId="6DF807EB" w:rsidR="009F71B5" w:rsidRPr="00C5739B" w:rsidRDefault="002D5C73" w:rsidP="00441924">
            <w:pPr>
              <w:tabs>
                <w:tab w:val="left" w:pos="1080"/>
              </w:tabs>
              <w:rPr>
                <w:sz w:val="20"/>
                <w:szCs w:val="20"/>
              </w:rPr>
            </w:pPr>
            <w:r>
              <w:rPr>
                <w:sz w:val="20"/>
                <w:szCs w:val="20"/>
              </w:rPr>
              <w:t>11</w:t>
            </w:r>
            <w:r w:rsidR="009F71B5" w:rsidRPr="00C5739B">
              <w:rPr>
                <w:sz w:val="20"/>
                <w:szCs w:val="20"/>
              </w:rPr>
              <w:t>.3</w:t>
            </w:r>
            <w:r w:rsidR="00B1275F">
              <w:rPr>
                <w:sz w:val="20"/>
                <w:szCs w:val="20"/>
              </w:rPr>
              <w:t xml:space="preserve"> Assistance in packaging financial proposals for decision making and bank loan application</w:t>
            </w:r>
            <w:r w:rsidR="00C4070F">
              <w:rPr>
                <w:sz w:val="20"/>
                <w:szCs w:val="20"/>
              </w:rPr>
              <w:t xml:space="preserve"> with funding support from the </w:t>
            </w:r>
            <w:proofErr w:type="spellStart"/>
            <w:r w:rsidR="00C4070F">
              <w:rPr>
                <w:sz w:val="20"/>
                <w:szCs w:val="20"/>
              </w:rPr>
              <w:t>GoT</w:t>
            </w:r>
            <w:proofErr w:type="spellEnd"/>
            <w:r w:rsidR="00C4070F">
              <w:rPr>
                <w:sz w:val="20"/>
                <w:szCs w:val="20"/>
              </w:rPr>
              <w:t xml:space="preserve"> through incentives and loan windows from the expanded</w:t>
            </w:r>
            <w:r w:rsidR="00B1275F">
              <w:rPr>
                <w:sz w:val="20"/>
                <w:szCs w:val="20"/>
              </w:rPr>
              <w:t xml:space="preserve"> </w:t>
            </w:r>
            <w:r w:rsidR="00C4070F">
              <w:rPr>
                <w:sz w:val="20"/>
                <w:szCs w:val="20"/>
              </w:rPr>
              <w:t>RE financing by DBT</w:t>
            </w:r>
          </w:p>
        </w:tc>
        <w:tc>
          <w:tcPr>
            <w:tcW w:w="2916" w:type="dxa"/>
            <w:tcBorders>
              <w:top w:val="single" w:sz="6" w:space="0" w:color="auto"/>
              <w:left w:val="single" w:sz="6" w:space="0" w:color="auto"/>
              <w:bottom w:val="single" w:sz="4" w:space="0" w:color="auto"/>
              <w:right w:val="single" w:sz="6" w:space="0" w:color="auto"/>
            </w:tcBorders>
          </w:tcPr>
          <w:p w14:paraId="0DDFA5D5" w14:textId="5F54AF9D" w:rsidR="009F71B5" w:rsidRPr="00C5739B" w:rsidDel="0081599E" w:rsidRDefault="00C4070F" w:rsidP="00441924">
            <w:pPr>
              <w:tabs>
                <w:tab w:val="left" w:pos="1080"/>
              </w:tabs>
              <w:rPr>
                <w:sz w:val="20"/>
                <w:szCs w:val="20"/>
              </w:rPr>
            </w:pPr>
            <w:r>
              <w:rPr>
                <w:sz w:val="20"/>
                <w:szCs w:val="20"/>
              </w:rPr>
              <w:t>October 2022</w:t>
            </w:r>
          </w:p>
        </w:tc>
        <w:tc>
          <w:tcPr>
            <w:tcW w:w="2600" w:type="dxa"/>
            <w:tcBorders>
              <w:top w:val="single" w:sz="6" w:space="0" w:color="auto"/>
              <w:left w:val="single" w:sz="6" w:space="0" w:color="auto"/>
              <w:bottom w:val="single" w:sz="4" w:space="0" w:color="auto"/>
              <w:right w:val="single" w:sz="6" w:space="0" w:color="auto"/>
            </w:tcBorders>
          </w:tcPr>
          <w:p w14:paraId="57E983B7" w14:textId="4EE213F1" w:rsidR="009F71B5" w:rsidRPr="00C5739B" w:rsidDel="0081599E" w:rsidRDefault="00B1275F" w:rsidP="00441924">
            <w:pPr>
              <w:tabs>
                <w:tab w:val="left" w:pos="1080"/>
              </w:tabs>
              <w:rPr>
                <w:sz w:val="20"/>
                <w:szCs w:val="20"/>
              </w:rPr>
            </w:pPr>
            <w:r>
              <w:rPr>
                <w:sz w:val="20"/>
                <w:szCs w:val="20"/>
              </w:rPr>
              <w:t>PMU, MTET/DOE</w:t>
            </w:r>
            <w:r w:rsidR="00C4070F">
              <w:rPr>
                <w:sz w:val="20"/>
                <w:szCs w:val="20"/>
              </w:rPr>
              <w:t xml:space="preserve"> (Lead)</w:t>
            </w:r>
            <w:r>
              <w:rPr>
                <w:sz w:val="20"/>
                <w:szCs w:val="20"/>
              </w:rPr>
              <w:t xml:space="preserve">, TEC,  </w:t>
            </w:r>
          </w:p>
        </w:tc>
        <w:tc>
          <w:tcPr>
            <w:tcW w:w="1252" w:type="dxa"/>
            <w:tcBorders>
              <w:top w:val="single" w:sz="6" w:space="0" w:color="auto"/>
              <w:left w:val="single" w:sz="6" w:space="0" w:color="auto"/>
              <w:bottom w:val="single" w:sz="4" w:space="0" w:color="auto"/>
              <w:right w:val="single" w:sz="6" w:space="0" w:color="auto"/>
            </w:tcBorders>
          </w:tcPr>
          <w:p w14:paraId="346EEB2F"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1E412C8A" w14:textId="723492C7" w:rsidR="009F71B5" w:rsidRPr="007804C2" w:rsidRDefault="009F71B5" w:rsidP="00441924">
            <w:pPr>
              <w:tabs>
                <w:tab w:val="left" w:pos="1080"/>
              </w:tabs>
              <w:rPr>
                <w:sz w:val="20"/>
                <w:szCs w:val="20"/>
                <w:highlight w:val="yellow"/>
              </w:rPr>
            </w:pPr>
          </w:p>
        </w:tc>
      </w:tr>
    </w:tbl>
    <w:p w14:paraId="1DFB93B7" w14:textId="77777777" w:rsidR="009F71B5" w:rsidRDefault="009F71B5" w:rsidP="00E210CC">
      <w:pPr>
        <w:tabs>
          <w:tab w:val="left" w:pos="1080"/>
        </w:tabs>
        <w:rPr>
          <w:sz w:val="20"/>
          <w:szCs w:val="20"/>
          <w:lang w:eastAsia="ja-JP"/>
        </w:rPr>
      </w:pPr>
    </w:p>
    <w:tbl>
      <w:tblPr>
        <w:tblW w:w="0" w:type="auto"/>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4"/>
        <w:gridCol w:w="1924"/>
        <w:gridCol w:w="2409"/>
        <w:gridCol w:w="2435"/>
        <w:gridCol w:w="1185"/>
      </w:tblGrid>
      <w:tr w:rsidR="009F71B5" w:rsidRPr="00C5739B" w14:paraId="64296B9C" w14:textId="77777777" w:rsidTr="00441924">
        <w:tc>
          <w:tcPr>
            <w:tcW w:w="12327" w:type="dxa"/>
            <w:gridSpan w:val="5"/>
            <w:shd w:val="clear" w:color="auto" w:fill="F3F3F3"/>
          </w:tcPr>
          <w:p w14:paraId="575E9FE8" w14:textId="77777777" w:rsidR="009F71B5" w:rsidRPr="00C5739B" w:rsidRDefault="009F71B5" w:rsidP="00441924">
            <w:pPr>
              <w:tabs>
                <w:tab w:val="left" w:pos="1080"/>
              </w:tabs>
              <w:rPr>
                <w:b/>
                <w:sz w:val="20"/>
                <w:szCs w:val="20"/>
              </w:rPr>
            </w:pPr>
            <w:r w:rsidRPr="00C5739B">
              <w:rPr>
                <w:sz w:val="20"/>
                <w:szCs w:val="20"/>
              </w:rPr>
              <w:br w:type="page"/>
            </w:r>
            <w:r w:rsidRPr="00C5739B">
              <w:rPr>
                <w:b/>
                <w:sz w:val="20"/>
                <w:szCs w:val="20"/>
              </w:rPr>
              <w:t xml:space="preserve">Evaluation recommendation </w:t>
            </w:r>
            <w:r w:rsidR="002D5C73">
              <w:rPr>
                <w:b/>
                <w:sz w:val="20"/>
                <w:szCs w:val="20"/>
              </w:rPr>
              <w:t>12</w:t>
            </w:r>
            <w:r w:rsidRPr="00C5739B">
              <w:rPr>
                <w:b/>
                <w:sz w:val="20"/>
                <w:szCs w:val="20"/>
              </w:rPr>
              <w:t xml:space="preserve">. </w:t>
            </w:r>
            <w:r w:rsidR="002D5C73" w:rsidRPr="002D5C73">
              <w:rPr>
                <w:b/>
                <w:i/>
                <w:iCs/>
                <w:sz w:val="20"/>
                <w:szCs w:val="20"/>
              </w:rPr>
              <w:t xml:space="preserve">Prepare project extension request and exit strategy – </w:t>
            </w:r>
            <w:r w:rsidR="002D5C73" w:rsidRPr="002D5C73">
              <w:rPr>
                <w:iCs/>
                <w:sz w:val="20"/>
                <w:szCs w:val="20"/>
              </w:rPr>
              <w:t>The project would not be able to finish all the targets on time, and UNDP should as soon as possible prepare a justified request to GEF for a one year no-cost extension. The project should also prepare an exit strategy with focus on the sustainability of project outcomes, in accordance with the Mid-term review.</w:t>
            </w:r>
          </w:p>
        </w:tc>
      </w:tr>
      <w:tr w:rsidR="009F71B5" w:rsidRPr="00C5739B" w14:paraId="66A899E8" w14:textId="77777777" w:rsidTr="00441924">
        <w:tc>
          <w:tcPr>
            <w:tcW w:w="12327" w:type="dxa"/>
            <w:gridSpan w:val="5"/>
            <w:tcBorders>
              <w:top w:val="single" w:sz="4" w:space="0" w:color="auto"/>
              <w:bottom w:val="single" w:sz="6" w:space="0" w:color="auto"/>
            </w:tcBorders>
            <w:shd w:val="clear" w:color="auto" w:fill="F3F3F3"/>
          </w:tcPr>
          <w:p w14:paraId="241221D4" w14:textId="77777777" w:rsidR="009F71B5" w:rsidRPr="00C5739B" w:rsidRDefault="009F71B5" w:rsidP="00441924">
            <w:pPr>
              <w:tabs>
                <w:tab w:val="left" w:pos="1080"/>
              </w:tabs>
              <w:rPr>
                <w:sz w:val="20"/>
                <w:szCs w:val="20"/>
              </w:rPr>
            </w:pPr>
            <w:r w:rsidRPr="00C5739B">
              <w:rPr>
                <w:b/>
                <w:sz w:val="20"/>
                <w:szCs w:val="20"/>
              </w:rPr>
              <w:lastRenderedPageBreak/>
              <w:t>Management response</w:t>
            </w:r>
            <w:r w:rsidRPr="00C5739B">
              <w:rPr>
                <w:sz w:val="20"/>
                <w:szCs w:val="20"/>
              </w:rPr>
              <w:t xml:space="preserve">: </w:t>
            </w:r>
            <w:r w:rsidR="00B1275F" w:rsidRPr="00B1275F">
              <w:rPr>
                <w:b/>
                <w:i/>
                <w:sz w:val="20"/>
                <w:szCs w:val="20"/>
              </w:rPr>
              <w:t>Agree</w:t>
            </w:r>
            <w:r w:rsidR="00B1275F">
              <w:rPr>
                <w:sz w:val="20"/>
                <w:szCs w:val="20"/>
              </w:rPr>
              <w:t>. The request</w:t>
            </w:r>
            <w:r w:rsidR="009B4F49">
              <w:rPr>
                <w:sz w:val="20"/>
                <w:szCs w:val="20"/>
              </w:rPr>
              <w:t xml:space="preserve"> letter</w:t>
            </w:r>
            <w:r w:rsidR="00B1275F">
              <w:rPr>
                <w:sz w:val="20"/>
                <w:szCs w:val="20"/>
              </w:rPr>
              <w:t xml:space="preserve"> for extension of project implementation period has been prepared</w:t>
            </w:r>
            <w:r w:rsidR="009B4F49">
              <w:rPr>
                <w:sz w:val="20"/>
                <w:szCs w:val="20"/>
              </w:rPr>
              <w:t xml:space="preserve">, </w:t>
            </w:r>
            <w:r w:rsidR="000E31BD">
              <w:rPr>
                <w:sz w:val="20"/>
                <w:szCs w:val="20"/>
              </w:rPr>
              <w:t>to be signed by MTET/DoE</w:t>
            </w:r>
            <w:r w:rsidR="00B1275F">
              <w:rPr>
                <w:sz w:val="20"/>
                <w:szCs w:val="20"/>
              </w:rPr>
              <w:t xml:space="preserve"> and as well as the other supporting</w:t>
            </w:r>
            <w:r w:rsidR="000E31BD">
              <w:rPr>
                <w:sz w:val="20"/>
                <w:szCs w:val="20"/>
              </w:rPr>
              <w:t xml:space="preserve"> documents needed</w:t>
            </w:r>
            <w:r w:rsidR="00B1275F">
              <w:rPr>
                <w:sz w:val="20"/>
                <w:szCs w:val="20"/>
              </w:rPr>
              <w:t xml:space="preserve">. An </w:t>
            </w:r>
            <w:r w:rsidR="000E31BD">
              <w:rPr>
                <w:sz w:val="20"/>
                <w:szCs w:val="20"/>
              </w:rPr>
              <w:t>18</w:t>
            </w:r>
            <w:r w:rsidR="00B1275F">
              <w:rPr>
                <w:sz w:val="20"/>
                <w:szCs w:val="20"/>
              </w:rPr>
              <w:t>-</w:t>
            </w:r>
            <w:r w:rsidR="000E31BD">
              <w:rPr>
                <w:sz w:val="20"/>
                <w:szCs w:val="20"/>
              </w:rPr>
              <w:t>mo</w:t>
            </w:r>
            <w:r w:rsidR="00B1275F">
              <w:rPr>
                <w:sz w:val="20"/>
                <w:szCs w:val="20"/>
              </w:rPr>
              <w:t>nth</w:t>
            </w:r>
            <w:r w:rsidR="000E31BD">
              <w:rPr>
                <w:sz w:val="20"/>
                <w:szCs w:val="20"/>
              </w:rPr>
              <w:t xml:space="preserve"> extension</w:t>
            </w:r>
            <w:r w:rsidR="00B1275F">
              <w:rPr>
                <w:sz w:val="20"/>
                <w:szCs w:val="20"/>
              </w:rPr>
              <w:t xml:space="preserve"> is being considered from</w:t>
            </w:r>
            <w:r w:rsidR="000E31BD">
              <w:rPr>
                <w:sz w:val="20"/>
                <w:szCs w:val="20"/>
              </w:rPr>
              <w:t xml:space="preserve"> the </w:t>
            </w:r>
            <w:r w:rsidR="00B1275F">
              <w:rPr>
                <w:sz w:val="20"/>
                <w:szCs w:val="20"/>
              </w:rPr>
              <w:t>date</w:t>
            </w:r>
            <w:r w:rsidR="000E31BD">
              <w:rPr>
                <w:sz w:val="20"/>
                <w:szCs w:val="20"/>
              </w:rPr>
              <w:t xml:space="preserve"> </w:t>
            </w:r>
            <w:r w:rsidR="00B1275F">
              <w:rPr>
                <w:sz w:val="20"/>
                <w:szCs w:val="20"/>
              </w:rPr>
              <w:t xml:space="preserve">that the Project was </w:t>
            </w:r>
            <w:r w:rsidR="000E31BD">
              <w:rPr>
                <w:sz w:val="20"/>
                <w:szCs w:val="20"/>
              </w:rPr>
              <w:t>supposed to be completed</w:t>
            </w:r>
            <w:r w:rsidR="00B1275F">
              <w:rPr>
                <w:sz w:val="20"/>
                <w:szCs w:val="20"/>
              </w:rPr>
              <w:t xml:space="preserve"> on </w:t>
            </w:r>
            <w:r w:rsidR="000E31BD">
              <w:rPr>
                <w:sz w:val="20"/>
                <w:szCs w:val="20"/>
              </w:rPr>
              <w:t>Feb</w:t>
            </w:r>
            <w:r w:rsidR="00B1275F">
              <w:rPr>
                <w:sz w:val="20"/>
                <w:szCs w:val="20"/>
              </w:rPr>
              <w:t>ruary</w:t>
            </w:r>
            <w:r w:rsidR="000E31BD">
              <w:rPr>
                <w:sz w:val="20"/>
                <w:szCs w:val="20"/>
              </w:rPr>
              <w:t xml:space="preserve"> </w:t>
            </w:r>
            <w:r w:rsidR="00B1275F">
              <w:rPr>
                <w:sz w:val="20"/>
                <w:szCs w:val="20"/>
              </w:rPr>
              <w:t xml:space="preserve">28, </w:t>
            </w:r>
            <w:r w:rsidR="000E31BD">
              <w:rPr>
                <w:sz w:val="20"/>
                <w:szCs w:val="20"/>
              </w:rPr>
              <w:t>2022</w:t>
            </w:r>
            <w:r w:rsidR="00B1275F">
              <w:rPr>
                <w:sz w:val="20"/>
                <w:szCs w:val="20"/>
              </w:rPr>
              <w:t>.</w:t>
            </w:r>
            <w:r w:rsidR="000E31BD">
              <w:rPr>
                <w:sz w:val="20"/>
                <w:szCs w:val="20"/>
              </w:rPr>
              <w:t xml:space="preserve"> </w:t>
            </w:r>
            <w:r w:rsidR="00B1275F">
              <w:rPr>
                <w:sz w:val="20"/>
                <w:szCs w:val="20"/>
              </w:rPr>
              <w:t xml:space="preserve">The justification </w:t>
            </w:r>
            <w:r w:rsidR="000E31BD">
              <w:rPr>
                <w:sz w:val="20"/>
                <w:szCs w:val="20"/>
              </w:rPr>
              <w:t>highlight</w:t>
            </w:r>
            <w:r w:rsidR="00600EBF">
              <w:rPr>
                <w:sz w:val="20"/>
                <w:szCs w:val="20"/>
              </w:rPr>
              <w:t>s</w:t>
            </w:r>
            <w:r w:rsidR="000E31BD">
              <w:rPr>
                <w:sz w:val="20"/>
                <w:szCs w:val="20"/>
              </w:rPr>
              <w:t xml:space="preserve"> </w:t>
            </w:r>
            <w:r w:rsidR="00600EBF">
              <w:rPr>
                <w:sz w:val="20"/>
                <w:szCs w:val="20"/>
              </w:rPr>
              <w:t xml:space="preserve">the needed period for the completion of </w:t>
            </w:r>
            <w:r w:rsidR="000E31BD">
              <w:rPr>
                <w:sz w:val="20"/>
                <w:szCs w:val="20"/>
              </w:rPr>
              <w:t>demos</w:t>
            </w:r>
            <w:r w:rsidR="00600EBF">
              <w:rPr>
                <w:sz w:val="20"/>
                <w:szCs w:val="20"/>
              </w:rPr>
              <w:t>.</w:t>
            </w:r>
            <w:r w:rsidR="000E31BD">
              <w:rPr>
                <w:sz w:val="20"/>
                <w:szCs w:val="20"/>
              </w:rPr>
              <w:t xml:space="preserve"> </w:t>
            </w:r>
            <w:r w:rsidR="00600EBF">
              <w:rPr>
                <w:sz w:val="20"/>
                <w:szCs w:val="20"/>
              </w:rPr>
              <w:t xml:space="preserve">The corresponding </w:t>
            </w:r>
            <w:r w:rsidR="000E31BD">
              <w:rPr>
                <w:sz w:val="20"/>
                <w:szCs w:val="20"/>
              </w:rPr>
              <w:t xml:space="preserve">AWP </w:t>
            </w:r>
            <w:r w:rsidR="00600EBF">
              <w:rPr>
                <w:sz w:val="20"/>
                <w:szCs w:val="20"/>
              </w:rPr>
              <w:t>for the years covered for extension for 2022 and</w:t>
            </w:r>
            <w:r w:rsidR="000E31BD">
              <w:rPr>
                <w:sz w:val="20"/>
                <w:szCs w:val="20"/>
              </w:rPr>
              <w:t xml:space="preserve"> 2023</w:t>
            </w:r>
            <w:r w:rsidR="00600EBF">
              <w:rPr>
                <w:sz w:val="20"/>
                <w:szCs w:val="20"/>
              </w:rPr>
              <w:t xml:space="preserve"> will be prepared. It is noted that availability of additional budget for project management should be ensured.</w:t>
            </w:r>
            <w:r w:rsidR="000E31BD">
              <w:rPr>
                <w:sz w:val="20"/>
                <w:szCs w:val="20"/>
              </w:rPr>
              <w:t xml:space="preserve"> </w:t>
            </w:r>
          </w:p>
        </w:tc>
      </w:tr>
      <w:tr w:rsidR="009F71B5" w:rsidRPr="00C5739B" w14:paraId="57A6B139" w14:textId="77777777" w:rsidTr="00FB07A1">
        <w:trPr>
          <w:trHeight w:val="135"/>
        </w:trPr>
        <w:tc>
          <w:tcPr>
            <w:tcW w:w="4374" w:type="dxa"/>
            <w:vMerge w:val="restart"/>
            <w:tcBorders>
              <w:top w:val="single" w:sz="6" w:space="0" w:color="auto"/>
              <w:bottom w:val="single" w:sz="6" w:space="0" w:color="auto"/>
              <w:right w:val="single" w:sz="6" w:space="0" w:color="auto"/>
            </w:tcBorders>
            <w:shd w:val="clear" w:color="auto" w:fill="F3F3F3"/>
          </w:tcPr>
          <w:p w14:paraId="6D253597" w14:textId="77777777" w:rsidR="009F71B5" w:rsidRPr="00C5739B" w:rsidRDefault="009F71B5" w:rsidP="00441924">
            <w:pPr>
              <w:tabs>
                <w:tab w:val="left" w:pos="1080"/>
              </w:tabs>
              <w:jc w:val="center"/>
              <w:rPr>
                <w:b/>
                <w:sz w:val="20"/>
                <w:szCs w:val="20"/>
              </w:rPr>
            </w:pPr>
            <w:r w:rsidRPr="00C5739B">
              <w:rPr>
                <w:b/>
                <w:sz w:val="20"/>
                <w:szCs w:val="20"/>
              </w:rPr>
              <w:t>Key action(s)</w:t>
            </w:r>
          </w:p>
        </w:tc>
        <w:tc>
          <w:tcPr>
            <w:tcW w:w="1924" w:type="dxa"/>
            <w:vMerge w:val="restart"/>
            <w:tcBorders>
              <w:top w:val="single" w:sz="6" w:space="0" w:color="auto"/>
              <w:left w:val="single" w:sz="6" w:space="0" w:color="auto"/>
              <w:bottom w:val="single" w:sz="6" w:space="0" w:color="auto"/>
              <w:right w:val="single" w:sz="6" w:space="0" w:color="auto"/>
            </w:tcBorders>
            <w:shd w:val="clear" w:color="auto" w:fill="F3F3F3"/>
          </w:tcPr>
          <w:p w14:paraId="4785D9AA" w14:textId="77777777" w:rsidR="009F71B5" w:rsidRPr="00C5739B" w:rsidRDefault="009F71B5" w:rsidP="00441924">
            <w:pPr>
              <w:tabs>
                <w:tab w:val="left" w:pos="1080"/>
              </w:tabs>
              <w:jc w:val="center"/>
              <w:rPr>
                <w:b/>
                <w:sz w:val="20"/>
                <w:szCs w:val="20"/>
              </w:rPr>
            </w:pPr>
            <w:r w:rsidRPr="00C5739B">
              <w:rPr>
                <w:b/>
                <w:sz w:val="20"/>
                <w:szCs w:val="20"/>
              </w:rPr>
              <w:t>Time frame</w:t>
            </w:r>
          </w:p>
        </w:tc>
        <w:tc>
          <w:tcPr>
            <w:tcW w:w="2409" w:type="dxa"/>
            <w:vMerge w:val="restart"/>
            <w:tcBorders>
              <w:top w:val="single" w:sz="6" w:space="0" w:color="auto"/>
              <w:left w:val="single" w:sz="6" w:space="0" w:color="auto"/>
              <w:bottom w:val="single" w:sz="6" w:space="0" w:color="auto"/>
              <w:right w:val="single" w:sz="6" w:space="0" w:color="auto"/>
            </w:tcBorders>
            <w:shd w:val="clear" w:color="auto" w:fill="F3F3F3"/>
          </w:tcPr>
          <w:p w14:paraId="74FC39AD" w14:textId="77777777" w:rsidR="009F71B5" w:rsidRPr="00C5739B" w:rsidRDefault="009F71B5" w:rsidP="00441924">
            <w:pPr>
              <w:tabs>
                <w:tab w:val="left" w:pos="1080"/>
              </w:tabs>
              <w:jc w:val="center"/>
              <w:rPr>
                <w:b/>
                <w:sz w:val="20"/>
                <w:szCs w:val="20"/>
              </w:rPr>
            </w:pPr>
            <w:r w:rsidRPr="00C5739B">
              <w:rPr>
                <w:b/>
                <w:sz w:val="20"/>
                <w:szCs w:val="20"/>
              </w:rPr>
              <w:t>Responsible unit(s)</w:t>
            </w:r>
          </w:p>
        </w:tc>
        <w:tc>
          <w:tcPr>
            <w:tcW w:w="3620" w:type="dxa"/>
            <w:gridSpan w:val="2"/>
            <w:tcBorders>
              <w:top w:val="single" w:sz="6" w:space="0" w:color="auto"/>
              <w:left w:val="single" w:sz="6" w:space="0" w:color="auto"/>
              <w:bottom w:val="single" w:sz="6" w:space="0" w:color="auto"/>
            </w:tcBorders>
            <w:shd w:val="clear" w:color="auto" w:fill="F3F3F3"/>
          </w:tcPr>
          <w:p w14:paraId="0B3DA9C5" w14:textId="77777777" w:rsidR="009F71B5" w:rsidRPr="00C5739B" w:rsidRDefault="009F71B5" w:rsidP="00441924">
            <w:pPr>
              <w:tabs>
                <w:tab w:val="left" w:pos="1080"/>
              </w:tabs>
              <w:jc w:val="center"/>
              <w:rPr>
                <w:b/>
                <w:sz w:val="20"/>
                <w:szCs w:val="20"/>
              </w:rPr>
            </w:pPr>
            <w:r w:rsidRPr="00C5739B">
              <w:rPr>
                <w:b/>
                <w:sz w:val="20"/>
                <w:szCs w:val="20"/>
              </w:rPr>
              <w:t>Tracking</w:t>
            </w:r>
          </w:p>
        </w:tc>
      </w:tr>
      <w:tr w:rsidR="009F71B5" w:rsidRPr="00C5739B" w14:paraId="0FF88EDD" w14:textId="77777777" w:rsidTr="00FB07A1">
        <w:trPr>
          <w:trHeight w:val="135"/>
        </w:trPr>
        <w:tc>
          <w:tcPr>
            <w:tcW w:w="4374" w:type="dxa"/>
            <w:vMerge/>
            <w:tcBorders>
              <w:top w:val="single" w:sz="6" w:space="0" w:color="auto"/>
              <w:bottom w:val="single" w:sz="6" w:space="0" w:color="auto"/>
              <w:right w:val="single" w:sz="6" w:space="0" w:color="auto"/>
            </w:tcBorders>
            <w:shd w:val="clear" w:color="auto" w:fill="F3F3F3"/>
          </w:tcPr>
          <w:p w14:paraId="30E9BC90" w14:textId="77777777" w:rsidR="009F71B5" w:rsidRPr="00C5739B" w:rsidRDefault="009F71B5" w:rsidP="00441924">
            <w:pPr>
              <w:tabs>
                <w:tab w:val="left" w:pos="1080"/>
              </w:tabs>
              <w:rPr>
                <w:sz w:val="20"/>
                <w:szCs w:val="20"/>
              </w:rPr>
            </w:pPr>
          </w:p>
        </w:tc>
        <w:tc>
          <w:tcPr>
            <w:tcW w:w="1924" w:type="dxa"/>
            <w:vMerge/>
            <w:tcBorders>
              <w:top w:val="single" w:sz="6" w:space="0" w:color="auto"/>
              <w:left w:val="single" w:sz="6" w:space="0" w:color="auto"/>
              <w:bottom w:val="single" w:sz="6" w:space="0" w:color="auto"/>
              <w:right w:val="single" w:sz="6" w:space="0" w:color="auto"/>
            </w:tcBorders>
            <w:shd w:val="clear" w:color="auto" w:fill="F3F3F3"/>
          </w:tcPr>
          <w:p w14:paraId="11F3A686" w14:textId="77777777" w:rsidR="009F71B5" w:rsidRPr="00C5739B" w:rsidRDefault="009F71B5" w:rsidP="00441924">
            <w:pPr>
              <w:tabs>
                <w:tab w:val="left" w:pos="1080"/>
              </w:tabs>
              <w:rPr>
                <w:b/>
                <w:sz w:val="20"/>
                <w:szCs w:val="20"/>
              </w:rPr>
            </w:pPr>
          </w:p>
        </w:tc>
        <w:tc>
          <w:tcPr>
            <w:tcW w:w="2409" w:type="dxa"/>
            <w:vMerge/>
            <w:tcBorders>
              <w:top w:val="single" w:sz="6" w:space="0" w:color="auto"/>
              <w:left w:val="single" w:sz="6" w:space="0" w:color="auto"/>
              <w:bottom w:val="single" w:sz="6" w:space="0" w:color="auto"/>
              <w:right w:val="single" w:sz="6" w:space="0" w:color="auto"/>
            </w:tcBorders>
            <w:shd w:val="clear" w:color="auto" w:fill="F3F3F3"/>
          </w:tcPr>
          <w:p w14:paraId="4B481DB9" w14:textId="77777777" w:rsidR="009F71B5" w:rsidRPr="00C5739B" w:rsidRDefault="009F71B5" w:rsidP="00441924">
            <w:pPr>
              <w:tabs>
                <w:tab w:val="left" w:pos="1080"/>
              </w:tabs>
              <w:rPr>
                <w:b/>
                <w:sz w:val="20"/>
                <w:szCs w:val="20"/>
              </w:rPr>
            </w:pPr>
          </w:p>
        </w:tc>
        <w:tc>
          <w:tcPr>
            <w:tcW w:w="2435" w:type="dxa"/>
            <w:tcBorders>
              <w:top w:val="single" w:sz="6" w:space="0" w:color="auto"/>
              <w:left w:val="single" w:sz="6" w:space="0" w:color="auto"/>
              <w:bottom w:val="single" w:sz="6" w:space="0" w:color="auto"/>
              <w:right w:val="single" w:sz="6" w:space="0" w:color="auto"/>
            </w:tcBorders>
          </w:tcPr>
          <w:p w14:paraId="28A92125" w14:textId="77777777" w:rsidR="009F71B5" w:rsidRPr="00C5739B" w:rsidRDefault="009F71B5" w:rsidP="00441924">
            <w:pPr>
              <w:tabs>
                <w:tab w:val="left" w:pos="1080"/>
              </w:tabs>
              <w:jc w:val="center"/>
              <w:rPr>
                <w:b/>
                <w:sz w:val="20"/>
                <w:szCs w:val="20"/>
              </w:rPr>
            </w:pPr>
            <w:r w:rsidRPr="00C5739B">
              <w:rPr>
                <w:b/>
                <w:sz w:val="20"/>
                <w:szCs w:val="20"/>
              </w:rPr>
              <w:t>Comments</w:t>
            </w:r>
          </w:p>
        </w:tc>
        <w:tc>
          <w:tcPr>
            <w:tcW w:w="1185" w:type="dxa"/>
            <w:tcBorders>
              <w:top w:val="single" w:sz="6" w:space="0" w:color="auto"/>
              <w:left w:val="single" w:sz="6" w:space="0" w:color="auto"/>
              <w:bottom w:val="single" w:sz="6" w:space="0" w:color="auto"/>
            </w:tcBorders>
          </w:tcPr>
          <w:p w14:paraId="7B69413C" w14:textId="77777777" w:rsidR="009F71B5" w:rsidRPr="00C5739B" w:rsidRDefault="009F71B5" w:rsidP="00441924">
            <w:pPr>
              <w:tabs>
                <w:tab w:val="left" w:pos="1080"/>
              </w:tabs>
              <w:jc w:val="center"/>
              <w:rPr>
                <w:b/>
                <w:sz w:val="20"/>
                <w:szCs w:val="20"/>
              </w:rPr>
            </w:pPr>
            <w:r w:rsidRPr="00C5739B">
              <w:rPr>
                <w:b/>
                <w:sz w:val="20"/>
                <w:szCs w:val="20"/>
              </w:rPr>
              <w:t>Status</w:t>
            </w:r>
          </w:p>
        </w:tc>
      </w:tr>
      <w:tr w:rsidR="009F71B5" w:rsidRPr="00C5739B" w14:paraId="255494E0" w14:textId="77777777" w:rsidTr="00FB07A1">
        <w:tc>
          <w:tcPr>
            <w:tcW w:w="4374" w:type="dxa"/>
            <w:tcBorders>
              <w:top w:val="single" w:sz="6" w:space="0" w:color="auto"/>
              <w:bottom w:val="single" w:sz="6" w:space="0" w:color="auto"/>
              <w:right w:val="single" w:sz="6" w:space="0" w:color="auto"/>
            </w:tcBorders>
          </w:tcPr>
          <w:p w14:paraId="4D8D75B2" w14:textId="38DB7F9E" w:rsidR="009F71B5" w:rsidRPr="00C5739B" w:rsidRDefault="002D5C73" w:rsidP="00441924">
            <w:pPr>
              <w:tabs>
                <w:tab w:val="left" w:pos="1080"/>
              </w:tabs>
              <w:rPr>
                <w:sz w:val="20"/>
                <w:szCs w:val="20"/>
              </w:rPr>
            </w:pPr>
            <w:r>
              <w:rPr>
                <w:sz w:val="20"/>
                <w:szCs w:val="20"/>
              </w:rPr>
              <w:t>12</w:t>
            </w:r>
            <w:r w:rsidR="009F71B5" w:rsidRPr="00C5739B">
              <w:rPr>
                <w:sz w:val="20"/>
                <w:szCs w:val="20"/>
              </w:rPr>
              <w:t xml:space="preserve">.1 </w:t>
            </w:r>
            <w:r w:rsidR="00600EBF">
              <w:rPr>
                <w:sz w:val="20"/>
                <w:szCs w:val="20"/>
              </w:rPr>
              <w:t>Submission of the project extension request and the required documents to support the justifications</w:t>
            </w:r>
            <w:r w:rsidR="00751A14">
              <w:rPr>
                <w:sz w:val="20"/>
                <w:szCs w:val="20"/>
              </w:rPr>
              <w:t>.</w:t>
            </w:r>
          </w:p>
        </w:tc>
        <w:tc>
          <w:tcPr>
            <w:tcW w:w="1924" w:type="dxa"/>
            <w:tcBorders>
              <w:top w:val="single" w:sz="6" w:space="0" w:color="auto"/>
              <w:left w:val="single" w:sz="6" w:space="0" w:color="auto"/>
              <w:bottom w:val="single" w:sz="6" w:space="0" w:color="auto"/>
              <w:right w:val="single" w:sz="6" w:space="0" w:color="auto"/>
            </w:tcBorders>
          </w:tcPr>
          <w:p w14:paraId="46E91D75" w14:textId="3F4370AB" w:rsidR="009F71B5" w:rsidRPr="00C5739B" w:rsidRDefault="00C80F68" w:rsidP="00441924">
            <w:pPr>
              <w:tabs>
                <w:tab w:val="left" w:pos="1080"/>
              </w:tabs>
              <w:rPr>
                <w:sz w:val="20"/>
                <w:szCs w:val="20"/>
              </w:rPr>
            </w:pPr>
            <w:r>
              <w:rPr>
                <w:sz w:val="20"/>
                <w:szCs w:val="20"/>
              </w:rPr>
              <w:t xml:space="preserve"> August </w:t>
            </w:r>
            <w:r w:rsidR="00E359B4">
              <w:rPr>
                <w:sz w:val="20"/>
                <w:szCs w:val="20"/>
              </w:rPr>
              <w:t>6</w:t>
            </w:r>
            <w:r>
              <w:rPr>
                <w:sz w:val="20"/>
                <w:szCs w:val="20"/>
              </w:rPr>
              <w:t xml:space="preserve">, </w:t>
            </w:r>
            <w:r w:rsidR="00600EBF">
              <w:rPr>
                <w:sz w:val="20"/>
                <w:szCs w:val="20"/>
              </w:rPr>
              <w:t>2021</w:t>
            </w:r>
            <w:r>
              <w:rPr>
                <w:sz w:val="20"/>
                <w:szCs w:val="20"/>
              </w:rPr>
              <w:t xml:space="preserve">  </w:t>
            </w:r>
            <w:r w:rsidR="00600EBF">
              <w:rPr>
                <w:sz w:val="20"/>
                <w:szCs w:val="20"/>
              </w:rPr>
              <w:t xml:space="preserve"> </w:t>
            </w:r>
          </w:p>
        </w:tc>
        <w:tc>
          <w:tcPr>
            <w:tcW w:w="2409" w:type="dxa"/>
            <w:tcBorders>
              <w:top w:val="single" w:sz="6" w:space="0" w:color="auto"/>
              <w:left w:val="single" w:sz="6" w:space="0" w:color="auto"/>
              <w:bottom w:val="single" w:sz="6" w:space="0" w:color="auto"/>
              <w:right w:val="single" w:sz="6" w:space="0" w:color="auto"/>
            </w:tcBorders>
          </w:tcPr>
          <w:p w14:paraId="781BEBA4" w14:textId="7CA96D27" w:rsidR="009F71B5" w:rsidRPr="00C5739B" w:rsidRDefault="00600EBF" w:rsidP="00441924">
            <w:pPr>
              <w:tabs>
                <w:tab w:val="left" w:pos="1080"/>
              </w:tabs>
              <w:rPr>
                <w:sz w:val="20"/>
                <w:szCs w:val="20"/>
              </w:rPr>
            </w:pPr>
            <w:r>
              <w:rPr>
                <w:sz w:val="20"/>
                <w:szCs w:val="20"/>
              </w:rPr>
              <w:t>PMU, MTET/DOE</w:t>
            </w:r>
            <w:r w:rsidR="00C4070F">
              <w:rPr>
                <w:sz w:val="20"/>
                <w:szCs w:val="20"/>
              </w:rPr>
              <w:t xml:space="preserve"> (Lead)</w:t>
            </w:r>
            <w:r>
              <w:rPr>
                <w:sz w:val="20"/>
                <w:szCs w:val="20"/>
              </w:rPr>
              <w:t>, TEC</w:t>
            </w:r>
          </w:p>
        </w:tc>
        <w:tc>
          <w:tcPr>
            <w:tcW w:w="2435" w:type="dxa"/>
            <w:tcBorders>
              <w:top w:val="single" w:sz="6" w:space="0" w:color="auto"/>
              <w:left w:val="single" w:sz="6" w:space="0" w:color="auto"/>
              <w:bottom w:val="single" w:sz="6" w:space="0" w:color="auto"/>
              <w:right w:val="single" w:sz="6" w:space="0" w:color="auto"/>
            </w:tcBorders>
          </w:tcPr>
          <w:p w14:paraId="622BE01F" w14:textId="1B408EDB" w:rsidR="009F71B5" w:rsidRPr="00C5739B" w:rsidRDefault="009F4CE7" w:rsidP="00441924">
            <w:pPr>
              <w:tabs>
                <w:tab w:val="left" w:pos="1080"/>
              </w:tabs>
              <w:rPr>
                <w:sz w:val="20"/>
                <w:szCs w:val="20"/>
              </w:rPr>
            </w:pPr>
            <w:r>
              <w:rPr>
                <w:sz w:val="20"/>
                <w:szCs w:val="20"/>
              </w:rPr>
              <w:t>T</w:t>
            </w:r>
            <w:r w:rsidR="00D446BF">
              <w:rPr>
                <w:sz w:val="20"/>
                <w:szCs w:val="20"/>
              </w:rPr>
              <w:t xml:space="preserve">he </w:t>
            </w:r>
            <w:r w:rsidR="002F3716">
              <w:rPr>
                <w:sz w:val="20"/>
                <w:szCs w:val="20"/>
              </w:rPr>
              <w:t>P</w:t>
            </w:r>
            <w:r w:rsidR="002F3716" w:rsidRPr="002F3716">
              <w:rPr>
                <w:sz w:val="20"/>
                <w:szCs w:val="20"/>
              </w:rPr>
              <w:t xml:space="preserve">roject should source the </w:t>
            </w:r>
            <w:r w:rsidR="002F3716">
              <w:rPr>
                <w:sz w:val="20"/>
                <w:szCs w:val="20"/>
              </w:rPr>
              <w:t xml:space="preserve">additional </w:t>
            </w:r>
            <w:r w:rsidR="002F3716" w:rsidRPr="002F3716">
              <w:rPr>
                <w:sz w:val="20"/>
                <w:szCs w:val="20"/>
              </w:rPr>
              <w:t>PMC</w:t>
            </w:r>
            <w:r w:rsidR="009E1A41">
              <w:rPr>
                <w:sz w:val="20"/>
                <w:szCs w:val="20"/>
              </w:rPr>
              <w:t xml:space="preserve"> due to </w:t>
            </w:r>
            <w:r w:rsidR="00D446BF">
              <w:rPr>
                <w:sz w:val="20"/>
                <w:szCs w:val="20"/>
              </w:rPr>
              <w:t>extension</w:t>
            </w:r>
            <w:r w:rsidR="002F3716">
              <w:rPr>
                <w:sz w:val="20"/>
                <w:szCs w:val="20"/>
              </w:rPr>
              <w:t xml:space="preserve"> </w:t>
            </w:r>
            <w:r w:rsidR="002F3716" w:rsidRPr="002F3716">
              <w:rPr>
                <w:sz w:val="20"/>
                <w:szCs w:val="20"/>
              </w:rPr>
              <w:t>from other funding sources (i.e., non-GEF)</w:t>
            </w:r>
          </w:p>
        </w:tc>
        <w:tc>
          <w:tcPr>
            <w:tcW w:w="1185" w:type="dxa"/>
            <w:tcBorders>
              <w:top w:val="single" w:sz="6" w:space="0" w:color="auto"/>
              <w:left w:val="single" w:sz="6" w:space="0" w:color="auto"/>
              <w:bottom w:val="single" w:sz="6" w:space="0" w:color="auto"/>
            </w:tcBorders>
          </w:tcPr>
          <w:p w14:paraId="4841F4AE" w14:textId="77777777" w:rsidR="009F71B5" w:rsidRPr="00C5739B" w:rsidRDefault="009F71B5" w:rsidP="00441924">
            <w:pPr>
              <w:tabs>
                <w:tab w:val="left" w:pos="1080"/>
              </w:tabs>
              <w:rPr>
                <w:sz w:val="20"/>
                <w:szCs w:val="20"/>
              </w:rPr>
            </w:pPr>
          </w:p>
        </w:tc>
      </w:tr>
      <w:tr w:rsidR="009F71B5" w:rsidRPr="00C5739B" w14:paraId="43D8CA22" w14:textId="77777777" w:rsidTr="00FB07A1">
        <w:tc>
          <w:tcPr>
            <w:tcW w:w="4374" w:type="dxa"/>
            <w:tcBorders>
              <w:top w:val="single" w:sz="6" w:space="0" w:color="auto"/>
              <w:bottom w:val="single" w:sz="6" w:space="0" w:color="auto"/>
              <w:right w:val="single" w:sz="6" w:space="0" w:color="auto"/>
            </w:tcBorders>
          </w:tcPr>
          <w:p w14:paraId="38E00ACD" w14:textId="77777777" w:rsidR="009F71B5" w:rsidRPr="00C5739B" w:rsidRDefault="002D5C73" w:rsidP="00441924">
            <w:pPr>
              <w:tabs>
                <w:tab w:val="left" w:pos="1080"/>
              </w:tabs>
              <w:rPr>
                <w:sz w:val="20"/>
                <w:szCs w:val="20"/>
              </w:rPr>
            </w:pPr>
            <w:r>
              <w:rPr>
                <w:sz w:val="20"/>
                <w:szCs w:val="20"/>
              </w:rPr>
              <w:t>12</w:t>
            </w:r>
            <w:r w:rsidR="009F71B5" w:rsidRPr="00C5739B">
              <w:rPr>
                <w:sz w:val="20"/>
                <w:szCs w:val="20"/>
              </w:rPr>
              <w:t xml:space="preserve">.2 </w:t>
            </w:r>
            <w:r w:rsidR="00600EBF">
              <w:rPr>
                <w:sz w:val="20"/>
                <w:szCs w:val="20"/>
              </w:rPr>
              <w:t xml:space="preserve">Strategic planning for the extension period and exit strategy formulation </w:t>
            </w:r>
          </w:p>
        </w:tc>
        <w:tc>
          <w:tcPr>
            <w:tcW w:w="1924" w:type="dxa"/>
            <w:tcBorders>
              <w:top w:val="single" w:sz="6" w:space="0" w:color="auto"/>
              <w:left w:val="single" w:sz="6" w:space="0" w:color="auto"/>
              <w:bottom w:val="single" w:sz="6" w:space="0" w:color="auto"/>
              <w:right w:val="single" w:sz="6" w:space="0" w:color="auto"/>
            </w:tcBorders>
          </w:tcPr>
          <w:p w14:paraId="060B2182" w14:textId="6C5415C2" w:rsidR="009F71B5" w:rsidRPr="00C5739B" w:rsidRDefault="002F3716" w:rsidP="00441924">
            <w:pPr>
              <w:tabs>
                <w:tab w:val="left" w:pos="1080"/>
              </w:tabs>
              <w:rPr>
                <w:sz w:val="20"/>
                <w:szCs w:val="20"/>
              </w:rPr>
            </w:pPr>
            <w:r>
              <w:rPr>
                <w:sz w:val="20"/>
                <w:szCs w:val="20"/>
              </w:rPr>
              <w:t>August</w:t>
            </w:r>
            <w:r w:rsidR="00600EBF">
              <w:rPr>
                <w:sz w:val="20"/>
                <w:szCs w:val="20"/>
              </w:rPr>
              <w:t xml:space="preserve"> 2021</w:t>
            </w:r>
          </w:p>
        </w:tc>
        <w:tc>
          <w:tcPr>
            <w:tcW w:w="2409" w:type="dxa"/>
            <w:tcBorders>
              <w:top w:val="single" w:sz="6" w:space="0" w:color="auto"/>
              <w:left w:val="single" w:sz="6" w:space="0" w:color="auto"/>
              <w:bottom w:val="single" w:sz="6" w:space="0" w:color="auto"/>
              <w:right w:val="single" w:sz="6" w:space="0" w:color="auto"/>
            </w:tcBorders>
          </w:tcPr>
          <w:p w14:paraId="74113331" w14:textId="362AE389" w:rsidR="009F71B5" w:rsidRPr="00C5739B" w:rsidRDefault="00600EBF" w:rsidP="00441924">
            <w:pPr>
              <w:tabs>
                <w:tab w:val="left" w:pos="1080"/>
              </w:tabs>
              <w:rPr>
                <w:sz w:val="20"/>
                <w:szCs w:val="20"/>
              </w:rPr>
            </w:pPr>
            <w:r>
              <w:rPr>
                <w:sz w:val="20"/>
                <w:szCs w:val="20"/>
              </w:rPr>
              <w:t>PMU</w:t>
            </w:r>
            <w:r w:rsidR="002F3716">
              <w:rPr>
                <w:sz w:val="20"/>
                <w:szCs w:val="20"/>
              </w:rPr>
              <w:t xml:space="preserve"> (</w:t>
            </w:r>
            <w:r w:rsidR="00485C24">
              <w:rPr>
                <w:sz w:val="20"/>
                <w:szCs w:val="20"/>
              </w:rPr>
              <w:t>Lead</w:t>
            </w:r>
            <w:r w:rsidR="002F3716">
              <w:rPr>
                <w:sz w:val="20"/>
                <w:szCs w:val="20"/>
              </w:rPr>
              <w:t>)</w:t>
            </w:r>
            <w:r>
              <w:rPr>
                <w:sz w:val="20"/>
                <w:szCs w:val="20"/>
              </w:rPr>
              <w:t xml:space="preserve">, MTET/DOE, </w:t>
            </w:r>
            <w:r w:rsidR="00D8502F">
              <w:rPr>
                <w:sz w:val="20"/>
                <w:szCs w:val="20"/>
              </w:rPr>
              <w:t>TEC,</w:t>
            </w:r>
            <w:r>
              <w:rPr>
                <w:sz w:val="20"/>
                <w:szCs w:val="20"/>
              </w:rPr>
              <w:t xml:space="preserve"> </w:t>
            </w:r>
          </w:p>
        </w:tc>
        <w:tc>
          <w:tcPr>
            <w:tcW w:w="2435" w:type="dxa"/>
            <w:tcBorders>
              <w:top w:val="single" w:sz="6" w:space="0" w:color="auto"/>
              <w:left w:val="single" w:sz="6" w:space="0" w:color="auto"/>
              <w:bottom w:val="single" w:sz="6" w:space="0" w:color="auto"/>
              <w:right w:val="single" w:sz="6" w:space="0" w:color="auto"/>
            </w:tcBorders>
          </w:tcPr>
          <w:p w14:paraId="52E5DD21"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6" w:space="0" w:color="auto"/>
            </w:tcBorders>
          </w:tcPr>
          <w:p w14:paraId="57611E6B" w14:textId="77777777" w:rsidR="009F71B5" w:rsidRPr="00C5739B" w:rsidRDefault="009F71B5" w:rsidP="00441924">
            <w:pPr>
              <w:tabs>
                <w:tab w:val="left" w:pos="1080"/>
              </w:tabs>
              <w:rPr>
                <w:sz w:val="20"/>
                <w:szCs w:val="20"/>
              </w:rPr>
            </w:pPr>
          </w:p>
        </w:tc>
      </w:tr>
      <w:tr w:rsidR="009F71B5" w:rsidRPr="00C5739B" w14:paraId="602AC4F4" w14:textId="77777777" w:rsidTr="00FB07A1">
        <w:tc>
          <w:tcPr>
            <w:tcW w:w="4374" w:type="dxa"/>
            <w:tcBorders>
              <w:top w:val="single" w:sz="6" w:space="0" w:color="auto"/>
              <w:bottom w:val="single" w:sz="4" w:space="0" w:color="auto"/>
              <w:right w:val="single" w:sz="6" w:space="0" w:color="auto"/>
            </w:tcBorders>
          </w:tcPr>
          <w:p w14:paraId="6ECF5D54" w14:textId="4A3BB356" w:rsidR="009F71B5" w:rsidRPr="00C5739B" w:rsidRDefault="002D5C73" w:rsidP="00441924">
            <w:pPr>
              <w:tabs>
                <w:tab w:val="left" w:pos="1080"/>
              </w:tabs>
              <w:rPr>
                <w:sz w:val="20"/>
                <w:szCs w:val="20"/>
              </w:rPr>
            </w:pPr>
            <w:r>
              <w:rPr>
                <w:sz w:val="20"/>
                <w:szCs w:val="20"/>
              </w:rPr>
              <w:t>12</w:t>
            </w:r>
            <w:r w:rsidR="009F71B5" w:rsidRPr="00C5739B">
              <w:rPr>
                <w:sz w:val="20"/>
                <w:szCs w:val="20"/>
              </w:rPr>
              <w:t>.3</w:t>
            </w:r>
            <w:r w:rsidR="00600EBF">
              <w:rPr>
                <w:sz w:val="20"/>
                <w:szCs w:val="20"/>
              </w:rPr>
              <w:t xml:space="preserve"> Preparation, finalization</w:t>
            </w:r>
            <w:r w:rsidR="00751A14">
              <w:rPr>
                <w:sz w:val="20"/>
                <w:szCs w:val="20"/>
              </w:rPr>
              <w:t>,</w:t>
            </w:r>
            <w:r w:rsidR="00600EBF">
              <w:rPr>
                <w:sz w:val="20"/>
                <w:szCs w:val="20"/>
              </w:rPr>
              <w:t xml:space="preserve"> and approval of the AWP 2022 and 2023</w:t>
            </w:r>
          </w:p>
        </w:tc>
        <w:tc>
          <w:tcPr>
            <w:tcW w:w="1924" w:type="dxa"/>
            <w:tcBorders>
              <w:top w:val="single" w:sz="6" w:space="0" w:color="auto"/>
              <w:left w:val="single" w:sz="6" w:space="0" w:color="auto"/>
              <w:bottom w:val="single" w:sz="4" w:space="0" w:color="auto"/>
              <w:right w:val="single" w:sz="6" w:space="0" w:color="auto"/>
            </w:tcBorders>
          </w:tcPr>
          <w:p w14:paraId="243C5DB2" w14:textId="4939B3A2" w:rsidR="009F71B5" w:rsidRPr="00C5739B" w:rsidDel="0081599E" w:rsidRDefault="00600EBF" w:rsidP="00441924">
            <w:pPr>
              <w:tabs>
                <w:tab w:val="left" w:pos="1080"/>
              </w:tabs>
              <w:rPr>
                <w:sz w:val="20"/>
                <w:szCs w:val="20"/>
              </w:rPr>
            </w:pPr>
            <w:r>
              <w:rPr>
                <w:sz w:val="20"/>
                <w:szCs w:val="20"/>
              </w:rPr>
              <w:t>Dec</w:t>
            </w:r>
            <w:r w:rsidR="00751A14">
              <w:rPr>
                <w:sz w:val="20"/>
                <w:szCs w:val="20"/>
              </w:rPr>
              <w:t>e</w:t>
            </w:r>
            <w:r>
              <w:rPr>
                <w:sz w:val="20"/>
                <w:szCs w:val="20"/>
              </w:rPr>
              <w:t>mber 2021</w:t>
            </w:r>
          </w:p>
        </w:tc>
        <w:tc>
          <w:tcPr>
            <w:tcW w:w="2409" w:type="dxa"/>
            <w:tcBorders>
              <w:top w:val="single" w:sz="6" w:space="0" w:color="auto"/>
              <w:left w:val="single" w:sz="6" w:space="0" w:color="auto"/>
              <w:bottom w:val="single" w:sz="4" w:space="0" w:color="auto"/>
              <w:right w:val="single" w:sz="6" w:space="0" w:color="auto"/>
            </w:tcBorders>
          </w:tcPr>
          <w:p w14:paraId="3AE34B02" w14:textId="04A0A4AE" w:rsidR="009F71B5" w:rsidRPr="00C5739B" w:rsidDel="0081599E" w:rsidRDefault="00600EBF" w:rsidP="00441924">
            <w:pPr>
              <w:tabs>
                <w:tab w:val="left" w:pos="1080"/>
              </w:tabs>
              <w:rPr>
                <w:sz w:val="20"/>
                <w:szCs w:val="20"/>
              </w:rPr>
            </w:pPr>
            <w:r>
              <w:rPr>
                <w:sz w:val="20"/>
                <w:szCs w:val="20"/>
              </w:rPr>
              <w:t>PMU</w:t>
            </w:r>
            <w:r w:rsidR="002F3716">
              <w:rPr>
                <w:sz w:val="20"/>
                <w:szCs w:val="20"/>
              </w:rPr>
              <w:t xml:space="preserve"> (Lead)</w:t>
            </w:r>
            <w:r>
              <w:rPr>
                <w:sz w:val="20"/>
                <w:szCs w:val="20"/>
              </w:rPr>
              <w:t>, MTET/DOE, TEC</w:t>
            </w:r>
          </w:p>
        </w:tc>
        <w:tc>
          <w:tcPr>
            <w:tcW w:w="2435" w:type="dxa"/>
            <w:tcBorders>
              <w:top w:val="single" w:sz="6" w:space="0" w:color="auto"/>
              <w:left w:val="single" w:sz="6" w:space="0" w:color="auto"/>
              <w:bottom w:val="single" w:sz="4" w:space="0" w:color="auto"/>
              <w:right w:val="single" w:sz="6" w:space="0" w:color="auto"/>
            </w:tcBorders>
          </w:tcPr>
          <w:p w14:paraId="3CC1614C" w14:textId="77777777" w:rsidR="009F71B5" w:rsidRPr="00C5739B" w:rsidRDefault="009F71B5" w:rsidP="00441924">
            <w:pPr>
              <w:tabs>
                <w:tab w:val="left" w:pos="1080"/>
              </w:tabs>
              <w:rPr>
                <w:sz w:val="20"/>
                <w:szCs w:val="20"/>
              </w:rPr>
            </w:pPr>
          </w:p>
        </w:tc>
        <w:tc>
          <w:tcPr>
            <w:tcW w:w="1185" w:type="dxa"/>
            <w:tcBorders>
              <w:top w:val="single" w:sz="6" w:space="0" w:color="auto"/>
              <w:left w:val="single" w:sz="6" w:space="0" w:color="auto"/>
              <w:bottom w:val="single" w:sz="4" w:space="0" w:color="auto"/>
            </w:tcBorders>
          </w:tcPr>
          <w:p w14:paraId="61BE64B8" w14:textId="77777777" w:rsidR="009F71B5" w:rsidRPr="00C5739B" w:rsidRDefault="009F71B5" w:rsidP="00441924">
            <w:pPr>
              <w:tabs>
                <w:tab w:val="left" w:pos="1080"/>
              </w:tabs>
              <w:rPr>
                <w:sz w:val="20"/>
                <w:szCs w:val="20"/>
              </w:rPr>
            </w:pPr>
          </w:p>
        </w:tc>
      </w:tr>
    </w:tbl>
    <w:p w14:paraId="63D2A3DF" w14:textId="77777777" w:rsidR="009F71B5" w:rsidRDefault="009F71B5" w:rsidP="00E210CC">
      <w:pPr>
        <w:tabs>
          <w:tab w:val="left" w:pos="1080"/>
        </w:tabs>
        <w:rPr>
          <w:sz w:val="20"/>
          <w:szCs w:val="20"/>
          <w:lang w:eastAsia="ja-JP"/>
        </w:rPr>
      </w:pPr>
    </w:p>
    <w:p w14:paraId="22E59D0C" w14:textId="77777777" w:rsidR="00E210CC" w:rsidRPr="00C4626B" w:rsidRDefault="00E210CC" w:rsidP="00E210CC">
      <w:pPr>
        <w:tabs>
          <w:tab w:val="left" w:pos="1080"/>
        </w:tabs>
        <w:rPr>
          <w:sz w:val="20"/>
          <w:szCs w:val="20"/>
          <w:lang w:eastAsia="ja-JP"/>
        </w:rPr>
      </w:pPr>
    </w:p>
    <w:p w14:paraId="5DC69293" w14:textId="77777777" w:rsidR="00E210CC" w:rsidRPr="00FA6DA3" w:rsidRDefault="00E210CC" w:rsidP="00E210CC">
      <w:pPr>
        <w:tabs>
          <w:tab w:val="left" w:pos="1080"/>
        </w:tabs>
        <w:rPr>
          <w:sz w:val="17"/>
          <w:szCs w:val="17"/>
        </w:rPr>
      </w:pPr>
      <w:r w:rsidRPr="00DA29B4">
        <w:rPr>
          <w:sz w:val="17"/>
          <w:szCs w:val="17"/>
          <w:lang w:eastAsia="ja-JP"/>
        </w:rPr>
        <w:t xml:space="preserve">* </w:t>
      </w:r>
      <w:r w:rsidRPr="00DA29B4">
        <w:rPr>
          <w:sz w:val="17"/>
          <w:szCs w:val="17"/>
        </w:rPr>
        <w:t>Status of implementation is tracked electronically in the</w:t>
      </w:r>
      <w:r>
        <w:rPr>
          <w:sz w:val="17"/>
          <w:szCs w:val="17"/>
        </w:rPr>
        <w:t xml:space="preserve"> Evaluation Resource Centre </w:t>
      </w:r>
      <w:r w:rsidRPr="00FA6DA3">
        <w:rPr>
          <w:sz w:val="17"/>
          <w:szCs w:val="17"/>
        </w:rPr>
        <w:t>database (ERC).</w:t>
      </w:r>
    </w:p>
    <w:p w14:paraId="25F1FA9B" w14:textId="58C2C51C" w:rsidR="00E210CC" w:rsidRDefault="00E210CC"/>
    <w:p w14:paraId="714F36A8" w14:textId="77777777" w:rsidR="006767A7" w:rsidRPr="00B36B62" w:rsidRDefault="006767A7">
      <w:pPr>
        <w:rPr>
          <w:b/>
          <w:caps/>
        </w:rPr>
      </w:pPr>
      <w:r w:rsidRPr="00B36B62">
        <w:rPr>
          <w:b/>
          <w:caps/>
        </w:rPr>
        <w:t xml:space="preserve">Additional </w:t>
      </w:r>
      <w:r w:rsidR="009E1A41" w:rsidRPr="00B36B62">
        <w:rPr>
          <w:b/>
          <w:caps/>
        </w:rPr>
        <w:t>Note</w:t>
      </w:r>
      <w:r w:rsidRPr="00B36B62">
        <w:rPr>
          <w:b/>
          <w:caps/>
        </w:rPr>
        <w:t xml:space="preserve"> to the Managemnt Response</w:t>
      </w:r>
    </w:p>
    <w:p w14:paraId="7CDC3858" w14:textId="5A7B9F6F" w:rsidR="00D446BF" w:rsidRDefault="00D446BF"/>
    <w:p w14:paraId="64E4DDFF" w14:textId="6CC96FC6" w:rsidR="00D446BF" w:rsidRPr="00B36B62" w:rsidRDefault="00B36B62">
      <w:pPr>
        <w:rPr>
          <w:b/>
        </w:rPr>
      </w:pPr>
      <w:r w:rsidRPr="00B36B62">
        <w:rPr>
          <w:b/>
        </w:rPr>
        <w:t xml:space="preserve">Clarification on </w:t>
      </w:r>
      <w:r w:rsidR="00D446BF" w:rsidRPr="00B36B62">
        <w:rPr>
          <w:b/>
        </w:rPr>
        <w:t>Status of conversion of the Tuvalu’s INDC to NDC</w:t>
      </w:r>
    </w:p>
    <w:p w14:paraId="103B92DB" w14:textId="340953E9" w:rsidR="00D446BF" w:rsidRPr="00B36B62" w:rsidRDefault="00D446BF">
      <w:r w:rsidRPr="00B36B62">
        <w:t xml:space="preserve"> </w:t>
      </w:r>
    </w:p>
    <w:p w14:paraId="15A25BF8" w14:textId="10519C1C" w:rsidR="00D446BF" w:rsidRPr="00B36B62" w:rsidRDefault="00D446BF" w:rsidP="00B36B62">
      <w:pPr>
        <w:pStyle w:val="ListParagraph"/>
        <w:numPr>
          <w:ilvl w:val="0"/>
          <w:numId w:val="3"/>
        </w:numPr>
      </w:pPr>
      <w:r w:rsidRPr="00B36B62">
        <w:rPr>
          <w:b/>
          <w:i/>
        </w:rPr>
        <w:t xml:space="preserve">MTR Report </w:t>
      </w:r>
      <w:r w:rsidR="001402D4" w:rsidRPr="00B36B62">
        <w:rPr>
          <w:b/>
          <w:i/>
        </w:rPr>
        <w:t xml:space="preserve">(April 2021) </w:t>
      </w:r>
      <w:r w:rsidRPr="00B36B62">
        <w:rPr>
          <w:b/>
          <w:i/>
        </w:rPr>
        <w:t>stated</w:t>
      </w:r>
      <w:r w:rsidRPr="00B36B62">
        <w:t xml:space="preserve">: </w:t>
      </w:r>
    </w:p>
    <w:p w14:paraId="3376B6F1" w14:textId="77777777" w:rsidR="00D446BF" w:rsidRPr="00B36B62" w:rsidRDefault="00D446BF"/>
    <w:p w14:paraId="188C4456" w14:textId="77777777" w:rsidR="006767A7" w:rsidRPr="00B36B62" w:rsidRDefault="00D446BF" w:rsidP="00D446BF">
      <w:pPr>
        <w:pStyle w:val="ListParagraph"/>
        <w:numPr>
          <w:ilvl w:val="0"/>
          <w:numId w:val="1"/>
        </w:numPr>
      </w:pPr>
      <w:r w:rsidRPr="00B36B62">
        <w:t xml:space="preserve">Section 3.1.4, page 6: "In November 2015, after signing the Paris Agreement on Climate Change, the Government submitted its INDC to UNFCCC… </w:t>
      </w:r>
      <w:r w:rsidRPr="00B36B62">
        <w:rPr>
          <w:color w:val="000000"/>
          <w:lang w:val="es-BO" w:eastAsia="es-ES"/>
        </w:rPr>
        <w:t xml:space="preserve">The </w:t>
      </w:r>
      <w:r w:rsidRPr="00B36B62">
        <w:rPr>
          <w:b/>
          <w:color w:val="000000"/>
          <w:lang w:val="es-BO" w:eastAsia="es-ES"/>
        </w:rPr>
        <w:t>Nationally Determined Contribution (NDC) pursuant to the Paris Agreement may be delayed</w:t>
      </w:r>
      <w:r w:rsidRPr="00B36B62">
        <w:rPr>
          <w:color w:val="000000"/>
          <w:lang w:val="es-BO" w:eastAsia="es-ES"/>
        </w:rPr>
        <w:t xml:space="preserve"> due to the current review of the Energy Efficiency Act.”</w:t>
      </w:r>
    </w:p>
    <w:p w14:paraId="2660ED7F" w14:textId="11C39DE0" w:rsidR="00FF2B15" w:rsidRPr="00B36B62" w:rsidRDefault="00D446BF" w:rsidP="00B36B62">
      <w:pPr>
        <w:pStyle w:val="ListParagraph"/>
      </w:pPr>
      <w:r w:rsidRPr="00B36B62">
        <w:t xml:space="preserve"> </w:t>
      </w:r>
    </w:p>
    <w:p w14:paraId="5FEB65D8" w14:textId="0B79874E" w:rsidR="005A7F10" w:rsidRPr="00B36B62" w:rsidRDefault="00FF2B15" w:rsidP="00D446BF">
      <w:pPr>
        <w:pStyle w:val="ListParagraph"/>
        <w:numPr>
          <w:ilvl w:val="0"/>
          <w:numId w:val="1"/>
        </w:numPr>
      </w:pPr>
      <w:r w:rsidRPr="00B36B62">
        <w:t xml:space="preserve">Section 4.1.1, (i) Problems addressed, Relevance, para 1: “This goal was reaffirmed in Tuvalu’s INDC, submitted prior to COP21, with the target date extended to 2025., however the </w:t>
      </w:r>
      <w:r w:rsidRPr="00B36B62">
        <w:rPr>
          <w:b/>
        </w:rPr>
        <w:t>NDCs have not yet been formally presented to the UNFCCC</w:t>
      </w:r>
      <w:r w:rsidRPr="00B36B62">
        <w:t xml:space="preserve">… </w:t>
      </w:r>
      <w:r w:rsidR="001402D4" w:rsidRPr="00B36B62">
        <w:t xml:space="preserve">The process needs to be completed by: (i) prescribing the emission reduction targets as required by the Climate Change Resilience Act; and (ii) </w:t>
      </w:r>
      <w:r w:rsidR="001402D4" w:rsidRPr="00B36B62">
        <w:rPr>
          <w:b/>
        </w:rPr>
        <w:t>officially communicating the NDC for Tuvalu to the UNFCCC</w:t>
      </w:r>
      <w:r w:rsidR="001402D4" w:rsidRPr="00B36B62">
        <w:t>.</w:t>
      </w:r>
    </w:p>
    <w:p w14:paraId="07094524" w14:textId="77777777" w:rsidR="006767A7" w:rsidRPr="00B36B62" w:rsidRDefault="006767A7" w:rsidP="00B36B62">
      <w:pPr>
        <w:pStyle w:val="ListParagraph"/>
      </w:pPr>
    </w:p>
    <w:p w14:paraId="504876FA" w14:textId="77777777" w:rsidR="006767A7" w:rsidRPr="00B36B62" w:rsidRDefault="006767A7" w:rsidP="00B36B62">
      <w:pPr>
        <w:pStyle w:val="ListParagraph"/>
      </w:pPr>
    </w:p>
    <w:p w14:paraId="49C08E85" w14:textId="6FAD33F2" w:rsidR="006767A7" w:rsidRPr="00B36B62" w:rsidRDefault="005A7F10" w:rsidP="006767A7">
      <w:pPr>
        <w:pStyle w:val="ListParagraph"/>
        <w:numPr>
          <w:ilvl w:val="0"/>
          <w:numId w:val="1"/>
        </w:numPr>
        <w:rPr>
          <w:lang w:val="en-PH"/>
        </w:rPr>
      </w:pPr>
      <w:r w:rsidRPr="00B36B62">
        <w:lastRenderedPageBreak/>
        <w:t xml:space="preserve">Above statements imply that Tuvalu </w:t>
      </w:r>
      <w:r w:rsidRPr="00B36B62">
        <w:rPr>
          <w:b/>
        </w:rPr>
        <w:t>does not have its NDC</w:t>
      </w:r>
      <w:r w:rsidRPr="00B36B62">
        <w:t xml:space="preserve">, as basis for the country’s commitment on its GHG emission targets. Prior to this, during the drafting stage </w:t>
      </w:r>
      <w:r w:rsidR="00F02C94" w:rsidRPr="00B36B62">
        <w:t xml:space="preserve">(April 2021), </w:t>
      </w:r>
      <w:r w:rsidRPr="00B36B62">
        <w:t xml:space="preserve">the MTR Team Leader </w:t>
      </w:r>
      <w:r w:rsidR="00F02C94" w:rsidRPr="00B36B62">
        <w:t xml:space="preserve">stated: </w:t>
      </w:r>
      <w:r w:rsidR="006767A7" w:rsidRPr="00B36B62">
        <w:rPr>
          <w:b/>
          <w:bCs/>
          <w:lang w:val="en-GB"/>
        </w:rPr>
        <w:t>The commentator</w:t>
      </w:r>
      <w:r w:rsidR="006767A7" w:rsidRPr="00B36B62">
        <w:rPr>
          <w:bCs/>
          <w:lang w:val="en-GB"/>
        </w:rPr>
        <w:t xml:space="preserve"> (UNDP) </w:t>
      </w:r>
      <w:r w:rsidR="006767A7" w:rsidRPr="00B36B62">
        <w:rPr>
          <w:b/>
          <w:bCs/>
          <w:lang w:val="en-GB"/>
        </w:rPr>
        <w:t>is not correct</w:t>
      </w:r>
      <w:r w:rsidR="006767A7" w:rsidRPr="00B36B62">
        <w:rPr>
          <w:lang w:val="en-GB"/>
        </w:rPr>
        <w:t xml:space="preserve">. The Paris agreement went into force on </w:t>
      </w:r>
      <w:r w:rsidR="006767A7" w:rsidRPr="00B36B62">
        <w:rPr>
          <w:u w:val="single"/>
          <w:lang w:val="en-GB"/>
        </w:rPr>
        <w:t>November 4, 2016</w:t>
      </w:r>
      <w:r w:rsidR="006767A7" w:rsidRPr="00B36B62">
        <w:rPr>
          <w:lang w:val="en-GB"/>
        </w:rPr>
        <w:t>. Further, the MTR TL stated: “The statement is also wrong from another perspective: INDC is an intention, while NDC is a promise to comply with, which could be stronger or weaker than the INDCs based on the analysis that the country did after presenting its INDCs. Tuvalu has only presented INDCs, not NDCs, and has therefore no legally binding compromise to comply with the Paris agreement.</w:t>
      </w:r>
    </w:p>
    <w:p w14:paraId="62AEC2DF" w14:textId="77777777" w:rsidR="006767A7" w:rsidRPr="00B36B62" w:rsidRDefault="006767A7" w:rsidP="00B36B62">
      <w:pPr>
        <w:pStyle w:val="ListParagraph"/>
        <w:rPr>
          <w:lang w:val="en-PH"/>
        </w:rPr>
      </w:pPr>
    </w:p>
    <w:p w14:paraId="2E201794" w14:textId="7C71D502" w:rsidR="00F02C94" w:rsidRPr="00B36B62" w:rsidRDefault="00F02C94" w:rsidP="00F02C94">
      <w:pPr>
        <w:pStyle w:val="ListParagraph"/>
        <w:numPr>
          <w:ilvl w:val="0"/>
          <w:numId w:val="1"/>
        </w:numPr>
        <w:rPr>
          <w:lang w:val="en-PH"/>
        </w:rPr>
      </w:pPr>
      <w:r w:rsidRPr="00B36B62">
        <w:rPr>
          <w:iCs/>
          <w:lang w:val="en-GB"/>
        </w:rPr>
        <w:t>The MTR T</w:t>
      </w:r>
      <w:r w:rsidR="006767A7" w:rsidRPr="00B36B62">
        <w:rPr>
          <w:iCs/>
          <w:lang w:val="en-GB"/>
        </w:rPr>
        <w:t>L further stated: “The T</w:t>
      </w:r>
      <w:r w:rsidRPr="00B36B62">
        <w:rPr>
          <w:iCs/>
          <w:lang w:val="en-GB"/>
        </w:rPr>
        <w:t xml:space="preserve">eam Leader has checked this with </w:t>
      </w:r>
      <w:proofErr w:type="gramStart"/>
      <w:r w:rsidRPr="00B36B62">
        <w:rPr>
          <w:iCs/>
          <w:lang w:val="en-GB"/>
        </w:rPr>
        <w:t>UNFCCC, and</w:t>
      </w:r>
      <w:proofErr w:type="gramEnd"/>
      <w:r w:rsidRPr="00B36B62">
        <w:rPr>
          <w:iCs/>
          <w:lang w:val="en-GB"/>
        </w:rPr>
        <w:t xml:space="preserve"> maintains that it is not correct that once the INDC is submitted it is converted to NDC.</w:t>
      </w:r>
      <w:r w:rsidRPr="00B36B62">
        <w:rPr>
          <w:i/>
          <w:iCs/>
          <w:lang w:val="en-GB"/>
        </w:rPr>
        <w:t> </w:t>
      </w:r>
    </w:p>
    <w:p w14:paraId="4310A494" w14:textId="43B41B2A" w:rsidR="009E1A41" w:rsidRPr="00B36B62" w:rsidRDefault="009E1A41" w:rsidP="00B36B62">
      <w:pPr>
        <w:ind w:left="360"/>
      </w:pPr>
    </w:p>
    <w:p w14:paraId="023A56AE" w14:textId="2A39580F" w:rsidR="00557B6B" w:rsidRDefault="005866EF" w:rsidP="0033261B">
      <w:pPr>
        <w:ind w:left="360"/>
      </w:pPr>
      <w:r w:rsidRPr="005866EF">
        <w:t>Hence, this clarification is sought.</w:t>
      </w:r>
    </w:p>
    <w:p w14:paraId="1E96BB6F" w14:textId="77777777" w:rsidR="005866EF" w:rsidRPr="00B36B62" w:rsidRDefault="005866EF" w:rsidP="00557B6B"/>
    <w:p w14:paraId="4746A545" w14:textId="4A68DA8D" w:rsidR="00557B6B" w:rsidRPr="00B36B62" w:rsidRDefault="006767A7" w:rsidP="00B36B62">
      <w:pPr>
        <w:pStyle w:val="ListParagraph"/>
        <w:numPr>
          <w:ilvl w:val="0"/>
          <w:numId w:val="3"/>
        </w:numPr>
        <w:rPr>
          <w:b/>
          <w:i/>
        </w:rPr>
      </w:pPr>
      <w:r w:rsidRPr="00B36B62">
        <w:rPr>
          <w:b/>
          <w:i/>
        </w:rPr>
        <w:t xml:space="preserve">UNDP </w:t>
      </w:r>
      <w:r w:rsidR="00557B6B" w:rsidRPr="00B36B62">
        <w:rPr>
          <w:b/>
          <w:i/>
        </w:rPr>
        <w:t xml:space="preserve">Advice regarding </w:t>
      </w:r>
      <w:r w:rsidRPr="00B36B62">
        <w:rPr>
          <w:b/>
          <w:i/>
        </w:rPr>
        <w:t>C</w:t>
      </w:r>
      <w:r w:rsidR="00557B6B" w:rsidRPr="00B36B62">
        <w:rPr>
          <w:b/>
          <w:i/>
        </w:rPr>
        <w:t>onversion of INDCs to NDCs (Tuvalu)</w:t>
      </w:r>
    </w:p>
    <w:p w14:paraId="2715CD0A" w14:textId="16778E06" w:rsidR="00557B6B" w:rsidRPr="00B36B62" w:rsidRDefault="00557B6B" w:rsidP="00557B6B"/>
    <w:p w14:paraId="48222426" w14:textId="131B326E" w:rsidR="006767A7" w:rsidRPr="00B36B62" w:rsidRDefault="00B36B62" w:rsidP="006767A7">
      <w:pPr>
        <w:pStyle w:val="ListParagraph"/>
        <w:numPr>
          <w:ilvl w:val="0"/>
          <w:numId w:val="2"/>
        </w:numPr>
        <w:rPr>
          <w:color w:val="000000"/>
          <w:lang w:val="en-PH"/>
        </w:rPr>
      </w:pPr>
      <w:r w:rsidRPr="00B36B62">
        <w:rPr>
          <w:color w:val="000000"/>
          <w:lang w:val="en-PH"/>
        </w:rPr>
        <w:t>Emma Sale (</w:t>
      </w:r>
      <w:r w:rsidR="00F02C94" w:rsidRPr="00B36B62">
        <w:rPr>
          <w:color w:val="000000"/>
          <w:lang w:val="en-PH"/>
        </w:rPr>
        <w:t xml:space="preserve">UNDP </w:t>
      </w:r>
      <w:r w:rsidRPr="00B36B62">
        <w:rPr>
          <w:color w:val="000000"/>
          <w:lang w:val="en-PH"/>
        </w:rPr>
        <w:t xml:space="preserve">Pacific Office in Fiji) </w:t>
      </w:r>
      <w:r w:rsidR="00F02C94" w:rsidRPr="00B36B62">
        <w:rPr>
          <w:color w:val="000000"/>
          <w:lang w:val="en-PH"/>
        </w:rPr>
        <w:t>maintains: “</w:t>
      </w:r>
      <w:r w:rsidR="006767A7" w:rsidRPr="00B36B62">
        <w:rPr>
          <w:color w:val="000000"/>
          <w:lang w:val="en-PH"/>
        </w:rPr>
        <w:t>Once the Paris Agreement comes into force, all countries’ INDCs automatically become NDCs.”</w:t>
      </w:r>
    </w:p>
    <w:p w14:paraId="5DFB209A" w14:textId="086904E5" w:rsidR="00F02C94" w:rsidRPr="00B36B62" w:rsidRDefault="00F02C94" w:rsidP="00B36B62">
      <w:pPr>
        <w:pStyle w:val="ListParagraph"/>
        <w:rPr>
          <w:color w:val="000000"/>
          <w:lang w:val="en-PH"/>
        </w:rPr>
      </w:pPr>
    </w:p>
    <w:p w14:paraId="612EACC7" w14:textId="5FFD58F5" w:rsidR="00557B6B" w:rsidRPr="00B36B62" w:rsidRDefault="00557B6B" w:rsidP="00557B6B">
      <w:pPr>
        <w:pStyle w:val="ListParagraph"/>
        <w:numPr>
          <w:ilvl w:val="0"/>
          <w:numId w:val="2"/>
        </w:numPr>
        <w:rPr>
          <w:color w:val="000000"/>
          <w:lang w:val="en-PH"/>
        </w:rPr>
      </w:pPr>
      <w:r w:rsidRPr="00B36B62">
        <w:t xml:space="preserve">An advice of Ms. Jennifer Baumwoll </w:t>
      </w:r>
      <w:r w:rsidRPr="00B36B62">
        <w:rPr>
          <w:color w:val="000000"/>
        </w:rPr>
        <w:t>&lt;</w:t>
      </w:r>
      <w:hyperlink r:id="rId7" w:history="1">
        <w:r w:rsidRPr="00B36B62">
          <w:rPr>
            <w:rStyle w:val="Hyperlink"/>
            <w:color w:val="0563C1"/>
          </w:rPr>
          <w:t>jennifer.baumwoll@undp.org</w:t>
        </w:r>
      </w:hyperlink>
      <w:r w:rsidRPr="00B36B62">
        <w:rPr>
          <w:color w:val="000000"/>
        </w:rPr>
        <w:t xml:space="preserve">&gt; </w:t>
      </w:r>
      <w:r w:rsidR="00B36B62" w:rsidRPr="00B36B62">
        <w:rPr>
          <w:color w:val="000000"/>
        </w:rPr>
        <w:t xml:space="preserve">of UNDP </w:t>
      </w:r>
      <w:r w:rsidRPr="00B36B62">
        <w:rPr>
          <w:color w:val="000000"/>
        </w:rPr>
        <w:t xml:space="preserve">dated 04 </w:t>
      </w:r>
      <w:r w:rsidR="006767A7" w:rsidRPr="00B36B62">
        <w:rPr>
          <w:color w:val="000000"/>
        </w:rPr>
        <w:t>M</w:t>
      </w:r>
      <w:r w:rsidRPr="00B36B62">
        <w:rPr>
          <w:color w:val="000000"/>
        </w:rPr>
        <w:t>ay 2021: “</w:t>
      </w:r>
      <w:r w:rsidRPr="00B36B62">
        <w:rPr>
          <w:color w:val="000000"/>
          <w:lang w:val="en-PH"/>
        </w:rPr>
        <w:t>We are in agreement with the interpretation of the CO on this, as this is how it is stated in Decision </w:t>
      </w:r>
      <w:hyperlink r:id="rId8" w:tgtFrame="_blank" w:history="1">
        <w:r w:rsidRPr="00B36B62">
          <w:rPr>
            <w:rStyle w:val="Hyperlink"/>
            <w:lang w:val="en-PH"/>
          </w:rPr>
          <w:t>1/CP.21 </w:t>
        </w:r>
      </w:hyperlink>
      <w:r w:rsidRPr="00B36B62">
        <w:rPr>
          <w:color w:val="000000"/>
          <w:lang w:val="en-PH"/>
        </w:rPr>
        <w:t xml:space="preserve">”Adoption of the Paris Agreement.”  Essentially, the decision states that when a country legally becomes a Party to the Paris Agreement, and “submits its respective instrument of ratification, acceptance, approval or accession of the Paris Agreement”, any submitted iNDC officially and automatically becomes the Party’s first NDC. The Party could also choose to submit a separate new or updated NDC as its first official NDC that would replace the </w:t>
      </w:r>
      <w:r w:rsidR="00B36B62">
        <w:rPr>
          <w:color w:val="000000"/>
          <w:lang w:val="en-PH"/>
        </w:rPr>
        <w:t>I</w:t>
      </w:r>
      <w:r w:rsidRPr="00B36B62">
        <w:rPr>
          <w:color w:val="000000"/>
          <w:lang w:val="en-PH"/>
        </w:rPr>
        <w:t xml:space="preserve">NDC when it officially joins the Paris Agreement, but that is not required. My understanding is that according to the NDC Registry, </w:t>
      </w:r>
      <w:r w:rsidRPr="00B36B62">
        <w:rPr>
          <w:b/>
          <w:color w:val="000000"/>
          <w:lang w:val="en-PH"/>
        </w:rPr>
        <w:t>Tuvalu is listed as having submitted a first NDC (which was its iNDC)</w:t>
      </w:r>
      <w:r w:rsidRPr="00B36B62">
        <w:rPr>
          <w:color w:val="000000"/>
          <w:lang w:val="en-PH"/>
        </w:rPr>
        <w:t>.</w:t>
      </w:r>
      <w:r w:rsidR="005A7F10" w:rsidRPr="00B36B62">
        <w:rPr>
          <w:color w:val="000000"/>
          <w:lang w:val="en-PH"/>
        </w:rPr>
        <w:t>”</w:t>
      </w:r>
    </w:p>
    <w:p w14:paraId="55EDEE2E" w14:textId="7BFB157C" w:rsidR="00557B6B" w:rsidRPr="00B36B62" w:rsidRDefault="00557B6B" w:rsidP="00B36B62">
      <w:pPr>
        <w:pStyle w:val="ListParagraph"/>
        <w:rPr>
          <w:lang w:val="en-PH"/>
        </w:rPr>
      </w:pPr>
    </w:p>
    <w:p w14:paraId="0390483C" w14:textId="097B349F" w:rsidR="00557B6B" w:rsidRDefault="00557B6B" w:rsidP="00B36B62">
      <w:pPr>
        <w:pStyle w:val="ListParagraph"/>
      </w:pPr>
    </w:p>
    <w:sectPr w:rsidR="00557B6B" w:rsidSect="00E210C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079C" w14:textId="77777777" w:rsidR="0068018F" w:rsidRDefault="0068018F" w:rsidP="00FF2B15">
      <w:r>
        <w:separator/>
      </w:r>
    </w:p>
  </w:endnote>
  <w:endnote w:type="continuationSeparator" w:id="0">
    <w:p w14:paraId="4F2EF6B3" w14:textId="77777777" w:rsidR="0068018F" w:rsidRDefault="0068018F" w:rsidP="00F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D526" w14:textId="77777777" w:rsidR="0068018F" w:rsidRDefault="0068018F" w:rsidP="00FF2B15">
      <w:r>
        <w:separator/>
      </w:r>
    </w:p>
  </w:footnote>
  <w:footnote w:type="continuationSeparator" w:id="0">
    <w:p w14:paraId="19C17753" w14:textId="77777777" w:rsidR="0068018F" w:rsidRDefault="0068018F" w:rsidP="00FF2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F3E4F"/>
    <w:multiLevelType w:val="hybridMultilevel"/>
    <w:tmpl w:val="2A0E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231DB"/>
    <w:multiLevelType w:val="hybridMultilevel"/>
    <w:tmpl w:val="D288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15B2D"/>
    <w:multiLevelType w:val="hybridMultilevel"/>
    <w:tmpl w:val="7FD2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0CC"/>
    <w:rsid w:val="00027D3D"/>
    <w:rsid w:val="00033051"/>
    <w:rsid w:val="00035F00"/>
    <w:rsid w:val="00045299"/>
    <w:rsid w:val="000B3B25"/>
    <w:rsid w:val="000B40A1"/>
    <w:rsid w:val="000C68F8"/>
    <w:rsid w:val="000D7795"/>
    <w:rsid w:val="000E31BD"/>
    <w:rsid w:val="000E70CA"/>
    <w:rsid w:val="001402D4"/>
    <w:rsid w:val="00154AC9"/>
    <w:rsid w:val="00171CF2"/>
    <w:rsid w:val="001748A7"/>
    <w:rsid w:val="00190C7A"/>
    <w:rsid w:val="001A119C"/>
    <w:rsid w:val="001A7B8A"/>
    <w:rsid w:val="001D00C8"/>
    <w:rsid w:val="001E137E"/>
    <w:rsid w:val="001F7043"/>
    <w:rsid w:val="00286298"/>
    <w:rsid w:val="002D480E"/>
    <w:rsid w:val="002D5C73"/>
    <w:rsid w:val="002F2457"/>
    <w:rsid w:val="002F3716"/>
    <w:rsid w:val="00315377"/>
    <w:rsid w:val="0033261B"/>
    <w:rsid w:val="00335E2B"/>
    <w:rsid w:val="00336F57"/>
    <w:rsid w:val="003903A3"/>
    <w:rsid w:val="0039321F"/>
    <w:rsid w:val="003A29C2"/>
    <w:rsid w:val="003D5059"/>
    <w:rsid w:val="003E1805"/>
    <w:rsid w:val="00406E7C"/>
    <w:rsid w:val="00441924"/>
    <w:rsid w:val="00455F19"/>
    <w:rsid w:val="00471B37"/>
    <w:rsid w:val="00485C24"/>
    <w:rsid w:val="00494AFB"/>
    <w:rsid w:val="004A03FB"/>
    <w:rsid w:val="004D0D39"/>
    <w:rsid w:val="004E126B"/>
    <w:rsid w:val="0051651F"/>
    <w:rsid w:val="005236B8"/>
    <w:rsid w:val="00534D77"/>
    <w:rsid w:val="00536AF6"/>
    <w:rsid w:val="00553894"/>
    <w:rsid w:val="00557B6B"/>
    <w:rsid w:val="00582E03"/>
    <w:rsid w:val="005855C1"/>
    <w:rsid w:val="005866EF"/>
    <w:rsid w:val="0059350F"/>
    <w:rsid w:val="005A7F10"/>
    <w:rsid w:val="00600EBF"/>
    <w:rsid w:val="006339F5"/>
    <w:rsid w:val="006443D9"/>
    <w:rsid w:val="006767A7"/>
    <w:rsid w:val="0068018F"/>
    <w:rsid w:val="0068707D"/>
    <w:rsid w:val="006E67C8"/>
    <w:rsid w:val="00720810"/>
    <w:rsid w:val="007369C2"/>
    <w:rsid w:val="00751A14"/>
    <w:rsid w:val="007804C2"/>
    <w:rsid w:val="007C3EA8"/>
    <w:rsid w:val="007C7E16"/>
    <w:rsid w:val="007E0A02"/>
    <w:rsid w:val="007E799E"/>
    <w:rsid w:val="007F1076"/>
    <w:rsid w:val="008036CE"/>
    <w:rsid w:val="00804A8A"/>
    <w:rsid w:val="00822B40"/>
    <w:rsid w:val="00882BBB"/>
    <w:rsid w:val="00883FAA"/>
    <w:rsid w:val="00887B75"/>
    <w:rsid w:val="008A05FC"/>
    <w:rsid w:val="008C545F"/>
    <w:rsid w:val="00926A0B"/>
    <w:rsid w:val="009560B6"/>
    <w:rsid w:val="00962B08"/>
    <w:rsid w:val="00963CA4"/>
    <w:rsid w:val="009652EC"/>
    <w:rsid w:val="00970B7D"/>
    <w:rsid w:val="009863F9"/>
    <w:rsid w:val="00987B4F"/>
    <w:rsid w:val="009A3FFE"/>
    <w:rsid w:val="009A6469"/>
    <w:rsid w:val="009B0F8B"/>
    <w:rsid w:val="009B4F49"/>
    <w:rsid w:val="009E1A41"/>
    <w:rsid w:val="009E6571"/>
    <w:rsid w:val="009F4227"/>
    <w:rsid w:val="009F4CE7"/>
    <w:rsid w:val="009F71B5"/>
    <w:rsid w:val="00A04C0E"/>
    <w:rsid w:val="00A05976"/>
    <w:rsid w:val="00A142F5"/>
    <w:rsid w:val="00A17F7D"/>
    <w:rsid w:val="00A4234C"/>
    <w:rsid w:val="00A65195"/>
    <w:rsid w:val="00A75710"/>
    <w:rsid w:val="00AA6BC6"/>
    <w:rsid w:val="00AB2690"/>
    <w:rsid w:val="00AD6368"/>
    <w:rsid w:val="00AE7F16"/>
    <w:rsid w:val="00B1275F"/>
    <w:rsid w:val="00B36B62"/>
    <w:rsid w:val="00B57A43"/>
    <w:rsid w:val="00BA4DB9"/>
    <w:rsid w:val="00C11D3F"/>
    <w:rsid w:val="00C33995"/>
    <w:rsid w:val="00C4070F"/>
    <w:rsid w:val="00C47674"/>
    <w:rsid w:val="00C55364"/>
    <w:rsid w:val="00C57335"/>
    <w:rsid w:val="00C80F68"/>
    <w:rsid w:val="00C921FE"/>
    <w:rsid w:val="00D17410"/>
    <w:rsid w:val="00D446BF"/>
    <w:rsid w:val="00D60E49"/>
    <w:rsid w:val="00D767CF"/>
    <w:rsid w:val="00D8502F"/>
    <w:rsid w:val="00DA6916"/>
    <w:rsid w:val="00DB2F46"/>
    <w:rsid w:val="00DB4E92"/>
    <w:rsid w:val="00DC4F09"/>
    <w:rsid w:val="00DC60B2"/>
    <w:rsid w:val="00DD6584"/>
    <w:rsid w:val="00E02EE9"/>
    <w:rsid w:val="00E1281D"/>
    <w:rsid w:val="00E210CC"/>
    <w:rsid w:val="00E32682"/>
    <w:rsid w:val="00E359B4"/>
    <w:rsid w:val="00E401DE"/>
    <w:rsid w:val="00EA5C89"/>
    <w:rsid w:val="00F02C94"/>
    <w:rsid w:val="00F34ED1"/>
    <w:rsid w:val="00F42737"/>
    <w:rsid w:val="00F44AA8"/>
    <w:rsid w:val="00F53C4E"/>
    <w:rsid w:val="00F56919"/>
    <w:rsid w:val="00F8511C"/>
    <w:rsid w:val="00F939EA"/>
    <w:rsid w:val="00F96566"/>
    <w:rsid w:val="00FA2EAD"/>
    <w:rsid w:val="00FB07A1"/>
    <w:rsid w:val="00FF2B15"/>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7D224"/>
  <w15:docId w15:val="{66B0602C-DC19-8D49-8DC8-AE9FE429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C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E210CC"/>
    <w:pPr>
      <w:keepNext/>
      <w:keepLines/>
      <w:suppressAutoHyphens/>
      <w:spacing w:line="300" w:lineRule="exact"/>
      <w:outlineLvl w:val="0"/>
    </w:pPr>
    <w:rPr>
      <w:rFonts w:eastAsia="MS Mincho"/>
      <w:b/>
      <w:spacing w:val="-2"/>
      <w:w w:val="103"/>
      <w:kern w:val="14"/>
      <w:sz w:val="28"/>
      <w:szCs w:val="20"/>
      <w:lang w:val="en-GB"/>
    </w:rPr>
  </w:style>
  <w:style w:type="character" w:styleId="Hyperlink">
    <w:name w:val="Hyperlink"/>
    <w:basedOn w:val="DefaultParagraphFont"/>
    <w:uiPriority w:val="99"/>
    <w:unhideWhenUsed/>
    <w:rsid w:val="00DA6916"/>
    <w:rPr>
      <w:color w:val="0563C1" w:themeColor="hyperlink"/>
      <w:u w:val="single"/>
    </w:rPr>
  </w:style>
  <w:style w:type="character" w:customStyle="1" w:styleId="UnresolvedMention1">
    <w:name w:val="Unresolved Mention1"/>
    <w:basedOn w:val="DefaultParagraphFont"/>
    <w:uiPriority w:val="99"/>
    <w:semiHidden/>
    <w:unhideWhenUsed/>
    <w:rsid w:val="00DA6916"/>
    <w:rPr>
      <w:color w:val="605E5C"/>
      <w:shd w:val="clear" w:color="auto" w:fill="E1DFDD"/>
    </w:rPr>
  </w:style>
  <w:style w:type="paragraph" w:styleId="BalloonText">
    <w:name w:val="Balloon Text"/>
    <w:basedOn w:val="Normal"/>
    <w:link w:val="BalloonTextChar"/>
    <w:uiPriority w:val="99"/>
    <w:semiHidden/>
    <w:unhideWhenUsed/>
    <w:rsid w:val="001E137E"/>
    <w:rPr>
      <w:sz w:val="18"/>
      <w:szCs w:val="18"/>
    </w:rPr>
  </w:style>
  <w:style w:type="character" w:customStyle="1" w:styleId="BalloonTextChar">
    <w:name w:val="Balloon Text Char"/>
    <w:basedOn w:val="DefaultParagraphFont"/>
    <w:link w:val="BalloonText"/>
    <w:uiPriority w:val="99"/>
    <w:semiHidden/>
    <w:rsid w:val="001E137E"/>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751A14"/>
    <w:rPr>
      <w:sz w:val="16"/>
      <w:szCs w:val="16"/>
    </w:rPr>
  </w:style>
  <w:style w:type="paragraph" w:styleId="CommentText">
    <w:name w:val="annotation text"/>
    <w:basedOn w:val="Normal"/>
    <w:link w:val="CommentTextChar"/>
    <w:uiPriority w:val="99"/>
    <w:unhideWhenUsed/>
    <w:rsid w:val="00751A14"/>
    <w:rPr>
      <w:sz w:val="20"/>
      <w:szCs w:val="20"/>
    </w:rPr>
  </w:style>
  <w:style w:type="character" w:customStyle="1" w:styleId="CommentTextChar">
    <w:name w:val="Comment Text Char"/>
    <w:basedOn w:val="DefaultParagraphFont"/>
    <w:link w:val="CommentText"/>
    <w:uiPriority w:val="99"/>
    <w:rsid w:val="00751A1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1A14"/>
    <w:rPr>
      <w:b/>
      <w:bCs/>
    </w:rPr>
  </w:style>
  <w:style w:type="character" w:customStyle="1" w:styleId="CommentSubjectChar">
    <w:name w:val="Comment Subject Char"/>
    <w:basedOn w:val="CommentTextChar"/>
    <w:link w:val="CommentSubject"/>
    <w:uiPriority w:val="99"/>
    <w:semiHidden/>
    <w:rsid w:val="00751A14"/>
    <w:rPr>
      <w:rFonts w:ascii="Times New Roman" w:eastAsia="Times New Roman" w:hAnsi="Times New Roman" w:cs="Times New Roman"/>
      <w:b/>
      <w:bCs/>
      <w:sz w:val="20"/>
      <w:szCs w:val="20"/>
      <w:lang w:val="en-US"/>
    </w:rPr>
  </w:style>
  <w:style w:type="paragraph" w:styleId="Revision">
    <w:name w:val="Revision"/>
    <w:hidden/>
    <w:uiPriority w:val="99"/>
    <w:semiHidden/>
    <w:rsid w:val="003903A3"/>
    <w:rPr>
      <w:rFonts w:ascii="Times New Roman" w:eastAsia="Times New Roman" w:hAnsi="Times New Roman" w:cs="Times New Roman"/>
      <w:lang w:val="en-US"/>
    </w:rPr>
  </w:style>
  <w:style w:type="paragraph" w:styleId="ListParagraph">
    <w:name w:val="List Paragraph"/>
    <w:basedOn w:val="Normal"/>
    <w:uiPriority w:val="34"/>
    <w:qFormat/>
    <w:rsid w:val="00D446BF"/>
    <w:pPr>
      <w:ind w:left="720"/>
      <w:contextualSpacing/>
    </w:pPr>
  </w:style>
  <w:style w:type="paragraph" w:styleId="FootnoteText">
    <w:name w:val="footnote text"/>
    <w:basedOn w:val="Normal"/>
    <w:link w:val="FootnoteTextChar"/>
    <w:uiPriority w:val="99"/>
    <w:semiHidden/>
    <w:unhideWhenUsed/>
    <w:rsid w:val="00FF2B15"/>
    <w:rPr>
      <w:sz w:val="20"/>
      <w:szCs w:val="20"/>
    </w:rPr>
  </w:style>
  <w:style w:type="character" w:customStyle="1" w:styleId="FootnoteTextChar">
    <w:name w:val="Footnote Text Char"/>
    <w:basedOn w:val="DefaultParagraphFont"/>
    <w:link w:val="FootnoteText"/>
    <w:uiPriority w:val="99"/>
    <w:semiHidden/>
    <w:rsid w:val="00FF2B15"/>
    <w:rPr>
      <w:rFonts w:ascii="Times New Roman" w:eastAsia="Times New Roman" w:hAnsi="Times New Roman" w:cs="Times New Roman"/>
      <w:sz w:val="20"/>
      <w:szCs w:val="20"/>
      <w:lang w:val="en-US"/>
    </w:rPr>
  </w:style>
  <w:style w:type="character" w:styleId="FootnoteReference">
    <w:name w:val="footnote reference"/>
    <w:aliases w:val="ftref,16 Point,Superscript 6 Point,BVI fnr,ftref Char,BVI fnr Char,BVI fnr Car Char,Char Char Car Char,Char Char Char Char Char Char Char Char Char Char Char Char Char Char Char Char Char Char Char Char Car Char,16 Point Char,number"/>
    <w:basedOn w:val="DefaultParagraphFont"/>
    <w:uiPriority w:val="99"/>
    <w:qFormat/>
    <w:rsid w:val="00FF2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704">
      <w:bodyDiv w:val="1"/>
      <w:marLeft w:val="0"/>
      <w:marRight w:val="0"/>
      <w:marTop w:val="0"/>
      <w:marBottom w:val="0"/>
      <w:divBdr>
        <w:top w:val="none" w:sz="0" w:space="0" w:color="auto"/>
        <w:left w:val="none" w:sz="0" w:space="0" w:color="auto"/>
        <w:bottom w:val="none" w:sz="0" w:space="0" w:color="auto"/>
        <w:right w:val="none" w:sz="0" w:space="0" w:color="auto"/>
      </w:divBdr>
      <w:divsChild>
        <w:div w:id="953174094">
          <w:marLeft w:val="0"/>
          <w:marRight w:val="0"/>
          <w:marTop w:val="0"/>
          <w:marBottom w:val="0"/>
          <w:divBdr>
            <w:top w:val="none" w:sz="0" w:space="0" w:color="auto"/>
            <w:left w:val="none" w:sz="0" w:space="0" w:color="auto"/>
            <w:bottom w:val="none" w:sz="0" w:space="0" w:color="auto"/>
            <w:right w:val="none" w:sz="0" w:space="0" w:color="auto"/>
          </w:divBdr>
        </w:div>
        <w:div w:id="2084064091">
          <w:marLeft w:val="0"/>
          <w:marRight w:val="0"/>
          <w:marTop w:val="0"/>
          <w:marBottom w:val="0"/>
          <w:divBdr>
            <w:top w:val="none" w:sz="0" w:space="0" w:color="auto"/>
            <w:left w:val="none" w:sz="0" w:space="0" w:color="auto"/>
            <w:bottom w:val="none" w:sz="0" w:space="0" w:color="auto"/>
            <w:right w:val="none" w:sz="0" w:space="0" w:color="auto"/>
          </w:divBdr>
        </w:div>
        <w:div w:id="2024816064">
          <w:marLeft w:val="0"/>
          <w:marRight w:val="0"/>
          <w:marTop w:val="0"/>
          <w:marBottom w:val="0"/>
          <w:divBdr>
            <w:top w:val="none" w:sz="0" w:space="0" w:color="auto"/>
            <w:left w:val="none" w:sz="0" w:space="0" w:color="auto"/>
            <w:bottom w:val="none" w:sz="0" w:space="0" w:color="auto"/>
            <w:right w:val="none" w:sz="0" w:space="0" w:color="auto"/>
          </w:divBdr>
        </w:div>
      </w:divsChild>
    </w:div>
    <w:div w:id="477117347">
      <w:bodyDiv w:val="1"/>
      <w:marLeft w:val="0"/>
      <w:marRight w:val="0"/>
      <w:marTop w:val="0"/>
      <w:marBottom w:val="0"/>
      <w:divBdr>
        <w:top w:val="none" w:sz="0" w:space="0" w:color="auto"/>
        <w:left w:val="none" w:sz="0" w:space="0" w:color="auto"/>
        <w:bottom w:val="none" w:sz="0" w:space="0" w:color="auto"/>
        <w:right w:val="none" w:sz="0" w:space="0" w:color="auto"/>
      </w:divBdr>
    </w:div>
    <w:div w:id="777720250">
      <w:bodyDiv w:val="1"/>
      <w:marLeft w:val="0"/>
      <w:marRight w:val="0"/>
      <w:marTop w:val="0"/>
      <w:marBottom w:val="0"/>
      <w:divBdr>
        <w:top w:val="none" w:sz="0" w:space="0" w:color="auto"/>
        <w:left w:val="none" w:sz="0" w:space="0" w:color="auto"/>
        <w:bottom w:val="none" w:sz="0" w:space="0" w:color="auto"/>
        <w:right w:val="none" w:sz="0" w:space="0" w:color="auto"/>
      </w:divBdr>
    </w:div>
    <w:div w:id="1095321028">
      <w:bodyDiv w:val="1"/>
      <w:marLeft w:val="0"/>
      <w:marRight w:val="0"/>
      <w:marTop w:val="0"/>
      <w:marBottom w:val="0"/>
      <w:divBdr>
        <w:top w:val="none" w:sz="0" w:space="0" w:color="auto"/>
        <w:left w:val="none" w:sz="0" w:space="0" w:color="auto"/>
        <w:bottom w:val="none" w:sz="0" w:space="0" w:color="auto"/>
        <w:right w:val="none" w:sz="0" w:space="0" w:color="auto"/>
      </w:divBdr>
      <w:divsChild>
        <w:div w:id="104806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78663">
              <w:marLeft w:val="0"/>
              <w:marRight w:val="0"/>
              <w:marTop w:val="0"/>
              <w:marBottom w:val="0"/>
              <w:divBdr>
                <w:top w:val="none" w:sz="0" w:space="0" w:color="auto"/>
                <w:left w:val="none" w:sz="0" w:space="0" w:color="auto"/>
                <w:bottom w:val="none" w:sz="0" w:space="0" w:color="auto"/>
                <w:right w:val="none" w:sz="0" w:space="0" w:color="auto"/>
              </w:divBdr>
              <w:divsChild>
                <w:div w:id="11000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7811">
      <w:bodyDiv w:val="1"/>
      <w:marLeft w:val="0"/>
      <w:marRight w:val="0"/>
      <w:marTop w:val="0"/>
      <w:marBottom w:val="0"/>
      <w:divBdr>
        <w:top w:val="none" w:sz="0" w:space="0" w:color="auto"/>
        <w:left w:val="none" w:sz="0" w:space="0" w:color="auto"/>
        <w:bottom w:val="none" w:sz="0" w:space="0" w:color="auto"/>
        <w:right w:val="none" w:sz="0" w:space="0" w:color="auto"/>
      </w:divBdr>
    </w:div>
    <w:div w:id="2098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unfccc.int%2Fdocuments%2F9097&amp;data=04%7C01%7Cmerewalesi.laveti%40undp.org%7C51926d19abcf4ce5d6e008d93cd03606%7Cb3e5db5e2944483799f57488ace54319%7C0%7C0%7C637607689616580417%7CUnknown%7CTWFpbGZsb3d8eyJWIjoiMC4wLjAwMDAiLCJQIjoiV2luMzIiLCJBTiI6Ik1haWwiLCJXVCI6Mn0%3D%7C2000&amp;sdata=RLKOdsTQrYS7oYUYC%2FVhAo2hv8RISiTDeAcVrRlyCcU%3D&amp;reserved=0" TargetMode="External"/><Relationship Id="rId3" Type="http://schemas.openxmlformats.org/officeDocument/2006/relationships/settings" Target="settings.xml"/><Relationship Id="rId7" Type="http://schemas.openxmlformats.org/officeDocument/2006/relationships/hyperlink" Target="mailto:jennifer.baumwoll@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4386</Words>
  <Characters>25006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Aldover</dc:creator>
  <cp:keywords/>
  <dc:description/>
  <cp:lastModifiedBy>Merewalesi Laveti</cp:lastModifiedBy>
  <cp:revision>2</cp:revision>
  <dcterms:created xsi:type="dcterms:W3CDTF">2021-08-03T21:02:00Z</dcterms:created>
  <dcterms:modified xsi:type="dcterms:W3CDTF">2021-08-03T21:02:00Z</dcterms:modified>
</cp:coreProperties>
</file>