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347" w:rsidRPr="005E4C4D" w:rsidRDefault="00EA1347">
      <w:r w:rsidRPr="005E4C4D">
        <w:t>Management Response</w:t>
      </w:r>
      <w:r w:rsidR="00B80842" w:rsidRPr="005E4C4D">
        <w:t xml:space="preserve"> Template</w:t>
      </w:r>
    </w:p>
    <w:p w:rsidR="00B022DF" w:rsidRPr="005E4C4D" w:rsidRDefault="00675148">
      <w:pPr>
        <w:rPr>
          <w:b/>
        </w:rPr>
      </w:pPr>
      <w:r w:rsidRPr="005E4C4D">
        <w:rPr>
          <w:b/>
        </w:rPr>
        <w:t xml:space="preserve">Support for Innovation against Corruption: Building a Citizen Centric Service Delivery Model in Albania </w:t>
      </w:r>
      <w:r w:rsidRPr="005E4C4D">
        <w:rPr>
          <w:b/>
        </w:rPr>
        <w:br/>
      </w:r>
      <w:r w:rsidR="00A16AC1" w:rsidRPr="005E4C4D">
        <w:rPr>
          <w:b/>
        </w:rPr>
        <w:t xml:space="preserve">– </w:t>
      </w:r>
      <w:r w:rsidRPr="005E4C4D">
        <w:rPr>
          <w:b/>
        </w:rPr>
        <w:t xml:space="preserve">ISDA Support Project </w:t>
      </w:r>
    </w:p>
    <w:p w:rsidR="00EA1347" w:rsidRPr="005E4C4D" w:rsidRDefault="00EA1347">
      <w:r w:rsidRPr="005E4C4D">
        <w:rPr>
          <w:b/>
        </w:rPr>
        <w:t>Date:</w:t>
      </w:r>
      <w:r w:rsidR="00571E0D" w:rsidRPr="005E4C4D">
        <w:rPr>
          <w:b/>
        </w:rPr>
        <w:t xml:space="preserve"> </w:t>
      </w:r>
      <w:r w:rsidR="00886F35">
        <w:rPr>
          <w:b/>
        </w:rPr>
        <w:t>Februar</w:t>
      </w:r>
      <w:r w:rsidR="00E52357" w:rsidRPr="005E4C4D">
        <w:rPr>
          <w:b/>
        </w:rPr>
        <w:t>y</w:t>
      </w:r>
      <w:r w:rsidR="00644BAA" w:rsidRPr="005E4C4D">
        <w:rPr>
          <w:b/>
        </w:rPr>
        <w:t xml:space="preserve"> 20</w:t>
      </w:r>
      <w:r w:rsidR="00E52357" w:rsidRPr="005E4C4D">
        <w:rPr>
          <w:b/>
        </w:rPr>
        <w:t>20</w:t>
      </w:r>
      <w:r w:rsidR="004C74A0">
        <w:rPr>
          <w:b/>
        </w:rPr>
        <w:t xml:space="preserve"> / Updated: August 2021</w:t>
      </w:r>
      <w:r w:rsidR="003F6C38" w:rsidRPr="005E4C4D">
        <w:rPr>
          <w:b/>
        </w:rPr>
        <w:t xml:space="preserve"> </w:t>
      </w:r>
    </w:p>
    <w:p w:rsidR="00B80842" w:rsidRPr="005E4C4D" w:rsidRDefault="00550CDF">
      <w:r w:rsidRPr="005E4C4D">
        <w:t>Prepared by:</w:t>
      </w:r>
      <w:r w:rsidR="00EA1347" w:rsidRPr="005E4C4D">
        <w:tab/>
      </w:r>
      <w:r w:rsidR="00EA1347" w:rsidRPr="005E4C4D">
        <w:tab/>
      </w:r>
      <w:r w:rsidR="00B022DF" w:rsidRPr="005E4C4D">
        <w:tab/>
      </w:r>
      <w:r w:rsidR="00B022DF" w:rsidRPr="005E4C4D">
        <w:tab/>
      </w:r>
      <w:r w:rsidR="00A16AC1" w:rsidRPr="005E4C4D">
        <w:t xml:space="preserve">Vladimir </w:t>
      </w:r>
      <w:proofErr w:type="spellStart"/>
      <w:r w:rsidR="00A16AC1" w:rsidRPr="005E4C4D">
        <w:t>Malkaj</w:t>
      </w:r>
      <w:proofErr w:type="spellEnd"/>
      <w:r w:rsidR="00EA1347" w:rsidRPr="005E4C4D">
        <w:tab/>
      </w:r>
      <w:r w:rsidR="006411C8" w:rsidRPr="005E4C4D">
        <w:tab/>
      </w:r>
      <w:r w:rsidR="00EA1347" w:rsidRPr="005E4C4D">
        <w:t>Position:</w:t>
      </w:r>
      <w:r w:rsidR="00B022DF" w:rsidRPr="005E4C4D">
        <w:tab/>
      </w:r>
      <w:proofErr w:type="spellStart"/>
      <w:r w:rsidR="00B022DF" w:rsidRPr="005E4C4D">
        <w:t>Programme</w:t>
      </w:r>
      <w:proofErr w:type="spellEnd"/>
      <w:r w:rsidR="00B022DF" w:rsidRPr="005E4C4D">
        <w:t xml:space="preserve"> </w:t>
      </w:r>
      <w:r w:rsidR="00306A4E" w:rsidRPr="005E4C4D">
        <w:t>Specialist</w:t>
      </w:r>
      <w:r w:rsidR="00B022DF" w:rsidRPr="005E4C4D">
        <w:tab/>
      </w:r>
      <w:r w:rsidR="00B022DF" w:rsidRPr="005E4C4D">
        <w:tab/>
      </w:r>
      <w:r w:rsidR="00B022DF" w:rsidRPr="005E4C4D">
        <w:tab/>
      </w:r>
    </w:p>
    <w:p w:rsidR="00AA3D71" w:rsidRPr="005E4C4D" w:rsidRDefault="00AA3D71">
      <w:r w:rsidRPr="005E4C4D">
        <w:t xml:space="preserve">Cleared by: </w:t>
      </w:r>
      <w:r w:rsidRPr="005E4C4D">
        <w:tab/>
      </w:r>
      <w:r w:rsidRPr="005E4C4D">
        <w:tab/>
      </w:r>
      <w:r w:rsidRPr="005E4C4D">
        <w:tab/>
      </w:r>
      <w:r w:rsidRPr="005E4C4D">
        <w:tab/>
      </w:r>
      <w:proofErr w:type="spellStart"/>
      <w:r w:rsidRPr="005E4C4D">
        <w:t>Limya</w:t>
      </w:r>
      <w:proofErr w:type="spellEnd"/>
      <w:r w:rsidRPr="005E4C4D">
        <w:t xml:space="preserve"> </w:t>
      </w:r>
      <w:proofErr w:type="spellStart"/>
      <w:r w:rsidRPr="005E4C4D">
        <w:t>Eltayeb</w:t>
      </w:r>
      <w:proofErr w:type="spellEnd"/>
      <w:r w:rsidRPr="005E4C4D">
        <w:tab/>
      </w:r>
      <w:r w:rsidRPr="005E4C4D">
        <w:tab/>
      </w:r>
      <w:r w:rsidRPr="005E4C4D">
        <w:tab/>
        <w:t xml:space="preserve">Position: </w:t>
      </w:r>
      <w:r w:rsidRPr="005E4C4D">
        <w:tab/>
        <w:t>Resident Representative</w:t>
      </w:r>
    </w:p>
    <w:p w:rsidR="00B80842" w:rsidRPr="005E4C4D" w:rsidRDefault="00B80842">
      <w:r w:rsidRPr="005E4C4D">
        <w:t>Input into and updated in ERC:</w:t>
      </w:r>
      <w:r w:rsidRPr="005E4C4D">
        <w:tab/>
      </w:r>
      <w:r w:rsidR="00E712EA">
        <w:t>Xhesi Mane</w:t>
      </w:r>
      <w:r w:rsidR="00B022DF" w:rsidRPr="005E4C4D">
        <w:tab/>
      </w:r>
      <w:r w:rsidR="000F098E" w:rsidRPr="005E4C4D">
        <w:tab/>
      </w:r>
      <w:r w:rsidR="000F098E" w:rsidRPr="005E4C4D">
        <w:tab/>
      </w:r>
      <w:r w:rsidRPr="005E4C4D">
        <w:t>Position:</w:t>
      </w:r>
      <w:r w:rsidRPr="005E4C4D">
        <w:tab/>
      </w:r>
      <w:proofErr w:type="spellStart"/>
      <w:r w:rsidR="00AA3D71" w:rsidRPr="005E4C4D">
        <w:t>Program</w:t>
      </w:r>
      <w:r w:rsidR="00E712EA">
        <w:t>me</w:t>
      </w:r>
      <w:proofErr w:type="spellEnd"/>
      <w:r w:rsidR="00E712EA">
        <w:t xml:space="preserve"> Associate</w:t>
      </w:r>
      <w:bookmarkStart w:id="0" w:name="_GoBack"/>
      <w:bookmarkEnd w:id="0"/>
    </w:p>
    <w:p w:rsidR="005D3CE5" w:rsidRPr="005E4C4D" w:rsidRDefault="005D3CE5" w:rsidP="005D3C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145"/>
        <w:gridCol w:w="1106"/>
        <w:gridCol w:w="1531"/>
        <w:gridCol w:w="4229"/>
        <w:gridCol w:w="91"/>
        <w:gridCol w:w="1344"/>
      </w:tblGrid>
      <w:tr w:rsidR="003C601C" w:rsidRPr="005E4C4D" w:rsidTr="00F80F8E">
        <w:trPr>
          <w:trHeight w:val="1025"/>
        </w:trPr>
        <w:tc>
          <w:tcPr>
            <w:tcW w:w="5000" w:type="pct"/>
            <w:gridSpan w:val="7"/>
            <w:shd w:val="clear" w:color="auto" w:fill="CCFFFF"/>
          </w:tcPr>
          <w:p w:rsidR="003C601C" w:rsidRPr="005E4C4D" w:rsidRDefault="00704FBF" w:rsidP="00F80F8E">
            <w:pPr>
              <w:spacing w:before="60" w:after="120"/>
              <w:rPr>
                <w:b/>
                <w:u w:val="single"/>
              </w:rPr>
            </w:pPr>
            <w:r w:rsidRPr="005E4C4D">
              <w:rPr>
                <w:b/>
                <w:u w:val="single"/>
              </w:rPr>
              <w:t>Evaluation recommendation 1</w:t>
            </w:r>
          </w:p>
          <w:p w:rsidR="005241E6" w:rsidRPr="00E712EA" w:rsidRDefault="00A55708" w:rsidP="00F80F8E">
            <w:pPr>
              <w:pStyle w:val="KeinLeerraum"/>
              <w:spacing w:after="60"/>
              <w:jc w:val="both"/>
              <w:rPr>
                <w:rFonts w:ascii="Times New Roman" w:hAnsi="Times New Roman"/>
                <w:b/>
                <w:sz w:val="24"/>
                <w:szCs w:val="24"/>
                <w:lang w:val="en-US"/>
              </w:rPr>
            </w:pPr>
            <w:r w:rsidRPr="00E712EA">
              <w:rPr>
                <w:rFonts w:ascii="Times New Roman" w:hAnsi="Times New Roman"/>
                <w:sz w:val="24"/>
                <w:szCs w:val="24"/>
                <w:lang w:val="en-US"/>
              </w:rPr>
              <w:t>The reform leading institution, given its important role, should improve capacities on technical expertise/staff in order to better respond to the dynamics of the reform’s implementation</w:t>
            </w:r>
            <w:r w:rsidR="005241E6" w:rsidRPr="005E4C4D">
              <w:rPr>
                <w:rFonts w:ascii="Times New Roman" w:eastAsia="Calibri" w:hAnsi="Times New Roman"/>
                <w:sz w:val="24"/>
                <w:szCs w:val="24"/>
                <w:lang w:val="en-GB"/>
              </w:rPr>
              <w:t xml:space="preserve">. </w:t>
            </w:r>
          </w:p>
        </w:tc>
      </w:tr>
      <w:tr w:rsidR="00A532FA" w:rsidRPr="005E4C4D" w:rsidTr="00F80F8E">
        <w:trPr>
          <w:trHeight w:val="1601"/>
        </w:trPr>
        <w:tc>
          <w:tcPr>
            <w:tcW w:w="5000" w:type="pct"/>
            <w:gridSpan w:val="7"/>
            <w:shd w:val="clear" w:color="auto" w:fill="CCFFFF"/>
          </w:tcPr>
          <w:p w:rsidR="001B2C29" w:rsidRPr="005E4C4D" w:rsidRDefault="00A532FA" w:rsidP="00A97184">
            <w:pPr>
              <w:spacing w:after="120"/>
              <w:jc w:val="both"/>
              <w:rPr>
                <w:b/>
                <w:u w:val="single"/>
              </w:rPr>
            </w:pPr>
            <w:r w:rsidRPr="005E4C4D">
              <w:rPr>
                <w:b/>
                <w:u w:val="single"/>
              </w:rPr>
              <w:t>Management response:</w:t>
            </w:r>
          </w:p>
          <w:p w:rsidR="00704FBF" w:rsidRPr="005E4C4D" w:rsidRDefault="00675148" w:rsidP="00EE5C9B">
            <w:pPr>
              <w:pStyle w:val="ListParagraph"/>
              <w:suppressAutoHyphens/>
              <w:spacing w:after="0"/>
              <w:ind w:left="0"/>
              <w:contextualSpacing w:val="0"/>
              <w:rPr>
                <w:rFonts w:ascii="Times New Roman" w:hAnsi="Times New Roman"/>
                <w:sz w:val="24"/>
                <w:szCs w:val="24"/>
                <w:lang w:val="en-US"/>
              </w:rPr>
            </w:pPr>
            <w:r w:rsidRPr="005E4C4D">
              <w:rPr>
                <w:rFonts w:ascii="Times New Roman" w:hAnsi="Times New Roman"/>
                <w:sz w:val="24"/>
                <w:szCs w:val="24"/>
              </w:rPr>
              <w:t xml:space="preserve">The recommendation </w:t>
            </w:r>
            <w:r w:rsidR="00EE5C9B" w:rsidRPr="005E4C4D">
              <w:rPr>
                <w:rFonts w:ascii="Times New Roman" w:hAnsi="Times New Roman"/>
                <w:sz w:val="24"/>
                <w:szCs w:val="24"/>
              </w:rPr>
              <w:t xml:space="preserve">addresses on ongoing challenge. </w:t>
            </w:r>
            <w:r w:rsidRPr="005E4C4D">
              <w:rPr>
                <w:rFonts w:ascii="Times New Roman" w:hAnsi="Times New Roman"/>
                <w:sz w:val="24"/>
                <w:szCs w:val="24"/>
              </w:rPr>
              <w:t xml:space="preserve">Recognizing the limited staff at the level of the </w:t>
            </w:r>
            <w:r w:rsidR="00EE5C9B" w:rsidRPr="005E4C4D">
              <w:rPr>
                <w:rFonts w:ascii="Times New Roman" w:hAnsi="Times New Roman"/>
                <w:sz w:val="24"/>
                <w:szCs w:val="24"/>
              </w:rPr>
              <w:t xml:space="preserve">public services </w:t>
            </w:r>
            <w:r w:rsidR="009026D0" w:rsidRPr="005E4C4D">
              <w:rPr>
                <w:rFonts w:ascii="Times New Roman" w:hAnsi="Times New Roman"/>
                <w:sz w:val="24"/>
                <w:szCs w:val="24"/>
              </w:rPr>
              <w:t>reform leader</w:t>
            </w:r>
            <w:r w:rsidR="00EE5C9B" w:rsidRPr="005E4C4D">
              <w:rPr>
                <w:rFonts w:ascii="Times New Roman" w:hAnsi="Times New Roman"/>
                <w:sz w:val="24"/>
                <w:szCs w:val="24"/>
              </w:rPr>
              <w:t xml:space="preserve"> in Albania</w:t>
            </w:r>
            <w:r w:rsidRPr="005E4C4D">
              <w:rPr>
                <w:rFonts w:ascii="Times New Roman" w:hAnsi="Times New Roman"/>
                <w:sz w:val="24"/>
                <w:szCs w:val="24"/>
              </w:rPr>
              <w:t xml:space="preserve">, ISDA Support Project has been responsive in providing needed technical expertise. Notwithstanding, </w:t>
            </w:r>
            <w:r w:rsidR="009026D0" w:rsidRPr="005E4C4D">
              <w:rPr>
                <w:rFonts w:ascii="Times New Roman" w:hAnsi="Times New Roman"/>
                <w:sz w:val="24"/>
                <w:szCs w:val="24"/>
              </w:rPr>
              <w:t xml:space="preserve">ongoing engagement in this direction should remain on focus, </w:t>
            </w:r>
            <w:r w:rsidR="00EE5C9B" w:rsidRPr="005E4C4D">
              <w:rPr>
                <w:rFonts w:ascii="Times New Roman" w:hAnsi="Times New Roman"/>
                <w:sz w:val="24"/>
                <w:szCs w:val="24"/>
              </w:rPr>
              <w:t xml:space="preserve">also considering the impact of this challenge on the pace on the planned delivery </w:t>
            </w:r>
            <w:r w:rsidR="00CA1775" w:rsidRPr="005E4C4D">
              <w:rPr>
                <w:rFonts w:ascii="Times New Roman" w:hAnsi="Times New Roman"/>
                <w:sz w:val="24"/>
                <w:szCs w:val="24"/>
              </w:rPr>
              <w:t xml:space="preserve">of assistance </w:t>
            </w:r>
            <w:r w:rsidR="00EE5C9B" w:rsidRPr="005E4C4D">
              <w:rPr>
                <w:rFonts w:ascii="Times New Roman" w:hAnsi="Times New Roman"/>
                <w:sz w:val="24"/>
                <w:szCs w:val="24"/>
              </w:rPr>
              <w:t>in support of the reform.</w:t>
            </w:r>
          </w:p>
        </w:tc>
      </w:tr>
      <w:tr w:rsidR="004C74A0" w:rsidRPr="005E4C4D" w:rsidTr="00F80F8E">
        <w:trPr>
          <w:trHeight w:val="148"/>
        </w:trPr>
        <w:tc>
          <w:tcPr>
            <w:tcW w:w="1739" w:type="pct"/>
            <w:vMerge w:val="restart"/>
            <w:shd w:val="clear" w:color="auto" w:fill="CCFFFF"/>
          </w:tcPr>
          <w:p w:rsidR="00793932" w:rsidRPr="005E4C4D" w:rsidRDefault="00793932">
            <w:pPr>
              <w:rPr>
                <w:b/>
              </w:rPr>
            </w:pPr>
            <w:r w:rsidRPr="005E4C4D">
              <w:rPr>
                <w:b/>
              </w:rPr>
              <w:t>Key action (s)</w:t>
            </w:r>
          </w:p>
          <w:p w:rsidR="00F511C4" w:rsidRPr="005E4C4D" w:rsidRDefault="00F511C4"/>
        </w:tc>
        <w:tc>
          <w:tcPr>
            <w:tcW w:w="483" w:type="pct"/>
            <w:gridSpan w:val="2"/>
            <w:vMerge w:val="restart"/>
            <w:shd w:val="clear" w:color="auto" w:fill="CCFFFF"/>
          </w:tcPr>
          <w:p w:rsidR="00793932" w:rsidRPr="005E4C4D" w:rsidRDefault="00793932">
            <w:pPr>
              <w:rPr>
                <w:b/>
              </w:rPr>
            </w:pPr>
            <w:r w:rsidRPr="005E4C4D">
              <w:rPr>
                <w:b/>
              </w:rPr>
              <w:t>Time frame</w:t>
            </w:r>
          </w:p>
        </w:tc>
        <w:tc>
          <w:tcPr>
            <w:tcW w:w="591" w:type="pct"/>
            <w:vMerge w:val="restart"/>
            <w:shd w:val="clear" w:color="auto" w:fill="CCFFFF"/>
          </w:tcPr>
          <w:p w:rsidR="00793932" w:rsidRPr="005E4C4D" w:rsidRDefault="00793932">
            <w:pPr>
              <w:rPr>
                <w:b/>
              </w:rPr>
            </w:pPr>
            <w:r w:rsidRPr="005E4C4D">
              <w:rPr>
                <w:b/>
              </w:rPr>
              <w:t>Responsible unit (s)</w:t>
            </w:r>
          </w:p>
        </w:tc>
        <w:tc>
          <w:tcPr>
            <w:tcW w:w="2187" w:type="pct"/>
            <w:gridSpan w:val="3"/>
            <w:shd w:val="clear" w:color="auto" w:fill="CCFFFF"/>
          </w:tcPr>
          <w:p w:rsidR="00793932" w:rsidRPr="005E4C4D" w:rsidRDefault="00793932" w:rsidP="00704FBF">
            <w:pPr>
              <w:jc w:val="center"/>
              <w:rPr>
                <w:b/>
              </w:rPr>
            </w:pPr>
            <w:r w:rsidRPr="005E4C4D">
              <w:rPr>
                <w:b/>
              </w:rPr>
              <w:t>Tracking</w:t>
            </w:r>
          </w:p>
        </w:tc>
      </w:tr>
      <w:tr w:rsidR="004C74A0" w:rsidRPr="005E4C4D" w:rsidTr="00F80F8E">
        <w:trPr>
          <w:trHeight w:val="148"/>
        </w:trPr>
        <w:tc>
          <w:tcPr>
            <w:tcW w:w="1739" w:type="pct"/>
            <w:vMerge/>
            <w:shd w:val="clear" w:color="auto" w:fill="CCFFFF"/>
          </w:tcPr>
          <w:p w:rsidR="00793932" w:rsidRPr="005E4C4D" w:rsidRDefault="00793932"/>
        </w:tc>
        <w:tc>
          <w:tcPr>
            <w:tcW w:w="483" w:type="pct"/>
            <w:gridSpan w:val="2"/>
            <w:vMerge/>
            <w:shd w:val="clear" w:color="auto" w:fill="CCFFFF"/>
          </w:tcPr>
          <w:p w:rsidR="00793932" w:rsidRPr="005E4C4D" w:rsidRDefault="00793932"/>
        </w:tc>
        <w:tc>
          <w:tcPr>
            <w:tcW w:w="591" w:type="pct"/>
            <w:vMerge/>
            <w:shd w:val="clear" w:color="auto" w:fill="CCFFFF"/>
          </w:tcPr>
          <w:p w:rsidR="00793932" w:rsidRPr="005E4C4D" w:rsidRDefault="00793932"/>
        </w:tc>
        <w:tc>
          <w:tcPr>
            <w:tcW w:w="1668" w:type="pct"/>
            <w:gridSpan w:val="2"/>
            <w:shd w:val="clear" w:color="auto" w:fill="CCFFFF"/>
          </w:tcPr>
          <w:p w:rsidR="00793932" w:rsidRPr="005E4C4D" w:rsidRDefault="00793932" w:rsidP="00704FBF">
            <w:pPr>
              <w:jc w:val="center"/>
              <w:rPr>
                <w:b/>
              </w:rPr>
            </w:pPr>
            <w:r w:rsidRPr="005E4C4D">
              <w:rPr>
                <w:b/>
              </w:rPr>
              <w:t>Comments</w:t>
            </w:r>
          </w:p>
        </w:tc>
        <w:tc>
          <w:tcPr>
            <w:tcW w:w="519" w:type="pct"/>
            <w:shd w:val="clear" w:color="auto" w:fill="CCFFFF"/>
          </w:tcPr>
          <w:p w:rsidR="00793932" w:rsidRPr="005E4C4D" w:rsidRDefault="00704FBF" w:rsidP="00704FBF">
            <w:pPr>
              <w:jc w:val="center"/>
              <w:rPr>
                <w:b/>
              </w:rPr>
            </w:pPr>
            <w:r w:rsidRPr="005E4C4D">
              <w:rPr>
                <w:b/>
              </w:rPr>
              <w:t>S</w:t>
            </w:r>
            <w:r w:rsidR="00793932" w:rsidRPr="005E4C4D">
              <w:rPr>
                <w:b/>
              </w:rPr>
              <w:t>tatus</w:t>
            </w:r>
          </w:p>
        </w:tc>
      </w:tr>
      <w:tr w:rsidR="004C74A0" w:rsidRPr="005E4C4D" w:rsidTr="00F80F8E">
        <w:trPr>
          <w:trHeight w:val="863"/>
        </w:trPr>
        <w:tc>
          <w:tcPr>
            <w:tcW w:w="1739" w:type="pct"/>
          </w:tcPr>
          <w:p w:rsidR="005F4717" w:rsidRPr="005E4C4D" w:rsidRDefault="009026D0" w:rsidP="00886F35">
            <w:r w:rsidRPr="005E4C4D">
              <w:t xml:space="preserve">Continue to provide technical support </w:t>
            </w:r>
            <w:r w:rsidR="00886F35" w:rsidRPr="005E4C4D">
              <w:t xml:space="preserve">in reform coordination </w:t>
            </w:r>
            <w:r w:rsidRPr="005E4C4D">
              <w:t>until the closure of the project</w:t>
            </w:r>
            <w:r w:rsidR="00A063DC" w:rsidRPr="005E4C4D">
              <w:t xml:space="preserve"> </w:t>
            </w:r>
          </w:p>
        </w:tc>
        <w:tc>
          <w:tcPr>
            <w:tcW w:w="483" w:type="pct"/>
            <w:gridSpan w:val="2"/>
          </w:tcPr>
          <w:p w:rsidR="006802D7" w:rsidRPr="005E4C4D" w:rsidRDefault="009026D0" w:rsidP="009026D0">
            <w:r w:rsidRPr="005E4C4D">
              <w:rPr>
                <w:lang w:val="en-GB"/>
              </w:rPr>
              <w:t>Until 31 March 2020</w:t>
            </w:r>
          </w:p>
        </w:tc>
        <w:tc>
          <w:tcPr>
            <w:tcW w:w="591" w:type="pct"/>
          </w:tcPr>
          <w:p w:rsidR="006802D7" w:rsidRPr="005E4C4D" w:rsidRDefault="00F511C4" w:rsidP="006802D7">
            <w:r w:rsidRPr="005E4C4D">
              <w:rPr>
                <w:lang w:val="en-GB"/>
              </w:rPr>
              <w:t>UNDP CO Management</w:t>
            </w:r>
          </w:p>
        </w:tc>
        <w:tc>
          <w:tcPr>
            <w:tcW w:w="1668" w:type="pct"/>
            <w:gridSpan w:val="2"/>
          </w:tcPr>
          <w:p w:rsidR="006802D7" w:rsidRPr="005E4C4D" w:rsidRDefault="004C74A0" w:rsidP="004C74A0">
            <w:r>
              <w:rPr>
                <w:lang w:val="en-GB"/>
              </w:rPr>
              <w:t>ISDA Support Project was closed by 31 May 2020</w:t>
            </w:r>
          </w:p>
        </w:tc>
        <w:tc>
          <w:tcPr>
            <w:tcW w:w="519" w:type="pct"/>
          </w:tcPr>
          <w:p w:rsidR="006802D7" w:rsidRPr="005E4C4D" w:rsidRDefault="008C36F3" w:rsidP="004C74A0">
            <w:r>
              <w:rPr>
                <w:lang w:val="en-GB"/>
              </w:rPr>
              <w:t xml:space="preserve">Completed </w:t>
            </w:r>
          </w:p>
        </w:tc>
      </w:tr>
      <w:tr w:rsidR="004C74A0" w:rsidRPr="005E4C4D" w:rsidTr="00F80F8E">
        <w:trPr>
          <w:trHeight w:val="926"/>
        </w:trPr>
        <w:tc>
          <w:tcPr>
            <w:tcW w:w="1739" w:type="pct"/>
          </w:tcPr>
          <w:p w:rsidR="005F4717" w:rsidRPr="005E4C4D" w:rsidRDefault="009026D0" w:rsidP="00886F35">
            <w:r w:rsidRPr="005E4C4D">
              <w:t xml:space="preserve">Ensure an ongoing engagement with reform leadership to anticipate needs and plan for timely support as appropriate </w:t>
            </w:r>
            <w:r w:rsidR="00D038F3" w:rsidRPr="005E4C4D">
              <w:t xml:space="preserve"> </w:t>
            </w:r>
          </w:p>
        </w:tc>
        <w:tc>
          <w:tcPr>
            <w:tcW w:w="483" w:type="pct"/>
            <w:gridSpan w:val="2"/>
          </w:tcPr>
          <w:p w:rsidR="00D038F3" w:rsidRPr="005E4C4D" w:rsidRDefault="00D038F3" w:rsidP="009026D0">
            <w:pPr>
              <w:rPr>
                <w:lang w:val="en-GB"/>
              </w:rPr>
            </w:pPr>
            <w:r w:rsidRPr="005E4C4D">
              <w:rPr>
                <w:lang w:val="en-GB"/>
              </w:rPr>
              <w:t xml:space="preserve">From </w:t>
            </w:r>
            <w:r w:rsidR="009026D0" w:rsidRPr="005E4C4D">
              <w:rPr>
                <w:lang w:val="en-GB"/>
              </w:rPr>
              <w:t>April 2020</w:t>
            </w:r>
            <w:r w:rsidRPr="005E4C4D">
              <w:rPr>
                <w:lang w:val="en-GB"/>
              </w:rPr>
              <w:t xml:space="preserve"> onwards </w:t>
            </w:r>
          </w:p>
        </w:tc>
        <w:tc>
          <w:tcPr>
            <w:tcW w:w="591" w:type="pct"/>
          </w:tcPr>
          <w:p w:rsidR="00D038F3" w:rsidRPr="005E4C4D" w:rsidRDefault="00D038F3" w:rsidP="00D038F3">
            <w:r w:rsidRPr="005E4C4D">
              <w:rPr>
                <w:lang w:val="en-GB"/>
              </w:rPr>
              <w:t>UNDP CO Management</w:t>
            </w:r>
          </w:p>
        </w:tc>
        <w:tc>
          <w:tcPr>
            <w:tcW w:w="1668" w:type="pct"/>
            <w:gridSpan w:val="2"/>
          </w:tcPr>
          <w:p w:rsidR="00D038F3" w:rsidRPr="005E4C4D" w:rsidRDefault="004C74A0" w:rsidP="00F80F8E">
            <w:pPr>
              <w:spacing w:after="60"/>
            </w:pPr>
            <w:r>
              <w:rPr>
                <w:lang w:val="en-GB"/>
              </w:rPr>
              <w:t xml:space="preserve">Addressed under the </w:t>
            </w:r>
            <w:proofErr w:type="gramStart"/>
            <w:r>
              <w:rPr>
                <w:lang w:val="en-GB"/>
              </w:rPr>
              <w:t>follow on</w:t>
            </w:r>
            <w:proofErr w:type="gramEnd"/>
            <w:r>
              <w:rPr>
                <w:lang w:val="en-GB"/>
              </w:rPr>
              <w:t xml:space="preserve"> project, CSDA, which commenced on 1 June 2020, with a target end date of 28 February 2024</w:t>
            </w:r>
          </w:p>
        </w:tc>
        <w:tc>
          <w:tcPr>
            <w:tcW w:w="519" w:type="pct"/>
          </w:tcPr>
          <w:p w:rsidR="00D038F3" w:rsidRPr="005E4C4D" w:rsidRDefault="004C74A0" w:rsidP="008C36F3">
            <w:r>
              <w:rPr>
                <w:lang w:val="en-GB"/>
              </w:rPr>
              <w:t xml:space="preserve">Completed </w:t>
            </w:r>
          </w:p>
        </w:tc>
      </w:tr>
      <w:tr w:rsidR="00D038F3" w:rsidRPr="005E4C4D" w:rsidTr="00F80F8E">
        <w:trPr>
          <w:trHeight w:val="530"/>
        </w:trPr>
        <w:tc>
          <w:tcPr>
            <w:tcW w:w="5000" w:type="pct"/>
            <w:gridSpan w:val="7"/>
            <w:shd w:val="clear" w:color="auto" w:fill="CCFFFF"/>
          </w:tcPr>
          <w:p w:rsidR="00D038F3" w:rsidRPr="005E4C4D" w:rsidRDefault="00E42C53" w:rsidP="00F80F8E">
            <w:pPr>
              <w:spacing w:before="60" w:after="120"/>
            </w:pPr>
            <w:r w:rsidRPr="005E4C4D">
              <w:rPr>
                <w:b/>
                <w:u w:val="single"/>
              </w:rPr>
              <w:t xml:space="preserve">Evaluation </w:t>
            </w:r>
            <w:r>
              <w:rPr>
                <w:b/>
                <w:u w:val="single"/>
              </w:rPr>
              <w:t>r</w:t>
            </w:r>
            <w:r w:rsidR="00D038F3" w:rsidRPr="005E4C4D">
              <w:rPr>
                <w:b/>
                <w:u w:val="single"/>
              </w:rPr>
              <w:t>ecommendation 2</w:t>
            </w:r>
          </w:p>
          <w:p w:rsidR="00D038F3" w:rsidRPr="005E4C4D" w:rsidRDefault="00A55708" w:rsidP="00F80F8E">
            <w:pPr>
              <w:pStyle w:val="ListParagraph"/>
              <w:suppressAutoHyphens/>
              <w:spacing w:after="60"/>
              <w:ind w:left="0"/>
              <w:contextualSpacing w:val="0"/>
              <w:rPr>
                <w:rFonts w:ascii="Times New Roman" w:hAnsi="Times New Roman"/>
                <w:sz w:val="24"/>
                <w:szCs w:val="24"/>
              </w:rPr>
            </w:pPr>
            <w:r w:rsidRPr="005E4C4D">
              <w:rPr>
                <w:rFonts w:ascii="Times New Roman" w:hAnsi="Times New Roman"/>
                <w:sz w:val="24"/>
                <w:szCs w:val="24"/>
              </w:rPr>
              <w:t xml:space="preserve">Following the abundant support given to ADISA during these years, it is important to build its ownership, to consolidate its capacities and the self-sustainability. Interventions in this regard should be a mixture of capacity building to the existing and future staff (on topics related to the service quality, performance monitoring and evaluation), boost use of innovative tools (through the innovation lab) and assistance to ADISA’s organizational structure aiming to sustain its capacities and staff. </w:t>
            </w:r>
            <w:r w:rsidR="00D038F3" w:rsidRPr="005E4C4D">
              <w:rPr>
                <w:rFonts w:ascii="Times New Roman" w:hAnsi="Times New Roman"/>
                <w:sz w:val="24"/>
                <w:szCs w:val="24"/>
              </w:rPr>
              <w:t xml:space="preserve">  </w:t>
            </w:r>
          </w:p>
        </w:tc>
      </w:tr>
      <w:tr w:rsidR="00D038F3" w:rsidRPr="005E4C4D" w:rsidTr="00F80F8E">
        <w:trPr>
          <w:trHeight w:val="2690"/>
        </w:trPr>
        <w:tc>
          <w:tcPr>
            <w:tcW w:w="5000" w:type="pct"/>
            <w:gridSpan w:val="7"/>
            <w:shd w:val="clear" w:color="auto" w:fill="CCFFFF"/>
          </w:tcPr>
          <w:p w:rsidR="00D038F3" w:rsidRPr="005E4C4D" w:rsidRDefault="00D038F3" w:rsidP="00D038F3">
            <w:pPr>
              <w:spacing w:after="120"/>
            </w:pPr>
            <w:r w:rsidRPr="005E4C4D">
              <w:rPr>
                <w:b/>
                <w:u w:val="single"/>
              </w:rPr>
              <w:lastRenderedPageBreak/>
              <w:t>Management response</w:t>
            </w:r>
            <w:r w:rsidRPr="005E4C4D">
              <w:t>:</w:t>
            </w:r>
          </w:p>
          <w:p w:rsidR="00D038F3" w:rsidRPr="005E4C4D" w:rsidRDefault="00EE5C9B" w:rsidP="00886F35">
            <w:pPr>
              <w:jc w:val="both"/>
            </w:pPr>
            <w:r w:rsidRPr="005E4C4D">
              <w:t>This is a valid recommendation. As the reform enters its consolidation phase</w:t>
            </w:r>
            <w:r w:rsidR="00CA1775" w:rsidRPr="005E4C4D">
              <w:t>, strengthening institutional sustainability especially with reference to ADISA as a reform champion</w:t>
            </w:r>
            <w:r w:rsidR="001341F2" w:rsidRPr="005E4C4D">
              <w:t xml:space="preserve"> is a key requisite to ensure that impetus for ongoing citizen-centric improvements in public service delivery is firmly rooted. ISDA Support Project has been a strong support in embedding innovati</w:t>
            </w:r>
            <w:r w:rsidR="00733C30" w:rsidRPr="005E4C4D">
              <w:t>on as an overarching approach to solving problems and addressing citizen needs providing the assistance to launch in mid 2017</w:t>
            </w:r>
            <w:r w:rsidR="00886F35" w:rsidRPr="005E4C4D">
              <w:t xml:space="preserve"> of the first government innovation lab in Albania</w:t>
            </w:r>
            <w:r w:rsidR="00733C30" w:rsidRPr="005E4C4D">
              <w:t xml:space="preserve">, then build capacity, and support </w:t>
            </w:r>
            <w:r w:rsidR="00886F35">
              <w:t xml:space="preserve">innovation </w:t>
            </w:r>
            <w:r w:rsidR="00733C30" w:rsidRPr="005E4C4D">
              <w:t xml:space="preserve">project work. As </w:t>
            </w:r>
            <w:proofErr w:type="spellStart"/>
            <w:r w:rsidR="00733C30" w:rsidRPr="005E4C4D">
              <w:t>ADISALab</w:t>
            </w:r>
            <w:proofErr w:type="spellEnd"/>
            <w:r w:rsidR="00733C30" w:rsidRPr="005E4C4D">
              <w:t xml:space="preserve"> has be</w:t>
            </w:r>
            <w:r w:rsidR="00E757F2" w:rsidRPr="005E4C4D">
              <w:t>come in 2019</w:t>
            </w:r>
            <w:r w:rsidR="00733C30" w:rsidRPr="005E4C4D">
              <w:t xml:space="preserve"> a structured unit within the agency, under its Executive Director,</w:t>
            </w:r>
            <w:r w:rsidR="00E757F2" w:rsidRPr="005E4C4D">
              <w:t xml:space="preserve"> the assistance has graduated to making </w:t>
            </w:r>
            <w:proofErr w:type="spellStart"/>
            <w:r w:rsidR="00E757F2" w:rsidRPr="005E4C4D">
              <w:t>ADISALab</w:t>
            </w:r>
            <w:proofErr w:type="spellEnd"/>
            <w:r w:rsidR="00E757F2" w:rsidRPr="005E4C4D">
              <w:t xml:space="preserve"> 2.0 capable of providing innovation capacities to other institutional service providers in Albania, </w:t>
            </w:r>
            <w:proofErr w:type="gramStart"/>
            <w:r w:rsidR="00E757F2" w:rsidRPr="005E4C4D">
              <w:t>But</w:t>
            </w:r>
            <w:proofErr w:type="gramEnd"/>
            <w:r w:rsidR="00E757F2" w:rsidRPr="005E4C4D">
              <w:t xml:space="preserve"> such efforts are only at a starting point, and ongoing support is required</w:t>
            </w:r>
            <w:r w:rsidR="00794AC4" w:rsidRPr="005E4C4D">
              <w:t>.</w:t>
            </w:r>
          </w:p>
        </w:tc>
      </w:tr>
      <w:tr w:rsidR="004C74A0" w:rsidRPr="005E4C4D" w:rsidTr="00F80F8E">
        <w:trPr>
          <w:trHeight w:val="148"/>
        </w:trPr>
        <w:tc>
          <w:tcPr>
            <w:tcW w:w="1795" w:type="pct"/>
            <w:gridSpan w:val="2"/>
            <w:vMerge w:val="restart"/>
            <w:shd w:val="clear" w:color="auto" w:fill="CCFFFF"/>
          </w:tcPr>
          <w:p w:rsidR="00D038F3" w:rsidRPr="005E4C4D" w:rsidRDefault="00D038F3" w:rsidP="00D038F3">
            <w:pPr>
              <w:rPr>
                <w:b/>
              </w:rPr>
            </w:pPr>
            <w:r w:rsidRPr="005E4C4D">
              <w:rPr>
                <w:b/>
              </w:rPr>
              <w:t>Key action (s)</w:t>
            </w:r>
          </w:p>
        </w:tc>
        <w:tc>
          <w:tcPr>
            <w:tcW w:w="427" w:type="pct"/>
            <w:vMerge w:val="restart"/>
            <w:shd w:val="clear" w:color="auto" w:fill="CCFFFF"/>
          </w:tcPr>
          <w:p w:rsidR="00D038F3" w:rsidRPr="005E4C4D" w:rsidRDefault="00D038F3" w:rsidP="00D038F3">
            <w:pPr>
              <w:rPr>
                <w:b/>
              </w:rPr>
            </w:pPr>
            <w:r w:rsidRPr="005E4C4D">
              <w:rPr>
                <w:b/>
              </w:rPr>
              <w:t>Time frame</w:t>
            </w:r>
          </w:p>
        </w:tc>
        <w:tc>
          <w:tcPr>
            <w:tcW w:w="591" w:type="pct"/>
            <w:vMerge w:val="restart"/>
            <w:shd w:val="clear" w:color="auto" w:fill="CCFFFF"/>
          </w:tcPr>
          <w:p w:rsidR="00D038F3" w:rsidRPr="005E4C4D" w:rsidRDefault="00D038F3" w:rsidP="00D038F3">
            <w:pPr>
              <w:rPr>
                <w:b/>
              </w:rPr>
            </w:pPr>
            <w:r w:rsidRPr="005E4C4D">
              <w:rPr>
                <w:b/>
              </w:rPr>
              <w:t>Responsible unit (s)</w:t>
            </w:r>
          </w:p>
        </w:tc>
        <w:tc>
          <w:tcPr>
            <w:tcW w:w="2187" w:type="pct"/>
            <w:gridSpan w:val="3"/>
            <w:shd w:val="clear" w:color="auto" w:fill="CCFFFF"/>
          </w:tcPr>
          <w:p w:rsidR="00D038F3" w:rsidRPr="005E4C4D" w:rsidRDefault="00D038F3" w:rsidP="00D038F3">
            <w:pPr>
              <w:jc w:val="center"/>
              <w:rPr>
                <w:b/>
              </w:rPr>
            </w:pPr>
            <w:r w:rsidRPr="005E4C4D">
              <w:rPr>
                <w:b/>
              </w:rPr>
              <w:t>Tracking</w:t>
            </w:r>
          </w:p>
        </w:tc>
      </w:tr>
      <w:tr w:rsidR="004C74A0" w:rsidRPr="005E4C4D" w:rsidTr="00F80F8E">
        <w:trPr>
          <w:trHeight w:val="148"/>
        </w:trPr>
        <w:tc>
          <w:tcPr>
            <w:tcW w:w="1795" w:type="pct"/>
            <w:gridSpan w:val="2"/>
            <w:vMerge/>
            <w:shd w:val="clear" w:color="auto" w:fill="CCFFFF"/>
          </w:tcPr>
          <w:p w:rsidR="00D038F3" w:rsidRPr="005E4C4D" w:rsidRDefault="00D038F3" w:rsidP="00D038F3"/>
        </w:tc>
        <w:tc>
          <w:tcPr>
            <w:tcW w:w="427" w:type="pct"/>
            <w:vMerge/>
            <w:shd w:val="clear" w:color="auto" w:fill="CCFFFF"/>
          </w:tcPr>
          <w:p w:rsidR="00D038F3" w:rsidRPr="005E4C4D" w:rsidRDefault="00D038F3" w:rsidP="00D038F3"/>
        </w:tc>
        <w:tc>
          <w:tcPr>
            <w:tcW w:w="591" w:type="pct"/>
            <w:vMerge/>
            <w:shd w:val="clear" w:color="auto" w:fill="CCFFFF"/>
          </w:tcPr>
          <w:p w:rsidR="00D038F3" w:rsidRPr="005E4C4D" w:rsidRDefault="00D038F3" w:rsidP="00D038F3"/>
        </w:tc>
        <w:tc>
          <w:tcPr>
            <w:tcW w:w="1668" w:type="pct"/>
            <w:gridSpan w:val="2"/>
            <w:shd w:val="clear" w:color="auto" w:fill="CCFFFF"/>
          </w:tcPr>
          <w:p w:rsidR="00D038F3" w:rsidRPr="005E4C4D" w:rsidRDefault="00D038F3" w:rsidP="00D038F3">
            <w:pPr>
              <w:jc w:val="center"/>
              <w:rPr>
                <w:b/>
              </w:rPr>
            </w:pPr>
            <w:r w:rsidRPr="005E4C4D">
              <w:rPr>
                <w:b/>
              </w:rPr>
              <w:t>Comments</w:t>
            </w:r>
          </w:p>
        </w:tc>
        <w:tc>
          <w:tcPr>
            <w:tcW w:w="519" w:type="pct"/>
            <w:shd w:val="clear" w:color="auto" w:fill="CCFFFF"/>
          </w:tcPr>
          <w:p w:rsidR="00D038F3" w:rsidRPr="005E4C4D" w:rsidRDefault="00D038F3" w:rsidP="00D038F3">
            <w:pPr>
              <w:jc w:val="center"/>
              <w:rPr>
                <w:b/>
              </w:rPr>
            </w:pPr>
            <w:r w:rsidRPr="005E4C4D">
              <w:rPr>
                <w:b/>
              </w:rPr>
              <w:t>Status</w:t>
            </w:r>
          </w:p>
        </w:tc>
      </w:tr>
      <w:tr w:rsidR="004C74A0" w:rsidRPr="005E4C4D" w:rsidTr="00F80F8E">
        <w:trPr>
          <w:trHeight w:val="593"/>
        </w:trPr>
        <w:tc>
          <w:tcPr>
            <w:tcW w:w="1795" w:type="pct"/>
            <w:gridSpan w:val="2"/>
          </w:tcPr>
          <w:p w:rsidR="005F4717" w:rsidRPr="005E4C4D" w:rsidRDefault="00E757F2" w:rsidP="00886F35">
            <w:r w:rsidRPr="005E4C4D">
              <w:t>Enable ongoing assistance for innovation in public service delivery in Albania</w:t>
            </w:r>
          </w:p>
        </w:tc>
        <w:tc>
          <w:tcPr>
            <w:tcW w:w="427" w:type="pct"/>
          </w:tcPr>
          <w:p w:rsidR="00206934" w:rsidRPr="005E4C4D" w:rsidRDefault="00886F35" w:rsidP="00206934">
            <w:pPr>
              <w:rPr>
                <w:lang w:val="en-GB"/>
              </w:rPr>
            </w:pPr>
            <w:r>
              <w:rPr>
                <w:lang w:val="en-GB"/>
              </w:rPr>
              <w:t>Ongoing</w:t>
            </w:r>
            <w:r w:rsidR="00206934" w:rsidRPr="005E4C4D">
              <w:rPr>
                <w:lang w:val="en-GB"/>
              </w:rPr>
              <w:t xml:space="preserve"> </w:t>
            </w:r>
          </w:p>
        </w:tc>
        <w:tc>
          <w:tcPr>
            <w:tcW w:w="591" w:type="pct"/>
          </w:tcPr>
          <w:p w:rsidR="00206934" w:rsidRPr="005E4C4D" w:rsidRDefault="00206934" w:rsidP="00206934">
            <w:pPr>
              <w:rPr>
                <w:lang w:val="en-GB"/>
              </w:rPr>
            </w:pPr>
            <w:r w:rsidRPr="005E4C4D">
              <w:rPr>
                <w:lang w:val="en-GB"/>
              </w:rPr>
              <w:t>UNDP CO Management</w:t>
            </w:r>
          </w:p>
          <w:p w:rsidR="00E664CB" w:rsidRPr="005E4C4D" w:rsidRDefault="00E757F2" w:rsidP="00206934">
            <w:r w:rsidRPr="005E4C4D">
              <w:t>DPM</w:t>
            </w:r>
          </w:p>
        </w:tc>
        <w:tc>
          <w:tcPr>
            <w:tcW w:w="1668" w:type="pct"/>
            <w:gridSpan w:val="2"/>
          </w:tcPr>
          <w:p w:rsidR="00206934" w:rsidRPr="005E4C4D" w:rsidRDefault="004C74A0" w:rsidP="00F80F8E">
            <w:pPr>
              <w:spacing w:after="60"/>
            </w:pPr>
            <w:r>
              <w:rPr>
                <w:lang w:val="en-GB"/>
              </w:rPr>
              <w:t xml:space="preserve">Upon closure of the ISDA Support Project by 31 May 2020, addressed under the </w:t>
            </w:r>
            <w:proofErr w:type="gramStart"/>
            <w:r>
              <w:rPr>
                <w:lang w:val="en-GB"/>
              </w:rPr>
              <w:t>follow on</w:t>
            </w:r>
            <w:proofErr w:type="gramEnd"/>
            <w:r>
              <w:rPr>
                <w:lang w:val="en-GB"/>
              </w:rPr>
              <w:t xml:space="preserve"> project, CSDA, which commenced on 1 June 2020, with a target end date of 28 February 2024</w:t>
            </w:r>
          </w:p>
        </w:tc>
        <w:tc>
          <w:tcPr>
            <w:tcW w:w="519" w:type="pct"/>
          </w:tcPr>
          <w:p w:rsidR="00206934" w:rsidRPr="005E4C4D" w:rsidRDefault="004C74A0" w:rsidP="008C36F3">
            <w:pPr>
              <w:rPr>
                <w:lang w:val="en-GB"/>
              </w:rPr>
            </w:pPr>
            <w:r>
              <w:rPr>
                <w:lang w:val="en-GB"/>
              </w:rPr>
              <w:t xml:space="preserve">Completed </w:t>
            </w:r>
          </w:p>
        </w:tc>
      </w:tr>
      <w:tr w:rsidR="00D038F3" w:rsidRPr="005E4C4D" w:rsidTr="00F80F8E">
        <w:trPr>
          <w:trHeight w:val="1064"/>
        </w:trPr>
        <w:tc>
          <w:tcPr>
            <w:tcW w:w="5000" w:type="pct"/>
            <w:gridSpan w:val="7"/>
            <w:shd w:val="clear" w:color="auto" w:fill="CCFFFF"/>
          </w:tcPr>
          <w:p w:rsidR="00D038F3" w:rsidRPr="005E4C4D" w:rsidRDefault="00D038F3" w:rsidP="00F80F8E">
            <w:pPr>
              <w:spacing w:before="60" w:after="120"/>
              <w:jc w:val="both"/>
              <w:rPr>
                <w:b/>
                <w:u w:val="single"/>
              </w:rPr>
            </w:pPr>
            <w:r w:rsidRPr="005E4C4D">
              <w:rPr>
                <w:b/>
                <w:u w:val="single"/>
              </w:rPr>
              <w:t>Evaluation recommendation 3</w:t>
            </w:r>
          </w:p>
          <w:p w:rsidR="00D038F3" w:rsidRPr="005E4C4D" w:rsidRDefault="00A55708" w:rsidP="005E4C4D">
            <w:pPr>
              <w:jc w:val="both"/>
            </w:pPr>
            <w:r w:rsidRPr="005E4C4D">
              <w:t xml:space="preserve">The extent to which the reform has been implemented so far in Albania is based also on the valuable contribution from different </w:t>
            </w:r>
            <w:proofErr w:type="gramStart"/>
            <w:r w:rsidRPr="005E4C4D">
              <w:t>donors</w:t>
            </w:r>
            <w:proofErr w:type="gramEnd"/>
            <w:r w:rsidRPr="005E4C4D">
              <w:t xml:space="preserve"> support, such as the Italian and Austrian governments, United Nations, the European Union, and the World Bank. However, the donor support over the next years is still very crucial in order to consolidate even more the results achieved so far, to accelerate the processes and to respond on time to the needs particularly </w:t>
            </w:r>
            <w:proofErr w:type="gramStart"/>
            <w:r w:rsidRPr="005E4C4D">
              <w:t>at  increasing</w:t>
            </w:r>
            <w:proofErr w:type="gramEnd"/>
            <w:r w:rsidRPr="005E4C4D">
              <w:t xml:space="preserve"> the services also from other central institutions and expanding these services all over the country. </w:t>
            </w:r>
          </w:p>
          <w:p w:rsidR="00A55708" w:rsidRPr="005E4C4D" w:rsidRDefault="00A55708" w:rsidP="00F80F8E">
            <w:pPr>
              <w:spacing w:after="60"/>
              <w:jc w:val="both"/>
              <w:rPr>
                <w:lang w:val="en-GB"/>
              </w:rPr>
            </w:pPr>
            <w:r w:rsidRPr="005E4C4D">
              <w:t xml:space="preserve">Conclusions, lessons and recommendations suggest that (due to their nature and complexity), some of the project outputs needs to be consolidated in the following years, such as ADISA’s business model and its geographic enlargement, government efforts in advancing and supporting its digital agenda as well as further assistance to the vulnerable groups such as Roma community and people with disabilities. </w:t>
            </w:r>
          </w:p>
        </w:tc>
      </w:tr>
      <w:tr w:rsidR="00D038F3" w:rsidRPr="005E4C4D" w:rsidTr="00F80F8E">
        <w:trPr>
          <w:trHeight w:val="571"/>
        </w:trPr>
        <w:tc>
          <w:tcPr>
            <w:tcW w:w="5000" w:type="pct"/>
            <w:gridSpan w:val="7"/>
            <w:shd w:val="clear" w:color="auto" w:fill="CCFFFF"/>
          </w:tcPr>
          <w:p w:rsidR="00D038F3" w:rsidRPr="005E4C4D" w:rsidRDefault="00D038F3" w:rsidP="005E4C4D">
            <w:pPr>
              <w:spacing w:after="120"/>
              <w:jc w:val="both"/>
              <w:rPr>
                <w:b/>
                <w:u w:val="single"/>
              </w:rPr>
            </w:pPr>
            <w:r w:rsidRPr="005E4C4D">
              <w:rPr>
                <w:b/>
                <w:u w:val="single"/>
              </w:rPr>
              <w:t>Management response:</w:t>
            </w:r>
          </w:p>
          <w:p w:rsidR="005F4717" w:rsidRPr="005E4C4D" w:rsidRDefault="00CC4662" w:rsidP="00F80F8E">
            <w:pPr>
              <w:spacing w:after="60"/>
              <w:jc w:val="both"/>
              <w:rPr>
                <w:lang w:val="en-GB"/>
              </w:rPr>
            </w:pPr>
            <w:r w:rsidRPr="005E4C4D">
              <w:rPr>
                <w:lang w:val="en-GB"/>
              </w:rPr>
              <w:t>Relevance of th</w:t>
            </w:r>
            <w:r w:rsidR="00364807" w:rsidRPr="005E4C4D">
              <w:rPr>
                <w:lang w:val="en-GB"/>
              </w:rPr>
              <w:t>is</w:t>
            </w:r>
            <w:r w:rsidRPr="005E4C4D">
              <w:rPr>
                <w:lang w:val="en-GB"/>
              </w:rPr>
              <w:t xml:space="preserve"> </w:t>
            </w:r>
            <w:r w:rsidR="00364807" w:rsidRPr="005E4C4D">
              <w:rPr>
                <w:lang w:val="en-GB"/>
              </w:rPr>
              <w:t xml:space="preserve">recommendation is recognized. </w:t>
            </w:r>
            <w:r w:rsidR="00472F70" w:rsidRPr="005E4C4D">
              <w:rPr>
                <w:lang w:val="en-GB"/>
              </w:rPr>
              <w:t xml:space="preserve">ISDA Support Project has been a valued contributor in the recognized progress of the public services reform in Albania. It has also played an important role in assuring that reform benefits reach </w:t>
            </w:r>
            <w:r w:rsidR="005E4C4D">
              <w:rPr>
                <w:lang w:val="en-GB"/>
              </w:rPr>
              <w:t xml:space="preserve">women and </w:t>
            </w:r>
            <w:r w:rsidR="00472F70" w:rsidRPr="005E4C4D">
              <w:rPr>
                <w:lang w:val="en-GB"/>
              </w:rPr>
              <w:t>the more vulnerable, such as inhabitants of remote areas, and the Roma and Egyptian communities. This becomes especially relevant considering the declared focus by the government on online public services. ‘Leave no one behind’ is</w:t>
            </w:r>
            <w:r w:rsidR="005E4C4D">
              <w:rPr>
                <w:lang w:val="en-GB"/>
              </w:rPr>
              <w:t>,</w:t>
            </w:r>
            <w:r w:rsidR="00472F70" w:rsidRPr="005E4C4D">
              <w:rPr>
                <w:lang w:val="en-GB"/>
              </w:rPr>
              <w:t xml:space="preserve"> as such</w:t>
            </w:r>
            <w:r w:rsidR="005E4C4D">
              <w:rPr>
                <w:lang w:val="en-GB"/>
              </w:rPr>
              <w:t>,</w:t>
            </w:r>
            <w:r w:rsidR="00472F70" w:rsidRPr="005E4C4D">
              <w:rPr>
                <w:lang w:val="en-GB"/>
              </w:rPr>
              <w:t xml:space="preserve"> embedded strongly in the design of proposed successor project, CSDA. Recognizing that at this stage the reform is increasingly facing the need to harmonize the pull towards greater efficiency, as well as effectiveness, in terms of public service access and quality, CSDA addresses the need </w:t>
            </w:r>
            <w:r w:rsidR="00472F70" w:rsidRPr="005E4C4D">
              <w:rPr>
                <w:lang w:val="en-GB"/>
              </w:rPr>
              <w:lastRenderedPageBreak/>
              <w:t xml:space="preserve">for </w:t>
            </w:r>
            <w:r w:rsidR="005E4C4D" w:rsidRPr="005E4C4D">
              <w:rPr>
                <w:lang w:val="en-GB"/>
              </w:rPr>
              <w:t>continuing</w:t>
            </w:r>
            <w:r w:rsidR="00472F70" w:rsidRPr="005E4C4D">
              <w:rPr>
                <w:lang w:val="en-GB"/>
              </w:rPr>
              <w:t xml:space="preserve"> development partner assistance, present from reform onset</w:t>
            </w:r>
            <w:r w:rsidR="005E4C4D" w:rsidRPr="005E4C4D">
              <w:rPr>
                <w:lang w:val="en-GB"/>
              </w:rPr>
              <w:t>. As a harmonized effort with shared partner objectives as well as ongoing and planned interventions, this assistance is</w:t>
            </w:r>
            <w:r w:rsidR="00472F70" w:rsidRPr="005E4C4D">
              <w:rPr>
                <w:lang w:val="en-GB"/>
              </w:rPr>
              <w:t xml:space="preserve"> </w:t>
            </w:r>
            <w:r w:rsidR="005E4C4D" w:rsidRPr="005E4C4D">
              <w:rPr>
                <w:lang w:val="en-GB"/>
              </w:rPr>
              <w:t xml:space="preserve">considered </w:t>
            </w:r>
            <w:r w:rsidR="00472F70" w:rsidRPr="005E4C4D">
              <w:rPr>
                <w:lang w:val="en-GB"/>
              </w:rPr>
              <w:t xml:space="preserve">critical especially in helping to push forward the change agenda with the focus on women and the most vulnerable, build support, break resistance, raise capacity and promote sustainability. </w:t>
            </w:r>
          </w:p>
        </w:tc>
      </w:tr>
      <w:tr w:rsidR="004C74A0" w:rsidRPr="005E4C4D" w:rsidTr="00F80F8E">
        <w:trPr>
          <w:trHeight w:val="278"/>
        </w:trPr>
        <w:tc>
          <w:tcPr>
            <w:tcW w:w="1795" w:type="pct"/>
            <w:gridSpan w:val="2"/>
            <w:vMerge w:val="restart"/>
            <w:shd w:val="clear" w:color="auto" w:fill="CCFFFF"/>
          </w:tcPr>
          <w:p w:rsidR="00D038F3" w:rsidRPr="005E4C4D" w:rsidRDefault="00D038F3" w:rsidP="00D038F3">
            <w:r w:rsidRPr="005E4C4D">
              <w:rPr>
                <w:b/>
              </w:rPr>
              <w:lastRenderedPageBreak/>
              <w:t>Key action (s)</w:t>
            </w:r>
          </w:p>
        </w:tc>
        <w:tc>
          <w:tcPr>
            <w:tcW w:w="427" w:type="pct"/>
            <w:vMerge w:val="restart"/>
            <w:shd w:val="clear" w:color="auto" w:fill="CCFFFF"/>
          </w:tcPr>
          <w:p w:rsidR="00D038F3" w:rsidRPr="005E4C4D" w:rsidRDefault="00D038F3" w:rsidP="00D038F3">
            <w:pPr>
              <w:rPr>
                <w:b/>
              </w:rPr>
            </w:pPr>
            <w:r w:rsidRPr="005E4C4D">
              <w:rPr>
                <w:b/>
              </w:rPr>
              <w:t>Time frame</w:t>
            </w:r>
          </w:p>
        </w:tc>
        <w:tc>
          <w:tcPr>
            <w:tcW w:w="591" w:type="pct"/>
            <w:vMerge w:val="restart"/>
            <w:shd w:val="clear" w:color="auto" w:fill="CCFFFF"/>
          </w:tcPr>
          <w:p w:rsidR="00D038F3" w:rsidRPr="005E4C4D" w:rsidRDefault="00D038F3" w:rsidP="00D038F3">
            <w:pPr>
              <w:rPr>
                <w:b/>
              </w:rPr>
            </w:pPr>
            <w:r w:rsidRPr="005E4C4D">
              <w:rPr>
                <w:b/>
              </w:rPr>
              <w:t>Responsible unit (s)</w:t>
            </w:r>
          </w:p>
        </w:tc>
        <w:tc>
          <w:tcPr>
            <w:tcW w:w="2187" w:type="pct"/>
            <w:gridSpan w:val="3"/>
            <w:shd w:val="clear" w:color="auto" w:fill="CCFFFF"/>
          </w:tcPr>
          <w:p w:rsidR="00D038F3" w:rsidRPr="005E4C4D" w:rsidRDefault="00D038F3" w:rsidP="00D038F3">
            <w:pPr>
              <w:jc w:val="center"/>
              <w:rPr>
                <w:b/>
              </w:rPr>
            </w:pPr>
            <w:r w:rsidRPr="005E4C4D">
              <w:rPr>
                <w:b/>
              </w:rPr>
              <w:t>Tracking</w:t>
            </w:r>
          </w:p>
        </w:tc>
      </w:tr>
      <w:tr w:rsidR="004C74A0" w:rsidRPr="005E4C4D" w:rsidTr="00F80F8E">
        <w:trPr>
          <w:trHeight w:val="148"/>
        </w:trPr>
        <w:tc>
          <w:tcPr>
            <w:tcW w:w="1795" w:type="pct"/>
            <w:gridSpan w:val="2"/>
            <w:vMerge/>
            <w:shd w:val="clear" w:color="auto" w:fill="CCFFFF"/>
          </w:tcPr>
          <w:p w:rsidR="00D038F3" w:rsidRPr="005E4C4D" w:rsidRDefault="00D038F3" w:rsidP="00D038F3"/>
        </w:tc>
        <w:tc>
          <w:tcPr>
            <w:tcW w:w="427" w:type="pct"/>
            <w:vMerge/>
            <w:shd w:val="clear" w:color="auto" w:fill="CCFFFF"/>
          </w:tcPr>
          <w:p w:rsidR="00D038F3" w:rsidRPr="005E4C4D" w:rsidRDefault="00D038F3" w:rsidP="00D038F3"/>
        </w:tc>
        <w:tc>
          <w:tcPr>
            <w:tcW w:w="591" w:type="pct"/>
            <w:vMerge/>
            <w:shd w:val="clear" w:color="auto" w:fill="CCFFFF"/>
          </w:tcPr>
          <w:p w:rsidR="00D038F3" w:rsidRPr="005E4C4D" w:rsidRDefault="00D038F3" w:rsidP="00D038F3"/>
        </w:tc>
        <w:tc>
          <w:tcPr>
            <w:tcW w:w="1668" w:type="pct"/>
            <w:gridSpan w:val="2"/>
            <w:shd w:val="clear" w:color="auto" w:fill="CCFFFF"/>
          </w:tcPr>
          <w:p w:rsidR="00D038F3" w:rsidRPr="005E4C4D" w:rsidRDefault="00D038F3" w:rsidP="00D038F3">
            <w:pPr>
              <w:jc w:val="center"/>
              <w:rPr>
                <w:b/>
              </w:rPr>
            </w:pPr>
            <w:r w:rsidRPr="005E4C4D">
              <w:rPr>
                <w:b/>
              </w:rPr>
              <w:t>Comments</w:t>
            </w:r>
          </w:p>
        </w:tc>
        <w:tc>
          <w:tcPr>
            <w:tcW w:w="519" w:type="pct"/>
            <w:shd w:val="clear" w:color="auto" w:fill="CCFFFF"/>
          </w:tcPr>
          <w:p w:rsidR="00D038F3" w:rsidRPr="005E4C4D" w:rsidRDefault="00D038F3" w:rsidP="00D038F3">
            <w:pPr>
              <w:jc w:val="center"/>
              <w:rPr>
                <w:b/>
              </w:rPr>
            </w:pPr>
            <w:r w:rsidRPr="005E4C4D">
              <w:rPr>
                <w:b/>
              </w:rPr>
              <w:t>Status</w:t>
            </w:r>
          </w:p>
        </w:tc>
      </w:tr>
      <w:tr w:rsidR="004C74A0" w:rsidRPr="005E4C4D" w:rsidTr="00F80F8E">
        <w:trPr>
          <w:trHeight w:val="278"/>
        </w:trPr>
        <w:tc>
          <w:tcPr>
            <w:tcW w:w="1795" w:type="pct"/>
            <w:gridSpan w:val="2"/>
          </w:tcPr>
          <w:p w:rsidR="004C74A0" w:rsidRPr="005E4C4D" w:rsidRDefault="004C74A0" w:rsidP="00F80F8E">
            <w:pPr>
              <w:pStyle w:val="KeinLeerraum"/>
              <w:rPr>
                <w:rFonts w:ascii="Times New Roman" w:hAnsi="Times New Roman"/>
                <w:sz w:val="24"/>
                <w:szCs w:val="24"/>
                <w:lang w:val="en-GB"/>
              </w:rPr>
            </w:pPr>
            <w:r>
              <w:rPr>
                <w:rFonts w:ascii="Times New Roman" w:hAnsi="Times New Roman"/>
                <w:sz w:val="24"/>
                <w:szCs w:val="24"/>
                <w:lang w:val="en-GB"/>
              </w:rPr>
              <w:t>Continue working with development partners and in line with government priorities towards providing ongoing assistance for the consolidation of the public services reform in Albania</w:t>
            </w:r>
          </w:p>
        </w:tc>
        <w:tc>
          <w:tcPr>
            <w:tcW w:w="427" w:type="pct"/>
          </w:tcPr>
          <w:p w:rsidR="004C74A0" w:rsidRPr="005E4C4D" w:rsidRDefault="004C74A0" w:rsidP="00F80F8E">
            <w:pPr>
              <w:pStyle w:val="KeinLeerraum"/>
              <w:rPr>
                <w:rFonts w:ascii="Times New Roman" w:hAnsi="Times New Roman"/>
                <w:sz w:val="24"/>
                <w:szCs w:val="24"/>
                <w:lang w:val="en-GB"/>
              </w:rPr>
            </w:pPr>
            <w:r w:rsidRPr="005E4C4D">
              <w:rPr>
                <w:rFonts w:ascii="Times New Roman" w:hAnsi="Times New Roman"/>
                <w:sz w:val="24"/>
                <w:szCs w:val="24"/>
                <w:lang w:val="en-GB"/>
              </w:rPr>
              <w:t>From</w:t>
            </w:r>
            <w:r>
              <w:rPr>
                <w:rFonts w:ascii="Times New Roman" w:hAnsi="Times New Roman"/>
                <w:sz w:val="24"/>
                <w:szCs w:val="24"/>
                <w:lang w:val="en-GB"/>
              </w:rPr>
              <w:t xml:space="preserve"> April 2019</w:t>
            </w:r>
          </w:p>
        </w:tc>
        <w:tc>
          <w:tcPr>
            <w:tcW w:w="591" w:type="pct"/>
          </w:tcPr>
          <w:p w:rsidR="004C74A0" w:rsidRPr="005E4C4D" w:rsidRDefault="004C74A0" w:rsidP="00F80F8E">
            <w:pPr>
              <w:pStyle w:val="KeinLeerraum"/>
              <w:rPr>
                <w:rFonts w:ascii="Times New Roman" w:hAnsi="Times New Roman"/>
                <w:sz w:val="24"/>
                <w:szCs w:val="24"/>
                <w:lang w:val="en-GB"/>
              </w:rPr>
            </w:pPr>
            <w:r w:rsidRPr="005E4C4D">
              <w:rPr>
                <w:rFonts w:ascii="Times New Roman" w:hAnsi="Times New Roman"/>
                <w:sz w:val="24"/>
                <w:szCs w:val="24"/>
                <w:lang w:val="en-GB"/>
              </w:rPr>
              <w:t xml:space="preserve">UNDP CO Management </w:t>
            </w:r>
          </w:p>
        </w:tc>
        <w:tc>
          <w:tcPr>
            <w:tcW w:w="1668" w:type="pct"/>
            <w:gridSpan w:val="2"/>
          </w:tcPr>
          <w:p w:rsidR="004C74A0" w:rsidRPr="005E4C4D" w:rsidRDefault="004C74A0" w:rsidP="00F80F8E">
            <w:pPr>
              <w:pStyle w:val="KeinLeerraum"/>
              <w:spacing w:after="60"/>
              <w:rPr>
                <w:rFonts w:ascii="Times New Roman" w:hAnsi="Times New Roman"/>
                <w:sz w:val="24"/>
                <w:szCs w:val="24"/>
                <w:lang w:val="en-GB"/>
              </w:rPr>
            </w:pPr>
            <w:r w:rsidRPr="00F66E53">
              <w:rPr>
                <w:rFonts w:ascii="Times New Roman" w:hAnsi="Times New Roman"/>
                <w:sz w:val="24"/>
                <w:szCs w:val="24"/>
                <w:lang w:val="en-GB"/>
              </w:rPr>
              <w:t xml:space="preserve">Upon closure of the ISDA Support Project by 31 May 2020, </w:t>
            </w:r>
            <w:r>
              <w:rPr>
                <w:rFonts w:ascii="Times New Roman" w:hAnsi="Times New Roman"/>
                <w:sz w:val="24"/>
                <w:szCs w:val="24"/>
                <w:lang w:val="en-GB"/>
              </w:rPr>
              <w:t>the</w:t>
            </w:r>
            <w:r w:rsidRPr="00F66E53">
              <w:rPr>
                <w:rFonts w:ascii="Times New Roman" w:hAnsi="Times New Roman"/>
                <w:sz w:val="24"/>
                <w:szCs w:val="24"/>
                <w:lang w:val="en-GB"/>
              </w:rPr>
              <w:t xml:space="preserve"> </w:t>
            </w:r>
            <w:proofErr w:type="gramStart"/>
            <w:r w:rsidRPr="00F66E53">
              <w:rPr>
                <w:rFonts w:ascii="Times New Roman" w:hAnsi="Times New Roman"/>
                <w:sz w:val="24"/>
                <w:szCs w:val="24"/>
                <w:lang w:val="en-GB"/>
              </w:rPr>
              <w:t>follow on</w:t>
            </w:r>
            <w:proofErr w:type="gramEnd"/>
            <w:r w:rsidRPr="00F66E53">
              <w:rPr>
                <w:rFonts w:ascii="Times New Roman" w:hAnsi="Times New Roman"/>
                <w:sz w:val="24"/>
                <w:szCs w:val="24"/>
                <w:lang w:val="en-GB"/>
              </w:rPr>
              <w:t xml:space="preserve"> project, CSDA</w:t>
            </w:r>
            <w:r>
              <w:rPr>
                <w:rFonts w:ascii="Times New Roman" w:hAnsi="Times New Roman"/>
                <w:sz w:val="24"/>
                <w:szCs w:val="24"/>
                <w:lang w:val="en-GB"/>
              </w:rPr>
              <w:t>-Consolidation of Citizen Centric Public Service Delivery in Albania</w:t>
            </w:r>
            <w:r w:rsidRPr="00F66E53">
              <w:rPr>
                <w:rFonts w:ascii="Times New Roman" w:hAnsi="Times New Roman"/>
                <w:sz w:val="24"/>
                <w:szCs w:val="24"/>
                <w:lang w:val="en-GB"/>
              </w:rPr>
              <w:t xml:space="preserve">, </w:t>
            </w:r>
            <w:r>
              <w:rPr>
                <w:rFonts w:ascii="Times New Roman" w:hAnsi="Times New Roman"/>
                <w:sz w:val="24"/>
                <w:szCs w:val="24"/>
                <w:lang w:val="en-GB"/>
              </w:rPr>
              <w:t>was launched o</w:t>
            </w:r>
            <w:r w:rsidRPr="00F66E53">
              <w:rPr>
                <w:rFonts w:ascii="Times New Roman" w:hAnsi="Times New Roman"/>
                <w:sz w:val="24"/>
                <w:szCs w:val="24"/>
                <w:lang w:val="en-GB"/>
              </w:rPr>
              <w:t>n 1 June 2020, with a target end date of 28 February 2024</w:t>
            </w:r>
          </w:p>
        </w:tc>
        <w:tc>
          <w:tcPr>
            <w:tcW w:w="519" w:type="pct"/>
          </w:tcPr>
          <w:p w:rsidR="004C74A0" w:rsidRPr="005E4C4D" w:rsidRDefault="004C74A0" w:rsidP="00F80F8E">
            <w:pPr>
              <w:pStyle w:val="KeinLeerraum"/>
              <w:rPr>
                <w:rFonts w:ascii="Times New Roman" w:hAnsi="Times New Roman"/>
                <w:sz w:val="24"/>
                <w:szCs w:val="24"/>
                <w:lang w:val="en-GB"/>
              </w:rPr>
            </w:pPr>
            <w:r w:rsidRPr="00F80F8E">
              <w:rPr>
                <w:rFonts w:ascii="Times New Roman" w:hAnsi="Times New Roman"/>
                <w:sz w:val="24"/>
                <w:szCs w:val="24"/>
                <w:lang w:val="en-GB"/>
              </w:rPr>
              <w:t xml:space="preserve">Completed </w:t>
            </w:r>
          </w:p>
        </w:tc>
      </w:tr>
      <w:tr w:rsidR="004C74A0" w:rsidRPr="005E4C4D" w:rsidTr="00F80F8E">
        <w:trPr>
          <w:trHeight w:val="1313"/>
        </w:trPr>
        <w:tc>
          <w:tcPr>
            <w:tcW w:w="5000" w:type="pct"/>
            <w:gridSpan w:val="7"/>
            <w:shd w:val="clear" w:color="auto" w:fill="CCFFFF"/>
          </w:tcPr>
          <w:p w:rsidR="004C74A0" w:rsidRPr="005E4C4D" w:rsidRDefault="004C74A0" w:rsidP="00F80F8E">
            <w:pPr>
              <w:pStyle w:val="ListParagraph"/>
              <w:spacing w:before="60" w:after="120"/>
              <w:ind w:left="0"/>
              <w:rPr>
                <w:rFonts w:ascii="Times New Roman" w:eastAsia="Times New Roman" w:hAnsi="Times New Roman"/>
                <w:b/>
                <w:sz w:val="24"/>
                <w:szCs w:val="24"/>
                <w:u w:val="single"/>
                <w:lang w:val="en-US"/>
              </w:rPr>
            </w:pPr>
            <w:r w:rsidRPr="005E4C4D">
              <w:rPr>
                <w:rFonts w:ascii="Times New Roman" w:eastAsia="Times New Roman" w:hAnsi="Times New Roman"/>
                <w:b/>
                <w:sz w:val="24"/>
                <w:szCs w:val="24"/>
                <w:u w:val="single"/>
                <w:lang w:val="en-US"/>
              </w:rPr>
              <w:t>Evaluation recommendation 4</w:t>
            </w:r>
          </w:p>
          <w:p w:rsidR="004C74A0" w:rsidRPr="005E4C4D" w:rsidRDefault="004C74A0" w:rsidP="00F80F8E">
            <w:pPr>
              <w:spacing w:after="60"/>
              <w:jc w:val="both"/>
              <w:rPr>
                <w:lang w:val="en-GB"/>
              </w:rPr>
            </w:pPr>
            <w:r w:rsidRPr="005E4C4D">
              <w:t xml:space="preserve">Based on the citizen-centric approach, it is recommended that additional focus should be paid to the citizens in remote areas. The ADISA Mobile Office Facility is an important initiative which should continue and expand in the future in all remote areas of the country. Based on the success of the co-location model, the Mobile Office Facility can make use of local capacities on the ground.  </w:t>
            </w:r>
          </w:p>
        </w:tc>
      </w:tr>
      <w:tr w:rsidR="004C74A0" w:rsidRPr="005E4C4D" w:rsidTr="00F80F8E">
        <w:trPr>
          <w:trHeight w:val="679"/>
        </w:trPr>
        <w:tc>
          <w:tcPr>
            <w:tcW w:w="5000" w:type="pct"/>
            <w:gridSpan w:val="7"/>
            <w:shd w:val="clear" w:color="auto" w:fill="CCFFFF"/>
          </w:tcPr>
          <w:p w:rsidR="004C74A0" w:rsidRPr="005E4C4D" w:rsidRDefault="004C74A0" w:rsidP="004C74A0">
            <w:pPr>
              <w:spacing w:after="120"/>
              <w:rPr>
                <w:b/>
                <w:u w:val="single"/>
              </w:rPr>
            </w:pPr>
            <w:r w:rsidRPr="005E4C4D">
              <w:rPr>
                <w:b/>
                <w:u w:val="single"/>
              </w:rPr>
              <w:t>Management response:</w:t>
            </w:r>
          </w:p>
          <w:p w:rsidR="004C74A0" w:rsidRPr="005E4C4D" w:rsidRDefault="004C74A0" w:rsidP="004C74A0">
            <w:pPr>
              <w:pStyle w:val="KeinLeerraum"/>
              <w:spacing w:after="120"/>
              <w:jc w:val="both"/>
              <w:rPr>
                <w:rFonts w:ascii="Times New Roman" w:hAnsi="Times New Roman"/>
                <w:sz w:val="24"/>
                <w:szCs w:val="24"/>
                <w:lang w:val="en-US"/>
              </w:rPr>
            </w:pPr>
            <w:r w:rsidRPr="005E4C4D">
              <w:rPr>
                <w:rFonts w:ascii="Times New Roman" w:hAnsi="Times New Roman"/>
                <w:sz w:val="24"/>
                <w:szCs w:val="24"/>
                <w:lang w:val="en-US"/>
              </w:rPr>
              <w:t xml:space="preserve">Relevance of recommendation to </w:t>
            </w:r>
            <w:r>
              <w:rPr>
                <w:rFonts w:ascii="Times New Roman" w:hAnsi="Times New Roman"/>
                <w:sz w:val="24"/>
                <w:szCs w:val="24"/>
                <w:lang w:val="en-US"/>
              </w:rPr>
              <w:t xml:space="preserve">help promote solutions that are agile and effective and implemented in an integrated fashion </w:t>
            </w:r>
            <w:r w:rsidRPr="005E4C4D">
              <w:rPr>
                <w:rFonts w:ascii="Times New Roman" w:hAnsi="Times New Roman"/>
                <w:sz w:val="24"/>
                <w:szCs w:val="24"/>
                <w:lang w:val="en-US"/>
              </w:rPr>
              <w:t xml:space="preserve">is acknowledged. </w:t>
            </w:r>
            <w:r>
              <w:rPr>
                <w:rFonts w:ascii="Times New Roman" w:hAnsi="Times New Roman"/>
                <w:sz w:val="24"/>
                <w:szCs w:val="24"/>
                <w:lang w:val="en-US"/>
              </w:rPr>
              <w:t xml:space="preserve">ISDA Support Project has been working with the reform leadership and champion institutions to ensure that identified challenges are analyzed in detail and addressed comprehensively. Hence, in terms of access to customer-care services throughout the territory, the project has supported an integrated approach that answers </w:t>
            </w:r>
            <w:proofErr w:type="gramStart"/>
            <w:r>
              <w:rPr>
                <w:rFonts w:ascii="Times New Roman" w:hAnsi="Times New Roman"/>
                <w:sz w:val="24"/>
                <w:szCs w:val="24"/>
                <w:lang w:val="en-US"/>
              </w:rPr>
              <w:t>needs</w:t>
            </w:r>
            <w:proofErr w:type="gramEnd"/>
            <w:r>
              <w:rPr>
                <w:rFonts w:ascii="Times New Roman" w:hAnsi="Times New Roman"/>
                <w:sz w:val="24"/>
                <w:szCs w:val="24"/>
                <w:lang w:val="en-US"/>
              </w:rPr>
              <w:t xml:space="preserve"> of different groups, rather than aggregations attributed to the average citizen. For the future, given the nature of traditional government, necessary bespoke solutions would require outside backing to be realized. </w:t>
            </w:r>
          </w:p>
        </w:tc>
      </w:tr>
      <w:tr w:rsidR="004C74A0" w:rsidRPr="005E4C4D" w:rsidTr="00F80F8E">
        <w:trPr>
          <w:trHeight w:val="278"/>
        </w:trPr>
        <w:tc>
          <w:tcPr>
            <w:tcW w:w="1795" w:type="pct"/>
            <w:gridSpan w:val="2"/>
            <w:vMerge w:val="restart"/>
            <w:shd w:val="clear" w:color="auto" w:fill="CCFFFF"/>
          </w:tcPr>
          <w:p w:rsidR="004C74A0" w:rsidRPr="005E4C4D" w:rsidRDefault="004C74A0" w:rsidP="004C74A0">
            <w:r w:rsidRPr="005E4C4D">
              <w:rPr>
                <w:b/>
              </w:rPr>
              <w:t>Key action (s)</w:t>
            </w:r>
          </w:p>
        </w:tc>
        <w:tc>
          <w:tcPr>
            <w:tcW w:w="427" w:type="pct"/>
            <w:vMerge w:val="restart"/>
            <w:shd w:val="clear" w:color="auto" w:fill="CCFFFF"/>
          </w:tcPr>
          <w:p w:rsidR="004C74A0" w:rsidRPr="005E4C4D" w:rsidRDefault="004C74A0" w:rsidP="004C74A0">
            <w:pPr>
              <w:rPr>
                <w:b/>
              </w:rPr>
            </w:pPr>
            <w:r w:rsidRPr="005E4C4D">
              <w:rPr>
                <w:b/>
              </w:rPr>
              <w:t>Time frame</w:t>
            </w:r>
          </w:p>
        </w:tc>
        <w:tc>
          <w:tcPr>
            <w:tcW w:w="591" w:type="pct"/>
            <w:vMerge w:val="restart"/>
            <w:shd w:val="clear" w:color="auto" w:fill="CCFFFF"/>
          </w:tcPr>
          <w:p w:rsidR="004C74A0" w:rsidRPr="005E4C4D" w:rsidRDefault="004C74A0" w:rsidP="004C74A0">
            <w:pPr>
              <w:rPr>
                <w:b/>
              </w:rPr>
            </w:pPr>
            <w:r w:rsidRPr="005E4C4D">
              <w:rPr>
                <w:b/>
              </w:rPr>
              <w:t>Responsible unit (s)</w:t>
            </w:r>
          </w:p>
        </w:tc>
        <w:tc>
          <w:tcPr>
            <w:tcW w:w="2187" w:type="pct"/>
            <w:gridSpan w:val="3"/>
            <w:shd w:val="clear" w:color="auto" w:fill="CCFFFF"/>
          </w:tcPr>
          <w:p w:rsidR="004C74A0" w:rsidRPr="005E4C4D" w:rsidRDefault="004C74A0" w:rsidP="004C74A0">
            <w:pPr>
              <w:jc w:val="center"/>
              <w:rPr>
                <w:b/>
              </w:rPr>
            </w:pPr>
            <w:r w:rsidRPr="005E4C4D">
              <w:rPr>
                <w:b/>
              </w:rPr>
              <w:t>Tracking</w:t>
            </w:r>
          </w:p>
        </w:tc>
      </w:tr>
      <w:tr w:rsidR="004C74A0" w:rsidRPr="005E4C4D" w:rsidTr="00F80F8E">
        <w:trPr>
          <w:trHeight w:val="148"/>
        </w:trPr>
        <w:tc>
          <w:tcPr>
            <w:tcW w:w="1795" w:type="pct"/>
            <w:gridSpan w:val="2"/>
            <w:vMerge/>
            <w:tcBorders>
              <w:bottom w:val="single" w:sz="4" w:space="0" w:color="auto"/>
            </w:tcBorders>
            <w:shd w:val="clear" w:color="auto" w:fill="CCFFFF"/>
          </w:tcPr>
          <w:p w:rsidR="004C74A0" w:rsidRPr="005E4C4D" w:rsidRDefault="004C74A0" w:rsidP="004C74A0"/>
        </w:tc>
        <w:tc>
          <w:tcPr>
            <w:tcW w:w="427" w:type="pct"/>
            <w:vMerge/>
            <w:tcBorders>
              <w:bottom w:val="single" w:sz="4" w:space="0" w:color="auto"/>
            </w:tcBorders>
            <w:shd w:val="clear" w:color="auto" w:fill="CCFFFF"/>
          </w:tcPr>
          <w:p w:rsidR="004C74A0" w:rsidRPr="005E4C4D" w:rsidRDefault="004C74A0" w:rsidP="004C74A0"/>
        </w:tc>
        <w:tc>
          <w:tcPr>
            <w:tcW w:w="591" w:type="pct"/>
            <w:vMerge/>
            <w:tcBorders>
              <w:bottom w:val="single" w:sz="4" w:space="0" w:color="auto"/>
            </w:tcBorders>
            <w:shd w:val="clear" w:color="auto" w:fill="CCFFFF"/>
          </w:tcPr>
          <w:p w:rsidR="004C74A0" w:rsidRPr="005E4C4D" w:rsidRDefault="004C74A0" w:rsidP="004C74A0"/>
        </w:tc>
        <w:tc>
          <w:tcPr>
            <w:tcW w:w="1633" w:type="pct"/>
            <w:tcBorders>
              <w:bottom w:val="single" w:sz="4" w:space="0" w:color="auto"/>
            </w:tcBorders>
            <w:shd w:val="clear" w:color="auto" w:fill="CCFFFF"/>
          </w:tcPr>
          <w:p w:rsidR="004C74A0" w:rsidRPr="005E4C4D" w:rsidRDefault="004C74A0" w:rsidP="004C74A0">
            <w:pPr>
              <w:jc w:val="center"/>
              <w:rPr>
                <w:b/>
              </w:rPr>
            </w:pPr>
            <w:r w:rsidRPr="005E4C4D">
              <w:rPr>
                <w:b/>
              </w:rPr>
              <w:t>Comments</w:t>
            </w:r>
          </w:p>
        </w:tc>
        <w:tc>
          <w:tcPr>
            <w:tcW w:w="554" w:type="pct"/>
            <w:gridSpan w:val="2"/>
            <w:tcBorders>
              <w:bottom w:val="single" w:sz="4" w:space="0" w:color="auto"/>
            </w:tcBorders>
            <w:shd w:val="clear" w:color="auto" w:fill="CCFFFF"/>
          </w:tcPr>
          <w:p w:rsidR="004C74A0" w:rsidRPr="005E4C4D" w:rsidRDefault="004C74A0" w:rsidP="004C74A0">
            <w:pPr>
              <w:jc w:val="center"/>
              <w:rPr>
                <w:b/>
              </w:rPr>
            </w:pPr>
            <w:r w:rsidRPr="005E4C4D">
              <w:rPr>
                <w:b/>
              </w:rPr>
              <w:t>Status</w:t>
            </w:r>
          </w:p>
        </w:tc>
      </w:tr>
      <w:tr w:rsidR="004C74A0" w:rsidRPr="005E4C4D" w:rsidTr="00F80F8E">
        <w:trPr>
          <w:trHeight w:val="917"/>
        </w:trPr>
        <w:tc>
          <w:tcPr>
            <w:tcW w:w="1795" w:type="pct"/>
            <w:gridSpan w:val="2"/>
            <w:shd w:val="clear" w:color="auto" w:fill="FFFFFF"/>
          </w:tcPr>
          <w:p w:rsidR="004C74A0" w:rsidRPr="005E4C4D" w:rsidRDefault="004C74A0" w:rsidP="004C74A0">
            <w:r>
              <w:t>Incorporate assistance for experimenting, piloting and roll-out assistance for customized solutions that meet needs of citizens</w:t>
            </w:r>
          </w:p>
        </w:tc>
        <w:tc>
          <w:tcPr>
            <w:tcW w:w="427" w:type="pct"/>
            <w:shd w:val="clear" w:color="auto" w:fill="FFFFFF"/>
          </w:tcPr>
          <w:p w:rsidR="004C74A0" w:rsidRPr="005E4C4D" w:rsidRDefault="004C74A0" w:rsidP="004C74A0">
            <w:r>
              <w:t xml:space="preserve">April </w:t>
            </w:r>
            <w:r w:rsidRPr="005E4C4D">
              <w:t>2020 onwards</w:t>
            </w:r>
          </w:p>
        </w:tc>
        <w:tc>
          <w:tcPr>
            <w:tcW w:w="591" w:type="pct"/>
            <w:shd w:val="clear" w:color="auto" w:fill="FFFFFF"/>
          </w:tcPr>
          <w:p w:rsidR="004C74A0" w:rsidRPr="005E4C4D" w:rsidRDefault="004C74A0" w:rsidP="004C74A0">
            <w:pPr>
              <w:spacing w:after="120"/>
            </w:pPr>
            <w:r w:rsidRPr="005E4C4D">
              <w:t>UNDP CO management</w:t>
            </w:r>
          </w:p>
        </w:tc>
        <w:tc>
          <w:tcPr>
            <w:tcW w:w="1633" w:type="pct"/>
            <w:shd w:val="clear" w:color="auto" w:fill="FFFFFF"/>
          </w:tcPr>
          <w:p w:rsidR="004C74A0" w:rsidRPr="005E4C4D" w:rsidRDefault="004C74A0" w:rsidP="00F80F8E">
            <w:pPr>
              <w:spacing w:after="60"/>
            </w:pPr>
            <w:r>
              <w:rPr>
                <w:lang w:val="en-GB"/>
              </w:rPr>
              <w:t>Addressed under the ISDA Support follow on project, CSDA, which commenced on 1 June 2020, with a target end date of 28 February 2024</w:t>
            </w:r>
          </w:p>
        </w:tc>
        <w:tc>
          <w:tcPr>
            <w:tcW w:w="554" w:type="pct"/>
            <w:gridSpan w:val="2"/>
            <w:shd w:val="clear" w:color="auto" w:fill="FFFFFF"/>
          </w:tcPr>
          <w:p w:rsidR="004C74A0" w:rsidRPr="005E4C4D" w:rsidRDefault="004C74A0" w:rsidP="004C74A0">
            <w:r>
              <w:rPr>
                <w:lang w:val="en-GB"/>
              </w:rPr>
              <w:t>Completed</w:t>
            </w:r>
          </w:p>
        </w:tc>
      </w:tr>
      <w:tr w:rsidR="004C74A0" w:rsidRPr="005E4C4D" w:rsidTr="00F80F8E">
        <w:trPr>
          <w:trHeight w:val="447"/>
        </w:trPr>
        <w:tc>
          <w:tcPr>
            <w:tcW w:w="5000" w:type="pct"/>
            <w:gridSpan w:val="7"/>
            <w:shd w:val="clear" w:color="auto" w:fill="CCFFFF"/>
          </w:tcPr>
          <w:p w:rsidR="004C74A0" w:rsidRPr="005E4C4D" w:rsidRDefault="004C74A0" w:rsidP="00F80F8E">
            <w:pPr>
              <w:pStyle w:val="ListParagraph"/>
              <w:spacing w:before="60" w:after="120"/>
              <w:ind w:left="0"/>
              <w:rPr>
                <w:rFonts w:ascii="Times New Roman" w:eastAsia="Times New Roman" w:hAnsi="Times New Roman"/>
                <w:b/>
                <w:sz w:val="24"/>
                <w:szCs w:val="24"/>
                <w:u w:val="single"/>
                <w:lang w:val="en-US"/>
              </w:rPr>
            </w:pPr>
            <w:r w:rsidRPr="005E4C4D">
              <w:rPr>
                <w:rFonts w:ascii="Times New Roman" w:eastAsia="Times New Roman" w:hAnsi="Times New Roman"/>
                <w:b/>
                <w:sz w:val="24"/>
                <w:szCs w:val="24"/>
                <w:u w:val="single"/>
                <w:lang w:val="en-US"/>
              </w:rPr>
              <w:t>Evaluation recommendation 5</w:t>
            </w:r>
          </w:p>
          <w:p w:rsidR="004C74A0" w:rsidRPr="005E4C4D" w:rsidRDefault="004C74A0" w:rsidP="00F80F8E">
            <w:pPr>
              <w:spacing w:after="60"/>
              <w:jc w:val="both"/>
              <w:rPr>
                <w:lang w:val="en-GB"/>
              </w:rPr>
            </w:pPr>
            <w:r w:rsidRPr="005E4C4D">
              <w:t xml:space="preserve">As stated in this report, the project has paid special attention to the vulnerable groups and to gender issues. In this regard, it is recommended that the future activities should be focused on ICT literacy for these groups, development of relevant training materials </w:t>
            </w:r>
            <w:r w:rsidRPr="005E4C4D">
              <w:lastRenderedPageBreak/>
              <w:t xml:space="preserve">targeting different age groups (especially youth in remote areas). Such initiatives can be coordinated with the education institutions in the targeted areas. </w:t>
            </w:r>
          </w:p>
        </w:tc>
      </w:tr>
      <w:tr w:rsidR="004C74A0" w:rsidRPr="005E4C4D" w:rsidTr="00F80F8E">
        <w:trPr>
          <w:trHeight w:val="679"/>
        </w:trPr>
        <w:tc>
          <w:tcPr>
            <w:tcW w:w="5000" w:type="pct"/>
            <w:gridSpan w:val="7"/>
            <w:shd w:val="clear" w:color="auto" w:fill="CCFFFF"/>
          </w:tcPr>
          <w:p w:rsidR="004C74A0" w:rsidRPr="005E4C4D" w:rsidRDefault="004C74A0" w:rsidP="004C74A0">
            <w:pPr>
              <w:spacing w:after="120"/>
              <w:rPr>
                <w:b/>
                <w:u w:val="single"/>
              </w:rPr>
            </w:pPr>
            <w:r w:rsidRPr="005E4C4D">
              <w:rPr>
                <w:b/>
                <w:u w:val="single"/>
              </w:rPr>
              <w:lastRenderedPageBreak/>
              <w:t>Management response:</w:t>
            </w:r>
          </w:p>
          <w:p w:rsidR="004C74A0" w:rsidRPr="005E4C4D" w:rsidRDefault="004C74A0" w:rsidP="004C74A0">
            <w:pPr>
              <w:pStyle w:val="KeinLeerraum"/>
              <w:spacing w:after="120"/>
              <w:jc w:val="both"/>
              <w:rPr>
                <w:rFonts w:ascii="Times New Roman" w:hAnsi="Times New Roman"/>
                <w:sz w:val="24"/>
                <w:szCs w:val="24"/>
                <w:lang w:val="en-US"/>
              </w:rPr>
            </w:pPr>
            <w:r>
              <w:rPr>
                <w:rFonts w:ascii="Times New Roman" w:hAnsi="Times New Roman"/>
                <w:sz w:val="24"/>
                <w:szCs w:val="24"/>
                <w:lang w:val="en-US"/>
              </w:rPr>
              <w:t>This is a valid recommendation. While the ISDA Support Project has focused on the digital agenda from the government perspective, it is essential to dedicate attention to supporting the development of digital skills in Albania, so that citizens can take advantage of the benefits of information technology, and are able to engage effectively in shaping how online services are implemented. ISDA Support successor project incorporates such an imperative, and also looks at a regional perspective to address this matter collectively within the Western Balkans.</w:t>
            </w:r>
          </w:p>
        </w:tc>
      </w:tr>
      <w:tr w:rsidR="004C74A0" w:rsidRPr="005E4C4D" w:rsidTr="00F80F8E">
        <w:trPr>
          <w:trHeight w:val="278"/>
        </w:trPr>
        <w:tc>
          <w:tcPr>
            <w:tcW w:w="1795" w:type="pct"/>
            <w:gridSpan w:val="2"/>
            <w:vMerge w:val="restart"/>
            <w:shd w:val="clear" w:color="auto" w:fill="CCFFFF"/>
          </w:tcPr>
          <w:p w:rsidR="004C74A0" w:rsidRPr="005E4C4D" w:rsidRDefault="004C74A0" w:rsidP="004C74A0">
            <w:r w:rsidRPr="005E4C4D">
              <w:rPr>
                <w:b/>
              </w:rPr>
              <w:t>Key action (s)</w:t>
            </w:r>
          </w:p>
        </w:tc>
        <w:tc>
          <w:tcPr>
            <w:tcW w:w="427" w:type="pct"/>
            <w:vMerge w:val="restart"/>
            <w:shd w:val="clear" w:color="auto" w:fill="CCFFFF"/>
          </w:tcPr>
          <w:p w:rsidR="004C74A0" w:rsidRPr="005E4C4D" w:rsidRDefault="004C74A0" w:rsidP="004C74A0">
            <w:pPr>
              <w:rPr>
                <w:b/>
              </w:rPr>
            </w:pPr>
            <w:r w:rsidRPr="005E4C4D">
              <w:rPr>
                <w:b/>
              </w:rPr>
              <w:t>Time frame</w:t>
            </w:r>
          </w:p>
        </w:tc>
        <w:tc>
          <w:tcPr>
            <w:tcW w:w="591" w:type="pct"/>
            <w:vMerge w:val="restart"/>
            <w:shd w:val="clear" w:color="auto" w:fill="CCFFFF"/>
          </w:tcPr>
          <w:p w:rsidR="004C74A0" w:rsidRPr="005E4C4D" w:rsidRDefault="004C74A0" w:rsidP="004C74A0">
            <w:pPr>
              <w:rPr>
                <w:b/>
              </w:rPr>
            </w:pPr>
            <w:r w:rsidRPr="005E4C4D">
              <w:rPr>
                <w:b/>
              </w:rPr>
              <w:t>Responsible unit (s)</w:t>
            </w:r>
          </w:p>
        </w:tc>
        <w:tc>
          <w:tcPr>
            <w:tcW w:w="2187" w:type="pct"/>
            <w:gridSpan w:val="3"/>
            <w:shd w:val="clear" w:color="auto" w:fill="CCFFFF"/>
          </w:tcPr>
          <w:p w:rsidR="004C74A0" w:rsidRPr="005E4C4D" w:rsidRDefault="004C74A0" w:rsidP="004C74A0">
            <w:pPr>
              <w:jc w:val="center"/>
              <w:rPr>
                <w:b/>
              </w:rPr>
            </w:pPr>
            <w:r w:rsidRPr="005E4C4D">
              <w:rPr>
                <w:b/>
              </w:rPr>
              <w:t>Tracking</w:t>
            </w:r>
          </w:p>
        </w:tc>
      </w:tr>
      <w:tr w:rsidR="004C74A0" w:rsidRPr="005E4C4D" w:rsidTr="00F80F8E">
        <w:trPr>
          <w:trHeight w:val="148"/>
        </w:trPr>
        <w:tc>
          <w:tcPr>
            <w:tcW w:w="1795" w:type="pct"/>
            <w:gridSpan w:val="2"/>
            <w:vMerge/>
            <w:tcBorders>
              <w:bottom w:val="single" w:sz="4" w:space="0" w:color="auto"/>
            </w:tcBorders>
            <w:shd w:val="clear" w:color="auto" w:fill="CCFFFF"/>
          </w:tcPr>
          <w:p w:rsidR="004C74A0" w:rsidRPr="005E4C4D" w:rsidRDefault="004C74A0" w:rsidP="004C74A0"/>
        </w:tc>
        <w:tc>
          <w:tcPr>
            <w:tcW w:w="427" w:type="pct"/>
            <w:vMerge/>
            <w:tcBorders>
              <w:bottom w:val="single" w:sz="4" w:space="0" w:color="auto"/>
            </w:tcBorders>
            <w:shd w:val="clear" w:color="auto" w:fill="CCFFFF"/>
          </w:tcPr>
          <w:p w:rsidR="004C74A0" w:rsidRPr="005E4C4D" w:rsidRDefault="004C74A0" w:rsidP="004C74A0"/>
        </w:tc>
        <w:tc>
          <w:tcPr>
            <w:tcW w:w="591" w:type="pct"/>
            <w:vMerge/>
            <w:tcBorders>
              <w:bottom w:val="single" w:sz="4" w:space="0" w:color="auto"/>
            </w:tcBorders>
            <w:shd w:val="clear" w:color="auto" w:fill="CCFFFF"/>
          </w:tcPr>
          <w:p w:rsidR="004C74A0" w:rsidRPr="005E4C4D" w:rsidRDefault="004C74A0" w:rsidP="004C74A0"/>
        </w:tc>
        <w:tc>
          <w:tcPr>
            <w:tcW w:w="1633" w:type="pct"/>
            <w:tcBorders>
              <w:bottom w:val="single" w:sz="4" w:space="0" w:color="auto"/>
            </w:tcBorders>
            <w:shd w:val="clear" w:color="auto" w:fill="CCFFFF"/>
          </w:tcPr>
          <w:p w:rsidR="004C74A0" w:rsidRPr="005E4C4D" w:rsidRDefault="004C74A0" w:rsidP="004C74A0">
            <w:pPr>
              <w:jc w:val="center"/>
              <w:rPr>
                <w:b/>
              </w:rPr>
            </w:pPr>
            <w:r w:rsidRPr="005E4C4D">
              <w:rPr>
                <w:b/>
              </w:rPr>
              <w:t>Comments</w:t>
            </w:r>
          </w:p>
        </w:tc>
        <w:tc>
          <w:tcPr>
            <w:tcW w:w="554" w:type="pct"/>
            <w:gridSpan w:val="2"/>
            <w:tcBorders>
              <w:bottom w:val="single" w:sz="4" w:space="0" w:color="auto"/>
            </w:tcBorders>
            <w:shd w:val="clear" w:color="auto" w:fill="CCFFFF"/>
          </w:tcPr>
          <w:p w:rsidR="004C74A0" w:rsidRPr="005E4C4D" w:rsidRDefault="004C74A0" w:rsidP="004C74A0">
            <w:pPr>
              <w:jc w:val="center"/>
              <w:rPr>
                <w:b/>
              </w:rPr>
            </w:pPr>
            <w:r w:rsidRPr="005E4C4D">
              <w:rPr>
                <w:b/>
              </w:rPr>
              <w:t>Status</w:t>
            </w:r>
          </w:p>
        </w:tc>
      </w:tr>
      <w:tr w:rsidR="004C74A0" w:rsidRPr="005E4C4D" w:rsidTr="00F80F8E">
        <w:trPr>
          <w:trHeight w:val="926"/>
        </w:trPr>
        <w:tc>
          <w:tcPr>
            <w:tcW w:w="1795" w:type="pct"/>
            <w:gridSpan w:val="2"/>
            <w:shd w:val="clear" w:color="auto" w:fill="FFFFFF"/>
          </w:tcPr>
          <w:p w:rsidR="004C74A0" w:rsidRPr="005E4C4D" w:rsidRDefault="004C74A0" w:rsidP="004C74A0">
            <w:r>
              <w:t>Work with development partners to help develop and implement mechanisms to improve digital literacy in Albania</w:t>
            </w:r>
          </w:p>
        </w:tc>
        <w:tc>
          <w:tcPr>
            <w:tcW w:w="427" w:type="pct"/>
            <w:shd w:val="clear" w:color="auto" w:fill="FFFFFF"/>
          </w:tcPr>
          <w:p w:rsidR="004C74A0" w:rsidRPr="005E4C4D" w:rsidRDefault="004C74A0" w:rsidP="004C74A0">
            <w:r>
              <w:t xml:space="preserve">April </w:t>
            </w:r>
            <w:r w:rsidRPr="005E4C4D">
              <w:t>2020 onwards</w:t>
            </w:r>
          </w:p>
        </w:tc>
        <w:tc>
          <w:tcPr>
            <w:tcW w:w="591" w:type="pct"/>
            <w:shd w:val="clear" w:color="auto" w:fill="FFFFFF"/>
          </w:tcPr>
          <w:p w:rsidR="004C74A0" w:rsidRPr="005E4C4D" w:rsidRDefault="004C74A0" w:rsidP="004C74A0">
            <w:pPr>
              <w:spacing w:after="120"/>
            </w:pPr>
            <w:r w:rsidRPr="005E4C4D">
              <w:t xml:space="preserve">UNDP CO Management </w:t>
            </w:r>
          </w:p>
        </w:tc>
        <w:tc>
          <w:tcPr>
            <w:tcW w:w="1633" w:type="pct"/>
            <w:shd w:val="clear" w:color="auto" w:fill="FFFFFF"/>
          </w:tcPr>
          <w:p w:rsidR="004C74A0" w:rsidRPr="005E4C4D" w:rsidRDefault="004C74A0" w:rsidP="00F80F8E">
            <w:pPr>
              <w:spacing w:after="60"/>
            </w:pPr>
            <w:r>
              <w:rPr>
                <w:lang w:val="en-GB"/>
              </w:rPr>
              <w:t>Addressed under the ISDA Support follow on project, CSDA, which commenced on 1 June 2020, with a target end date of 28 February 2024</w:t>
            </w:r>
          </w:p>
        </w:tc>
        <w:tc>
          <w:tcPr>
            <w:tcW w:w="554" w:type="pct"/>
            <w:gridSpan w:val="2"/>
            <w:shd w:val="clear" w:color="auto" w:fill="FFFFFF"/>
          </w:tcPr>
          <w:p w:rsidR="004C74A0" w:rsidRPr="005E4C4D" w:rsidRDefault="004C74A0" w:rsidP="004C74A0">
            <w:r>
              <w:rPr>
                <w:lang w:val="en-GB"/>
              </w:rPr>
              <w:t>Completed</w:t>
            </w:r>
          </w:p>
        </w:tc>
      </w:tr>
      <w:tr w:rsidR="004C74A0" w:rsidRPr="005E4C4D" w:rsidTr="00F80F8E">
        <w:trPr>
          <w:trHeight w:val="1790"/>
        </w:trPr>
        <w:tc>
          <w:tcPr>
            <w:tcW w:w="5000" w:type="pct"/>
            <w:gridSpan w:val="7"/>
            <w:shd w:val="clear" w:color="auto" w:fill="CCFFFF"/>
          </w:tcPr>
          <w:p w:rsidR="004C74A0" w:rsidRPr="005E4C4D" w:rsidRDefault="004C74A0" w:rsidP="00F80F8E">
            <w:pPr>
              <w:spacing w:before="60"/>
              <w:jc w:val="both"/>
              <w:rPr>
                <w:b/>
                <w:u w:val="single"/>
              </w:rPr>
            </w:pPr>
            <w:r w:rsidRPr="005E4C4D">
              <w:rPr>
                <w:b/>
                <w:u w:val="single"/>
              </w:rPr>
              <w:t>Evaluation recommendation 6</w:t>
            </w:r>
          </w:p>
          <w:p w:rsidR="004C74A0" w:rsidRPr="005E4C4D" w:rsidRDefault="004C74A0" w:rsidP="004C74A0">
            <w:pPr>
              <w:jc w:val="both"/>
            </w:pPr>
          </w:p>
          <w:p w:rsidR="004C74A0" w:rsidRPr="005E4C4D" w:rsidRDefault="004C74A0" w:rsidP="004C74A0">
            <w:pPr>
              <w:jc w:val="both"/>
              <w:rPr>
                <w:lang w:val="en-GB"/>
              </w:rPr>
            </w:pPr>
            <w:r w:rsidRPr="005E4C4D">
              <w:t>The success of the public Service Delivery reform is two-sided, depending both on the government’s and the citizen’s commitment. It is recommended that in the future, additional awareness raising campaigns should be focused on citizens, in order to increase their involvement as beneficiaries of the public services (i.e</w:t>
            </w:r>
            <w:r w:rsidR="00E42C53">
              <w:t>.</w:t>
            </w:r>
            <w:r w:rsidRPr="005E4C4D">
              <w:t xml:space="preserve"> continue promotion of the Citizens Charter) and as monitoring agents of the public service’s quality. </w:t>
            </w:r>
          </w:p>
        </w:tc>
      </w:tr>
      <w:tr w:rsidR="004C74A0" w:rsidRPr="005E4C4D" w:rsidTr="00F80F8E">
        <w:trPr>
          <w:trHeight w:val="679"/>
        </w:trPr>
        <w:tc>
          <w:tcPr>
            <w:tcW w:w="5000" w:type="pct"/>
            <w:gridSpan w:val="7"/>
            <w:shd w:val="clear" w:color="auto" w:fill="CCFFFF"/>
          </w:tcPr>
          <w:p w:rsidR="004C74A0" w:rsidRPr="005E4C4D" w:rsidRDefault="004C74A0" w:rsidP="004C74A0">
            <w:pPr>
              <w:spacing w:after="120"/>
              <w:rPr>
                <w:b/>
                <w:u w:val="single"/>
              </w:rPr>
            </w:pPr>
            <w:r w:rsidRPr="005E4C4D">
              <w:rPr>
                <w:b/>
                <w:u w:val="single"/>
              </w:rPr>
              <w:t>Management response:</w:t>
            </w:r>
          </w:p>
          <w:p w:rsidR="004C74A0" w:rsidRPr="005E4C4D" w:rsidRDefault="004C74A0" w:rsidP="004C74A0">
            <w:pPr>
              <w:pStyle w:val="KeinLeerraum"/>
              <w:spacing w:after="120"/>
              <w:jc w:val="both"/>
              <w:rPr>
                <w:rFonts w:ascii="Times New Roman" w:hAnsi="Times New Roman"/>
                <w:sz w:val="24"/>
                <w:szCs w:val="24"/>
                <w:lang w:val="en-US"/>
              </w:rPr>
            </w:pPr>
            <w:r>
              <w:rPr>
                <w:rFonts w:ascii="Times New Roman" w:hAnsi="Times New Roman"/>
                <w:sz w:val="24"/>
                <w:szCs w:val="24"/>
                <w:lang w:val="en-US"/>
              </w:rPr>
              <w:t>The relevance of this recommendation is recognized. Support for ongoing engagement and communications has been an important component of ISDA Support Project, which has increased progressively in weight. Considering their role, in the new project, such activities are designed as even more prominent.</w:t>
            </w:r>
          </w:p>
        </w:tc>
      </w:tr>
      <w:tr w:rsidR="004C74A0" w:rsidRPr="005E4C4D" w:rsidTr="00F80F8E">
        <w:trPr>
          <w:trHeight w:val="278"/>
        </w:trPr>
        <w:tc>
          <w:tcPr>
            <w:tcW w:w="1795" w:type="pct"/>
            <w:gridSpan w:val="2"/>
            <w:vMerge w:val="restart"/>
            <w:shd w:val="clear" w:color="auto" w:fill="CCFFFF"/>
          </w:tcPr>
          <w:p w:rsidR="004C74A0" w:rsidRPr="005E4C4D" w:rsidRDefault="004C74A0" w:rsidP="004C74A0">
            <w:pPr>
              <w:rPr>
                <w:b/>
              </w:rPr>
            </w:pPr>
            <w:r w:rsidRPr="005E4C4D">
              <w:rPr>
                <w:b/>
              </w:rPr>
              <w:t>Key action (s)</w:t>
            </w:r>
          </w:p>
          <w:p w:rsidR="004C74A0" w:rsidRPr="005E4C4D" w:rsidRDefault="004C74A0" w:rsidP="004C74A0"/>
        </w:tc>
        <w:tc>
          <w:tcPr>
            <w:tcW w:w="427" w:type="pct"/>
            <w:vMerge w:val="restart"/>
            <w:shd w:val="clear" w:color="auto" w:fill="CCFFFF"/>
          </w:tcPr>
          <w:p w:rsidR="004C74A0" w:rsidRPr="005E4C4D" w:rsidRDefault="004C74A0" w:rsidP="004C74A0">
            <w:pPr>
              <w:rPr>
                <w:b/>
              </w:rPr>
            </w:pPr>
            <w:r w:rsidRPr="005E4C4D">
              <w:rPr>
                <w:b/>
              </w:rPr>
              <w:t>Time frame</w:t>
            </w:r>
          </w:p>
        </w:tc>
        <w:tc>
          <w:tcPr>
            <w:tcW w:w="591" w:type="pct"/>
            <w:vMerge w:val="restart"/>
            <w:shd w:val="clear" w:color="auto" w:fill="CCFFFF"/>
          </w:tcPr>
          <w:p w:rsidR="004C74A0" w:rsidRPr="005E4C4D" w:rsidRDefault="004C74A0" w:rsidP="004C74A0">
            <w:pPr>
              <w:rPr>
                <w:b/>
              </w:rPr>
            </w:pPr>
            <w:r w:rsidRPr="005E4C4D">
              <w:rPr>
                <w:b/>
              </w:rPr>
              <w:t>Responsible unit (s)</w:t>
            </w:r>
          </w:p>
        </w:tc>
        <w:tc>
          <w:tcPr>
            <w:tcW w:w="2187" w:type="pct"/>
            <w:gridSpan w:val="3"/>
            <w:shd w:val="clear" w:color="auto" w:fill="CCFFFF"/>
          </w:tcPr>
          <w:p w:rsidR="004C74A0" w:rsidRPr="005E4C4D" w:rsidRDefault="004C74A0" w:rsidP="004C74A0">
            <w:pPr>
              <w:jc w:val="center"/>
              <w:rPr>
                <w:b/>
              </w:rPr>
            </w:pPr>
            <w:r w:rsidRPr="005E4C4D">
              <w:rPr>
                <w:b/>
              </w:rPr>
              <w:t>Tracking</w:t>
            </w:r>
          </w:p>
        </w:tc>
      </w:tr>
      <w:tr w:rsidR="004C74A0" w:rsidRPr="005E4C4D" w:rsidTr="00F80F8E">
        <w:trPr>
          <w:trHeight w:val="148"/>
        </w:trPr>
        <w:tc>
          <w:tcPr>
            <w:tcW w:w="1795" w:type="pct"/>
            <w:gridSpan w:val="2"/>
            <w:vMerge/>
            <w:tcBorders>
              <w:bottom w:val="single" w:sz="4" w:space="0" w:color="auto"/>
            </w:tcBorders>
            <w:shd w:val="clear" w:color="auto" w:fill="CCFFFF"/>
          </w:tcPr>
          <w:p w:rsidR="004C74A0" w:rsidRPr="005E4C4D" w:rsidRDefault="004C74A0" w:rsidP="004C74A0"/>
        </w:tc>
        <w:tc>
          <w:tcPr>
            <w:tcW w:w="427" w:type="pct"/>
            <w:vMerge/>
            <w:tcBorders>
              <w:bottom w:val="single" w:sz="4" w:space="0" w:color="auto"/>
            </w:tcBorders>
            <w:shd w:val="clear" w:color="auto" w:fill="CCFFFF"/>
          </w:tcPr>
          <w:p w:rsidR="004C74A0" w:rsidRPr="005E4C4D" w:rsidRDefault="004C74A0" w:rsidP="004C74A0"/>
        </w:tc>
        <w:tc>
          <w:tcPr>
            <w:tcW w:w="591" w:type="pct"/>
            <w:vMerge/>
            <w:tcBorders>
              <w:bottom w:val="single" w:sz="4" w:space="0" w:color="auto"/>
            </w:tcBorders>
            <w:shd w:val="clear" w:color="auto" w:fill="CCFFFF"/>
          </w:tcPr>
          <w:p w:rsidR="004C74A0" w:rsidRPr="005E4C4D" w:rsidRDefault="004C74A0" w:rsidP="004C74A0"/>
        </w:tc>
        <w:tc>
          <w:tcPr>
            <w:tcW w:w="1633" w:type="pct"/>
            <w:tcBorders>
              <w:bottom w:val="single" w:sz="4" w:space="0" w:color="auto"/>
            </w:tcBorders>
            <w:shd w:val="clear" w:color="auto" w:fill="CCFFFF"/>
          </w:tcPr>
          <w:p w:rsidR="004C74A0" w:rsidRPr="005E4C4D" w:rsidRDefault="004C74A0" w:rsidP="004C74A0">
            <w:pPr>
              <w:jc w:val="center"/>
              <w:rPr>
                <w:b/>
              </w:rPr>
            </w:pPr>
            <w:r w:rsidRPr="005E4C4D">
              <w:rPr>
                <w:b/>
              </w:rPr>
              <w:t>Comments</w:t>
            </w:r>
          </w:p>
        </w:tc>
        <w:tc>
          <w:tcPr>
            <w:tcW w:w="554" w:type="pct"/>
            <w:gridSpan w:val="2"/>
            <w:tcBorders>
              <w:bottom w:val="single" w:sz="4" w:space="0" w:color="auto"/>
            </w:tcBorders>
            <w:shd w:val="clear" w:color="auto" w:fill="CCFFFF"/>
          </w:tcPr>
          <w:p w:rsidR="004C74A0" w:rsidRPr="005E4C4D" w:rsidRDefault="004C74A0" w:rsidP="004C74A0">
            <w:pPr>
              <w:jc w:val="center"/>
              <w:rPr>
                <w:b/>
              </w:rPr>
            </w:pPr>
            <w:r w:rsidRPr="005E4C4D">
              <w:rPr>
                <w:b/>
              </w:rPr>
              <w:t>Status</w:t>
            </w:r>
          </w:p>
        </w:tc>
      </w:tr>
      <w:tr w:rsidR="004C74A0" w:rsidRPr="005E4C4D" w:rsidTr="00F80F8E">
        <w:trPr>
          <w:trHeight w:val="1259"/>
        </w:trPr>
        <w:tc>
          <w:tcPr>
            <w:tcW w:w="1795" w:type="pct"/>
            <w:gridSpan w:val="2"/>
            <w:shd w:val="clear" w:color="auto" w:fill="FFFFFF"/>
          </w:tcPr>
          <w:p w:rsidR="004C74A0" w:rsidRPr="005E4C4D" w:rsidRDefault="004C74A0" w:rsidP="004C74A0">
            <w:r>
              <w:t>Allocate needed resources in support of citizen engagement and communication in the assistance for the consolidation of the public services reform in Albania</w:t>
            </w:r>
          </w:p>
        </w:tc>
        <w:tc>
          <w:tcPr>
            <w:tcW w:w="427" w:type="pct"/>
            <w:shd w:val="clear" w:color="auto" w:fill="FFFFFF"/>
          </w:tcPr>
          <w:p w:rsidR="004C74A0" w:rsidRPr="005E4C4D" w:rsidRDefault="004C74A0" w:rsidP="004C74A0">
            <w:r>
              <w:t>Ongoing</w:t>
            </w:r>
            <w:r w:rsidRPr="005E4C4D">
              <w:t xml:space="preserve"> </w:t>
            </w:r>
          </w:p>
          <w:p w:rsidR="004C74A0" w:rsidRPr="005E4C4D" w:rsidRDefault="004C74A0" w:rsidP="004C74A0"/>
          <w:p w:rsidR="004C74A0" w:rsidRPr="005E4C4D" w:rsidRDefault="004C74A0" w:rsidP="004C74A0"/>
        </w:tc>
        <w:tc>
          <w:tcPr>
            <w:tcW w:w="591" w:type="pct"/>
            <w:shd w:val="clear" w:color="auto" w:fill="FFFFFF"/>
          </w:tcPr>
          <w:p w:rsidR="004C74A0" w:rsidRPr="005E4C4D" w:rsidRDefault="004C74A0" w:rsidP="004C74A0">
            <w:pPr>
              <w:spacing w:after="120"/>
            </w:pPr>
            <w:r w:rsidRPr="005E4C4D">
              <w:t xml:space="preserve">UNDP CO Management </w:t>
            </w:r>
          </w:p>
        </w:tc>
        <w:tc>
          <w:tcPr>
            <w:tcW w:w="1633" w:type="pct"/>
            <w:shd w:val="clear" w:color="auto" w:fill="FFFFFF"/>
          </w:tcPr>
          <w:p w:rsidR="004C74A0" w:rsidRPr="005E4C4D" w:rsidRDefault="004C74A0" w:rsidP="00F80F8E">
            <w:pPr>
              <w:spacing w:after="60"/>
            </w:pPr>
            <w:r>
              <w:rPr>
                <w:lang w:val="en-GB"/>
              </w:rPr>
              <w:t xml:space="preserve">Upon closure of the ISDA Support Project by 31 May 2020, addressed under the </w:t>
            </w:r>
            <w:proofErr w:type="gramStart"/>
            <w:r>
              <w:rPr>
                <w:lang w:val="en-GB"/>
              </w:rPr>
              <w:t>follow on</w:t>
            </w:r>
            <w:proofErr w:type="gramEnd"/>
            <w:r>
              <w:rPr>
                <w:lang w:val="en-GB"/>
              </w:rPr>
              <w:t xml:space="preserve"> project, CSDA, which commenced on 1 June 2020, with a target end date of 28 February 2024</w:t>
            </w:r>
          </w:p>
        </w:tc>
        <w:tc>
          <w:tcPr>
            <w:tcW w:w="554" w:type="pct"/>
            <w:gridSpan w:val="2"/>
            <w:shd w:val="clear" w:color="auto" w:fill="FFFFFF"/>
          </w:tcPr>
          <w:p w:rsidR="004C74A0" w:rsidRPr="005E4C4D" w:rsidRDefault="004C74A0" w:rsidP="004C74A0">
            <w:r>
              <w:rPr>
                <w:lang w:val="en-GB"/>
              </w:rPr>
              <w:t xml:space="preserve">Completed </w:t>
            </w:r>
          </w:p>
        </w:tc>
      </w:tr>
    </w:tbl>
    <w:p w:rsidR="00B80842" w:rsidRPr="005E4C4D" w:rsidRDefault="00B80842" w:rsidP="0060735C">
      <w:pPr>
        <w:pStyle w:val="CommentText"/>
        <w:rPr>
          <w:sz w:val="24"/>
          <w:szCs w:val="24"/>
        </w:rPr>
      </w:pPr>
    </w:p>
    <w:sectPr w:rsidR="00B80842" w:rsidRPr="005E4C4D" w:rsidSect="00F80F8E">
      <w:pgSz w:w="15840" w:h="12240" w:orient="landscape"/>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21" w:rsidRDefault="00BB2421" w:rsidP="008C3463">
      <w:r>
        <w:separator/>
      </w:r>
    </w:p>
  </w:endnote>
  <w:endnote w:type="continuationSeparator" w:id="0">
    <w:p w:rsidR="00BB2421" w:rsidRDefault="00BB2421" w:rsidP="008C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21" w:rsidRDefault="00BB2421" w:rsidP="008C3463">
      <w:r>
        <w:separator/>
      </w:r>
    </w:p>
  </w:footnote>
  <w:footnote w:type="continuationSeparator" w:id="0">
    <w:p w:rsidR="00BB2421" w:rsidRDefault="00BB2421" w:rsidP="008C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1C2E"/>
    <w:multiLevelType w:val="hybridMultilevel"/>
    <w:tmpl w:val="FF98F066"/>
    <w:lvl w:ilvl="0" w:tplc="0409000F">
      <w:start w:val="1"/>
      <w:numFmt w:val="decimal"/>
      <w:lvlText w:val="%1."/>
      <w:lvlJc w:val="left"/>
      <w:pPr>
        <w:tabs>
          <w:tab w:val="num" w:pos="720"/>
        </w:tabs>
        <w:ind w:left="720" w:hanging="360"/>
      </w:pPr>
      <w:rPr>
        <w:rFonts w:hint="default"/>
        <w:color w:val="auto"/>
      </w:rPr>
    </w:lvl>
    <w:lvl w:ilvl="1" w:tplc="58A64106">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B1680"/>
    <w:multiLevelType w:val="hybridMultilevel"/>
    <w:tmpl w:val="30826140"/>
    <w:lvl w:ilvl="0" w:tplc="F59C0B26">
      <w:start w:val="10"/>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A19084E"/>
    <w:multiLevelType w:val="hybridMultilevel"/>
    <w:tmpl w:val="A19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6F48"/>
    <w:multiLevelType w:val="hybridMultilevel"/>
    <w:tmpl w:val="135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820DB"/>
    <w:multiLevelType w:val="hybridMultilevel"/>
    <w:tmpl w:val="6B6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D37FC"/>
    <w:multiLevelType w:val="hybridMultilevel"/>
    <w:tmpl w:val="15B04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72E38"/>
    <w:multiLevelType w:val="multilevel"/>
    <w:tmpl w:val="A016F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B143D6"/>
    <w:multiLevelType w:val="hybridMultilevel"/>
    <w:tmpl w:val="60728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F32004"/>
    <w:multiLevelType w:val="multilevel"/>
    <w:tmpl w:val="F6525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05503"/>
    <w:multiLevelType w:val="hybridMultilevel"/>
    <w:tmpl w:val="38BC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3969"/>
    <w:multiLevelType w:val="hybridMultilevel"/>
    <w:tmpl w:val="83CCCB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A727772"/>
    <w:multiLevelType w:val="hybridMultilevel"/>
    <w:tmpl w:val="5B842C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4500F3"/>
    <w:multiLevelType w:val="hybridMultilevel"/>
    <w:tmpl w:val="22E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05FE"/>
    <w:multiLevelType w:val="hybridMultilevel"/>
    <w:tmpl w:val="112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E7E3D"/>
    <w:multiLevelType w:val="hybridMultilevel"/>
    <w:tmpl w:val="AC94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6"/>
  </w:num>
  <w:num w:numId="5">
    <w:abstractNumId w:val="1"/>
  </w:num>
  <w:num w:numId="6">
    <w:abstractNumId w:val="9"/>
  </w:num>
  <w:num w:numId="7">
    <w:abstractNumId w:val="4"/>
  </w:num>
  <w:num w:numId="8">
    <w:abstractNumId w:val="14"/>
  </w:num>
  <w:num w:numId="9">
    <w:abstractNumId w:val="5"/>
  </w:num>
  <w:num w:numId="10">
    <w:abstractNumId w:val="12"/>
  </w:num>
  <w:num w:numId="11">
    <w:abstractNumId w:val="2"/>
  </w:num>
  <w:num w:numId="12">
    <w:abstractNumId w:val="13"/>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47"/>
    <w:rsid w:val="00002622"/>
    <w:rsid w:val="00002C79"/>
    <w:rsid w:val="00004D9D"/>
    <w:rsid w:val="00006962"/>
    <w:rsid w:val="00006CDE"/>
    <w:rsid w:val="00014E49"/>
    <w:rsid w:val="000222A9"/>
    <w:rsid w:val="000234E1"/>
    <w:rsid w:val="000275CB"/>
    <w:rsid w:val="00031E2C"/>
    <w:rsid w:val="000358DE"/>
    <w:rsid w:val="00044F6C"/>
    <w:rsid w:val="00050955"/>
    <w:rsid w:val="00057D4C"/>
    <w:rsid w:val="00060BDC"/>
    <w:rsid w:val="00061945"/>
    <w:rsid w:val="00070C55"/>
    <w:rsid w:val="0008540C"/>
    <w:rsid w:val="0009286A"/>
    <w:rsid w:val="000968DF"/>
    <w:rsid w:val="00097E1E"/>
    <w:rsid w:val="00097F26"/>
    <w:rsid w:val="000A7186"/>
    <w:rsid w:val="000A76B2"/>
    <w:rsid w:val="000B4EB3"/>
    <w:rsid w:val="000C0B6C"/>
    <w:rsid w:val="000C665B"/>
    <w:rsid w:val="000D57B5"/>
    <w:rsid w:val="000D65AA"/>
    <w:rsid w:val="000E1974"/>
    <w:rsid w:val="000E502B"/>
    <w:rsid w:val="000E6CC6"/>
    <w:rsid w:val="000F098E"/>
    <w:rsid w:val="000F0CA3"/>
    <w:rsid w:val="001006C7"/>
    <w:rsid w:val="00100C7B"/>
    <w:rsid w:val="00101211"/>
    <w:rsid w:val="00103B32"/>
    <w:rsid w:val="001113F3"/>
    <w:rsid w:val="00115CEA"/>
    <w:rsid w:val="00116E62"/>
    <w:rsid w:val="0012065B"/>
    <w:rsid w:val="001221F5"/>
    <w:rsid w:val="00123F6D"/>
    <w:rsid w:val="00126D53"/>
    <w:rsid w:val="00127ECE"/>
    <w:rsid w:val="001341F2"/>
    <w:rsid w:val="001370F5"/>
    <w:rsid w:val="0013779D"/>
    <w:rsid w:val="00146153"/>
    <w:rsid w:val="001555D7"/>
    <w:rsid w:val="0015589C"/>
    <w:rsid w:val="00157E40"/>
    <w:rsid w:val="0016223F"/>
    <w:rsid w:val="00162C23"/>
    <w:rsid w:val="00175A22"/>
    <w:rsid w:val="0017681A"/>
    <w:rsid w:val="001800F1"/>
    <w:rsid w:val="001A05C9"/>
    <w:rsid w:val="001A3DB4"/>
    <w:rsid w:val="001A5647"/>
    <w:rsid w:val="001B2C29"/>
    <w:rsid w:val="001C26C0"/>
    <w:rsid w:val="001D0050"/>
    <w:rsid w:val="001E1F00"/>
    <w:rsid w:val="001E5621"/>
    <w:rsid w:val="001E7BF3"/>
    <w:rsid w:val="001F57AD"/>
    <w:rsid w:val="00206934"/>
    <w:rsid w:val="00211227"/>
    <w:rsid w:val="00215ACB"/>
    <w:rsid w:val="00226B27"/>
    <w:rsid w:val="00227625"/>
    <w:rsid w:val="00236382"/>
    <w:rsid w:val="002447F3"/>
    <w:rsid w:val="00251C83"/>
    <w:rsid w:val="00255A23"/>
    <w:rsid w:val="0027021A"/>
    <w:rsid w:val="00272A6A"/>
    <w:rsid w:val="0028341D"/>
    <w:rsid w:val="002840D9"/>
    <w:rsid w:val="0028461B"/>
    <w:rsid w:val="002861AB"/>
    <w:rsid w:val="002927E8"/>
    <w:rsid w:val="00297B65"/>
    <w:rsid w:val="002A25AB"/>
    <w:rsid w:val="002B2F82"/>
    <w:rsid w:val="002B3285"/>
    <w:rsid w:val="002B405F"/>
    <w:rsid w:val="002B53E2"/>
    <w:rsid w:val="002C08B5"/>
    <w:rsid w:val="002C5441"/>
    <w:rsid w:val="002D0CAE"/>
    <w:rsid w:val="002D33CC"/>
    <w:rsid w:val="002E4A5C"/>
    <w:rsid w:val="002E56F1"/>
    <w:rsid w:val="002F124A"/>
    <w:rsid w:val="00304F01"/>
    <w:rsid w:val="00306A4E"/>
    <w:rsid w:val="00317278"/>
    <w:rsid w:val="00333EA6"/>
    <w:rsid w:val="0035204F"/>
    <w:rsid w:val="00353B75"/>
    <w:rsid w:val="00360248"/>
    <w:rsid w:val="0036247F"/>
    <w:rsid w:val="00364807"/>
    <w:rsid w:val="00374677"/>
    <w:rsid w:val="00377703"/>
    <w:rsid w:val="00382CA1"/>
    <w:rsid w:val="00384C41"/>
    <w:rsid w:val="00392364"/>
    <w:rsid w:val="003972FE"/>
    <w:rsid w:val="00397FB0"/>
    <w:rsid w:val="003A2CE8"/>
    <w:rsid w:val="003A309F"/>
    <w:rsid w:val="003A5584"/>
    <w:rsid w:val="003A6965"/>
    <w:rsid w:val="003B55BF"/>
    <w:rsid w:val="003B6232"/>
    <w:rsid w:val="003C36D3"/>
    <w:rsid w:val="003C3E42"/>
    <w:rsid w:val="003C601C"/>
    <w:rsid w:val="003D1AFA"/>
    <w:rsid w:val="003D2FBE"/>
    <w:rsid w:val="003D4634"/>
    <w:rsid w:val="003D4B29"/>
    <w:rsid w:val="003E4CC0"/>
    <w:rsid w:val="003E7397"/>
    <w:rsid w:val="003E772B"/>
    <w:rsid w:val="003F6C38"/>
    <w:rsid w:val="003F7AA8"/>
    <w:rsid w:val="0041002E"/>
    <w:rsid w:val="00410642"/>
    <w:rsid w:val="00422BF9"/>
    <w:rsid w:val="004349E0"/>
    <w:rsid w:val="00440117"/>
    <w:rsid w:val="00443C25"/>
    <w:rsid w:val="00446B24"/>
    <w:rsid w:val="00461143"/>
    <w:rsid w:val="00461D7C"/>
    <w:rsid w:val="004701E5"/>
    <w:rsid w:val="0047028F"/>
    <w:rsid w:val="00472F70"/>
    <w:rsid w:val="0047622C"/>
    <w:rsid w:val="00476369"/>
    <w:rsid w:val="00487C92"/>
    <w:rsid w:val="004935F9"/>
    <w:rsid w:val="00493EB3"/>
    <w:rsid w:val="0049630B"/>
    <w:rsid w:val="004A5EB5"/>
    <w:rsid w:val="004B3529"/>
    <w:rsid w:val="004B7711"/>
    <w:rsid w:val="004C1DD6"/>
    <w:rsid w:val="004C6B4F"/>
    <w:rsid w:val="004C74A0"/>
    <w:rsid w:val="004C7B63"/>
    <w:rsid w:val="004D0BE0"/>
    <w:rsid w:val="004D2EF8"/>
    <w:rsid w:val="004E4DEB"/>
    <w:rsid w:val="004E5857"/>
    <w:rsid w:val="004F5795"/>
    <w:rsid w:val="004F77B8"/>
    <w:rsid w:val="00501BFC"/>
    <w:rsid w:val="005024DB"/>
    <w:rsid w:val="00502824"/>
    <w:rsid w:val="00512A29"/>
    <w:rsid w:val="005158E4"/>
    <w:rsid w:val="005241E6"/>
    <w:rsid w:val="00524AA2"/>
    <w:rsid w:val="00527B5F"/>
    <w:rsid w:val="00534122"/>
    <w:rsid w:val="00536753"/>
    <w:rsid w:val="005378AE"/>
    <w:rsid w:val="00542BB6"/>
    <w:rsid w:val="0054719F"/>
    <w:rsid w:val="00550CDF"/>
    <w:rsid w:val="0056031C"/>
    <w:rsid w:val="0056087A"/>
    <w:rsid w:val="00562341"/>
    <w:rsid w:val="00566054"/>
    <w:rsid w:val="00571E0D"/>
    <w:rsid w:val="0058467C"/>
    <w:rsid w:val="00585A73"/>
    <w:rsid w:val="00586F71"/>
    <w:rsid w:val="00590678"/>
    <w:rsid w:val="00596C77"/>
    <w:rsid w:val="00597524"/>
    <w:rsid w:val="005A6063"/>
    <w:rsid w:val="005B0BAA"/>
    <w:rsid w:val="005B6E5D"/>
    <w:rsid w:val="005C10E3"/>
    <w:rsid w:val="005C4F2D"/>
    <w:rsid w:val="005D3CE5"/>
    <w:rsid w:val="005E3F5D"/>
    <w:rsid w:val="005E4C4D"/>
    <w:rsid w:val="005F4717"/>
    <w:rsid w:val="005F6CCE"/>
    <w:rsid w:val="00600910"/>
    <w:rsid w:val="006065FB"/>
    <w:rsid w:val="0060735C"/>
    <w:rsid w:val="00611805"/>
    <w:rsid w:val="00612B11"/>
    <w:rsid w:val="00613661"/>
    <w:rsid w:val="00616955"/>
    <w:rsid w:val="006204EB"/>
    <w:rsid w:val="006228C5"/>
    <w:rsid w:val="006254F8"/>
    <w:rsid w:val="006275E2"/>
    <w:rsid w:val="00630C07"/>
    <w:rsid w:val="006411C8"/>
    <w:rsid w:val="00641A18"/>
    <w:rsid w:val="00643115"/>
    <w:rsid w:val="00644BAA"/>
    <w:rsid w:val="00652206"/>
    <w:rsid w:val="006562FD"/>
    <w:rsid w:val="00671235"/>
    <w:rsid w:val="006747A7"/>
    <w:rsid w:val="00675148"/>
    <w:rsid w:val="006767A3"/>
    <w:rsid w:val="006802D7"/>
    <w:rsid w:val="00685F15"/>
    <w:rsid w:val="00687E46"/>
    <w:rsid w:val="006921A8"/>
    <w:rsid w:val="006A08A9"/>
    <w:rsid w:val="006A5907"/>
    <w:rsid w:val="006B2B54"/>
    <w:rsid w:val="006C3FA0"/>
    <w:rsid w:val="006C58BA"/>
    <w:rsid w:val="006D09E7"/>
    <w:rsid w:val="006E2D38"/>
    <w:rsid w:val="006E439D"/>
    <w:rsid w:val="006E6DC0"/>
    <w:rsid w:val="006F0BBC"/>
    <w:rsid w:val="006F2470"/>
    <w:rsid w:val="006F4C33"/>
    <w:rsid w:val="00700718"/>
    <w:rsid w:val="00701778"/>
    <w:rsid w:val="007032D3"/>
    <w:rsid w:val="007033BE"/>
    <w:rsid w:val="00704FBF"/>
    <w:rsid w:val="00712A29"/>
    <w:rsid w:val="007139D9"/>
    <w:rsid w:val="007300EF"/>
    <w:rsid w:val="00730421"/>
    <w:rsid w:val="00733C30"/>
    <w:rsid w:val="007378A8"/>
    <w:rsid w:val="00750F1B"/>
    <w:rsid w:val="00762A6D"/>
    <w:rsid w:val="0076375A"/>
    <w:rsid w:val="007653FA"/>
    <w:rsid w:val="00772FA5"/>
    <w:rsid w:val="00777B7B"/>
    <w:rsid w:val="00781621"/>
    <w:rsid w:val="007817D2"/>
    <w:rsid w:val="007830B4"/>
    <w:rsid w:val="00784E91"/>
    <w:rsid w:val="00787576"/>
    <w:rsid w:val="007877B0"/>
    <w:rsid w:val="00792A8D"/>
    <w:rsid w:val="0079387C"/>
    <w:rsid w:val="00793932"/>
    <w:rsid w:val="00794AC4"/>
    <w:rsid w:val="00794F41"/>
    <w:rsid w:val="007A3671"/>
    <w:rsid w:val="007B101A"/>
    <w:rsid w:val="007B60BB"/>
    <w:rsid w:val="007B6F49"/>
    <w:rsid w:val="007B7D4C"/>
    <w:rsid w:val="007C1C96"/>
    <w:rsid w:val="007C6D66"/>
    <w:rsid w:val="007D33FA"/>
    <w:rsid w:val="007D71C9"/>
    <w:rsid w:val="007F6C5B"/>
    <w:rsid w:val="007F7F59"/>
    <w:rsid w:val="00800A11"/>
    <w:rsid w:val="00801927"/>
    <w:rsid w:val="00806844"/>
    <w:rsid w:val="008202E5"/>
    <w:rsid w:val="00821A99"/>
    <w:rsid w:val="00827B45"/>
    <w:rsid w:val="008424B7"/>
    <w:rsid w:val="00843B4C"/>
    <w:rsid w:val="0084784B"/>
    <w:rsid w:val="00850B3F"/>
    <w:rsid w:val="00851227"/>
    <w:rsid w:val="00851E31"/>
    <w:rsid w:val="00860639"/>
    <w:rsid w:val="00865117"/>
    <w:rsid w:val="008758DC"/>
    <w:rsid w:val="00881ABD"/>
    <w:rsid w:val="008828AA"/>
    <w:rsid w:val="008842E8"/>
    <w:rsid w:val="008869A8"/>
    <w:rsid w:val="00886F35"/>
    <w:rsid w:val="00887AFA"/>
    <w:rsid w:val="008A2348"/>
    <w:rsid w:val="008A5CC8"/>
    <w:rsid w:val="008B1F91"/>
    <w:rsid w:val="008B2F83"/>
    <w:rsid w:val="008B651C"/>
    <w:rsid w:val="008C20A4"/>
    <w:rsid w:val="008C3463"/>
    <w:rsid w:val="008C36F3"/>
    <w:rsid w:val="008D0965"/>
    <w:rsid w:val="008D139F"/>
    <w:rsid w:val="008D3EF9"/>
    <w:rsid w:val="008E4336"/>
    <w:rsid w:val="008F147B"/>
    <w:rsid w:val="008F5FF9"/>
    <w:rsid w:val="00901C48"/>
    <w:rsid w:val="009026D0"/>
    <w:rsid w:val="009241E1"/>
    <w:rsid w:val="009263E2"/>
    <w:rsid w:val="00926C77"/>
    <w:rsid w:val="00934699"/>
    <w:rsid w:val="00955EF2"/>
    <w:rsid w:val="00966459"/>
    <w:rsid w:val="009710CE"/>
    <w:rsid w:val="00972778"/>
    <w:rsid w:val="009963EC"/>
    <w:rsid w:val="009967FF"/>
    <w:rsid w:val="009A149A"/>
    <w:rsid w:val="009A18C8"/>
    <w:rsid w:val="009A4ACC"/>
    <w:rsid w:val="009A7EB6"/>
    <w:rsid w:val="009B0C98"/>
    <w:rsid w:val="009B42BD"/>
    <w:rsid w:val="009D2148"/>
    <w:rsid w:val="009D6A4E"/>
    <w:rsid w:val="009E0D28"/>
    <w:rsid w:val="009E4534"/>
    <w:rsid w:val="009E4EA1"/>
    <w:rsid w:val="009E510E"/>
    <w:rsid w:val="00A063DC"/>
    <w:rsid w:val="00A16AC1"/>
    <w:rsid w:val="00A24233"/>
    <w:rsid w:val="00A2447D"/>
    <w:rsid w:val="00A4152C"/>
    <w:rsid w:val="00A532FA"/>
    <w:rsid w:val="00A55288"/>
    <w:rsid w:val="00A55708"/>
    <w:rsid w:val="00A55CC9"/>
    <w:rsid w:val="00A609FD"/>
    <w:rsid w:val="00A61D2C"/>
    <w:rsid w:val="00A7169E"/>
    <w:rsid w:val="00A92CFD"/>
    <w:rsid w:val="00A97184"/>
    <w:rsid w:val="00AA3D71"/>
    <w:rsid w:val="00AA519A"/>
    <w:rsid w:val="00AB0F41"/>
    <w:rsid w:val="00AB6087"/>
    <w:rsid w:val="00AC78F9"/>
    <w:rsid w:val="00AD186F"/>
    <w:rsid w:val="00AD485C"/>
    <w:rsid w:val="00AE478E"/>
    <w:rsid w:val="00AE5D22"/>
    <w:rsid w:val="00AF0CDC"/>
    <w:rsid w:val="00AF4363"/>
    <w:rsid w:val="00AF4472"/>
    <w:rsid w:val="00B022DF"/>
    <w:rsid w:val="00B43511"/>
    <w:rsid w:val="00B4434F"/>
    <w:rsid w:val="00B504E4"/>
    <w:rsid w:val="00B66D16"/>
    <w:rsid w:val="00B713F3"/>
    <w:rsid w:val="00B75781"/>
    <w:rsid w:val="00B76F49"/>
    <w:rsid w:val="00B80842"/>
    <w:rsid w:val="00B80848"/>
    <w:rsid w:val="00B8121C"/>
    <w:rsid w:val="00B90AE7"/>
    <w:rsid w:val="00B92DA7"/>
    <w:rsid w:val="00B93B43"/>
    <w:rsid w:val="00B966BA"/>
    <w:rsid w:val="00BB2421"/>
    <w:rsid w:val="00BB31C5"/>
    <w:rsid w:val="00BB6DE3"/>
    <w:rsid w:val="00BB7A35"/>
    <w:rsid w:val="00BC6E36"/>
    <w:rsid w:val="00BD6881"/>
    <w:rsid w:val="00BE140F"/>
    <w:rsid w:val="00BE7A57"/>
    <w:rsid w:val="00C516BA"/>
    <w:rsid w:val="00C547A0"/>
    <w:rsid w:val="00C638EA"/>
    <w:rsid w:val="00C653E8"/>
    <w:rsid w:val="00C67DEB"/>
    <w:rsid w:val="00C730F3"/>
    <w:rsid w:val="00C954A6"/>
    <w:rsid w:val="00C95834"/>
    <w:rsid w:val="00CA1775"/>
    <w:rsid w:val="00CA1957"/>
    <w:rsid w:val="00CB54B0"/>
    <w:rsid w:val="00CC33E3"/>
    <w:rsid w:val="00CC4662"/>
    <w:rsid w:val="00CF307A"/>
    <w:rsid w:val="00CF3130"/>
    <w:rsid w:val="00CF5212"/>
    <w:rsid w:val="00CF617E"/>
    <w:rsid w:val="00D038F3"/>
    <w:rsid w:val="00D123F6"/>
    <w:rsid w:val="00D16DC2"/>
    <w:rsid w:val="00D210AA"/>
    <w:rsid w:val="00D27898"/>
    <w:rsid w:val="00D36D49"/>
    <w:rsid w:val="00D41E70"/>
    <w:rsid w:val="00D476E5"/>
    <w:rsid w:val="00D501A3"/>
    <w:rsid w:val="00D615FC"/>
    <w:rsid w:val="00D63326"/>
    <w:rsid w:val="00D633E7"/>
    <w:rsid w:val="00D6563A"/>
    <w:rsid w:val="00D7321C"/>
    <w:rsid w:val="00D74BD6"/>
    <w:rsid w:val="00D74EB1"/>
    <w:rsid w:val="00D91911"/>
    <w:rsid w:val="00D919A4"/>
    <w:rsid w:val="00DA77C8"/>
    <w:rsid w:val="00DB009D"/>
    <w:rsid w:val="00DB1F17"/>
    <w:rsid w:val="00DB2D43"/>
    <w:rsid w:val="00DB5E34"/>
    <w:rsid w:val="00DC3FFE"/>
    <w:rsid w:val="00DC4D82"/>
    <w:rsid w:val="00DC533C"/>
    <w:rsid w:val="00DD2240"/>
    <w:rsid w:val="00DE2D4E"/>
    <w:rsid w:val="00DE7AD1"/>
    <w:rsid w:val="00DE7D6F"/>
    <w:rsid w:val="00DF070D"/>
    <w:rsid w:val="00E044A3"/>
    <w:rsid w:val="00E2282D"/>
    <w:rsid w:val="00E24300"/>
    <w:rsid w:val="00E268FD"/>
    <w:rsid w:val="00E33B29"/>
    <w:rsid w:val="00E33D2B"/>
    <w:rsid w:val="00E34C3C"/>
    <w:rsid w:val="00E42C53"/>
    <w:rsid w:val="00E46D4C"/>
    <w:rsid w:val="00E50AC8"/>
    <w:rsid w:val="00E5173A"/>
    <w:rsid w:val="00E51EA4"/>
    <w:rsid w:val="00E52357"/>
    <w:rsid w:val="00E53C20"/>
    <w:rsid w:val="00E6059A"/>
    <w:rsid w:val="00E60C28"/>
    <w:rsid w:val="00E664CB"/>
    <w:rsid w:val="00E66A01"/>
    <w:rsid w:val="00E711B6"/>
    <w:rsid w:val="00E712EA"/>
    <w:rsid w:val="00E757F2"/>
    <w:rsid w:val="00E85C42"/>
    <w:rsid w:val="00EA1347"/>
    <w:rsid w:val="00EC7010"/>
    <w:rsid w:val="00ED0439"/>
    <w:rsid w:val="00ED1137"/>
    <w:rsid w:val="00ED32E6"/>
    <w:rsid w:val="00EE229F"/>
    <w:rsid w:val="00EE2ECA"/>
    <w:rsid w:val="00EE2FFE"/>
    <w:rsid w:val="00EE549C"/>
    <w:rsid w:val="00EE5C9B"/>
    <w:rsid w:val="00EE5D5F"/>
    <w:rsid w:val="00EE78D0"/>
    <w:rsid w:val="00F05464"/>
    <w:rsid w:val="00F24AE7"/>
    <w:rsid w:val="00F2765F"/>
    <w:rsid w:val="00F511C4"/>
    <w:rsid w:val="00F518BF"/>
    <w:rsid w:val="00F57383"/>
    <w:rsid w:val="00F61A5D"/>
    <w:rsid w:val="00F64758"/>
    <w:rsid w:val="00F64DFE"/>
    <w:rsid w:val="00F80F8E"/>
    <w:rsid w:val="00F822E5"/>
    <w:rsid w:val="00F82F6A"/>
    <w:rsid w:val="00F9433E"/>
    <w:rsid w:val="00F94B8C"/>
    <w:rsid w:val="00F9670E"/>
    <w:rsid w:val="00FA6C1B"/>
    <w:rsid w:val="00FA6C68"/>
    <w:rsid w:val="00FB1930"/>
    <w:rsid w:val="00FC205C"/>
    <w:rsid w:val="00FC72EC"/>
    <w:rsid w:val="00FD27E1"/>
    <w:rsid w:val="00FD3234"/>
    <w:rsid w:val="00FD7D26"/>
    <w:rsid w:val="00FE194B"/>
    <w:rsid w:val="00FF00A5"/>
    <w:rsid w:val="00FF20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C0CA"/>
  <w15:chartTrackingRefBased/>
  <w15:docId w15:val="{21BBB926-7FF7-4013-A65B-BBDE6B18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6232"/>
    <w:rPr>
      <w:rFonts w:ascii="Tahoma" w:hAnsi="Tahoma"/>
      <w:sz w:val="16"/>
      <w:szCs w:val="16"/>
      <w:lang w:val="x-none" w:eastAsia="x-none"/>
    </w:rPr>
  </w:style>
  <w:style w:type="character" w:customStyle="1" w:styleId="BalloonTextChar">
    <w:name w:val="Balloon Text Char"/>
    <w:link w:val="BalloonText"/>
    <w:rsid w:val="003B6232"/>
    <w:rPr>
      <w:rFonts w:ascii="Tahoma" w:hAnsi="Tahoma" w:cs="Tahoma"/>
      <w:sz w:val="16"/>
      <w:szCs w:val="16"/>
    </w:rPr>
  </w:style>
  <w:style w:type="paragraph" w:styleId="ListParagraph">
    <w:name w:val="List Paragraph"/>
    <w:basedOn w:val="Normal"/>
    <w:uiPriority w:val="34"/>
    <w:qFormat/>
    <w:rsid w:val="00671235"/>
    <w:pPr>
      <w:spacing w:after="200"/>
      <w:ind w:left="720"/>
      <w:contextualSpacing/>
      <w:jc w:val="both"/>
    </w:pPr>
    <w:rPr>
      <w:rFonts w:ascii="Calibri" w:eastAsia="Calibri" w:hAnsi="Calibri"/>
      <w:sz w:val="20"/>
      <w:szCs w:val="22"/>
      <w:lang w:val="en-GB"/>
    </w:rPr>
  </w:style>
  <w:style w:type="character" w:styleId="CommentReference">
    <w:name w:val="annotation reference"/>
    <w:rsid w:val="00E711B6"/>
    <w:rPr>
      <w:sz w:val="16"/>
      <w:szCs w:val="16"/>
    </w:rPr>
  </w:style>
  <w:style w:type="paragraph" w:styleId="CommentText">
    <w:name w:val="annotation text"/>
    <w:basedOn w:val="Normal"/>
    <w:link w:val="CommentTextChar"/>
    <w:rsid w:val="00E711B6"/>
    <w:rPr>
      <w:sz w:val="20"/>
      <w:szCs w:val="20"/>
    </w:rPr>
  </w:style>
  <w:style w:type="character" w:customStyle="1" w:styleId="CommentTextChar">
    <w:name w:val="Comment Text Char"/>
    <w:basedOn w:val="DefaultParagraphFont"/>
    <w:link w:val="CommentText"/>
    <w:rsid w:val="00E711B6"/>
  </w:style>
  <w:style w:type="paragraph" w:styleId="CommentSubject">
    <w:name w:val="annotation subject"/>
    <w:basedOn w:val="CommentText"/>
    <w:next w:val="CommentText"/>
    <w:link w:val="CommentSubjectChar"/>
    <w:rsid w:val="00E711B6"/>
    <w:rPr>
      <w:b/>
      <w:bCs/>
      <w:lang w:val="x-none" w:eastAsia="x-none"/>
    </w:rPr>
  </w:style>
  <w:style w:type="character" w:customStyle="1" w:styleId="CommentSubjectChar">
    <w:name w:val="Comment Subject Char"/>
    <w:link w:val="CommentSubject"/>
    <w:rsid w:val="00E711B6"/>
    <w:rPr>
      <w:b/>
      <w:bCs/>
    </w:rPr>
  </w:style>
  <w:style w:type="paragraph" w:styleId="Header">
    <w:name w:val="header"/>
    <w:basedOn w:val="Normal"/>
    <w:link w:val="HeaderChar"/>
    <w:rsid w:val="008C3463"/>
    <w:pPr>
      <w:tabs>
        <w:tab w:val="center" w:pos="4680"/>
        <w:tab w:val="right" w:pos="9360"/>
      </w:tabs>
    </w:pPr>
    <w:rPr>
      <w:lang w:val="x-none" w:eastAsia="x-none"/>
    </w:rPr>
  </w:style>
  <w:style w:type="character" w:customStyle="1" w:styleId="HeaderChar">
    <w:name w:val="Header Char"/>
    <w:link w:val="Header"/>
    <w:rsid w:val="008C3463"/>
    <w:rPr>
      <w:sz w:val="24"/>
      <w:szCs w:val="24"/>
    </w:rPr>
  </w:style>
  <w:style w:type="paragraph" w:styleId="Footer">
    <w:name w:val="footer"/>
    <w:basedOn w:val="Normal"/>
    <w:link w:val="FooterChar"/>
    <w:rsid w:val="008C3463"/>
    <w:pPr>
      <w:tabs>
        <w:tab w:val="center" w:pos="4680"/>
        <w:tab w:val="right" w:pos="9360"/>
      </w:tabs>
    </w:pPr>
    <w:rPr>
      <w:lang w:val="x-none" w:eastAsia="x-none"/>
    </w:rPr>
  </w:style>
  <w:style w:type="character" w:customStyle="1" w:styleId="FooterChar">
    <w:name w:val="Footer Char"/>
    <w:link w:val="Footer"/>
    <w:rsid w:val="008C3463"/>
    <w:rPr>
      <w:sz w:val="24"/>
      <w:szCs w:val="24"/>
    </w:rPr>
  </w:style>
  <w:style w:type="paragraph" w:customStyle="1" w:styleId="KeinLeerraum">
    <w:name w:val="Kein Leerraum"/>
    <w:link w:val="KeinLeerraumZchn"/>
    <w:uiPriority w:val="1"/>
    <w:qFormat/>
    <w:rsid w:val="00B022DF"/>
    <w:rPr>
      <w:rFonts w:ascii="Calibri" w:hAnsi="Calibri"/>
      <w:sz w:val="22"/>
      <w:szCs w:val="22"/>
      <w:lang w:val="de-DE"/>
    </w:rPr>
  </w:style>
  <w:style w:type="character" w:customStyle="1" w:styleId="KeinLeerraumZchn">
    <w:name w:val="Kein Leerraum Zchn"/>
    <w:link w:val="KeinLeerraum"/>
    <w:uiPriority w:val="1"/>
    <w:rsid w:val="00B022DF"/>
    <w:rPr>
      <w:rFonts w:ascii="Calibri" w:hAnsi="Calibri"/>
      <w:sz w:val="22"/>
      <w:szCs w:val="22"/>
      <w:lang w:val="de-DE"/>
    </w:rPr>
  </w:style>
  <w:style w:type="character" w:styleId="Hyperlink">
    <w:name w:val="Hyperlink"/>
    <w:rsid w:val="002B405F"/>
    <w:rPr>
      <w:color w:val="0000FF"/>
      <w:u w:val="single"/>
    </w:rPr>
  </w:style>
  <w:style w:type="paragraph" w:customStyle="1" w:styleId="Listenabsatz">
    <w:name w:val="Listenabsatz"/>
    <w:basedOn w:val="Normal"/>
    <w:uiPriority w:val="99"/>
    <w:qFormat/>
    <w:rsid w:val="000358DE"/>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D1CFD-24DB-4D4E-9916-AF018D06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Management Response Template</vt:lpstr>
    </vt:vector>
  </TitlesOfParts>
  <Company>undp</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Response Template</dc:title>
  <dc:subject/>
  <dc:creator>UNDP Albania</dc:creator>
  <cp:keywords/>
  <cp:lastModifiedBy>Microsoft Office User</cp:lastModifiedBy>
  <cp:revision>2</cp:revision>
  <cp:lastPrinted>2013-12-13T10:39:00Z</cp:lastPrinted>
  <dcterms:created xsi:type="dcterms:W3CDTF">2021-08-26T15:15:00Z</dcterms:created>
  <dcterms:modified xsi:type="dcterms:W3CDTF">2021-08-26T15:15:00Z</dcterms:modified>
</cp:coreProperties>
</file>