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D58F" w14:textId="77777777" w:rsidR="00214DFD" w:rsidRDefault="003B2D57" w:rsidP="00214DFD">
      <w:pPr>
        <w:jc w:val="center"/>
        <w:rPr>
          <w:b/>
          <w:sz w:val="20"/>
          <w:szCs w:val="20"/>
        </w:rPr>
      </w:pPr>
      <w:r>
        <w:rPr>
          <w:b/>
          <w:sz w:val="20"/>
          <w:szCs w:val="20"/>
        </w:rPr>
        <w:t xml:space="preserve">UNDP Management Response </w:t>
      </w:r>
    </w:p>
    <w:p w14:paraId="10C7792F" w14:textId="0DC325A0" w:rsidR="008E0616" w:rsidRPr="008E0616" w:rsidRDefault="004E5810" w:rsidP="008E0616">
      <w:pPr>
        <w:spacing w:line="276" w:lineRule="auto"/>
        <w:jc w:val="center"/>
        <w:rPr>
          <w:rFonts w:ascii="Calibri" w:hAnsi="Calibri"/>
          <w:b/>
          <w:sz w:val="36"/>
          <w:szCs w:val="36"/>
        </w:rPr>
      </w:pPr>
      <w:r>
        <w:rPr>
          <w:b/>
          <w:sz w:val="20"/>
          <w:szCs w:val="20"/>
        </w:rPr>
        <w:t xml:space="preserve">Project # </w:t>
      </w:r>
      <w:r w:rsidR="00B00082">
        <w:rPr>
          <w:b/>
          <w:sz w:val="20"/>
          <w:szCs w:val="20"/>
        </w:rPr>
        <w:t>000</w:t>
      </w:r>
      <w:r w:rsidR="00BD201F">
        <w:rPr>
          <w:b/>
          <w:sz w:val="20"/>
          <w:szCs w:val="20"/>
        </w:rPr>
        <w:t>87557</w:t>
      </w:r>
      <w:r w:rsidR="00B00082">
        <w:rPr>
          <w:b/>
          <w:sz w:val="20"/>
          <w:szCs w:val="20"/>
        </w:rPr>
        <w:t xml:space="preserve"> PIMS </w:t>
      </w:r>
      <w:r w:rsidR="008E0616">
        <w:rPr>
          <w:b/>
          <w:sz w:val="20"/>
          <w:szCs w:val="20"/>
        </w:rPr>
        <w:t>4462</w:t>
      </w:r>
      <w:r w:rsidR="00E500B6">
        <w:rPr>
          <w:b/>
          <w:sz w:val="20"/>
          <w:szCs w:val="20"/>
        </w:rPr>
        <w:t xml:space="preserve"> </w:t>
      </w:r>
      <w:bookmarkStart w:id="0" w:name="_Hlk525831102"/>
      <w:r w:rsidR="008E0616" w:rsidRPr="008E0616">
        <w:rPr>
          <w:b/>
          <w:sz w:val="20"/>
          <w:szCs w:val="20"/>
        </w:rPr>
        <w:t>Removing Barriers to Wind Power Development in Belarus</w:t>
      </w:r>
      <w:bookmarkEnd w:id="0"/>
      <w:r w:rsidR="008E0616" w:rsidRPr="008E0616">
        <w:rPr>
          <w:rFonts w:ascii="Calibri" w:hAnsi="Calibri"/>
          <w:b/>
          <w:sz w:val="36"/>
          <w:szCs w:val="36"/>
        </w:rPr>
        <w:t xml:space="preserve">  </w:t>
      </w:r>
    </w:p>
    <w:p w14:paraId="26C2730F" w14:textId="0AB692B7" w:rsidR="00E500B6" w:rsidRDefault="005F4E57" w:rsidP="00214DFD">
      <w:pPr>
        <w:jc w:val="center"/>
        <w:rPr>
          <w:b/>
          <w:sz w:val="20"/>
          <w:szCs w:val="20"/>
        </w:rPr>
      </w:pPr>
      <w:r>
        <w:rPr>
          <w:b/>
          <w:sz w:val="20"/>
          <w:szCs w:val="20"/>
        </w:rPr>
        <w:t>Terminal Evaluation</w:t>
      </w:r>
      <w:r w:rsidR="00FD77F0">
        <w:rPr>
          <w:b/>
          <w:sz w:val="20"/>
          <w:szCs w:val="20"/>
        </w:rPr>
        <w:t xml:space="preserve"> </w:t>
      </w:r>
    </w:p>
    <w:p w14:paraId="514B7286" w14:textId="236DF19C" w:rsidR="00DA5B4B" w:rsidRPr="00BC1519" w:rsidRDefault="00DA5B4B" w:rsidP="00214DFD">
      <w:pPr>
        <w:jc w:val="center"/>
        <w:rPr>
          <w:sz w:val="20"/>
          <w:szCs w:val="20"/>
        </w:rPr>
      </w:pPr>
      <w:r>
        <w:rPr>
          <w:sz w:val="20"/>
          <w:szCs w:val="20"/>
        </w:rPr>
        <w:t>Date:</w:t>
      </w:r>
      <w:r w:rsidR="00E500B6">
        <w:rPr>
          <w:sz w:val="20"/>
          <w:szCs w:val="20"/>
        </w:rPr>
        <w:t xml:space="preserve"> </w:t>
      </w:r>
      <w:r w:rsidR="003C668B">
        <w:rPr>
          <w:sz w:val="20"/>
          <w:szCs w:val="20"/>
        </w:rPr>
        <w:t>September</w:t>
      </w:r>
      <w:r w:rsidR="00E500B6">
        <w:rPr>
          <w:sz w:val="20"/>
          <w:szCs w:val="20"/>
        </w:rPr>
        <w:t xml:space="preserve"> 20</w:t>
      </w:r>
      <w:r w:rsidR="005F4E57">
        <w:rPr>
          <w:sz w:val="20"/>
          <w:szCs w:val="20"/>
        </w:rPr>
        <w:t>21</w:t>
      </w:r>
    </w:p>
    <w:p w14:paraId="56757211" w14:textId="1FF52E23" w:rsidR="003B2D57" w:rsidRDefault="003B2D57" w:rsidP="00000064">
      <w:pPr>
        <w:tabs>
          <w:tab w:val="left" w:pos="4320"/>
          <w:tab w:val="left" w:pos="7200"/>
        </w:tabs>
        <w:rPr>
          <w:sz w:val="20"/>
          <w:szCs w:val="20"/>
        </w:rPr>
      </w:pPr>
      <w:r w:rsidRPr="003B2D57">
        <w:rPr>
          <w:sz w:val="20"/>
          <w:szCs w:val="20"/>
        </w:rPr>
        <w:t xml:space="preserve">Prepared by: </w:t>
      </w:r>
      <w:r w:rsidR="00E500B6">
        <w:rPr>
          <w:sz w:val="20"/>
          <w:szCs w:val="20"/>
        </w:rPr>
        <w:t>Igar Tchoulba</w:t>
      </w:r>
      <w:r w:rsidR="00000064">
        <w:rPr>
          <w:sz w:val="20"/>
          <w:szCs w:val="20"/>
        </w:rPr>
        <w:t xml:space="preserve"> </w:t>
      </w:r>
      <w:r>
        <w:rPr>
          <w:sz w:val="20"/>
          <w:szCs w:val="20"/>
        </w:rPr>
        <w:tab/>
      </w:r>
      <w:r w:rsidR="00000064">
        <w:rPr>
          <w:sz w:val="20"/>
          <w:szCs w:val="20"/>
        </w:rPr>
        <w:t>Position:</w:t>
      </w:r>
      <w:r w:rsidR="00E500B6">
        <w:rPr>
          <w:sz w:val="20"/>
          <w:szCs w:val="20"/>
        </w:rPr>
        <w:t xml:space="preserve"> Programme Officer</w:t>
      </w:r>
      <w:r w:rsidR="00000064">
        <w:rPr>
          <w:sz w:val="20"/>
          <w:szCs w:val="20"/>
        </w:rPr>
        <w:tab/>
      </w:r>
      <w:r w:rsidR="00000064">
        <w:rPr>
          <w:sz w:val="20"/>
          <w:szCs w:val="20"/>
        </w:rPr>
        <w:tab/>
      </w:r>
      <w:r w:rsidR="00C41A31">
        <w:rPr>
          <w:sz w:val="20"/>
          <w:szCs w:val="20"/>
        </w:rPr>
        <w:tab/>
      </w:r>
      <w:r w:rsidR="005F4E57">
        <w:rPr>
          <w:sz w:val="20"/>
          <w:szCs w:val="20"/>
        </w:rPr>
        <w:t xml:space="preserve">                                           </w:t>
      </w:r>
      <w:r w:rsidR="009177CD">
        <w:rPr>
          <w:sz w:val="20"/>
          <w:szCs w:val="20"/>
        </w:rPr>
        <w:t>Unit/Bureau</w:t>
      </w:r>
      <w:r w:rsidR="00947F8D">
        <w:rPr>
          <w:sz w:val="20"/>
          <w:szCs w:val="20"/>
        </w:rPr>
        <w:t>:</w:t>
      </w:r>
      <w:r w:rsidR="00E500B6">
        <w:rPr>
          <w:sz w:val="20"/>
          <w:szCs w:val="20"/>
        </w:rPr>
        <w:t xml:space="preserve"> Belarus CO</w:t>
      </w:r>
    </w:p>
    <w:p w14:paraId="1BF7B681" w14:textId="5667B289" w:rsidR="00015F2E" w:rsidRDefault="00015F2E" w:rsidP="00000064">
      <w:pPr>
        <w:tabs>
          <w:tab w:val="left" w:pos="4320"/>
          <w:tab w:val="left" w:pos="7200"/>
        </w:tabs>
        <w:rPr>
          <w:sz w:val="20"/>
          <w:szCs w:val="20"/>
        </w:rPr>
      </w:pPr>
      <w:r>
        <w:rPr>
          <w:sz w:val="20"/>
          <w:szCs w:val="20"/>
        </w:rPr>
        <w:t xml:space="preserve">                     Hanna Harbachova</w:t>
      </w:r>
      <w:r>
        <w:rPr>
          <w:sz w:val="20"/>
          <w:szCs w:val="20"/>
        </w:rPr>
        <w:tab/>
        <w:t>Position: Programme Assistant</w:t>
      </w:r>
      <w:r>
        <w:rPr>
          <w:sz w:val="20"/>
          <w:szCs w:val="20"/>
        </w:rPr>
        <w:tab/>
      </w:r>
      <w:r>
        <w:rPr>
          <w:sz w:val="20"/>
          <w:szCs w:val="20"/>
        </w:rPr>
        <w:tab/>
      </w:r>
      <w:r>
        <w:rPr>
          <w:sz w:val="20"/>
          <w:szCs w:val="20"/>
        </w:rPr>
        <w:tab/>
        <w:t xml:space="preserve">                                           Unit/Bureau: Belarus CO</w:t>
      </w:r>
      <w:r>
        <w:rPr>
          <w:sz w:val="20"/>
          <w:szCs w:val="20"/>
        </w:rPr>
        <w:tab/>
      </w:r>
    </w:p>
    <w:p w14:paraId="72A5EBE3" w14:textId="214ED2E1" w:rsidR="009177CD" w:rsidRPr="003B2D57" w:rsidRDefault="009177CD" w:rsidP="009177CD">
      <w:pPr>
        <w:tabs>
          <w:tab w:val="left" w:pos="4320"/>
          <w:tab w:val="left" w:pos="7200"/>
        </w:tabs>
        <w:rPr>
          <w:sz w:val="20"/>
          <w:szCs w:val="20"/>
        </w:rPr>
      </w:pPr>
      <w:r>
        <w:rPr>
          <w:sz w:val="20"/>
          <w:szCs w:val="20"/>
        </w:rPr>
        <w:t>Cleared by:</w:t>
      </w:r>
      <w:r w:rsidR="00C41A31">
        <w:rPr>
          <w:sz w:val="20"/>
          <w:szCs w:val="20"/>
        </w:rPr>
        <w:t xml:space="preserve"> </w:t>
      </w:r>
      <w:r w:rsidR="005F4E57">
        <w:rPr>
          <w:sz w:val="20"/>
          <w:szCs w:val="20"/>
        </w:rPr>
        <w:t>Armen Martirosyan</w:t>
      </w:r>
      <w:r>
        <w:rPr>
          <w:sz w:val="20"/>
          <w:szCs w:val="20"/>
        </w:rPr>
        <w:tab/>
        <w:t>Position:</w:t>
      </w:r>
      <w:r w:rsidR="00C41A31">
        <w:rPr>
          <w:sz w:val="20"/>
          <w:szCs w:val="20"/>
        </w:rPr>
        <w:t xml:space="preserve"> Deputy Resident Representative</w:t>
      </w:r>
      <w:r>
        <w:rPr>
          <w:sz w:val="20"/>
          <w:szCs w:val="20"/>
        </w:rPr>
        <w:tab/>
      </w:r>
      <w:r>
        <w:rPr>
          <w:sz w:val="20"/>
          <w:szCs w:val="20"/>
        </w:rPr>
        <w:tab/>
      </w:r>
      <w:r w:rsidR="005F4E57">
        <w:rPr>
          <w:sz w:val="20"/>
          <w:szCs w:val="20"/>
        </w:rPr>
        <w:t xml:space="preserve">                                           </w:t>
      </w:r>
      <w:r>
        <w:rPr>
          <w:sz w:val="20"/>
          <w:szCs w:val="20"/>
        </w:rPr>
        <w:t>Unit/Bureau:</w:t>
      </w:r>
      <w:r w:rsidR="00D01D02" w:rsidRPr="00D01D02">
        <w:rPr>
          <w:sz w:val="20"/>
          <w:szCs w:val="20"/>
        </w:rPr>
        <w:t xml:space="preserve"> </w:t>
      </w:r>
      <w:r w:rsidR="00D01D02">
        <w:rPr>
          <w:sz w:val="20"/>
          <w:szCs w:val="20"/>
        </w:rPr>
        <w:t>Belarus CO</w:t>
      </w:r>
    </w:p>
    <w:p w14:paraId="62574B04" w14:textId="418557B4" w:rsidR="007E1A4C" w:rsidRDefault="007E1A4C" w:rsidP="00000064">
      <w:pPr>
        <w:tabs>
          <w:tab w:val="left" w:pos="4320"/>
          <w:tab w:val="left" w:pos="7200"/>
        </w:tabs>
        <w:rPr>
          <w:sz w:val="20"/>
          <w:szCs w:val="20"/>
        </w:rPr>
      </w:pPr>
      <w:r>
        <w:rPr>
          <w:sz w:val="20"/>
          <w:szCs w:val="20"/>
        </w:rPr>
        <w:t xml:space="preserve">Input into </w:t>
      </w:r>
      <w:r w:rsidR="00035701">
        <w:rPr>
          <w:sz w:val="20"/>
          <w:szCs w:val="20"/>
        </w:rPr>
        <w:t>and update in ERC</w:t>
      </w:r>
      <w:r>
        <w:rPr>
          <w:sz w:val="20"/>
          <w:szCs w:val="20"/>
        </w:rPr>
        <w:t>:</w:t>
      </w:r>
      <w:r w:rsidR="005F4E57">
        <w:rPr>
          <w:sz w:val="20"/>
          <w:szCs w:val="20"/>
        </w:rPr>
        <w:t xml:space="preserve"> Ksenia Litsiankova</w:t>
      </w:r>
      <w:r>
        <w:rPr>
          <w:sz w:val="20"/>
          <w:szCs w:val="20"/>
        </w:rPr>
        <w:tab/>
        <w:t>Position:</w:t>
      </w:r>
      <w:r w:rsidR="005F4E57">
        <w:rPr>
          <w:sz w:val="20"/>
          <w:szCs w:val="20"/>
        </w:rPr>
        <w:t xml:space="preserve"> Integration, Monitoring and Evaluation Assistant</w:t>
      </w:r>
      <w:r>
        <w:rPr>
          <w:sz w:val="20"/>
          <w:szCs w:val="20"/>
        </w:rPr>
        <w:tab/>
      </w:r>
      <w:r>
        <w:rPr>
          <w:sz w:val="20"/>
          <w:szCs w:val="20"/>
        </w:rPr>
        <w:tab/>
      </w:r>
      <w:r w:rsidR="00C41A31">
        <w:rPr>
          <w:sz w:val="20"/>
          <w:szCs w:val="20"/>
        </w:rPr>
        <w:tab/>
      </w:r>
      <w:r w:rsidR="009177CD">
        <w:rPr>
          <w:sz w:val="20"/>
          <w:szCs w:val="20"/>
        </w:rPr>
        <w:t>Unit/Bureau</w:t>
      </w:r>
      <w:r>
        <w:rPr>
          <w:sz w:val="20"/>
          <w:szCs w:val="20"/>
        </w:rPr>
        <w:t>:</w:t>
      </w:r>
      <w:r w:rsidR="005F4E57">
        <w:rPr>
          <w:sz w:val="20"/>
          <w:szCs w:val="20"/>
        </w:rPr>
        <w:t xml:space="preserve"> Belarus CO</w:t>
      </w:r>
    </w:p>
    <w:p w14:paraId="49E5B37E" w14:textId="338272BA" w:rsidR="00000064" w:rsidRDefault="005C14BF">
      <w:pPr>
        <w:rPr>
          <w:sz w:val="20"/>
          <w:szCs w:val="20"/>
        </w:rPr>
      </w:pPr>
      <w:r>
        <w:rPr>
          <w:noProof/>
          <w:sz w:val="20"/>
          <w:szCs w:val="20"/>
          <w:lang w:eastAsia="zh-CN"/>
        </w:rPr>
        <mc:AlternateContent>
          <mc:Choice Requires="wps">
            <w:drawing>
              <wp:anchor distT="0" distB="0" distL="114300" distR="114300" simplePos="0" relativeHeight="251657728" behindDoc="0" locked="0" layoutInCell="1" allowOverlap="1" wp14:anchorId="64563B5F" wp14:editId="2E781759">
                <wp:simplePos x="0" y="0"/>
                <wp:positionH relativeFrom="margin">
                  <wp:align>left</wp:align>
                </wp:positionH>
                <wp:positionV relativeFrom="paragraph">
                  <wp:posOffset>16510</wp:posOffset>
                </wp:positionV>
                <wp:extent cx="8223250" cy="752475"/>
                <wp:effectExtent l="0" t="0" r="2540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0" cy="752475"/>
                        </a:xfrm>
                        <a:prstGeom prst="rect">
                          <a:avLst/>
                        </a:prstGeom>
                        <a:solidFill>
                          <a:srgbClr val="FFFFFF"/>
                        </a:solidFill>
                        <a:ln w="9525">
                          <a:solidFill>
                            <a:srgbClr val="000000"/>
                          </a:solidFill>
                          <a:miter lim="800000"/>
                          <a:headEnd/>
                          <a:tailEnd/>
                        </a:ln>
                      </wps:spPr>
                      <wps:txbx>
                        <w:txbxContent>
                          <w:p w14:paraId="39DD4051" w14:textId="60B0630F" w:rsidR="00C83508" w:rsidRDefault="00C83508">
                            <w:r w:rsidRPr="00BC1519">
                              <w:rPr>
                                <w:b/>
                                <w:sz w:val="20"/>
                                <w:szCs w:val="20"/>
                              </w:rPr>
                              <w:t>Overall comments:</w:t>
                            </w:r>
                            <w:r>
                              <w:rPr>
                                <w:b/>
                                <w:sz w:val="20"/>
                                <w:szCs w:val="20"/>
                              </w:rPr>
                              <w:t xml:space="preserve"> </w:t>
                            </w:r>
                            <w:r w:rsidRPr="00BD201F">
                              <w:rPr>
                                <w:sz w:val="20"/>
                                <w:szCs w:val="20"/>
                              </w:rPr>
                              <w:t>A</w:t>
                            </w:r>
                            <w:r>
                              <w:rPr>
                                <w:sz w:val="20"/>
                                <w:szCs w:val="20"/>
                              </w:rPr>
                              <w:t xml:space="preserve"> Terminal Evaluation </w:t>
                            </w:r>
                            <w:r w:rsidRPr="00BD201F">
                              <w:rPr>
                                <w:sz w:val="20"/>
                                <w:szCs w:val="20"/>
                              </w:rPr>
                              <w:t>of the GEF funded project Removing Barriers to Wind Power Development in Belarus, PIMS 4462, was conducted in mid-20</w:t>
                            </w:r>
                            <w:r>
                              <w:rPr>
                                <w:sz w:val="20"/>
                                <w:szCs w:val="20"/>
                              </w:rPr>
                              <w:t>21</w:t>
                            </w:r>
                            <w:r w:rsidRPr="00BD201F">
                              <w:rPr>
                                <w:sz w:val="20"/>
                                <w:szCs w:val="20"/>
                              </w:rPr>
                              <w:t xml:space="preserve"> by a team of experts comprising of one international and one national </w:t>
                            </w:r>
                            <w:r>
                              <w:rPr>
                                <w:sz w:val="20"/>
                                <w:szCs w:val="20"/>
                              </w:rPr>
                              <w:t>consultant</w:t>
                            </w:r>
                            <w:r w:rsidRPr="00BD201F">
                              <w:rPr>
                                <w:sz w:val="20"/>
                                <w:szCs w:val="20"/>
                              </w:rPr>
                              <w:t xml:space="preserve"> in accordance with GEF requirements and the respective UNDP</w:t>
                            </w:r>
                            <w:r>
                              <w:rPr>
                                <w:sz w:val="20"/>
                                <w:szCs w:val="20"/>
                              </w:rPr>
                              <w:t xml:space="preserve"> evaluation guidelines,</w:t>
                            </w:r>
                            <w:r w:rsidRPr="00BD201F">
                              <w:rPr>
                                <w:sz w:val="20"/>
                                <w:szCs w:val="20"/>
                              </w:rPr>
                              <w:t xml:space="preserve"> rules and procedures. The evaluation team managed to capture the key project related aspects. Actions proposed to address the </w:t>
                            </w:r>
                            <w:r>
                              <w:rPr>
                                <w:sz w:val="20"/>
                                <w:szCs w:val="20"/>
                              </w:rPr>
                              <w:t>TE</w:t>
                            </w:r>
                            <w:r w:rsidRPr="00BD201F">
                              <w:rPr>
                                <w:sz w:val="20"/>
                                <w:szCs w:val="20"/>
                              </w:rPr>
                              <w:t xml:space="preserve"> </w:t>
                            </w:r>
                            <w:r>
                              <w:rPr>
                                <w:sz w:val="20"/>
                                <w:szCs w:val="20"/>
                              </w:rPr>
                              <w:t xml:space="preserve">recommendations </w:t>
                            </w:r>
                            <w:r w:rsidRPr="00BD201F">
                              <w:rPr>
                                <w:sz w:val="20"/>
                                <w:szCs w:val="20"/>
                              </w:rPr>
                              <w:t>are presented and described below in more detail.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3B5F" id="_x0000_t202" coordsize="21600,21600" o:spt="202" path="m,l,21600r21600,l21600,xe">
                <v:stroke joinstyle="miter"/>
                <v:path gradientshapeok="t" o:connecttype="rect"/>
              </v:shapetype>
              <v:shape id="Text Box 4" o:spid="_x0000_s1026" type="#_x0000_t202" style="position:absolute;margin-left:0;margin-top:1.3pt;width:647.5pt;height:5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7hKQIAAFAEAAAOAAAAZHJzL2Uyb0RvYy54bWysVNuO0zAQfUfiHyy/07ShZXejpqulSxHS&#10;cpF2+QDHcRIL22Nst0n5esZOtkTAEyIPlsczPj5zZibb20ErchLOSzAlXS2WlAjDoZamLenXp8Or&#10;a0p8YKZmCowo6Vl4ert7+WLb20Lk0IGqhSMIYnzR25J2IdgiyzzvhGZ+AVYYdDbgNAtoujarHesR&#10;XassXy7fZD242jrgwns8vR+ddJfwm0bw8LlpvAhElRS5hbS6tFZxzXZbVrSO2U7yiQb7BxaaSYOP&#10;XqDuWWDk6OQfUFpyBx6asOCgM2gayUXKAbNZLX/L5rFjVqRcUBxvLzL5/wfLP52+OCJrrB0lhmks&#10;0ZMYAnkLA1lHdXrrCwx6tBgWBjyOkTFTbx+Af/PEwL5jphV3zkHfCVYju1W8mc2ujjg+glT9R6jx&#10;GXYMkICGxukIiGIQRMcqnS+ViVQ4Hl7n+et8gy6OvqtNvr7apCdY8XzbOh/eC9AkbkrqsPIJnZ0e&#10;fIhsWPEcktiDkvVBKpUM11Z75ciJYZcc0jeh+3mYMqQv6c0m34wCzH1+DrFM398gtAzY7kpqTOkS&#10;xIoo2ztTp2YMTKpxj5SVmXSM0o0ihqEaprpUUJ9RUQdjW+MY4qYD94OSHlu6pP77kTlBifpgsCo3&#10;q/U6zkAy1purHA0391RzDzMcoUoaKBm3+zDOzdE62Xb40tgHBu6wko1MIseSj6wm3ti2SftpxOJc&#10;zO0U9etHsPsJAAD//wMAUEsDBBQABgAIAAAAIQAJvzLg3QAAAAcBAAAPAAAAZHJzL2Rvd25yZXYu&#10;eG1sTI/BTsMwEETvSPyDtUhcEHUSaGhDnAohgeitFNRe3XibRNjrYLtp+HucE9x2dlYzb8vVaDQb&#10;0PnOkoB0lgBDqq3qqBHw+fFyuwDmgyQltSUU8IMeVtXlRSkLZc/0jsM2NCyGkC+kgDaEvuDc1y0a&#10;6We2R4re0TojQ5Su4crJcww3mmdJknMjO4oNrezxucX6a3syAhb3b8Per+82uzo/6mW4eRhev50Q&#10;11fj0yOwgGP4O4YJP6JDFZkO9kTKMy0gPhIEZDmwycyW87g4TFOaAq9K/p+/+gUAAP//AwBQSwEC&#10;LQAUAAYACAAAACEAtoM4kv4AAADhAQAAEwAAAAAAAAAAAAAAAAAAAAAAW0NvbnRlbnRfVHlwZXNd&#10;LnhtbFBLAQItABQABgAIAAAAIQA4/SH/1gAAAJQBAAALAAAAAAAAAAAAAAAAAC8BAABfcmVscy8u&#10;cmVsc1BLAQItABQABgAIAAAAIQDlyv7hKQIAAFAEAAAOAAAAAAAAAAAAAAAAAC4CAABkcnMvZTJv&#10;RG9jLnhtbFBLAQItABQABgAIAAAAIQAJvzLg3QAAAAcBAAAPAAAAAAAAAAAAAAAAAIMEAABkcnMv&#10;ZG93bnJldi54bWxQSwUGAAAAAAQABADzAAAAjQUAAAAA&#10;">
                <v:textbox>
                  <w:txbxContent>
                    <w:p w14:paraId="39DD4051" w14:textId="60B0630F" w:rsidR="00C83508" w:rsidRDefault="00C83508">
                      <w:r w:rsidRPr="00BC1519">
                        <w:rPr>
                          <w:b/>
                          <w:sz w:val="20"/>
                          <w:szCs w:val="20"/>
                        </w:rPr>
                        <w:t>Overall comments:</w:t>
                      </w:r>
                      <w:r>
                        <w:rPr>
                          <w:b/>
                          <w:sz w:val="20"/>
                          <w:szCs w:val="20"/>
                        </w:rPr>
                        <w:t xml:space="preserve"> </w:t>
                      </w:r>
                      <w:r w:rsidRPr="00BD201F">
                        <w:rPr>
                          <w:sz w:val="20"/>
                          <w:szCs w:val="20"/>
                        </w:rPr>
                        <w:t>A</w:t>
                      </w:r>
                      <w:r>
                        <w:rPr>
                          <w:sz w:val="20"/>
                          <w:szCs w:val="20"/>
                        </w:rPr>
                        <w:t xml:space="preserve"> Terminal Evaluation </w:t>
                      </w:r>
                      <w:r w:rsidRPr="00BD201F">
                        <w:rPr>
                          <w:sz w:val="20"/>
                          <w:szCs w:val="20"/>
                        </w:rPr>
                        <w:t>of the GEF funded project Removing Barriers to Wind Power Development in Belarus, PIMS 4462, was conducted in mid-20</w:t>
                      </w:r>
                      <w:r>
                        <w:rPr>
                          <w:sz w:val="20"/>
                          <w:szCs w:val="20"/>
                        </w:rPr>
                        <w:t>21</w:t>
                      </w:r>
                      <w:r w:rsidRPr="00BD201F">
                        <w:rPr>
                          <w:sz w:val="20"/>
                          <w:szCs w:val="20"/>
                        </w:rPr>
                        <w:t xml:space="preserve"> by a team of experts comprising of one international and one national </w:t>
                      </w:r>
                      <w:r>
                        <w:rPr>
                          <w:sz w:val="20"/>
                          <w:szCs w:val="20"/>
                        </w:rPr>
                        <w:t>consultant</w:t>
                      </w:r>
                      <w:r w:rsidRPr="00BD201F">
                        <w:rPr>
                          <w:sz w:val="20"/>
                          <w:szCs w:val="20"/>
                        </w:rPr>
                        <w:t xml:space="preserve"> in accordance with GEF requirements and the respective UNDP</w:t>
                      </w:r>
                      <w:r>
                        <w:rPr>
                          <w:sz w:val="20"/>
                          <w:szCs w:val="20"/>
                        </w:rPr>
                        <w:t xml:space="preserve"> evaluation guidelines,</w:t>
                      </w:r>
                      <w:r w:rsidRPr="00BD201F">
                        <w:rPr>
                          <w:sz w:val="20"/>
                          <w:szCs w:val="20"/>
                        </w:rPr>
                        <w:t xml:space="preserve"> rules and procedures. The evaluation team managed to capture the key project related aspects. Actions proposed to address the </w:t>
                      </w:r>
                      <w:r>
                        <w:rPr>
                          <w:sz w:val="20"/>
                          <w:szCs w:val="20"/>
                        </w:rPr>
                        <w:t>TE</w:t>
                      </w:r>
                      <w:r w:rsidRPr="00BD201F">
                        <w:rPr>
                          <w:sz w:val="20"/>
                          <w:szCs w:val="20"/>
                        </w:rPr>
                        <w:t xml:space="preserve"> </w:t>
                      </w:r>
                      <w:r>
                        <w:rPr>
                          <w:sz w:val="20"/>
                          <w:szCs w:val="20"/>
                        </w:rPr>
                        <w:t xml:space="preserve">recommendations </w:t>
                      </w:r>
                      <w:r w:rsidRPr="00BD201F">
                        <w:rPr>
                          <w:sz w:val="20"/>
                          <w:szCs w:val="20"/>
                        </w:rPr>
                        <w:t>are presented and described below in more detail.</w:t>
                      </w:r>
                    </w:p>
                  </w:txbxContent>
                </v:textbox>
                <w10:wrap anchorx="margin"/>
              </v:shape>
            </w:pict>
          </mc:Fallback>
        </mc:AlternateContent>
      </w:r>
    </w:p>
    <w:p w14:paraId="0C23B6DA" w14:textId="77777777" w:rsidR="000375A7" w:rsidRDefault="000375A7">
      <w:pPr>
        <w:rPr>
          <w:sz w:val="20"/>
          <w:szCs w:val="20"/>
        </w:rPr>
      </w:pPr>
    </w:p>
    <w:p w14:paraId="512A8703" w14:textId="77777777" w:rsidR="00BC1519" w:rsidRDefault="00BC1519">
      <w:pPr>
        <w:rPr>
          <w:sz w:val="20"/>
          <w:szCs w:val="20"/>
        </w:rPr>
      </w:pPr>
    </w:p>
    <w:p w14:paraId="678A524F" w14:textId="77777777" w:rsidR="00BC1519" w:rsidRDefault="00BC1519">
      <w:pPr>
        <w:rPr>
          <w:sz w:val="20"/>
          <w:szCs w:val="20"/>
        </w:rPr>
      </w:pPr>
    </w:p>
    <w:p w14:paraId="408480D5" w14:textId="77777777" w:rsidR="00BC1519" w:rsidRDefault="00BC1519">
      <w:pPr>
        <w:rPr>
          <w:sz w:val="20"/>
          <w:szCs w:val="20"/>
        </w:rPr>
      </w:pPr>
    </w:p>
    <w:p w14:paraId="364F46F1" w14:textId="77777777" w:rsidR="00BC1519" w:rsidRDefault="00BC151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417"/>
        <w:gridCol w:w="1701"/>
        <w:gridCol w:w="1559"/>
        <w:gridCol w:w="4450"/>
      </w:tblGrid>
      <w:tr w:rsidR="00AE0DF1" w:rsidRPr="004617E9" w14:paraId="17388C1B" w14:textId="77777777" w:rsidTr="00C83508">
        <w:tc>
          <w:tcPr>
            <w:tcW w:w="12950" w:type="dxa"/>
            <w:gridSpan w:val="5"/>
            <w:tcBorders>
              <w:bottom w:val="single" w:sz="4" w:space="0" w:color="auto"/>
            </w:tcBorders>
            <w:shd w:val="clear" w:color="auto" w:fill="E6E6E6"/>
          </w:tcPr>
          <w:p w14:paraId="06C38E58" w14:textId="47F3506F" w:rsidR="00AE0DF1" w:rsidRPr="00C32230" w:rsidRDefault="00AE0DF1" w:rsidP="00C32230">
            <w:pPr>
              <w:tabs>
                <w:tab w:val="left" w:pos="720"/>
              </w:tabs>
              <w:rPr>
                <w:sz w:val="20"/>
                <w:szCs w:val="20"/>
              </w:rPr>
            </w:pPr>
            <w:r w:rsidRPr="00C32230">
              <w:rPr>
                <w:b/>
                <w:sz w:val="20"/>
                <w:szCs w:val="20"/>
              </w:rPr>
              <w:t>Evaluation Recommendation 1:</w:t>
            </w:r>
            <w:r w:rsidRPr="00C32230">
              <w:rPr>
                <w:sz w:val="20"/>
                <w:szCs w:val="20"/>
              </w:rPr>
              <w:t xml:space="preserve"> </w:t>
            </w:r>
            <w:r w:rsidR="00D479FB" w:rsidRPr="00D479FB">
              <w:rPr>
                <w:sz w:val="20"/>
                <w:szCs w:val="20"/>
              </w:rPr>
              <w:t>Promotion of de-risking approach applied and replication in other countries</w:t>
            </w:r>
          </w:p>
        </w:tc>
      </w:tr>
      <w:tr w:rsidR="00D479FB" w:rsidRPr="004617E9" w14:paraId="01050B3F" w14:textId="77777777" w:rsidTr="00C83508">
        <w:tc>
          <w:tcPr>
            <w:tcW w:w="12950" w:type="dxa"/>
            <w:gridSpan w:val="5"/>
            <w:shd w:val="clear" w:color="auto" w:fill="F3F3F3"/>
          </w:tcPr>
          <w:p w14:paraId="1B540308" w14:textId="555BE591" w:rsidR="00D479FB" w:rsidRPr="004617E9" w:rsidRDefault="00D479FB" w:rsidP="008B0A41">
            <w:pPr>
              <w:rPr>
                <w:b/>
                <w:sz w:val="20"/>
                <w:szCs w:val="20"/>
              </w:rPr>
            </w:pPr>
            <w:r w:rsidRPr="004617E9">
              <w:rPr>
                <w:b/>
                <w:sz w:val="20"/>
                <w:szCs w:val="20"/>
              </w:rPr>
              <w:t>Management Response:</w:t>
            </w:r>
            <w:r>
              <w:rPr>
                <w:b/>
                <w:sz w:val="20"/>
                <w:szCs w:val="20"/>
              </w:rPr>
              <w:t xml:space="preserve"> </w:t>
            </w:r>
            <w:r w:rsidR="00122A9E" w:rsidRPr="00122A9E">
              <w:rPr>
                <w:sz w:val="20"/>
                <w:szCs w:val="20"/>
              </w:rPr>
              <w:t>Accepted</w:t>
            </w:r>
          </w:p>
        </w:tc>
      </w:tr>
      <w:tr w:rsidR="00091E92" w:rsidRPr="004617E9" w14:paraId="4DABE36F" w14:textId="77777777" w:rsidTr="00E25D66">
        <w:tc>
          <w:tcPr>
            <w:tcW w:w="3823" w:type="dxa"/>
            <w:vMerge w:val="restart"/>
            <w:shd w:val="clear" w:color="auto" w:fill="F3F3F3"/>
          </w:tcPr>
          <w:p w14:paraId="398D3259" w14:textId="77777777" w:rsidR="00091E92" w:rsidRPr="004617E9" w:rsidRDefault="00091E92">
            <w:pPr>
              <w:rPr>
                <w:b/>
                <w:sz w:val="20"/>
                <w:szCs w:val="20"/>
              </w:rPr>
            </w:pPr>
            <w:r w:rsidRPr="004617E9">
              <w:rPr>
                <w:b/>
                <w:sz w:val="20"/>
                <w:szCs w:val="20"/>
              </w:rPr>
              <w:t>Key Action(s)</w:t>
            </w:r>
          </w:p>
        </w:tc>
        <w:tc>
          <w:tcPr>
            <w:tcW w:w="1417" w:type="dxa"/>
            <w:vMerge w:val="restart"/>
            <w:shd w:val="clear" w:color="auto" w:fill="F3F3F3"/>
          </w:tcPr>
          <w:p w14:paraId="78D15E97" w14:textId="77777777" w:rsidR="00091E92" w:rsidRPr="004617E9" w:rsidRDefault="00091E92">
            <w:pPr>
              <w:rPr>
                <w:b/>
                <w:sz w:val="20"/>
                <w:szCs w:val="20"/>
              </w:rPr>
            </w:pPr>
            <w:r w:rsidRPr="004617E9">
              <w:rPr>
                <w:b/>
                <w:sz w:val="20"/>
                <w:szCs w:val="20"/>
              </w:rPr>
              <w:t>Time Frame</w:t>
            </w:r>
          </w:p>
        </w:tc>
        <w:tc>
          <w:tcPr>
            <w:tcW w:w="1701" w:type="dxa"/>
            <w:vMerge w:val="restart"/>
            <w:shd w:val="clear" w:color="auto" w:fill="F3F3F3"/>
          </w:tcPr>
          <w:p w14:paraId="1326BF7E" w14:textId="77777777" w:rsidR="00091E92" w:rsidRPr="004617E9" w:rsidRDefault="00091E92">
            <w:pPr>
              <w:rPr>
                <w:b/>
                <w:sz w:val="20"/>
                <w:szCs w:val="20"/>
              </w:rPr>
            </w:pPr>
            <w:r w:rsidRPr="004617E9">
              <w:rPr>
                <w:b/>
                <w:sz w:val="20"/>
                <w:szCs w:val="20"/>
              </w:rPr>
              <w:t>Responsible Unit(s)</w:t>
            </w:r>
          </w:p>
        </w:tc>
        <w:tc>
          <w:tcPr>
            <w:tcW w:w="6009" w:type="dxa"/>
            <w:gridSpan w:val="2"/>
            <w:shd w:val="clear" w:color="auto" w:fill="F3F3F3"/>
          </w:tcPr>
          <w:p w14:paraId="508D0955" w14:textId="77777777" w:rsidR="00091E92" w:rsidRPr="004617E9" w:rsidRDefault="00091E92" w:rsidP="004617E9">
            <w:pPr>
              <w:jc w:val="center"/>
              <w:rPr>
                <w:b/>
                <w:sz w:val="20"/>
                <w:szCs w:val="20"/>
              </w:rPr>
            </w:pPr>
            <w:r w:rsidRPr="004617E9">
              <w:rPr>
                <w:b/>
                <w:sz w:val="20"/>
                <w:szCs w:val="20"/>
              </w:rPr>
              <w:t>Tracking</w:t>
            </w:r>
            <w:r w:rsidR="00F52D34" w:rsidRPr="004617E9">
              <w:rPr>
                <w:b/>
                <w:sz w:val="20"/>
                <w:szCs w:val="20"/>
              </w:rPr>
              <w:t>*</w:t>
            </w:r>
          </w:p>
        </w:tc>
      </w:tr>
      <w:tr w:rsidR="00091E92" w:rsidRPr="004617E9" w14:paraId="30124D33" w14:textId="77777777" w:rsidTr="00E25D66">
        <w:tc>
          <w:tcPr>
            <w:tcW w:w="3823" w:type="dxa"/>
            <w:vMerge/>
            <w:shd w:val="clear" w:color="auto" w:fill="auto"/>
          </w:tcPr>
          <w:p w14:paraId="56410632" w14:textId="77777777" w:rsidR="00091E92" w:rsidRPr="004617E9" w:rsidRDefault="00091E92">
            <w:pPr>
              <w:rPr>
                <w:b/>
                <w:sz w:val="20"/>
                <w:szCs w:val="20"/>
              </w:rPr>
            </w:pPr>
          </w:p>
        </w:tc>
        <w:tc>
          <w:tcPr>
            <w:tcW w:w="1417" w:type="dxa"/>
            <w:vMerge/>
            <w:shd w:val="clear" w:color="auto" w:fill="auto"/>
          </w:tcPr>
          <w:p w14:paraId="17978315" w14:textId="77777777" w:rsidR="00091E92" w:rsidRPr="004617E9" w:rsidRDefault="00091E92">
            <w:pPr>
              <w:rPr>
                <w:b/>
                <w:sz w:val="20"/>
                <w:szCs w:val="20"/>
              </w:rPr>
            </w:pPr>
          </w:p>
        </w:tc>
        <w:tc>
          <w:tcPr>
            <w:tcW w:w="1701" w:type="dxa"/>
            <w:vMerge/>
            <w:shd w:val="clear" w:color="auto" w:fill="auto"/>
          </w:tcPr>
          <w:p w14:paraId="2A8C8B15" w14:textId="77777777" w:rsidR="00091E92" w:rsidRPr="004617E9" w:rsidRDefault="00091E92">
            <w:pPr>
              <w:rPr>
                <w:b/>
                <w:sz w:val="20"/>
                <w:szCs w:val="20"/>
              </w:rPr>
            </w:pPr>
          </w:p>
        </w:tc>
        <w:tc>
          <w:tcPr>
            <w:tcW w:w="1559" w:type="dxa"/>
            <w:shd w:val="clear" w:color="auto" w:fill="auto"/>
          </w:tcPr>
          <w:p w14:paraId="6CC05EEC" w14:textId="77777777" w:rsidR="00091E92" w:rsidRPr="004617E9" w:rsidRDefault="00091E92" w:rsidP="004617E9">
            <w:pPr>
              <w:jc w:val="center"/>
              <w:rPr>
                <w:b/>
                <w:sz w:val="20"/>
                <w:szCs w:val="20"/>
              </w:rPr>
            </w:pPr>
            <w:r w:rsidRPr="004617E9">
              <w:rPr>
                <w:b/>
                <w:sz w:val="20"/>
                <w:szCs w:val="20"/>
              </w:rPr>
              <w:t>Status</w:t>
            </w:r>
          </w:p>
        </w:tc>
        <w:tc>
          <w:tcPr>
            <w:tcW w:w="4450" w:type="dxa"/>
            <w:shd w:val="clear" w:color="auto" w:fill="auto"/>
          </w:tcPr>
          <w:p w14:paraId="2B0669B7" w14:textId="77777777" w:rsidR="00091E92" w:rsidRPr="004617E9" w:rsidRDefault="00091E92" w:rsidP="004617E9">
            <w:pPr>
              <w:jc w:val="center"/>
              <w:rPr>
                <w:b/>
                <w:sz w:val="20"/>
                <w:szCs w:val="20"/>
              </w:rPr>
            </w:pPr>
            <w:r w:rsidRPr="004617E9">
              <w:rPr>
                <w:b/>
                <w:sz w:val="20"/>
                <w:szCs w:val="20"/>
              </w:rPr>
              <w:t>Comments</w:t>
            </w:r>
          </w:p>
        </w:tc>
      </w:tr>
      <w:tr w:rsidR="00885EED" w:rsidRPr="004617E9" w14:paraId="2FD17824" w14:textId="77777777" w:rsidTr="00E25D66">
        <w:tc>
          <w:tcPr>
            <w:tcW w:w="3823" w:type="dxa"/>
            <w:shd w:val="clear" w:color="auto" w:fill="auto"/>
          </w:tcPr>
          <w:p w14:paraId="492172B0" w14:textId="0F2DFD95" w:rsidR="00885EED" w:rsidRPr="004617E9" w:rsidRDefault="00885EED" w:rsidP="00121560">
            <w:pPr>
              <w:tabs>
                <w:tab w:val="left" w:pos="720"/>
              </w:tabs>
              <w:rPr>
                <w:sz w:val="20"/>
                <w:szCs w:val="20"/>
              </w:rPr>
            </w:pPr>
            <w:r w:rsidRPr="004617E9">
              <w:rPr>
                <w:sz w:val="20"/>
                <w:szCs w:val="20"/>
              </w:rPr>
              <w:t>1.</w:t>
            </w:r>
            <w:r w:rsidR="00E14C7C">
              <w:rPr>
                <w:sz w:val="20"/>
                <w:szCs w:val="20"/>
              </w:rPr>
              <w:t>1</w:t>
            </w:r>
            <w:r w:rsidRPr="004617E9">
              <w:rPr>
                <w:sz w:val="20"/>
                <w:szCs w:val="20"/>
              </w:rPr>
              <w:t>.</w:t>
            </w:r>
            <w:r w:rsidR="008264D1" w:rsidRPr="008264D1">
              <w:rPr>
                <w:sz w:val="20"/>
                <w:szCs w:val="20"/>
              </w:rPr>
              <w:t xml:space="preserve"> </w:t>
            </w:r>
            <w:r w:rsidR="00122A9E">
              <w:rPr>
                <w:sz w:val="20"/>
                <w:szCs w:val="20"/>
              </w:rPr>
              <w:t>Inform other UNDP Belarus portfolio</w:t>
            </w:r>
            <w:r w:rsidR="00996419">
              <w:rPr>
                <w:sz w:val="20"/>
                <w:szCs w:val="20"/>
              </w:rPr>
              <w:t>s</w:t>
            </w:r>
            <w:r w:rsidR="00122A9E">
              <w:rPr>
                <w:sz w:val="20"/>
                <w:szCs w:val="20"/>
              </w:rPr>
              <w:t xml:space="preserve"> of the</w:t>
            </w:r>
            <w:r w:rsidR="00996419">
              <w:rPr>
                <w:sz w:val="20"/>
                <w:szCs w:val="20"/>
              </w:rPr>
              <w:t xml:space="preserve"> </w:t>
            </w:r>
            <w:r w:rsidR="00122A9E">
              <w:rPr>
                <w:sz w:val="20"/>
                <w:szCs w:val="20"/>
              </w:rPr>
              <w:t xml:space="preserve">de-risking approach used by the Wind project. </w:t>
            </w:r>
          </w:p>
        </w:tc>
        <w:tc>
          <w:tcPr>
            <w:tcW w:w="1417" w:type="dxa"/>
            <w:shd w:val="clear" w:color="auto" w:fill="auto"/>
          </w:tcPr>
          <w:p w14:paraId="2339B84F" w14:textId="5AFE66EA" w:rsidR="00885EED" w:rsidRPr="004617E9" w:rsidRDefault="00122A9E">
            <w:pPr>
              <w:rPr>
                <w:sz w:val="20"/>
                <w:szCs w:val="20"/>
              </w:rPr>
            </w:pPr>
            <w:r>
              <w:rPr>
                <w:sz w:val="20"/>
                <w:szCs w:val="20"/>
              </w:rPr>
              <w:t>Jun-Aug 2021</w:t>
            </w:r>
          </w:p>
        </w:tc>
        <w:tc>
          <w:tcPr>
            <w:tcW w:w="1701" w:type="dxa"/>
            <w:shd w:val="clear" w:color="auto" w:fill="auto"/>
          </w:tcPr>
          <w:p w14:paraId="78607787" w14:textId="4BD9C08B" w:rsidR="00885EED" w:rsidRPr="004617E9" w:rsidRDefault="00122A9E">
            <w:pPr>
              <w:rPr>
                <w:sz w:val="20"/>
                <w:szCs w:val="20"/>
              </w:rPr>
            </w:pPr>
            <w:r>
              <w:rPr>
                <w:sz w:val="20"/>
                <w:szCs w:val="20"/>
              </w:rPr>
              <w:t>UNDP</w:t>
            </w:r>
          </w:p>
        </w:tc>
        <w:tc>
          <w:tcPr>
            <w:tcW w:w="1559" w:type="dxa"/>
            <w:shd w:val="clear" w:color="auto" w:fill="auto"/>
          </w:tcPr>
          <w:p w14:paraId="27D6652A" w14:textId="191527DA" w:rsidR="00885EED" w:rsidRPr="00DF2AA9" w:rsidRDefault="00B2304E">
            <w:pPr>
              <w:rPr>
                <w:sz w:val="20"/>
                <w:szCs w:val="20"/>
              </w:rPr>
            </w:pPr>
            <w:r>
              <w:rPr>
                <w:sz w:val="20"/>
                <w:szCs w:val="20"/>
              </w:rPr>
              <w:t>Completed</w:t>
            </w:r>
          </w:p>
        </w:tc>
        <w:tc>
          <w:tcPr>
            <w:tcW w:w="4450" w:type="dxa"/>
            <w:shd w:val="clear" w:color="auto" w:fill="auto"/>
          </w:tcPr>
          <w:p w14:paraId="66F3BE1E" w14:textId="641B879A" w:rsidR="00C32230" w:rsidRPr="00DF2AA9" w:rsidRDefault="00996419" w:rsidP="00DF2AA9">
            <w:pPr>
              <w:rPr>
                <w:sz w:val="20"/>
                <w:szCs w:val="20"/>
              </w:rPr>
            </w:pPr>
            <w:r>
              <w:rPr>
                <w:sz w:val="20"/>
                <w:szCs w:val="20"/>
              </w:rPr>
              <w:t>O</w:t>
            </w:r>
            <w:r w:rsidR="002448FF">
              <w:rPr>
                <w:sz w:val="20"/>
                <w:szCs w:val="20"/>
              </w:rPr>
              <w:t>ther two portfolios were informed on the de-risking approach used by the Wind project during one of the CO management meetings</w:t>
            </w:r>
          </w:p>
        </w:tc>
      </w:tr>
      <w:tr w:rsidR="00DF2AA9" w:rsidRPr="004617E9" w14:paraId="38B5C5EF" w14:textId="77777777" w:rsidTr="00E25D66">
        <w:tc>
          <w:tcPr>
            <w:tcW w:w="3823" w:type="dxa"/>
            <w:shd w:val="clear" w:color="auto" w:fill="auto"/>
          </w:tcPr>
          <w:p w14:paraId="766F1C88" w14:textId="2A4AAA73" w:rsidR="00DF2AA9" w:rsidRPr="004617E9" w:rsidRDefault="00DF2AA9" w:rsidP="00121560">
            <w:pPr>
              <w:tabs>
                <w:tab w:val="left" w:pos="720"/>
              </w:tabs>
              <w:rPr>
                <w:sz w:val="20"/>
                <w:szCs w:val="20"/>
              </w:rPr>
            </w:pPr>
            <w:r>
              <w:rPr>
                <w:sz w:val="20"/>
                <w:szCs w:val="20"/>
              </w:rPr>
              <w:t xml:space="preserve">1.2. </w:t>
            </w:r>
            <w:r w:rsidR="00122A9E">
              <w:rPr>
                <w:sz w:val="20"/>
                <w:szCs w:val="20"/>
              </w:rPr>
              <w:t xml:space="preserve">Explore opportunities to distribute information on the de-risking work by UNDP Belarus to other countries in the region. </w:t>
            </w:r>
            <w:r>
              <w:rPr>
                <w:sz w:val="20"/>
                <w:szCs w:val="20"/>
              </w:rPr>
              <w:t xml:space="preserve"> </w:t>
            </w:r>
          </w:p>
        </w:tc>
        <w:tc>
          <w:tcPr>
            <w:tcW w:w="1417" w:type="dxa"/>
            <w:shd w:val="clear" w:color="auto" w:fill="auto"/>
          </w:tcPr>
          <w:p w14:paraId="1FA68538" w14:textId="71C3F264" w:rsidR="00DF2AA9" w:rsidRDefault="00B2133E">
            <w:pPr>
              <w:rPr>
                <w:sz w:val="20"/>
                <w:szCs w:val="20"/>
              </w:rPr>
            </w:pPr>
            <w:r>
              <w:rPr>
                <w:sz w:val="20"/>
                <w:szCs w:val="20"/>
              </w:rPr>
              <w:t xml:space="preserve">Jun </w:t>
            </w:r>
            <w:r w:rsidR="00180FCA">
              <w:rPr>
                <w:sz w:val="20"/>
                <w:szCs w:val="20"/>
              </w:rPr>
              <w:t>2021</w:t>
            </w:r>
            <w:r w:rsidR="0072289A">
              <w:rPr>
                <w:sz w:val="20"/>
                <w:szCs w:val="20"/>
              </w:rPr>
              <w:t>-</w:t>
            </w:r>
            <w:r>
              <w:rPr>
                <w:sz w:val="20"/>
                <w:szCs w:val="20"/>
              </w:rPr>
              <w:t xml:space="preserve">Dec </w:t>
            </w:r>
            <w:r w:rsidR="0072289A">
              <w:rPr>
                <w:sz w:val="20"/>
                <w:szCs w:val="20"/>
              </w:rPr>
              <w:t>2022</w:t>
            </w:r>
          </w:p>
        </w:tc>
        <w:tc>
          <w:tcPr>
            <w:tcW w:w="1701" w:type="dxa"/>
            <w:shd w:val="clear" w:color="auto" w:fill="auto"/>
          </w:tcPr>
          <w:p w14:paraId="525179E7" w14:textId="4BCB4D47" w:rsidR="00DF2AA9" w:rsidRDefault="00122A9E">
            <w:pPr>
              <w:rPr>
                <w:sz w:val="20"/>
                <w:szCs w:val="20"/>
              </w:rPr>
            </w:pPr>
            <w:r>
              <w:rPr>
                <w:sz w:val="20"/>
                <w:szCs w:val="20"/>
              </w:rPr>
              <w:t>UNDP CO, IRH</w:t>
            </w:r>
          </w:p>
        </w:tc>
        <w:tc>
          <w:tcPr>
            <w:tcW w:w="1559" w:type="dxa"/>
            <w:shd w:val="clear" w:color="auto" w:fill="auto"/>
          </w:tcPr>
          <w:p w14:paraId="1ABE747A" w14:textId="5D57216D" w:rsidR="00DF2AA9" w:rsidRDefault="00B2304E">
            <w:pPr>
              <w:rPr>
                <w:sz w:val="20"/>
                <w:szCs w:val="20"/>
              </w:rPr>
            </w:pPr>
            <w:r>
              <w:rPr>
                <w:sz w:val="20"/>
                <w:szCs w:val="20"/>
              </w:rPr>
              <w:t>Ongoing</w:t>
            </w:r>
          </w:p>
        </w:tc>
        <w:tc>
          <w:tcPr>
            <w:tcW w:w="4450" w:type="dxa"/>
            <w:shd w:val="clear" w:color="auto" w:fill="auto"/>
          </w:tcPr>
          <w:p w14:paraId="178732D5" w14:textId="5D2BB49C" w:rsidR="00DF2AA9" w:rsidRPr="00DF2AA9" w:rsidRDefault="006740BB" w:rsidP="00DF2AA9">
            <w:pPr>
              <w:rPr>
                <w:sz w:val="20"/>
                <w:szCs w:val="20"/>
              </w:rPr>
            </w:pPr>
            <w:r>
              <w:rPr>
                <w:sz w:val="20"/>
                <w:szCs w:val="20"/>
              </w:rPr>
              <w:t>South - South bilateral cooperation and a</w:t>
            </w:r>
            <w:r w:rsidR="00122A9E">
              <w:rPr>
                <w:sz w:val="20"/>
                <w:szCs w:val="20"/>
              </w:rPr>
              <w:t>ssistance of the UNDP IRH will be sought to share the de-risking related experience</w:t>
            </w:r>
            <w:r w:rsidR="00180FCA">
              <w:rPr>
                <w:sz w:val="20"/>
                <w:szCs w:val="20"/>
              </w:rPr>
              <w:t xml:space="preserve">. The de-risking approach can also be applied to other types of investments not only RE related ones. </w:t>
            </w:r>
          </w:p>
        </w:tc>
      </w:tr>
      <w:tr w:rsidR="00B77806" w:rsidRPr="004617E9" w14:paraId="653384BD" w14:textId="77777777" w:rsidTr="00C83508">
        <w:tc>
          <w:tcPr>
            <w:tcW w:w="12950" w:type="dxa"/>
            <w:gridSpan w:val="5"/>
            <w:tcBorders>
              <w:bottom w:val="single" w:sz="4" w:space="0" w:color="auto"/>
            </w:tcBorders>
            <w:shd w:val="clear" w:color="auto" w:fill="E6E6E6"/>
          </w:tcPr>
          <w:p w14:paraId="26A363AC" w14:textId="710EB6EF" w:rsidR="00B77806" w:rsidRPr="004617E9" w:rsidRDefault="00B77806" w:rsidP="000C5446">
            <w:pPr>
              <w:autoSpaceDE w:val="0"/>
              <w:autoSpaceDN w:val="0"/>
              <w:adjustRightInd w:val="0"/>
              <w:spacing w:before="100" w:beforeAutospacing="1" w:after="100" w:afterAutospacing="1"/>
              <w:rPr>
                <w:b/>
                <w:sz w:val="20"/>
                <w:szCs w:val="20"/>
              </w:rPr>
            </w:pPr>
            <w:r w:rsidRPr="004617E9">
              <w:rPr>
                <w:b/>
                <w:sz w:val="20"/>
                <w:szCs w:val="20"/>
              </w:rPr>
              <w:t>Evaluation Recommendation 2:</w:t>
            </w:r>
            <w:r>
              <w:rPr>
                <w:rFonts w:ascii="TTF9o00" w:hAnsi="TTF9o00" w:cs="TTF9o00"/>
                <w:sz w:val="22"/>
                <w:szCs w:val="22"/>
                <w:lang w:eastAsia="zh-CN"/>
              </w:rPr>
              <w:t xml:space="preserve"> </w:t>
            </w:r>
            <w:r w:rsidR="00D479FB" w:rsidRPr="00D479FB">
              <w:rPr>
                <w:sz w:val="20"/>
                <w:szCs w:val="20"/>
              </w:rPr>
              <w:t>Support Ministry of Energy in implementation of auctioning</w:t>
            </w:r>
          </w:p>
        </w:tc>
      </w:tr>
      <w:tr w:rsidR="008424A0" w:rsidRPr="004617E9" w14:paraId="7ED51931" w14:textId="77777777" w:rsidTr="00C83508">
        <w:tc>
          <w:tcPr>
            <w:tcW w:w="12950" w:type="dxa"/>
            <w:gridSpan w:val="5"/>
            <w:shd w:val="clear" w:color="auto" w:fill="F3F3F3"/>
          </w:tcPr>
          <w:p w14:paraId="3B99300C" w14:textId="40384FE5" w:rsidR="008424A0" w:rsidRPr="008424A0" w:rsidRDefault="008424A0" w:rsidP="00D22955">
            <w:pPr>
              <w:rPr>
                <w:sz w:val="20"/>
                <w:szCs w:val="20"/>
              </w:rPr>
            </w:pPr>
            <w:r w:rsidRPr="000C5446">
              <w:rPr>
                <w:b/>
                <w:sz w:val="20"/>
                <w:szCs w:val="20"/>
              </w:rPr>
              <w:t>Management Response</w:t>
            </w:r>
            <w:r w:rsidRPr="00FC738C">
              <w:rPr>
                <w:b/>
                <w:sz w:val="20"/>
                <w:szCs w:val="20"/>
              </w:rPr>
              <w:t>:</w:t>
            </w:r>
            <w:r w:rsidR="00D479FB" w:rsidRPr="00FC738C">
              <w:rPr>
                <w:sz w:val="20"/>
                <w:szCs w:val="20"/>
              </w:rPr>
              <w:t xml:space="preserve"> </w:t>
            </w:r>
            <w:r w:rsidR="00FC738C" w:rsidRPr="0072289A">
              <w:rPr>
                <w:sz w:val="20"/>
                <w:szCs w:val="20"/>
              </w:rPr>
              <w:t>Part</w:t>
            </w:r>
            <w:r w:rsidR="00996419">
              <w:rPr>
                <w:sz w:val="20"/>
                <w:szCs w:val="20"/>
              </w:rPr>
              <w:t>ial</w:t>
            </w:r>
            <w:r w:rsidR="00FC738C" w:rsidRPr="0072289A">
              <w:rPr>
                <w:sz w:val="20"/>
                <w:szCs w:val="20"/>
              </w:rPr>
              <w:t>ly accepted</w:t>
            </w:r>
            <w:r w:rsidR="0072289A">
              <w:rPr>
                <w:sz w:val="20"/>
                <w:szCs w:val="20"/>
              </w:rPr>
              <w:t>. Be</w:t>
            </w:r>
            <w:r w:rsidR="00996419">
              <w:rPr>
                <w:sz w:val="20"/>
                <w:szCs w:val="20"/>
              </w:rPr>
              <w:t>ing</w:t>
            </w:r>
            <w:r w:rsidR="0072289A">
              <w:rPr>
                <w:sz w:val="20"/>
                <w:szCs w:val="20"/>
              </w:rPr>
              <w:t xml:space="preserve"> a UN agency, UNDP can</w:t>
            </w:r>
            <w:r w:rsidR="00996419">
              <w:rPr>
                <w:sz w:val="20"/>
                <w:szCs w:val="20"/>
              </w:rPr>
              <w:t xml:space="preserve"> </w:t>
            </w:r>
            <w:r w:rsidR="0072289A">
              <w:rPr>
                <w:sz w:val="20"/>
                <w:szCs w:val="20"/>
              </w:rPr>
              <w:t xml:space="preserve">not support </w:t>
            </w:r>
            <w:r w:rsidR="00996419">
              <w:rPr>
                <w:sz w:val="20"/>
                <w:szCs w:val="20"/>
              </w:rPr>
              <w:t>the</w:t>
            </w:r>
            <w:r w:rsidR="0072289A">
              <w:rPr>
                <w:sz w:val="20"/>
                <w:szCs w:val="20"/>
              </w:rPr>
              <w:t xml:space="preserve"> </w:t>
            </w:r>
            <w:r w:rsidR="00996419">
              <w:rPr>
                <w:sz w:val="20"/>
                <w:szCs w:val="20"/>
              </w:rPr>
              <w:t>G</w:t>
            </w:r>
            <w:r w:rsidR="0072289A">
              <w:rPr>
                <w:sz w:val="20"/>
                <w:szCs w:val="20"/>
              </w:rPr>
              <w:t>overnment in auctioning. What can be done is assisting the country in further developing its legal and regulatory framework pertinent to RE projects preparation and auctioning.</w:t>
            </w:r>
          </w:p>
        </w:tc>
      </w:tr>
      <w:tr w:rsidR="00C96F2A" w:rsidRPr="004617E9" w14:paraId="252C0AF6" w14:textId="77777777" w:rsidTr="00E25D66">
        <w:tc>
          <w:tcPr>
            <w:tcW w:w="3823" w:type="dxa"/>
            <w:vMerge w:val="restart"/>
            <w:shd w:val="clear" w:color="auto" w:fill="F3F3F3"/>
          </w:tcPr>
          <w:p w14:paraId="50346F07" w14:textId="77777777" w:rsidR="00C96F2A" w:rsidRPr="004617E9" w:rsidRDefault="00C96F2A" w:rsidP="00D22955">
            <w:pPr>
              <w:rPr>
                <w:b/>
                <w:sz w:val="20"/>
                <w:szCs w:val="20"/>
              </w:rPr>
            </w:pPr>
            <w:r w:rsidRPr="004617E9">
              <w:rPr>
                <w:b/>
                <w:sz w:val="20"/>
                <w:szCs w:val="20"/>
              </w:rPr>
              <w:t>Key Action(s)</w:t>
            </w:r>
          </w:p>
        </w:tc>
        <w:tc>
          <w:tcPr>
            <w:tcW w:w="1417" w:type="dxa"/>
            <w:vMerge w:val="restart"/>
            <w:shd w:val="clear" w:color="auto" w:fill="F3F3F3"/>
          </w:tcPr>
          <w:p w14:paraId="06942DB2" w14:textId="77777777" w:rsidR="00C96F2A" w:rsidRPr="004617E9" w:rsidRDefault="00C96F2A" w:rsidP="00D22955">
            <w:pPr>
              <w:rPr>
                <w:b/>
                <w:sz w:val="20"/>
                <w:szCs w:val="20"/>
              </w:rPr>
            </w:pPr>
            <w:r w:rsidRPr="004617E9">
              <w:rPr>
                <w:b/>
                <w:sz w:val="20"/>
                <w:szCs w:val="20"/>
              </w:rPr>
              <w:t>Time Frame</w:t>
            </w:r>
          </w:p>
        </w:tc>
        <w:tc>
          <w:tcPr>
            <w:tcW w:w="1701" w:type="dxa"/>
            <w:vMerge w:val="restart"/>
            <w:shd w:val="clear" w:color="auto" w:fill="F3F3F3"/>
          </w:tcPr>
          <w:p w14:paraId="7DA9CA72" w14:textId="77777777" w:rsidR="00C96F2A" w:rsidRPr="004617E9" w:rsidRDefault="00C96F2A" w:rsidP="00D22955">
            <w:pPr>
              <w:rPr>
                <w:b/>
                <w:sz w:val="20"/>
                <w:szCs w:val="20"/>
              </w:rPr>
            </w:pPr>
            <w:r w:rsidRPr="004617E9">
              <w:rPr>
                <w:b/>
                <w:sz w:val="20"/>
                <w:szCs w:val="20"/>
              </w:rPr>
              <w:t>Responsible Unit(s)</w:t>
            </w:r>
          </w:p>
        </w:tc>
        <w:tc>
          <w:tcPr>
            <w:tcW w:w="6009" w:type="dxa"/>
            <w:gridSpan w:val="2"/>
            <w:shd w:val="clear" w:color="auto" w:fill="F3F3F3"/>
          </w:tcPr>
          <w:p w14:paraId="75C86DDF" w14:textId="77777777" w:rsidR="00C96F2A" w:rsidRPr="004617E9" w:rsidRDefault="00C96F2A" w:rsidP="004617E9">
            <w:pPr>
              <w:jc w:val="center"/>
              <w:rPr>
                <w:b/>
                <w:sz w:val="20"/>
                <w:szCs w:val="20"/>
              </w:rPr>
            </w:pPr>
            <w:r w:rsidRPr="004617E9">
              <w:rPr>
                <w:b/>
                <w:sz w:val="20"/>
                <w:szCs w:val="20"/>
              </w:rPr>
              <w:t>Tracking</w:t>
            </w:r>
          </w:p>
        </w:tc>
      </w:tr>
      <w:tr w:rsidR="00C96F2A" w:rsidRPr="004617E9" w14:paraId="248A2E9D" w14:textId="77777777" w:rsidTr="00E25D66">
        <w:tc>
          <w:tcPr>
            <w:tcW w:w="3823" w:type="dxa"/>
            <w:vMerge/>
            <w:shd w:val="clear" w:color="auto" w:fill="auto"/>
          </w:tcPr>
          <w:p w14:paraId="25AD3817" w14:textId="77777777" w:rsidR="00C96F2A" w:rsidRPr="004617E9" w:rsidRDefault="00C96F2A" w:rsidP="00D22955">
            <w:pPr>
              <w:rPr>
                <w:b/>
                <w:sz w:val="20"/>
                <w:szCs w:val="20"/>
              </w:rPr>
            </w:pPr>
          </w:p>
        </w:tc>
        <w:tc>
          <w:tcPr>
            <w:tcW w:w="1417" w:type="dxa"/>
            <w:vMerge/>
            <w:shd w:val="clear" w:color="auto" w:fill="auto"/>
          </w:tcPr>
          <w:p w14:paraId="014D9118" w14:textId="77777777" w:rsidR="00C96F2A" w:rsidRPr="004617E9" w:rsidRDefault="00C96F2A" w:rsidP="00D22955">
            <w:pPr>
              <w:rPr>
                <w:b/>
                <w:sz w:val="20"/>
                <w:szCs w:val="20"/>
              </w:rPr>
            </w:pPr>
          </w:p>
        </w:tc>
        <w:tc>
          <w:tcPr>
            <w:tcW w:w="1701" w:type="dxa"/>
            <w:vMerge/>
            <w:shd w:val="clear" w:color="auto" w:fill="auto"/>
          </w:tcPr>
          <w:p w14:paraId="17C3E4D1" w14:textId="77777777" w:rsidR="00C96F2A" w:rsidRPr="004617E9" w:rsidRDefault="00C96F2A" w:rsidP="00D22955">
            <w:pPr>
              <w:rPr>
                <w:b/>
                <w:sz w:val="20"/>
                <w:szCs w:val="20"/>
              </w:rPr>
            </w:pPr>
          </w:p>
        </w:tc>
        <w:tc>
          <w:tcPr>
            <w:tcW w:w="1559" w:type="dxa"/>
            <w:shd w:val="clear" w:color="auto" w:fill="auto"/>
          </w:tcPr>
          <w:p w14:paraId="512DE803" w14:textId="77777777" w:rsidR="00C96F2A" w:rsidRPr="004617E9" w:rsidRDefault="00C96F2A" w:rsidP="004617E9">
            <w:pPr>
              <w:jc w:val="center"/>
              <w:rPr>
                <w:b/>
                <w:sz w:val="20"/>
                <w:szCs w:val="20"/>
              </w:rPr>
            </w:pPr>
            <w:r w:rsidRPr="004617E9">
              <w:rPr>
                <w:b/>
                <w:sz w:val="20"/>
                <w:szCs w:val="20"/>
              </w:rPr>
              <w:t>Status</w:t>
            </w:r>
          </w:p>
        </w:tc>
        <w:tc>
          <w:tcPr>
            <w:tcW w:w="4450" w:type="dxa"/>
            <w:shd w:val="clear" w:color="auto" w:fill="auto"/>
          </w:tcPr>
          <w:p w14:paraId="692AA85F" w14:textId="77777777" w:rsidR="00C96F2A" w:rsidRPr="004617E9" w:rsidRDefault="00C96F2A" w:rsidP="004617E9">
            <w:pPr>
              <w:jc w:val="center"/>
              <w:rPr>
                <w:b/>
                <w:sz w:val="20"/>
                <w:szCs w:val="20"/>
              </w:rPr>
            </w:pPr>
            <w:r w:rsidRPr="004617E9">
              <w:rPr>
                <w:b/>
                <w:sz w:val="20"/>
                <w:szCs w:val="20"/>
              </w:rPr>
              <w:t>Comments</w:t>
            </w:r>
          </w:p>
        </w:tc>
      </w:tr>
      <w:tr w:rsidR="00793F1D" w:rsidRPr="004617E9" w14:paraId="4A780F97" w14:textId="77777777" w:rsidTr="00E25D66">
        <w:tc>
          <w:tcPr>
            <w:tcW w:w="3823" w:type="dxa"/>
            <w:shd w:val="clear" w:color="auto" w:fill="auto"/>
          </w:tcPr>
          <w:p w14:paraId="2D36A2A0" w14:textId="3822579E" w:rsidR="00793F1D" w:rsidRPr="004617E9" w:rsidRDefault="00793F1D" w:rsidP="006358BA">
            <w:pPr>
              <w:rPr>
                <w:sz w:val="20"/>
                <w:szCs w:val="20"/>
              </w:rPr>
            </w:pPr>
            <w:r>
              <w:rPr>
                <w:sz w:val="20"/>
                <w:szCs w:val="20"/>
              </w:rPr>
              <w:t>2.</w:t>
            </w:r>
            <w:r w:rsidR="00E14C7C">
              <w:rPr>
                <w:sz w:val="20"/>
                <w:szCs w:val="20"/>
              </w:rPr>
              <w:t>1.</w:t>
            </w:r>
            <w:r>
              <w:rPr>
                <w:sz w:val="20"/>
                <w:szCs w:val="20"/>
              </w:rPr>
              <w:t xml:space="preserve"> </w:t>
            </w:r>
            <w:r w:rsidR="005C14BF">
              <w:rPr>
                <w:sz w:val="20"/>
                <w:szCs w:val="20"/>
              </w:rPr>
              <w:t xml:space="preserve">Explore options to assist the country in further development the country’s legal and regulatory framework related to preparation and auctioning renewable energy pre-investment assets.  </w:t>
            </w:r>
          </w:p>
        </w:tc>
        <w:tc>
          <w:tcPr>
            <w:tcW w:w="1417" w:type="dxa"/>
            <w:shd w:val="clear" w:color="auto" w:fill="auto"/>
          </w:tcPr>
          <w:p w14:paraId="2409AAF8" w14:textId="757E1B3A" w:rsidR="00793F1D" w:rsidRDefault="00B2133E" w:rsidP="00D22955">
            <w:pPr>
              <w:rPr>
                <w:sz w:val="20"/>
                <w:szCs w:val="20"/>
              </w:rPr>
            </w:pPr>
            <w:r>
              <w:rPr>
                <w:sz w:val="20"/>
                <w:szCs w:val="20"/>
              </w:rPr>
              <w:t xml:space="preserve">Jun </w:t>
            </w:r>
            <w:r w:rsidR="00501F63">
              <w:rPr>
                <w:sz w:val="20"/>
                <w:szCs w:val="20"/>
              </w:rPr>
              <w:t>2021</w:t>
            </w:r>
            <w:r w:rsidR="0072289A">
              <w:rPr>
                <w:sz w:val="20"/>
                <w:szCs w:val="20"/>
              </w:rPr>
              <w:t xml:space="preserve">- </w:t>
            </w:r>
            <w:r>
              <w:rPr>
                <w:sz w:val="20"/>
                <w:szCs w:val="20"/>
              </w:rPr>
              <w:t xml:space="preserve">Dec </w:t>
            </w:r>
            <w:r w:rsidR="0072289A">
              <w:rPr>
                <w:sz w:val="20"/>
                <w:szCs w:val="20"/>
              </w:rPr>
              <w:t>2022</w:t>
            </w:r>
          </w:p>
        </w:tc>
        <w:tc>
          <w:tcPr>
            <w:tcW w:w="1701" w:type="dxa"/>
            <w:shd w:val="clear" w:color="auto" w:fill="auto"/>
          </w:tcPr>
          <w:p w14:paraId="21F0B394" w14:textId="782941E5" w:rsidR="00793F1D" w:rsidRDefault="00501F63" w:rsidP="00D22955">
            <w:pPr>
              <w:rPr>
                <w:sz w:val="20"/>
                <w:szCs w:val="20"/>
              </w:rPr>
            </w:pPr>
            <w:r>
              <w:rPr>
                <w:sz w:val="20"/>
                <w:szCs w:val="20"/>
              </w:rPr>
              <w:t>UNDP, MoEnv, MoEnergy, MoEconomy</w:t>
            </w:r>
          </w:p>
        </w:tc>
        <w:tc>
          <w:tcPr>
            <w:tcW w:w="1559" w:type="dxa"/>
            <w:shd w:val="clear" w:color="auto" w:fill="auto"/>
          </w:tcPr>
          <w:p w14:paraId="2A25F32F" w14:textId="3C5D2B69" w:rsidR="00793F1D" w:rsidRDefault="00793F1D" w:rsidP="00D22955">
            <w:pPr>
              <w:rPr>
                <w:sz w:val="20"/>
                <w:szCs w:val="20"/>
              </w:rPr>
            </w:pPr>
            <w:r>
              <w:rPr>
                <w:sz w:val="20"/>
                <w:szCs w:val="20"/>
              </w:rPr>
              <w:t>Ongoing</w:t>
            </w:r>
          </w:p>
        </w:tc>
        <w:tc>
          <w:tcPr>
            <w:tcW w:w="4450" w:type="dxa"/>
            <w:shd w:val="clear" w:color="auto" w:fill="auto"/>
          </w:tcPr>
          <w:p w14:paraId="0CEF1151" w14:textId="07EEF4A6" w:rsidR="00793F1D" w:rsidRDefault="00501F63" w:rsidP="00501F63">
            <w:pPr>
              <w:rPr>
                <w:sz w:val="20"/>
                <w:szCs w:val="20"/>
              </w:rPr>
            </w:pPr>
            <w:r>
              <w:rPr>
                <w:sz w:val="20"/>
                <w:szCs w:val="20"/>
              </w:rPr>
              <w:t xml:space="preserve">UNDP </w:t>
            </w:r>
            <w:r w:rsidR="006740BB">
              <w:rPr>
                <w:sz w:val="20"/>
                <w:szCs w:val="20"/>
              </w:rPr>
              <w:t>will</w:t>
            </w:r>
            <w:r>
              <w:rPr>
                <w:sz w:val="20"/>
                <w:szCs w:val="20"/>
              </w:rPr>
              <w:t xml:space="preserve"> assist the country in further developing a national legal and regulatory framework for RE projects preparation and auctioning to find reliable investors based on the international best practice.  </w:t>
            </w:r>
          </w:p>
        </w:tc>
      </w:tr>
      <w:tr w:rsidR="008530CD" w:rsidRPr="004617E9" w14:paraId="44045722" w14:textId="77777777" w:rsidTr="00C83508">
        <w:tc>
          <w:tcPr>
            <w:tcW w:w="12950" w:type="dxa"/>
            <w:gridSpan w:val="5"/>
            <w:tcBorders>
              <w:bottom w:val="single" w:sz="4" w:space="0" w:color="auto"/>
            </w:tcBorders>
            <w:shd w:val="clear" w:color="auto" w:fill="E6E6E6"/>
          </w:tcPr>
          <w:p w14:paraId="32A0204F" w14:textId="6AF84220" w:rsidR="008530CD" w:rsidRPr="004617E9" w:rsidRDefault="008530CD" w:rsidP="00EE6BBB">
            <w:pPr>
              <w:autoSpaceDE w:val="0"/>
              <w:autoSpaceDN w:val="0"/>
              <w:adjustRightInd w:val="0"/>
              <w:rPr>
                <w:b/>
                <w:sz w:val="20"/>
                <w:szCs w:val="20"/>
              </w:rPr>
            </w:pPr>
            <w:r w:rsidRPr="004617E9">
              <w:rPr>
                <w:b/>
                <w:sz w:val="20"/>
                <w:szCs w:val="20"/>
              </w:rPr>
              <w:t>Evaluation Recommendation 3:</w:t>
            </w:r>
            <w:r>
              <w:rPr>
                <w:rFonts w:ascii="TTF9o00" w:hAnsi="TTF9o00" w:cs="TTF9o00"/>
                <w:sz w:val="22"/>
                <w:szCs w:val="22"/>
                <w:lang w:eastAsia="zh-CN"/>
              </w:rPr>
              <w:t xml:space="preserve"> </w:t>
            </w:r>
            <w:r w:rsidR="00D479FB" w:rsidRPr="00D479FB">
              <w:rPr>
                <w:sz w:val="20"/>
                <w:szCs w:val="20"/>
              </w:rPr>
              <w:t>Further development of methodology for the daily projection of wind energy generation</w:t>
            </w:r>
          </w:p>
        </w:tc>
      </w:tr>
      <w:tr w:rsidR="00EE6BBB" w:rsidRPr="004617E9" w14:paraId="73CF6397" w14:textId="77777777" w:rsidTr="00C83508">
        <w:tc>
          <w:tcPr>
            <w:tcW w:w="12950" w:type="dxa"/>
            <w:gridSpan w:val="5"/>
            <w:shd w:val="clear" w:color="auto" w:fill="F3F3F3"/>
          </w:tcPr>
          <w:p w14:paraId="19B9466C" w14:textId="04204E1A" w:rsidR="00EE6BBB" w:rsidRPr="004617E9" w:rsidRDefault="00EE6BBB" w:rsidP="00D22955">
            <w:pPr>
              <w:rPr>
                <w:b/>
                <w:sz w:val="20"/>
                <w:szCs w:val="20"/>
              </w:rPr>
            </w:pPr>
            <w:r w:rsidRPr="004617E9">
              <w:rPr>
                <w:b/>
                <w:sz w:val="20"/>
                <w:szCs w:val="20"/>
              </w:rPr>
              <w:t>Management Response:</w:t>
            </w:r>
            <w:r>
              <w:rPr>
                <w:b/>
                <w:sz w:val="20"/>
                <w:szCs w:val="20"/>
              </w:rPr>
              <w:t xml:space="preserve"> </w:t>
            </w:r>
            <w:r w:rsidR="0072289A" w:rsidRPr="00996419">
              <w:rPr>
                <w:bCs/>
                <w:sz w:val="20"/>
                <w:szCs w:val="20"/>
              </w:rPr>
              <w:t>A</w:t>
            </w:r>
            <w:r w:rsidR="00F64F7A" w:rsidRPr="00F64F7A">
              <w:rPr>
                <w:sz w:val="20"/>
                <w:szCs w:val="20"/>
              </w:rPr>
              <w:t>ccepted</w:t>
            </w:r>
            <w:r w:rsidR="00D479FB" w:rsidRPr="00F64F7A">
              <w:rPr>
                <w:sz w:val="20"/>
                <w:szCs w:val="20"/>
              </w:rPr>
              <w:t xml:space="preserve"> </w:t>
            </w:r>
          </w:p>
        </w:tc>
      </w:tr>
      <w:tr w:rsidR="005B3DB4" w:rsidRPr="004617E9" w14:paraId="1ECC3C38" w14:textId="77777777" w:rsidTr="00E25D66">
        <w:tc>
          <w:tcPr>
            <w:tcW w:w="3823" w:type="dxa"/>
            <w:vMerge w:val="restart"/>
            <w:shd w:val="clear" w:color="auto" w:fill="F3F3F3"/>
          </w:tcPr>
          <w:p w14:paraId="762C8732" w14:textId="77777777" w:rsidR="005B3DB4" w:rsidRPr="004617E9" w:rsidRDefault="005B3DB4" w:rsidP="00D22955">
            <w:pPr>
              <w:rPr>
                <w:b/>
                <w:sz w:val="20"/>
                <w:szCs w:val="20"/>
              </w:rPr>
            </w:pPr>
            <w:r w:rsidRPr="004617E9">
              <w:rPr>
                <w:b/>
                <w:sz w:val="20"/>
                <w:szCs w:val="20"/>
              </w:rPr>
              <w:t>Key Action(s)</w:t>
            </w:r>
          </w:p>
        </w:tc>
        <w:tc>
          <w:tcPr>
            <w:tcW w:w="1417" w:type="dxa"/>
            <w:vMerge w:val="restart"/>
            <w:shd w:val="clear" w:color="auto" w:fill="F3F3F3"/>
          </w:tcPr>
          <w:p w14:paraId="254B865F" w14:textId="77777777" w:rsidR="005B3DB4" w:rsidRPr="004617E9" w:rsidRDefault="005B3DB4" w:rsidP="00D22955">
            <w:pPr>
              <w:rPr>
                <w:b/>
                <w:sz w:val="20"/>
                <w:szCs w:val="20"/>
              </w:rPr>
            </w:pPr>
            <w:r w:rsidRPr="004617E9">
              <w:rPr>
                <w:b/>
                <w:sz w:val="20"/>
                <w:szCs w:val="20"/>
              </w:rPr>
              <w:t>Time Frame</w:t>
            </w:r>
          </w:p>
        </w:tc>
        <w:tc>
          <w:tcPr>
            <w:tcW w:w="1701" w:type="dxa"/>
            <w:vMerge w:val="restart"/>
            <w:shd w:val="clear" w:color="auto" w:fill="F3F3F3"/>
          </w:tcPr>
          <w:p w14:paraId="5D6EB211" w14:textId="77777777" w:rsidR="005B3DB4" w:rsidRPr="004617E9" w:rsidRDefault="005B3DB4" w:rsidP="00D22955">
            <w:pPr>
              <w:rPr>
                <w:b/>
                <w:sz w:val="20"/>
                <w:szCs w:val="20"/>
              </w:rPr>
            </w:pPr>
            <w:r w:rsidRPr="004617E9">
              <w:rPr>
                <w:b/>
                <w:sz w:val="20"/>
                <w:szCs w:val="20"/>
              </w:rPr>
              <w:t>Responsible Unit(s)</w:t>
            </w:r>
          </w:p>
        </w:tc>
        <w:tc>
          <w:tcPr>
            <w:tcW w:w="6009" w:type="dxa"/>
            <w:gridSpan w:val="2"/>
            <w:shd w:val="clear" w:color="auto" w:fill="F3F3F3"/>
          </w:tcPr>
          <w:p w14:paraId="7AB221EB" w14:textId="77777777" w:rsidR="005B3DB4" w:rsidRPr="004617E9" w:rsidRDefault="005B3DB4" w:rsidP="004617E9">
            <w:pPr>
              <w:jc w:val="center"/>
              <w:rPr>
                <w:b/>
                <w:sz w:val="20"/>
                <w:szCs w:val="20"/>
              </w:rPr>
            </w:pPr>
            <w:r w:rsidRPr="004617E9">
              <w:rPr>
                <w:b/>
                <w:sz w:val="20"/>
                <w:szCs w:val="20"/>
              </w:rPr>
              <w:t>Tracking</w:t>
            </w:r>
          </w:p>
        </w:tc>
      </w:tr>
      <w:tr w:rsidR="005B3DB4" w:rsidRPr="004617E9" w14:paraId="5F8B2D00" w14:textId="77777777" w:rsidTr="00E25D66">
        <w:tc>
          <w:tcPr>
            <w:tcW w:w="3823" w:type="dxa"/>
            <w:vMerge/>
            <w:shd w:val="clear" w:color="auto" w:fill="auto"/>
          </w:tcPr>
          <w:p w14:paraId="1C2EEFF6" w14:textId="77777777" w:rsidR="005B3DB4" w:rsidRPr="004617E9" w:rsidRDefault="005B3DB4" w:rsidP="00D22955">
            <w:pPr>
              <w:rPr>
                <w:b/>
                <w:sz w:val="20"/>
                <w:szCs w:val="20"/>
              </w:rPr>
            </w:pPr>
          </w:p>
        </w:tc>
        <w:tc>
          <w:tcPr>
            <w:tcW w:w="1417" w:type="dxa"/>
            <w:vMerge/>
            <w:shd w:val="clear" w:color="auto" w:fill="auto"/>
          </w:tcPr>
          <w:p w14:paraId="4FB86C02" w14:textId="77777777" w:rsidR="005B3DB4" w:rsidRPr="004617E9" w:rsidRDefault="005B3DB4" w:rsidP="00D22955">
            <w:pPr>
              <w:rPr>
                <w:b/>
                <w:sz w:val="20"/>
                <w:szCs w:val="20"/>
              </w:rPr>
            </w:pPr>
          </w:p>
        </w:tc>
        <w:tc>
          <w:tcPr>
            <w:tcW w:w="1701" w:type="dxa"/>
            <w:vMerge/>
            <w:shd w:val="clear" w:color="auto" w:fill="auto"/>
          </w:tcPr>
          <w:p w14:paraId="7114790B" w14:textId="77777777" w:rsidR="005B3DB4" w:rsidRPr="004617E9" w:rsidRDefault="005B3DB4" w:rsidP="00D22955">
            <w:pPr>
              <w:rPr>
                <w:b/>
                <w:sz w:val="20"/>
                <w:szCs w:val="20"/>
              </w:rPr>
            </w:pPr>
          </w:p>
        </w:tc>
        <w:tc>
          <w:tcPr>
            <w:tcW w:w="1559" w:type="dxa"/>
            <w:shd w:val="clear" w:color="auto" w:fill="auto"/>
          </w:tcPr>
          <w:p w14:paraId="39747F8D" w14:textId="77777777" w:rsidR="005B3DB4" w:rsidRPr="004617E9" w:rsidRDefault="005B3DB4" w:rsidP="004617E9">
            <w:pPr>
              <w:jc w:val="center"/>
              <w:rPr>
                <w:b/>
                <w:sz w:val="20"/>
                <w:szCs w:val="20"/>
              </w:rPr>
            </w:pPr>
            <w:r w:rsidRPr="004617E9">
              <w:rPr>
                <w:b/>
                <w:sz w:val="20"/>
                <w:szCs w:val="20"/>
              </w:rPr>
              <w:t>Status</w:t>
            </w:r>
          </w:p>
        </w:tc>
        <w:tc>
          <w:tcPr>
            <w:tcW w:w="4450" w:type="dxa"/>
            <w:shd w:val="clear" w:color="auto" w:fill="auto"/>
          </w:tcPr>
          <w:p w14:paraId="454E1512" w14:textId="77777777" w:rsidR="005B3DB4" w:rsidRPr="004617E9" w:rsidRDefault="005B3DB4" w:rsidP="004617E9">
            <w:pPr>
              <w:jc w:val="center"/>
              <w:rPr>
                <w:b/>
                <w:sz w:val="20"/>
                <w:szCs w:val="20"/>
              </w:rPr>
            </w:pPr>
            <w:r w:rsidRPr="004617E9">
              <w:rPr>
                <w:b/>
                <w:sz w:val="20"/>
                <w:szCs w:val="20"/>
              </w:rPr>
              <w:t>Comments</w:t>
            </w:r>
          </w:p>
        </w:tc>
      </w:tr>
      <w:tr w:rsidR="005B3DB4" w:rsidRPr="004617E9" w14:paraId="6D0B1354" w14:textId="77777777" w:rsidTr="00E25D66">
        <w:tc>
          <w:tcPr>
            <w:tcW w:w="3823" w:type="dxa"/>
            <w:shd w:val="clear" w:color="auto" w:fill="auto"/>
          </w:tcPr>
          <w:p w14:paraId="51CE557B" w14:textId="1A555EDF" w:rsidR="005B3DB4" w:rsidRPr="004617E9" w:rsidRDefault="0071787E" w:rsidP="00C35200">
            <w:pPr>
              <w:rPr>
                <w:sz w:val="20"/>
                <w:szCs w:val="20"/>
              </w:rPr>
            </w:pPr>
            <w:r w:rsidRPr="004617E9">
              <w:rPr>
                <w:sz w:val="20"/>
                <w:szCs w:val="20"/>
              </w:rPr>
              <w:t>3.1</w:t>
            </w:r>
            <w:r w:rsidR="004C1401">
              <w:rPr>
                <w:sz w:val="20"/>
                <w:szCs w:val="20"/>
              </w:rPr>
              <w:t xml:space="preserve">. </w:t>
            </w:r>
            <w:r w:rsidR="00F64F7A">
              <w:rPr>
                <w:sz w:val="20"/>
                <w:szCs w:val="20"/>
              </w:rPr>
              <w:t>To explore options of including the development of methodology for the daily projection of wind energy generation into one of the future renewable energy projects</w:t>
            </w:r>
            <w:r w:rsidR="004C1401">
              <w:rPr>
                <w:sz w:val="20"/>
                <w:szCs w:val="20"/>
              </w:rPr>
              <w:t>.</w:t>
            </w:r>
          </w:p>
        </w:tc>
        <w:tc>
          <w:tcPr>
            <w:tcW w:w="1417" w:type="dxa"/>
            <w:shd w:val="clear" w:color="auto" w:fill="auto"/>
          </w:tcPr>
          <w:p w14:paraId="73B22D0B" w14:textId="4DA2AC53" w:rsidR="005B3DB4" w:rsidRPr="004617E9" w:rsidRDefault="00F64F7A" w:rsidP="00D22955">
            <w:pPr>
              <w:rPr>
                <w:sz w:val="20"/>
                <w:szCs w:val="20"/>
              </w:rPr>
            </w:pPr>
            <w:r>
              <w:rPr>
                <w:sz w:val="20"/>
                <w:szCs w:val="20"/>
              </w:rPr>
              <w:t xml:space="preserve">Jul 2021 </w:t>
            </w:r>
            <w:r w:rsidR="00B2133E">
              <w:rPr>
                <w:sz w:val="20"/>
                <w:szCs w:val="20"/>
              </w:rPr>
              <w:t>–</w:t>
            </w:r>
            <w:r w:rsidR="0072289A">
              <w:rPr>
                <w:sz w:val="20"/>
                <w:szCs w:val="20"/>
              </w:rPr>
              <w:t xml:space="preserve"> </w:t>
            </w:r>
            <w:r w:rsidR="00B2133E">
              <w:rPr>
                <w:sz w:val="20"/>
                <w:szCs w:val="20"/>
              </w:rPr>
              <w:t xml:space="preserve">Dec </w:t>
            </w:r>
            <w:r w:rsidR="0072289A">
              <w:rPr>
                <w:sz w:val="20"/>
                <w:szCs w:val="20"/>
              </w:rPr>
              <w:t>2022</w:t>
            </w:r>
            <w:r>
              <w:rPr>
                <w:sz w:val="20"/>
                <w:szCs w:val="20"/>
              </w:rPr>
              <w:t xml:space="preserve"> </w:t>
            </w:r>
          </w:p>
        </w:tc>
        <w:tc>
          <w:tcPr>
            <w:tcW w:w="1701" w:type="dxa"/>
            <w:shd w:val="clear" w:color="auto" w:fill="auto"/>
          </w:tcPr>
          <w:p w14:paraId="1576E547" w14:textId="1140F342" w:rsidR="005B3DB4" w:rsidRPr="004617E9" w:rsidRDefault="00F64F7A" w:rsidP="00D22955">
            <w:pPr>
              <w:rPr>
                <w:sz w:val="20"/>
                <w:szCs w:val="20"/>
              </w:rPr>
            </w:pPr>
            <w:r>
              <w:rPr>
                <w:sz w:val="20"/>
                <w:szCs w:val="20"/>
              </w:rPr>
              <w:t>UNDP, MoEnv, Ministry of Energy, Belhydromet</w:t>
            </w:r>
          </w:p>
        </w:tc>
        <w:tc>
          <w:tcPr>
            <w:tcW w:w="1559" w:type="dxa"/>
            <w:shd w:val="clear" w:color="auto" w:fill="auto"/>
          </w:tcPr>
          <w:p w14:paraId="0D468606" w14:textId="5EB40CD5" w:rsidR="005B3DB4" w:rsidRPr="004617E9" w:rsidRDefault="00F41DA1" w:rsidP="00D22955">
            <w:pPr>
              <w:rPr>
                <w:sz w:val="20"/>
                <w:szCs w:val="20"/>
              </w:rPr>
            </w:pPr>
            <w:r>
              <w:rPr>
                <w:sz w:val="20"/>
                <w:szCs w:val="20"/>
              </w:rPr>
              <w:t xml:space="preserve"> </w:t>
            </w:r>
            <w:r w:rsidR="00E25D66">
              <w:rPr>
                <w:sz w:val="20"/>
                <w:szCs w:val="20"/>
              </w:rPr>
              <w:t>Ongoing</w:t>
            </w:r>
          </w:p>
        </w:tc>
        <w:tc>
          <w:tcPr>
            <w:tcW w:w="4450" w:type="dxa"/>
            <w:shd w:val="clear" w:color="auto" w:fill="auto"/>
          </w:tcPr>
          <w:p w14:paraId="6590549E" w14:textId="47ED0D79" w:rsidR="005B3DB4" w:rsidRPr="00E25D66" w:rsidRDefault="00F64F7A" w:rsidP="00F64F7A">
            <w:pPr>
              <w:rPr>
                <w:sz w:val="20"/>
                <w:szCs w:val="20"/>
              </w:rPr>
            </w:pPr>
            <w:r>
              <w:rPr>
                <w:sz w:val="20"/>
                <w:szCs w:val="20"/>
              </w:rPr>
              <w:t xml:space="preserve">UNDP provided support to the country in developing its capacity in development of a methodology for daily </w:t>
            </w:r>
            <w:r w:rsidRPr="00D479FB">
              <w:rPr>
                <w:sz w:val="20"/>
                <w:szCs w:val="20"/>
              </w:rPr>
              <w:t>projection of wind energy generation</w:t>
            </w:r>
            <w:r>
              <w:rPr>
                <w:sz w:val="20"/>
                <w:szCs w:val="20"/>
              </w:rPr>
              <w:t xml:space="preserve"> in the country. UNDP </w:t>
            </w:r>
            <w:r w:rsidR="006740BB">
              <w:rPr>
                <w:sz w:val="20"/>
                <w:szCs w:val="20"/>
              </w:rPr>
              <w:t>will</w:t>
            </w:r>
            <w:r>
              <w:rPr>
                <w:sz w:val="20"/>
                <w:szCs w:val="20"/>
              </w:rPr>
              <w:t xml:space="preserve"> explore options of including such an activity into future renewable energy projects following consultations with the key national partners and potential donors. </w:t>
            </w:r>
          </w:p>
        </w:tc>
      </w:tr>
      <w:tr w:rsidR="008530CD" w:rsidRPr="00F46D8E" w14:paraId="2AAE890B" w14:textId="77777777" w:rsidTr="00C83508">
        <w:tc>
          <w:tcPr>
            <w:tcW w:w="129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8508C7" w14:textId="7E1F2D30" w:rsidR="008530CD" w:rsidRPr="00FC5537" w:rsidRDefault="008530CD" w:rsidP="00131C23">
            <w:pPr>
              <w:rPr>
                <w:sz w:val="20"/>
                <w:szCs w:val="20"/>
              </w:rPr>
            </w:pPr>
            <w:r w:rsidRPr="00FC5537">
              <w:rPr>
                <w:b/>
                <w:sz w:val="20"/>
                <w:szCs w:val="20"/>
              </w:rPr>
              <w:t>Evaluation Recommendation 4:</w:t>
            </w:r>
            <w:r w:rsidR="00131C23" w:rsidRPr="00FC5537">
              <w:rPr>
                <w:sz w:val="20"/>
                <w:szCs w:val="20"/>
              </w:rPr>
              <w:t xml:space="preserve"> </w:t>
            </w:r>
            <w:r w:rsidR="00D479FB" w:rsidRPr="00D479FB">
              <w:rPr>
                <w:sz w:val="20"/>
                <w:szCs w:val="20"/>
              </w:rPr>
              <w:t>Further support of work of WPFI</w:t>
            </w:r>
          </w:p>
        </w:tc>
      </w:tr>
      <w:tr w:rsidR="008530CD" w:rsidRPr="0072289A" w14:paraId="14E608B6" w14:textId="77777777" w:rsidTr="00C83508">
        <w:tc>
          <w:tcPr>
            <w:tcW w:w="129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16255" w14:textId="339C7FAB" w:rsidR="008530CD" w:rsidRPr="0072289A" w:rsidRDefault="008530CD" w:rsidP="00C83508">
            <w:pPr>
              <w:rPr>
                <w:b/>
                <w:sz w:val="20"/>
                <w:szCs w:val="20"/>
              </w:rPr>
            </w:pPr>
            <w:r w:rsidRPr="00F46D8E">
              <w:rPr>
                <w:b/>
                <w:sz w:val="20"/>
                <w:szCs w:val="20"/>
              </w:rPr>
              <w:t>Management Response</w:t>
            </w:r>
            <w:r w:rsidRPr="00996419">
              <w:rPr>
                <w:b/>
                <w:sz w:val="20"/>
                <w:szCs w:val="20"/>
              </w:rPr>
              <w:t>:</w:t>
            </w:r>
            <w:r w:rsidR="00AF304F" w:rsidRPr="00996419">
              <w:rPr>
                <w:b/>
                <w:sz w:val="20"/>
                <w:szCs w:val="20"/>
              </w:rPr>
              <w:t xml:space="preserve"> </w:t>
            </w:r>
            <w:r w:rsidR="00D479FB" w:rsidRPr="00996419">
              <w:rPr>
                <w:sz w:val="20"/>
                <w:szCs w:val="20"/>
              </w:rPr>
              <w:t xml:space="preserve"> </w:t>
            </w:r>
            <w:r w:rsidR="007D2EAA" w:rsidRPr="00996419">
              <w:rPr>
                <w:sz w:val="20"/>
                <w:szCs w:val="20"/>
              </w:rPr>
              <w:t>P</w:t>
            </w:r>
            <w:r w:rsidR="007D2EAA">
              <w:rPr>
                <w:sz w:val="20"/>
                <w:szCs w:val="20"/>
              </w:rPr>
              <w:t>artially accepted</w:t>
            </w:r>
            <w:r w:rsidR="0072289A">
              <w:rPr>
                <w:sz w:val="20"/>
                <w:szCs w:val="20"/>
              </w:rPr>
              <w:t xml:space="preserve">. </w:t>
            </w:r>
            <w:r w:rsidR="0072289A" w:rsidRPr="0072289A">
              <w:rPr>
                <w:sz w:val="20"/>
                <w:szCs w:val="20"/>
              </w:rPr>
              <w:t xml:space="preserve">WPFI is </w:t>
            </w:r>
            <w:r w:rsidR="00996419">
              <w:rPr>
                <w:sz w:val="20"/>
                <w:szCs w:val="20"/>
              </w:rPr>
              <w:t xml:space="preserve">a </w:t>
            </w:r>
            <w:r w:rsidR="0072289A" w:rsidRPr="0072289A">
              <w:rPr>
                <w:sz w:val="20"/>
                <w:szCs w:val="20"/>
              </w:rPr>
              <w:t>commercial entity crea</w:t>
            </w:r>
            <w:r w:rsidR="0072289A">
              <w:rPr>
                <w:sz w:val="20"/>
                <w:szCs w:val="20"/>
              </w:rPr>
              <w:t>ted with the Wind project support</w:t>
            </w:r>
            <w:r w:rsidR="00996419">
              <w:rPr>
                <w:sz w:val="20"/>
                <w:szCs w:val="20"/>
              </w:rPr>
              <w:t xml:space="preserve"> to</w:t>
            </w:r>
            <w:r w:rsidR="0072289A">
              <w:rPr>
                <w:sz w:val="20"/>
                <w:szCs w:val="20"/>
              </w:rPr>
              <w:t xml:space="preserve"> promote market related mechanisms for wind energy development in the country. The WPFI is expected to function independently of the project after its creation developing and selling RE pre-investment assets and providing expert advi</w:t>
            </w:r>
            <w:r w:rsidR="00996419">
              <w:rPr>
                <w:sz w:val="20"/>
                <w:szCs w:val="20"/>
              </w:rPr>
              <w:t>c</w:t>
            </w:r>
            <w:r w:rsidR="0072289A">
              <w:rPr>
                <w:sz w:val="20"/>
                <w:szCs w:val="20"/>
              </w:rPr>
              <w:t>e/support to RE related projects.</w:t>
            </w:r>
          </w:p>
        </w:tc>
      </w:tr>
      <w:tr w:rsidR="0059064D" w:rsidRPr="004617E9" w14:paraId="11FE9F63" w14:textId="77777777" w:rsidTr="00E25D66">
        <w:tc>
          <w:tcPr>
            <w:tcW w:w="3823" w:type="dxa"/>
            <w:vMerge w:val="restart"/>
            <w:shd w:val="clear" w:color="auto" w:fill="F3F3F3"/>
          </w:tcPr>
          <w:p w14:paraId="57E8D993" w14:textId="77777777" w:rsidR="0059064D" w:rsidRPr="004617E9" w:rsidRDefault="0059064D" w:rsidP="00C83508">
            <w:pPr>
              <w:rPr>
                <w:b/>
                <w:sz w:val="20"/>
                <w:szCs w:val="20"/>
              </w:rPr>
            </w:pPr>
            <w:r w:rsidRPr="004617E9">
              <w:rPr>
                <w:b/>
                <w:sz w:val="20"/>
                <w:szCs w:val="20"/>
              </w:rPr>
              <w:t>Key Action(s)</w:t>
            </w:r>
          </w:p>
        </w:tc>
        <w:tc>
          <w:tcPr>
            <w:tcW w:w="1417" w:type="dxa"/>
            <w:vMerge w:val="restart"/>
            <w:shd w:val="clear" w:color="auto" w:fill="F3F3F3"/>
          </w:tcPr>
          <w:p w14:paraId="1AEFC3BB" w14:textId="77777777" w:rsidR="0059064D" w:rsidRPr="004617E9" w:rsidRDefault="0059064D" w:rsidP="00C83508">
            <w:pPr>
              <w:rPr>
                <w:b/>
                <w:sz w:val="20"/>
                <w:szCs w:val="20"/>
              </w:rPr>
            </w:pPr>
            <w:r w:rsidRPr="004617E9">
              <w:rPr>
                <w:b/>
                <w:sz w:val="20"/>
                <w:szCs w:val="20"/>
              </w:rPr>
              <w:t>Time Frame</w:t>
            </w:r>
          </w:p>
        </w:tc>
        <w:tc>
          <w:tcPr>
            <w:tcW w:w="1701" w:type="dxa"/>
            <w:vMerge w:val="restart"/>
            <w:shd w:val="clear" w:color="auto" w:fill="F3F3F3"/>
          </w:tcPr>
          <w:p w14:paraId="7B34A2EA" w14:textId="77777777" w:rsidR="0059064D" w:rsidRPr="004617E9" w:rsidRDefault="0059064D" w:rsidP="00C83508">
            <w:pPr>
              <w:rPr>
                <w:b/>
                <w:sz w:val="20"/>
                <w:szCs w:val="20"/>
              </w:rPr>
            </w:pPr>
            <w:r w:rsidRPr="004617E9">
              <w:rPr>
                <w:b/>
                <w:sz w:val="20"/>
                <w:szCs w:val="20"/>
              </w:rPr>
              <w:t>Responsible Unit(s)</w:t>
            </w:r>
          </w:p>
        </w:tc>
        <w:tc>
          <w:tcPr>
            <w:tcW w:w="6009" w:type="dxa"/>
            <w:gridSpan w:val="2"/>
            <w:shd w:val="clear" w:color="auto" w:fill="F3F3F3"/>
          </w:tcPr>
          <w:p w14:paraId="2D5ADDE0" w14:textId="77777777" w:rsidR="0059064D" w:rsidRPr="004617E9" w:rsidRDefault="0059064D" w:rsidP="00C83508">
            <w:pPr>
              <w:jc w:val="center"/>
              <w:rPr>
                <w:b/>
                <w:sz w:val="20"/>
                <w:szCs w:val="20"/>
              </w:rPr>
            </w:pPr>
            <w:r w:rsidRPr="004617E9">
              <w:rPr>
                <w:b/>
                <w:sz w:val="20"/>
                <w:szCs w:val="20"/>
              </w:rPr>
              <w:t>Tracking</w:t>
            </w:r>
          </w:p>
        </w:tc>
      </w:tr>
      <w:tr w:rsidR="0059064D" w:rsidRPr="004617E9" w14:paraId="2F75F6E2" w14:textId="77777777" w:rsidTr="00E25D66">
        <w:tc>
          <w:tcPr>
            <w:tcW w:w="3823" w:type="dxa"/>
            <w:vMerge/>
            <w:shd w:val="clear" w:color="auto" w:fill="auto"/>
          </w:tcPr>
          <w:p w14:paraId="7035579A" w14:textId="77777777" w:rsidR="0059064D" w:rsidRPr="004617E9" w:rsidRDefault="0059064D" w:rsidP="00C83508">
            <w:pPr>
              <w:rPr>
                <w:b/>
                <w:sz w:val="20"/>
                <w:szCs w:val="20"/>
              </w:rPr>
            </w:pPr>
          </w:p>
        </w:tc>
        <w:tc>
          <w:tcPr>
            <w:tcW w:w="1417" w:type="dxa"/>
            <w:vMerge/>
            <w:shd w:val="clear" w:color="auto" w:fill="auto"/>
          </w:tcPr>
          <w:p w14:paraId="496EA974" w14:textId="77777777" w:rsidR="0059064D" w:rsidRPr="004617E9" w:rsidRDefault="0059064D" w:rsidP="00C83508">
            <w:pPr>
              <w:rPr>
                <w:b/>
                <w:sz w:val="20"/>
                <w:szCs w:val="20"/>
              </w:rPr>
            </w:pPr>
          </w:p>
        </w:tc>
        <w:tc>
          <w:tcPr>
            <w:tcW w:w="1701" w:type="dxa"/>
            <w:vMerge/>
            <w:shd w:val="clear" w:color="auto" w:fill="auto"/>
          </w:tcPr>
          <w:p w14:paraId="3567A062" w14:textId="77777777" w:rsidR="0059064D" w:rsidRPr="004617E9" w:rsidRDefault="0059064D" w:rsidP="00C83508">
            <w:pPr>
              <w:rPr>
                <w:b/>
                <w:sz w:val="20"/>
                <w:szCs w:val="20"/>
              </w:rPr>
            </w:pPr>
          </w:p>
        </w:tc>
        <w:tc>
          <w:tcPr>
            <w:tcW w:w="1559" w:type="dxa"/>
            <w:shd w:val="clear" w:color="auto" w:fill="auto"/>
          </w:tcPr>
          <w:p w14:paraId="63808FE3" w14:textId="77777777" w:rsidR="0059064D" w:rsidRPr="004617E9" w:rsidRDefault="0059064D" w:rsidP="00C83508">
            <w:pPr>
              <w:jc w:val="center"/>
              <w:rPr>
                <w:b/>
                <w:sz w:val="20"/>
                <w:szCs w:val="20"/>
              </w:rPr>
            </w:pPr>
            <w:r w:rsidRPr="004617E9">
              <w:rPr>
                <w:b/>
                <w:sz w:val="20"/>
                <w:szCs w:val="20"/>
              </w:rPr>
              <w:t>Status</w:t>
            </w:r>
          </w:p>
        </w:tc>
        <w:tc>
          <w:tcPr>
            <w:tcW w:w="4450" w:type="dxa"/>
            <w:shd w:val="clear" w:color="auto" w:fill="auto"/>
          </w:tcPr>
          <w:p w14:paraId="561CF1D2" w14:textId="77777777" w:rsidR="0059064D" w:rsidRPr="004617E9" w:rsidRDefault="0059064D" w:rsidP="00C83508">
            <w:pPr>
              <w:jc w:val="center"/>
              <w:rPr>
                <w:b/>
                <w:sz w:val="20"/>
                <w:szCs w:val="20"/>
              </w:rPr>
            </w:pPr>
            <w:r w:rsidRPr="004617E9">
              <w:rPr>
                <w:b/>
                <w:sz w:val="20"/>
                <w:szCs w:val="20"/>
              </w:rPr>
              <w:t>Comments</w:t>
            </w:r>
          </w:p>
        </w:tc>
      </w:tr>
      <w:tr w:rsidR="008B5759" w:rsidRPr="004617E9" w14:paraId="77F17E16" w14:textId="77777777" w:rsidTr="00E25D66">
        <w:tc>
          <w:tcPr>
            <w:tcW w:w="3823" w:type="dxa"/>
            <w:shd w:val="clear" w:color="auto" w:fill="auto"/>
          </w:tcPr>
          <w:p w14:paraId="637EAF85" w14:textId="1752CCC9" w:rsidR="008B5759" w:rsidRPr="004617E9" w:rsidRDefault="008B5759" w:rsidP="00AF304F">
            <w:pPr>
              <w:rPr>
                <w:sz w:val="20"/>
                <w:szCs w:val="20"/>
              </w:rPr>
            </w:pPr>
            <w:r>
              <w:rPr>
                <w:sz w:val="20"/>
                <w:szCs w:val="20"/>
              </w:rPr>
              <w:t xml:space="preserve">4.1. </w:t>
            </w:r>
            <w:r w:rsidR="00390E30">
              <w:rPr>
                <w:sz w:val="20"/>
                <w:szCs w:val="20"/>
              </w:rPr>
              <w:t xml:space="preserve">To </w:t>
            </w:r>
            <w:r w:rsidR="007F73DC">
              <w:rPr>
                <w:sz w:val="20"/>
                <w:szCs w:val="20"/>
              </w:rPr>
              <w:t xml:space="preserve">indirectly </w:t>
            </w:r>
            <w:r w:rsidR="00390E30" w:rsidRPr="00390E30">
              <w:rPr>
                <w:sz w:val="20"/>
                <w:szCs w:val="20"/>
              </w:rPr>
              <w:t xml:space="preserve">support </w:t>
            </w:r>
            <w:r w:rsidR="00390E30">
              <w:rPr>
                <w:sz w:val="20"/>
                <w:szCs w:val="20"/>
              </w:rPr>
              <w:t>the</w:t>
            </w:r>
            <w:r w:rsidR="00390E30" w:rsidRPr="00390E30">
              <w:rPr>
                <w:sz w:val="20"/>
                <w:szCs w:val="20"/>
              </w:rPr>
              <w:t xml:space="preserve"> work of </w:t>
            </w:r>
            <w:r w:rsidR="00390E30" w:rsidRPr="00E25D66">
              <w:rPr>
                <w:sz w:val="20"/>
                <w:szCs w:val="20"/>
              </w:rPr>
              <w:t xml:space="preserve">Wind Private Finance Initiative </w:t>
            </w:r>
            <w:r w:rsidR="00390E30">
              <w:rPr>
                <w:sz w:val="20"/>
                <w:szCs w:val="20"/>
              </w:rPr>
              <w:t>(</w:t>
            </w:r>
            <w:r w:rsidR="00390E30" w:rsidRPr="00390E30">
              <w:rPr>
                <w:sz w:val="20"/>
                <w:szCs w:val="20"/>
              </w:rPr>
              <w:t>WPFI</w:t>
            </w:r>
            <w:r w:rsidR="00390E30">
              <w:rPr>
                <w:sz w:val="20"/>
                <w:szCs w:val="20"/>
              </w:rPr>
              <w:t>)</w:t>
            </w:r>
            <w:r w:rsidR="007F73DC">
              <w:rPr>
                <w:sz w:val="20"/>
                <w:szCs w:val="20"/>
              </w:rPr>
              <w:t xml:space="preserve"> through relevant capacity building activities as well as supporting the country in creating favorable environment for renewable energy in Belarus</w:t>
            </w:r>
            <w:r w:rsidR="00390E30">
              <w:rPr>
                <w:sz w:val="20"/>
                <w:szCs w:val="20"/>
              </w:rPr>
              <w:t>.</w:t>
            </w:r>
          </w:p>
        </w:tc>
        <w:tc>
          <w:tcPr>
            <w:tcW w:w="1417" w:type="dxa"/>
            <w:shd w:val="clear" w:color="auto" w:fill="auto"/>
          </w:tcPr>
          <w:p w14:paraId="0E206F9D" w14:textId="629E94F4" w:rsidR="008B5759" w:rsidRPr="004617E9" w:rsidRDefault="007F73DC" w:rsidP="00C83508">
            <w:pPr>
              <w:rPr>
                <w:sz w:val="20"/>
                <w:szCs w:val="20"/>
              </w:rPr>
            </w:pPr>
            <w:r>
              <w:rPr>
                <w:sz w:val="20"/>
                <w:szCs w:val="20"/>
              </w:rPr>
              <w:t xml:space="preserve">Jul 2021 </w:t>
            </w:r>
            <w:r w:rsidR="00B2133E">
              <w:rPr>
                <w:sz w:val="20"/>
                <w:szCs w:val="20"/>
              </w:rPr>
              <w:t>–</w:t>
            </w:r>
            <w:r w:rsidR="0072289A">
              <w:rPr>
                <w:sz w:val="20"/>
                <w:szCs w:val="20"/>
              </w:rPr>
              <w:t xml:space="preserve"> </w:t>
            </w:r>
            <w:r w:rsidR="00B2133E">
              <w:rPr>
                <w:sz w:val="20"/>
                <w:szCs w:val="20"/>
              </w:rPr>
              <w:t xml:space="preserve">Dec </w:t>
            </w:r>
            <w:r w:rsidR="0072289A">
              <w:rPr>
                <w:sz w:val="20"/>
                <w:szCs w:val="20"/>
              </w:rPr>
              <w:t>2022</w:t>
            </w:r>
          </w:p>
        </w:tc>
        <w:tc>
          <w:tcPr>
            <w:tcW w:w="1701" w:type="dxa"/>
            <w:shd w:val="clear" w:color="auto" w:fill="auto"/>
          </w:tcPr>
          <w:p w14:paraId="0D669BE7" w14:textId="1007A6F5" w:rsidR="008B5759" w:rsidRPr="004617E9" w:rsidRDefault="007F73DC" w:rsidP="00C83508">
            <w:pPr>
              <w:rPr>
                <w:sz w:val="20"/>
                <w:szCs w:val="20"/>
              </w:rPr>
            </w:pPr>
            <w:r>
              <w:rPr>
                <w:sz w:val="20"/>
                <w:szCs w:val="20"/>
              </w:rPr>
              <w:t>UNDP, MoEnv</w:t>
            </w:r>
            <w:r w:rsidR="00996419">
              <w:rPr>
                <w:sz w:val="20"/>
                <w:szCs w:val="20"/>
              </w:rPr>
              <w:t xml:space="preserve">, </w:t>
            </w:r>
            <w:r>
              <w:rPr>
                <w:sz w:val="20"/>
                <w:szCs w:val="20"/>
              </w:rPr>
              <w:t>Ministry of Energy other governmental interested institutions</w:t>
            </w:r>
          </w:p>
        </w:tc>
        <w:tc>
          <w:tcPr>
            <w:tcW w:w="1559" w:type="dxa"/>
            <w:shd w:val="clear" w:color="auto" w:fill="auto"/>
          </w:tcPr>
          <w:p w14:paraId="3477936F" w14:textId="686AA7CB" w:rsidR="008B5759" w:rsidRPr="004617E9" w:rsidRDefault="00DF2AA9" w:rsidP="00C83508">
            <w:pPr>
              <w:rPr>
                <w:sz w:val="20"/>
                <w:szCs w:val="20"/>
              </w:rPr>
            </w:pPr>
            <w:r>
              <w:rPr>
                <w:sz w:val="20"/>
                <w:szCs w:val="20"/>
              </w:rPr>
              <w:t>Ongoing</w:t>
            </w:r>
          </w:p>
        </w:tc>
        <w:tc>
          <w:tcPr>
            <w:tcW w:w="4450" w:type="dxa"/>
            <w:shd w:val="clear" w:color="auto" w:fill="auto"/>
          </w:tcPr>
          <w:p w14:paraId="6A5FCABC" w14:textId="7690B027" w:rsidR="008B5759" w:rsidRPr="004617E9" w:rsidRDefault="00390E30" w:rsidP="00C83508">
            <w:pPr>
              <w:rPr>
                <w:sz w:val="20"/>
                <w:szCs w:val="20"/>
              </w:rPr>
            </w:pPr>
            <w:r w:rsidRPr="00390E30">
              <w:rPr>
                <w:sz w:val="20"/>
                <w:szCs w:val="20"/>
              </w:rPr>
              <w:t>WPFI</w:t>
            </w:r>
            <w:r>
              <w:rPr>
                <w:sz w:val="20"/>
                <w:szCs w:val="20"/>
              </w:rPr>
              <w:t xml:space="preserve"> </w:t>
            </w:r>
            <w:r w:rsidR="007F73DC">
              <w:rPr>
                <w:sz w:val="20"/>
                <w:szCs w:val="20"/>
              </w:rPr>
              <w:t xml:space="preserve">is a commercial entity established with project support. UNDP </w:t>
            </w:r>
            <w:r w:rsidR="006740BB">
              <w:rPr>
                <w:sz w:val="20"/>
                <w:szCs w:val="20"/>
              </w:rPr>
              <w:t>will further</w:t>
            </w:r>
            <w:r w:rsidR="007F73DC">
              <w:rPr>
                <w:sz w:val="20"/>
                <w:szCs w:val="20"/>
              </w:rPr>
              <w:t xml:space="preserve"> support commercial entities indirectly through relevant capacity building activities along with actions aiming to create a favorable environment for renewable energy, including wind energy, development in Belarus.  </w:t>
            </w:r>
          </w:p>
        </w:tc>
      </w:tr>
      <w:tr w:rsidR="00AF2FDD" w:rsidRPr="004617E9" w14:paraId="2C2568E8" w14:textId="77777777" w:rsidTr="00C83508">
        <w:tc>
          <w:tcPr>
            <w:tcW w:w="12950" w:type="dxa"/>
            <w:gridSpan w:val="5"/>
            <w:tcBorders>
              <w:bottom w:val="single" w:sz="4" w:space="0" w:color="auto"/>
            </w:tcBorders>
            <w:shd w:val="clear" w:color="auto" w:fill="E6E6E6"/>
          </w:tcPr>
          <w:p w14:paraId="716789FB" w14:textId="0FB8E098" w:rsidR="00AF2FDD" w:rsidRPr="004617E9" w:rsidRDefault="00AF2FDD" w:rsidP="0065068E">
            <w:pPr>
              <w:rPr>
                <w:b/>
                <w:sz w:val="20"/>
                <w:szCs w:val="20"/>
              </w:rPr>
            </w:pPr>
            <w:r w:rsidRPr="004617E9">
              <w:rPr>
                <w:b/>
                <w:sz w:val="20"/>
                <w:szCs w:val="20"/>
              </w:rPr>
              <w:t xml:space="preserve">Evaluation Recommendation </w:t>
            </w:r>
            <w:r>
              <w:rPr>
                <w:b/>
                <w:sz w:val="20"/>
                <w:szCs w:val="20"/>
              </w:rPr>
              <w:t>5</w:t>
            </w:r>
            <w:r w:rsidRPr="004617E9">
              <w:rPr>
                <w:b/>
                <w:sz w:val="20"/>
                <w:szCs w:val="20"/>
              </w:rPr>
              <w:t>:</w:t>
            </w:r>
            <w:r>
              <w:rPr>
                <w:rFonts w:ascii="TTF9o00" w:hAnsi="TTF9o00" w:cs="TTF9o00"/>
                <w:sz w:val="22"/>
                <w:szCs w:val="22"/>
                <w:lang w:eastAsia="zh-CN"/>
              </w:rPr>
              <w:t xml:space="preserve"> </w:t>
            </w:r>
            <w:r w:rsidR="00D479FB" w:rsidRPr="00D479FB">
              <w:rPr>
                <w:sz w:val="20"/>
                <w:szCs w:val="20"/>
              </w:rPr>
              <w:t>Improve work on environmental impacts of wind power</w:t>
            </w:r>
          </w:p>
        </w:tc>
      </w:tr>
      <w:tr w:rsidR="0065068E" w:rsidRPr="004617E9" w14:paraId="41B2E72A" w14:textId="77777777" w:rsidTr="00C83508">
        <w:tc>
          <w:tcPr>
            <w:tcW w:w="12950" w:type="dxa"/>
            <w:gridSpan w:val="5"/>
            <w:shd w:val="clear" w:color="auto" w:fill="F3F3F3"/>
          </w:tcPr>
          <w:p w14:paraId="5A852A41" w14:textId="5E091509" w:rsidR="0065068E" w:rsidRPr="004617E9" w:rsidRDefault="0065068E" w:rsidP="00C83508">
            <w:pPr>
              <w:rPr>
                <w:b/>
                <w:sz w:val="20"/>
                <w:szCs w:val="20"/>
              </w:rPr>
            </w:pPr>
            <w:r w:rsidRPr="004617E9">
              <w:rPr>
                <w:b/>
                <w:sz w:val="20"/>
                <w:szCs w:val="20"/>
              </w:rPr>
              <w:t>Management Response:</w:t>
            </w:r>
            <w:r w:rsidRPr="00AF304F">
              <w:rPr>
                <w:sz w:val="20"/>
                <w:szCs w:val="20"/>
              </w:rPr>
              <w:t xml:space="preserve"> </w:t>
            </w:r>
            <w:r w:rsidR="00140E85" w:rsidRPr="00140E85">
              <w:rPr>
                <w:sz w:val="20"/>
                <w:szCs w:val="20"/>
              </w:rPr>
              <w:t>A</w:t>
            </w:r>
            <w:r w:rsidR="00D479FB" w:rsidRPr="00140E85">
              <w:rPr>
                <w:sz w:val="20"/>
                <w:szCs w:val="20"/>
              </w:rPr>
              <w:t>ccept</w:t>
            </w:r>
            <w:r w:rsidR="00140E85" w:rsidRPr="00140E85">
              <w:rPr>
                <w:sz w:val="20"/>
                <w:szCs w:val="20"/>
              </w:rPr>
              <w:t>ed</w:t>
            </w:r>
          </w:p>
        </w:tc>
      </w:tr>
      <w:tr w:rsidR="00F46D8E" w:rsidRPr="004617E9" w14:paraId="09924947" w14:textId="77777777" w:rsidTr="00E25D66">
        <w:tc>
          <w:tcPr>
            <w:tcW w:w="3823" w:type="dxa"/>
            <w:vMerge w:val="restart"/>
            <w:shd w:val="clear" w:color="auto" w:fill="F3F3F3"/>
          </w:tcPr>
          <w:p w14:paraId="075B1126" w14:textId="77777777" w:rsidR="00F46D8E" w:rsidRPr="004617E9" w:rsidRDefault="00F46D8E" w:rsidP="00C83508">
            <w:pPr>
              <w:rPr>
                <w:b/>
                <w:sz w:val="20"/>
                <w:szCs w:val="20"/>
              </w:rPr>
            </w:pPr>
            <w:r w:rsidRPr="004617E9">
              <w:rPr>
                <w:b/>
                <w:sz w:val="20"/>
                <w:szCs w:val="20"/>
              </w:rPr>
              <w:t>Key Action(s)</w:t>
            </w:r>
          </w:p>
        </w:tc>
        <w:tc>
          <w:tcPr>
            <w:tcW w:w="1417" w:type="dxa"/>
            <w:vMerge w:val="restart"/>
            <w:shd w:val="clear" w:color="auto" w:fill="F3F3F3"/>
          </w:tcPr>
          <w:p w14:paraId="4BAD9EF1" w14:textId="77777777" w:rsidR="00F46D8E" w:rsidRPr="004617E9" w:rsidRDefault="00F46D8E" w:rsidP="00C83508">
            <w:pPr>
              <w:rPr>
                <w:b/>
                <w:sz w:val="20"/>
                <w:szCs w:val="20"/>
              </w:rPr>
            </w:pPr>
            <w:r w:rsidRPr="004617E9">
              <w:rPr>
                <w:b/>
                <w:sz w:val="20"/>
                <w:szCs w:val="20"/>
              </w:rPr>
              <w:t>Time Frame</w:t>
            </w:r>
          </w:p>
        </w:tc>
        <w:tc>
          <w:tcPr>
            <w:tcW w:w="1701" w:type="dxa"/>
            <w:vMerge w:val="restart"/>
            <w:shd w:val="clear" w:color="auto" w:fill="F3F3F3"/>
          </w:tcPr>
          <w:p w14:paraId="5EB76FF8" w14:textId="77777777" w:rsidR="00F46D8E" w:rsidRPr="004617E9" w:rsidRDefault="00F46D8E" w:rsidP="00C83508">
            <w:pPr>
              <w:rPr>
                <w:b/>
                <w:sz w:val="20"/>
                <w:szCs w:val="20"/>
              </w:rPr>
            </w:pPr>
            <w:r w:rsidRPr="004617E9">
              <w:rPr>
                <w:b/>
                <w:sz w:val="20"/>
                <w:szCs w:val="20"/>
              </w:rPr>
              <w:t>Responsible Unit(s)</w:t>
            </w:r>
          </w:p>
        </w:tc>
        <w:tc>
          <w:tcPr>
            <w:tcW w:w="6009" w:type="dxa"/>
            <w:gridSpan w:val="2"/>
            <w:shd w:val="clear" w:color="auto" w:fill="F3F3F3"/>
          </w:tcPr>
          <w:p w14:paraId="3E4F76ED" w14:textId="77777777" w:rsidR="00F46D8E" w:rsidRPr="004617E9" w:rsidRDefault="00F46D8E" w:rsidP="00C83508">
            <w:pPr>
              <w:jc w:val="center"/>
              <w:rPr>
                <w:b/>
                <w:sz w:val="20"/>
                <w:szCs w:val="20"/>
              </w:rPr>
            </w:pPr>
            <w:r w:rsidRPr="004617E9">
              <w:rPr>
                <w:b/>
                <w:sz w:val="20"/>
                <w:szCs w:val="20"/>
              </w:rPr>
              <w:t>Tracking</w:t>
            </w:r>
          </w:p>
        </w:tc>
      </w:tr>
      <w:tr w:rsidR="00F46D8E" w:rsidRPr="004617E9" w14:paraId="63EB7E2D" w14:textId="77777777" w:rsidTr="00E25D66">
        <w:tc>
          <w:tcPr>
            <w:tcW w:w="3823" w:type="dxa"/>
            <w:vMerge/>
            <w:shd w:val="clear" w:color="auto" w:fill="auto"/>
          </w:tcPr>
          <w:p w14:paraId="4C11E0D7" w14:textId="77777777" w:rsidR="00F46D8E" w:rsidRPr="004617E9" w:rsidRDefault="00F46D8E" w:rsidP="00C83508">
            <w:pPr>
              <w:rPr>
                <w:b/>
                <w:sz w:val="20"/>
                <w:szCs w:val="20"/>
              </w:rPr>
            </w:pPr>
          </w:p>
        </w:tc>
        <w:tc>
          <w:tcPr>
            <w:tcW w:w="1417" w:type="dxa"/>
            <w:vMerge/>
            <w:shd w:val="clear" w:color="auto" w:fill="auto"/>
          </w:tcPr>
          <w:p w14:paraId="64EB6CD9" w14:textId="77777777" w:rsidR="00F46D8E" w:rsidRPr="004617E9" w:rsidRDefault="00F46D8E" w:rsidP="00C83508">
            <w:pPr>
              <w:rPr>
                <w:b/>
                <w:sz w:val="20"/>
                <w:szCs w:val="20"/>
              </w:rPr>
            </w:pPr>
          </w:p>
        </w:tc>
        <w:tc>
          <w:tcPr>
            <w:tcW w:w="1701" w:type="dxa"/>
            <w:vMerge/>
            <w:shd w:val="clear" w:color="auto" w:fill="auto"/>
          </w:tcPr>
          <w:p w14:paraId="36BBAB62" w14:textId="77777777" w:rsidR="00F46D8E" w:rsidRPr="004617E9" w:rsidRDefault="00F46D8E" w:rsidP="00C83508">
            <w:pPr>
              <w:rPr>
                <w:b/>
                <w:sz w:val="20"/>
                <w:szCs w:val="20"/>
              </w:rPr>
            </w:pPr>
          </w:p>
        </w:tc>
        <w:tc>
          <w:tcPr>
            <w:tcW w:w="1559" w:type="dxa"/>
            <w:shd w:val="clear" w:color="auto" w:fill="auto"/>
          </w:tcPr>
          <w:p w14:paraId="58AA8D51" w14:textId="77777777" w:rsidR="00F46D8E" w:rsidRPr="004617E9" w:rsidRDefault="00F46D8E" w:rsidP="00C83508">
            <w:pPr>
              <w:jc w:val="center"/>
              <w:rPr>
                <w:b/>
                <w:sz w:val="20"/>
                <w:szCs w:val="20"/>
              </w:rPr>
            </w:pPr>
            <w:r w:rsidRPr="004617E9">
              <w:rPr>
                <w:b/>
                <w:sz w:val="20"/>
                <w:szCs w:val="20"/>
              </w:rPr>
              <w:t>Status</w:t>
            </w:r>
          </w:p>
        </w:tc>
        <w:tc>
          <w:tcPr>
            <w:tcW w:w="4450" w:type="dxa"/>
            <w:shd w:val="clear" w:color="auto" w:fill="auto"/>
          </w:tcPr>
          <w:p w14:paraId="21FC378A" w14:textId="77777777" w:rsidR="00F46D8E" w:rsidRPr="004617E9" w:rsidRDefault="00F46D8E" w:rsidP="00C83508">
            <w:pPr>
              <w:jc w:val="center"/>
              <w:rPr>
                <w:b/>
                <w:sz w:val="20"/>
                <w:szCs w:val="20"/>
              </w:rPr>
            </w:pPr>
            <w:r w:rsidRPr="004617E9">
              <w:rPr>
                <w:b/>
                <w:sz w:val="20"/>
                <w:szCs w:val="20"/>
              </w:rPr>
              <w:t>Comments</w:t>
            </w:r>
          </w:p>
        </w:tc>
      </w:tr>
      <w:tr w:rsidR="00F82F64" w:rsidRPr="004617E9" w14:paraId="15BF53FE" w14:textId="77777777" w:rsidTr="00E25D66">
        <w:trPr>
          <w:trHeight w:val="690"/>
        </w:trPr>
        <w:tc>
          <w:tcPr>
            <w:tcW w:w="3823" w:type="dxa"/>
            <w:shd w:val="clear" w:color="auto" w:fill="auto"/>
          </w:tcPr>
          <w:p w14:paraId="1440457D" w14:textId="028218D7" w:rsidR="00F82F64" w:rsidRPr="004617E9" w:rsidRDefault="00F82F64" w:rsidP="00C83508">
            <w:pPr>
              <w:rPr>
                <w:sz w:val="20"/>
                <w:szCs w:val="20"/>
              </w:rPr>
            </w:pPr>
            <w:r>
              <w:rPr>
                <w:sz w:val="20"/>
                <w:szCs w:val="20"/>
              </w:rPr>
              <w:t>5</w:t>
            </w:r>
            <w:r w:rsidRPr="004617E9">
              <w:rPr>
                <w:sz w:val="20"/>
                <w:szCs w:val="20"/>
              </w:rPr>
              <w:t>.1</w:t>
            </w:r>
            <w:r w:rsidR="0034031E">
              <w:rPr>
                <w:sz w:val="20"/>
                <w:szCs w:val="20"/>
              </w:rPr>
              <w:t xml:space="preserve">. </w:t>
            </w:r>
            <w:r w:rsidR="00140E85">
              <w:rPr>
                <w:sz w:val="20"/>
                <w:szCs w:val="20"/>
              </w:rPr>
              <w:t xml:space="preserve">To support the MoEnv in further national capacity with respect to identifying adverse impact of wind energy installations on the environment.  </w:t>
            </w:r>
          </w:p>
        </w:tc>
        <w:tc>
          <w:tcPr>
            <w:tcW w:w="1417" w:type="dxa"/>
            <w:shd w:val="clear" w:color="auto" w:fill="auto"/>
          </w:tcPr>
          <w:p w14:paraId="00B6935F" w14:textId="7331D9CB" w:rsidR="00F82F64" w:rsidRPr="004617E9" w:rsidRDefault="00140E85" w:rsidP="00C83508">
            <w:pPr>
              <w:rPr>
                <w:sz w:val="20"/>
                <w:szCs w:val="20"/>
              </w:rPr>
            </w:pPr>
            <w:r>
              <w:rPr>
                <w:sz w:val="20"/>
                <w:szCs w:val="20"/>
              </w:rPr>
              <w:t xml:space="preserve">Jun 2021 </w:t>
            </w:r>
            <w:r w:rsidR="00B2133E">
              <w:rPr>
                <w:sz w:val="20"/>
                <w:szCs w:val="20"/>
              </w:rPr>
              <w:t>–</w:t>
            </w:r>
            <w:r w:rsidR="0072289A">
              <w:rPr>
                <w:sz w:val="20"/>
                <w:szCs w:val="20"/>
              </w:rPr>
              <w:t xml:space="preserve"> </w:t>
            </w:r>
            <w:r w:rsidR="00B2133E">
              <w:rPr>
                <w:sz w:val="20"/>
                <w:szCs w:val="20"/>
              </w:rPr>
              <w:t xml:space="preserve">Dec </w:t>
            </w:r>
            <w:r w:rsidR="0072289A">
              <w:rPr>
                <w:sz w:val="20"/>
                <w:szCs w:val="20"/>
              </w:rPr>
              <w:t>2022</w:t>
            </w:r>
            <w:r>
              <w:rPr>
                <w:sz w:val="20"/>
                <w:szCs w:val="20"/>
              </w:rPr>
              <w:t xml:space="preserve"> </w:t>
            </w:r>
          </w:p>
        </w:tc>
        <w:tc>
          <w:tcPr>
            <w:tcW w:w="1701" w:type="dxa"/>
            <w:shd w:val="clear" w:color="auto" w:fill="auto"/>
          </w:tcPr>
          <w:p w14:paraId="77405782" w14:textId="408A98C7" w:rsidR="00F82F64" w:rsidRPr="004617E9" w:rsidRDefault="00140E85" w:rsidP="00C83508">
            <w:pPr>
              <w:rPr>
                <w:sz w:val="20"/>
                <w:szCs w:val="20"/>
              </w:rPr>
            </w:pPr>
            <w:r>
              <w:rPr>
                <w:sz w:val="20"/>
                <w:szCs w:val="20"/>
              </w:rPr>
              <w:t>MoEnv, UNDP</w:t>
            </w:r>
          </w:p>
        </w:tc>
        <w:tc>
          <w:tcPr>
            <w:tcW w:w="1559" w:type="dxa"/>
            <w:shd w:val="clear" w:color="auto" w:fill="auto"/>
          </w:tcPr>
          <w:p w14:paraId="7A6A18AD" w14:textId="3B59359D" w:rsidR="00F82F64" w:rsidRPr="004617E9" w:rsidRDefault="0034031E" w:rsidP="00C83508">
            <w:pPr>
              <w:rPr>
                <w:sz w:val="20"/>
                <w:szCs w:val="20"/>
              </w:rPr>
            </w:pPr>
            <w:r>
              <w:rPr>
                <w:sz w:val="20"/>
                <w:szCs w:val="20"/>
              </w:rPr>
              <w:t>Ongoing</w:t>
            </w:r>
          </w:p>
        </w:tc>
        <w:tc>
          <w:tcPr>
            <w:tcW w:w="4450" w:type="dxa"/>
            <w:shd w:val="clear" w:color="auto" w:fill="auto"/>
          </w:tcPr>
          <w:p w14:paraId="5341935E" w14:textId="4DE841CF" w:rsidR="00F82F64" w:rsidRPr="004617E9" w:rsidRDefault="00140E85" w:rsidP="0034031E">
            <w:pPr>
              <w:rPr>
                <w:sz w:val="20"/>
                <w:szCs w:val="20"/>
              </w:rPr>
            </w:pPr>
            <w:r>
              <w:rPr>
                <w:sz w:val="20"/>
                <w:szCs w:val="20"/>
              </w:rPr>
              <w:t>UNDP will further build</w:t>
            </w:r>
            <w:r w:rsidR="006740BB">
              <w:rPr>
                <w:sz w:val="20"/>
                <w:szCs w:val="20"/>
              </w:rPr>
              <w:t xml:space="preserve"> </w:t>
            </w:r>
            <w:r>
              <w:rPr>
                <w:sz w:val="20"/>
                <w:szCs w:val="20"/>
              </w:rPr>
              <w:t>national capacity to conduct environmental impact assessment (including assessment at the strategic level) of wind energy developments. Such support can be included as a component into future wind energy related projects or into broader environment related projects, as well. Respective discussion should be held with national counterparts and potential donors at the earliest project development stage.</w:t>
            </w:r>
          </w:p>
        </w:tc>
      </w:tr>
      <w:tr w:rsidR="00D56C3C" w:rsidRPr="004617E9" w14:paraId="1EAE7927" w14:textId="77777777" w:rsidTr="00C83508">
        <w:tc>
          <w:tcPr>
            <w:tcW w:w="12950" w:type="dxa"/>
            <w:gridSpan w:val="5"/>
            <w:tcBorders>
              <w:bottom w:val="single" w:sz="4" w:space="0" w:color="auto"/>
            </w:tcBorders>
            <w:shd w:val="clear" w:color="auto" w:fill="E6E6E6"/>
          </w:tcPr>
          <w:p w14:paraId="7F8EA720" w14:textId="4B0108D8" w:rsidR="00D56C3C" w:rsidRPr="004617E9" w:rsidRDefault="00D56C3C" w:rsidP="00C04795">
            <w:pPr>
              <w:spacing w:after="120" w:line="259" w:lineRule="auto"/>
              <w:rPr>
                <w:b/>
                <w:sz w:val="20"/>
                <w:szCs w:val="20"/>
              </w:rPr>
            </w:pPr>
            <w:r w:rsidRPr="004617E9">
              <w:rPr>
                <w:b/>
                <w:sz w:val="20"/>
                <w:szCs w:val="20"/>
              </w:rPr>
              <w:t xml:space="preserve">Evaluation Recommendation </w:t>
            </w:r>
            <w:r>
              <w:rPr>
                <w:b/>
                <w:sz w:val="20"/>
                <w:szCs w:val="20"/>
              </w:rPr>
              <w:t>6</w:t>
            </w:r>
            <w:r w:rsidRPr="004617E9">
              <w:rPr>
                <w:b/>
                <w:sz w:val="20"/>
                <w:szCs w:val="20"/>
              </w:rPr>
              <w:t>:</w:t>
            </w:r>
            <w:r w:rsidR="00F72976">
              <w:rPr>
                <w:rFonts w:ascii="TTF9o00" w:hAnsi="TTF9o00" w:cs="TTF9o00"/>
                <w:sz w:val="22"/>
                <w:szCs w:val="22"/>
                <w:lang w:eastAsia="zh-CN"/>
              </w:rPr>
              <w:t xml:space="preserve"> </w:t>
            </w:r>
            <w:r w:rsidR="00D479FB" w:rsidRPr="00D479FB">
              <w:rPr>
                <w:sz w:val="20"/>
                <w:szCs w:val="20"/>
              </w:rPr>
              <w:t>Finalize guidelines and publish them on project website</w:t>
            </w:r>
          </w:p>
        </w:tc>
      </w:tr>
      <w:tr w:rsidR="00D56C3C" w:rsidRPr="004617E9" w14:paraId="0FDCAD8E" w14:textId="77777777" w:rsidTr="00C83508">
        <w:tc>
          <w:tcPr>
            <w:tcW w:w="12950" w:type="dxa"/>
            <w:gridSpan w:val="5"/>
            <w:shd w:val="clear" w:color="auto" w:fill="F3F3F3"/>
          </w:tcPr>
          <w:p w14:paraId="4DDF701B" w14:textId="7EA033A9" w:rsidR="00D56C3C" w:rsidRPr="004617E9" w:rsidRDefault="00D56C3C" w:rsidP="00C83508">
            <w:pPr>
              <w:rPr>
                <w:b/>
                <w:sz w:val="20"/>
                <w:szCs w:val="20"/>
              </w:rPr>
            </w:pPr>
            <w:r w:rsidRPr="004617E9">
              <w:rPr>
                <w:b/>
                <w:sz w:val="20"/>
                <w:szCs w:val="20"/>
              </w:rPr>
              <w:t>Management Response:</w:t>
            </w:r>
            <w:r w:rsidR="0031600B">
              <w:rPr>
                <w:b/>
                <w:sz w:val="20"/>
                <w:szCs w:val="20"/>
              </w:rPr>
              <w:t xml:space="preserve"> </w:t>
            </w:r>
            <w:r w:rsidR="0031600B" w:rsidRPr="00996419">
              <w:rPr>
                <w:bCs/>
                <w:sz w:val="20"/>
                <w:szCs w:val="20"/>
              </w:rPr>
              <w:t>A</w:t>
            </w:r>
            <w:r w:rsidR="00D479FB" w:rsidRPr="0031600B">
              <w:rPr>
                <w:sz w:val="20"/>
                <w:szCs w:val="20"/>
              </w:rPr>
              <w:t>ccept</w:t>
            </w:r>
            <w:r w:rsidR="00140E85">
              <w:rPr>
                <w:sz w:val="20"/>
                <w:szCs w:val="20"/>
              </w:rPr>
              <w:t>ed</w:t>
            </w:r>
          </w:p>
        </w:tc>
      </w:tr>
      <w:tr w:rsidR="00F46D8E" w:rsidRPr="004617E9" w14:paraId="1EBCA6B6" w14:textId="77777777" w:rsidTr="00E25D66">
        <w:tc>
          <w:tcPr>
            <w:tcW w:w="3823" w:type="dxa"/>
            <w:vMerge w:val="restart"/>
            <w:shd w:val="clear" w:color="auto" w:fill="F3F3F3"/>
          </w:tcPr>
          <w:p w14:paraId="1FFAC9B9" w14:textId="77777777" w:rsidR="00F46D8E" w:rsidRPr="004617E9" w:rsidRDefault="00F46D8E" w:rsidP="00C83508">
            <w:pPr>
              <w:rPr>
                <w:b/>
                <w:sz w:val="20"/>
                <w:szCs w:val="20"/>
              </w:rPr>
            </w:pPr>
            <w:r w:rsidRPr="004617E9">
              <w:rPr>
                <w:b/>
                <w:sz w:val="20"/>
                <w:szCs w:val="20"/>
              </w:rPr>
              <w:t>Key Action(s)</w:t>
            </w:r>
          </w:p>
        </w:tc>
        <w:tc>
          <w:tcPr>
            <w:tcW w:w="1417" w:type="dxa"/>
            <w:vMerge w:val="restart"/>
            <w:shd w:val="clear" w:color="auto" w:fill="F3F3F3"/>
          </w:tcPr>
          <w:p w14:paraId="73198D54" w14:textId="77777777" w:rsidR="00F46D8E" w:rsidRPr="004617E9" w:rsidRDefault="00F46D8E" w:rsidP="00C83508">
            <w:pPr>
              <w:rPr>
                <w:b/>
                <w:sz w:val="20"/>
                <w:szCs w:val="20"/>
              </w:rPr>
            </w:pPr>
            <w:r w:rsidRPr="004617E9">
              <w:rPr>
                <w:b/>
                <w:sz w:val="20"/>
                <w:szCs w:val="20"/>
              </w:rPr>
              <w:t>Time Frame</w:t>
            </w:r>
          </w:p>
        </w:tc>
        <w:tc>
          <w:tcPr>
            <w:tcW w:w="1701" w:type="dxa"/>
            <w:vMerge w:val="restart"/>
            <w:shd w:val="clear" w:color="auto" w:fill="F3F3F3"/>
          </w:tcPr>
          <w:p w14:paraId="364FC887" w14:textId="77777777" w:rsidR="00F46D8E" w:rsidRPr="004617E9" w:rsidRDefault="00F46D8E" w:rsidP="00C83508">
            <w:pPr>
              <w:rPr>
                <w:b/>
                <w:sz w:val="20"/>
                <w:szCs w:val="20"/>
              </w:rPr>
            </w:pPr>
            <w:r w:rsidRPr="004617E9">
              <w:rPr>
                <w:b/>
                <w:sz w:val="20"/>
                <w:szCs w:val="20"/>
              </w:rPr>
              <w:t>Responsible Unit(s)</w:t>
            </w:r>
          </w:p>
        </w:tc>
        <w:tc>
          <w:tcPr>
            <w:tcW w:w="6009" w:type="dxa"/>
            <w:gridSpan w:val="2"/>
            <w:shd w:val="clear" w:color="auto" w:fill="F3F3F3"/>
          </w:tcPr>
          <w:p w14:paraId="2DCCA402" w14:textId="77777777" w:rsidR="00F46D8E" w:rsidRPr="004617E9" w:rsidRDefault="00F46D8E" w:rsidP="00C83508">
            <w:pPr>
              <w:jc w:val="center"/>
              <w:rPr>
                <w:b/>
                <w:sz w:val="20"/>
                <w:szCs w:val="20"/>
              </w:rPr>
            </w:pPr>
            <w:r w:rsidRPr="004617E9">
              <w:rPr>
                <w:b/>
                <w:sz w:val="20"/>
                <w:szCs w:val="20"/>
              </w:rPr>
              <w:t>Tracking</w:t>
            </w:r>
          </w:p>
        </w:tc>
      </w:tr>
      <w:tr w:rsidR="00F46D8E" w:rsidRPr="004617E9" w14:paraId="14B1278D" w14:textId="77777777" w:rsidTr="00E25D66">
        <w:tc>
          <w:tcPr>
            <w:tcW w:w="3823" w:type="dxa"/>
            <w:vMerge/>
            <w:shd w:val="clear" w:color="auto" w:fill="auto"/>
          </w:tcPr>
          <w:p w14:paraId="4654609E" w14:textId="77777777" w:rsidR="00F46D8E" w:rsidRPr="004617E9" w:rsidRDefault="00F46D8E" w:rsidP="00C83508">
            <w:pPr>
              <w:rPr>
                <w:b/>
                <w:sz w:val="20"/>
                <w:szCs w:val="20"/>
              </w:rPr>
            </w:pPr>
          </w:p>
        </w:tc>
        <w:tc>
          <w:tcPr>
            <w:tcW w:w="1417" w:type="dxa"/>
            <w:vMerge/>
            <w:shd w:val="clear" w:color="auto" w:fill="auto"/>
          </w:tcPr>
          <w:p w14:paraId="2E0B78B2" w14:textId="77777777" w:rsidR="00F46D8E" w:rsidRPr="004617E9" w:rsidRDefault="00F46D8E" w:rsidP="00C83508">
            <w:pPr>
              <w:rPr>
                <w:b/>
                <w:sz w:val="20"/>
                <w:szCs w:val="20"/>
              </w:rPr>
            </w:pPr>
          </w:p>
        </w:tc>
        <w:tc>
          <w:tcPr>
            <w:tcW w:w="1701" w:type="dxa"/>
            <w:vMerge/>
            <w:shd w:val="clear" w:color="auto" w:fill="auto"/>
          </w:tcPr>
          <w:p w14:paraId="092222B4" w14:textId="77777777" w:rsidR="00F46D8E" w:rsidRPr="004617E9" w:rsidRDefault="00F46D8E" w:rsidP="00C83508">
            <w:pPr>
              <w:rPr>
                <w:b/>
                <w:sz w:val="20"/>
                <w:szCs w:val="20"/>
              </w:rPr>
            </w:pPr>
          </w:p>
        </w:tc>
        <w:tc>
          <w:tcPr>
            <w:tcW w:w="1559" w:type="dxa"/>
            <w:shd w:val="clear" w:color="auto" w:fill="auto"/>
          </w:tcPr>
          <w:p w14:paraId="7D9A054A" w14:textId="77777777" w:rsidR="00F46D8E" w:rsidRPr="004617E9" w:rsidRDefault="00F46D8E" w:rsidP="00C83508">
            <w:pPr>
              <w:jc w:val="center"/>
              <w:rPr>
                <w:b/>
                <w:sz w:val="20"/>
                <w:szCs w:val="20"/>
              </w:rPr>
            </w:pPr>
            <w:r w:rsidRPr="004617E9">
              <w:rPr>
                <w:b/>
                <w:sz w:val="20"/>
                <w:szCs w:val="20"/>
              </w:rPr>
              <w:t>Status</w:t>
            </w:r>
          </w:p>
        </w:tc>
        <w:tc>
          <w:tcPr>
            <w:tcW w:w="4450" w:type="dxa"/>
            <w:shd w:val="clear" w:color="auto" w:fill="auto"/>
          </w:tcPr>
          <w:p w14:paraId="18C9E70A" w14:textId="77777777" w:rsidR="00F46D8E" w:rsidRPr="004617E9" w:rsidRDefault="00F46D8E" w:rsidP="00C83508">
            <w:pPr>
              <w:jc w:val="center"/>
              <w:rPr>
                <w:b/>
                <w:sz w:val="20"/>
                <w:szCs w:val="20"/>
              </w:rPr>
            </w:pPr>
            <w:r w:rsidRPr="004617E9">
              <w:rPr>
                <w:b/>
                <w:sz w:val="20"/>
                <w:szCs w:val="20"/>
              </w:rPr>
              <w:t>Comments</w:t>
            </w:r>
          </w:p>
        </w:tc>
      </w:tr>
      <w:tr w:rsidR="00404F3B" w:rsidRPr="004617E9" w14:paraId="72F81B5B" w14:textId="77777777" w:rsidTr="00E25D66">
        <w:tc>
          <w:tcPr>
            <w:tcW w:w="3823" w:type="dxa"/>
            <w:shd w:val="clear" w:color="auto" w:fill="auto"/>
          </w:tcPr>
          <w:p w14:paraId="5DCC2BC5" w14:textId="6C0776E5" w:rsidR="00404F3B" w:rsidRPr="004617E9" w:rsidRDefault="00404F3B" w:rsidP="003931C7">
            <w:pPr>
              <w:rPr>
                <w:sz w:val="20"/>
                <w:szCs w:val="20"/>
              </w:rPr>
            </w:pPr>
            <w:r>
              <w:rPr>
                <w:sz w:val="20"/>
                <w:szCs w:val="20"/>
              </w:rPr>
              <w:lastRenderedPageBreak/>
              <w:t>6</w:t>
            </w:r>
            <w:r w:rsidRPr="004617E9">
              <w:rPr>
                <w:sz w:val="20"/>
                <w:szCs w:val="20"/>
              </w:rPr>
              <w:t>.1</w:t>
            </w:r>
            <w:r w:rsidR="00CB3ABC">
              <w:rPr>
                <w:sz w:val="20"/>
                <w:szCs w:val="20"/>
              </w:rPr>
              <w:t xml:space="preserve">. </w:t>
            </w:r>
            <w:r w:rsidR="0031600B">
              <w:rPr>
                <w:sz w:val="20"/>
                <w:szCs w:val="20"/>
              </w:rPr>
              <w:t xml:space="preserve">To finalize all the guidelines and standards </w:t>
            </w:r>
            <w:r w:rsidR="0031600B" w:rsidRPr="0031600B">
              <w:rPr>
                <w:sz w:val="20"/>
                <w:szCs w:val="20"/>
              </w:rPr>
              <w:t>on topics related to wind power</w:t>
            </w:r>
            <w:r w:rsidR="0031600B">
              <w:rPr>
                <w:sz w:val="20"/>
                <w:szCs w:val="20"/>
              </w:rPr>
              <w:t xml:space="preserve"> the project is working on</w:t>
            </w:r>
            <w:r w:rsidR="00CB3ABC" w:rsidRPr="00CB3ABC">
              <w:rPr>
                <w:sz w:val="20"/>
                <w:szCs w:val="20"/>
              </w:rPr>
              <w:t>.</w:t>
            </w:r>
          </w:p>
        </w:tc>
        <w:tc>
          <w:tcPr>
            <w:tcW w:w="1417" w:type="dxa"/>
            <w:shd w:val="clear" w:color="auto" w:fill="auto"/>
          </w:tcPr>
          <w:p w14:paraId="7CB807EB" w14:textId="01B9D354" w:rsidR="00404F3B" w:rsidRPr="004617E9" w:rsidRDefault="0031600B" w:rsidP="00C83508">
            <w:pPr>
              <w:rPr>
                <w:sz w:val="20"/>
                <w:szCs w:val="20"/>
              </w:rPr>
            </w:pPr>
            <w:r>
              <w:rPr>
                <w:sz w:val="20"/>
                <w:szCs w:val="20"/>
              </w:rPr>
              <w:t>By 1 July 2021</w:t>
            </w:r>
          </w:p>
        </w:tc>
        <w:tc>
          <w:tcPr>
            <w:tcW w:w="1701" w:type="dxa"/>
            <w:shd w:val="clear" w:color="auto" w:fill="auto"/>
          </w:tcPr>
          <w:p w14:paraId="3B14BD08" w14:textId="1ABB413B" w:rsidR="00404F3B" w:rsidRPr="004617E9" w:rsidRDefault="00CB3ABC" w:rsidP="00C83508">
            <w:pPr>
              <w:rPr>
                <w:sz w:val="20"/>
                <w:szCs w:val="20"/>
              </w:rPr>
            </w:pPr>
            <w:r>
              <w:rPr>
                <w:sz w:val="20"/>
                <w:szCs w:val="20"/>
              </w:rPr>
              <w:t>M</w:t>
            </w:r>
            <w:r w:rsidR="0031600B">
              <w:rPr>
                <w:sz w:val="20"/>
                <w:szCs w:val="20"/>
              </w:rPr>
              <w:t>oEnv</w:t>
            </w:r>
            <w:r>
              <w:rPr>
                <w:sz w:val="20"/>
                <w:szCs w:val="20"/>
              </w:rPr>
              <w:t>, PIU</w:t>
            </w:r>
          </w:p>
        </w:tc>
        <w:tc>
          <w:tcPr>
            <w:tcW w:w="1559" w:type="dxa"/>
            <w:shd w:val="clear" w:color="auto" w:fill="auto"/>
          </w:tcPr>
          <w:p w14:paraId="25A49CB9" w14:textId="6E33D478" w:rsidR="00404F3B" w:rsidRPr="004617E9" w:rsidRDefault="00CB3ABC" w:rsidP="00C83508">
            <w:pPr>
              <w:rPr>
                <w:sz w:val="20"/>
                <w:szCs w:val="20"/>
              </w:rPr>
            </w:pPr>
            <w:r>
              <w:rPr>
                <w:sz w:val="20"/>
                <w:szCs w:val="20"/>
              </w:rPr>
              <w:t>Completed</w:t>
            </w:r>
          </w:p>
        </w:tc>
        <w:tc>
          <w:tcPr>
            <w:tcW w:w="4450" w:type="dxa"/>
            <w:shd w:val="clear" w:color="auto" w:fill="auto"/>
          </w:tcPr>
          <w:p w14:paraId="371D1D41" w14:textId="00DC86BE" w:rsidR="00404F3B" w:rsidRPr="004617E9" w:rsidRDefault="0031600B" w:rsidP="00C83508">
            <w:pPr>
              <w:rPr>
                <w:sz w:val="20"/>
                <w:szCs w:val="20"/>
              </w:rPr>
            </w:pPr>
            <w:r>
              <w:rPr>
                <w:sz w:val="20"/>
                <w:szCs w:val="20"/>
              </w:rPr>
              <w:t>All project’s work on guidelines and standards</w:t>
            </w:r>
            <w:r w:rsidRPr="00CB3ABC">
              <w:rPr>
                <w:sz w:val="20"/>
                <w:szCs w:val="20"/>
              </w:rPr>
              <w:t xml:space="preserve"> </w:t>
            </w:r>
            <w:r>
              <w:rPr>
                <w:sz w:val="20"/>
                <w:szCs w:val="20"/>
              </w:rPr>
              <w:t>was finalized. The respective documents were handed over to the Ministry of Environment for approval/further processing.</w:t>
            </w:r>
          </w:p>
        </w:tc>
      </w:tr>
      <w:tr w:rsidR="005F772B" w:rsidRPr="004617E9" w14:paraId="4F4AB85B" w14:textId="77777777" w:rsidTr="00C83508">
        <w:tc>
          <w:tcPr>
            <w:tcW w:w="12950" w:type="dxa"/>
            <w:gridSpan w:val="5"/>
            <w:tcBorders>
              <w:bottom w:val="single" w:sz="4" w:space="0" w:color="auto"/>
            </w:tcBorders>
            <w:shd w:val="clear" w:color="auto" w:fill="E6E6E6"/>
          </w:tcPr>
          <w:p w14:paraId="314215CA" w14:textId="202C5D99" w:rsidR="005F772B" w:rsidRPr="00875CC0" w:rsidRDefault="005F772B" w:rsidP="00541854">
            <w:pPr>
              <w:rPr>
                <w:b/>
                <w:sz w:val="20"/>
                <w:szCs w:val="20"/>
              </w:rPr>
            </w:pPr>
            <w:r w:rsidRPr="00875CC0">
              <w:rPr>
                <w:b/>
                <w:sz w:val="20"/>
                <w:szCs w:val="20"/>
              </w:rPr>
              <w:t xml:space="preserve">Evaluation Recommendation </w:t>
            </w:r>
            <w:r w:rsidR="00B6450B" w:rsidRPr="00875CC0">
              <w:rPr>
                <w:b/>
                <w:sz w:val="20"/>
                <w:szCs w:val="20"/>
              </w:rPr>
              <w:t>7</w:t>
            </w:r>
            <w:r w:rsidRPr="00875CC0">
              <w:rPr>
                <w:b/>
                <w:sz w:val="20"/>
                <w:szCs w:val="20"/>
              </w:rPr>
              <w:t>:</w:t>
            </w:r>
            <w:r w:rsidRPr="00875CC0">
              <w:rPr>
                <w:rFonts w:ascii="TTF9o00" w:hAnsi="TTF9o00" w:cs="TTF9o00"/>
                <w:sz w:val="22"/>
                <w:szCs w:val="22"/>
                <w:lang w:eastAsia="zh-CN"/>
              </w:rPr>
              <w:t xml:space="preserve"> </w:t>
            </w:r>
            <w:r w:rsidR="00B4245F" w:rsidRPr="00875CC0">
              <w:rPr>
                <w:sz w:val="20"/>
                <w:szCs w:val="20"/>
              </w:rPr>
              <w:t>Investigate procurement support by UNDP in NIM implemented projects</w:t>
            </w:r>
          </w:p>
        </w:tc>
      </w:tr>
      <w:tr w:rsidR="005F772B" w:rsidRPr="004617E9" w14:paraId="1415201C" w14:textId="77777777" w:rsidTr="00C83508">
        <w:tc>
          <w:tcPr>
            <w:tcW w:w="12950" w:type="dxa"/>
            <w:gridSpan w:val="5"/>
            <w:shd w:val="clear" w:color="auto" w:fill="F3F3F3"/>
          </w:tcPr>
          <w:p w14:paraId="008F49F6" w14:textId="2315B561" w:rsidR="005F772B" w:rsidRPr="00875CC0" w:rsidRDefault="005F772B" w:rsidP="00C83508">
            <w:pPr>
              <w:rPr>
                <w:b/>
                <w:sz w:val="20"/>
                <w:szCs w:val="20"/>
              </w:rPr>
            </w:pPr>
            <w:r w:rsidRPr="00875CC0">
              <w:rPr>
                <w:b/>
                <w:sz w:val="20"/>
                <w:szCs w:val="20"/>
              </w:rPr>
              <w:t>Management Response:</w:t>
            </w:r>
            <w:r w:rsidRPr="00875CC0">
              <w:rPr>
                <w:sz w:val="20"/>
                <w:szCs w:val="20"/>
              </w:rPr>
              <w:t xml:space="preserve"> </w:t>
            </w:r>
            <w:r w:rsidR="00B4245F" w:rsidRPr="00875CC0">
              <w:rPr>
                <w:sz w:val="20"/>
                <w:szCs w:val="20"/>
              </w:rPr>
              <w:t xml:space="preserve"> </w:t>
            </w:r>
            <w:r w:rsidR="0071492C">
              <w:rPr>
                <w:sz w:val="20"/>
                <w:szCs w:val="20"/>
              </w:rPr>
              <w:t>A</w:t>
            </w:r>
            <w:r w:rsidR="00B4245F" w:rsidRPr="00875CC0">
              <w:rPr>
                <w:sz w:val="20"/>
                <w:szCs w:val="20"/>
              </w:rPr>
              <w:t>ccept</w:t>
            </w:r>
            <w:r w:rsidR="00384480">
              <w:rPr>
                <w:sz w:val="20"/>
                <w:szCs w:val="20"/>
              </w:rPr>
              <w:t>ed</w:t>
            </w:r>
          </w:p>
        </w:tc>
      </w:tr>
      <w:tr w:rsidR="005F772B" w:rsidRPr="004617E9" w14:paraId="1AB7B348" w14:textId="77777777" w:rsidTr="00E25D66">
        <w:tc>
          <w:tcPr>
            <w:tcW w:w="3823" w:type="dxa"/>
            <w:vMerge w:val="restart"/>
            <w:shd w:val="clear" w:color="auto" w:fill="F3F3F3"/>
          </w:tcPr>
          <w:p w14:paraId="097D9F6E" w14:textId="77777777" w:rsidR="005F772B" w:rsidRPr="004617E9" w:rsidRDefault="005F772B" w:rsidP="00C83508">
            <w:pPr>
              <w:rPr>
                <w:b/>
                <w:sz w:val="20"/>
                <w:szCs w:val="20"/>
              </w:rPr>
            </w:pPr>
            <w:r w:rsidRPr="004617E9">
              <w:rPr>
                <w:b/>
                <w:sz w:val="20"/>
                <w:szCs w:val="20"/>
              </w:rPr>
              <w:t>Key Action(s)</w:t>
            </w:r>
          </w:p>
        </w:tc>
        <w:tc>
          <w:tcPr>
            <w:tcW w:w="1417" w:type="dxa"/>
            <w:vMerge w:val="restart"/>
            <w:shd w:val="clear" w:color="auto" w:fill="F3F3F3"/>
          </w:tcPr>
          <w:p w14:paraId="3359E1FE" w14:textId="77777777" w:rsidR="005F772B" w:rsidRPr="004617E9" w:rsidRDefault="005F772B" w:rsidP="00C83508">
            <w:pPr>
              <w:rPr>
                <w:b/>
                <w:sz w:val="20"/>
                <w:szCs w:val="20"/>
              </w:rPr>
            </w:pPr>
            <w:r w:rsidRPr="004617E9">
              <w:rPr>
                <w:b/>
                <w:sz w:val="20"/>
                <w:szCs w:val="20"/>
              </w:rPr>
              <w:t>Time Frame</w:t>
            </w:r>
          </w:p>
        </w:tc>
        <w:tc>
          <w:tcPr>
            <w:tcW w:w="1701" w:type="dxa"/>
            <w:vMerge w:val="restart"/>
            <w:shd w:val="clear" w:color="auto" w:fill="F3F3F3"/>
          </w:tcPr>
          <w:p w14:paraId="1A3F90C0" w14:textId="77777777" w:rsidR="005F772B" w:rsidRPr="004617E9" w:rsidRDefault="005F772B" w:rsidP="00C83508">
            <w:pPr>
              <w:rPr>
                <w:b/>
                <w:sz w:val="20"/>
                <w:szCs w:val="20"/>
              </w:rPr>
            </w:pPr>
            <w:r w:rsidRPr="004617E9">
              <w:rPr>
                <w:b/>
                <w:sz w:val="20"/>
                <w:szCs w:val="20"/>
              </w:rPr>
              <w:t>Responsible Unit(s)</w:t>
            </w:r>
          </w:p>
        </w:tc>
        <w:tc>
          <w:tcPr>
            <w:tcW w:w="6009" w:type="dxa"/>
            <w:gridSpan w:val="2"/>
            <w:shd w:val="clear" w:color="auto" w:fill="F3F3F3"/>
          </w:tcPr>
          <w:p w14:paraId="13A0CBD0" w14:textId="77777777" w:rsidR="005F772B" w:rsidRPr="004617E9" w:rsidRDefault="005F772B" w:rsidP="00C83508">
            <w:pPr>
              <w:jc w:val="center"/>
              <w:rPr>
                <w:b/>
                <w:sz w:val="20"/>
                <w:szCs w:val="20"/>
              </w:rPr>
            </w:pPr>
            <w:r w:rsidRPr="004617E9">
              <w:rPr>
                <w:b/>
                <w:sz w:val="20"/>
                <w:szCs w:val="20"/>
              </w:rPr>
              <w:t>Tracking</w:t>
            </w:r>
          </w:p>
        </w:tc>
      </w:tr>
      <w:tr w:rsidR="005F772B" w:rsidRPr="004617E9" w14:paraId="58DAB2D1" w14:textId="77777777" w:rsidTr="00E25D66">
        <w:tc>
          <w:tcPr>
            <w:tcW w:w="3823" w:type="dxa"/>
            <w:vMerge/>
            <w:shd w:val="clear" w:color="auto" w:fill="auto"/>
          </w:tcPr>
          <w:p w14:paraId="1465A2A5" w14:textId="77777777" w:rsidR="005F772B" w:rsidRPr="004617E9" w:rsidRDefault="005F772B" w:rsidP="00C83508">
            <w:pPr>
              <w:rPr>
                <w:b/>
                <w:sz w:val="20"/>
                <w:szCs w:val="20"/>
              </w:rPr>
            </w:pPr>
          </w:p>
        </w:tc>
        <w:tc>
          <w:tcPr>
            <w:tcW w:w="1417" w:type="dxa"/>
            <w:vMerge/>
            <w:shd w:val="clear" w:color="auto" w:fill="auto"/>
          </w:tcPr>
          <w:p w14:paraId="1A1D48BB" w14:textId="77777777" w:rsidR="005F772B" w:rsidRPr="004617E9" w:rsidRDefault="005F772B" w:rsidP="00C83508">
            <w:pPr>
              <w:rPr>
                <w:b/>
                <w:sz w:val="20"/>
                <w:szCs w:val="20"/>
              </w:rPr>
            </w:pPr>
          </w:p>
        </w:tc>
        <w:tc>
          <w:tcPr>
            <w:tcW w:w="1701" w:type="dxa"/>
            <w:vMerge/>
            <w:shd w:val="clear" w:color="auto" w:fill="auto"/>
          </w:tcPr>
          <w:p w14:paraId="707BF347" w14:textId="77777777" w:rsidR="005F772B" w:rsidRPr="004617E9" w:rsidRDefault="005F772B" w:rsidP="00C83508">
            <w:pPr>
              <w:rPr>
                <w:b/>
                <w:sz w:val="20"/>
                <w:szCs w:val="20"/>
              </w:rPr>
            </w:pPr>
          </w:p>
        </w:tc>
        <w:tc>
          <w:tcPr>
            <w:tcW w:w="1559" w:type="dxa"/>
            <w:shd w:val="clear" w:color="auto" w:fill="auto"/>
          </w:tcPr>
          <w:p w14:paraId="5E30DBF8" w14:textId="77777777" w:rsidR="005F772B" w:rsidRPr="004617E9" w:rsidRDefault="005F772B" w:rsidP="00C83508">
            <w:pPr>
              <w:jc w:val="center"/>
              <w:rPr>
                <w:b/>
                <w:sz w:val="20"/>
                <w:szCs w:val="20"/>
              </w:rPr>
            </w:pPr>
            <w:r w:rsidRPr="004617E9">
              <w:rPr>
                <w:b/>
                <w:sz w:val="20"/>
                <w:szCs w:val="20"/>
              </w:rPr>
              <w:t>Status</w:t>
            </w:r>
          </w:p>
        </w:tc>
        <w:tc>
          <w:tcPr>
            <w:tcW w:w="4450" w:type="dxa"/>
            <w:shd w:val="clear" w:color="auto" w:fill="auto"/>
          </w:tcPr>
          <w:p w14:paraId="1373B45B" w14:textId="77777777" w:rsidR="005F772B" w:rsidRPr="004617E9" w:rsidRDefault="005F772B" w:rsidP="00C83508">
            <w:pPr>
              <w:jc w:val="center"/>
              <w:rPr>
                <w:b/>
                <w:sz w:val="20"/>
                <w:szCs w:val="20"/>
              </w:rPr>
            </w:pPr>
            <w:r w:rsidRPr="004617E9">
              <w:rPr>
                <w:b/>
                <w:sz w:val="20"/>
                <w:szCs w:val="20"/>
              </w:rPr>
              <w:t>Comments</w:t>
            </w:r>
          </w:p>
        </w:tc>
      </w:tr>
      <w:tr w:rsidR="005F772B" w:rsidRPr="004617E9" w14:paraId="20923FCB" w14:textId="77777777" w:rsidTr="00E25D66">
        <w:tc>
          <w:tcPr>
            <w:tcW w:w="3823" w:type="dxa"/>
            <w:shd w:val="clear" w:color="auto" w:fill="auto"/>
          </w:tcPr>
          <w:p w14:paraId="590AD8C3" w14:textId="4B7088A9" w:rsidR="005F772B" w:rsidRPr="004617E9" w:rsidRDefault="000C31D7" w:rsidP="00C83508">
            <w:pPr>
              <w:rPr>
                <w:sz w:val="20"/>
                <w:szCs w:val="20"/>
              </w:rPr>
            </w:pPr>
            <w:r>
              <w:rPr>
                <w:sz w:val="20"/>
                <w:szCs w:val="20"/>
              </w:rPr>
              <w:t>7</w:t>
            </w:r>
            <w:r w:rsidR="005D1424">
              <w:rPr>
                <w:sz w:val="20"/>
                <w:szCs w:val="20"/>
              </w:rPr>
              <w:t>.1</w:t>
            </w:r>
            <w:r w:rsidR="00D75C81">
              <w:rPr>
                <w:sz w:val="20"/>
                <w:szCs w:val="20"/>
              </w:rPr>
              <w:t>.</w:t>
            </w:r>
            <w:r w:rsidR="005D1424">
              <w:rPr>
                <w:sz w:val="20"/>
                <w:szCs w:val="20"/>
              </w:rPr>
              <w:t xml:space="preserve"> </w:t>
            </w:r>
            <w:r w:rsidR="00D75C81">
              <w:rPr>
                <w:sz w:val="20"/>
                <w:szCs w:val="20"/>
              </w:rPr>
              <w:t xml:space="preserve">To </w:t>
            </w:r>
            <w:r w:rsidR="00875CC0">
              <w:rPr>
                <w:sz w:val="20"/>
                <w:szCs w:val="20"/>
              </w:rPr>
              <w:t xml:space="preserve">explore options available to UNDP to </w:t>
            </w:r>
            <w:r w:rsidR="00D75C81">
              <w:rPr>
                <w:sz w:val="20"/>
                <w:szCs w:val="20"/>
              </w:rPr>
              <w:t xml:space="preserve">provide </w:t>
            </w:r>
            <w:r w:rsidR="00875CC0">
              <w:rPr>
                <w:sz w:val="20"/>
                <w:szCs w:val="20"/>
              </w:rPr>
              <w:t>procurement support to full-NIM projects.</w:t>
            </w:r>
          </w:p>
        </w:tc>
        <w:tc>
          <w:tcPr>
            <w:tcW w:w="1417" w:type="dxa"/>
            <w:shd w:val="clear" w:color="auto" w:fill="auto"/>
          </w:tcPr>
          <w:p w14:paraId="102A8CB5" w14:textId="39E5D230" w:rsidR="005F772B" w:rsidRPr="004617E9" w:rsidRDefault="00B2133E" w:rsidP="00C83508">
            <w:pPr>
              <w:rPr>
                <w:sz w:val="20"/>
                <w:szCs w:val="20"/>
              </w:rPr>
            </w:pPr>
            <w:r>
              <w:rPr>
                <w:sz w:val="20"/>
                <w:szCs w:val="20"/>
              </w:rPr>
              <w:t xml:space="preserve">Jul </w:t>
            </w:r>
            <w:r w:rsidR="00875CC0">
              <w:rPr>
                <w:sz w:val="20"/>
                <w:szCs w:val="20"/>
              </w:rPr>
              <w:t>2021-</w:t>
            </w:r>
            <w:r>
              <w:rPr>
                <w:sz w:val="20"/>
                <w:szCs w:val="20"/>
              </w:rPr>
              <w:t xml:space="preserve">Dec </w:t>
            </w:r>
            <w:r w:rsidR="00875CC0">
              <w:rPr>
                <w:sz w:val="20"/>
                <w:szCs w:val="20"/>
              </w:rPr>
              <w:t>2022</w:t>
            </w:r>
          </w:p>
        </w:tc>
        <w:tc>
          <w:tcPr>
            <w:tcW w:w="1701" w:type="dxa"/>
            <w:shd w:val="clear" w:color="auto" w:fill="auto"/>
          </w:tcPr>
          <w:p w14:paraId="4B64A364" w14:textId="527D9AE4" w:rsidR="005F772B" w:rsidRPr="004617E9" w:rsidRDefault="00D75C81" w:rsidP="00C83508">
            <w:pPr>
              <w:rPr>
                <w:sz w:val="20"/>
                <w:szCs w:val="20"/>
              </w:rPr>
            </w:pPr>
            <w:r>
              <w:rPr>
                <w:sz w:val="20"/>
                <w:szCs w:val="20"/>
              </w:rPr>
              <w:t>UNDP</w:t>
            </w:r>
            <w:r w:rsidR="00875CC0">
              <w:rPr>
                <w:sz w:val="20"/>
                <w:szCs w:val="20"/>
              </w:rPr>
              <w:t>, MoEnv, MoEconomy</w:t>
            </w:r>
          </w:p>
        </w:tc>
        <w:tc>
          <w:tcPr>
            <w:tcW w:w="1559" w:type="dxa"/>
            <w:shd w:val="clear" w:color="auto" w:fill="auto"/>
          </w:tcPr>
          <w:p w14:paraId="6EDD1089" w14:textId="297AC5E0" w:rsidR="005F772B" w:rsidRPr="004617E9" w:rsidRDefault="00D75C81" w:rsidP="00C83508">
            <w:pPr>
              <w:rPr>
                <w:sz w:val="20"/>
                <w:szCs w:val="20"/>
              </w:rPr>
            </w:pPr>
            <w:r>
              <w:rPr>
                <w:sz w:val="20"/>
                <w:szCs w:val="20"/>
              </w:rPr>
              <w:t>Ongoing</w:t>
            </w:r>
          </w:p>
        </w:tc>
        <w:tc>
          <w:tcPr>
            <w:tcW w:w="4450" w:type="dxa"/>
            <w:shd w:val="clear" w:color="auto" w:fill="auto"/>
          </w:tcPr>
          <w:p w14:paraId="31D05679" w14:textId="558DB2D4" w:rsidR="005F772B" w:rsidRPr="00CB3ABC" w:rsidRDefault="00875CC0" w:rsidP="00C83508">
            <w:pPr>
              <w:rPr>
                <w:sz w:val="20"/>
                <w:szCs w:val="20"/>
              </w:rPr>
            </w:pPr>
            <w:r>
              <w:rPr>
                <w:sz w:val="20"/>
                <w:szCs w:val="20"/>
              </w:rPr>
              <w:t xml:space="preserve">Taking into account that </w:t>
            </w:r>
            <w:r w:rsidR="00CB3ABC">
              <w:rPr>
                <w:sz w:val="20"/>
                <w:szCs w:val="20"/>
              </w:rPr>
              <w:t xml:space="preserve">UNDP </w:t>
            </w:r>
            <w:r>
              <w:rPr>
                <w:sz w:val="20"/>
                <w:szCs w:val="20"/>
              </w:rPr>
              <w:t xml:space="preserve">involvement in implementing NIM projects will be very limited, options available to UNDP to provide procurement support </w:t>
            </w:r>
            <w:r w:rsidR="00FA2E6E">
              <w:rPr>
                <w:sz w:val="20"/>
                <w:szCs w:val="20"/>
              </w:rPr>
              <w:t xml:space="preserve">to NIM projects </w:t>
            </w:r>
            <w:r w:rsidR="0030378D">
              <w:rPr>
                <w:sz w:val="20"/>
                <w:szCs w:val="20"/>
              </w:rPr>
              <w:t xml:space="preserve">funded by the GEF </w:t>
            </w:r>
            <w:r>
              <w:rPr>
                <w:sz w:val="20"/>
                <w:szCs w:val="20"/>
              </w:rPr>
              <w:t xml:space="preserve">will be closely </w:t>
            </w:r>
            <w:r w:rsidR="0030378D">
              <w:rPr>
                <w:sz w:val="20"/>
                <w:szCs w:val="20"/>
              </w:rPr>
              <w:t xml:space="preserve">and carefully </w:t>
            </w:r>
            <w:r>
              <w:rPr>
                <w:sz w:val="20"/>
                <w:szCs w:val="20"/>
              </w:rPr>
              <w:t>explored and discussed with national partners and UNDP IRH and HQ.</w:t>
            </w:r>
          </w:p>
        </w:tc>
      </w:tr>
      <w:tr w:rsidR="005F772B" w:rsidRPr="004617E9" w14:paraId="37055DC0" w14:textId="77777777" w:rsidTr="00C83508">
        <w:tc>
          <w:tcPr>
            <w:tcW w:w="12950" w:type="dxa"/>
            <w:gridSpan w:val="5"/>
            <w:tcBorders>
              <w:bottom w:val="single" w:sz="4" w:space="0" w:color="auto"/>
            </w:tcBorders>
            <w:shd w:val="clear" w:color="auto" w:fill="E6E6E6"/>
          </w:tcPr>
          <w:p w14:paraId="1AF152E2" w14:textId="7FD84931" w:rsidR="005F772B" w:rsidRPr="004617E9" w:rsidRDefault="005F772B" w:rsidP="005D1424">
            <w:pPr>
              <w:rPr>
                <w:b/>
                <w:sz w:val="20"/>
                <w:szCs w:val="20"/>
              </w:rPr>
            </w:pPr>
            <w:r w:rsidRPr="004617E9">
              <w:rPr>
                <w:b/>
                <w:sz w:val="20"/>
                <w:szCs w:val="20"/>
              </w:rPr>
              <w:t xml:space="preserve">Evaluation Recommendation </w:t>
            </w:r>
            <w:r w:rsidR="00B41B52">
              <w:rPr>
                <w:b/>
                <w:sz w:val="20"/>
                <w:szCs w:val="20"/>
              </w:rPr>
              <w:t>8</w:t>
            </w:r>
            <w:r w:rsidRPr="004617E9">
              <w:rPr>
                <w:b/>
                <w:sz w:val="20"/>
                <w:szCs w:val="20"/>
              </w:rPr>
              <w:t>:</w:t>
            </w:r>
            <w:r>
              <w:rPr>
                <w:rFonts w:ascii="TTF9o00" w:hAnsi="TTF9o00" w:cs="TTF9o00"/>
                <w:sz w:val="22"/>
                <w:szCs w:val="22"/>
                <w:lang w:eastAsia="zh-CN"/>
              </w:rPr>
              <w:t xml:space="preserve"> </w:t>
            </w:r>
            <w:r w:rsidR="00B4245F" w:rsidRPr="00B4245F">
              <w:rPr>
                <w:sz w:val="20"/>
                <w:szCs w:val="20"/>
              </w:rPr>
              <w:t>Agree on future of project website</w:t>
            </w:r>
          </w:p>
        </w:tc>
      </w:tr>
      <w:tr w:rsidR="005F772B" w:rsidRPr="004617E9" w14:paraId="330BB6E8" w14:textId="77777777" w:rsidTr="00C83508">
        <w:tc>
          <w:tcPr>
            <w:tcW w:w="12950" w:type="dxa"/>
            <w:gridSpan w:val="5"/>
            <w:shd w:val="clear" w:color="auto" w:fill="F3F3F3"/>
          </w:tcPr>
          <w:p w14:paraId="63EA6AAF" w14:textId="12DC1CE3" w:rsidR="005F772B" w:rsidRPr="004617E9" w:rsidRDefault="005F772B" w:rsidP="00C83508">
            <w:pPr>
              <w:rPr>
                <w:b/>
                <w:sz w:val="20"/>
                <w:szCs w:val="20"/>
              </w:rPr>
            </w:pPr>
            <w:r w:rsidRPr="004617E9">
              <w:rPr>
                <w:b/>
                <w:sz w:val="20"/>
                <w:szCs w:val="20"/>
              </w:rPr>
              <w:t>Management Response:</w:t>
            </w:r>
            <w:r w:rsidR="00384480">
              <w:rPr>
                <w:b/>
                <w:sz w:val="20"/>
                <w:szCs w:val="20"/>
              </w:rPr>
              <w:t xml:space="preserve"> </w:t>
            </w:r>
            <w:r w:rsidR="0031600B">
              <w:rPr>
                <w:sz w:val="20"/>
                <w:szCs w:val="20"/>
              </w:rPr>
              <w:t>Accepted</w:t>
            </w:r>
          </w:p>
        </w:tc>
      </w:tr>
      <w:tr w:rsidR="005F772B" w:rsidRPr="004617E9" w14:paraId="0369F352" w14:textId="77777777" w:rsidTr="00E25D66">
        <w:tc>
          <w:tcPr>
            <w:tcW w:w="3823" w:type="dxa"/>
            <w:vMerge w:val="restart"/>
            <w:shd w:val="clear" w:color="auto" w:fill="F3F3F3"/>
          </w:tcPr>
          <w:p w14:paraId="6374BB5F" w14:textId="77777777" w:rsidR="005F772B" w:rsidRPr="004617E9" w:rsidRDefault="005F772B" w:rsidP="00C83508">
            <w:pPr>
              <w:rPr>
                <w:b/>
                <w:sz w:val="20"/>
                <w:szCs w:val="20"/>
              </w:rPr>
            </w:pPr>
            <w:r w:rsidRPr="004617E9">
              <w:rPr>
                <w:b/>
                <w:sz w:val="20"/>
                <w:szCs w:val="20"/>
              </w:rPr>
              <w:t>Key Action(s)</w:t>
            </w:r>
          </w:p>
        </w:tc>
        <w:tc>
          <w:tcPr>
            <w:tcW w:w="1417" w:type="dxa"/>
            <w:vMerge w:val="restart"/>
            <w:shd w:val="clear" w:color="auto" w:fill="F3F3F3"/>
          </w:tcPr>
          <w:p w14:paraId="1045043B" w14:textId="77777777" w:rsidR="005F772B" w:rsidRPr="004617E9" w:rsidRDefault="005F772B" w:rsidP="00C83508">
            <w:pPr>
              <w:rPr>
                <w:b/>
                <w:sz w:val="20"/>
                <w:szCs w:val="20"/>
              </w:rPr>
            </w:pPr>
            <w:r w:rsidRPr="004617E9">
              <w:rPr>
                <w:b/>
                <w:sz w:val="20"/>
                <w:szCs w:val="20"/>
              </w:rPr>
              <w:t>Time Frame</w:t>
            </w:r>
          </w:p>
        </w:tc>
        <w:tc>
          <w:tcPr>
            <w:tcW w:w="1701" w:type="dxa"/>
            <w:vMerge w:val="restart"/>
            <w:shd w:val="clear" w:color="auto" w:fill="F3F3F3"/>
          </w:tcPr>
          <w:p w14:paraId="42C0014F" w14:textId="77777777" w:rsidR="005F772B" w:rsidRPr="004617E9" w:rsidRDefault="005F772B" w:rsidP="00C83508">
            <w:pPr>
              <w:rPr>
                <w:b/>
                <w:sz w:val="20"/>
                <w:szCs w:val="20"/>
              </w:rPr>
            </w:pPr>
            <w:r w:rsidRPr="004617E9">
              <w:rPr>
                <w:b/>
                <w:sz w:val="20"/>
                <w:szCs w:val="20"/>
              </w:rPr>
              <w:t>Responsible Unit(s)</w:t>
            </w:r>
          </w:p>
        </w:tc>
        <w:tc>
          <w:tcPr>
            <w:tcW w:w="6009" w:type="dxa"/>
            <w:gridSpan w:val="2"/>
            <w:shd w:val="clear" w:color="auto" w:fill="F3F3F3"/>
          </w:tcPr>
          <w:p w14:paraId="5AFEFE2D" w14:textId="77777777" w:rsidR="005F772B" w:rsidRPr="004617E9" w:rsidRDefault="005F772B" w:rsidP="00C83508">
            <w:pPr>
              <w:jc w:val="center"/>
              <w:rPr>
                <w:b/>
                <w:sz w:val="20"/>
                <w:szCs w:val="20"/>
              </w:rPr>
            </w:pPr>
            <w:r w:rsidRPr="004617E9">
              <w:rPr>
                <w:b/>
                <w:sz w:val="20"/>
                <w:szCs w:val="20"/>
              </w:rPr>
              <w:t>Tracking</w:t>
            </w:r>
          </w:p>
        </w:tc>
      </w:tr>
      <w:tr w:rsidR="005F772B" w:rsidRPr="004617E9" w14:paraId="497C667D" w14:textId="77777777" w:rsidTr="00E25D66">
        <w:tc>
          <w:tcPr>
            <w:tcW w:w="3823" w:type="dxa"/>
            <w:vMerge/>
            <w:shd w:val="clear" w:color="auto" w:fill="auto"/>
          </w:tcPr>
          <w:p w14:paraId="12A844A4" w14:textId="77777777" w:rsidR="005F772B" w:rsidRPr="004617E9" w:rsidRDefault="005F772B" w:rsidP="00C83508">
            <w:pPr>
              <w:rPr>
                <w:b/>
                <w:sz w:val="20"/>
                <w:szCs w:val="20"/>
              </w:rPr>
            </w:pPr>
          </w:p>
        </w:tc>
        <w:tc>
          <w:tcPr>
            <w:tcW w:w="1417" w:type="dxa"/>
            <w:vMerge/>
            <w:shd w:val="clear" w:color="auto" w:fill="auto"/>
          </w:tcPr>
          <w:p w14:paraId="5C5E15BA" w14:textId="77777777" w:rsidR="005F772B" w:rsidRPr="004617E9" w:rsidRDefault="005F772B" w:rsidP="00C83508">
            <w:pPr>
              <w:rPr>
                <w:b/>
                <w:sz w:val="20"/>
                <w:szCs w:val="20"/>
              </w:rPr>
            </w:pPr>
          </w:p>
        </w:tc>
        <w:tc>
          <w:tcPr>
            <w:tcW w:w="1701" w:type="dxa"/>
            <w:vMerge/>
            <w:shd w:val="clear" w:color="auto" w:fill="auto"/>
          </w:tcPr>
          <w:p w14:paraId="20746BB8" w14:textId="77777777" w:rsidR="005F772B" w:rsidRPr="004617E9" w:rsidRDefault="005F772B" w:rsidP="00C83508">
            <w:pPr>
              <w:rPr>
                <w:b/>
                <w:sz w:val="20"/>
                <w:szCs w:val="20"/>
              </w:rPr>
            </w:pPr>
          </w:p>
        </w:tc>
        <w:tc>
          <w:tcPr>
            <w:tcW w:w="1559" w:type="dxa"/>
            <w:shd w:val="clear" w:color="auto" w:fill="auto"/>
          </w:tcPr>
          <w:p w14:paraId="2D5541F2" w14:textId="77777777" w:rsidR="005F772B" w:rsidRPr="004617E9" w:rsidRDefault="005F772B" w:rsidP="00C83508">
            <w:pPr>
              <w:jc w:val="center"/>
              <w:rPr>
                <w:b/>
                <w:sz w:val="20"/>
                <w:szCs w:val="20"/>
              </w:rPr>
            </w:pPr>
            <w:r w:rsidRPr="004617E9">
              <w:rPr>
                <w:b/>
                <w:sz w:val="20"/>
                <w:szCs w:val="20"/>
              </w:rPr>
              <w:t>Status</w:t>
            </w:r>
          </w:p>
        </w:tc>
        <w:tc>
          <w:tcPr>
            <w:tcW w:w="4450" w:type="dxa"/>
            <w:shd w:val="clear" w:color="auto" w:fill="auto"/>
          </w:tcPr>
          <w:p w14:paraId="3ACF9B0F" w14:textId="77777777" w:rsidR="005F772B" w:rsidRPr="004617E9" w:rsidRDefault="005F772B" w:rsidP="00C83508">
            <w:pPr>
              <w:jc w:val="center"/>
              <w:rPr>
                <w:b/>
                <w:sz w:val="20"/>
                <w:szCs w:val="20"/>
              </w:rPr>
            </w:pPr>
            <w:r w:rsidRPr="004617E9">
              <w:rPr>
                <w:b/>
                <w:sz w:val="20"/>
                <w:szCs w:val="20"/>
              </w:rPr>
              <w:t>Comments</w:t>
            </w:r>
          </w:p>
        </w:tc>
      </w:tr>
      <w:tr w:rsidR="005F772B" w:rsidRPr="004617E9" w14:paraId="0A3553C5" w14:textId="77777777" w:rsidTr="00E25D66">
        <w:tc>
          <w:tcPr>
            <w:tcW w:w="3823" w:type="dxa"/>
            <w:shd w:val="clear" w:color="auto" w:fill="auto"/>
          </w:tcPr>
          <w:p w14:paraId="4474B3A9" w14:textId="5D019E7B" w:rsidR="005F772B" w:rsidRPr="004617E9" w:rsidRDefault="000560F8" w:rsidP="00A672AE">
            <w:pPr>
              <w:rPr>
                <w:sz w:val="20"/>
                <w:szCs w:val="20"/>
              </w:rPr>
            </w:pPr>
            <w:r>
              <w:rPr>
                <w:sz w:val="20"/>
                <w:szCs w:val="20"/>
              </w:rPr>
              <w:t>8</w:t>
            </w:r>
            <w:r w:rsidR="005F772B" w:rsidRPr="004617E9">
              <w:rPr>
                <w:sz w:val="20"/>
                <w:szCs w:val="20"/>
              </w:rPr>
              <w:t>.1</w:t>
            </w:r>
            <w:r w:rsidR="00D75C81">
              <w:rPr>
                <w:sz w:val="20"/>
                <w:szCs w:val="20"/>
              </w:rPr>
              <w:t>.</w:t>
            </w:r>
            <w:r w:rsidR="005F772B" w:rsidRPr="004617E9">
              <w:rPr>
                <w:sz w:val="20"/>
                <w:szCs w:val="20"/>
              </w:rPr>
              <w:t xml:space="preserve">  </w:t>
            </w:r>
            <w:r w:rsidR="00A672AE">
              <w:rPr>
                <w:sz w:val="20"/>
                <w:szCs w:val="20"/>
              </w:rPr>
              <w:t xml:space="preserve">Transfer of selected information to the Ministry of Environment, the Hydromet and the </w:t>
            </w:r>
            <w:r w:rsidR="00A672AE" w:rsidRPr="00A672AE">
              <w:rPr>
                <w:sz w:val="20"/>
                <w:szCs w:val="20"/>
              </w:rPr>
              <w:t>Wind Private Finance Initiative</w:t>
            </w:r>
            <w:r w:rsidR="00A672AE">
              <w:rPr>
                <w:sz w:val="20"/>
                <w:szCs w:val="20"/>
              </w:rPr>
              <w:t xml:space="preserve"> (created with project support).</w:t>
            </w:r>
          </w:p>
        </w:tc>
        <w:tc>
          <w:tcPr>
            <w:tcW w:w="1417" w:type="dxa"/>
            <w:shd w:val="clear" w:color="auto" w:fill="auto"/>
          </w:tcPr>
          <w:p w14:paraId="4C1D2399" w14:textId="269BF1E3" w:rsidR="005F772B" w:rsidRPr="004617E9" w:rsidRDefault="00A672AE" w:rsidP="00C83508">
            <w:pPr>
              <w:rPr>
                <w:sz w:val="20"/>
                <w:szCs w:val="20"/>
              </w:rPr>
            </w:pPr>
            <w:r>
              <w:rPr>
                <w:sz w:val="20"/>
                <w:szCs w:val="20"/>
              </w:rPr>
              <w:t>Jul-Sep 2021</w:t>
            </w:r>
          </w:p>
        </w:tc>
        <w:tc>
          <w:tcPr>
            <w:tcW w:w="1701" w:type="dxa"/>
            <w:shd w:val="clear" w:color="auto" w:fill="auto"/>
          </w:tcPr>
          <w:p w14:paraId="14EB902F" w14:textId="6B1BA4CC" w:rsidR="005F772B" w:rsidRPr="004617E9" w:rsidRDefault="009B3BDF" w:rsidP="00C83508">
            <w:pPr>
              <w:rPr>
                <w:sz w:val="20"/>
                <w:szCs w:val="20"/>
              </w:rPr>
            </w:pPr>
            <w:r>
              <w:rPr>
                <w:sz w:val="20"/>
                <w:szCs w:val="20"/>
              </w:rPr>
              <w:t xml:space="preserve">PIU, </w:t>
            </w:r>
            <w:r w:rsidR="00D75C81">
              <w:rPr>
                <w:sz w:val="20"/>
                <w:szCs w:val="20"/>
              </w:rPr>
              <w:t>M</w:t>
            </w:r>
            <w:r w:rsidR="00875CC0">
              <w:rPr>
                <w:sz w:val="20"/>
                <w:szCs w:val="20"/>
              </w:rPr>
              <w:t>oEnv</w:t>
            </w:r>
            <w:r w:rsidR="00A672AE">
              <w:rPr>
                <w:sz w:val="20"/>
                <w:szCs w:val="20"/>
              </w:rPr>
              <w:t>, Hydromet, WPFI</w:t>
            </w:r>
          </w:p>
        </w:tc>
        <w:tc>
          <w:tcPr>
            <w:tcW w:w="1559" w:type="dxa"/>
            <w:shd w:val="clear" w:color="auto" w:fill="auto"/>
          </w:tcPr>
          <w:p w14:paraId="2C070842" w14:textId="0220B1FF" w:rsidR="005F772B" w:rsidRPr="004617E9" w:rsidRDefault="00996419" w:rsidP="00C83508">
            <w:pPr>
              <w:rPr>
                <w:sz w:val="20"/>
                <w:szCs w:val="20"/>
              </w:rPr>
            </w:pPr>
            <w:r>
              <w:rPr>
                <w:sz w:val="20"/>
                <w:szCs w:val="20"/>
              </w:rPr>
              <w:t>Ongoing</w:t>
            </w:r>
          </w:p>
        </w:tc>
        <w:tc>
          <w:tcPr>
            <w:tcW w:w="4450" w:type="dxa"/>
            <w:shd w:val="clear" w:color="auto" w:fill="auto"/>
          </w:tcPr>
          <w:p w14:paraId="24D493C3" w14:textId="3A4DE1D0" w:rsidR="005F772B" w:rsidRPr="00D75C81" w:rsidRDefault="00D75C81" w:rsidP="00C83508">
            <w:pPr>
              <w:rPr>
                <w:sz w:val="20"/>
                <w:szCs w:val="20"/>
              </w:rPr>
            </w:pPr>
            <w:r>
              <w:rPr>
                <w:sz w:val="20"/>
                <w:szCs w:val="20"/>
              </w:rPr>
              <w:t xml:space="preserve">Project Website is owned by the MNREP. </w:t>
            </w:r>
            <w:r w:rsidR="00A672AE">
              <w:rPr>
                <w:sz w:val="20"/>
                <w:szCs w:val="20"/>
              </w:rPr>
              <w:t>It was agreed that the information from the project web-s</w:t>
            </w:r>
            <w:r w:rsidR="006740BB">
              <w:rPr>
                <w:sz w:val="20"/>
                <w:szCs w:val="20"/>
              </w:rPr>
              <w:t>i</w:t>
            </w:r>
            <w:bookmarkStart w:id="1" w:name="_GoBack"/>
            <w:bookmarkEnd w:id="1"/>
            <w:r w:rsidR="00A672AE">
              <w:rPr>
                <w:sz w:val="20"/>
                <w:szCs w:val="20"/>
              </w:rPr>
              <w:t>te will be transferred to key stakeholders, namely the M</w:t>
            </w:r>
            <w:r w:rsidR="00875CC0">
              <w:rPr>
                <w:sz w:val="20"/>
                <w:szCs w:val="20"/>
              </w:rPr>
              <w:t>oEnv</w:t>
            </w:r>
            <w:r w:rsidR="00A672AE">
              <w:rPr>
                <w:sz w:val="20"/>
                <w:szCs w:val="20"/>
              </w:rPr>
              <w:t>, Hydromet and WPFI.</w:t>
            </w:r>
          </w:p>
        </w:tc>
      </w:tr>
    </w:tbl>
    <w:p w14:paraId="1F7B9D82" w14:textId="76704586" w:rsidR="00ED6C25" w:rsidRPr="00F52D34" w:rsidRDefault="00F52D34" w:rsidP="00304E8F">
      <w:pPr>
        <w:tabs>
          <w:tab w:val="left" w:pos="2880"/>
        </w:tabs>
        <w:rPr>
          <w:sz w:val="20"/>
          <w:szCs w:val="20"/>
        </w:rPr>
      </w:pPr>
      <w:r w:rsidRPr="00F52D34">
        <w:rPr>
          <w:sz w:val="20"/>
          <w:szCs w:val="20"/>
        </w:rPr>
        <w:t xml:space="preserve">* The implementation status is tracked in the ERC. </w:t>
      </w:r>
    </w:p>
    <w:sectPr w:rsidR="00ED6C25" w:rsidRPr="00F52D34" w:rsidSect="003B2D57">
      <w:pgSz w:w="15840" w:h="12240" w:orient="landscape"/>
      <w:pgMar w:top="108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3A027" w14:textId="77777777" w:rsidR="00DE3C13" w:rsidRDefault="00DE3C13" w:rsidP="00F41DA1">
      <w:r>
        <w:separator/>
      </w:r>
    </w:p>
  </w:endnote>
  <w:endnote w:type="continuationSeparator" w:id="0">
    <w:p w14:paraId="4DBFEA02" w14:textId="77777777" w:rsidR="00DE3C13" w:rsidRDefault="00DE3C13" w:rsidP="00F4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TF9o00">
    <w:altName w:val="Calibri"/>
    <w:panose1 w:val="00000000000000000000"/>
    <w:charset w:val="CC"/>
    <w:family w:val="auto"/>
    <w:notTrueType/>
    <w:pitch w:val="default"/>
    <w:sig w:usb0="00000201" w:usb1="00000000" w:usb2="00000000" w:usb3="00000000" w:csb0="00000004"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03CE" w14:textId="77777777" w:rsidR="00DE3C13" w:rsidRDefault="00DE3C13" w:rsidP="00F41DA1">
      <w:r>
        <w:separator/>
      </w:r>
    </w:p>
  </w:footnote>
  <w:footnote w:type="continuationSeparator" w:id="0">
    <w:p w14:paraId="41C512AF" w14:textId="77777777" w:rsidR="00DE3C13" w:rsidRDefault="00DE3C13" w:rsidP="00F41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57"/>
    <w:rsid w:val="00000064"/>
    <w:rsid w:val="00007A31"/>
    <w:rsid w:val="00015F2E"/>
    <w:rsid w:val="00035701"/>
    <w:rsid w:val="000375A7"/>
    <w:rsid w:val="00041B36"/>
    <w:rsid w:val="000560F8"/>
    <w:rsid w:val="00067DBC"/>
    <w:rsid w:val="00090DA1"/>
    <w:rsid w:val="00091E92"/>
    <w:rsid w:val="00092303"/>
    <w:rsid w:val="000A5AAB"/>
    <w:rsid w:val="000C31D7"/>
    <w:rsid w:val="000C5446"/>
    <w:rsid w:val="0010114B"/>
    <w:rsid w:val="00103988"/>
    <w:rsid w:val="00121560"/>
    <w:rsid w:val="00122A9E"/>
    <w:rsid w:val="00131C23"/>
    <w:rsid w:val="0013365C"/>
    <w:rsid w:val="001407B8"/>
    <w:rsid w:val="00140E85"/>
    <w:rsid w:val="00144EED"/>
    <w:rsid w:val="00150685"/>
    <w:rsid w:val="00180FCA"/>
    <w:rsid w:val="00181AA3"/>
    <w:rsid w:val="00184DB8"/>
    <w:rsid w:val="00192A5A"/>
    <w:rsid w:val="00196730"/>
    <w:rsid w:val="001A1758"/>
    <w:rsid w:val="001B54D3"/>
    <w:rsid w:val="001D69C9"/>
    <w:rsid w:val="001F34FA"/>
    <w:rsid w:val="00203D67"/>
    <w:rsid w:val="0020494B"/>
    <w:rsid w:val="002122C1"/>
    <w:rsid w:val="00214DFD"/>
    <w:rsid w:val="0021618F"/>
    <w:rsid w:val="002215D9"/>
    <w:rsid w:val="002321FD"/>
    <w:rsid w:val="002448FF"/>
    <w:rsid w:val="00261E89"/>
    <w:rsid w:val="0027004A"/>
    <w:rsid w:val="00270C10"/>
    <w:rsid w:val="002726B1"/>
    <w:rsid w:val="002B3A78"/>
    <w:rsid w:val="002D3F99"/>
    <w:rsid w:val="0030378D"/>
    <w:rsid w:val="00304E8F"/>
    <w:rsid w:val="0031600B"/>
    <w:rsid w:val="0034031E"/>
    <w:rsid w:val="00350CA2"/>
    <w:rsid w:val="00351A18"/>
    <w:rsid w:val="00364FA5"/>
    <w:rsid w:val="00380C1C"/>
    <w:rsid w:val="00382112"/>
    <w:rsid w:val="00384480"/>
    <w:rsid w:val="00390E30"/>
    <w:rsid w:val="00390EB4"/>
    <w:rsid w:val="003931C7"/>
    <w:rsid w:val="0039467B"/>
    <w:rsid w:val="003B100C"/>
    <w:rsid w:val="003B2D57"/>
    <w:rsid w:val="003B67A7"/>
    <w:rsid w:val="003C14A5"/>
    <w:rsid w:val="003C668B"/>
    <w:rsid w:val="003C672E"/>
    <w:rsid w:val="003E3813"/>
    <w:rsid w:val="00400528"/>
    <w:rsid w:val="00404F3B"/>
    <w:rsid w:val="004129A9"/>
    <w:rsid w:val="00426D2E"/>
    <w:rsid w:val="0043349D"/>
    <w:rsid w:val="004346DA"/>
    <w:rsid w:val="00443528"/>
    <w:rsid w:val="004561E7"/>
    <w:rsid w:val="004617E9"/>
    <w:rsid w:val="00470A89"/>
    <w:rsid w:val="00470ABE"/>
    <w:rsid w:val="004868CE"/>
    <w:rsid w:val="00487F33"/>
    <w:rsid w:val="004C02EF"/>
    <w:rsid w:val="004C1401"/>
    <w:rsid w:val="004C1AB9"/>
    <w:rsid w:val="004C2B24"/>
    <w:rsid w:val="004E5810"/>
    <w:rsid w:val="004E599A"/>
    <w:rsid w:val="00501F63"/>
    <w:rsid w:val="00511342"/>
    <w:rsid w:val="0052563D"/>
    <w:rsid w:val="00541854"/>
    <w:rsid w:val="005418F8"/>
    <w:rsid w:val="005463BE"/>
    <w:rsid w:val="00562EDE"/>
    <w:rsid w:val="005650EA"/>
    <w:rsid w:val="00565BE0"/>
    <w:rsid w:val="00571C87"/>
    <w:rsid w:val="00590299"/>
    <w:rsid w:val="0059064D"/>
    <w:rsid w:val="005A79C2"/>
    <w:rsid w:val="005B3DB4"/>
    <w:rsid w:val="005C14BF"/>
    <w:rsid w:val="005D1424"/>
    <w:rsid w:val="005F4CDF"/>
    <w:rsid w:val="005F4E57"/>
    <w:rsid w:val="005F772B"/>
    <w:rsid w:val="0060710D"/>
    <w:rsid w:val="006231A1"/>
    <w:rsid w:val="006358BA"/>
    <w:rsid w:val="0065068E"/>
    <w:rsid w:val="006740BB"/>
    <w:rsid w:val="006760C8"/>
    <w:rsid w:val="006A19DD"/>
    <w:rsid w:val="006D309C"/>
    <w:rsid w:val="006F7278"/>
    <w:rsid w:val="0071492C"/>
    <w:rsid w:val="00715CB5"/>
    <w:rsid w:val="0071787E"/>
    <w:rsid w:val="00717F5D"/>
    <w:rsid w:val="0072289A"/>
    <w:rsid w:val="0072354E"/>
    <w:rsid w:val="007430BB"/>
    <w:rsid w:val="0074532A"/>
    <w:rsid w:val="0078535D"/>
    <w:rsid w:val="00793F1D"/>
    <w:rsid w:val="007D2EAA"/>
    <w:rsid w:val="007E1A4C"/>
    <w:rsid w:val="007F73DC"/>
    <w:rsid w:val="00803211"/>
    <w:rsid w:val="008264D1"/>
    <w:rsid w:val="00837E7A"/>
    <w:rsid w:val="008424A0"/>
    <w:rsid w:val="008530CD"/>
    <w:rsid w:val="008650A7"/>
    <w:rsid w:val="00875CC0"/>
    <w:rsid w:val="00885EED"/>
    <w:rsid w:val="00885F4E"/>
    <w:rsid w:val="008950C7"/>
    <w:rsid w:val="008B0A41"/>
    <w:rsid w:val="008B5759"/>
    <w:rsid w:val="008D7BDA"/>
    <w:rsid w:val="008E0616"/>
    <w:rsid w:val="008E462E"/>
    <w:rsid w:val="008F12C1"/>
    <w:rsid w:val="008F7B36"/>
    <w:rsid w:val="009177CD"/>
    <w:rsid w:val="00921B7A"/>
    <w:rsid w:val="00947F8D"/>
    <w:rsid w:val="00964D61"/>
    <w:rsid w:val="00982E98"/>
    <w:rsid w:val="0098751D"/>
    <w:rsid w:val="00996419"/>
    <w:rsid w:val="0099678B"/>
    <w:rsid w:val="009A3FCD"/>
    <w:rsid w:val="009B3BDF"/>
    <w:rsid w:val="009C526B"/>
    <w:rsid w:val="009C5D5B"/>
    <w:rsid w:val="009D46C4"/>
    <w:rsid w:val="009E2EF4"/>
    <w:rsid w:val="009E70DC"/>
    <w:rsid w:val="009F1CEE"/>
    <w:rsid w:val="00A06271"/>
    <w:rsid w:val="00A33BF2"/>
    <w:rsid w:val="00A672AE"/>
    <w:rsid w:val="00A73E6B"/>
    <w:rsid w:val="00A91508"/>
    <w:rsid w:val="00AE0DF1"/>
    <w:rsid w:val="00AE62C2"/>
    <w:rsid w:val="00AF2FDD"/>
    <w:rsid w:val="00AF304F"/>
    <w:rsid w:val="00AF5D12"/>
    <w:rsid w:val="00B00082"/>
    <w:rsid w:val="00B04C2A"/>
    <w:rsid w:val="00B2133E"/>
    <w:rsid w:val="00B2304E"/>
    <w:rsid w:val="00B23CCB"/>
    <w:rsid w:val="00B41B52"/>
    <w:rsid w:val="00B4245F"/>
    <w:rsid w:val="00B5313B"/>
    <w:rsid w:val="00B6450B"/>
    <w:rsid w:val="00B77806"/>
    <w:rsid w:val="00B915BC"/>
    <w:rsid w:val="00BA332B"/>
    <w:rsid w:val="00BA57F0"/>
    <w:rsid w:val="00BC1519"/>
    <w:rsid w:val="00BD201F"/>
    <w:rsid w:val="00BD7397"/>
    <w:rsid w:val="00BF2738"/>
    <w:rsid w:val="00C04795"/>
    <w:rsid w:val="00C07076"/>
    <w:rsid w:val="00C32230"/>
    <w:rsid w:val="00C35200"/>
    <w:rsid w:val="00C401FC"/>
    <w:rsid w:val="00C41A31"/>
    <w:rsid w:val="00C41D69"/>
    <w:rsid w:val="00C5207C"/>
    <w:rsid w:val="00C570C9"/>
    <w:rsid w:val="00C72540"/>
    <w:rsid w:val="00C750B3"/>
    <w:rsid w:val="00C7597B"/>
    <w:rsid w:val="00C83508"/>
    <w:rsid w:val="00C8790C"/>
    <w:rsid w:val="00C96F2A"/>
    <w:rsid w:val="00CB3A88"/>
    <w:rsid w:val="00CB3ABC"/>
    <w:rsid w:val="00CC57DA"/>
    <w:rsid w:val="00CD29BF"/>
    <w:rsid w:val="00CF5F32"/>
    <w:rsid w:val="00D01D02"/>
    <w:rsid w:val="00D22955"/>
    <w:rsid w:val="00D3239D"/>
    <w:rsid w:val="00D40122"/>
    <w:rsid w:val="00D479FB"/>
    <w:rsid w:val="00D51842"/>
    <w:rsid w:val="00D53EE5"/>
    <w:rsid w:val="00D54296"/>
    <w:rsid w:val="00D56004"/>
    <w:rsid w:val="00D56C3C"/>
    <w:rsid w:val="00D70309"/>
    <w:rsid w:val="00D75C81"/>
    <w:rsid w:val="00D81006"/>
    <w:rsid w:val="00DA5B4B"/>
    <w:rsid w:val="00DE3C13"/>
    <w:rsid w:val="00DE506E"/>
    <w:rsid w:val="00DF2AA9"/>
    <w:rsid w:val="00E14C7C"/>
    <w:rsid w:val="00E15B66"/>
    <w:rsid w:val="00E25054"/>
    <w:rsid w:val="00E25D66"/>
    <w:rsid w:val="00E500B6"/>
    <w:rsid w:val="00E640E2"/>
    <w:rsid w:val="00E74A3E"/>
    <w:rsid w:val="00E87F0D"/>
    <w:rsid w:val="00E91564"/>
    <w:rsid w:val="00EB68F5"/>
    <w:rsid w:val="00EC3948"/>
    <w:rsid w:val="00ED4C9A"/>
    <w:rsid w:val="00ED6C25"/>
    <w:rsid w:val="00EE6BBB"/>
    <w:rsid w:val="00EF4939"/>
    <w:rsid w:val="00F03199"/>
    <w:rsid w:val="00F03DA9"/>
    <w:rsid w:val="00F04A10"/>
    <w:rsid w:val="00F242AA"/>
    <w:rsid w:val="00F24877"/>
    <w:rsid w:val="00F41DA1"/>
    <w:rsid w:val="00F46D8E"/>
    <w:rsid w:val="00F50C5D"/>
    <w:rsid w:val="00F515D4"/>
    <w:rsid w:val="00F52D34"/>
    <w:rsid w:val="00F55193"/>
    <w:rsid w:val="00F64F7A"/>
    <w:rsid w:val="00F72976"/>
    <w:rsid w:val="00F743E8"/>
    <w:rsid w:val="00F779D5"/>
    <w:rsid w:val="00F82F64"/>
    <w:rsid w:val="00FA2E6E"/>
    <w:rsid w:val="00FB4629"/>
    <w:rsid w:val="00FC0483"/>
    <w:rsid w:val="00FC1B4E"/>
    <w:rsid w:val="00FC5537"/>
    <w:rsid w:val="00FC738C"/>
    <w:rsid w:val="00FD77F0"/>
    <w:rsid w:val="00FF0C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364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FC1B4E"/>
    <w:rPr>
      <w:color w:val="0000FF"/>
      <w:u w:val="single"/>
    </w:rPr>
  </w:style>
  <w:style w:type="paragraph" w:styleId="Header">
    <w:name w:val="header"/>
    <w:basedOn w:val="Normal"/>
    <w:link w:val="HeaderChar"/>
    <w:rsid w:val="00F41DA1"/>
    <w:pPr>
      <w:tabs>
        <w:tab w:val="center" w:pos="4844"/>
        <w:tab w:val="right" w:pos="9689"/>
      </w:tabs>
    </w:pPr>
  </w:style>
  <w:style w:type="character" w:customStyle="1" w:styleId="HeaderChar">
    <w:name w:val="Header Char"/>
    <w:basedOn w:val="DefaultParagraphFont"/>
    <w:link w:val="Header"/>
    <w:rsid w:val="00F41DA1"/>
    <w:rPr>
      <w:sz w:val="24"/>
      <w:szCs w:val="24"/>
      <w:lang w:eastAsia="en-US"/>
    </w:rPr>
  </w:style>
  <w:style w:type="paragraph" w:styleId="Footer">
    <w:name w:val="footer"/>
    <w:basedOn w:val="Normal"/>
    <w:link w:val="FooterChar"/>
    <w:rsid w:val="00F41DA1"/>
    <w:pPr>
      <w:tabs>
        <w:tab w:val="center" w:pos="4844"/>
        <w:tab w:val="right" w:pos="9689"/>
      </w:tabs>
    </w:pPr>
  </w:style>
  <w:style w:type="character" w:customStyle="1" w:styleId="FooterChar">
    <w:name w:val="Footer Char"/>
    <w:basedOn w:val="DefaultParagraphFont"/>
    <w:link w:val="Footer"/>
    <w:rsid w:val="00F41DA1"/>
    <w:rPr>
      <w:sz w:val="24"/>
      <w:szCs w:val="24"/>
      <w:lang w:eastAsia="en-US"/>
    </w:rPr>
  </w:style>
  <w:style w:type="paragraph" w:styleId="BalloonText">
    <w:name w:val="Balloon Text"/>
    <w:basedOn w:val="Normal"/>
    <w:link w:val="BalloonTextChar"/>
    <w:semiHidden/>
    <w:unhideWhenUsed/>
    <w:rsid w:val="00A672AE"/>
    <w:rPr>
      <w:rFonts w:ascii="Segoe UI" w:hAnsi="Segoe UI" w:cs="Segoe UI"/>
      <w:sz w:val="18"/>
      <w:szCs w:val="18"/>
    </w:rPr>
  </w:style>
  <w:style w:type="character" w:customStyle="1" w:styleId="BalloonTextChar">
    <w:name w:val="Balloon Text Char"/>
    <w:basedOn w:val="DefaultParagraphFont"/>
    <w:link w:val="BalloonText"/>
    <w:semiHidden/>
    <w:rsid w:val="00A672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1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2</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Programme Management Response to Decentralized Evaluations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Location xmlns="e560140e-7b2f-4392-90df-e7567e3021a3" xsi:nil="true"/>
    <_dlc_DocId xmlns="8264c5cc-ec60-4b56-8111-ce635d3d139a">POPP-11-1509</_dlc_DocId>
    <_dlc_DocIdUrl xmlns="8264c5cc-ec60-4b56-8111-ce635d3d139a">
      <Url>https://popp.undp.org/_layouts/15/DocIdRedir.aspx?ID=POPP-11-1509</Url>
      <Description>POPP-11-1509</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C3F0-4F4A-428A-86F9-33D37A71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E5E51-75E1-49DE-8D7D-CA49C900CE0F}">
  <ds:schemaRefs>
    <ds:schemaRef ds:uri="http://schemas.microsoft.com/sharepoint/v3/contenttype/forms"/>
  </ds:schemaRefs>
</ds:datastoreItem>
</file>

<file path=customXml/itemProps3.xml><?xml version="1.0" encoding="utf-8"?>
<ds:datastoreItem xmlns:ds="http://schemas.openxmlformats.org/officeDocument/2006/customXml" ds:itemID="{8F82684F-C88D-47B1-9CEE-7E22B5847D8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2369C0C-DFF0-48A4-AA5E-D7F4D1E3C19D}">
  <ds:schemaRefs>
    <ds:schemaRef ds:uri="http://schemas.microsoft.com/sharepoint/events"/>
  </ds:schemaRefs>
</ds:datastoreItem>
</file>

<file path=customXml/itemProps5.xml><?xml version="1.0" encoding="utf-8"?>
<ds:datastoreItem xmlns:ds="http://schemas.openxmlformats.org/officeDocument/2006/customXml" ds:itemID="{424E2F8A-253E-47FC-98F5-FDEDE4C4485A}">
  <ds:schemaRefs>
    <ds:schemaRef ds:uri="office.server.policy"/>
  </ds:schemaRefs>
</ds:datastoreItem>
</file>

<file path=customXml/itemProps6.xml><?xml version="1.0" encoding="utf-8"?>
<ds:datastoreItem xmlns:ds="http://schemas.openxmlformats.org/officeDocument/2006/customXml" ds:itemID="{394A59DF-2C9B-427B-A6CF-678ED4ED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UNDP Management Response to Evaluation</vt:lpstr>
    </vt:vector>
  </TitlesOfParts>
  <Company>UNDP</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dc:description/>
  <cp:lastModifiedBy>Ksenia Litsiankova</cp:lastModifiedBy>
  <cp:revision>3</cp:revision>
  <dcterms:created xsi:type="dcterms:W3CDTF">2021-09-28T07:37:00Z</dcterms:created>
  <dcterms:modified xsi:type="dcterms:W3CDTF">2021-09-29T06:53:00Z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l0e6ef0c43e74560bd7f3acd1f5e8571">
    <vt:lpwstr>Programme and Project Management|dea4c69a-7909-43f6-8de1-50c95d5a9f3f</vt:lpwstr>
  </property>
  <property fmtid="{D5CDD505-2E9C-101B-9397-08002B2CF9AE}" pid="6" name="UNDP_POPP_BUSINESSUNIT">
    <vt:lpwstr>2;#Programme and Project Management|dea4c69a-7909-43f6-8de1-50c95d5a9f3f</vt:lpwstr>
  </property>
  <property fmtid="{D5CDD505-2E9C-101B-9397-08002B2CF9AE}" pid="7" name="_dlc_DocIdItemGuid">
    <vt:lpwstr>b917019f-faf1-4967-a4d3-0c1658e346b5</vt:lpwstr>
  </property>
</Properties>
</file>