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F5C59" w14:textId="6B451382" w:rsidR="00065CE6" w:rsidRPr="00065CE6" w:rsidRDefault="00065CE6" w:rsidP="004B66B9">
      <w:pPr>
        <w:pStyle w:val="HCh"/>
        <w:rPr>
          <w:rFonts w:asciiTheme="minorHAnsi" w:hAnsiTheme="minorHAnsi" w:cstheme="minorHAnsi"/>
        </w:rPr>
      </w:pPr>
      <w:r w:rsidRPr="00065CE6">
        <w:rPr>
          <w:rFonts w:asciiTheme="minorHAnsi" w:hAnsiTheme="minorHAnsi" w:cstheme="minorHAnsi"/>
        </w:rPr>
        <w:t xml:space="preserve">Independent Country Programme Evaluation </w:t>
      </w:r>
      <w:r w:rsidR="00AE50B4">
        <w:rPr>
          <w:rFonts w:asciiTheme="minorHAnsi" w:hAnsiTheme="minorHAnsi" w:cstheme="minorHAnsi"/>
        </w:rPr>
        <w:t>–</w:t>
      </w:r>
      <w:r w:rsidRPr="00065CE6">
        <w:rPr>
          <w:rFonts w:asciiTheme="minorHAnsi" w:hAnsiTheme="minorHAnsi" w:cstheme="minorHAnsi"/>
        </w:rPr>
        <w:t xml:space="preserve"> </w:t>
      </w:r>
      <w:r w:rsidR="00BA0ABE">
        <w:rPr>
          <w:rFonts w:asciiTheme="minorHAnsi" w:hAnsiTheme="minorHAnsi" w:cstheme="minorHAnsi"/>
        </w:rPr>
        <w:t>Haiti</w:t>
      </w:r>
    </w:p>
    <w:p w14:paraId="7E26A336" w14:textId="77777777" w:rsidR="004B66B9" w:rsidRPr="00065CE6" w:rsidRDefault="004B66B9" w:rsidP="004B66B9">
      <w:pPr>
        <w:pStyle w:val="HCh"/>
        <w:rPr>
          <w:rFonts w:asciiTheme="minorHAnsi" w:hAnsiTheme="minorHAnsi" w:cstheme="minorHAnsi"/>
        </w:rPr>
      </w:pPr>
      <w:r w:rsidRPr="00065CE6">
        <w:rPr>
          <w:rFonts w:asciiTheme="minorHAnsi" w:hAnsiTheme="minorHAnsi" w:cstheme="minorHAnsi"/>
        </w:rPr>
        <w:t>Key recommendations and management response</w:t>
      </w:r>
    </w:p>
    <w:p w14:paraId="2B504993" w14:textId="77777777" w:rsidR="004B66B9" w:rsidRPr="00065CE6" w:rsidRDefault="004B66B9" w:rsidP="004B66B9">
      <w:pPr>
        <w:tabs>
          <w:tab w:val="left" w:pos="1080"/>
        </w:tabs>
        <w:rPr>
          <w:rFonts w:asciiTheme="minorHAnsi" w:hAnsiTheme="minorHAnsi" w:cstheme="minorHAnsi"/>
          <w:sz w:val="20"/>
          <w:szCs w:val="20"/>
        </w:rPr>
      </w:pPr>
    </w:p>
    <w:p w14:paraId="42236917" w14:textId="77777777" w:rsidR="004B66B9" w:rsidRPr="00065CE6" w:rsidRDefault="004B66B9" w:rsidP="004B66B9">
      <w:pPr>
        <w:tabs>
          <w:tab w:val="left" w:pos="1080"/>
        </w:tabs>
        <w:rPr>
          <w:rFonts w:asciiTheme="minorHAnsi" w:hAnsiTheme="minorHAnsi" w:cstheme="minorHAnsi"/>
          <w:sz w:val="20"/>
          <w:szCs w:val="20"/>
        </w:rPr>
      </w:pPr>
    </w:p>
    <w:tbl>
      <w:tblPr>
        <w:tblW w:w="0" w:type="auto"/>
        <w:tblInd w:w="-3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28"/>
        <w:gridCol w:w="1802"/>
        <w:gridCol w:w="1848"/>
        <w:gridCol w:w="3314"/>
        <w:gridCol w:w="1082"/>
      </w:tblGrid>
      <w:tr w:rsidR="004B66B9" w:rsidRPr="00065CE6" w14:paraId="42D15166" w14:textId="77777777" w:rsidTr="008A35DD">
        <w:tc>
          <w:tcPr>
            <w:tcW w:w="13174" w:type="dxa"/>
            <w:gridSpan w:val="5"/>
            <w:shd w:val="clear" w:color="auto" w:fill="F3F3F3"/>
          </w:tcPr>
          <w:p w14:paraId="63836547" w14:textId="385F6428" w:rsidR="00B27153" w:rsidRPr="00B27153" w:rsidRDefault="00BA0ABE" w:rsidP="00700CB8">
            <w:pPr>
              <w:pStyle w:val="paragraph"/>
              <w:tabs>
                <w:tab w:val="left" w:pos="567"/>
              </w:tabs>
              <w:spacing w:before="0" w:beforeAutospacing="0" w:after="0" w:afterAutospacing="0" w:line="276" w:lineRule="auto"/>
              <w:jc w:val="both"/>
              <w:textAlignment w:val="baseline"/>
              <w:rPr>
                <w:rFonts w:ascii="Calibri" w:hAnsi="Calibri" w:cs="Georgia"/>
                <w:b/>
                <w:bCs/>
                <w:sz w:val="22"/>
                <w:szCs w:val="22"/>
                <w:lang w:val="en-US" w:eastAsia="ja-JP"/>
              </w:rPr>
            </w:pPr>
            <w:r w:rsidRPr="00BA0ABE">
              <w:rPr>
                <w:rFonts w:ascii="Calibri" w:hAnsi="Calibri" w:cs="Calibri"/>
                <w:b/>
                <w:bCs/>
                <w:sz w:val="22"/>
                <w:szCs w:val="22"/>
                <w:lang w:val="en-US" w:eastAsia="ja-JP"/>
              </w:rPr>
              <w:t xml:space="preserve">Recommendation 1: UNDP should strengthen its strategic positioning by elaborating a sound theory of change of its </w:t>
            </w:r>
            <w:proofErr w:type="spellStart"/>
            <w:r w:rsidRPr="00BA0ABE">
              <w:rPr>
                <w:rFonts w:ascii="Calibri" w:hAnsi="Calibri" w:cs="Calibri"/>
                <w:b/>
                <w:bCs/>
                <w:sz w:val="22"/>
                <w:szCs w:val="22"/>
                <w:lang w:val="en-US" w:eastAsia="ja-JP"/>
              </w:rPr>
              <w:t>programme</w:t>
            </w:r>
            <w:proofErr w:type="spellEnd"/>
            <w:r w:rsidRPr="00BA0ABE">
              <w:rPr>
                <w:rFonts w:ascii="Calibri" w:hAnsi="Calibri" w:cs="Calibri"/>
                <w:b/>
                <w:bCs/>
                <w:sz w:val="22"/>
                <w:szCs w:val="22"/>
                <w:lang w:val="en-US" w:eastAsia="ja-JP"/>
              </w:rPr>
              <w:t xml:space="preserve"> to allow better visibility of interventions and to facilitate communication and </w:t>
            </w:r>
            <w:r w:rsidRPr="00BA0ABE">
              <w:rPr>
                <w:rFonts w:ascii="Calibri" w:hAnsi="Calibri" w:cs="Georgia"/>
                <w:b/>
                <w:bCs/>
                <w:sz w:val="22"/>
                <w:szCs w:val="22"/>
                <w:lang w:val="en-US" w:eastAsia="ja-JP"/>
              </w:rPr>
              <w:t>shared understanding</w:t>
            </w:r>
            <w:r w:rsidRPr="00BA0ABE">
              <w:rPr>
                <w:rFonts w:ascii="Calibri" w:hAnsi="Calibri" w:cs="Calibri"/>
                <w:b/>
                <w:bCs/>
                <w:sz w:val="22"/>
                <w:szCs w:val="22"/>
                <w:lang w:val="en-US" w:eastAsia="ja-JP"/>
              </w:rPr>
              <w:t xml:space="preserve"> with its partners.</w:t>
            </w:r>
            <w:r w:rsidRPr="00BA0ABE">
              <w:rPr>
                <w:rFonts w:ascii="Calibri" w:hAnsi="Calibri" w:cs="Calibri"/>
                <w:sz w:val="22"/>
                <w:szCs w:val="22"/>
                <w:lang w:val="en-US" w:eastAsia="ja-JP"/>
              </w:rPr>
              <w:t xml:space="preserve"> </w:t>
            </w:r>
            <w:r w:rsidRPr="00BA0ABE">
              <w:rPr>
                <w:rFonts w:ascii="Calibri" w:hAnsi="Calibri" w:cs="Calibri"/>
                <w:b/>
                <w:bCs/>
                <w:sz w:val="22"/>
                <w:szCs w:val="22"/>
                <w:lang w:val="en-US" w:eastAsia="ja-JP"/>
              </w:rPr>
              <w:t xml:space="preserve">UNDP should also make efforts to expand the coverage and impact of its interventions by consolidating its partnerships and establishing new ones with other actors. </w:t>
            </w:r>
            <w:r w:rsidRPr="00BA0ABE">
              <w:rPr>
                <w:rFonts w:ascii="Calibri" w:hAnsi="Calibri" w:cs="Georgia"/>
                <w:b/>
                <w:bCs/>
                <w:sz w:val="22"/>
                <w:szCs w:val="22"/>
                <w:lang w:val="en-US" w:eastAsia="ja-JP"/>
              </w:rPr>
              <w:t xml:space="preserve">UNDP must consolidate its integration with the BINUH using a single planning document and annual work plans according to the integrated strategic framework put in place, as well as revisiting coordination and management structure. UNDP must also strengthen coordination with the UN agencies around the strategic objectives of the joint </w:t>
            </w:r>
            <w:proofErr w:type="spellStart"/>
            <w:r w:rsidRPr="00BA0ABE">
              <w:rPr>
                <w:rFonts w:ascii="Calibri" w:hAnsi="Calibri" w:cs="Georgia"/>
                <w:b/>
                <w:bCs/>
                <w:sz w:val="22"/>
                <w:szCs w:val="22"/>
                <w:lang w:val="en-US" w:eastAsia="ja-JP"/>
              </w:rPr>
              <w:t>programmes</w:t>
            </w:r>
            <w:proofErr w:type="spellEnd"/>
            <w:r w:rsidRPr="00BA0ABE">
              <w:rPr>
                <w:rFonts w:ascii="Calibri" w:hAnsi="Calibri" w:cs="Georgia"/>
                <w:b/>
                <w:bCs/>
                <w:sz w:val="22"/>
                <w:szCs w:val="22"/>
                <w:lang w:val="en-US" w:eastAsia="ja-JP"/>
              </w:rPr>
              <w:t xml:space="preserve"> for greater visibility and changes induced.</w:t>
            </w:r>
          </w:p>
        </w:tc>
      </w:tr>
      <w:tr w:rsidR="004B66B9" w:rsidRPr="00065CE6" w14:paraId="0FFDB157" w14:textId="77777777" w:rsidTr="008A35DD">
        <w:tc>
          <w:tcPr>
            <w:tcW w:w="13174" w:type="dxa"/>
            <w:gridSpan w:val="5"/>
            <w:shd w:val="clear" w:color="auto" w:fill="F3F3F3"/>
          </w:tcPr>
          <w:p w14:paraId="732C9283" w14:textId="713B26EE" w:rsidR="004B66B9" w:rsidRPr="00F306D2" w:rsidRDefault="004B66B9" w:rsidP="00B27153">
            <w:pPr>
              <w:rPr>
                <w:rFonts w:ascii="Calibri" w:hAnsi="Calibri" w:cs="Georgia"/>
                <w:b/>
                <w:bCs/>
                <w:color w:val="0070C0"/>
                <w:sz w:val="22"/>
                <w:szCs w:val="22"/>
                <w:lang w:eastAsia="ja-JP"/>
              </w:rPr>
            </w:pPr>
            <w:r w:rsidRPr="00F422FD">
              <w:rPr>
                <w:rFonts w:ascii="Calibri" w:hAnsi="Calibri" w:cs="Georgia"/>
                <w:b/>
                <w:bCs/>
                <w:sz w:val="22"/>
                <w:szCs w:val="22"/>
                <w:u w:val="single"/>
                <w:lang w:eastAsia="ja-JP"/>
              </w:rPr>
              <w:t>Management response</w:t>
            </w:r>
            <w:r w:rsidR="00B27153" w:rsidRPr="00F422FD">
              <w:rPr>
                <w:rFonts w:ascii="Calibri" w:hAnsi="Calibri" w:cs="Georgia"/>
                <w:b/>
                <w:bCs/>
                <w:sz w:val="22"/>
                <w:szCs w:val="22"/>
                <w:u w:val="single"/>
                <w:lang w:eastAsia="ja-JP"/>
              </w:rPr>
              <w:t xml:space="preserve"> </w:t>
            </w:r>
            <w:r w:rsidRPr="00F422FD">
              <w:rPr>
                <w:rFonts w:ascii="Calibri" w:hAnsi="Calibri" w:cs="Georgia"/>
                <w:b/>
                <w:bCs/>
                <w:sz w:val="22"/>
                <w:szCs w:val="22"/>
                <w:u w:val="single"/>
                <w:lang w:eastAsia="ja-JP"/>
              </w:rPr>
              <w:t>:</w:t>
            </w:r>
            <w:r w:rsidRPr="00F422FD">
              <w:rPr>
                <w:rFonts w:ascii="Calibri" w:hAnsi="Calibri" w:cs="Georgia"/>
                <w:b/>
                <w:bCs/>
                <w:sz w:val="22"/>
                <w:szCs w:val="22"/>
                <w:lang w:eastAsia="ja-JP"/>
              </w:rPr>
              <w:t xml:space="preserve"> </w:t>
            </w:r>
            <w:r w:rsidR="00B27153" w:rsidRPr="00F306D2">
              <w:rPr>
                <w:rFonts w:ascii="Calibri" w:hAnsi="Calibri" w:cs="Georgia"/>
                <w:b/>
                <w:bCs/>
                <w:color w:val="0070C0"/>
                <w:sz w:val="22"/>
                <w:szCs w:val="22"/>
                <w:lang w:eastAsia="ja-JP"/>
              </w:rPr>
              <w:t xml:space="preserve">The country office fully accepts the recommendation and is currently working on its strategic positioning for the next CPD cycle to align with national plan and objectives and UN agencies frames and plan (One UN) </w:t>
            </w:r>
          </w:p>
        </w:tc>
      </w:tr>
      <w:tr w:rsidR="004B66B9" w:rsidRPr="00065CE6" w14:paraId="38874262" w14:textId="77777777" w:rsidTr="008A35DD">
        <w:trPr>
          <w:trHeight w:val="135"/>
        </w:trPr>
        <w:tc>
          <w:tcPr>
            <w:tcW w:w="5128" w:type="dxa"/>
            <w:vMerge w:val="restart"/>
            <w:shd w:val="clear" w:color="auto" w:fill="F3F3F3"/>
          </w:tcPr>
          <w:p w14:paraId="128912ED" w14:textId="77777777" w:rsidR="004B66B9" w:rsidRPr="00065CE6" w:rsidRDefault="004B66B9" w:rsidP="0095705F">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Key action(s)</w:t>
            </w:r>
          </w:p>
        </w:tc>
        <w:tc>
          <w:tcPr>
            <w:tcW w:w="1802" w:type="dxa"/>
            <w:vMerge w:val="restart"/>
            <w:shd w:val="clear" w:color="auto" w:fill="F3F3F3"/>
          </w:tcPr>
          <w:p w14:paraId="2FA7CA0B" w14:textId="77777777" w:rsidR="004B66B9" w:rsidRPr="00065CE6" w:rsidRDefault="004B66B9" w:rsidP="0095705F">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Time frame</w:t>
            </w:r>
          </w:p>
        </w:tc>
        <w:tc>
          <w:tcPr>
            <w:tcW w:w="1848" w:type="dxa"/>
            <w:vMerge w:val="restart"/>
            <w:shd w:val="clear" w:color="auto" w:fill="F3F3F3"/>
          </w:tcPr>
          <w:p w14:paraId="52FEC776" w14:textId="77777777" w:rsidR="004B66B9" w:rsidRPr="00065CE6" w:rsidRDefault="004B66B9" w:rsidP="0095705F">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Responsible unit(s)</w:t>
            </w:r>
          </w:p>
        </w:tc>
        <w:tc>
          <w:tcPr>
            <w:tcW w:w="4396" w:type="dxa"/>
            <w:gridSpan w:val="2"/>
            <w:shd w:val="clear" w:color="auto" w:fill="F3F3F3"/>
          </w:tcPr>
          <w:p w14:paraId="1336CDF1" w14:textId="77777777" w:rsidR="004B66B9" w:rsidRPr="00065CE6" w:rsidRDefault="004B66B9" w:rsidP="0095705F">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Tracking*</w:t>
            </w:r>
          </w:p>
        </w:tc>
      </w:tr>
      <w:tr w:rsidR="004B66B9" w:rsidRPr="00065CE6" w14:paraId="1C8D632D" w14:textId="77777777" w:rsidTr="008A35DD">
        <w:trPr>
          <w:trHeight w:val="135"/>
        </w:trPr>
        <w:tc>
          <w:tcPr>
            <w:tcW w:w="5128" w:type="dxa"/>
            <w:vMerge/>
            <w:shd w:val="clear" w:color="auto" w:fill="F3F3F3"/>
          </w:tcPr>
          <w:p w14:paraId="380A8D68" w14:textId="77777777" w:rsidR="004B66B9" w:rsidRPr="00065CE6" w:rsidRDefault="004B66B9" w:rsidP="0095705F">
            <w:pPr>
              <w:tabs>
                <w:tab w:val="left" w:pos="1080"/>
              </w:tabs>
              <w:rPr>
                <w:rFonts w:asciiTheme="minorHAnsi" w:hAnsiTheme="minorHAnsi" w:cstheme="minorHAnsi"/>
                <w:sz w:val="20"/>
                <w:szCs w:val="20"/>
              </w:rPr>
            </w:pPr>
          </w:p>
        </w:tc>
        <w:tc>
          <w:tcPr>
            <w:tcW w:w="1802" w:type="dxa"/>
            <w:vMerge/>
            <w:shd w:val="clear" w:color="auto" w:fill="F3F3F3"/>
          </w:tcPr>
          <w:p w14:paraId="07DFA687" w14:textId="77777777" w:rsidR="004B66B9" w:rsidRPr="00065CE6" w:rsidRDefault="004B66B9" w:rsidP="0095705F">
            <w:pPr>
              <w:tabs>
                <w:tab w:val="left" w:pos="1080"/>
              </w:tabs>
              <w:rPr>
                <w:rFonts w:asciiTheme="minorHAnsi" w:hAnsiTheme="minorHAnsi" w:cstheme="minorHAnsi"/>
                <w:b/>
                <w:sz w:val="20"/>
                <w:szCs w:val="20"/>
              </w:rPr>
            </w:pPr>
          </w:p>
        </w:tc>
        <w:tc>
          <w:tcPr>
            <w:tcW w:w="1848" w:type="dxa"/>
            <w:vMerge/>
            <w:shd w:val="clear" w:color="auto" w:fill="F3F3F3"/>
          </w:tcPr>
          <w:p w14:paraId="2A04310E" w14:textId="77777777" w:rsidR="004B66B9" w:rsidRPr="00065CE6" w:rsidRDefault="004B66B9" w:rsidP="0095705F">
            <w:pPr>
              <w:tabs>
                <w:tab w:val="left" w:pos="1080"/>
              </w:tabs>
              <w:rPr>
                <w:rFonts w:asciiTheme="minorHAnsi" w:hAnsiTheme="minorHAnsi" w:cstheme="minorHAnsi"/>
                <w:b/>
                <w:sz w:val="20"/>
                <w:szCs w:val="20"/>
              </w:rPr>
            </w:pPr>
          </w:p>
        </w:tc>
        <w:tc>
          <w:tcPr>
            <w:tcW w:w="3314" w:type="dxa"/>
          </w:tcPr>
          <w:p w14:paraId="7DDABFC6" w14:textId="77777777" w:rsidR="004B66B9" w:rsidRPr="00065CE6" w:rsidRDefault="004B66B9" w:rsidP="0095705F">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Comments</w:t>
            </w:r>
          </w:p>
        </w:tc>
        <w:tc>
          <w:tcPr>
            <w:tcW w:w="1082" w:type="dxa"/>
          </w:tcPr>
          <w:p w14:paraId="4BFBF907" w14:textId="77777777" w:rsidR="004B66B9" w:rsidRPr="00065CE6" w:rsidRDefault="004B66B9" w:rsidP="0095705F">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Status</w:t>
            </w:r>
          </w:p>
        </w:tc>
      </w:tr>
      <w:tr w:rsidR="004B66B9" w:rsidRPr="00EE752F" w14:paraId="68F76D61" w14:textId="77777777" w:rsidTr="008A35DD">
        <w:tc>
          <w:tcPr>
            <w:tcW w:w="5128" w:type="dxa"/>
          </w:tcPr>
          <w:p w14:paraId="17709439" w14:textId="0680828A" w:rsidR="00C8511D" w:rsidRPr="00EE752F" w:rsidRDefault="00C8511D" w:rsidP="00C8511D">
            <w:pPr>
              <w:pStyle w:val="ListParagraph"/>
              <w:numPr>
                <w:ilvl w:val="1"/>
                <w:numId w:val="3"/>
              </w:num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u w:val="single"/>
                <w:lang w:val="fr-FR"/>
              </w:rPr>
              <w:t xml:space="preserve">Elaboration </w:t>
            </w:r>
            <w:r w:rsidR="00F42F50" w:rsidRPr="00EE752F">
              <w:rPr>
                <w:rFonts w:asciiTheme="minorHAnsi" w:hAnsiTheme="minorHAnsi" w:cstheme="minorHAnsi"/>
                <w:sz w:val="20"/>
                <w:szCs w:val="20"/>
                <w:u w:val="single"/>
                <w:lang w:val="fr-FR"/>
              </w:rPr>
              <w:t xml:space="preserve">dans le cadre de son nouveau </w:t>
            </w:r>
            <w:proofErr w:type="gramStart"/>
            <w:r w:rsidR="00F42F50" w:rsidRPr="00EE752F">
              <w:rPr>
                <w:rFonts w:asciiTheme="minorHAnsi" w:hAnsiTheme="minorHAnsi" w:cstheme="minorHAnsi"/>
                <w:sz w:val="20"/>
                <w:szCs w:val="20"/>
                <w:u w:val="single"/>
                <w:lang w:val="fr-FR"/>
              </w:rPr>
              <w:t xml:space="preserve">CPD  </w:t>
            </w:r>
            <w:r w:rsidRPr="00EE752F">
              <w:rPr>
                <w:rFonts w:asciiTheme="minorHAnsi" w:hAnsiTheme="minorHAnsi" w:cstheme="minorHAnsi"/>
                <w:sz w:val="20"/>
                <w:szCs w:val="20"/>
                <w:u w:val="single"/>
                <w:lang w:val="fr-FR"/>
              </w:rPr>
              <w:t>d’une</w:t>
            </w:r>
            <w:proofErr w:type="gramEnd"/>
            <w:r w:rsidRPr="00EE752F">
              <w:rPr>
                <w:rFonts w:asciiTheme="minorHAnsi" w:hAnsiTheme="minorHAnsi" w:cstheme="minorHAnsi"/>
                <w:sz w:val="20"/>
                <w:szCs w:val="20"/>
                <w:u w:val="single"/>
                <w:lang w:val="fr-FR"/>
              </w:rPr>
              <w:t xml:space="preserve"> solide théorie de changement</w:t>
            </w:r>
            <w:r w:rsidRPr="00EE752F">
              <w:rPr>
                <w:rFonts w:asciiTheme="minorHAnsi" w:hAnsiTheme="minorHAnsi" w:cstheme="minorHAnsi"/>
                <w:sz w:val="20"/>
                <w:szCs w:val="20"/>
                <w:lang w:val="fr-FR"/>
              </w:rPr>
              <w:t xml:space="preserve"> p</w:t>
            </w:r>
            <w:r w:rsidR="00F42F50" w:rsidRPr="00EE752F">
              <w:rPr>
                <w:rFonts w:asciiTheme="minorHAnsi" w:hAnsiTheme="minorHAnsi" w:cstheme="minorHAnsi"/>
                <w:sz w:val="20"/>
                <w:szCs w:val="20"/>
                <w:lang w:val="fr-FR"/>
              </w:rPr>
              <w:t xml:space="preserve">ermettant de mieux </w:t>
            </w:r>
            <w:r w:rsidRPr="00EE752F">
              <w:rPr>
                <w:rFonts w:asciiTheme="minorHAnsi" w:hAnsiTheme="minorHAnsi" w:cstheme="minorHAnsi"/>
                <w:sz w:val="20"/>
                <w:szCs w:val="20"/>
                <w:lang w:val="fr-FR"/>
              </w:rPr>
              <w:t>articuler les priorités et mettre en évidence les résultats atteints</w:t>
            </w:r>
            <w:r w:rsidR="00F42F50" w:rsidRPr="00EE752F">
              <w:rPr>
                <w:rFonts w:asciiTheme="minorHAnsi" w:hAnsiTheme="minorHAnsi" w:cstheme="minorHAnsi"/>
                <w:sz w:val="20"/>
                <w:szCs w:val="20"/>
                <w:lang w:val="fr-FR"/>
              </w:rPr>
              <w:t xml:space="preserve"> lors </w:t>
            </w:r>
          </w:p>
          <w:p w14:paraId="772282D2" w14:textId="18BB374C" w:rsidR="004B66B9" w:rsidRPr="00EE752F" w:rsidRDefault="00C8511D" w:rsidP="006B160A">
            <w:pPr>
              <w:pStyle w:val="ListParagraph"/>
              <w:tabs>
                <w:tab w:val="left" w:pos="1080"/>
              </w:tabs>
              <w:ind w:left="360"/>
              <w:jc w:val="both"/>
              <w:rPr>
                <w:rFonts w:asciiTheme="minorHAnsi" w:hAnsiTheme="minorHAnsi" w:cstheme="minorHAnsi"/>
                <w:sz w:val="20"/>
                <w:szCs w:val="20"/>
                <w:lang w:val="fr-FR"/>
              </w:rPr>
            </w:pPr>
            <w:r w:rsidRPr="00EE752F">
              <w:rPr>
                <w:rFonts w:asciiTheme="minorHAnsi" w:hAnsiTheme="minorHAnsi" w:cstheme="minorHAnsi"/>
                <w:sz w:val="20"/>
                <w:szCs w:val="20"/>
                <w:u w:val="single"/>
                <w:lang w:val="fr-FR"/>
              </w:rPr>
              <w:t xml:space="preserve">Conception de </w:t>
            </w:r>
            <w:r w:rsidR="00F42F50" w:rsidRPr="00EE752F">
              <w:rPr>
                <w:rFonts w:asciiTheme="minorHAnsi" w:hAnsiTheme="minorHAnsi" w:cstheme="minorHAnsi"/>
                <w:sz w:val="20"/>
                <w:szCs w:val="20"/>
                <w:u w:val="single"/>
                <w:lang w:val="fr-FR"/>
              </w:rPr>
              <w:t xml:space="preserve">nouveau </w:t>
            </w:r>
            <w:r w:rsidRPr="00EE752F">
              <w:rPr>
                <w:rFonts w:asciiTheme="minorHAnsi" w:hAnsiTheme="minorHAnsi" w:cstheme="minorHAnsi"/>
                <w:sz w:val="20"/>
                <w:szCs w:val="20"/>
                <w:u w:val="single"/>
                <w:lang w:val="fr-FR"/>
              </w:rPr>
              <w:t>Programme</w:t>
            </w:r>
            <w:r w:rsidRPr="00EE752F">
              <w:rPr>
                <w:rFonts w:asciiTheme="minorHAnsi" w:hAnsiTheme="minorHAnsi" w:cstheme="minorHAnsi"/>
                <w:sz w:val="20"/>
                <w:szCs w:val="20"/>
                <w:lang w:val="fr-FR"/>
              </w:rPr>
              <w:t xml:space="preserve"> </w:t>
            </w:r>
            <w:r w:rsidR="00F42F50" w:rsidRPr="00EE752F">
              <w:rPr>
                <w:rFonts w:asciiTheme="minorHAnsi" w:hAnsiTheme="minorHAnsi" w:cstheme="minorHAnsi"/>
                <w:sz w:val="20"/>
                <w:szCs w:val="20"/>
                <w:lang w:val="fr-FR"/>
              </w:rPr>
              <w:t xml:space="preserve">ayant un fort accent sur les </w:t>
            </w:r>
            <w:r w:rsidRPr="00EE752F">
              <w:rPr>
                <w:rFonts w:asciiTheme="minorHAnsi" w:hAnsiTheme="minorHAnsi" w:cstheme="minorHAnsi"/>
                <w:sz w:val="20"/>
                <w:szCs w:val="20"/>
                <w:lang w:val="fr-FR"/>
              </w:rPr>
              <w:t>connexions intersectorielles</w:t>
            </w:r>
            <w:r w:rsidR="00F42F50" w:rsidRPr="00EE752F">
              <w:rPr>
                <w:rFonts w:asciiTheme="minorHAnsi" w:hAnsiTheme="minorHAnsi" w:cstheme="minorHAnsi"/>
                <w:sz w:val="20"/>
                <w:szCs w:val="20"/>
                <w:lang w:val="fr-FR"/>
              </w:rPr>
              <w:t xml:space="preserve">, intégrant davantage </w:t>
            </w:r>
            <w:r w:rsidR="006B160A" w:rsidRPr="00EE752F">
              <w:rPr>
                <w:rFonts w:asciiTheme="minorHAnsi" w:hAnsiTheme="minorHAnsi" w:cstheme="minorHAnsi"/>
                <w:sz w:val="20"/>
                <w:szCs w:val="20"/>
                <w:lang w:val="fr-FR"/>
              </w:rPr>
              <w:t xml:space="preserve">dans la programmation les scenarii de contingence adaptés aux crises et </w:t>
            </w:r>
            <w:r w:rsidR="00F42F50" w:rsidRPr="00EE752F">
              <w:rPr>
                <w:rFonts w:asciiTheme="minorHAnsi" w:hAnsiTheme="minorHAnsi" w:cstheme="minorHAnsi"/>
                <w:sz w:val="20"/>
                <w:szCs w:val="20"/>
                <w:lang w:val="fr-FR"/>
              </w:rPr>
              <w:t xml:space="preserve">fluctuations du contexte politique et institutionnel, et </w:t>
            </w:r>
            <w:r w:rsidR="006B160A" w:rsidRPr="00EE752F">
              <w:rPr>
                <w:rFonts w:asciiTheme="minorHAnsi" w:hAnsiTheme="minorHAnsi" w:cstheme="minorHAnsi"/>
                <w:sz w:val="20"/>
                <w:szCs w:val="20"/>
                <w:lang w:val="fr-FR"/>
              </w:rPr>
              <w:t xml:space="preserve">davantage concentré </w:t>
            </w:r>
            <w:r w:rsidR="00F42F50" w:rsidRPr="00EE752F">
              <w:rPr>
                <w:rFonts w:asciiTheme="minorHAnsi" w:hAnsiTheme="minorHAnsi" w:cstheme="minorHAnsi"/>
                <w:sz w:val="20"/>
                <w:szCs w:val="20"/>
                <w:lang w:val="fr-FR"/>
              </w:rPr>
              <w:t xml:space="preserve">sur </w:t>
            </w:r>
            <w:r w:rsidR="006B160A" w:rsidRPr="00EE752F">
              <w:rPr>
                <w:rFonts w:asciiTheme="minorHAnsi" w:hAnsiTheme="minorHAnsi" w:cstheme="minorHAnsi"/>
                <w:sz w:val="20"/>
                <w:szCs w:val="20"/>
                <w:lang w:val="fr-FR"/>
              </w:rPr>
              <w:t>l</w:t>
            </w:r>
            <w:r w:rsidRPr="00EE752F">
              <w:rPr>
                <w:rFonts w:asciiTheme="minorHAnsi" w:hAnsiTheme="minorHAnsi" w:cstheme="minorHAnsi"/>
                <w:sz w:val="20"/>
                <w:szCs w:val="20"/>
                <w:lang w:val="fr-FR"/>
              </w:rPr>
              <w:t xml:space="preserve">'intégration thématique </w:t>
            </w:r>
            <w:r w:rsidR="006B160A" w:rsidRPr="00EE752F">
              <w:rPr>
                <w:rFonts w:asciiTheme="minorHAnsi" w:hAnsiTheme="minorHAnsi" w:cstheme="minorHAnsi"/>
                <w:sz w:val="20"/>
                <w:szCs w:val="20"/>
                <w:lang w:val="fr-FR"/>
              </w:rPr>
              <w:t xml:space="preserve">et les </w:t>
            </w:r>
            <w:r w:rsidRPr="00EE752F">
              <w:rPr>
                <w:rFonts w:asciiTheme="minorHAnsi" w:hAnsiTheme="minorHAnsi" w:cstheme="minorHAnsi"/>
                <w:sz w:val="20"/>
                <w:szCs w:val="20"/>
                <w:lang w:val="fr-FR"/>
              </w:rPr>
              <w:t xml:space="preserve">complémentarités synergiques. </w:t>
            </w:r>
            <w:r w:rsidR="00F42F50" w:rsidRPr="00EE752F">
              <w:rPr>
                <w:rFonts w:asciiTheme="minorHAnsi" w:hAnsiTheme="minorHAnsi" w:cstheme="minorHAnsi"/>
                <w:sz w:val="20"/>
                <w:szCs w:val="20"/>
                <w:lang w:val="fr-FR"/>
              </w:rPr>
              <w:t>Les projets pilotes feront l’objet d’une communication et programmation spécifique.</w:t>
            </w:r>
            <w:r w:rsidRPr="00EE752F">
              <w:rPr>
                <w:rFonts w:asciiTheme="minorHAnsi" w:hAnsiTheme="minorHAnsi" w:cstheme="minorHAnsi"/>
                <w:sz w:val="20"/>
                <w:szCs w:val="20"/>
                <w:lang w:val="fr-FR"/>
              </w:rPr>
              <w:t xml:space="preserve"> </w:t>
            </w:r>
          </w:p>
        </w:tc>
        <w:tc>
          <w:tcPr>
            <w:tcW w:w="1802" w:type="dxa"/>
            <w:shd w:val="clear" w:color="auto" w:fill="auto"/>
          </w:tcPr>
          <w:p w14:paraId="0201AB74" w14:textId="180AE035" w:rsidR="004B66B9" w:rsidRPr="00EE752F" w:rsidRDefault="00A30D44" w:rsidP="00686ECD">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January </w:t>
            </w:r>
            <w:r w:rsidR="00166D79" w:rsidRPr="00EE752F">
              <w:rPr>
                <w:rFonts w:asciiTheme="minorHAnsi" w:hAnsiTheme="minorHAnsi" w:cstheme="minorHAnsi"/>
                <w:sz w:val="20"/>
                <w:szCs w:val="20"/>
                <w:lang w:val="fr-FR"/>
              </w:rPr>
              <w:t xml:space="preserve">2021 </w:t>
            </w:r>
            <w:r w:rsidRPr="00EE752F">
              <w:rPr>
                <w:rFonts w:asciiTheme="minorHAnsi" w:hAnsiTheme="minorHAnsi" w:cstheme="minorHAnsi"/>
                <w:sz w:val="20"/>
                <w:szCs w:val="20"/>
                <w:lang w:val="fr-FR"/>
              </w:rPr>
              <w:t>–</w:t>
            </w:r>
            <w:r w:rsidR="00166D79" w:rsidRPr="00EE752F">
              <w:rPr>
                <w:rFonts w:asciiTheme="minorHAnsi" w:hAnsiTheme="minorHAnsi" w:cstheme="minorHAnsi"/>
                <w:sz w:val="20"/>
                <w:szCs w:val="20"/>
                <w:lang w:val="fr-FR"/>
              </w:rPr>
              <w:t xml:space="preserve"> </w:t>
            </w:r>
            <w:r w:rsidR="008618F3" w:rsidRPr="00EE752F">
              <w:rPr>
                <w:rFonts w:asciiTheme="minorHAnsi" w:hAnsiTheme="minorHAnsi" w:cstheme="minorHAnsi"/>
                <w:sz w:val="20"/>
                <w:szCs w:val="20"/>
                <w:lang w:val="fr-FR"/>
              </w:rPr>
              <w:t xml:space="preserve">Septembre </w:t>
            </w:r>
            <w:r w:rsidRPr="00EE752F">
              <w:rPr>
                <w:rFonts w:asciiTheme="minorHAnsi" w:hAnsiTheme="minorHAnsi" w:cstheme="minorHAnsi"/>
                <w:sz w:val="20"/>
                <w:szCs w:val="20"/>
                <w:lang w:val="fr-FR"/>
              </w:rPr>
              <w:t>2021</w:t>
            </w:r>
          </w:p>
        </w:tc>
        <w:tc>
          <w:tcPr>
            <w:tcW w:w="1848" w:type="dxa"/>
            <w:shd w:val="clear" w:color="auto" w:fill="auto"/>
          </w:tcPr>
          <w:p w14:paraId="573587B0" w14:textId="2D06FCFA" w:rsidR="001D4145" w:rsidRPr="00EE752F" w:rsidRDefault="001D4145" w:rsidP="00686ECD">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S</w:t>
            </w:r>
            <w:r w:rsidR="00EA03C4">
              <w:rPr>
                <w:rFonts w:asciiTheme="minorHAnsi" w:hAnsiTheme="minorHAnsi" w:cstheme="minorHAnsi"/>
                <w:sz w:val="20"/>
                <w:szCs w:val="20"/>
                <w:lang w:val="fr-FR"/>
              </w:rPr>
              <w:t>enior Management Team (S</w:t>
            </w:r>
            <w:r w:rsidRPr="00EE752F">
              <w:rPr>
                <w:rFonts w:asciiTheme="minorHAnsi" w:hAnsiTheme="minorHAnsi" w:cstheme="minorHAnsi"/>
                <w:sz w:val="20"/>
                <w:szCs w:val="20"/>
                <w:lang w:val="fr-FR"/>
              </w:rPr>
              <w:t>MT</w:t>
            </w:r>
            <w:r w:rsidR="00EA03C4">
              <w:rPr>
                <w:rFonts w:asciiTheme="minorHAnsi" w:hAnsiTheme="minorHAnsi" w:cstheme="minorHAnsi"/>
                <w:sz w:val="20"/>
                <w:szCs w:val="20"/>
                <w:lang w:val="fr-FR"/>
              </w:rPr>
              <w:t>)</w:t>
            </w:r>
            <w:r w:rsidRPr="00EE752F">
              <w:rPr>
                <w:rFonts w:asciiTheme="minorHAnsi" w:hAnsiTheme="minorHAnsi" w:cstheme="minorHAnsi"/>
                <w:sz w:val="20"/>
                <w:szCs w:val="20"/>
                <w:lang w:val="fr-FR"/>
              </w:rPr>
              <w:t xml:space="preserve"> </w:t>
            </w:r>
          </w:p>
          <w:p w14:paraId="151B29AE" w14:textId="0B909B28" w:rsidR="004B66B9" w:rsidRPr="00EE752F" w:rsidRDefault="004B66B9" w:rsidP="00686ECD">
            <w:pPr>
              <w:tabs>
                <w:tab w:val="left" w:pos="1080"/>
              </w:tabs>
              <w:jc w:val="both"/>
              <w:rPr>
                <w:rFonts w:asciiTheme="minorHAnsi" w:hAnsiTheme="minorHAnsi" w:cstheme="minorHAnsi"/>
                <w:sz w:val="20"/>
                <w:szCs w:val="20"/>
                <w:lang w:val="fr-FR"/>
              </w:rPr>
            </w:pPr>
          </w:p>
        </w:tc>
        <w:tc>
          <w:tcPr>
            <w:tcW w:w="3314" w:type="dxa"/>
            <w:shd w:val="clear" w:color="auto" w:fill="auto"/>
          </w:tcPr>
          <w:p w14:paraId="4E1AB5F4" w14:textId="1DDC0DC6" w:rsidR="004B66B9" w:rsidRPr="00EE752F" w:rsidRDefault="001D4145" w:rsidP="00686ECD">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Consulta</w:t>
            </w:r>
            <w:r w:rsidR="00F67A4C" w:rsidRPr="00EE752F">
              <w:rPr>
                <w:rFonts w:asciiTheme="minorHAnsi" w:hAnsiTheme="minorHAnsi" w:cstheme="minorHAnsi"/>
                <w:sz w:val="20"/>
                <w:szCs w:val="20"/>
                <w:lang w:val="fr-FR"/>
              </w:rPr>
              <w:t>tion</w:t>
            </w:r>
            <w:r w:rsidRPr="00EE752F">
              <w:rPr>
                <w:rFonts w:asciiTheme="minorHAnsi" w:hAnsiTheme="minorHAnsi" w:cstheme="minorHAnsi"/>
                <w:sz w:val="20"/>
                <w:szCs w:val="20"/>
                <w:lang w:val="fr-FR"/>
              </w:rPr>
              <w:t xml:space="preserve"> en cours</w:t>
            </w:r>
            <w:r w:rsidR="00193F83" w:rsidRPr="00EE752F">
              <w:rPr>
                <w:rFonts w:asciiTheme="minorHAnsi" w:hAnsiTheme="minorHAnsi" w:cstheme="minorHAnsi"/>
                <w:sz w:val="20"/>
                <w:szCs w:val="20"/>
                <w:lang w:val="fr-FR"/>
              </w:rPr>
              <w:t xml:space="preserve">, appui externe devant permettre d’accompagner la formulation de la théorie du changement </w:t>
            </w:r>
          </w:p>
        </w:tc>
        <w:tc>
          <w:tcPr>
            <w:tcW w:w="1082" w:type="dxa"/>
            <w:shd w:val="clear" w:color="auto" w:fill="auto"/>
          </w:tcPr>
          <w:p w14:paraId="71C335E4" w14:textId="56215431" w:rsidR="004B66B9" w:rsidRPr="00EE752F" w:rsidRDefault="00A30D44" w:rsidP="00686ECD">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En cours</w:t>
            </w:r>
          </w:p>
        </w:tc>
      </w:tr>
      <w:tr w:rsidR="004B66B9" w:rsidRPr="00EE752F" w14:paraId="520D449A" w14:textId="77777777" w:rsidTr="008A35DD">
        <w:tc>
          <w:tcPr>
            <w:tcW w:w="5128" w:type="dxa"/>
          </w:tcPr>
          <w:p w14:paraId="37E6074D" w14:textId="68E8D08E" w:rsidR="006B160A" w:rsidRPr="00EE752F" w:rsidRDefault="004350DF" w:rsidP="00C8511D">
            <w:pPr>
              <w:pStyle w:val="ListParagraph"/>
              <w:numPr>
                <w:ilvl w:val="1"/>
                <w:numId w:val="3"/>
              </w:num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u w:val="single"/>
                <w:lang w:val="fr-FR"/>
              </w:rPr>
              <w:t xml:space="preserve">Renforcement </w:t>
            </w:r>
            <w:r w:rsidR="006B160A" w:rsidRPr="00EE752F">
              <w:rPr>
                <w:rFonts w:asciiTheme="minorHAnsi" w:hAnsiTheme="minorHAnsi" w:cstheme="minorHAnsi"/>
                <w:sz w:val="20"/>
                <w:szCs w:val="20"/>
                <w:u w:val="single"/>
                <w:lang w:val="fr-FR"/>
              </w:rPr>
              <w:t>de l’ancrage institutionnel national</w:t>
            </w:r>
            <w:r w:rsidR="006B160A" w:rsidRPr="00EE752F">
              <w:rPr>
                <w:rFonts w:asciiTheme="minorHAnsi" w:hAnsiTheme="minorHAnsi" w:cstheme="minorHAnsi"/>
                <w:sz w:val="20"/>
                <w:szCs w:val="20"/>
                <w:lang w:val="fr-FR"/>
              </w:rPr>
              <w:t xml:space="preserve"> du portefeuille de projets par le biais d’une </w:t>
            </w:r>
            <w:r w:rsidR="00C8511D" w:rsidRPr="00EE752F">
              <w:rPr>
                <w:rFonts w:asciiTheme="minorHAnsi" w:hAnsiTheme="minorHAnsi" w:cstheme="minorHAnsi"/>
                <w:sz w:val="20"/>
                <w:szCs w:val="20"/>
                <w:lang w:val="fr-FR"/>
              </w:rPr>
              <w:t xml:space="preserve">approche </w:t>
            </w:r>
            <w:r w:rsidR="006B160A" w:rsidRPr="00EE752F">
              <w:rPr>
                <w:rFonts w:asciiTheme="minorHAnsi" w:hAnsiTheme="minorHAnsi" w:cstheme="minorHAnsi"/>
                <w:sz w:val="20"/>
                <w:szCs w:val="20"/>
                <w:lang w:val="fr-FR"/>
              </w:rPr>
              <w:t>axée sur des</w:t>
            </w:r>
            <w:r w:rsidR="00C8511D" w:rsidRPr="00EE752F">
              <w:rPr>
                <w:rFonts w:asciiTheme="minorHAnsi" w:hAnsiTheme="minorHAnsi" w:cstheme="minorHAnsi"/>
                <w:sz w:val="20"/>
                <w:szCs w:val="20"/>
                <w:lang w:val="fr-FR"/>
              </w:rPr>
              <w:t xml:space="preserve"> conseils stratégiques </w:t>
            </w:r>
            <w:r w:rsidR="006B160A" w:rsidRPr="00EE752F">
              <w:rPr>
                <w:rFonts w:asciiTheme="minorHAnsi" w:hAnsiTheme="minorHAnsi" w:cstheme="minorHAnsi"/>
                <w:sz w:val="20"/>
                <w:szCs w:val="20"/>
                <w:lang w:val="fr-FR"/>
              </w:rPr>
              <w:t>au</w:t>
            </w:r>
            <w:r w:rsidR="00C8511D" w:rsidRPr="00EE752F">
              <w:rPr>
                <w:rFonts w:asciiTheme="minorHAnsi" w:hAnsiTheme="minorHAnsi" w:cstheme="minorHAnsi"/>
                <w:sz w:val="20"/>
                <w:szCs w:val="20"/>
                <w:lang w:val="fr-FR"/>
              </w:rPr>
              <w:t xml:space="preserve"> Gouvernement haïtien</w:t>
            </w:r>
            <w:r w:rsidR="006B160A" w:rsidRPr="00EE752F">
              <w:rPr>
                <w:rFonts w:asciiTheme="minorHAnsi" w:hAnsiTheme="minorHAnsi" w:cstheme="minorHAnsi"/>
                <w:sz w:val="20"/>
                <w:szCs w:val="20"/>
                <w:lang w:val="fr-FR"/>
              </w:rPr>
              <w:t xml:space="preserve"> dans l’optique des actions plus durables.</w:t>
            </w:r>
          </w:p>
          <w:p w14:paraId="772BFE52" w14:textId="07DA9515" w:rsidR="004B66B9" w:rsidRPr="00EE752F" w:rsidRDefault="00F61D65" w:rsidP="00F97130">
            <w:pPr>
              <w:pStyle w:val="ListParagraph"/>
              <w:tabs>
                <w:tab w:val="left" w:pos="1080"/>
              </w:tabs>
              <w:ind w:left="360"/>
              <w:jc w:val="both"/>
              <w:rPr>
                <w:rFonts w:asciiTheme="minorHAnsi" w:hAnsiTheme="minorHAnsi" w:cstheme="minorHAnsi"/>
                <w:sz w:val="20"/>
                <w:szCs w:val="20"/>
                <w:lang w:val="fr-FR"/>
              </w:rPr>
            </w:pPr>
            <w:r w:rsidRPr="00EE752F">
              <w:rPr>
                <w:rFonts w:asciiTheme="minorHAnsi" w:hAnsiTheme="minorHAnsi" w:cstheme="minorHAnsi"/>
                <w:sz w:val="20"/>
                <w:szCs w:val="20"/>
                <w:u w:val="single"/>
                <w:lang w:val="fr-FR"/>
              </w:rPr>
              <w:t>Développement d’une stratégie de mobilisations de ressources plus centrée</w:t>
            </w:r>
            <w:r w:rsidRPr="00EE752F">
              <w:rPr>
                <w:rFonts w:asciiTheme="minorHAnsi" w:hAnsiTheme="minorHAnsi" w:cstheme="minorHAnsi"/>
                <w:sz w:val="20"/>
                <w:szCs w:val="20"/>
                <w:lang w:val="fr-FR"/>
              </w:rPr>
              <w:t xml:space="preserve"> sur la consolidation du</w:t>
            </w:r>
            <w:r w:rsidR="00C8511D" w:rsidRPr="00EE752F">
              <w:rPr>
                <w:rFonts w:asciiTheme="minorHAnsi" w:hAnsiTheme="minorHAnsi" w:cstheme="minorHAnsi"/>
                <w:sz w:val="20"/>
                <w:szCs w:val="20"/>
                <w:lang w:val="fr-FR"/>
              </w:rPr>
              <w:t xml:space="preserve"> dialogue avec les partenaires traditionnels </w:t>
            </w:r>
            <w:r w:rsidRPr="00EE752F">
              <w:rPr>
                <w:rFonts w:asciiTheme="minorHAnsi" w:hAnsiTheme="minorHAnsi" w:cstheme="minorHAnsi"/>
                <w:sz w:val="20"/>
                <w:szCs w:val="20"/>
                <w:lang w:val="fr-FR"/>
              </w:rPr>
              <w:t>auprès d</w:t>
            </w:r>
            <w:r w:rsidR="00C8511D" w:rsidRPr="00EE752F">
              <w:rPr>
                <w:rFonts w:asciiTheme="minorHAnsi" w:hAnsiTheme="minorHAnsi" w:cstheme="minorHAnsi"/>
                <w:sz w:val="20"/>
                <w:szCs w:val="20"/>
                <w:lang w:val="fr-FR"/>
              </w:rPr>
              <w:t>esquels il bénéficie d’une crédibilité établie</w:t>
            </w:r>
            <w:r w:rsidR="00D36F07" w:rsidRPr="00EE752F">
              <w:rPr>
                <w:rFonts w:asciiTheme="minorHAnsi" w:hAnsiTheme="minorHAnsi" w:cstheme="minorHAnsi"/>
                <w:sz w:val="20"/>
                <w:szCs w:val="20"/>
                <w:lang w:val="fr-FR"/>
              </w:rPr>
              <w:t xml:space="preserve">, renforcement de partenariat avec les institutions de la société civile et le </w:t>
            </w:r>
            <w:r w:rsidR="00D36F07" w:rsidRPr="00EE752F">
              <w:rPr>
                <w:rFonts w:asciiTheme="minorHAnsi" w:hAnsiTheme="minorHAnsi" w:cstheme="minorHAnsi"/>
                <w:sz w:val="20"/>
                <w:szCs w:val="20"/>
                <w:lang w:val="fr-FR"/>
              </w:rPr>
              <w:lastRenderedPageBreak/>
              <w:t>secteur privé, tout</w:t>
            </w:r>
            <w:r w:rsidRPr="00EE752F">
              <w:rPr>
                <w:rFonts w:asciiTheme="minorHAnsi" w:hAnsiTheme="minorHAnsi" w:cstheme="minorHAnsi"/>
                <w:sz w:val="20"/>
                <w:szCs w:val="20"/>
                <w:lang w:val="fr-FR"/>
              </w:rPr>
              <w:t xml:space="preserve"> </w:t>
            </w:r>
            <w:r w:rsidR="00C8511D" w:rsidRPr="00EE752F">
              <w:rPr>
                <w:rFonts w:asciiTheme="minorHAnsi" w:hAnsiTheme="minorHAnsi" w:cstheme="minorHAnsi"/>
                <w:sz w:val="20"/>
                <w:szCs w:val="20"/>
                <w:lang w:val="fr-FR"/>
              </w:rPr>
              <w:t xml:space="preserve">et en </w:t>
            </w:r>
            <w:r w:rsidR="00D36F07" w:rsidRPr="00EE752F">
              <w:rPr>
                <w:rFonts w:asciiTheme="minorHAnsi" w:hAnsiTheme="minorHAnsi" w:cstheme="minorHAnsi"/>
                <w:sz w:val="20"/>
                <w:szCs w:val="20"/>
                <w:lang w:val="fr-FR"/>
              </w:rPr>
              <w:t>diversifiant</w:t>
            </w:r>
            <w:r w:rsidR="00C8511D" w:rsidRPr="00EE752F">
              <w:rPr>
                <w:rFonts w:asciiTheme="minorHAnsi" w:hAnsiTheme="minorHAnsi" w:cstheme="minorHAnsi"/>
                <w:sz w:val="20"/>
                <w:szCs w:val="20"/>
                <w:lang w:val="fr-FR"/>
              </w:rPr>
              <w:t xml:space="preserve"> </w:t>
            </w:r>
            <w:r w:rsidR="00D36F07" w:rsidRPr="00EE752F">
              <w:rPr>
                <w:rFonts w:asciiTheme="minorHAnsi" w:hAnsiTheme="minorHAnsi" w:cstheme="minorHAnsi"/>
                <w:sz w:val="20"/>
                <w:szCs w:val="20"/>
                <w:lang w:val="fr-FR"/>
              </w:rPr>
              <w:t>les</w:t>
            </w:r>
            <w:r w:rsidR="00C8511D" w:rsidRPr="00EE752F">
              <w:rPr>
                <w:rFonts w:asciiTheme="minorHAnsi" w:hAnsiTheme="minorHAnsi" w:cstheme="minorHAnsi"/>
                <w:sz w:val="20"/>
                <w:szCs w:val="20"/>
                <w:lang w:val="fr-FR"/>
              </w:rPr>
              <w:t xml:space="preserve"> partenariats et les nouveaux mécanismes de coopération international</w:t>
            </w:r>
            <w:r w:rsidR="00D36F07" w:rsidRPr="00EE752F">
              <w:rPr>
                <w:rFonts w:asciiTheme="minorHAnsi" w:hAnsiTheme="minorHAnsi" w:cstheme="minorHAnsi"/>
                <w:sz w:val="20"/>
                <w:szCs w:val="20"/>
                <w:lang w:val="fr-FR"/>
              </w:rPr>
              <w:t>e.</w:t>
            </w:r>
          </w:p>
        </w:tc>
        <w:tc>
          <w:tcPr>
            <w:tcW w:w="1802" w:type="dxa"/>
          </w:tcPr>
          <w:p w14:paraId="6DC8990E" w14:textId="25E6EAB9" w:rsidR="004B66B9" w:rsidRPr="00EE752F" w:rsidRDefault="000523CD" w:rsidP="00821AC1">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lastRenderedPageBreak/>
              <w:t>2021</w:t>
            </w:r>
          </w:p>
        </w:tc>
        <w:tc>
          <w:tcPr>
            <w:tcW w:w="1848" w:type="dxa"/>
          </w:tcPr>
          <w:p w14:paraId="43A4A54C" w14:textId="2349A332" w:rsidR="004B66B9" w:rsidRPr="00EE752F" w:rsidRDefault="00EA03C4" w:rsidP="0095705F">
            <w:pPr>
              <w:tabs>
                <w:tab w:val="left" w:pos="1080"/>
              </w:tabs>
              <w:rPr>
                <w:rFonts w:asciiTheme="minorHAnsi" w:hAnsiTheme="minorHAnsi" w:cstheme="minorHAnsi"/>
                <w:sz w:val="20"/>
                <w:szCs w:val="20"/>
                <w:lang w:val="fr-FR"/>
              </w:rPr>
            </w:pPr>
            <w:r>
              <w:rPr>
                <w:rFonts w:asciiTheme="minorHAnsi" w:hAnsiTheme="minorHAnsi" w:cstheme="minorHAnsi"/>
                <w:sz w:val="20"/>
                <w:szCs w:val="20"/>
                <w:lang w:val="fr-FR"/>
              </w:rPr>
              <w:t>Management Support Unit (</w:t>
            </w:r>
            <w:r w:rsidR="000523CD" w:rsidRPr="00EE752F">
              <w:rPr>
                <w:rFonts w:asciiTheme="minorHAnsi" w:hAnsiTheme="minorHAnsi" w:cstheme="minorHAnsi"/>
                <w:sz w:val="20"/>
                <w:szCs w:val="20"/>
                <w:lang w:val="fr-FR"/>
              </w:rPr>
              <w:t>MSU</w:t>
            </w:r>
            <w:r>
              <w:rPr>
                <w:rFonts w:asciiTheme="minorHAnsi" w:hAnsiTheme="minorHAnsi" w:cstheme="minorHAnsi"/>
                <w:sz w:val="20"/>
                <w:szCs w:val="20"/>
                <w:lang w:val="fr-FR"/>
              </w:rPr>
              <w:t>)</w:t>
            </w:r>
          </w:p>
        </w:tc>
        <w:tc>
          <w:tcPr>
            <w:tcW w:w="3314" w:type="dxa"/>
          </w:tcPr>
          <w:p w14:paraId="1E662E27" w14:textId="2D2BA4FE" w:rsidR="004B66B9" w:rsidRPr="00EE752F" w:rsidRDefault="00F67A4C" w:rsidP="000523CD">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Portefeuille de l’Unité </w:t>
            </w:r>
            <w:r w:rsidR="000523CD" w:rsidRPr="00EE752F">
              <w:rPr>
                <w:rFonts w:asciiTheme="minorHAnsi" w:hAnsiTheme="minorHAnsi" w:cstheme="minorHAnsi"/>
                <w:sz w:val="20"/>
                <w:szCs w:val="20"/>
                <w:lang w:val="fr-FR"/>
              </w:rPr>
              <w:t xml:space="preserve">ayant initie des actions de diversification des ressources du bureau notamment </w:t>
            </w:r>
            <w:proofErr w:type="spellStart"/>
            <w:r w:rsidR="000523CD" w:rsidRPr="00EE752F">
              <w:rPr>
                <w:rFonts w:asciiTheme="minorHAnsi" w:hAnsiTheme="minorHAnsi" w:cstheme="minorHAnsi"/>
                <w:sz w:val="20"/>
                <w:szCs w:val="20"/>
                <w:lang w:val="fr-FR"/>
              </w:rPr>
              <w:t>a</w:t>
            </w:r>
            <w:proofErr w:type="spellEnd"/>
            <w:r w:rsidR="000523CD" w:rsidRPr="00EE752F">
              <w:rPr>
                <w:rFonts w:asciiTheme="minorHAnsi" w:hAnsiTheme="minorHAnsi" w:cstheme="minorHAnsi"/>
                <w:sz w:val="20"/>
                <w:szCs w:val="20"/>
                <w:lang w:val="fr-FR"/>
              </w:rPr>
              <w:t xml:space="preserve"> travers l’approche du secteur privé. </w:t>
            </w:r>
          </w:p>
        </w:tc>
        <w:tc>
          <w:tcPr>
            <w:tcW w:w="1082" w:type="dxa"/>
          </w:tcPr>
          <w:p w14:paraId="510543F7" w14:textId="7566B30A" w:rsidR="004B66B9" w:rsidRPr="00EE752F" w:rsidRDefault="00F67A4C"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En cours</w:t>
            </w:r>
          </w:p>
        </w:tc>
      </w:tr>
      <w:tr w:rsidR="004B66B9" w:rsidRPr="00EE752F" w14:paraId="75066B8E" w14:textId="77777777" w:rsidTr="008A35DD">
        <w:tc>
          <w:tcPr>
            <w:tcW w:w="5128" w:type="dxa"/>
          </w:tcPr>
          <w:p w14:paraId="18D1B366" w14:textId="77777777" w:rsidR="00F97130" w:rsidRPr="00EE752F" w:rsidRDefault="00F97130" w:rsidP="008B67CB">
            <w:pPr>
              <w:pStyle w:val="ListParagraph"/>
              <w:numPr>
                <w:ilvl w:val="1"/>
                <w:numId w:val="3"/>
              </w:num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u w:val="single"/>
                <w:lang w:val="fr-FR"/>
              </w:rPr>
              <w:t>Appui à la mise en en place d’un cadre intégré de gestion dans le cadre du One UN</w:t>
            </w:r>
            <w:r w:rsidR="00330C45" w:rsidRPr="00EE752F">
              <w:rPr>
                <w:rFonts w:asciiTheme="minorHAnsi" w:hAnsiTheme="minorHAnsi" w:cstheme="minorHAnsi"/>
                <w:sz w:val="20"/>
                <w:szCs w:val="20"/>
                <w:lang w:val="fr-FR"/>
              </w:rPr>
              <w:t xml:space="preserve"> (UNCT, ISF / Benchmarks groupes de travail techniques) </w:t>
            </w:r>
          </w:p>
          <w:p w14:paraId="620DBB09" w14:textId="29B54F9D" w:rsidR="004B66B9" w:rsidRPr="00EE752F" w:rsidRDefault="00F97130" w:rsidP="00F97130">
            <w:pPr>
              <w:pStyle w:val="ListParagraph"/>
              <w:tabs>
                <w:tab w:val="left" w:pos="1080"/>
              </w:tabs>
              <w:ind w:left="360"/>
              <w:jc w:val="both"/>
              <w:rPr>
                <w:rFonts w:asciiTheme="minorHAnsi" w:hAnsiTheme="minorHAnsi" w:cstheme="minorHAnsi"/>
                <w:sz w:val="20"/>
                <w:szCs w:val="20"/>
                <w:lang w:val="fr-FR"/>
              </w:rPr>
            </w:pPr>
            <w:r w:rsidRPr="00EE752F">
              <w:rPr>
                <w:rFonts w:asciiTheme="minorHAnsi" w:hAnsiTheme="minorHAnsi" w:cstheme="minorHAnsi"/>
                <w:sz w:val="20"/>
                <w:szCs w:val="20"/>
                <w:u w:val="single"/>
                <w:lang w:val="fr-FR"/>
              </w:rPr>
              <w:t xml:space="preserve">Appui à la mise en place </w:t>
            </w:r>
            <w:r w:rsidR="00330C45" w:rsidRPr="00EE752F">
              <w:rPr>
                <w:rFonts w:asciiTheme="minorHAnsi" w:hAnsiTheme="minorHAnsi" w:cstheme="minorHAnsi"/>
                <w:sz w:val="20"/>
                <w:szCs w:val="20"/>
                <w:u w:val="single"/>
                <w:lang w:val="fr-FR"/>
              </w:rPr>
              <w:t xml:space="preserve">d'un système de contrôle qualité interne </w:t>
            </w:r>
            <w:r w:rsidRPr="00EE752F">
              <w:rPr>
                <w:rFonts w:asciiTheme="minorHAnsi" w:hAnsiTheme="minorHAnsi" w:cstheme="minorHAnsi"/>
                <w:sz w:val="20"/>
                <w:szCs w:val="20"/>
                <w:lang w:val="fr-FR"/>
              </w:rPr>
              <w:t>adapt</w:t>
            </w:r>
            <w:r w:rsidR="00330C45" w:rsidRPr="00EE752F">
              <w:rPr>
                <w:rFonts w:asciiTheme="minorHAnsi" w:hAnsiTheme="minorHAnsi" w:cstheme="minorHAnsi"/>
                <w:sz w:val="20"/>
                <w:szCs w:val="20"/>
                <w:lang w:val="fr-FR"/>
              </w:rPr>
              <w:t xml:space="preserve">é pour une responsabilisation et une supervision effective. </w:t>
            </w:r>
          </w:p>
        </w:tc>
        <w:tc>
          <w:tcPr>
            <w:tcW w:w="1802" w:type="dxa"/>
          </w:tcPr>
          <w:p w14:paraId="43CD221C" w14:textId="76725362" w:rsidR="004B66B9" w:rsidRPr="00EE752F" w:rsidRDefault="00742DC1" w:rsidP="00821AC1">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January 2021 – </w:t>
            </w:r>
            <w:r w:rsidR="00821AC1" w:rsidRPr="00EE752F">
              <w:rPr>
                <w:rFonts w:asciiTheme="minorHAnsi" w:hAnsiTheme="minorHAnsi" w:cstheme="minorHAnsi"/>
                <w:sz w:val="20"/>
                <w:szCs w:val="20"/>
                <w:lang w:val="fr-FR"/>
              </w:rPr>
              <w:t>février 2022</w:t>
            </w:r>
          </w:p>
        </w:tc>
        <w:tc>
          <w:tcPr>
            <w:tcW w:w="1848" w:type="dxa"/>
          </w:tcPr>
          <w:p w14:paraId="2FA25DD8" w14:textId="16223045" w:rsidR="004B66B9" w:rsidRPr="00EE752F" w:rsidRDefault="001D4145"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SMT</w:t>
            </w:r>
          </w:p>
        </w:tc>
        <w:tc>
          <w:tcPr>
            <w:tcW w:w="3314" w:type="dxa"/>
          </w:tcPr>
          <w:p w14:paraId="5494D36A" w14:textId="77777777" w:rsidR="008A35DD" w:rsidRPr="00EE752F" w:rsidRDefault="008A35DD" w:rsidP="008A35DD">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Contributions du bureau pays au </w:t>
            </w:r>
          </w:p>
          <w:p w14:paraId="6C7F7999" w14:textId="5426BFFE" w:rsidR="008A35DD" w:rsidRDefault="008A35DD" w:rsidP="008A35DD">
            <w:pPr>
              <w:pStyle w:val="ListParagraph"/>
              <w:numPr>
                <w:ilvl w:val="0"/>
                <w:numId w:val="4"/>
              </w:numPr>
              <w:tabs>
                <w:tab w:val="left" w:pos="706"/>
              </w:tabs>
              <w:ind w:left="166" w:hanging="180"/>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CCA </w:t>
            </w:r>
          </w:p>
          <w:p w14:paraId="6DA062FD" w14:textId="05F83D04" w:rsidR="00DE2750" w:rsidRPr="00EE752F" w:rsidRDefault="00DE2750" w:rsidP="008A35DD">
            <w:pPr>
              <w:pStyle w:val="ListParagraph"/>
              <w:numPr>
                <w:ilvl w:val="0"/>
                <w:numId w:val="4"/>
              </w:numPr>
              <w:tabs>
                <w:tab w:val="left" w:pos="706"/>
              </w:tabs>
              <w:ind w:left="166" w:hanging="180"/>
              <w:jc w:val="both"/>
              <w:rPr>
                <w:rFonts w:asciiTheme="minorHAnsi" w:hAnsiTheme="minorHAnsi" w:cstheme="minorHAnsi"/>
                <w:sz w:val="20"/>
                <w:szCs w:val="20"/>
                <w:lang w:val="fr-FR"/>
              </w:rPr>
            </w:pPr>
            <w:r>
              <w:rPr>
                <w:rFonts w:asciiTheme="minorHAnsi" w:hAnsiTheme="minorHAnsi" w:cstheme="minorHAnsi"/>
                <w:sz w:val="20"/>
                <w:szCs w:val="20"/>
                <w:lang w:val="fr-FR"/>
              </w:rPr>
              <w:t>Leadership des groupes thématiques au besoin</w:t>
            </w:r>
          </w:p>
          <w:p w14:paraId="7168D897" w14:textId="77777777" w:rsidR="008A35DD" w:rsidRPr="00EE752F" w:rsidRDefault="008A35DD" w:rsidP="008A35DD">
            <w:pPr>
              <w:pStyle w:val="ListParagraph"/>
              <w:numPr>
                <w:ilvl w:val="0"/>
                <w:numId w:val="4"/>
              </w:numPr>
              <w:tabs>
                <w:tab w:val="left" w:pos="706"/>
              </w:tabs>
              <w:ind w:left="166" w:hanging="180"/>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Rapport pays UNCT report et SG Report </w:t>
            </w:r>
          </w:p>
          <w:p w14:paraId="5E4A1C5A" w14:textId="77777777" w:rsidR="008A35DD" w:rsidRPr="00EE752F" w:rsidRDefault="008A35DD" w:rsidP="008A35DD">
            <w:pPr>
              <w:pStyle w:val="ListParagraph"/>
              <w:numPr>
                <w:ilvl w:val="0"/>
                <w:numId w:val="4"/>
              </w:numPr>
              <w:tabs>
                <w:tab w:val="left" w:pos="706"/>
              </w:tabs>
              <w:ind w:left="166" w:hanging="180"/>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Groupe M&amp;E interagences fonctionnel </w:t>
            </w:r>
          </w:p>
          <w:p w14:paraId="02F700DD" w14:textId="5C2EA081" w:rsidR="00F67A4C" w:rsidRPr="00EE752F" w:rsidRDefault="008A35DD" w:rsidP="008A35DD">
            <w:pPr>
              <w:pStyle w:val="ListParagraph"/>
              <w:numPr>
                <w:ilvl w:val="0"/>
                <w:numId w:val="4"/>
              </w:numPr>
              <w:tabs>
                <w:tab w:val="left" w:pos="706"/>
              </w:tabs>
              <w:ind w:left="166" w:hanging="180"/>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Groupes des PTF (Partenaires Techniques et Financiers) sous le lead de la CTP (Gouvernance Locale, État de Droit, Police/Sécurité, Prison, Environnement, GRD etc.).</w:t>
            </w:r>
          </w:p>
        </w:tc>
        <w:tc>
          <w:tcPr>
            <w:tcW w:w="1082" w:type="dxa"/>
          </w:tcPr>
          <w:p w14:paraId="58E8C625" w14:textId="606FEF4B" w:rsidR="004B66B9" w:rsidRPr="00EE752F" w:rsidRDefault="001D4145"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En cours</w:t>
            </w:r>
          </w:p>
        </w:tc>
      </w:tr>
    </w:tbl>
    <w:p w14:paraId="12592FEF" w14:textId="77777777" w:rsidR="004B66B9" w:rsidRPr="00EE752F" w:rsidRDefault="004B66B9" w:rsidP="004B66B9">
      <w:pPr>
        <w:tabs>
          <w:tab w:val="left" w:pos="1080"/>
        </w:tabs>
        <w:rPr>
          <w:rFonts w:asciiTheme="minorHAnsi" w:hAnsiTheme="minorHAnsi" w:cstheme="minorHAnsi"/>
          <w:sz w:val="20"/>
          <w:szCs w:val="20"/>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1821"/>
        <w:gridCol w:w="1933"/>
        <w:gridCol w:w="3161"/>
        <w:gridCol w:w="1291"/>
      </w:tblGrid>
      <w:tr w:rsidR="004B66B9" w:rsidRPr="00EE752F" w14:paraId="7FBE7A01" w14:textId="77777777" w:rsidTr="008A35DD">
        <w:tc>
          <w:tcPr>
            <w:tcW w:w="13315" w:type="dxa"/>
            <w:gridSpan w:val="5"/>
            <w:shd w:val="clear" w:color="auto" w:fill="F3F3F3"/>
          </w:tcPr>
          <w:p w14:paraId="0290955B" w14:textId="5741EBB1" w:rsidR="004B66B9" w:rsidRPr="00EE752F" w:rsidRDefault="00BA0ABE" w:rsidP="0095705F">
            <w:pPr>
              <w:tabs>
                <w:tab w:val="left" w:pos="1080"/>
              </w:tabs>
              <w:rPr>
                <w:rFonts w:asciiTheme="minorHAnsi" w:hAnsiTheme="minorHAnsi" w:cstheme="minorHAnsi"/>
                <w:sz w:val="20"/>
                <w:szCs w:val="20"/>
              </w:rPr>
            </w:pPr>
            <w:r w:rsidRPr="00EE752F">
              <w:rPr>
                <w:rFonts w:ascii="Calibri" w:hAnsi="Calibri" w:cs="Calibri"/>
                <w:b/>
                <w:bCs/>
                <w:sz w:val="22"/>
                <w:szCs w:val="22"/>
                <w:lang w:eastAsia="ja-JP"/>
              </w:rPr>
              <w:t xml:space="preserve">Recommendation 2: In terms of programmatic offer, UNDP responses should tackle the deepest structural challenges faced by the country, notably related to social cohesion, governance, economic </w:t>
            </w:r>
            <w:proofErr w:type="gramStart"/>
            <w:r w:rsidRPr="00EE752F">
              <w:rPr>
                <w:rFonts w:ascii="Calibri" w:hAnsi="Calibri" w:cs="Calibri"/>
                <w:b/>
                <w:bCs/>
                <w:sz w:val="22"/>
                <w:szCs w:val="22"/>
                <w:lang w:eastAsia="ja-JP"/>
              </w:rPr>
              <w:t>vulnerabilities</w:t>
            </w:r>
            <w:proofErr w:type="gramEnd"/>
            <w:r w:rsidRPr="00EE752F">
              <w:rPr>
                <w:rFonts w:ascii="Calibri" w:hAnsi="Calibri" w:cs="Calibri"/>
                <w:b/>
                <w:bCs/>
                <w:sz w:val="22"/>
                <w:szCs w:val="22"/>
                <w:lang w:eastAsia="ja-JP"/>
              </w:rPr>
              <w:t xml:space="preserve"> and disaster risks.</w:t>
            </w:r>
            <w:r w:rsidRPr="00EE752F">
              <w:rPr>
                <w:rFonts w:ascii="Calibri" w:hAnsi="Calibri" w:cs="Georgia"/>
                <w:b/>
                <w:bCs/>
                <w:sz w:val="22"/>
                <w:szCs w:val="22"/>
                <w:lang w:eastAsia="ja-JP"/>
              </w:rPr>
              <w:t xml:space="preserve"> UNDP must work primarily on technical assistance and training for the various partners, while continuing to focus efforts on activities that bring about change and generate a lasting multiplier effect. In addition, as several of the challenges are intergenerational, UNDP should strengthen its support to the youth including capacity development for effective participation in public life, as well as economic empowerment.</w:t>
            </w:r>
          </w:p>
        </w:tc>
      </w:tr>
      <w:tr w:rsidR="004B66B9" w:rsidRPr="00EE752F" w14:paraId="53EB49D6" w14:textId="77777777" w:rsidTr="008A35DD">
        <w:tc>
          <w:tcPr>
            <w:tcW w:w="13315" w:type="dxa"/>
            <w:gridSpan w:val="5"/>
            <w:shd w:val="clear" w:color="auto" w:fill="F3F3F3"/>
          </w:tcPr>
          <w:p w14:paraId="495B702D" w14:textId="58175D58" w:rsidR="00F306D2" w:rsidRPr="00F306D2" w:rsidRDefault="00B27153" w:rsidP="0095705F">
            <w:pPr>
              <w:tabs>
                <w:tab w:val="left" w:pos="1080"/>
              </w:tabs>
              <w:rPr>
                <w:rFonts w:ascii="Calibri" w:hAnsi="Calibri" w:cs="Georgia"/>
                <w:b/>
                <w:bCs/>
                <w:color w:val="0070C0"/>
                <w:sz w:val="22"/>
                <w:szCs w:val="22"/>
                <w:lang w:eastAsia="ja-JP"/>
              </w:rPr>
            </w:pPr>
            <w:r w:rsidRPr="00F422FD">
              <w:rPr>
                <w:rFonts w:ascii="Calibri" w:hAnsi="Calibri" w:cs="Georgia"/>
                <w:b/>
                <w:bCs/>
                <w:sz w:val="22"/>
                <w:szCs w:val="22"/>
                <w:u w:val="single"/>
                <w:lang w:eastAsia="ja-JP"/>
              </w:rPr>
              <w:t>Management response :</w:t>
            </w:r>
            <w:r w:rsidRPr="00B27153">
              <w:rPr>
                <w:rFonts w:ascii="Calibri" w:hAnsi="Calibri" w:cs="Georgia"/>
                <w:b/>
                <w:bCs/>
                <w:color w:val="0070C0"/>
                <w:sz w:val="22"/>
                <w:szCs w:val="22"/>
                <w:lang w:eastAsia="ja-JP"/>
              </w:rPr>
              <w:t xml:space="preserve"> The country office </w:t>
            </w:r>
            <w:r w:rsidR="00AA0E4B">
              <w:rPr>
                <w:rFonts w:ascii="Calibri" w:hAnsi="Calibri" w:cs="Georgia"/>
                <w:b/>
                <w:bCs/>
                <w:color w:val="0070C0"/>
                <w:sz w:val="22"/>
                <w:szCs w:val="22"/>
                <w:lang w:eastAsia="ja-JP"/>
              </w:rPr>
              <w:t>fully</w:t>
            </w:r>
            <w:r w:rsidRPr="00B27153">
              <w:rPr>
                <w:rFonts w:ascii="Calibri" w:hAnsi="Calibri" w:cs="Georgia"/>
                <w:b/>
                <w:bCs/>
                <w:color w:val="0070C0"/>
                <w:sz w:val="22"/>
                <w:szCs w:val="22"/>
                <w:lang w:eastAsia="ja-JP"/>
              </w:rPr>
              <w:t xml:space="preserve"> accepts</w:t>
            </w:r>
            <w:r>
              <w:rPr>
                <w:rFonts w:ascii="Calibri" w:hAnsi="Calibri" w:cs="Georgia"/>
                <w:b/>
                <w:bCs/>
                <w:color w:val="0070C0"/>
                <w:sz w:val="22"/>
                <w:szCs w:val="22"/>
                <w:lang w:eastAsia="ja-JP"/>
              </w:rPr>
              <w:t xml:space="preserve"> </w:t>
            </w:r>
            <w:r w:rsidRPr="00B27153">
              <w:rPr>
                <w:rFonts w:ascii="Calibri" w:hAnsi="Calibri" w:cs="Georgia"/>
                <w:b/>
                <w:bCs/>
                <w:color w:val="0070C0"/>
                <w:sz w:val="22"/>
                <w:szCs w:val="22"/>
                <w:lang w:eastAsia="ja-JP"/>
              </w:rPr>
              <w:t>the recommendation</w:t>
            </w:r>
            <w:r w:rsidR="00B0047F">
              <w:rPr>
                <w:rFonts w:ascii="Calibri" w:hAnsi="Calibri" w:cs="Georgia"/>
                <w:b/>
                <w:bCs/>
                <w:color w:val="0070C0"/>
                <w:sz w:val="22"/>
                <w:szCs w:val="22"/>
                <w:lang w:eastAsia="ja-JP"/>
              </w:rPr>
              <w:t xml:space="preserve"> and will strive to strike the appropriate balance between tackling structural issues and responding to emerging priorities</w:t>
            </w:r>
            <w:r w:rsidR="00F306D2">
              <w:rPr>
                <w:rFonts w:ascii="Calibri" w:hAnsi="Calibri" w:cs="Georgia"/>
                <w:b/>
                <w:bCs/>
                <w:color w:val="0070C0"/>
                <w:sz w:val="22"/>
                <w:szCs w:val="22"/>
                <w:lang w:eastAsia="ja-JP"/>
              </w:rPr>
              <w:t xml:space="preserve">. As part of transitional period leading to the </w:t>
            </w:r>
            <w:r w:rsidR="006419B5">
              <w:rPr>
                <w:rFonts w:ascii="Calibri" w:hAnsi="Calibri" w:cs="Georgia"/>
                <w:b/>
                <w:bCs/>
                <w:color w:val="0070C0"/>
                <w:sz w:val="22"/>
                <w:szCs w:val="22"/>
                <w:lang w:eastAsia="ja-JP"/>
              </w:rPr>
              <w:t xml:space="preserve">formulation of the </w:t>
            </w:r>
            <w:r w:rsidR="00F306D2">
              <w:rPr>
                <w:rFonts w:ascii="Calibri" w:hAnsi="Calibri" w:cs="Georgia"/>
                <w:b/>
                <w:bCs/>
                <w:color w:val="0070C0"/>
                <w:sz w:val="22"/>
                <w:szCs w:val="22"/>
                <w:lang w:eastAsia="ja-JP"/>
              </w:rPr>
              <w:t>next CPD</w:t>
            </w:r>
            <w:r w:rsidR="006419B5">
              <w:rPr>
                <w:rFonts w:ascii="Calibri" w:hAnsi="Calibri" w:cs="Georgia"/>
                <w:b/>
                <w:bCs/>
                <w:color w:val="0070C0"/>
                <w:sz w:val="22"/>
                <w:szCs w:val="22"/>
                <w:lang w:eastAsia="ja-JP"/>
              </w:rPr>
              <w:t xml:space="preserve">, the </w:t>
            </w:r>
            <w:r w:rsidR="00304A28">
              <w:rPr>
                <w:rFonts w:ascii="Calibri" w:hAnsi="Calibri" w:cs="Georgia"/>
                <w:b/>
                <w:bCs/>
                <w:color w:val="0070C0"/>
                <w:sz w:val="22"/>
                <w:szCs w:val="22"/>
                <w:lang w:eastAsia="ja-JP"/>
              </w:rPr>
              <w:t>C</w:t>
            </w:r>
            <w:r w:rsidR="00F306D2">
              <w:rPr>
                <w:rFonts w:ascii="Calibri" w:hAnsi="Calibri" w:cs="Georgia"/>
                <w:b/>
                <w:bCs/>
                <w:color w:val="0070C0"/>
                <w:sz w:val="22"/>
                <w:szCs w:val="22"/>
                <w:lang w:eastAsia="ja-JP"/>
              </w:rPr>
              <w:t xml:space="preserve">ountry Office has </w:t>
            </w:r>
            <w:r w:rsidR="004F5FFB">
              <w:rPr>
                <w:rFonts w:ascii="Calibri" w:hAnsi="Calibri" w:cs="Georgia"/>
                <w:b/>
                <w:bCs/>
                <w:color w:val="0070C0"/>
                <w:sz w:val="22"/>
                <w:szCs w:val="22"/>
                <w:lang w:eastAsia="ja-JP"/>
              </w:rPr>
              <w:t xml:space="preserve">already </w:t>
            </w:r>
            <w:r w:rsidR="00F306D2">
              <w:rPr>
                <w:rFonts w:ascii="Calibri" w:hAnsi="Calibri" w:cs="Georgia"/>
                <w:b/>
                <w:bCs/>
                <w:color w:val="0070C0"/>
                <w:sz w:val="22"/>
                <w:szCs w:val="22"/>
                <w:lang w:eastAsia="ja-JP"/>
              </w:rPr>
              <w:t xml:space="preserve">started reshaping its Programme </w:t>
            </w:r>
            <w:r w:rsidR="004F5FFB">
              <w:rPr>
                <w:rFonts w:ascii="Calibri" w:hAnsi="Calibri" w:cs="Georgia"/>
                <w:b/>
                <w:bCs/>
                <w:color w:val="0070C0"/>
                <w:sz w:val="22"/>
                <w:szCs w:val="22"/>
                <w:lang w:eastAsia="ja-JP"/>
              </w:rPr>
              <w:t xml:space="preserve">to focus more on transformational solutions or </w:t>
            </w:r>
            <w:r w:rsidR="006419B5">
              <w:rPr>
                <w:rFonts w:ascii="Calibri" w:hAnsi="Calibri" w:cs="Georgia"/>
                <w:b/>
                <w:bCs/>
                <w:color w:val="0070C0"/>
                <w:sz w:val="22"/>
                <w:szCs w:val="22"/>
                <w:lang w:eastAsia="ja-JP"/>
              </w:rPr>
              <w:t>results</w:t>
            </w:r>
            <w:r w:rsidR="004F5FFB">
              <w:rPr>
                <w:rFonts w:ascii="Calibri" w:hAnsi="Calibri" w:cs="Georgia"/>
                <w:b/>
                <w:bCs/>
                <w:color w:val="0070C0"/>
                <w:sz w:val="22"/>
                <w:szCs w:val="22"/>
                <w:lang w:eastAsia="ja-JP"/>
              </w:rPr>
              <w:t xml:space="preserve">. </w:t>
            </w:r>
            <w:r w:rsidR="00F306D2">
              <w:rPr>
                <w:rFonts w:ascii="Calibri" w:hAnsi="Calibri" w:cs="Georgia"/>
                <w:b/>
                <w:bCs/>
                <w:color w:val="0070C0"/>
                <w:sz w:val="22"/>
                <w:szCs w:val="22"/>
                <w:lang w:eastAsia="ja-JP"/>
              </w:rPr>
              <w:t xml:space="preserve">   </w:t>
            </w:r>
          </w:p>
        </w:tc>
      </w:tr>
      <w:tr w:rsidR="004B66B9" w:rsidRPr="00EE752F" w14:paraId="509AC962" w14:textId="77777777" w:rsidTr="008A35DD">
        <w:trPr>
          <w:trHeight w:val="135"/>
        </w:trPr>
        <w:tc>
          <w:tcPr>
            <w:tcW w:w="5109" w:type="dxa"/>
            <w:vMerge w:val="restart"/>
            <w:shd w:val="clear" w:color="auto" w:fill="F3F3F3"/>
          </w:tcPr>
          <w:p w14:paraId="047C6845" w14:textId="77777777" w:rsidR="004B66B9" w:rsidRPr="00EE752F" w:rsidRDefault="004B66B9"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Key action(s)</w:t>
            </w:r>
          </w:p>
        </w:tc>
        <w:tc>
          <w:tcPr>
            <w:tcW w:w="1821" w:type="dxa"/>
            <w:vMerge w:val="restart"/>
            <w:shd w:val="clear" w:color="auto" w:fill="F3F3F3"/>
          </w:tcPr>
          <w:p w14:paraId="33B8C428" w14:textId="77777777" w:rsidR="004B66B9" w:rsidRPr="00EE752F" w:rsidRDefault="004B66B9"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Time frame</w:t>
            </w:r>
          </w:p>
        </w:tc>
        <w:tc>
          <w:tcPr>
            <w:tcW w:w="1933" w:type="dxa"/>
            <w:vMerge w:val="restart"/>
            <w:shd w:val="clear" w:color="auto" w:fill="F3F3F3"/>
          </w:tcPr>
          <w:p w14:paraId="524A08FF" w14:textId="77777777" w:rsidR="004B66B9" w:rsidRPr="00EE752F" w:rsidRDefault="004B66B9"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Responsible unit(s)</w:t>
            </w:r>
          </w:p>
        </w:tc>
        <w:tc>
          <w:tcPr>
            <w:tcW w:w="4452" w:type="dxa"/>
            <w:gridSpan w:val="2"/>
            <w:shd w:val="clear" w:color="auto" w:fill="F3F3F3"/>
          </w:tcPr>
          <w:p w14:paraId="7D481000" w14:textId="77777777" w:rsidR="004B66B9" w:rsidRPr="00EE752F" w:rsidRDefault="004B66B9"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Tracking</w:t>
            </w:r>
          </w:p>
        </w:tc>
      </w:tr>
      <w:tr w:rsidR="004B66B9" w:rsidRPr="00EE752F" w14:paraId="2EBF4F45" w14:textId="77777777" w:rsidTr="008A35DD">
        <w:trPr>
          <w:trHeight w:val="135"/>
        </w:trPr>
        <w:tc>
          <w:tcPr>
            <w:tcW w:w="5109" w:type="dxa"/>
            <w:vMerge/>
            <w:shd w:val="clear" w:color="auto" w:fill="F3F3F3"/>
          </w:tcPr>
          <w:p w14:paraId="5D2C9854" w14:textId="77777777" w:rsidR="004B66B9" w:rsidRPr="00EE752F" w:rsidRDefault="004B66B9" w:rsidP="0095705F">
            <w:pPr>
              <w:tabs>
                <w:tab w:val="left" w:pos="1080"/>
              </w:tabs>
              <w:rPr>
                <w:rFonts w:asciiTheme="minorHAnsi" w:hAnsiTheme="minorHAnsi" w:cstheme="minorHAnsi"/>
                <w:sz w:val="20"/>
                <w:szCs w:val="20"/>
              </w:rPr>
            </w:pPr>
          </w:p>
        </w:tc>
        <w:tc>
          <w:tcPr>
            <w:tcW w:w="1821" w:type="dxa"/>
            <w:vMerge/>
            <w:shd w:val="clear" w:color="auto" w:fill="F3F3F3"/>
          </w:tcPr>
          <w:p w14:paraId="12DCC5A8" w14:textId="77777777" w:rsidR="004B66B9" w:rsidRPr="00EE752F" w:rsidRDefault="004B66B9" w:rsidP="0095705F">
            <w:pPr>
              <w:tabs>
                <w:tab w:val="left" w:pos="1080"/>
              </w:tabs>
              <w:rPr>
                <w:rFonts w:asciiTheme="minorHAnsi" w:hAnsiTheme="minorHAnsi" w:cstheme="minorHAnsi"/>
                <w:b/>
                <w:sz w:val="20"/>
                <w:szCs w:val="20"/>
              </w:rPr>
            </w:pPr>
          </w:p>
        </w:tc>
        <w:tc>
          <w:tcPr>
            <w:tcW w:w="1933" w:type="dxa"/>
            <w:vMerge/>
            <w:shd w:val="clear" w:color="auto" w:fill="F3F3F3"/>
          </w:tcPr>
          <w:p w14:paraId="3A976A2A" w14:textId="77777777" w:rsidR="004B66B9" w:rsidRPr="00EE752F" w:rsidRDefault="004B66B9" w:rsidP="0095705F">
            <w:pPr>
              <w:tabs>
                <w:tab w:val="left" w:pos="1080"/>
              </w:tabs>
              <w:rPr>
                <w:rFonts w:asciiTheme="minorHAnsi" w:hAnsiTheme="minorHAnsi" w:cstheme="minorHAnsi"/>
                <w:b/>
                <w:sz w:val="20"/>
                <w:szCs w:val="20"/>
              </w:rPr>
            </w:pPr>
          </w:p>
        </w:tc>
        <w:tc>
          <w:tcPr>
            <w:tcW w:w="3161" w:type="dxa"/>
          </w:tcPr>
          <w:p w14:paraId="5DD0A692" w14:textId="77777777" w:rsidR="004B66B9" w:rsidRPr="00EE752F" w:rsidRDefault="004B66B9"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Comments</w:t>
            </w:r>
          </w:p>
        </w:tc>
        <w:tc>
          <w:tcPr>
            <w:tcW w:w="1291" w:type="dxa"/>
          </w:tcPr>
          <w:p w14:paraId="28931CA9" w14:textId="77777777" w:rsidR="004B66B9" w:rsidRPr="00EE752F" w:rsidRDefault="004B66B9"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Status</w:t>
            </w:r>
          </w:p>
        </w:tc>
      </w:tr>
      <w:tr w:rsidR="004B66B9" w:rsidRPr="00EE752F" w14:paraId="6F67AA8F" w14:textId="77777777" w:rsidTr="008A35DD">
        <w:tc>
          <w:tcPr>
            <w:tcW w:w="5109" w:type="dxa"/>
          </w:tcPr>
          <w:p w14:paraId="47EA8B4E" w14:textId="4529C40C" w:rsidR="00CD6C25" w:rsidRPr="00EE752F" w:rsidRDefault="004B66B9" w:rsidP="00CD6C25">
            <w:pPr>
              <w:ind w:left="345" w:hanging="270"/>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2.1 </w:t>
            </w:r>
            <w:r w:rsidR="00CD6C25" w:rsidRPr="00EE752F">
              <w:rPr>
                <w:rFonts w:asciiTheme="minorHAnsi" w:hAnsiTheme="minorHAnsi" w:cstheme="minorHAnsi"/>
                <w:sz w:val="20"/>
                <w:szCs w:val="20"/>
                <w:u w:val="single"/>
                <w:lang w:val="fr-FR"/>
              </w:rPr>
              <w:t xml:space="preserve">Réalisation de projets promouvant des initiatives </w:t>
            </w:r>
            <w:r w:rsidR="00CD6C25" w:rsidRPr="00EE752F">
              <w:rPr>
                <w:rFonts w:asciiTheme="minorHAnsi" w:hAnsiTheme="minorHAnsi" w:cstheme="minorHAnsi"/>
                <w:sz w:val="20"/>
                <w:szCs w:val="20"/>
                <w:lang w:val="fr-FR"/>
              </w:rPr>
              <w:t xml:space="preserve">normatives et transformatrices offrant des opportunités aux femmes et aux jeunes de participer à la vie publique en lien avec </w:t>
            </w:r>
            <w:r w:rsidR="009C7D0E" w:rsidRPr="00EE752F">
              <w:rPr>
                <w:rFonts w:asciiTheme="minorHAnsi" w:hAnsiTheme="minorHAnsi" w:cstheme="minorHAnsi"/>
                <w:sz w:val="20"/>
                <w:szCs w:val="20"/>
                <w:lang w:val="fr-FR"/>
              </w:rPr>
              <w:t xml:space="preserve">la gouvernance et l’état de droit, </w:t>
            </w:r>
            <w:r w:rsidR="00CD6C25" w:rsidRPr="00EE752F">
              <w:rPr>
                <w:rFonts w:asciiTheme="minorHAnsi" w:hAnsiTheme="minorHAnsi" w:cstheme="minorHAnsi"/>
                <w:sz w:val="20"/>
                <w:szCs w:val="20"/>
                <w:lang w:val="fr-FR"/>
              </w:rPr>
              <w:t xml:space="preserve">par le biais de </w:t>
            </w:r>
            <w:r w:rsidR="009C7D0E" w:rsidRPr="00EE752F">
              <w:rPr>
                <w:rFonts w:asciiTheme="minorHAnsi" w:hAnsiTheme="minorHAnsi" w:cstheme="minorHAnsi"/>
                <w:sz w:val="20"/>
                <w:szCs w:val="20"/>
                <w:lang w:val="fr-FR"/>
              </w:rPr>
              <w:t>l’appui technique-conseil</w:t>
            </w:r>
            <w:r w:rsidR="00C877FB" w:rsidRPr="00EE752F">
              <w:rPr>
                <w:rFonts w:asciiTheme="minorHAnsi" w:hAnsiTheme="minorHAnsi" w:cstheme="minorHAnsi"/>
                <w:sz w:val="20"/>
                <w:szCs w:val="20"/>
                <w:lang w:val="fr-FR"/>
              </w:rPr>
              <w:t xml:space="preserve"> et en partenariat avec le BINUH et le SNU.</w:t>
            </w:r>
            <w:r w:rsidR="00C877FB" w:rsidRPr="00EE752F">
              <w:rPr>
                <w:color w:val="C00000"/>
                <w:sz w:val="20"/>
                <w:szCs w:val="20"/>
                <w:lang w:val="fr-FR"/>
              </w:rPr>
              <w:t xml:space="preserve"> </w:t>
            </w:r>
            <w:r w:rsidR="009C7D0E" w:rsidRPr="00EE752F">
              <w:rPr>
                <w:rFonts w:asciiTheme="minorHAnsi" w:hAnsiTheme="minorHAnsi" w:cstheme="minorHAnsi"/>
                <w:sz w:val="20"/>
                <w:szCs w:val="20"/>
                <w:lang w:val="fr-FR"/>
              </w:rPr>
              <w:t xml:space="preserve"> </w:t>
            </w:r>
          </w:p>
          <w:p w14:paraId="7C50D5AA" w14:textId="25D5A5D8" w:rsidR="004B66B9" w:rsidRPr="00EE752F" w:rsidRDefault="00C877FB" w:rsidP="00C877FB">
            <w:pPr>
              <w:ind w:left="345"/>
              <w:jc w:val="both"/>
              <w:rPr>
                <w:rFonts w:ascii="Calibri" w:hAnsi="Calibri" w:cs="Calibri"/>
                <w:sz w:val="20"/>
                <w:szCs w:val="20"/>
                <w:lang w:val="fr-FR"/>
              </w:rPr>
            </w:pPr>
            <w:r w:rsidRPr="00EE752F">
              <w:rPr>
                <w:rFonts w:asciiTheme="minorHAnsi" w:hAnsiTheme="minorHAnsi" w:cstheme="minorHAnsi"/>
                <w:sz w:val="20"/>
                <w:szCs w:val="20"/>
                <w:u w:val="single"/>
                <w:lang w:val="fr-FR"/>
              </w:rPr>
              <w:t>P</w:t>
            </w:r>
            <w:r w:rsidR="009C7D0E" w:rsidRPr="00EE752F">
              <w:rPr>
                <w:rFonts w:asciiTheme="minorHAnsi" w:hAnsiTheme="minorHAnsi" w:cstheme="minorHAnsi"/>
                <w:sz w:val="20"/>
                <w:szCs w:val="20"/>
                <w:u w:val="single"/>
                <w:lang w:val="fr-FR"/>
              </w:rPr>
              <w:t>romotion d’initiatives porteuses de transformations</w:t>
            </w:r>
            <w:r w:rsidR="009C7D0E" w:rsidRPr="00EE752F">
              <w:rPr>
                <w:rFonts w:asciiTheme="minorHAnsi" w:hAnsiTheme="minorHAnsi" w:cstheme="minorHAnsi"/>
                <w:sz w:val="20"/>
                <w:szCs w:val="20"/>
                <w:lang w:val="fr-FR"/>
              </w:rPr>
              <w:t xml:space="preserve"> prenant en compte les nécessités en matière d’équipements et d’infrastructures en partageant les </w:t>
            </w:r>
            <w:r w:rsidR="009C7D0E" w:rsidRPr="00EE752F">
              <w:rPr>
                <w:rFonts w:asciiTheme="minorHAnsi" w:hAnsiTheme="minorHAnsi" w:cstheme="minorHAnsi"/>
                <w:sz w:val="20"/>
                <w:szCs w:val="20"/>
                <w:lang w:val="fr-FR"/>
              </w:rPr>
              <w:lastRenderedPageBreak/>
              <w:t xml:space="preserve">coûts avec d’autres bailleurs et intervenants pour la fourniture des services de bases et de cohésion sociale. </w:t>
            </w:r>
          </w:p>
        </w:tc>
        <w:tc>
          <w:tcPr>
            <w:tcW w:w="1821" w:type="dxa"/>
          </w:tcPr>
          <w:p w14:paraId="4421E586" w14:textId="0BC0520A" w:rsidR="004B66B9" w:rsidRPr="00EE752F" w:rsidRDefault="00B5785D"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lastRenderedPageBreak/>
              <w:t>2021</w:t>
            </w:r>
            <w:r w:rsidR="00204F69" w:rsidRPr="00EE752F">
              <w:rPr>
                <w:rFonts w:asciiTheme="minorHAnsi" w:hAnsiTheme="minorHAnsi" w:cstheme="minorHAnsi"/>
                <w:sz w:val="20"/>
                <w:szCs w:val="20"/>
                <w:lang w:val="fr-FR"/>
              </w:rPr>
              <w:t xml:space="preserve"> – </w:t>
            </w:r>
            <w:r w:rsidRPr="00EE752F">
              <w:rPr>
                <w:rFonts w:asciiTheme="minorHAnsi" w:hAnsiTheme="minorHAnsi" w:cstheme="minorHAnsi"/>
                <w:sz w:val="20"/>
                <w:szCs w:val="20"/>
                <w:lang w:val="fr-FR"/>
              </w:rPr>
              <w:t>2022</w:t>
            </w:r>
          </w:p>
        </w:tc>
        <w:tc>
          <w:tcPr>
            <w:tcW w:w="1933" w:type="dxa"/>
          </w:tcPr>
          <w:p w14:paraId="1F124D99" w14:textId="77777777" w:rsidR="004B66B9" w:rsidRPr="00EE752F" w:rsidRDefault="000E5376"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Reduction de la Pauvreté</w:t>
            </w:r>
          </w:p>
          <w:p w14:paraId="636F2ECD" w14:textId="59A6061D" w:rsidR="008A35DD" w:rsidRPr="00EE752F" w:rsidRDefault="008A35DD"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Gouvernance</w:t>
            </w:r>
          </w:p>
        </w:tc>
        <w:tc>
          <w:tcPr>
            <w:tcW w:w="3161" w:type="dxa"/>
          </w:tcPr>
          <w:p w14:paraId="0B0580AD" w14:textId="77777777" w:rsidR="008A35DD" w:rsidRPr="00EE752F" w:rsidRDefault="008A35DD" w:rsidP="008A35DD">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Portefeuille constitué d’au moins 3 projets au cours des 18 prochains mois en vue d’offrir des solutions et opportunités économiques et d’emploi durables pour des transformations structurelles en vue de renforcer la cohésion sociale </w:t>
            </w:r>
          </w:p>
          <w:p w14:paraId="6D2613A8" w14:textId="18EC9DAD" w:rsidR="008A35DD" w:rsidRPr="00EE752F" w:rsidRDefault="008A35DD" w:rsidP="008A35DD">
            <w:pPr>
              <w:tabs>
                <w:tab w:val="left" w:pos="1080"/>
              </w:tabs>
              <w:jc w:val="both"/>
              <w:rPr>
                <w:rFonts w:asciiTheme="minorHAnsi" w:hAnsiTheme="minorHAnsi" w:cstheme="minorHAnsi"/>
                <w:sz w:val="20"/>
                <w:szCs w:val="20"/>
              </w:rPr>
            </w:pPr>
            <w:r w:rsidRPr="00EE752F">
              <w:rPr>
                <w:rFonts w:asciiTheme="minorHAnsi" w:hAnsiTheme="minorHAnsi" w:cstheme="minorHAnsi"/>
                <w:sz w:val="20"/>
                <w:szCs w:val="20"/>
                <w:u w:val="single"/>
              </w:rPr>
              <w:lastRenderedPageBreak/>
              <w:t>E. g</w:t>
            </w:r>
            <w:r w:rsidRPr="00EE752F">
              <w:rPr>
                <w:rFonts w:asciiTheme="minorHAnsi" w:hAnsiTheme="minorHAnsi" w:cstheme="minorHAnsi"/>
                <w:sz w:val="20"/>
                <w:szCs w:val="20"/>
              </w:rPr>
              <w:t xml:space="preserve"> : RRF / SDG and </w:t>
            </w:r>
            <w:r w:rsidR="00DE2750">
              <w:rPr>
                <w:rFonts w:asciiTheme="minorHAnsi" w:hAnsiTheme="minorHAnsi" w:cstheme="minorHAnsi"/>
                <w:sz w:val="20"/>
                <w:szCs w:val="20"/>
              </w:rPr>
              <w:t>Integrated National Financing Framework</w:t>
            </w:r>
            <w:r w:rsidR="00DE2750" w:rsidRPr="00EE752F" w:rsidDel="00DE2750">
              <w:rPr>
                <w:rFonts w:asciiTheme="minorHAnsi" w:hAnsiTheme="minorHAnsi" w:cstheme="minorHAnsi"/>
                <w:sz w:val="20"/>
                <w:szCs w:val="20"/>
              </w:rPr>
              <w:t xml:space="preserve"> </w:t>
            </w:r>
            <w:r w:rsidRPr="00EE752F">
              <w:rPr>
                <w:rFonts w:asciiTheme="minorHAnsi" w:hAnsiTheme="minorHAnsi" w:cstheme="minorHAnsi"/>
                <w:sz w:val="20"/>
                <w:szCs w:val="20"/>
              </w:rPr>
              <w:t>/ Inclusive development/ CVR-PBF</w:t>
            </w:r>
          </w:p>
          <w:p w14:paraId="3B63689B" w14:textId="5A91596C" w:rsidR="00FC6DFD" w:rsidRPr="00EE752F" w:rsidRDefault="00FC6DFD" w:rsidP="0095705F">
            <w:pPr>
              <w:tabs>
                <w:tab w:val="left" w:pos="1080"/>
              </w:tabs>
              <w:rPr>
                <w:rFonts w:asciiTheme="minorHAnsi" w:hAnsiTheme="minorHAnsi" w:cstheme="minorHAnsi"/>
                <w:sz w:val="20"/>
                <w:szCs w:val="20"/>
              </w:rPr>
            </w:pPr>
          </w:p>
        </w:tc>
        <w:tc>
          <w:tcPr>
            <w:tcW w:w="1291" w:type="dxa"/>
          </w:tcPr>
          <w:p w14:paraId="6FB0DEFE" w14:textId="2DE36F51" w:rsidR="004B66B9" w:rsidRPr="00EE752F" w:rsidRDefault="00BB5DB4" w:rsidP="0095705F">
            <w:pPr>
              <w:tabs>
                <w:tab w:val="left" w:pos="1080"/>
              </w:tabs>
              <w:rPr>
                <w:rFonts w:asciiTheme="minorHAnsi" w:hAnsiTheme="minorHAnsi" w:cstheme="minorHAnsi"/>
                <w:sz w:val="20"/>
                <w:szCs w:val="20"/>
              </w:rPr>
            </w:pPr>
            <w:r w:rsidRPr="00EE752F">
              <w:rPr>
                <w:rFonts w:asciiTheme="minorHAnsi" w:hAnsiTheme="minorHAnsi" w:cstheme="minorHAnsi"/>
                <w:sz w:val="20"/>
                <w:szCs w:val="20"/>
                <w:lang w:val="fr-FR"/>
              </w:rPr>
              <w:lastRenderedPageBreak/>
              <w:t>En cours</w:t>
            </w:r>
          </w:p>
        </w:tc>
      </w:tr>
      <w:tr w:rsidR="004B66B9" w:rsidRPr="00EE752F" w14:paraId="6EA2C92C" w14:textId="77777777" w:rsidTr="008A35DD">
        <w:tc>
          <w:tcPr>
            <w:tcW w:w="5109" w:type="dxa"/>
          </w:tcPr>
          <w:p w14:paraId="6992A29B" w14:textId="171E3728" w:rsidR="00C61CDB" w:rsidRPr="00EE752F" w:rsidRDefault="004B66B9" w:rsidP="00C61CDB">
            <w:pPr>
              <w:pStyle w:val="Default"/>
              <w:tabs>
                <w:tab w:val="left" w:pos="608"/>
              </w:tabs>
              <w:ind w:left="338" w:hanging="360"/>
              <w:jc w:val="both"/>
              <w:rPr>
                <w:rFonts w:asciiTheme="minorHAnsi" w:eastAsia="Times New Roman" w:hAnsiTheme="minorHAnsi" w:cstheme="minorHAnsi"/>
                <w:color w:val="auto"/>
                <w:sz w:val="20"/>
                <w:szCs w:val="20"/>
              </w:rPr>
            </w:pPr>
            <w:r w:rsidRPr="00EE752F">
              <w:rPr>
                <w:rFonts w:asciiTheme="minorHAnsi" w:hAnsiTheme="minorHAnsi" w:cstheme="minorHAnsi"/>
                <w:sz w:val="20"/>
                <w:szCs w:val="20"/>
              </w:rPr>
              <w:t>2</w:t>
            </w:r>
            <w:r w:rsidRPr="00EE752F">
              <w:rPr>
                <w:rFonts w:asciiTheme="minorHAnsi" w:eastAsia="Times New Roman" w:hAnsiTheme="minorHAnsi" w:cstheme="minorHAnsi"/>
                <w:color w:val="auto"/>
                <w:sz w:val="20"/>
                <w:szCs w:val="20"/>
              </w:rPr>
              <w:t>.2</w:t>
            </w:r>
            <w:r w:rsidR="00C61CDB" w:rsidRPr="00EE752F">
              <w:rPr>
                <w:rFonts w:asciiTheme="minorHAnsi" w:eastAsia="Times New Roman" w:hAnsiTheme="minorHAnsi" w:cstheme="minorHAnsi"/>
                <w:color w:val="auto"/>
                <w:sz w:val="20"/>
                <w:szCs w:val="20"/>
              </w:rPr>
              <w:t xml:space="preserve"> </w:t>
            </w:r>
            <w:r w:rsidR="00C61CDB" w:rsidRPr="00EE752F">
              <w:rPr>
                <w:rFonts w:asciiTheme="minorHAnsi" w:eastAsia="Times New Roman" w:hAnsiTheme="minorHAnsi" w:cstheme="minorHAnsi"/>
                <w:color w:val="auto"/>
                <w:sz w:val="20"/>
                <w:szCs w:val="20"/>
                <w:u w:val="single"/>
              </w:rPr>
              <w:t>Renforcement des capacités institutionnelles / gouvernementales dans la définition des politiques publiques transformationnelles</w:t>
            </w:r>
            <w:r w:rsidR="00C61CDB" w:rsidRPr="00EE752F">
              <w:rPr>
                <w:rFonts w:asciiTheme="minorHAnsi" w:eastAsia="Times New Roman" w:hAnsiTheme="minorHAnsi" w:cstheme="minorHAnsi"/>
                <w:color w:val="auto"/>
                <w:sz w:val="20"/>
                <w:szCs w:val="20"/>
              </w:rPr>
              <w:t xml:space="preserve"> dans le cadre de la </w:t>
            </w:r>
            <w:r w:rsidR="009C7D0E" w:rsidRPr="00EE752F">
              <w:rPr>
                <w:rFonts w:asciiTheme="minorHAnsi" w:eastAsia="Times New Roman" w:hAnsiTheme="minorHAnsi" w:cstheme="minorHAnsi"/>
                <w:color w:val="auto"/>
                <w:sz w:val="20"/>
                <w:szCs w:val="20"/>
              </w:rPr>
              <w:t xml:space="preserve">lutte contre la pauvreté </w:t>
            </w:r>
            <w:r w:rsidR="00C61CDB" w:rsidRPr="00EE752F">
              <w:rPr>
                <w:rFonts w:asciiTheme="minorHAnsi" w:eastAsia="Times New Roman" w:hAnsiTheme="minorHAnsi" w:cstheme="minorHAnsi"/>
                <w:color w:val="auto"/>
                <w:sz w:val="20"/>
                <w:szCs w:val="20"/>
              </w:rPr>
              <w:t>avec comme vecteur l</w:t>
            </w:r>
            <w:r w:rsidR="009C7D0E" w:rsidRPr="00EE752F">
              <w:rPr>
                <w:rFonts w:asciiTheme="minorHAnsi" w:eastAsia="Times New Roman" w:hAnsiTheme="minorHAnsi" w:cstheme="minorHAnsi"/>
                <w:color w:val="auto"/>
                <w:sz w:val="20"/>
                <w:szCs w:val="20"/>
              </w:rPr>
              <w:t xml:space="preserve">es projets </w:t>
            </w:r>
            <w:r w:rsidR="00C61CDB" w:rsidRPr="00EE752F">
              <w:rPr>
                <w:rFonts w:asciiTheme="minorHAnsi" w:eastAsia="Times New Roman" w:hAnsiTheme="minorHAnsi" w:cstheme="minorHAnsi"/>
                <w:color w:val="auto"/>
                <w:sz w:val="20"/>
                <w:szCs w:val="20"/>
              </w:rPr>
              <w:t>en cours</w:t>
            </w:r>
            <w:r w:rsidR="00FB61BE" w:rsidRPr="00EE752F">
              <w:rPr>
                <w:rFonts w:asciiTheme="minorHAnsi" w:eastAsia="Times New Roman" w:hAnsiTheme="minorHAnsi" w:cstheme="minorHAnsi"/>
                <w:color w:val="auto"/>
                <w:sz w:val="20"/>
                <w:szCs w:val="20"/>
              </w:rPr>
              <w:t xml:space="preserve"> dans les zones précaires péri-urbaines en matière d’emplois inclusifs, d’habilitation économique, d’entreprenariat féminin, d’entreprenariat jeunesse pour l'autonomisation économique</w:t>
            </w:r>
            <w:r w:rsidR="00C61CDB" w:rsidRPr="00EE752F">
              <w:rPr>
                <w:rFonts w:asciiTheme="minorHAnsi" w:eastAsia="Times New Roman" w:hAnsiTheme="minorHAnsi" w:cstheme="minorHAnsi"/>
                <w:color w:val="auto"/>
                <w:sz w:val="20"/>
                <w:szCs w:val="20"/>
              </w:rPr>
              <w:t xml:space="preserve">. </w:t>
            </w:r>
          </w:p>
          <w:p w14:paraId="77072C8D" w14:textId="746A6F29" w:rsidR="004B66B9" w:rsidRPr="00EE752F" w:rsidRDefault="003437EC" w:rsidP="003437EC">
            <w:pPr>
              <w:pStyle w:val="Default"/>
              <w:tabs>
                <w:tab w:val="left" w:pos="608"/>
              </w:tabs>
              <w:ind w:left="338"/>
              <w:jc w:val="both"/>
              <w:rPr>
                <w:sz w:val="22"/>
                <w:szCs w:val="22"/>
              </w:rPr>
            </w:pPr>
            <w:r w:rsidRPr="00EE752F">
              <w:rPr>
                <w:rFonts w:asciiTheme="minorHAnsi" w:eastAsia="Times New Roman" w:hAnsiTheme="minorHAnsi" w:cstheme="minorHAnsi"/>
                <w:color w:val="auto"/>
                <w:sz w:val="20"/>
                <w:szCs w:val="20"/>
                <w:u w:val="single"/>
              </w:rPr>
              <w:t>Renforcement du p</w:t>
            </w:r>
            <w:r w:rsidR="009C7D0E" w:rsidRPr="00EE752F">
              <w:rPr>
                <w:rFonts w:asciiTheme="minorHAnsi" w:eastAsia="Times New Roman" w:hAnsiTheme="minorHAnsi" w:cstheme="minorHAnsi"/>
                <w:color w:val="auto"/>
                <w:sz w:val="20"/>
                <w:szCs w:val="20"/>
                <w:u w:val="single"/>
              </w:rPr>
              <w:t>laidoyer multi-institutionnel</w:t>
            </w:r>
            <w:r w:rsidR="009C7D0E" w:rsidRPr="00EE752F">
              <w:rPr>
                <w:rFonts w:asciiTheme="minorHAnsi" w:eastAsia="Times New Roman" w:hAnsiTheme="minorHAnsi" w:cstheme="minorHAnsi"/>
                <w:color w:val="auto"/>
                <w:sz w:val="20"/>
                <w:szCs w:val="20"/>
              </w:rPr>
              <w:t xml:space="preserve"> </w:t>
            </w:r>
            <w:r w:rsidRPr="00EE752F">
              <w:rPr>
                <w:rFonts w:asciiTheme="minorHAnsi" w:eastAsia="Times New Roman" w:hAnsiTheme="minorHAnsi" w:cstheme="minorHAnsi"/>
                <w:color w:val="auto"/>
                <w:sz w:val="20"/>
                <w:szCs w:val="20"/>
              </w:rPr>
              <w:t xml:space="preserve">dans l’optique d’associer </w:t>
            </w:r>
            <w:r w:rsidR="009C7D0E" w:rsidRPr="00EE752F">
              <w:rPr>
                <w:rFonts w:asciiTheme="minorHAnsi" w:eastAsia="Times New Roman" w:hAnsiTheme="minorHAnsi" w:cstheme="minorHAnsi"/>
                <w:color w:val="auto"/>
                <w:sz w:val="20"/>
                <w:szCs w:val="20"/>
              </w:rPr>
              <w:t>la volonté politique</w:t>
            </w:r>
            <w:r w:rsidRPr="00EE752F">
              <w:rPr>
                <w:rFonts w:asciiTheme="minorHAnsi" w:eastAsia="Times New Roman" w:hAnsiTheme="minorHAnsi" w:cstheme="minorHAnsi"/>
                <w:color w:val="auto"/>
                <w:sz w:val="20"/>
                <w:szCs w:val="20"/>
              </w:rPr>
              <w:t xml:space="preserve"> dans </w:t>
            </w:r>
            <w:r w:rsidR="009C7D0E" w:rsidRPr="00EE752F">
              <w:rPr>
                <w:rFonts w:asciiTheme="minorHAnsi" w:eastAsia="Times New Roman" w:hAnsiTheme="minorHAnsi" w:cstheme="minorHAnsi"/>
                <w:color w:val="auto"/>
                <w:sz w:val="20"/>
                <w:szCs w:val="20"/>
              </w:rPr>
              <w:t>l’atteinte des résultats</w:t>
            </w:r>
            <w:r w:rsidR="009C7D0E" w:rsidRPr="00EE752F">
              <w:rPr>
                <w:color w:val="C00000"/>
                <w:sz w:val="20"/>
                <w:szCs w:val="20"/>
              </w:rPr>
              <w:t xml:space="preserve"> </w:t>
            </w:r>
          </w:p>
        </w:tc>
        <w:tc>
          <w:tcPr>
            <w:tcW w:w="1821" w:type="dxa"/>
          </w:tcPr>
          <w:p w14:paraId="6945201F" w14:textId="578FB1F9" w:rsidR="004B66B9" w:rsidRPr="00EE752F" w:rsidRDefault="00B5785D"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2021</w:t>
            </w:r>
            <w:r w:rsidR="00204F69" w:rsidRPr="00EE752F">
              <w:rPr>
                <w:rFonts w:asciiTheme="minorHAnsi" w:hAnsiTheme="minorHAnsi" w:cstheme="minorHAnsi"/>
                <w:sz w:val="20"/>
                <w:szCs w:val="20"/>
                <w:lang w:val="fr-FR"/>
              </w:rPr>
              <w:t xml:space="preserve"> – </w:t>
            </w:r>
            <w:r w:rsidRPr="00EE752F">
              <w:rPr>
                <w:rFonts w:asciiTheme="minorHAnsi" w:hAnsiTheme="minorHAnsi" w:cstheme="minorHAnsi"/>
                <w:sz w:val="20"/>
                <w:szCs w:val="20"/>
                <w:lang w:val="fr-FR"/>
              </w:rPr>
              <w:t>2022</w:t>
            </w:r>
          </w:p>
        </w:tc>
        <w:tc>
          <w:tcPr>
            <w:tcW w:w="1933" w:type="dxa"/>
          </w:tcPr>
          <w:p w14:paraId="666870DD" w14:textId="77777777" w:rsidR="004B66B9" w:rsidRDefault="00653566"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Reduction de la Pauvreté</w:t>
            </w:r>
          </w:p>
          <w:p w14:paraId="659A07DD" w14:textId="77777777" w:rsidR="00EA03C4" w:rsidRDefault="00EA03C4" w:rsidP="0095705F">
            <w:pPr>
              <w:tabs>
                <w:tab w:val="left" w:pos="1080"/>
              </w:tabs>
              <w:rPr>
                <w:rFonts w:asciiTheme="minorHAnsi" w:hAnsiTheme="minorHAnsi" w:cstheme="minorHAnsi"/>
                <w:sz w:val="20"/>
                <w:szCs w:val="20"/>
                <w:lang w:val="fr-FR"/>
              </w:rPr>
            </w:pPr>
          </w:p>
          <w:p w14:paraId="1BEE2BB1" w14:textId="2C5E52B3" w:rsidR="00EA03C4" w:rsidRPr="00EE752F" w:rsidRDefault="00EA03C4" w:rsidP="0095705F">
            <w:pPr>
              <w:tabs>
                <w:tab w:val="left" w:pos="1080"/>
              </w:tabs>
              <w:rPr>
                <w:rFonts w:asciiTheme="minorHAnsi" w:hAnsiTheme="minorHAnsi" w:cstheme="minorHAnsi"/>
                <w:sz w:val="20"/>
                <w:szCs w:val="20"/>
                <w:lang w:val="fr-FR"/>
              </w:rPr>
            </w:pPr>
            <w:r>
              <w:rPr>
                <w:rFonts w:asciiTheme="minorHAnsi" w:hAnsiTheme="minorHAnsi" w:cstheme="minorHAnsi"/>
                <w:sz w:val="20"/>
                <w:szCs w:val="20"/>
                <w:lang w:val="fr-FR"/>
              </w:rPr>
              <w:t>Toutes les unités du Programme</w:t>
            </w:r>
          </w:p>
        </w:tc>
        <w:tc>
          <w:tcPr>
            <w:tcW w:w="3161" w:type="dxa"/>
          </w:tcPr>
          <w:p w14:paraId="1B0EE465" w14:textId="23483E86" w:rsidR="004B66B9" w:rsidRPr="00EE752F" w:rsidRDefault="00B5785D"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Idem</w:t>
            </w:r>
          </w:p>
        </w:tc>
        <w:tc>
          <w:tcPr>
            <w:tcW w:w="1291" w:type="dxa"/>
          </w:tcPr>
          <w:p w14:paraId="255CA7EC" w14:textId="69581CB8" w:rsidR="004B66B9" w:rsidRPr="00EE752F" w:rsidRDefault="00BB5DB4"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En cours</w:t>
            </w:r>
          </w:p>
        </w:tc>
      </w:tr>
      <w:tr w:rsidR="004B66B9" w:rsidRPr="00EE752F" w14:paraId="39A44BD0" w14:textId="77777777" w:rsidTr="008A35DD">
        <w:tc>
          <w:tcPr>
            <w:tcW w:w="5109" w:type="dxa"/>
          </w:tcPr>
          <w:p w14:paraId="00CD2B4C" w14:textId="0B852337" w:rsidR="00D345EA" w:rsidRPr="00EE752F" w:rsidRDefault="00D345EA" w:rsidP="00F94F10">
            <w:pPr>
              <w:pStyle w:val="Default"/>
              <w:ind w:left="248" w:hanging="248"/>
              <w:jc w:val="both"/>
              <w:rPr>
                <w:rFonts w:asciiTheme="minorHAnsi" w:eastAsia="Times New Roman" w:hAnsiTheme="minorHAnsi" w:cstheme="minorHAnsi"/>
                <w:color w:val="auto"/>
                <w:sz w:val="20"/>
                <w:szCs w:val="20"/>
              </w:rPr>
            </w:pPr>
            <w:r w:rsidRPr="00EE752F">
              <w:rPr>
                <w:rFonts w:asciiTheme="minorHAnsi" w:eastAsia="Times New Roman" w:hAnsiTheme="minorHAnsi" w:cstheme="minorHAnsi"/>
                <w:color w:val="auto"/>
                <w:sz w:val="20"/>
                <w:szCs w:val="20"/>
              </w:rPr>
              <w:t xml:space="preserve">2.3 </w:t>
            </w:r>
            <w:r w:rsidRPr="00EE752F">
              <w:rPr>
                <w:rFonts w:asciiTheme="minorHAnsi" w:eastAsia="Times New Roman" w:hAnsiTheme="minorHAnsi" w:cstheme="minorHAnsi"/>
                <w:color w:val="auto"/>
                <w:sz w:val="20"/>
                <w:szCs w:val="20"/>
                <w:u w:val="single"/>
              </w:rPr>
              <w:t>Mise à jour de la</w:t>
            </w:r>
            <w:r w:rsidR="00F94F10" w:rsidRPr="00EE752F">
              <w:rPr>
                <w:rFonts w:asciiTheme="minorHAnsi" w:eastAsia="Times New Roman" w:hAnsiTheme="minorHAnsi" w:cstheme="minorHAnsi"/>
                <w:color w:val="auto"/>
                <w:sz w:val="20"/>
                <w:szCs w:val="20"/>
                <w:u w:val="single"/>
              </w:rPr>
              <w:t xml:space="preserve"> stratégie de mise en œuvre </w:t>
            </w:r>
            <w:r w:rsidR="006518EA" w:rsidRPr="00EE752F">
              <w:rPr>
                <w:rFonts w:asciiTheme="minorHAnsi" w:eastAsia="Times New Roman" w:hAnsiTheme="minorHAnsi" w:cstheme="minorHAnsi"/>
                <w:color w:val="auto"/>
                <w:sz w:val="20"/>
                <w:szCs w:val="20"/>
                <w:u w:val="single"/>
              </w:rPr>
              <w:t xml:space="preserve">intégrée des interventions de gestion des risques de désastres et d'adaptation au changement climatique </w:t>
            </w:r>
            <w:r w:rsidRPr="00EE752F">
              <w:rPr>
                <w:rFonts w:asciiTheme="minorHAnsi" w:eastAsia="Times New Roman" w:hAnsiTheme="minorHAnsi" w:cstheme="minorHAnsi"/>
                <w:color w:val="auto"/>
                <w:sz w:val="20"/>
                <w:szCs w:val="20"/>
                <w:u w:val="single"/>
              </w:rPr>
              <w:t>orientée</w:t>
            </w:r>
            <w:r w:rsidRPr="00EE752F">
              <w:rPr>
                <w:rFonts w:asciiTheme="minorHAnsi" w:eastAsia="Times New Roman" w:hAnsiTheme="minorHAnsi" w:cstheme="minorHAnsi"/>
                <w:color w:val="auto"/>
                <w:sz w:val="20"/>
                <w:szCs w:val="20"/>
              </w:rPr>
              <w:t xml:space="preserve"> vers </w:t>
            </w:r>
            <w:r w:rsidR="00FC5DA3" w:rsidRPr="00EE752F">
              <w:rPr>
                <w:rFonts w:asciiTheme="minorHAnsi" w:eastAsia="Times New Roman" w:hAnsiTheme="minorHAnsi" w:cstheme="minorHAnsi"/>
                <w:color w:val="auto"/>
                <w:sz w:val="20"/>
                <w:szCs w:val="20"/>
              </w:rPr>
              <w:t xml:space="preserve">des d’approches et pratiques de gestion des ressources naturelles mais aussi </w:t>
            </w:r>
            <w:r w:rsidRPr="00EE752F">
              <w:rPr>
                <w:rFonts w:asciiTheme="minorHAnsi" w:eastAsia="Times New Roman" w:hAnsiTheme="minorHAnsi" w:cstheme="minorHAnsi"/>
                <w:color w:val="auto"/>
                <w:sz w:val="20"/>
                <w:szCs w:val="20"/>
              </w:rPr>
              <w:t>une</w:t>
            </w:r>
            <w:r w:rsidR="006518EA" w:rsidRPr="00EE752F">
              <w:rPr>
                <w:rFonts w:asciiTheme="minorHAnsi" w:eastAsia="Times New Roman" w:hAnsiTheme="minorHAnsi" w:cstheme="minorHAnsi"/>
                <w:color w:val="auto"/>
                <w:sz w:val="20"/>
                <w:szCs w:val="20"/>
              </w:rPr>
              <w:t xml:space="preserve"> approche explicite de renforcement des capacités de résilience en termes de</w:t>
            </w:r>
            <w:r w:rsidR="00FC5DA3" w:rsidRPr="00EE752F">
              <w:rPr>
                <w:rFonts w:asciiTheme="minorHAnsi" w:eastAsia="Times New Roman" w:hAnsiTheme="minorHAnsi" w:cstheme="minorHAnsi"/>
                <w:color w:val="auto"/>
                <w:sz w:val="20"/>
                <w:szCs w:val="20"/>
              </w:rPr>
              <w:t xml:space="preserve"> </w:t>
            </w:r>
            <w:r w:rsidR="006518EA" w:rsidRPr="00EE752F">
              <w:rPr>
                <w:rFonts w:asciiTheme="minorHAnsi" w:eastAsia="Times New Roman" w:hAnsiTheme="minorHAnsi" w:cstheme="minorHAnsi"/>
                <w:color w:val="auto"/>
                <w:sz w:val="20"/>
                <w:szCs w:val="20"/>
              </w:rPr>
              <w:t xml:space="preserve">: </w:t>
            </w:r>
          </w:p>
          <w:p w14:paraId="24E8F397" w14:textId="19B90FE0" w:rsidR="00D345EA" w:rsidRPr="00EE752F" w:rsidRDefault="006518EA" w:rsidP="00F94F10">
            <w:pPr>
              <w:pStyle w:val="Default"/>
              <w:ind w:left="248" w:hanging="248"/>
              <w:jc w:val="both"/>
              <w:rPr>
                <w:rFonts w:asciiTheme="minorHAnsi" w:eastAsia="Times New Roman" w:hAnsiTheme="minorHAnsi" w:cstheme="minorHAnsi"/>
                <w:color w:val="auto"/>
                <w:sz w:val="20"/>
                <w:szCs w:val="20"/>
              </w:rPr>
            </w:pPr>
            <w:r w:rsidRPr="00EE752F">
              <w:rPr>
                <w:rFonts w:asciiTheme="minorHAnsi" w:eastAsia="Times New Roman" w:hAnsiTheme="minorHAnsi" w:cstheme="minorHAnsi"/>
                <w:color w:val="auto"/>
                <w:sz w:val="20"/>
                <w:szCs w:val="20"/>
              </w:rPr>
              <w:t>(i) Capacité d'absorption ciblant les groupes exposés et vulnérables dans la sensibilisation aux risques et les mesures de prévention</w:t>
            </w:r>
            <w:r w:rsidR="00981C53" w:rsidRPr="00EE752F">
              <w:rPr>
                <w:rFonts w:asciiTheme="minorHAnsi" w:eastAsia="Times New Roman" w:hAnsiTheme="minorHAnsi" w:cstheme="minorHAnsi"/>
                <w:color w:val="auto"/>
                <w:sz w:val="20"/>
                <w:szCs w:val="20"/>
              </w:rPr>
              <w:t>.</w:t>
            </w:r>
          </w:p>
          <w:p w14:paraId="61D8E499" w14:textId="63E31568" w:rsidR="00D345EA" w:rsidRPr="00EE752F" w:rsidRDefault="006518EA" w:rsidP="00F94F10">
            <w:pPr>
              <w:pStyle w:val="Default"/>
              <w:ind w:left="248" w:hanging="248"/>
              <w:jc w:val="both"/>
              <w:rPr>
                <w:rFonts w:asciiTheme="minorHAnsi" w:eastAsia="Times New Roman" w:hAnsiTheme="minorHAnsi" w:cstheme="minorHAnsi"/>
                <w:color w:val="auto"/>
                <w:sz w:val="20"/>
                <w:szCs w:val="20"/>
              </w:rPr>
            </w:pPr>
            <w:r w:rsidRPr="00EE752F">
              <w:rPr>
                <w:rFonts w:asciiTheme="minorHAnsi" w:eastAsia="Times New Roman" w:hAnsiTheme="minorHAnsi" w:cstheme="minorHAnsi"/>
                <w:color w:val="auto"/>
                <w:sz w:val="20"/>
                <w:szCs w:val="20"/>
              </w:rPr>
              <w:t>(ii) Capacité d'adaptation pour la gestion des risques comprenant la diversification des moyens d’existence et l’augmentation de l'efficacité de la consommation d'énergie et l’amélioration techniques et pratiques agricoles climato-intelligentes</w:t>
            </w:r>
            <w:r w:rsidR="00981C53" w:rsidRPr="00EE752F">
              <w:rPr>
                <w:rFonts w:asciiTheme="minorHAnsi" w:eastAsia="Times New Roman" w:hAnsiTheme="minorHAnsi" w:cstheme="minorHAnsi"/>
                <w:color w:val="auto"/>
                <w:sz w:val="20"/>
                <w:szCs w:val="20"/>
              </w:rPr>
              <w:t>.</w:t>
            </w:r>
          </w:p>
          <w:p w14:paraId="760C7EEA" w14:textId="79F26A40" w:rsidR="004B66B9" w:rsidRPr="00EE752F" w:rsidRDefault="006518EA" w:rsidP="00FC5DA3">
            <w:pPr>
              <w:pStyle w:val="Default"/>
              <w:ind w:left="248" w:hanging="248"/>
              <w:jc w:val="both"/>
              <w:rPr>
                <w:rFonts w:asciiTheme="minorHAnsi" w:eastAsia="Times New Roman" w:hAnsiTheme="minorHAnsi" w:cstheme="minorHAnsi"/>
                <w:color w:val="auto"/>
                <w:sz w:val="20"/>
                <w:szCs w:val="20"/>
              </w:rPr>
            </w:pPr>
            <w:r w:rsidRPr="00EE752F">
              <w:rPr>
                <w:rFonts w:asciiTheme="minorHAnsi" w:eastAsia="Times New Roman" w:hAnsiTheme="minorHAnsi" w:cstheme="minorHAnsi"/>
                <w:color w:val="auto"/>
                <w:sz w:val="20"/>
                <w:szCs w:val="20"/>
              </w:rPr>
              <w:t>(iii) Capacité de transformation y compris l'intégration du changement climatique dans les stratégies sectorielles, la mise à l'échelle des bonnes pratiques sur la gestion communautaire des risques de catastrophe, l'intégration de la gestion des risques de catastrophe dans la gestion urbaine</w:t>
            </w:r>
            <w:r w:rsidR="00981C53" w:rsidRPr="00EE752F">
              <w:rPr>
                <w:rFonts w:asciiTheme="minorHAnsi" w:eastAsia="Times New Roman" w:hAnsiTheme="minorHAnsi" w:cstheme="minorHAnsi"/>
                <w:color w:val="auto"/>
                <w:sz w:val="20"/>
                <w:szCs w:val="20"/>
              </w:rPr>
              <w:t>.</w:t>
            </w:r>
            <w:r w:rsidRPr="00EE752F">
              <w:rPr>
                <w:rFonts w:asciiTheme="minorHAnsi" w:eastAsia="Times New Roman" w:hAnsiTheme="minorHAnsi" w:cstheme="minorHAnsi"/>
                <w:color w:val="auto"/>
                <w:sz w:val="20"/>
                <w:szCs w:val="20"/>
              </w:rPr>
              <w:t xml:space="preserve"> </w:t>
            </w:r>
          </w:p>
        </w:tc>
        <w:tc>
          <w:tcPr>
            <w:tcW w:w="1821" w:type="dxa"/>
          </w:tcPr>
          <w:p w14:paraId="586DC06E" w14:textId="15C35F93" w:rsidR="004B66B9" w:rsidRPr="00EE752F" w:rsidDel="00BA6647" w:rsidRDefault="00783ECE"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20</w:t>
            </w:r>
            <w:r w:rsidR="00462736" w:rsidRPr="00EE752F">
              <w:rPr>
                <w:rFonts w:asciiTheme="minorHAnsi" w:hAnsiTheme="minorHAnsi" w:cstheme="minorHAnsi"/>
                <w:sz w:val="20"/>
                <w:szCs w:val="20"/>
                <w:lang w:val="fr-FR"/>
              </w:rPr>
              <w:t>19</w:t>
            </w:r>
            <w:r w:rsidRPr="00EE752F">
              <w:rPr>
                <w:rFonts w:asciiTheme="minorHAnsi" w:hAnsiTheme="minorHAnsi" w:cstheme="minorHAnsi"/>
                <w:sz w:val="20"/>
                <w:szCs w:val="20"/>
                <w:lang w:val="fr-FR"/>
              </w:rPr>
              <w:t xml:space="preserve"> </w:t>
            </w:r>
            <w:r w:rsidR="00B259FB" w:rsidRPr="00EE752F">
              <w:rPr>
                <w:rFonts w:asciiTheme="minorHAnsi" w:hAnsiTheme="minorHAnsi" w:cstheme="minorHAnsi"/>
                <w:sz w:val="20"/>
                <w:szCs w:val="20"/>
                <w:lang w:val="fr-FR"/>
              </w:rPr>
              <w:t>–</w:t>
            </w:r>
            <w:r w:rsidR="00204F69" w:rsidRPr="00EE752F">
              <w:rPr>
                <w:rFonts w:asciiTheme="minorHAnsi" w:hAnsiTheme="minorHAnsi" w:cstheme="minorHAnsi"/>
                <w:sz w:val="20"/>
                <w:szCs w:val="20"/>
                <w:lang w:val="fr-FR"/>
              </w:rPr>
              <w:t xml:space="preserve"> </w:t>
            </w:r>
            <w:r w:rsidRPr="00EE752F">
              <w:rPr>
                <w:rFonts w:asciiTheme="minorHAnsi" w:hAnsiTheme="minorHAnsi" w:cstheme="minorHAnsi"/>
                <w:sz w:val="20"/>
                <w:szCs w:val="20"/>
                <w:lang w:val="fr-FR"/>
              </w:rPr>
              <w:t>2022</w:t>
            </w:r>
          </w:p>
        </w:tc>
        <w:tc>
          <w:tcPr>
            <w:tcW w:w="1933" w:type="dxa"/>
          </w:tcPr>
          <w:p w14:paraId="057C2BAF" w14:textId="3141AF85" w:rsidR="004B66B9" w:rsidRPr="00EE752F" w:rsidDel="00BA6647" w:rsidRDefault="00F94F10"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Résilience </w:t>
            </w:r>
          </w:p>
        </w:tc>
        <w:tc>
          <w:tcPr>
            <w:tcW w:w="3161" w:type="dxa"/>
          </w:tcPr>
          <w:p w14:paraId="704A63ED" w14:textId="6DC4AF3A" w:rsidR="004B66B9" w:rsidRPr="00EE752F" w:rsidRDefault="002732F9" w:rsidP="00686ECD">
            <w:pPr>
              <w:pStyle w:val="ListParagraph"/>
              <w:numPr>
                <w:ilvl w:val="0"/>
                <w:numId w:val="4"/>
              </w:numPr>
              <w:tabs>
                <w:tab w:val="left" w:pos="1080"/>
              </w:tabs>
              <w:ind w:left="211" w:hanging="270"/>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Portefeuille de projets ayant de de fortes synergies avec le Ministère de l’Environnement </w:t>
            </w:r>
            <w:r w:rsidR="00783ECE" w:rsidRPr="00EE752F">
              <w:rPr>
                <w:rFonts w:asciiTheme="minorHAnsi" w:hAnsiTheme="minorHAnsi" w:cstheme="minorHAnsi"/>
                <w:sz w:val="20"/>
                <w:szCs w:val="20"/>
                <w:lang w:val="fr-FR"/>
              </w:rPr>
              <w:t>au niveau national pour renforcement des stratégies nationales intégrées et avec les plateformes régionales spécifiques</w:t>
            </w:r>
            <w:r w:rsidRPr="00EE752F">
              <w:rPr>
                <w:rFonts w:asciiTheme="minorHAnsi" w:hAnsiTheme="minorHAnsi" w:cstheme="minorHAnsi"/>
                <w:sz w:val="20"/>
                <w:szCs w:val="20"/>
                <w:lang w:val="fr-FR"/>
              </w:rPr>
              <w:t xml:space="preserve"> </w:t>
            </w:r>
            <w:r w:rsidR="00783ECE" w:rsidRPr="00EE752F">
              <w:rPr>
                <w:rFonts w:asciiTheme="minorHAnsi" w:hAnsiTheme="minorHAnsi" w:cstheme="minorHAnsi"/>
                <w:sz w:val="20"/>
                <w:szCs w:val="20"/>
                <w:lang w:val="fr-FR"/>
              </w:rPr>
              <w:t xml:space="preserve">à pour le partage d’expériences. </w:t>
            </w:r>
          </w:p>
          <w:p w14:paraId="4DD6744E" w14:textId="33443095" w:rsidR="00B265FF" w:rsidRPr="00EE752F" w:rsidRDefault="00B265FF" w:rsidP="00686ECD">
            <w:pPr>
              <w:pStyle w:val="ListParagraph"/>
              <w:numPr>
                <w:ilvl w:val="0"/>
                <w:numId w:val="4"/>
              </w:numPr>
              <w:tabs>
                <w:tab w:val="left" w:pos="1080"/>
              </w:tabs>
              <w:ind w:left="211" w:hanging="270"/>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Des actions de réduction de </w:t>
            </w:r>
            <w:r w:rsidR="002C0854" w:rsidRPr="00EE752F">
              <w:rPr>
                <w:rFonts w:asciiTheme="minorHAnsi" w:hAnsiTheme="minorHAnsi" w:cstheme="minorHAnsi"/>
                <w:sz w:val="20"/>
                <w:szCs w:val="20"/>
                <w:lang w:val="fr-FR"/>
              </w:rPr>
              <w:t>la vulnérabilité</w:t>
            </w:r>
            <w:r w:rsidRPr="00EE752F">
              <w:rPr>
                <w:rFonts w:asciiTheme="minorHAnsi" w:hAnsiTheme="minorHAnsi" w:cstheme="minorHAnsi"/>
                <w:sz w:val="20"/>
                <w:szCs w:val="20"/>
                <w:lang w:val="fr-FR"/>
              </w:rPr>
              <w:t xml:space="preserve"> des</w:t>
            </w:r>
            <w:r w:rsidR="007C205F" w:rsidRPr="00EE752F">
              <w:rPr>
                <w:rFonts w:asciiTheme="minorHAnsi" w:hAnsiTheme="minorHAnsi" w:cstheme="minorHAnsi"/>
                <w:sz w:val="20"/>
                <w:szCs w:val="20"/>
                <w:lang w:val="fr-FR"/>
              </w:rPr>
              <w:t xml:space="preserve"> communautés exposées aux risques de désastres </w:t>
            </w:r>
            <w:r w:rsidRPr="00EE752F">
              <w:rPr>
                <w:rFonts w:asciiTheme="minorHAnsi" w:hAnsiTheme="minorHAnsi" w:cstheme="minorHAnsi"/>
                <w:sz w:val="20"/>
                <w:szCs w:val="20"/>
                <w:lang w:val="fr-FR"/>
              </w:rPr>
              <w:t>sont en cours</w:t>
            </w:r>
            <w:r w:rsidR="007C205F" w:rsidRPr="00EE752F">
              <w:rPr>
                <w:rFonts w:asciiTheme="minorHAnsi" w:hAnsiTheme="minorHAnsi" w:cstheme="minorHAnsi"/>
                <w:sz w:val="20"/>
                <w:szCs w:val="20"/>
                <w:lang w:val="fr-FR"/>
              </w:rPr>
              <w:t xml:space="preserve"> </w:t>
            </w:r>
            <w:r w:rsidRPr="00EE752F">
              <w:rPr>
                <w:rFonts w:asciiTheme="minorHAnsi" w:hAnsiTheme="minorHAnsi" w:cstheme="minorHAnsi"/>
                <w:sz w:val="20"/>
                <w:szCs w:val="20"/>
                <w:lang w:val="fr-FR"/>
              </w:rPr>
              <w:t xml:space="preserve">et se réalisent </w:t>
            </w:r>
            <w:r w:rsidR="007C205F" w:rsidRPr="00EE752F">
              <w:rPr>
                <w:rFonts w:asciiTheme="minorHAnsi" w:hAnsiTheme="minorHAnsi" w:cstheme="minorHAnsi"/>
                <w:sz w:val="20"/>
                <w:szCs w:val="20"/>
                <w:lang w:val="fr-FR"/>
              </w:rPr>
              <w:t>à travers des acti</w:t>
            </w:r>
            <w:r w:rsidRPr="00EE752F">
              <w:rPr>
                <w:rFonts w:asciiTheme="minorHAnsi" w:hAnsiTheme="minorHAnsi" w:cstheme="minorHAnsi"/>
                <w:sz w:val="20"/>
                <w:szCs w:val="20"/>
                <w:lang w:val="fr-FR"/>
              </w:rPr>
              <w:t>vités</w:t>
            </w:r>
            <w:r w:rsidR="007C205F" w:rsidRPr="00EE752F">
              <w:rPr>
                <w:rFonts w:asciiTheme="minorHAnsi" w:hAnsiTheme="minorHAnsi" w:cstheme="minorHAnsi"/>
                <w:sz w:val="20"/>
                <w:szCs w:val="20"/>
                <w:lang w:val="fr-FR"/>
              </w:rPr>
              <w:t xml:space="preserve"> de sensibilisation de masse</w:t>
            </w:r>
            <w:r w:rsidRPr="00EE752F">
              <w:rPr>
                <w:rFonts w:asciiTheme="minorHAnsi" w:hAnsiTheme="minorHAnsi" w:cstheme="minorHAnsi"/>
                <w:sz w:val="20"/>
                <w:szCs w:val="20"/>
                <w:lang w:val="fr-FR"/>
              </w:rPr>
              <w:t xml:space="preserve"> et ciblées</w:t>
            </w:r>
            <w:r w:rsidR="007C205F" w:rsidRPr="00EE752F">
              <w:rPr>
                <w:rFonts w:asciiTheme="minorHAnsi" w:hAnsiTheme="minorHAnsi" w:cstheme="minorHAnsi"/>
                <w:sz w:val="20"/>
                <w:szCs w:val="20"/>
                <w:lang w:val="fr-FR"/>
              </w:rPr>
              <w:t xml:space="preserve"> </w:t>
            </w:r>
            <w:r w:rsidRPr="00EE752F">
              <w:rPr>
                <w:rFonts w:asciiTheme="minorHAnsi" w:hAnsiTheme="minorHAnsi" w:cstheme="minorHAnsi"/>
                <w:sz w:val="20"/>
                <w:szCs w:val="20"/>
                <w:lang w:val="fr-FR"/>
              </w:rPr>
              <w:t xml:space="preserve">mises en </w:t>
            </w:r>
            <w:r w:rsidR="002C0854" w:rsidRPr="00EE752F">
              <w:rPr>
                <w:rFonts w:asciiTheme="minorHAnsi" w:hAnsiTheme="minorHAnsi" w:cstheme="minorHAnsi"/>
                <w:sz w:val="20"/>
                <w:szCs w:val="20"/>
                <w:lang w:val="fr-FR"/>
              </w:rPr>
              <w:t>œuvre</w:t>
            </w:r>
            <w:r w:rsidR="007C205F" w:rsidRPr="00EE752F">
              <w:rPr>
                <w:rFonts w:asciiTheme="minorHAnsi" w:hAnsiTheme="minorHAnsi" w:cstheme="minorHAnsi"/>
                <w:sz w:val="20"/>
                <w:szCs w:val="20"/>
                <w:lang w:val="fr-FR"/>
              </w:rPr>
              <w:t xml:space="preserve"> </w:t>
            </w:r>
            <w:r w:rsidRPr="00EE752F">
              <w:rPr>
                <w:rFonts w:asciiTheme="minorHAnsi" w:hAnsiTheme="minorHAnsi" w:cstheme="minorHAnsi"/>
                <w:sz w:val="20"/>
                <w:szCs w:val="20"/>
                <w:lang w:val="fr-FR"/>
              </w:rPr>
              <w:t xml:space="preserve">dans les départements du Nord-Ouest, l’Artibonite et le Sud. </w:t>
            </w:r>
          </w:p>
          <w:p w14:paraId="6A113C91" w14:textId="499936F7" w:rsidR="0095705F" w:rsidRPr="00EE752F" w:rsidRDefault="00B265FF" w:rsidP="00686ECD">
            <w:pPr>
              <w:pStyle w:val="ListParagraph"/>
              <w:numPr>
                <w:ilvl w:val="0"/>
                <w:numId w:val="4"/>
              </w:numPr>
              <w:tabs>
                <w:tab w:val="left" w:pos="1080"/>
              </w:tabs>
              <w:ind w:left="211" w:hanging="270"/>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Contribution pertinente au renforcement des mesures de prévention des risques en accentuant sur une meilleure connaissance et distribution de </w:t>
            </w:r>
            <w:r w:rsidRPr="00EE752F">
              <w:rPr>
                <w:rFonts w:asciiTheme="minorHAnsi" w:hAnsiTheme="minorHAnsi" w:cstheme="minorHAnsi"/>
                <w:sz w:val="20"/>
                <w:szCs w:val="20"/>
                <w:lang w:val="fr-FR"/>
              </w:rPr>
              <w:lastRenderedPageBreak/>
              <w:t xml:space="preserve">ces derniers par la cartographie multirisque et </w:t>
            </w:r>
            <w:r w:rsidR="0009714E" w:rsidRPr="00EE752F">
              <w:rPr>
                <w:rFonts w:asciiTheme="minorHAnsi" w:hAnsiTheme="minorHAnsi" w:cstheme="minorHAnsi"/>
                <w:sz w:val="20"/>
                <w:szCs w:val="20"/>
                <w:lang w:val="fr-FR"/>
              </w:rPr>
              <w:t xml:space="preserve">l’identification participative. </w:t>
            </w:r>
          </w:p>
          <w:p w14:paraId="57E310C8" w14:textId="017A7CEF" w:rsidR="00671B73" w:rsidRPr="00EE752F" w:rsidRDefault="002C0854" w:rsidP="00686ECD">
            <w:pPr>
              <w:pStyle w:val="ListParagraph"/>
              <w:numPr>
                <w:ilvl w:val="0"/>
                <w:numId w:val="4"/>
              </w:numPr>
              <w:tabs>
                <w:tab w:val="left" w:pos="1080"/>
              </w:tabs>
              <w:ind w:left="211" w:hanging="270"/>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Des </w:t>
            </w:r>
            <w:r w:rsidR="0009714E" w:rsidRPr="00EE752F">
              <w:rPr>
                <w:rFonts w:asciiTheme="minorHAnsi" w:hAnsiTheme="minorHAnsi" w:cstheme="minorHAnsi"/>
                <w:sz w:val="20"/>
                <w:szCs w:val="20"/>
                <w:lang w:val="fr-FR"/>
              </w:rPr>
              <w:t xml:space="preserve">initiatives de diversification des moyens de subsistance sont mises en œuvre au niveau des communautés côtières pour augmenter leur résilience aux changements climatiques et réduire la pression anthropique sur les écosystèmes et les ressources naturelles. </w:t>
            </w:r>
          </w:p>
          <w:p w14:paraId="07A48563" w14:textId="40993F19" w:rsidR="00671B73" w:rsidRPr="00EE752F" w:rsidRDefault="002C0854" w:rsidP="00686ECD">
            <w:pPr>
              <w:pStyle w:val="ListParagraph"/>
              <w:numPr>
                <w:ilvl w:val="0"/>
                <w:numId w:val="4"/>
              </w:numPr>
              <w:tabs>
                <w:tab w:val="left" w:pos="1080"/>
              </w:tabs>
              <w:ind w:left="211" w:hanging="270"/>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Poursuite de l’assistance technique au processus d’</w:t>
            </w:r>
            <w:r w:rsidR="00826828" w:rsidRPr="00EE752F">
              <w:rPr>
                <w:rFonts w:asciiTheme="minorHAnsi" w:hAnsiTheme="minorHAnsi" w:cstheme="minorHAnsi"/>
                <w:sz w:val="20"/>
                <w:szCs w:val="20"/>
                <w:lang w:val="fr-FR"/>
              </w:rPr>
              <w:t xml:space="preserve">intégration des changements climatiques dans les stratégies </w:t>
            </w:r>
            <w:r w:rsidR="0009714E" w:rsidRPr="00EE752F">
              <w:rPr>
                <w:rFonts w:asciiTheme="minorHAnsi" w:hAnsiTheme="minorHAnsi" w:cstheme="minorHAnsi"/>
                <w:sz w:val="20"/>
                <w:szCs w:val="20"/>
                <w:lang w:val="fr-FR"/>
              </w:rPr>
              <w:t>nationales à</w:t>
            </w:r>
            <w:r w:rsidRPr="00EE752F">
              <w:rPr>
                <w:rFonts w:asciiTheme="minorHAnsi" w:hAnsiTheme="minorHAnsi" w:cstheme="minorHAnsi"/>
                <w:sz w:val="20"/>
                <w:szCs w:val="20"/>
                <w:lang w:val="fr-FR"/>
              </w:rPr>
              <w:t xml:space="preserve"> travers l’élaboration de documents stratégiques tels que le plan national d’adaptation</w:t>
            </w:r>
          </w:p>
        </w:tc>
        <w:tc>
          <w:tcPr>
            <w:tcW w:w="1291" w:type="dxa"/>
          </w:tcPr>
          <w:p w14:paraId="4D9DCBE7" w14:textId="2310DCB6" w:rsidR="004B66B9" w:rsidRPr="00EE752F" w:rsidRDefault="00BB5DB4"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lastRenderedPageBreak/>
              <w:t>En cours</w:t>
            </w:r>
          </w:p>
        </w:tc>
      </w:tr>
    </w:tbl>
    <w:p w14:paraId="6EFD3DCE" w14:textId="77777777" w:rsidR="004B66B9" w:rsidRPr="00EE752F" w:rsidRDefault="004B66B9" w:rsidP="004B66B9">
      <w:pPr>
        <w:tabs>
          <w:tab w:val="left" w:pos="1080"/>
        </w:tabs>
        <w:rPr>
          <w:rFonts w:asciiTheme="minorHAnsi" w:hAnsiTheme="minorHAnsi" w:cstheme="minorHAnsi"/>
          <w:sz w:val="20"/>
          <w:szCs w:val="20"/>
          <w:lang w:val="fr-FR"/>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1843"/>
        <w:gridCol w:w="1899"/>
        <w:gridCol w:w="3151"/>
        <w:gridCol w:w="1335"/>
      </w:tblGrid>
      <w:tr w:rsidR="00700CB8" w:rsidRPr="00EE752F" w14:paraId="19D3E685" w14:textId="77777777" w:rsidTr="008A35DD">
        <w:tc>
          <w:tcPr>
            <w:tcW w:w="13315" w:type="dxa"/>
            <w:gridSpan w:val="5"/>
            <w:shd w:val="clear" w:color="auto" w:fill="F3F3F3"/>
          </w:tcPr>
          <w:p w14:paraId="04390079" w14:textId="00146383" w:rsidR="00700CB8" w:rsidRPr="00EE752F" w:rsidRDefault="00BA0ABE" w:rsidP="0095705F">
            <w:pPr>
              <w:tabs>
                <w:tab w:val="left" w:pos="1080"/>
              </w:tabs>
              <w:rPr>
                <w:rFonts w:asciiTheme="minorHAnsi" w:hAnsiTheme="minorHAnsi" w:cstheme="minorHAnsi"/>
                <w:sz w:val="20"/>
                <w:szCs w:val="20"/>
              </w:rPr>
            </w:pPr>
            <w:r w:rsidRPr="00EE752F">
              <w:rPr>
                <w:rFonts w:ascii="Calibri" w:hAnsi="Calibri" w:cs="Calibri"/>
                <w:b/>
                <w:bCs/>
                <w:sz w:val="22"/>
                <w:szCs w:val="22"/>
                <w:lang w:eastAsia="ja-JP"/>
              </w:rPr>
              <w:t>Recommendation 3: UNDP should continue to support capacity building for partners with an emphasis on upstream and downstream project management to optimize the sustainability of the results obtained. It should strengthen planning, monitoring and evaluation mechanisms and support national partners in results-based management.</w:t>
            </w:r>
          </w:p>
        </w:tc>
      </w:tr>
      <w:tr w:rsidR="00700CB8" w:rsidRPr="00EE752F" w14:paraId="21416319" w14:textId="77777777" w:rsidTr="008A35DD">
        <w:tc>
          <w:tcPr>
            <w:tcW w:w="13315" w:type="dxa"/>
            <w:gridSpan w:val="5"/>
            <w:shd w:val="clear" w:color="auto" w:fill="F3F3F3"/>
          </w:tcPr>
          <w:p w14:paraId="713F3782" w14:textId="48FBB0A2" w:rsidR="00700CB8" w:rsidRPr="00EE752F" w:rsidRDefault="004F5FFB" w:rsidP="0095705F">
            <w:pPr>
              <w:tabs>
                <w:tab w:val="left" w:pos="1080"/>
              </w:tabs>
              <w:rPr>
                <w:rFonts w:asciiTheme="minorHAnsi" w:hAnsiTheme="minorHAnsi" w:cstheme="minorHAnsi"/>
                <w:b/>
                <w:sz w:val="20"/>
                <w:szCs w:val="20"/>
              </w:rPr>
            </w:pPr>
            <w:r w:rsidRPr="00F422FD">
              <w:rPr>
                <w:rFonts w:ascii="Calibri" w:hAnsi="Calibri" w:cs="Georgia"/>
                <w:b/>
                <w:bCs/>
                <w:sz w:val="22"/>
                <w:szCs w:val="22"/>
                <w:u w:val="single"/>
                <w:lang w:eastAsia="ja-JP"/>
              </w:rPr>
              <w:t>Management response :</w:t>
            </w:r>
            <w:r w:rsidRPr="00B27153">
              <w:rPr>
                <w:rFonts w:ascii="Calibri" w:hAnsi="Calibri" w:cs="Georgia"/>
                <w:b/>
                <w:bCs/>
                <w:color w:val="0070C0"/>
                <w:sz w:val="22"/>
                <w:szCs w:val="22"/>
                <w:lang w:eastAsia="ja-JP"/>
              </w:rPr>
              <w:t xml:space="preserve"> The country office </w:t>
            </w:r>
            <w:r>
              <w:rPr>
                <w:rFonts w:ascii="Calibri" w:hAnsi="Calibri" w:cs="Georgia"/>
                <w:b/>
                <w:bCs/>
                <w:color w:val="0070C0"/>
                <w:sz w:val="22"/>
                <w:szCs w:val="22"/>
                <w:lang w:eastAsia="ja-JP"/>
              </w:rPr>
              <w:t>fully</w:t>
            </w:r>
            <w:r w:rsidRPr="00B27153">
              <w:rPr>
                <w:rFonts w:ascii="Calibri" w:hAnsi="Calibri" w:cs="Georgia"/>
                <w:b/>
                <w:bCs/>
                <w:color w:val="0070C0"/>
                <w:sz w:val="22"/>
                <w:szCs w:val="22"/>
                <w:lang w:eastAsia="ja-JP"/>
              </w:rPr>
              <w:t xml:space="preserve"> accepts</w:t>
            </w:r>
            <w:r>
              <w:rPr>
                <w:rFonts w:ascii="Calibri" w:hAnsi="Calibri" w:cs="Georgia"/>
                <w:b/>
                <w:bCs/>
                <w:color w:val="0070C0"/>
                <w:sz w:val="22"/>
                <w:szCs w:val="22"/>
                <w:lang w:eastAsia="ja-JP"/>
              </w:rPr>
              <w:t xml:space="preserve"> </w:t>
            </w:r>
            <w:r w:rsidRPr="00B27153">
              <w:rPr>
                <w:rFonts w:ascii="Calibri" w:hAnsi="Calibri" w:cs="Georgia"/>
                <w:b/>
                <w:bCs/>
                <w:color w:val="0070C0"/>
                <w:sz w:val="22"/>
                <w:szCs w:val="22"/>
                <w:lang w:eastAsia="ja-JP"/>
              </w:rPr>
              <w:t>the recommendation</w:t>
            </w:r>
            <w:r w:rsidR="006B340D">
              <w:rPr>
                <w:rFonts w:ascii="Calibri" w:hAnsi="Calibri" w:cs="Georgia"/>
                <w:b/>
                <w:bCs/>
                <w:color w:val="0070C0"/>
                <w:sz w:val="22"/>
                <w:szCs w:val="22"/>
                <w:lang w:eastAsia="ja-JP"/>
              </w:rPr>
              <w:t xml:space="preserve">. </w:t>
            </w:r>
          </w:p>
        </w:tc>
      </w:tr>
      <w:tr w:rsidR="00700CB8" w:rsidRPr="00EE752F" w14:paraId="3644CA5A" w14:textId="77777777" w:rsidTr="008A35DD">
        <w:trPr>
          <w:trHeight w:val="135"/>
        </w:trPr>
        <w:tc>
          <w:tcPr>
            <w:tcW w:w="5087" w:type="dxa"/>
            <w:vMerge w:val="restart"/>
            <w:shd w:val="clear" w:color="auto" w:fill="F3F3F3"/>
          </w:tcPr>
          <w:p w14:paraId="64838D12"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Key action(s)</w:t>
            </w:r>
          </w:p>
        </w:tc>
        <w:tc>
          <w:tcPr>
            <w:tcW w:w="1843" w:type="dxa"/>
            <w:vMerge w:val="restart"/>
            <w:shd w:val="clear" w:color="auto" w:fill="F3F3F3"/>
          </w:tcPr>
          <w:p w14:paraId="25C7E753"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Time frame</w:t>
            </w:r>
          </w:p>
        </w:tc>
        <w:tc>
          <w:tcPr>
            <w:tcW w:w="1899" w:type="dxa"/>
            <w:vMerge w:val="restart"/>
            <w:shd w:val="clear" w:color="auto" w:fill="F3F3F3"/>
          </w:tcPr>
          <w:p w14:paraId="01021154"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Responsible unit(s)</w:t>
            </w:r>
          </w:p>
        </w:tc>
        <w:tc>
          <w:tcPr>
            <w:tcW w:w="4486" w:type="dxa"/>
            <w:gridSpan w:val="2"/>
            <w:shd w:val="clear" w:color="auto" w:fill="F3F3F3"/>
          </w:tcPr>
          <w:p w14:paraId="475F8381"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Tracking</w:t>
            </w:r>
          </w:p>
        </w:tc>
      </w:tr>
      <w:tr w:rsidR="00700CB8" w:rsidRPr="00EE752F" w14:paraId="021B86FB" w14:textId="77777777" w:rsidTr="008A35DD">
        <w:trPr>
          <w:trHeight w:val="135"/>
        </w:trPr>
        <w:tc>
          <w:tcPr>
            <w:tcW w:w="5087" w:type="dxa"/>
            <w:vMerge/>
            <w:shd w:val="clear" w:color="auto" w:fill="F3F3F3"/>
          </w:tcPr>
          <w:p w14:paraId="08139F83" w14:textId="77777777" w:rsidR="00700CB8" w:rsidRPr="00EE752F" w:rsidRDefault="00700CB8" w:rsidP="0095705F">
            <w:pPr>
              <w:tabs>
                <w:tab w:val="left" w:pos="1080"/>
              </w:tabs>
              <w:rPr>
                <w:rFonts w:asciiTheme="minorHAnsi" w:hAnsiTheme="minorHAnsi" w:cstheme="minorHAnsi"/>
                <w:sz w:val="20"/>
                <w:szCs w:val="20"/>
              </w:rPr>
            </w:pPr>
          </w:p>
        </w:tc>
        <w:tc>
          <w:tcPr>
            <w:tcW w:w="1843" w:type="dxa"/>
            <w:vMerge/>
            <w:shd w:val="clear" w:color="auto" w:fill="F3F3F3"/>
          </w:tcPr>
          <w:p w14:paraId="73DB1CA2" w14:textId="77777777" w:rsidR="00700CB8" w:rsidRPr="00EE752F" w:rsidRDefault="00700CB8" w:rsidP="0095705F">
            <w:pPr>
              <w:tabs>
                <w:tab w:val="left" w:pos="1080"/>
              </w:tabs>
              <w:rPr>
                <w:rFonts w:asciiTheme="minorHAnsi" w:hAnsiTheme="minorHAnsi" w:cstheme="minorHAnsi"/>
                <w:b/>
                <w:sz w:val="20"/>
                <w:szCs w:val="20"/>
              </w:rPr>
            </w:pPr>
          </w:p>
        </w:tc>
        <w:tc>
          <w:tcPr>
            <w:tcW w:w="1899" w:type="dxa"/>
            <w:vMerge/>
            <w:shd w:val="clear" w:color="auto" w:fill="F3F3F3"/>
          </w:tcPr>
          <w:p w14:paraId="37E66DF6" w14:textId="77777777" w:rsidR="00700CB8" w:rsidRPr="00EE752F" w:rsidRDefault="00700CB8" w:rsidP="0095705F">
            <w:pPr>
              <w:tabs>
                <w:tab w:val="left" w:pos="1080"/>
              </w:tabs>
              <w:rPr>
                <w:rFonts w:asciiTheme="minorHAnsi" w:hAnsiTheme="minorHAnsi" w:cstheme="minorHAnsi"/>
                <w:b/>
                <w:sz w:val="20"/>
                <w:szCs w:val="20"/>
              </w:rPr>
            </w:pPr>
          </w:p>
        </w:tc>
        <w:tc>
          <w:tcPr>
            <w:tcW w:w="3151" w:type="dxa"/>
          </w:tcPr>
          <w:p w14:paraId="1E153AA1"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Comments</w:t>
            </w:r>
          </w:p>
        </w:tc>
        <w:tc>
          <w:tcPr>
            <w:tcW w:w="1335" w:type="dxa"/>
          </w:tcPr>
          <w:p w14:paraId="2F76F82C"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Status</w:t>
            </w:r>
          </w:p>
        </w:tc>
      </w:tr>
      <w:tr w:rsidR="00700CB8" w:rsidRPr="00EE752F" w14:paraId="2E8D963B" w14:textId="77777777" w:rsidTr="00EE752F">
        <w:tc>
          <w:tcPr>
            <w:tcW w:w="5087" w:type="dxa"/>
          </w:tcPr>
          <w:p w14:paraId="7515FA3C" w14:textId="6B89B738" w:rsidR="00700CB8" w:rsidRPr="00EE752F" w:rsidRDefault="00700CB8" w:rsidP="00347FD2">
            <w:pPr>
              <w:pStyle w:val="Default"/>
              <w:ind w:left="248" w:hanging="248"/>
              <w:jc w:val="both"/>
              <w:rPr>
                <w:rFonts w:asciiTheme="minorHAnsi" w:eastAsia="Times New Roman" w:hAnsiTheme="minorHAnsi" w:cstheme="minorHAnsi"/>
                <w:color w:val="auto"/>
                <w:sz w:val="20"/>
                <w:szCs w:val="20"/>
              </w:rPr>
            </w:pPr>
            <w:r w:rsidRPr="00EE752F">
              <w:rPr>
                <w:rFonts w:asciiTheme="minorHAnsi" w:eastAsia="Times New Roman" w:hAnsiTheme="minorHAnsi" w:cstheme="minorHAnsi"/>
                <w:color w:val="auto"/>
                <w:sz w:val="20"/>
                <w:szCs w:val="20"/>
              </w:rPr>
              <w:t xml:space="preserve">3.1 </w:t>
            </w:r>
            <w:r w:rsidR="00D71F35" w:rsidRPr="00EE752F">
              <w:rPr>
                <w:rFonts w:asciiTheme="minorHAnsi" w:eastAsia="Times New Roman" w:hAnsiTheme="minorHAnsi" w:cstheme="minorHAnsi"/>
                <w:color w:val="auto"/>
                <w:sz w:val="20"/>
                <w:szCs w:val="20"/>
                <w:u w:val="single"/>
              </w:rPr>
              <w:t>E</w:t>
            </w:r>
            <w:r w:rsidR="008B67CB" w:rsidRPr="00EE752F">
              <w:rPr>
                <w:rFonts w:asciiTheme="minorHAnsi" w:eastAsia="Times New Roman" w:hAnsiTheme="minorHAnsi" w:cstheme="minorHAnsi"/>
                <w:color w:val="auto"/>
                <w:sz w:val="20"/>
                <w:szCs w:val="20"/>
                <w:u w:val="single"/>
              </w:rPr>
              <w:t xml:space="preserve">laboration d’un cadre </w:t>
            </w:r>
            <w:r w:rsidR="00D71F35" w:rsidRPr="00EE752F">
              <w:rPr>
                <w:rFonts w:asciiTheme="minorHAnsi" w:eastAsia="Times New Roman" w:hAnsiTheme="minorHAnsi" w:cstheme="minorHAnsi"/>
                <w:color w:val="auto"/>
                <w:sz w:val="20"/>
                <w:szCs w:val="20"/>
                <w:u w:val="single"/>
              </w:rPr>
              <w:t xml:space="preserve">commun de </w:t>
            </w:r>
            <w:r w:rsidR="008B67CB" w:rsidRPr="00EE752F">
              <w:rPr>
                <w:rFonts w:asciiTheme="minorHAnsi" w:eastAsia="Times New Roman" w:hAnsiTheme="minorHAnsi" w:cstheme="minorHAnsi"/>
                <w:color w:val="auto"/>
                <w:sz w:val="20"/>
                <w:szCs w:val="20"/>
                <w:u w:val="single"/>
              </w:rPr>
              <w:t>renforcement de capacités avec le Gouvernement</w:t>
            </w:r>
            <w:r w:rsidR="00D71F35" w:rsidRPr="00EE752F">
              <w:rPr>
                <w:rFonts w:asciiTheme="minorHAnsi" w:eastAsia="Times New Roman" w:hAnsiTheme="minorHAnsi" w:cstheme="minorHAnsi"/>
                <w:color w:val="auto"/>
                <w:sz w:val="20"/>
                <w:szCs w:val="20"/>
                <w:u w:val="single"/>
              </w:rPr>
              <w:t xml:space="preserve"> en lien avec </w:t>
            </w:r>
            <w:r w:rsidR="008B67CB" w:rsidRPr="00EE752F">
              <w:rPr>
                <w:rFonts w:asciiTheme="minorHAnsi" w:eastAsia="Times New Roman" w:hAnsiTheme="minorHAnsi" w:cstheme="minorHAnsi"/>
                <w:color w:val="auto"/>
                <w:sz w:val="20"/>
                <w:szCs w:val="20"/>
              </w:rPr>
              <w:t>l’unité de planification de chaque ministère ciblé</w:t>
            </w:r>
            <w:r w:rsidR="00D71F35" w:rsidRPr="00EE752F">
              <w:rPr>
                <w:rFonts w:asciiTheme="minorHAnsi" w:eastAsia="Times New Roman" w:hAnsiTheme="minorHAnsi" w:cstheme="minorHAnsi"/>
                <w:color w:val="auto"/>
                <w:sz w:val="20"/>
                <w:szCs w:val="20"/>
              </w:rPr>
              <w:t xml:space="preserve"> et parallèlement mise en place d’un partenariat avec l'enseignement supérieur en vue d</w:t>
            </w:r>
            <w:r w:rsidR="00347FD2" w:rsidRPr="00EE752F">
              <w:rPr>
                <w:rFonts w:asciiTheme="minorHAnsi" w:eastAsia="Times New Roman" w:hAnsiTheme="minorHAnsi" w:cstheme="minorHAnsi"/>
                <w:color w:val="auto"/>
                <w:sz w:val="20"/>
                <w:szCs w:val="20"/>
              </w:rPr>
              <w:t>’un renforcement continu des compétences du</w:t>
            </w:r>
            <w:r w:rsidR="008B67CB" w:rsidRPr="00EE752F">
              <w:rPr>
                <w:rFonts w:asciiTheme="minorHAnsi" w:eastAsia="Times New Roman" w:hAnsiTheme="minorHAnsi" w:cstheme="minorHAnsi"/>
                <w:color w:val="auto"/>
                <w:sz w:val="20"/>
                <w:szCs w:val="20"/>
              </w:rPr>
              <w:t xml:space="preserve"> personnel engagé dans la planification et l'exécution du projet de développement. </w:t>
            </w:r>
          </w:p>
        </w:tc>
        <w:tc>
          <w:tcPr>
            <w:tcW w:w="1843" w:type="dxa"/>
            <w:shd w:val="clear" w:color="auto" w:fill="auto"/>
          </w:tcPr>
          <w:p w14:paraId="672DD2B2" w14:textId="69EB2283" w:rsidR="00700CB8" w:rsidRPr="00EE752F" w:rsidRDefault="00204F69" w:rsidP="00EE752F">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2020 – 2022 </w:t>
            </w:r>
          </w:p>
        </w:tc>
        <w:tc>
          <w:tcPr>
            <w:tcW w:w="1899" w:type="dxa"/>
            <w:shd w:val="clear" w:color="auto" w:fill="auto"/>
          </w:tcPr>
          <w:p w14:paraId="0184622A" w14:textId="77777777" w:rsidR="00700CB8" w:rsidRDefault="009F7C37" w:rsidP="00EE752F">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Gouvernance</w:t>
            </w:r>
          </w:p>
          <w:p w14:paraId="4B14783E" w14:textId="77777777" w:rsidR="00EA03C4" w:rsidRDefault="00EA03C4" w:rsidP="00EE752F">
            <w:pPr>
              <w:tabs>
                <w:tab w:val="left" w:pos="1080"/>
              </w:tabs>
              <w:jc w:val="both"/>
              <w:rPr>
                <w:rFonts w:asciiTheme="minorHAnsi" w:hAnsiTheme="minorHAnsi" w:cstheme="minorHAnsi"/>
                <w:sz w:val="20"/>
                <w:szCs w:val="20"/>
                <w:lang w:val="fr-FR"/>
              </w:rPr>
            </w:pPr>
          </w:p>
          <w:p w14:paraId="63F8F404" w14:textId="6BF081A3" w:rsidR="00EA03C4" w:rsidRPr="00EE752F" w:rsidRDefault="00EA03C4" w:rsidP="00EE752F">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MSU</w:t>
            </w:r>
          </w:p>
        </w:tc>
        <w:tc>
          <w:tcPr>
            <w:tcW w:w="3151" w:type="dxa"/>
            <w:shd w:val="clear" w:color="auto" w:fill="auto"/>
          </w:tcPr>
          <w:p w14:paraId="60B6393C" w14:textId="2D6B420E" w:rsidR="00700CB8" w:rsidRPr="00EE752F" w:rsidRDefault="00EC233F" w:rsidP="00EE752F">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Au niveau du Programme, stratégie de renforcement des capacités des institutions partenaires, en lien avec les accords de collaboration avec les universités pour l’intégration dans les curricula de formations des cadres de la fonction publique</w:t>
            </w:r>
            <w:r w:rsidR="00EA03C4">
              <w:rPr>
                <w:rFonts w:asciiTheme="minorHAnsi" w:hAnsiTheme="minorHAnsi" w:cstheme="minorHAnsi"/>
                <w:sz w:val="20"/>
                <w:szCs w:val="20"/>
                <w:lang w:val="fr-FR"/>
              </w:rPr>
              <w:t xml:space="preserve"> et en se basant sur les micro-évaluations HACT là où pertinent</w:t>
            </w:r>
            <w:r w:rsidRPr="00EE752F">
              <w:rPr>
                <w:rFonts w:asciiTheme="minorHAnsi" w:hAnsiTheme="minorHAnsi" w:cstheme="minorHAnsi"/>
                <w:sz w:val="20"/>
                <w:szCs w:val="20"/>
                <w:lang w:val="fr-FR"/>
              </w:rPr>
              <w:t xml:space="preserve">.  </w:t>
            </w:r>
          </w:p>
        </w:tc>
        <w:tc>
          <w:tcPr>
            <w:tcW w:w="1335" w:type="dxa"/>
            <w:shd w:val="clear" w:color="auto" w:fill="auto"/>
          </w:tcPr>
          <w:p w14:paraId="49BE8F55" w14:textId="4CF430C7" w:rsidR="00700CB8" w:rsidRPr="00EE752F" w:rsidRDefault="00EE752F" w:rsidP="00EE752F">
            <w:pPr>
              <w:tabs>
                <w:tab w:val="left" w:pos="1080"/>
              </w:tabs>
              <w:jc w:val="both"/>
              <w:rPr>
                <w:rFonts w:asciiTheme="minorHAnsi" w:hAnsiTheme="minorHAnsi" w:cstheme="minorHAnsi"/>
                <w:sz w:val="20"/>
                <w:szCs w:val="20"/>
                <w:lang w:val="fr-FR"/>
              </w:rPr>
            </w:pPr>
            <w:r>
              <w:rPr>
                <w:rFonts w:asciiTheme="minorHAnsi" w:hAnsiTheme="minorHAnsi" w:cstheme="minorHAnsi"/>
                <w:sz w:val="20"/>
                <w:szCs w:val="20"/>
                <w:lang w:val="fr-FR"/>
              </w:rPr>
              <w:t xml:space="preserve">Prévu </w:t>
            </w:r>
          </w:p>
        </w:tc>
      </w:tr>
      <w:tr w:rsidR="00EE752F" w:rsidRPr="00EE752F" w14:paraId="2EAC5503" w14:textId="77777777" w:rsidTr="008A35DD">
        <w:tc>
          <w:tcPr>
            <w:tcW w:w="5087" w:type="dxa"/>
          </w:tcPr>
          <w:p w14:paraId="08C933EC" w14:textId="0476B378" w:rsidR="00EE752F" w:rsidRPr="00EE752F" w:rsidRDefault="00EE752F" w:rsidP="00EE752F">
            <w:pPr>
              <w:pStyle w:val="Default"/>
              <w:ind w:left="248" w:hanging="248"/>
              <w:jc w:val="both"/>
              <w:rPr>
                <w:rFonts w:asciiTheme="minorHAnsi" w:hAnsiTheme="minorHAnsi" w:cstheme="minorHAnsi"/>
                <w:sz w:val="20"/>
                <w:szCs w:val="20"/>
              </w:rPr>
            </w:pPr>
            <w:r w:rsidRPr="00EE752F">
              <w:rPr>
                <w:rFonts w:asciiTheme="minorHAnsi" w:eastAsia="Times New Roman" w:hAnsiTheme="minorHAnsi" w:cstheme="minorHAnsi"/>
                <w:color w:val="auto"/>
                <w:sz w:val="20"/>
                <w:szCs w:val="20"/>
              </w:rPr>
              <w:t xml:space="preserve">3.2 </w:t>
            </w:r>
            <w:r w:rsidRPr="00EE752F">
              <w:rPr>
                <w:rFonts w:asciiTheme="minorHAnsi" w:eastAsia="Times New Roman" w:hAnsiTheme="minorHAnsi" w:cstheme="minorHAnsi"/>
                <w:color w:val="auto"/>
                <w:sz w:val="20"/>
                <w:szCs w:val="20"/>
                <w:u w:val="single"/>
              </w:rPr>
              <w:t>Renforcement de la proximité et des capacités de gestion de projet</w:t>
            </w:r>
            <w:r w:rsidRPr="00EE752F">
              <w:rPr>
                <w:rFonts w:asciiTheme="minorHAnsi" w:eastAsia="Times New Roman" w:hAnsiTheme="minorHAnsi" w:cstheme="minorHAnsi"/>
                <w:color w:val="auto"/>
                <w:sz w:val="20"/>
                <w:szCs w:val="20"/>
              </w:rPr>
              <w:t xml:space="preserve"> des élus locaux (maires, conseillers </w:t>
            </w:r>
            <w:r w:rsidRPr="00EE752F">
              <w:rPr>
                <w:rFonts w:asciiTheme="minorHAnsi" w:eastAsia="Times New Roman" w:hAnsiTheme="minorHAnsi" w:cstheme="minorHAnsi"/>
                <w:color w:val="auto"/>
                <w:sz w:val="20"/>
                <w:szCs w:val="20"/>
              </w:rPr>
              <w:lastRenderedPageBreak/>
              <w:t xml:space="preserve">municipaux), cadres communaux, partenaires de développement des communes (ONG, organisations communautaires de base, etc.) </w:t>
            </w:r>
          </w:p>
        </w:tc>
        <w:tc>
          <w:tcPr>
            <w:tcW w:w="1843" w:type="dxa"/>
          </w:tcPr>
          <w:p w14:paraId="29D99A16" w14:textId="39A48451" w:rsidR="00EE752F" w:rsidRPr="00EE752F" w:rsidRDefault="00EE752F" w:rsidP="00EE752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lastRenderedPageBreak/>
              <w:t>2020 – 2022</w:t>
            </w:r>
          </w:p>
        </w:tc>
        <w:tc>
          <w:tcPr>
            <w:tcW w:w="1899" w:type="dxa"/>
          </w:tcPr>
          <w:p w14:paraId="39A149A4" w14:textId="77777777" w:rsidR="00EE752F" w:rsidRDefault="00EE752F" w:rsidP="00EE752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Gouvernance</w:t>
            </w:r>
          </w:p>
          <w:p w14:paraId="4BEFACA2" w14:textId="77777777" w:rsidR="00EA03C4" w:rsidRDefault="00EA03C4" w:rsidP="00EE752F">
            <w:pPr>
              <w:tabs>
                <w:tab w:val="left" w:pos="1080"/>
              </w:tabs>
              <w:rPr>
                <w:rFonts w:asciiTheme="minorHAnsi" w:hAnsiTheme="minorHAnsi" w:cstheme="minorHAnsi"/>
                <w:sz w:val="20"/>
                <w:szCs w:val="20"/>
                <w:lang w:val="fr-FR"/>
              </w:rPr>
            </w:pPr>
          </w:p>
          <w:p w14:paraId="1BF8FE0F" w14:textId="1F60A07A" w:rsidR="00EA03C4" w:rsidRPr="00EE752F" w:rsidRDefault="00EA03C4" w:rsidP="00EE752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lastRenderedPageBreak/>
              <w:t>MSU</w:t>
            </w:r>
          </w:p>
        </w:tc>
        <w:tc>
          <w:tcPr>
            <w:tcW w:w="3151" w:type="dxa"/>
          </w:tcPr>
          <w:p w14:paraId="3A37448A" w14:textId="5B1BD704" w:rsidR="00EE752F" w:rsidRPr="00EE752F" w:rsidRDefault="00EE752F" w:rsidP="00EE752F">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lastRenderedPageBreak/>
              <w:t xml:space="preserve">Portefeuille appuyant la stratégie nationale de déconcentration, de </w:t>
            </w:r>
            <w:r w:rsidRPr="00EE752F">
              <w:rPr>
                <w:rFonts w:asciiTheme="minorHAnsi" w:hAnsiTheme="minorHAnsi" w:cstheme="minorHAnsi"/>
                <w:sz w:val="20"/>
                <w:szCs w:val="20"/>
                <w:lang w:val="fr-FR"/>
              </w:rPr>
              <w:lastRenderedPageBreak/>
              <w:t>décentralisation, d’aménagement du territoire par le soutien à la formulation, au pilotage des politiques publiques, puis à leur mise en œuvre dans les collectivités territoriales (projet AGLDT)</w:t>
            </w:r>
          </w:p>
        </w:tc>
        <w:tc>
          <w:tcPr>
            <w:tcW w:w="1335" w:type="dxa"/>
          </w:tcPr>
          <w:p w14:paraId="754D39B9" w14:textId="6D086BE6" w:rsidR="00EE752F" w:rsidRPr="00EE752F" w:rsidRDefault="00EE752F" w:rsidP="00EE752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lastRenderedPageBreak/>
              <w:t>En cours</w:t>
            </w:r>
          </w:p>
        </w:tc>
      </w:tr>
      <w:tr w:rsidR="00700CB8" w:rsidRPr="00EE752F" w14:paraId="6071AC23" w14:textId="77777777" w:rsidTr="00EE752F">
        <w:trPr>
          <w:trHeight w:val="1196"/>
        </w:trPr>
        <w:tc>
          <w:tcPr>
            <w:tcW w:w="5087" w:type="dxa"/>
            <w:shd w:val="clear" w:color="auto" w:fill="auto"/>
          </w:tcPr>
          <w:p w14:paraId="70117408" w14:textId="77777777" w:rsidR="002F5F1D" w:rsidRPr="00EE752F" w:rsidRDefault="00700CB8" w:rsidP="004424F3">
            <w:pPr>
              <w:pStyle w:val="Default"/>
              <w:ind w:left="248" w:hanging="248"/>
              <w:jc w:val="both"/>
              <w:rPr>
                <w:rFonts w:asciiTheme="minorHAnsi" w:eastAsia="Times New Roman" w:hAnsiTheme="minorHAnsi" w:cstheme="minorHAnsi"/>
                <w:color w:val="auto"/>
                <w:sz w:val="20"/>
                <w:szCs w:val="20"/>
              </w:rPr>
            </w:pPr>
            <w:r w:rsidRPr="00EE752F">
              <w:rPr>
                <w:rFonts w:asciiTheme="minorHAnsi" w:hAnsiTheme="minorHAnsi" w:cstheme="minorHAnsi"/>
                <w:sz w:val="20"/>
                <w:szCs w:val="20"/>
              </w:rPr>
              <w:t>3</w:t>
            </w:r>
            <w:r w:rsidRPr="00EE752F">
              <w:rPr>
                <w:rFonts w:asciiTheme="minorHAnsi" w:eastAsia="Times New Roman" w:hAnsiTheme="minorHAnsi" w:cstheme="minorHAnsi"/>
                <w:color w:val="auto"/>
                <w:sz w:val="20"/>
                <w:szCs w:val="20"/>
              </w:rPr>
              <w:t>.3</w:t>
            </w:r>
            <w:r w:rsidR="008B67CB" w:rsidRPr="00EE752F">
              <w:rPr>
                <w:rFonts w:asciiTheme="minorHAnsi" w:eastAsia="Times New Roman" w:hAnsiTheme="minorHAnsi" w:cstheme="minorHAnsi"/>
                <w:color w:val="auto"/>
                <w:sz w:val="20"/>
                <w:szCs w:val="20"/>
              </w:rPr>
              <w:t xml:space="preserve"> </w:t>
            </w:r>
            <w:r w:rsidR="00D71F35" w:rsidRPr="00EE752F">
              <w:rPr>
                <w:rFonts w:asciiTheme="minorHAnsi" w:eastAsia="Times New Roman" w:hAnsiTheme="minorHAnsi" w:cstheme="minorHAnsi"/>
                <w:color w:val="auto"/>
                <w:sz w:val="20"/>
                <w:szCs w:val="20"/>
                <w:u w:val="single"/>
              </w:rPr>
              <w:t>C</w:t>
            </w:r>
            <w:r w:rsidR="008B67CB" w:rsidRPr="00EE752F">
              <w:rPr>
                <w:rFonts w:asciiTheme="minorHAnsi" w:eastAsia="Times New Roman" w:hAnsiTheme="minorHAnsi" w:cstheme="minorHAnsi"/>
                <w:color w:val="auto"/>
                <w:sz w:val="20"/>
                <w:szCs w:val="20"/>
                <w:u w:val="single"/>
              </w:rPr>
              <w:t>onception et exécution de</w:t>
            </w:r>
            <w:r w:rsidR="00144BC2" w:rsidRPr="00EE752F">
              <w:rPr>
                <w:rFonts w:asciiTheme="minorHAnsi" w:eastAsia="Times New Roman" w:hAnsiTheme="minorHAnsi" w:cstheme="minorHAnsi"/>
                <w:color w:val="auto"/>
                <w:sz w:val="20"/>
                <w:szCs w:val="20"/>
                <w:u w:val="single"/>
              </w:rPr>
              <w:t xml:space="preserve"> nouveaux</w:t>
            </w:r>
            <w:r w:rsidR="008B67CB" w:rsidRPr="00EE752F">
              <w:rPr>
                <w:rFonts w:asciiTheme="minorHAnsi" w:eastAsia="Times New Roman" w:hAnsiTheme="minorHAnsi" w:cstheme="minorHAnsi"/>
                <w:color w:val="auto"/>
                <w:sz w:val="20"/>
                <w:szCs w:val="20"/>
                <w:u w:val="single"/>
              </w:rPr>
              <w:t xml:space="preserve"> projets </w:t>
            </w:r>
            <w:r w:rsidR="008B67CB" w:rsidRPr="00EE752F">
              <w:rPr>
                <w:rFonts w:asciiTheme="minorHAnsi" w:eastAsia="Times New Roman" w:hAnsiTheme="minorHAnsi" w:cstheme="minorHAnsi"/>
                <w:color w:val="auto"/>
                <w:sz w:val="20"/>
                <w:szCs w:val="20"/>
              </w:rPr>
              <w:t xml:space="preserve">en </w:t>
            </w:r>
            <w:r w:rsidR="00144BC2" w:rsidRPr="00EE752F">
              <w:rPr>
                <w:rFonts w:asciiTheme="minorHAnsi" w:eastAsia="Times New Roman" w:hAnsiTheme="minorHAnsi" w:cstheme="minorHAnsi"/>
                <w:color w:val="auto"/>
                <w:sz w:val="20"/>
                <w:szCs w:val="20"/>
              </w:rPr>
              <w:t>fonction d</w:t>
            </w:r>
            <w:r w:rsidR="008B67CB" w:rsidRPr="00EE752F">
              <w:rPr>
                <w:rFonts w:asciiTheme="minorHAnsi" w:eastAsia="Times New Roman" w:hAnsiTheme="minorHAnsi" w:cstheme="minorHAnsi"/>
                <w:color w:val="auto"/>
                <w:sz w:val="20"/>
                <w:szCs w:val="20"/>
              </w:rPr>
              <w:t xml:space="preserve">es opportunités de renforcement des institutions étatiques partenaires et </w:t>
            </w:r>
            <w:r w:rsidR="00144BC2" w:rsidRPr="00EE752F">
              <w:rPr>
                <w:rFonts w:asciiTheme="minorHAnsi" w:eastAsia="Times New Roman" w:hAnsiTheme="minorHAnsi" w:cstheme="minorHAnsi"/>
                <w:color w:val="auto"/>
                <w:sz w:val="20"/>
                <w:szCs w:val="20"/>
              </w:rPr>
              <w:t>des</w:t>
            </w:r>
            <w:r w:rsidR="008B67CB" w:rsidRPr="00EE752F">
              <w:rPr>
                <w:rFonts w:asciiTheme="minorHAnsi" w:eastAsia="Times New Roman" w:hAnsiTheme="minorHAnsi" w:cstheme="minorHAnsi"/>
                <w:color w:val="auto"/>
                <w:sz w:val="20"/>
                <w:szCs w:val="20"/>
              </w:rPr>
              <w:t xml:space="preserve"> problèmes conjoncturels récurrents. </w:t>
            </w:r>
          </w:p>
          <w:p w14:paraId="24460FA9" w14:textId="547F6AD1" w:rsidR="00700CB8" w:rsidRPr="00EE752F" w:rsidRDefault="002F5F1D" w:rsidP="004424F3">
            <w:pPr>
              <w:pStyle w:val="Default"/>
              <w:ind w:left="248"/>
              <w:jc w:val="both"/>
              <w:rPr>
                <w:rFonts w:asciiTheme="minorHAnsi" w:eastAsia="Times New Roman" w:hAnsiTheme="minorHAnsi" w:cstheme="minorHAnsi"/>
                <w:color w:val="auto"/>
                <w:sz w:val="20"/>
                <w:szCs w:val="20"/>
              </w:rPr>
            </w:pPr>
            <w:r w:rsidRPr="00EE752F">
              <w:rPr>
                <w:rFonts w:asciiTheme="minorHAnsi" w:eastAsia="Times New Roman" w:hAnsiTheme="minorHAnsi" w:cstheme="minorHAnsi"/>
                <w:color w:val="auto"/>
                <w:sz w:val="20"/>
                <w:szCs w:val="20"/>
                <w:u w:val="single"/>
              </w:rPr>
              <w:t>Renforcement</w:t>
            </w:r>
            <w:r w:rsidR="008B67CB" w:rsidRPr="00EE752F">
              <w:rPr>
                <w:rFonts w:asciiTheme="minorHAnsi" w:eastAsia="Times New Roman" w:hAnsiTheme="minorHAnsi" w:cstheme="minorHAnsi"/>
                <w:color w:val="auto"/>
                <w:sz w:val="20"/>
                <w:szCs w:val="20"/>
                <w:u w:val="single"/>
              </w:rPr>
              <w:t xml:space="preserve"> des capacités opérationnelles</w:t>
            </w:r>
            <w:r w:rsidR="008B67CB" w:rsidRPr="00EE752F">
              <w:rPr>
                <w:rFonts w:asciiTheme="minorHAnsi" w:eastAsia="Times New Roman" w:hAnsiTheme="minorHAnsi" w:cstheme="minorHAnsi"/>
                <w:color w:val="auto"/>
                <w:sz w:val="20"/>
                <w:szCs w:val="20"/>
              </w:rPr>
              <w:t xml:space="preserve"> </w:t>
            </w:r>
            <w:r w:rsidRPr="00EE752F">
              <w:rPr>
                <w:rFonts w:asciiTheme="minorHAnsi" w:eastAsia="Times New Roman" w:hAnsiTheme="minorHAnsi" w:cstheme="minorHAnsi"/>
                <w:color w:val="auto"/>
                <w:sz w:val="20"/>
                <w:szCs w:val="20"/>
              </w:rPr>
              <w:t xml:space="preserve">des partenaires </w:t>
            </w:r>
            <w:r w:rsidR="008B67CB" w:rsidRPr="00EE752F">
              <w:rPr>
                <w:rFonts w:asciiTheme="minorHAnsi" w:eastAsia="Times New Roman" w:hAnsiTheme="minorHAnsi" w:cstheme="minorHAnsi"/>
                <w:color w:val="auto"/>
                <w:sz w:val="20"/>
                <w:szCs w:val="20"/>
              </w:rPr>
              <w:t xml:space="preserve">en matière de maîtrise des principes d’élaboration, de gestion de projets et de suivi évaluations axées sur les résultats. </w:t>
            </w:r>
          </w:p>
        </w:tc>
        <w:tc>
          <w:tcPr>
            <w:tcW w:w="1843" w:type="dxa"/>
            <w:shd w:val="clear" w:color="auto" w:fill="auto"/>
          </w:tcPr>
          <w:p w14:paraId="2ED38962" w14:textId="13D5E277" w:rsidR="00700CB8" w:rsidRPr="00EE752F" w:rsidDel="00BA6647" w:rsidRDefault="00204F69"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2020 – 2022 </w:t>
            </w:r>
          </w:p>
        </w:tc>
        <w:tc>
          <w:tcPr>
            <w:tcW w:w="1899" w:type="dxa"/>
            <w:shd w:val="clear" w:color="auto" w:fill="auto"/>
          </w:tcPr>
          <w:p w14:paraId="0F2D33B7" w14:textId="09D8EF4B" w:rsidR="00700CB8" w:rsidRDefault="00204F69"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SMT</w:t>
            </w:r>
          </w:p>
          <w:p w14:paraId="6260BDE0" w14:textId="77777777" w:rsidR="00EA03C4" w:rsidRDefault="00EA03C4" w:rsidP="0095705F">
            <w:pPr>
              <w:tabs>
                <w:tab w:val="left" w:pos="1080"/>
              </w:tabs>
              <w:rPr>
                <w:rFonts w:asciiTheme="minorHAnsi" w:hAnsiTheme="minorHAnsi" w:cstheme="minorHAnsi"/>
                <w:sz w:val="20"/>
                <w:szCs w:val="20"/>
                <w:lang w:val="fr-FR"/>
              </w:rPr>
            </w:pPr>
          </w:p>
          <w:p w14:paraId="044A36EB" w14:textId="79D20A10" w:rsidR="00EA03C4" w:rsidRPr="00EE752F" w:rsidDel="00BA6647" w:rsidRDefault="00EA03C4" w:rsidP="0095705F">
            <w:pPr>
              <w:tabs>
                <w:tab w:val="left" w:pos="1080"/>
              </w:tabs>
              <w:rPr>
                <w:rFonts w:asciiTheme="minorHAnsi" w:hAnsiTheme="minorHAnsi" w:cstheme="minorHAnsi"/>
                <w:sz w:val="20"/>
                <w:szCs w:val="20"/>
                <w:lang w:val="fr-FR"/>
              </w:rPr>
            </w:pPr>
            <w:r>
              <w:rPr>
                <w:rFonts w:asciiTheme="minorHAnsi" w:hAnsiTheme="minorHAnsi" w:cstheme="minorHAnsi"/>
                <w:sz w:val="20"/>
                <w:szCs w:val="20"/>
                <w:lang w:val="fr-FR"/>
              </w:rPr>
              <w:t>MSU</w:t>
            </w:r>
          </w:p>
        </w:tc>
        <w:tc>
          <w:tcPr>
            <w:tcW w:w="3151" w:type="dxa"/>
            <w:shd w:val="clear" w:color="auto" w:fill="auto"/>
          </w:tcPr>
          <w:p w14:paraId="2E297F55" w14:textId="11D3AFEF" w:rsidR="00700CB8" w:rsidRPr="00EE752F" w:rsidRDefault="00204F69"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Pipeline </w:t>
            </w:r>
            <w:proofErr w:type="spellStart"/>
            <w:r w:rsidR="000523CD" w:rsidRPr="00EE752F">
              <w:rPr>
                <w:rFonts w:asciiTheme="minorHAnsi" w:hAnsiTheme="minorHAnsi" w:cstheme="minorHAnsi"/>
                <w:sz w:val="20"/>
                <w:szCs w:val="20"/>
                <w:lang w:val="fr-FR"/>
              </w:rPr>
              <w:t>P</w:t>
            </w:r>
            <w:r w:rsidRPr="00EE752F">
              <w:rPr>
                <w:rFonts w:asciiTheme="minorHAnsi" w:hAnsiTheme="minorHAnsi" w:cstheme="minorHAnsi"/>
                <w:sz w:val="20"/>
                <w:szCs w:val="20"/>
                <w:lang w:val="fr-FR"/>
              </w:rPr>
              <w:t>rojects</w:t>
            </w:r>
            <w:proofErr w:type="spellEnd"/>
          </w:p>
        </w:tc>
        <w:tc>
          <w:tcPr>
            <w:tcW w:w="1335" w:type="dxa"/>
            <w:shd w:val="clear" w:color="auto" w:fill="auto"/>
          </w:tcPr>
          <w:p w14:paraId="0906AEEF" w14:textId="1FBC4111" w:rsidR="00700CB8" w:rsidRPr="00EE752F" w:rsidRDefault="00BB5DB4"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Prévu </w:t>
            </w:r>
          </w:p>
        </w:tc>
      </w:tr>
    </w:tbl>
    <w:p w14:paraId="03E5A617" w14:textId="77777777" w:rsidR="00700CB8" w:rsidRPr="00EE752F" w:rsidRDefault="00700CB8" w:rsidP="004B66B9">
      <w:pPr>
        <w:tabs>
          <w:tab w:val="left" w:pos="1080"/>
        </w:tabs>
        <w:rPr>
          <w:rFonts w:asciiTheme="minorHAnsi" w:hAnsiTheme="minorHAnsi" w:cstheme="minorHAnsi"/>
          <w:sz w:val="20"/>
          <w:szCs w:val="20"/>
          <w:lang w:val="fr-FR"/>
        </w:rPr>
      </w:pPr>
    </w:p>
    <w:tbl>
      <w:tblPr>
        <w:tblW w:w="133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992"/>
        <w:gridCol w:w="1890"/>
        <w:gridCol w:w="3100"/>
        <w:gridCol w:w="1400"/>
      </w:tblGrid>
      <w:tr w:rsidR="00700CB8" w:rsidRPr="00EE752F" w14:paraId="4C11D0C8" w14:textId="77777777" w:rsidTr="00204F69">
        <w:tc>
          <w:tcPr>
            <w:tcW w:w="13320" w:type="dxa"/>
            <w:gridSpan w:val="5"/>
            <w:shd w:val="clear" w:color="auto" w:fill="F3F3F3"/>
          </w:tcPr>
          <w:p w14:paraId="1C217EFF" w14:textId="36900177" w:rsidR="00700CB8" w:rsidRPr="00EE752F" w:rsidRDefault="00BA0ABE" w:rsidP="0095705F">
            <w:pPr>
              <w:tabs>
                <w:tab w:val="left" w:pos="1080"/>
              </w:tabs>
              <w:rPr>
                <w:rFonts w:asciiTheme="minorHAnsi" w:hAnsiTheme="minorHAnsi" w:cstheme="minorHAnsi"/>
                <w:sz w:val="20"/>
                <w:szCs w:val="20"/>
              </w:rPr>
            </w:pPr>
            <w:r w:rsidRPr="00EE752F">
              <w:rPr>
                <w:rFonts w:ascii="Calibri" w:hAnsi="Calibri" w:cs="Calibri"/>
                <w:b/>
                <w:bCs/>
                <w:sz w:val="22"/>
                <w:szCs w:val="22"/>
                <w:lang w:eastAsia="ja-JP"/>
              </w:rPr>
              <w:t xml:space="preserve">Recommendation 4: UNDP should strengthen its own monitoring and evaluation system so that it is able to provide data on the progress of results against targets for all defined indicators, and to generate </w:t>
            </w:r>
            <w:r w:rsidRPr="00EE752F">
              <w:rPr>
                <w:rFonts w:ascii="Calibri" w:hAnsi="Calibri" w:cs="Georgia"/>
                <w:b/>
                <w:bCs/>
                <w:sz w:val="22"/>
                <w:szCs w:val="22"/>
                <w:lang w:eastAsia="ja-JP"/>
              </w:rPr>
              <w:t>on a  timely manner the</w:t>
            </w:r>
            <w:r w:rsidRPr="00EE752F">
              <w:rPr>
                <w:rFonts w:ascii="Calibri" w:hAnsi="Calibri" w:cs="Calibri"/>
                <w:b/>
                <w:bCs/>
                <w:sz w:val="22"/>
                <w:szCs w:val="22"/>
                <w:lang w:eastAsia="ja-JP"/>
              </w:rPr>
              <w:t xml:space="preserve"> information on changes in terms of outcome and impact that are directly related to the UNDP contribution. It is important to integrate a knowledge management component into this system to bring the lessons learned from projects deemed innovative, from the local and regional levels to the levels of planners and political decision-makers in the country.</w:t>
            </w:r>
          </w:p>
        </w:tc>
      </w:tr>
      <w:tr w:rsidR="006716B2" w:rsidRPr="00EE752F" w14:paraId="654C94F8" w14:textId="77777777" w:rsidTr="00204F69">
        <w:tc>
          <w:tcPr>
            <w:tcW w:w="13320" w:type="dxa"/>
            <w:gridSpan w:val="5"/>
            <w:shd w:val="clear" w:color="auto" w:fill="F3F3F3"/>
          </w:tcPr>
          <w:p w14:paraId="628361D2" w14:textId="18AD7D48" w:rsidR="006716B2" w:rsidRPr="00EE752F" w:rsidRDefault="006716B2" w:rsidP="006716B2">
            <w:pPr>
              <w:tabs>
                <w:tab w:val="left" w:pos="1080"/>
              </w:tabs>
              <w:rPr>
                <w:rFonts w:asciiTheme="minorHAnsi" w:hAnsiTheme="minorHAnsi" w:cstheme="minorHAnsi"/>
                <w:b/>
                <w:sz w:val="20"/>
                <w:szCs w:val="20"/>
              </w:rPr>
            </w:pPr>
            <w:r w:rsidRPr="00F422FD">
              <w:rPr>
                <w:rFonts w:ascii="Calibri" w:hAnsi="Calibri" w:cs="Georgia"/>
                <w:b/>
                <w:bCs/>
                <w:sz w:val="22"/>
                <w:szCs w:val="22"/>
                <w:u w:val="single"/>
                <w:lang w:eastAsia="ja-JP"/>
              </w:rPr>
              <w:t>Management response :</w:t>
            </w:r>
            <w:r w:rsidRPr="00B27153">
              <w:rPr>
                <w:rFonts w:ascii="Calibri" w:hAnsi="Calibri" w:cs="Georgia"/>
                <w:b/>
                <w:bCs/>
                <w:color w:val="0070C0"/>
                <w:sz w:val="22"/>
                <w:szCs w:val="22"/>
                <w:lang w:eastAsia="ja-JP"/>
              </w:rPr>
              <w:t xml:space="preserve"> The country office </w:t>
            </w:r>
            <w:r>
              <w:rPr>
                <w:rFonts w:ascii="Calibri" w:hAnsi="Calibri" w:cs="Georgia"/>
                <w:b/>
                <w:bCs/>
                <w:color w:val="0070C0"/>
                <w:sz w:val="22"/>
                <w:szCs w:val="22"/>
                <w:lang w:eastAsia="ja-JP"/>
              </w:rPr>
              <w:t>fully</w:t>
            </w:r>
            <w:r w:rsidRPr="00B27153">
              <w:rPr>
                <w:rFonts w:ascii="Calibri" w:hAnsi="Calibri" w:cs="Georgia"/>
                <w:b/>
                <w:bCs/>
                <w:color w:val="0070C0"/>
                <w:sz w:val="22"/>
                <w:szCs w:val="22"/>
                <w:lang w:eastAsia="ja-JP"/>
              </w:rPr>
              <w:t xml:space="preserve"> accepts</w:t>
            </w:r>
            <w:r>
              <w:rPr>
                <w:rFonts w:ascii="Calibri" w:hAnsi="Calibri" w:cs="Georgia"/>
                <w:b/>
                <w:bCs/>
                <w:color w:val="0070C0"/>
                <w:sz w:val="22"/>
                <w:szCs w:val="22"/>
                <w:lang w:eastAsia="ja-JP"/>
              </w:rPr>
              <w:t xml:space="preserve"> </w:t>
            </w:r>
            <w:r w:rsidRPr="00B27153">
              <w:rPr>
                <w:rFonts w:ascii="Calibri" w:hAnsi="Calibri" w:cs="Georgia"/>
                <w:b/>
                <w:bCs/>
                <w:color w:val="0070C0"/>
                <w:sz w:val="22"/>
                <w:szCs w:val="22"/>
                <w:lang w:eastAsia="ja-JP"/>
              </w:rPr>
              <w:t>the recommendation</w:t>
            </w:r>
            <w:r>
              <w:rPr>
                <w:rFonts w:ascii="Calibri" w:hAnsi="Calibri" w:cs="Georgia"/>
                <w:b/>
                <w:bCs/>
                <w:color w:val="0070C0"/>
                <w:sz w:val="22"/>
                <w:szCs w:val="22"/>
                <w:lang w:eastAsia="ja-JP"/>
              </w:rPr>
              <w:t xml:space="preserve"> and is considering building up its monitoring and evaluation </w:t>
            </w:r>
            <w:r w:rsidR="00504F72">
              <w:rPr>
                <w:rFonts w:ascii="Calibri" w:hAnsi="Calibri" w:cs="Georgia"/>
                <w:b/>
                <w:bCs/>
                <w:color w:val="0070C0"/>
                <w:sz w:val="22"/>
                <w:szCs w:val="22"/>
                <w:lang w:eastAsia="ja-JP"/>
              </w:rPr>
              <w:t xml:space="preserve">system aligned to the theory of change of the future CPD while fitting with </w:t>
            </w:r>
            <w:r w:rsidR="00B0047F">
              <w:rPr>
                <w:rFonts w:ascii="Calibri" w:hAnsi="Calibri" w:cs="Georgia"/>
                <w:b/>
                <w:bCs/>
                <w:color w:val="0070C0"/>
                <w:sz w:val="22"/>
                <w:szCs w:val="22"/>
                <w:lang w:eastAsia="ja-JP"/>
              </w:rPr>
              <w:t>the existing M&amp;E system of the UN in the country</w:t>
            </w:r>
            <w:r w:rsidR="00504F72">
              <w:rPr>
                <w:rFonts w:ascii="Calibri" w:hAnsi="Calibri" w:cs="Georgia"/>
                <w:b/>
                <w:bCs/>
                <w:color w:val="0070C0"/>
                <w:sz w:val="22"/>
                <w:szCs w:val="22"/>
                <w:lang w:eastAsia="ja-JP"/>
              </w:rPr>
              <w:t xml:space="preserve">. </w:t>
            </w:r>
            <w:r>
              <w:rPr>
                <w:rFonts w:ascii="Calibri" w:hAnsi="Calibri" w:cs="Georgia"/>
                <w:b/>
                <w:bCs/>
                <w:color w:val="0070C0"/>
                <w:sz w:val="22"/>
                <w:szCs w:val="22"/>
                <w:lang w:eastAsia="ja-JP"/>
              </w:rPr>
              <w:t xml:space="preserve"> </w:t>
            </w:r>
          </w:p>
        </w:tc>
      </w:tr>
      <w:tr w:rsidR="006716B2" w:rsidRPr="00EE752F" w14:paraId="16F4D501" w14:textId="77777777" w:rsidTr="008A35DD">
        <w:trPr>
          <w:trHeight w:val="135"/>
        </w:trPr>
        <w:tc>
          <w:tcPr>
            <w:tcW w:w="4938" w:type="dxa"/>
            <w:vMerge w:val="restart"/>
            <w:shd w:val="clear" w:color="auto" w:fill="F3F3F3"/>
          </w:tcPr>
          <w:p w14:paraId="45FBEC93" w14:textId="77777777" w:rsidR="006716B2" w:rsidRPr="00EE752F" w:rsidRDefault="006716B2" w:rsidP="006716B2">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Key action(s)</w:t>
            </w:r>
          </w:p>
        </w:tc>
        <w:tc>
          <w:tcPr>
            <w:tcW w:w="1992" w:type="dxa"/>
            <w:vMerge w:val="restart"/>
            <w:shd w:val="clear" w:color="auto" w:fill="F3F3F3"/>
          </w:tcPr>
          <w:p w14:paraId="6CAF8E41" w14:textId="77777777" w:rsidR="006716B2" w:rsidRPr="00EE752F" w:rsidRDefault="006716B2" w:rsidP="006716B2">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Time frame</w:t>
            </w:r>
          </w:p>
        </w:tc>
        <w:tc>
          <w:tcPr>
            <w:tcW w:w="1890" w:type="dxa"/>
            <w:vMerge w:val="restart"/>
            <w:shd w:val="clear" w:color="auto" w:fill="F3F3F3"/>
          </w:tcPr>
          <w:p w14:paraId="25F13F10" w14:textId="77777777" w:rsidR="006716B2" w:rsidRPr="00EE752F" w:rsidRDefault="006716B2" w:rsidP="006716B2">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Responsible unit(s)</w:t>
            </w:r>
          </w:p>
        </w:tc>
        <w:tc>
          <w:tcPr>
            <w:tcW w:w="4500" w:type="dxa"/>
            <w:gridSpan w:val="2"/>
            <w:shd w:val="clear" w:color="auto" w:fill="F3F3F3"/>
          </w:tcPr>
          <w:p w14:paraId="330D0E92" w14:textId="77777777" w:rsidR="006716B2" w:rsidRPr="00EE752F" w:rsidRDefault="006716B2" w:rsidP="006716B2">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Tracking</w:t>
            </w:r>
          </w:p>
        </w:tc>
      </w:tr>
      <w:tr w:rsidR="006716B2" w:rsidRPr="00EE752F" w14:paraId="15D24688" w14:textId="77777777" w:rsidTr="008A35DD">
        <w:trPr>
          <w:trHeight w:val="135"/>
        </w:trPr>
        <w:tc>
          <w:tcPr>
            <w:tcW w:w="4938" w:type="dxa"/>
            <w:vMerge/>
            <w:shd w:val="clear" w:color="auto" w:fill="F3F3F3"/>
          </w:tcPr>
          <w:p w14:paraId="499C324C" w14:textId="77777777" w:rsidR="006716B2" w:rsidRPr="00EE752F" w:rsidRDefault="006716B2" w:rsidP="006716B2">
            <w:pPr>
              <w:tabs>
                <w:tab w:val="left" w:pos="1080"/>
              </w:tabs>
              <w:rPr>
                <w:rFonts w:asciiTheme="minorHAnsi" w:hAnsiTheme="minorHAnsi" w:cstheme="minorHAnsi"/>
                <w:sz w:val="20"/>
                <w:szCs w:val="20"/>
              </w:rPr>
            </w:pPr>
          </w:p>
        </w:tc>
        <w:tc>
          <w:tcPr>
            <w:tcW w:w="1992" w:type="dxa"/>
            <w:vMerge/>
            <w:shd w:val="clear" w:color="auto" w:fill="F3F3F3"/>
          </w:tcPr>
          <w:p w14:paraId="08426A86" w14:textId="77777777" w:rsidR="006716B2" w:rsidRPr="00EE752F" w:rsidRDefault="006716B2" w:rsidP="006716B2">
            <w:pPr>
              <w:tabs>
                <w:tab w:val="left" w:pos="1080"/>
              </w:tabs>
              <w:rPr>
                <w:rFonts w:asciiTheme="minorHAnsi" w:hAnsiTheme="minorHAnsi" w:cstheme="minorHAnsi"/>
                <w:b/>
                <w:sz w:val="20"/>
                <w:szCs w:val="20"/>
              </w:rPr>
            </w:pPr>
          </w:p>
        </w:tc>
        <w:tc>
          <w:tcPr>
            <w:tcW w:w="1890" w:type="dxa"/>
            <w:vMerge/>
            <w:shd w:val="clear" w:color="auto" w:fill="F3F3F3"/>
          </w:tcPr>
          <w:p w14:paraId="76FD5325" w14:textId="77777777" w:rsidR="006716B2" w:rsidRPr="00EE752F" w:rsidRDefault="006716B2" w:rsidP="006716B2">
            <w:pPr>
              <w:tabs>
                <w:tab w:val="left" w:pos="1080"/>
              </w:tabs>
              <w:rPr>
                <w:rFonts w:asciiTheme="minorHAnsi" w:hAnsiTheme="minorHAnsi" w:cstheme="minorHAnsi"/>
                <w:b/>
                <w:sz w:val="20"/>
                <w:szCs w:val="20"/>
              </w:rPr>
            </w:pPr>
          </w:p>
        </w:tc>
        <w:tc>
          <w:tcPr>
            <w:tcW w:w="3100" w:type="dxa"/>
          </w:tcPr>
          <w:p w14:paraId="6F6BA2AE" w14:textId="77777777" w:rsidR="006716B2" w:rsidRPr="00EE752F" w:rsidRDefault="006716B2" w:rsidP="006716B2">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Comments</w:t>
            </w:r>
          </w:p>
        </w:tc>
        <w:tc>
          <w:tcPr>
            <w:tcW w:w="1400" w:type="dxa"/>
          </w:tcPr>
          <w:p w14:paraId="0F4CF150" w14:textId="77777777" w:rsidR="006716B2" w:rsidRPr="00EE752F" w:rsidRDefault="006716B2" w:rsidP="006716B2">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Status</w:t>
            </w:r>
          </w:p>
        </w:tc>
      </w:tr>
      <w:tr w:rsidR="006716B2" w:rsidRPr="00EE752F" w14:paraId="41C73D42" w14:textId="77777777" w:rsidTr="008A35DD">
        <w:tc>
          <w:tcPr>
            <w:tcW w:w="4938" w:type="dxa"/>
          </w:tcPr>
          <w:p w14:paraId="78A9789D" w14:textId="77777777" w:rsidR="006716B2" w:rsidRPr="00EE752F" w:rsidRDefault="006716B2" w:rsidP="006716B2">
            <w:pPr>
              <w:pStyle w:val="Default"/>
              <w:ind w:left="248" w:hanging="360"/>
              <w:jc w:val="both"/>
              <w:rPr>
                <w:rFonts w:asciiTheme="minorHAnsi" w:eastAsia="Times New Roman" w:hAnsiTheme="minorHAnsi" w:cstheme="minorHAnsi"/>
                <w:color w:val="auto"/>
                <w:sz w:val="20"/>
                <w:szCs w:val="20"/>
              </w:rPr>
            </w:pPr>
            <w:r w:rsidRPr="00EE752F">
              <w:rPr>
                <w:rFonts w:asciiTheme="minorHAnsi" w:eastAsia="Times New Roman" w:hAnsiTheme="minorHAnsi" w:cstheme="minorHAnsi"/>
                <w:color w:val="auto"/>
                <w:sz w:val="20"/>
                <w:szCs w:val="20"/>
              </w:rPr>
              <w:t xml:space="preserve">4.1 </w:t>
            </w:r>
            <w:r w:rsidRPr="00EE752F">
              <w:rPr>
                <w:rFonts w:asciiTheme="minorHAnsi" w:eastAsia="Times New Roman" w:hAnsiTheme="minorHAnsi" w:cstheme="minorHAnsi"/>
                <w:color w:val="auto"/>
                <w:sz w:val="20"/>
                <w:szCs w:val="20"/>
                <w:u w:val="single"/>
              </w:rPr>
              <w:t>Renforcement du système de suivi-évaluation</w:t>
            </w:r>
            <w:r w:rsidRPr="00EE752F">
              <w:rPr>
                <w:rFonts w:asciiTheme="minorHAnsi" w:eastAsia="Times New Roman" w:hAnsiTheme="minorHAnsi" w:cstheme="minorHAnsi"/>
                <w:color w:val="auto"/>
                <w:sz w:val="20"/>
                <w:szCs w:val="20"/>
              </w:rPr>
              <w:t xml:space="preserve"> axé davantage sur les résultats, favorable aux analyses sur les effets et impacts ou bénéfices du Programme  </w:t>
            </w:r>
          </w:p>
          <w:p w14:paraId="466C59EF" w14:textId="77777777" w:rsidR="006716B2" w:rsidRPr="00EE752F" w:rsidRDefault="006716B2" w:rsidP="006716B2">
            <w:pPr>
              <w:pStyle w:val="Default"/>
              <w:ind w:left="-112"/>
              <w:jc w:val="both"/>
              <w:rPr>
                <w:rFonts w:asciiTheme="minorHAnsi" w:eastAsia="Times New Roman" w:hAnsiTheme="minorHAnsi" w:cstheme="minorHAnsi"/>
                <w:color w:val="auto"/>
                <w:sz w:val="20"/>
                <w:szCs w:val="20"/>
              </w:rPr>
            </w:pPr>
          </w:p>
          <w:p w14:paraId="35D2A7F4" w14:textId="3A615609" w:rsidR="006716B2" w:rsidRPr="00EE752F" w:rsidRDefault="006716B2" w:rsidP="006716B2">
            <w:pPr>
              <w:pStyle w:val="Default"/>
              <w:ind w:left="248"/>
              <w:jc w:val="both"/>
              <w:rPr>
                <w:rFonts w:asciiTheme="minorHAnsi" w:eastAsia="Times New Roman" w:hAnsiTheme="minorHAnsi" w:cstheme="minorHAnsi"/>
                <w:color w:val="auto"/>
                <w:sz w:val="20"/>
                <w:szCs w:val="20"/>
                <w:u w:val="single"/>
              </w:rPr>
            </w:pPr>
            <w:r w:rsidRPr="00EE752F">
              <w:rPr>
                <w:rFonts w:asciiTheme="minorHAnsi" w:eastAsia="Times New Roman" w:hAnsiTheme="minorHAnsi" w:cstheme="minorHAnsi"/>
                <w:color w:val="auto"/>
                <w:sz w:val="20"/>
                <w:szCs w:val="20"/>
                <w:u w:val="single"/>
              </w:rPr>
              <w:t>Intégration du suivi-évaluation dans le contexte d’implémentation en lien avec les agences partenaires du SNU</w:t>
            </w:r>
          </w:p>
          <w:p w14:paraId="3EE89949" w14:textId="6D820ECF" w:rsidR="006716B2" w:rsidRPr="00EE752F" w:rsidRDefault="006716B2" w:rsidP="006716B2">
            <w:pPr>
              <w:tabs>
                <w:tab w:val="left" w:pos="1080"/>
              </w:tabs>
              <w:ind w:left="248" w:hanging="360"/>
              <w:jc w:val="both"/>
              <w:rPr>
                <w:rFonts w:asciiTheme="minorHAnsi" w:hAnsiTheme="minorHAnsi" w:cstheme="minorHAnsi"/>
                <w:sz w:val="20"/>
                <w:szCs w:val="20"/>
                <w:lang w:val="fr-FR"/>
              </w:rPr>
            </w:pPr>
          </w:p>
        </w:tc>
        <w:tc>
          <w:tcPr>
            <w:tcW w:w="1992" w:type="dxa"/>
          </w:tcPr>
          <w:p w14:paraId="7C4D631A" w14:textId="2785CADA" w:rsidR="006716B2" w:rsidRPr="00EE752F" w:rsidRDefault="006716B2" w:rsidP="006716B2">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2020 – 2023 </w:t>
            </w:r>
          </w:p>
        </w:tc>
        <w:tc>
          <w:tcPr>
            <w:tcW w:w="1890" w:type="dxa"/>
          </w:tcPr>
          <w:p w14:paraId="3FDFD7A1" w14:textId="45DF99AC" w:rsidR="006716B2" w:rsidRPr="00EE752F" w:rsidRDefault="006716B2" w:rsidP="006716B2">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MSU </w:t>
            </w:r>
          </w:p>
        </w:tc>
        <w:tc>
          <w:tcPr>
            <w:tcW w:w="3100" w:type="dxa"/>
          </w:tcPr>
          <w:p w14:paraId="096006A5" w14:textId="5841C8A8" w:rsidR="006716B2" w:rsidRPr="00EE752F" w:rsidRDefault="006716B2" w:rsidP="006716B2">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Mise en place de mécanismes d’appuis au Programme et soutien à la programmation intégrée et le renforcement des capacités organisationnelles en </w:t>
            </w:r>
          </w:p>
        </w:tc>
        <w:tc>
          <w:tcPr>
            <w:tcW w:w="1400" w:type="dxa"/>
          </w:tcPr>
          <w:p w14:paraId="43EBA289" w14:textId="19629E01" w:rsidR="006716B2" w:rsidRPr="00EE752F" w:rsidRDefault="006716B2" w:rsidP="006716B2">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En cours</w:t>
            </w:r>
          </w:p>
        </w:tc>
      </w:tr>
      <w:tr w:rsidR="006716B2" w:rsidRPr="00EE752F" w14:paraId="548DFDD3" w14:textId="77777777" w:rsidTr="008A35DD">
        <w:tc>
          <w:tcPr>
            <w:tcW w:w="4938" w:type="dxa"/>
          </w:tcPr>
          <w:p w14:paraId="1385DE80" w14:textId="31CD0625" w:rsidR="006716B2" w:rsidRPr="00EE752F" w:rsidRDefault="006716B2" w:rsidP="006716B2">
            <w:pPr>
              <w:pStyle w:val="Default"/>
              <w:jc w:val="both"/>
              <w:rPr>
                <w:rFonts w:asciiTheme="minorHAnsi" w:eastAsia="Times New Roman" w:hAnsiTheme="minorHAnsi" w:cstheme="minorHAnsi"/>
                <w:color w:val="auto"/>
                <w:sz w:val="20"/>
                <w:szCs w:val="20"/>
              </w:rPr>
            </w:pPr>
            <w:r w:rsidRPr="00EE752F">
              <w:rPr>
                <w:rFonts w:asciiTheme="minorHAnsi" w:eastAsia="Times New Roman" w:hAnsiTheme="minorHAnsi" w:cstheme="minorHAnsi"/>
                <w:color w:val="auto"/>
                <w:sz w:val="20"/>
                <w:szCs w:val="20"/>
              </w:rPr>
              <w:t xml:space="preserve">4.2 </w:t>
            </w:r>
            <w:r w:rsidRPr="00EE752F">
              <w:rPr>
                <w:rFonts w:asciiTheme="minorHAnsi" w:eastAsia="Times New Roman" w:hAnsiTheme="minorHAnsi" w:cstheme="minorHAnsi"/>
                <w:color w:val="auto"/>
                <w:sz w:val="20"/>
                <w:szCs w:val="20"/>
                <w:u w:val="single"/>
              </w:rPr>
              <w:t xml:space="preserve">Capitalisation systématique des expériences et résultats en Haïti </w:t>
            </w:r>
            <w:r w:rsidRPr="00EE752F">
              <w:rPr>
                <w:rFonts w:asciiTheme="minorHAnsi" w:eastAsia="Times New Roman" w:hAnsiTheme="minorHAnsi" w:cstheme="minorHAnsi"/>
                <w:color w:val="auto"/>
                <w:sz w:val="20"/>
                <w:szCs w:val="20"/>
              </w:rPr>
              <w:t xml:space="preserve">par le biais de mécanismes dynamiques de partage et de diffusion de connaissances favorables à l’apprentissage actif, à la prise de décisions, et à la mise en </w:t>
            </w:r>
            <w:r w:rsidRPr="00EE752F">
              <w:rPr>
                <w:rFonts w:asciiTheme="minorHAnsi" w:eastAsia="Times New Roman" w:hAnsiTheme="minorHAnsi" w:cstheme="minorHAnsi"/>
                <w:color w:val="auto"/>
                <w:sz w:val="20"/>
                <w:szCs w:val="20"/>
              </w:rPr>
              <w:lastRenderedPageBreak/>
              <w:t xml:space="preserve">œuvre de la théorie du changement en vue d’un cercle vertueux de développement durables.     </w:t>
            </w:r>
          </w:p>
        </w:tc>
        <w:tc>
          <w:tcPr>
            <w:tcW w:w="1992" w:type="dxa"/>
          </w:tcPr>
          <w:p w14:paraId="11B59FF5" w14:textId="0DF040B4" w:rsidR="006716B2" w:rsidRPr="00EE752F" w:rsidRDefault="006716B2" w:rsidP="006716B2">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lastRenderedPageBreak/>
              <w:t>2018 – 2022</w:t>
            </w:r>
          </w:p>
        </w:tc>
        <w:tc>
          <w:tcPr>
            <w:tcW w:w="1890" w:type="dxa"/>
          </w:tcPr>
          <w:p w14:paraId="7FC62A1B" w14:textId="745DB4F8" w:rsidR="006716B2" w:rsidRPr="00EE752F" w:rsidRDefault="006716B2" w:rsidP="006716B2">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MSU</w:t>
            </w:r>
          </w:p>
        </w:tc>
        <w:tc>
          <w:tcPr>
            <w:tcW w:w="3100" w:type="dxa"/>
          </w:tcPr>
          <w:p w14:paraId="704A3F2C" w14:textId="60661A37" w:rsidR="006716B2" w:rsidRPr="00EE752F" w:rsidRDefault="006716B2" w:rsidP="006716B2">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La mise en place et la contribution d’outils d’aide à la décision stratégiques tels CRD, UNINFO a vocation </w:t>
            </w:r>
            <w:proofErr w:type="spellStart"/>
            <w:proofErr w:type="gramStart"/>
            <w:r w:rsidRPr="00EE752F">
              <w:rPr>
                <w:rFonts w:asciiTheme="minorHAnsi" w:hAnsiTheme="minorHAnsi" w:cstheme="minorHAnsi"/>
                <w:sz w:val="20"/>
                <w:szCs w:val="20"/>
                <w:lang w:val="fr-FR"/>
              </w:rPr>
              <w:t>a</w:t>
            </w:r>
            <w:proofErr w:type="spellEnd"/>
            <w:proofErr w:type="gramEnd"/>
            <w:r w:rsidRPr="00EE752F">
              <w:rPr>
                <w:rFonts w:asciiTheme="minorHAnsi" w:hAnsiTheme="minorHAnsi" w:cstheme="minorHAnsi"/>
                <w:sz w:val="20"/>
                <w:szCs w:val="20"/>
                <w:lang w:val="fr-FR"/>
              </w:rPr>
              <w:t xml:space="preserve"> renforcer le partage et la systématisation des expériences </w:t>
            </w:r>
          </w:p>
        </w:tc>
        <w:tc>
          <w:tcPr>
            <w:tcW w:w="1400" w:type="dxa"/>
          </w:tcPr>
          <w:p w14:paraId="6B667471" w14:textId="7A4C5CCB" w:rsidR="006716B2" w:rsidRPr="00EE752F" w:rsidRDefault="006716B2" w:rsidP="006716B2">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En cours</w:t>
            </w:r>
          </w:p>
        </w:tc>
      </w:tr>
    </w:tbl>
    <w:p w14:paraId="4A9A60E2" w14:textId="77777777" w:rsidR="00700CB8" w:rsidRPr="00EE752F" w:rsidRDefault="00700CB8" w:rsidP="004B66B9">
      <w:pPr>
        <w:tabs>
          <w:tab w:val="left" w:pos="1080"/>
        </w:tabs>
        <w:rPr>
          <w:rFonts w:asciiTheme="minorHAnsi" w:hAnsiTheme="minorHAnsi" w:cstheme="minorHAnsi"/>
          <w:sz w:val="20"/>
          <w:szCs w:val="20"/>
          <w:lang w:val="fr-FR"/>
        </w:rPr>
      </w:pPr>
    </w:p>
    <w:tbl>
      <w:tblPr>
        <w:tblW w:w="133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1821"/>
        <w:gridCol w:w="1980"/>
        <w:gridCol w:w="2981"/>
        <w:gridCol w:w="1429"/>
      </w:tblGrid>
      <w:tr w:rsidR="00700CB8" w:rsidRPr="00EE752F" w14:paraId="1948A91E" w14:textId="77777777" w:rsidTr="00204F69">
        <w:tc>
          <w:tcPr>
            <w:tcW w:w="13320" w:type="dxa"/>
            <w:gridSpan w:val="5"/>
            <w:shd w:val="clear" w:color="auto" w:fill="F3F3F3"/>
          </w:tcPr>
          <w:p w14:paraId="1F83AB20" w14:textId="7F8625B3" w:rsidR="00700CB8" w:rsidRPr="00EE752F" w:rsidRDefault="00BA0ABE" w:rsidP="0095705F">
            <w:pPr>
              <w:tabs>
                <w:tab w:val="left" w:pos="1080"/>
              </w:tabs>
              <w:rPr>
                <w:rFonts w:asciiTheme="minorHAnsi" w:hAnsiTheme="minorHAnsi" w:cstheme="minorHAnsi"/>
                <w:sz w:val="20"/>
                <w:szCs w:val="20"/>
              </w:rPr>
            </w:pPr>
            <w:r w:rsidRPr="00EE752F">
              <w:rPr>
                <w:rFonts w:ascii="Calibri" w:hAnsi="Calibri" w:cs="Calibri"/>
                <w:b/>
                <w:bCs/>
                <w:sz w:val="22"/>
                <w:szCs w:val="22"/>
                <w:lang w:eastAsia="ja-JP"/>
              </w:rPr>
              <w:t>Recommendation 5: UNDP should accelerate its efforts to strengthen the gender dimension of its programming and further support the structuration and capacities of women as agents of change which could bring a new dynamic in the consolidation of the social fabric and also the network of women's associations at the municipal level by bringing together all the potential public or private actors.</w:t>
            </w:r>
          </w:p>
        </w:tc>
      </w:tr>
      <w:tr w:rsidR="00700CB8" w:rsidRPr="00EE752F" w14:paraId="1666AF38" w14:textId="77777777" w:rsidTr="00204F69">
        <w:tc>
          <w:tcPr>
            <w:tcW w:w="13320" w:type="dxa"/>
            <w:gridSpan w:val="5"/>
            <w:shd w:val="clear" w:color="auto" w:fill="F3F3F3"/>
          </w:tcPr>
          <w:p w14:paraId="138CAA1C" w14:textId="3C3D7441" w:rsidR="00700CB8" w:rsidRPr="00EE752F" w:rsidRDefault="00504F72" w:rsidP="0095705F">
            <w:pPr>
              <w:tabs>
                <w:tab w:val="left" w:pos="1080"/>
              </w:tabs>
              <w:rPr>
                <w:rFonts w:asciiTheme="minorHAnsi" w:hAnsiTheme="minorHAnsi" w:cstheme="minorHAnsi"/>
                <w:b/>
                <w:sz w:val="20"/>
                <w:szCs w:val="20"/>
              </w:rPr>
            </w:pPr>
            <w:r w:rsidRPr="00F422FD">
              <w:rPr>
                <w:rFonts w:ascii="Calibri" w:hAnsi="Calibri" w:cs="Georgia"/>
                <w:b/>
                <w:bCs/>
                <w:sz w:val="22"/>
                <w:szCs w:val="22"/>
                <w:u w:val="single"/>
                <w:lang w:eastAsia="ja-JP"/>
              </w:rPr>
              <w:t>Management response :</w:t>
            </w:r>
            <w:r w:rsidRPr="00B27153">
              <w:rPr>
                <w:rFonts w:ascii="Calibri" w:hAnsi="Calibri" w:cs="Georgia"/>
                <w:b/>
                <w:bCs/>
                <w:color w:val="0070C0"/>
                <w:sz w:val="22"/>
                <w:szCs w:val="22"/>
                <w:lang w:eastAsia="ja-JP"/>
              </w:rPr>
              <w:t xml:space="preserve"> The country office </w:t>
            </w:r>
            <w:r w:rsidR="00AA0E4B">
              <w:rPr>
                <w:rFonts w:ascii="Calibri" w:hAnsi="Calibri" w:cs="Georgia"/>
                <w:b/>
                <w:bCs/>
                <w:color w:val="0070C0"/>
                <w:sz w:val="22"/>
                <w:szCs w:val="22"/>
                <w:lang w:eastAsia="ja-JP"/>
              </w:rPr>
              <w:t>fully</w:t>
            </w:r>
            <w:r w:rsidRPr="00B27153">
              <w:rPr>
                <w:rFonts w:ascii="Calibri" w:hAnsi="Calibri" w:cs="Georgia"/>
                <w:b/>
                <w:bCs/>
                <w:color w:val="0070C0"/>
                <w:sz w:val="22"/>
                <w:szCs w:val="22"/>
                <w:lang w:eastAsia="ja-JP"/>
              </w:rPr>
              <w:t xml:space="preserve"> accepts</w:t>
            </w:r>
            <w:r>
              <w:rPr>
                <w:rFonts w:ascii="Calibri" w:hAnsi="Calibri" w:cs="Georgia"/>
                <w:b/>
                <w:bCs/>
                <w:color w:val="0070C0"/>
                <w:sz w:val="22"/>
                <w:szCs w:val="22"/>
                <w:lang w:eastAsia="ja-JP"/>
              </w:rPr>
              <w:t xml:space="preserve"> </w:t>
            </w:r>
            <w:r w:rsidRPr="00B27153">
              <w:rPr>
                <w:rFonts w:ascii="Calibri" w:hAnsi="Calibri" w:cs="Georgia"/>
                <w:b/>
                <w:bCs/>
                <w:color w:val="0070C0"/>
                <w:sz w:val="22"/>
                <w:szCs w:val="22"/>
                <w:lang w:eastAsia="ja-JP"/>
              </w:rPr>
              <w:t>the recommendation</w:t>
            </w:r>
            <w:r w:rsidR="00B0047F">
              <w:rPr>
                <w:rFonts w:ascii="Calibri" w:hAnsi="Calibri" w:cs="Georgia"/>
                <w:b/>
                <w:bCs/>
                <w:color w:val="0070C0"/>
                <w:sz w:val="22"/>
                <w:szCs w:val="22"/>
                <w:lang w:eastAsia="ja-JP"/>
              </w:rPr>
              <w:t xml:space="preserve">. Gender has been increasingly and systematically </w:t>
            </w:r>
            <w:r w:rsidR="00063F5D">
              <w:rPr>
                <w:rFonts w:ascii="Calibri" w:hAnsi="Calibri" w:cs="Georgia"/>
                <w:b/>
                <w:bCs/>
                <w:color w:val="0070C0"/>
                <w:sz w:val="22"/>
                <w:szCs w:val="22"/>
                <w:lang w:eastAsia="ja-JP"/>
              </w:rPr>
              <w:t xml:space="preserve">integrated </w:t>
            </w:r>
            <w:r w:rsidR="00B0047F">
              <w:rPr>
                <w:rFonts w:ascii="Calibri" w:hAnsi="Calibri" w:cs="Georgia"/>
                <w:b/>
                <w:bCs/>
                <w:color w:val="0070C0"/>
                <w:sz w:val="22"/>
                <w:szCs w:val="22"/>
                <w:lang w:eastAsia="ja-JP"/>
              </w:rPr>
              <w:t xml:space="preserve">over the </w:t>
            </w:r>
            <w:r w:rsidR="00063F5D">
              <w:rPr>
                <w:rFonts w:ascii="Calibri" w:hAnsi="Calibri" w:cs="Georgia"/>
                <w:b/>
                <w:bCs/>
                <w:color w:val="0070C0"/>
                <w:sz w:val="22"/>
                <w:szCs w:val="22"/>
                <w:lang w:eastAsia="ja-JP"/>
              </w:rPr>
              <w:t xml:space="preserve">last two years in </w:t>
            </w:r>
            <w:r>
              <w:rPr>
                <w:rFonts w:ascii="Calibri" w:hAnsi="Calibri" w:cs="Georgia"/>
                <w:b/>
                <w:bCs/>
                <w:color w:val="0070C0"/>
                <w:sz w:val="22"/>
                <w:szCs w:val="22"/>
                <w:lang w:eastAsia="ja-JP"/>
              </w:rPr>
              <w:t xml:space="preserve">all new projects and </w:t>
            </w:r>
            <w:r w:rsidR="00B0047F">
              <w:rPr>
                <w:rFonts w:ascii="Calibri" w:hAnsi="Calibri" w:cs="Georgia"/>
                <w:b/>
                <w:bCs/>
                <w:color w:val="0070C0"/>
                <w:sz w:val="22"/>
                <w:szCs w:val="22"/>
                <w:lang w:eastAsia="ja-JP"/>
              </w:rPr>
              <w:t xml:space="preserve">the </w:t>
            </w:r>
            <w:proofErr w:type="spellStart"/>
            <w:r w:rsidR="00B0047F">
              <w:rPr>
                <w:rFonts w:ascii="Calibri" w:hAnsi="Calibri" w:cs="Georgia"/>
                <w:b/>
                <w:bCs/>
                <w:color w:val="0070C0"/>
                <w:sz w:val="22"/>
                <w:szCs w:val="22"/>
                <w:lang w:eastAsia="ja-JP"/>
              </w:rPr>
              <w:t>programme</w:t>
            </w:r>
            <w:proofErr w:type="spellEnd"/>
            <w:r w:rsidR="00B0047F">
              <w:rPr>
                <w:rFonts w:ascii="Calibri" w:hAnsi="Calibri" w:cs="Georgia"/>
                <w:b/>
                <w:bCs/>
                <w:color w:val="0070C0"/>
                <w:sz w:val="22"/>
                <w:szCs w:val="22"/>
                <w:lang w:eastAsia="ja-JP"/>
              </w:rPr>
              <w:t xml:space="preserve"> </w:t>
            </w:r>
            <w:r>
              <w:rPr>
                <w:rFonts w:ascii="Calibri" w:hAnsi="Calibri" w:cs="Georgia"/>
                <w:b/>
                <w:bCs/>
                <w:color w:val="0070C0"/>
                <w:sz w:val="22"/>
                <w:szCs w:val="22"/>
                <w:lang w:eastAsia="ja-JP"/>
              </w:rPr>
              <w:t xml:space="preserve">with the support of </w:t>
            </w:r>
            <w:r w:rsidR="00F422FD">
              <w:rPr>
                <w:rFonts w:ascii="Calibri" w:hAnsi="Calibri" w:cs="Georgia"/>
                <w:b/>
                <w:bCs/>
                <w:color w:val="0070C0"/>
                <w:sz w:val="22"/>
                <w:szCs w:val="22"/>
                <w:lang w:eastAsia="ja-JP"/>
              </w:rPr>
              <w:t xml:space="preserve">a </w:t>
            </w:r>
            <w:r>
              <w:rPr>
                <w:rFonts w:ascii="Calibri" w:hAnsi="Calibri" w:cs="Georgia"/>
                <w:b/>
                <w:bCs/>
                <w:color w:val="0070C0"/>
                <w:sz w:val="22"/>
                <w:szCs w:val="22"/>
                <w:lang w:eastAsia="ja-JP"/>
              </w:rPr>
              <w:t xml:space="preserve">dedicated staff. </w:t>
            </w:r>
            <w:r w:rsidR="00F422FD">
              <w:rPr>
                <w:rFonts w:ascii="Calibri" w:hAnsi="Calibri" w:cs="Georgia"/>
                <w:b/>
                <w:bCs/>
                <w:color w:val="0070C0"/>
                <w:sz w:val="22"/>
                <w:szCs w:val="22"/>
                <w:lang w:eastAsia="ja-JP"/>
              </w:rPr>
              <w:t xml:space="preserve"> </w:t>
            </w:r>
          </w:p>
        </w:tc>
      </w:tr>
      <w:tr w:rsidR="00700CB8" w:rsidRPr="00EE752F" w14:paraId="033C4B05" w14:textId="77777777" w:rsidTr="008A35DD">
        <w:trPr>
          <w:trHeight w:val="135"/>
        </w:trPr>
        <w:tc>
          <w:tcPr>
            <w:tcW w:w="5109" w:type="dxa"/>
            <w:vMerge w:val="restart"/>
            <w:shd w:val="clear" w:color="auto" w:fill="F3F3F3"/>
          </w:tcPr>
          <w:p w14:paraId="7C5CAFE9"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Key action(s)</w:t>
            </w:r>
          </w:p>
        </w:tc>
        <w:tc>
          <w:tcPr>
            <w:tcW w:w="1821" w:type="dxa"/>
            <w:vMerge w:val="restart"/>
            <w:shd w:val="clear" w:color="auto" w:fill="F3F3F3"/>
          </w:tcPr>
          <w:p w14:paraId="0AD5832C"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Time frame</w:t>
            </w:r>
          </w:p>
        </w:tc>
        <w:tc>
          <w:tcPr>
            <w:tcW w:w="1980" w:type="dxa"/>
            <w:vMerge w:val="restart"/>
            <w:shd w:val="clear" w:color="auto" w:fill="F3F3F3"/>
          </w:tcPr>
          <w:p w14:paraId="3C15D679"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Responsible unit(s)</w:t>
            </w:r>
          </w:p>
        </w:tc>
        <w:tc>
          <w:tcPr>
            <w:tcW w:w="4410" w:type="dxa"/>
            <w:gridSpan w:val="2"/>
            <w:shd w:val="clear" w:color="auto" w:fill="F3F3F3"/>
          </w:tcPr>
          <w:p w14:paraId="2CD1AF3C"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Tracking</w:t>
            </w:r>
          </w:p>
        </w:tc>
      </w:tr>
      <w:tr w:rsidR="00700CB8" w:rsidRPr="00EE752F" w14:paraId="5CA2B91F" w14:textId="77777777" w:rsidTr="008A35DD">
        <w:trPr>
          <w:trHeight w:val="135"/>
        </w:trPr>
        <w:tc>
          <w:tcPr>
            <w:tcW w:w="5109" w:type="dxa"/>
            <w:vMerge/>
            <w:shd w:val="clear" w:color="auto" w:fill="F3F3F3"/>
          </w:tcPr>
          <w:p w14:paraId="3B16B776" w14:textId="77777777" w:rsidR="00700CB8" w:rsidRPr="00EE752F" w:rsidRDefault="00700CB8" w:rsidP="0095705F">
            <w:pPr>
              <w:tabs>
                <w:tab w:val="left" w:pos="1080"/>
              </w:tabs>
              <w:rPr>
                <w:rFonts w:asciiTheme="minorHAnsi" w:hAnsiTheme="minorHAnsi" w:cstheme="minorHAnsi"/>
                <w:sz w:val="20"/>
                <w:szCs w:val="20"/>
              </w:rPr>
            </w:pPr>
          </w:p>
        </w:tc>
        <w:tc>
          <w:tcPr>
            <w:tcW w:w="1821" w:type="dxa"/>
            <w:vMerge/>
            <w:shd w:val="clear" w:color="auto" w:fill="F3F3F3"/>
          </w:tcPr>
          <w:p w14:paraId="71890FFE" w14:textId="77777777" w:rsidR="00700CB8" w:rsidRPr="00EE752F" w:rsidRDefault="00700CB8" w:rsidP="0095705F">
            <w:pPr>
              <w:tabs>
                <w:tab w:val="left" w:pos="1080"/>
              </w:tabs>
              <w:rPr>
                <w:rFonts w:asciiTheme="minorHAnsi" w:hAnsiTheme="minorHAnsi" w:cstheme="minorHAnsi"/>
                <w:b/>
                <w:sz w:val="20"/>
                <w:szCs w:val="20"/>
              </w:rPr>
            </w:pPr>
          </w:p>
        </w:tc>
        <w:tc>
          <w:tcPr>
            <w:tcW w:w="1980" w:type="dxa"/>
            <w:vMerge/>
            <w:shd w:val="clear" w:color="auto" w:fill="F3F3F3"/>
          </w:tcPr>
          <w:p w14:paraId="32378A38" w14:textId="77777777" w:rsidR="00700CB8" w:rsidRPr="00EE752F" w:rsidRDefault="00700CB8" w:rsidP="0095705F">
            <w:pPr>
              <w:tabs>
                <w:tab w:val="left" w:pos="1080"/>
              </w:tabs>
              <w:rPr>
                <w:rFonts w:asciiTheme="minorHAnsi" w:hAnsiTheme="minorHAnsi" w:cstheme="minorHAnsi"/>
                <w:b/>
                <w:sz w:val="20"/>
                <w:szCs w:val="20"/>
              </w:rPr>
            </w:pPr>
          </w:p>
        </w:tc>
        <w:tc>
          <w:tcPr>
            <w:tcW w:w="2981" w:type="dxa"/>
          </w:tcPr>
          <w:p w14:paraId="17BE656E"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Comments</w:t>
            </w:r>
          </w:p>
        </w:tc>
        <w:tc>
          <w:tcPr>
            <w:tcW w:w="1429" w:type="dxa"/>
          </w:tcPr>
          <w:p w14:paraId="7E45F3B1" w14:textId="77777777" w:rsidR="00700CB8" w:rsidRPr="00EE752F" w:rsidRDefault="00700CB8" w:rsidP="0095705F">
            <w:pPr>
              <w:tabs>
                <w:tab w:val="left" w:pos="1080"/>
              </w:tabs>
              <w:jc w:val="center"/>
              <w:rPr>
                <w:rFonts w:asciiTheme="minorHAnsi" w:hAnsiTheme="minorHAnsi" w:cstheme="minorHAnsi"/>
                <w:b/>
                <w:sz w:val="20"/>
                <w:szCs w:val="20"/>
              </w:rPr>
            </w:pPr>
            <w:r w:rsidRPr="00EE752F">
              <w:rPr>
                <w:rFonts w:asciiTheme="minorHAnsi" w:hAnsiTheme="minorHAnsi" w:cstheme="minorHAnsi"/>
                <w:b/>
                <w:sz w:val="20"/>
                <w:szCs w:val="20"/>
              </w:rPr>
              <w:t>Status</w:t>
            </w:r>
          </w:p>
        </w:tc>
      </w:tr>
      <w:tr w:rsidR="00700CB8" w:rsidRPr="00882FD0" w14:paraId="7F576CA0" w14:textId="77777777" w:rsidTr="008A35DD">
        <w:tc>
          <w:tcPr>
            <w:tcW w:w="5109" w:type="dxa"/>
          </w:tcPr>
          <w:p w14:paraId="5221A52C" w14:textId="77777777" w:rsidR="000E0F97" w:rsidRPr="00EE752F" w:rsidRDefault="00700CB8" w:rsidP="000E0F97">
            <w:pPr>
              <w:pStyle w:val="Default"/>
              <w:jc w:val="both"/>
              <w:rPr>
                <w:rFonts w:asciiTheme="minorHAnsi" w:eastAsia="Times New Roman" w:hAnsiTheme="minorHAnsi" w:cstheme="minorHAnsi"/>
                <w:color w:val="auto"/>
                <w:sz w:val="20"/>
                <w:szCs w:val="20"/>
              </w:rPr>
            </w:pPr>
            <w:r w:rsidRPr="00EE752F">
              <w:rPr>
                <w:rFonts w:asciiTheme="minorHAnsi" w:eastAsia="Times New Roman" w:hAnsiTheme="minorHAnsi" w:cstheme="minorHAnsi"/>
                <w:color w:val="auto"/>
                <w:sz w:val="20"/>
                <w:szCs w:val="20"/>
              </w:rPr>
              <w:t xml:space="preserve">5.1 </w:t>
            </w:r>
            <w:r w:rsidR="000E0F97" w:rsidRPr="00EE752F">
              <w:rPr>
                <w:rFonts w:asciiTheme="minorHAnsi" w:eastAsia="Times New Roman" w:hAnsiTheme="minorHAnsi" w:cstheme="minorHAnsi"/>
                <w:color w:val="auto"/>
                <w:sz w:val="20"/>
                <w:szCs w:val="20"/>
                <w:u w:val="single"/>
              </w:rPr>
              <w:t>Plaidoyer en</w:t>
            </w:r>
            <w:r w:rsidR="008B67CB" w:rsidRPr="00EE752F">
              <w:rPr>
                <w:rFonts w:asciiTheme="minorHAnsi" w:eastAsia="Times New Roman" w:hAnsiTheme="minorHAnsi" w:cstheme="minorHAnsi"/>
                <w:color w:val="auto"/>
                <w:sz w:val="20"/>
                <w:szCs w:val="20"/>
                <w:u w:val="single"/>
              </w:rPr>
              <w:t xml:space="preserve"> faveur de la participation des femmes</w:t>
            </w:r>
            <w:r w:rsidR="008B67CB" w:rsidRPr="00EE752F">
              <w:rPr>
                <w:rFonts w:asciiTheme="minorHAnsi" w:eastAsia="Times New Roman" w:hAnsiTheme="minorHAnsi" w:cstheme="minorHAnsi"/>
                <w:color w:val="auto"/>
                <w:sz w:val="20"/>
                <w:szCs w:val="20"/>
              </w:rPr>
              <w:t xml:space="preserve"> à la gouvernance et aux mécanismes de consolidation de la paix, de la cohésion sociale et de la protection des droits des femmes</w:t>
            </w:r>
            <w:r w:rsidR="000E0F97" w:rsidRPr="00EE752F">
              <w:rPr>
                <w:rFonts w:asciiTheme="minorHAnsi" w:eastAsia="Times New Roman" w:hAnsiTheme="minorHAnsi" w:cstheme="minorHAnsi"/>
                <w:color w:val="auto"/>
                <w:sz w:val="20"/>
                <w:szCs w:val="20"/>
              </w:rPr>
              <w:t xml:space="preserve">, </w:t>
            </w:r>
            <w:r w:rsidR="008B67CB" w:rsidRPr="00EE752F">
              <w:rPr>
                <w:rFonts w:asciiTheme="minorHAnsi" w:eastAsia="Times New Roman" w:hAnsiTheme="minorHAnsi" w:cstheme="minorHAnsi"/>
                <w:color w:val="auto"/>
                <w:sz w:val="20"/>
                <w:szCs w:val="20"/>
              </w:rPr>
              <w:t>l’</w:t>
            </w:r>
            <w:r w:rsidR="000E0F97" w:rsidRPr="00EE752F">
              <w:rPr>
                <w:rFonts w:asciiTheme="minorHAnsi" w:eastAsia="Times New Roman" w:hAnsiTheme="minorHAnsi" w:cstheme="minorHAnsi"/>
                <w:color w:val="auto"/>
                <w:sz w:val="20"/>
                <w:szCs w:val="20"/>
              </w:rPr>
              <w:t xml:space="preserve">inclusion </w:t>
            </w:r>
            <w:r w:rsidR="008B67CB" w:rsidRPr="00EE752F">
              <w:rPr>
                <w:rFonts w:asciiTheme="minorHAnsi" w:eastAsia="Times New Roman" w:hAnsiTheme="minorHAnsi" w:cstheme="minorHAnsi"/>
                <w:color w:val="auto"/>
                <w:sz w:val="20"/>
                <w:szCs w:val="20"/>
              </w:rPr>
              <w:t xml:space="preserve">économique des femmes. </w:t>
            </w:r>
          </w:p>
          <w:p w14:paraId="460F5E5A" w14:textId="77777777" w:rsidR="000E0F97" w:rsidRPr="00EE752F" w:rsidRDefault="000E0F97" w:rsidP="000E0F97">
            <w:pPr>
              <w:pStyle w:val="Default"/>
              <w:jc w:val="both"/>
              <w:rPr>
                <w:rFonts w:asciiTheme="minorHAnsi" w:eastAsia="Times New Roman" w:hAnsiTheme="minorHAnsi" w:cstheme="minorHAnsi"/>
                <w:color w:val="auto"/>
                <w:sz w:val="20"/>
                <w:szCs w:val="20"/>
              </w:rPr>
            </w:pPr>
          </w:p>
          <w:p w14:paraId="69A4C2C9" w14:textId="77204EA9" w:rsidR="00700CB8" w:rsidRPr="00EE752F" w:rsidRDefault="005C691F" w:rsidP="00EE752F">
            <w:pPr>
              <w:pStyle w:val="Default"/>
              <w:jc w:val="both"/>
              <w:rPr>
                <w:rFonts w:asciiTheme="minorHAnsi" w:eastAsia="Times New Roman" w:hAnsiTheme="minorHAnsi" w:cstheme="minorHAnsi"/>
                <w:color w:val="auto"/>
                <w:sz w:val="20"/>
                <w:szCs w:val="20"/>
              </w:rPr>
            </w:pPr>
            <w:r w:rsidRPr="00EE752F">
              <w:rPr>
                <w:rFonts w:asciiTheme="minorHAnsi" w:eastAsia="Times New Roman" w:hAnsiTheme="minorHAnsi" w:cstheme="minorHAnsi"/>
                <w:color w:val="auto"/>
                <w:sz w:val="20"/>
                <w:szCs w:val="20"/>
              </w:rPr>
              <w:t xml:space="preserve">Consolidation du diagnostic participatif des enjeux clés pour l'égalité des sexes et l'autonomisation des femmes en lien avec </w:t>
            </w:r>
            <w:r w:rsidR="008B67CB" w:rsidRPr="00EE752F">
              <w:rPr>
                <w:rFonts w:asciiTheme="minorHAnsi" w:eastAsia="Times New Roman" w:hAnsiTheme="minorHAnsi" w:cstheme="minorHAnsi"/>
                <w:color w:val="auto"/>
                <w:sz w:val="20"/>
                <w:szCs w:val="20"/>
              </w:rPr>
              <w:t>la résilience</w:t>
            </w:r>
            <w:r w:rsidRPr="00EE752F">
              <w:rPr>
                <w:rFonts w:asciiTheme="minorHAnsi" w:eastAsia="Times New Roman" w:hAnsiTheme="minorHAnsi" w:cstheme="minorHAnsi"/>
                <w:color w:val="auto"/>
                <w:sz w:val="20"/>
                <w:szCs w:val="20"/>
              </w:rPr>
              <w:t xml:space="preserve"> en vue d’</w:t>
            </w:r>
            <w:r w:rsidR="008B67CB" w:rsidRPr="00EE752F">
              <w:rPr>
                <w:rFonts w:asciiTheme="minorHAnsi" w:eastAsia="Times New Roman" w:hAnsiTheme="minorHAnsi" w:cstheme="minorHAnsi"/>
                <w:color w:val="auto"/>
                <w:sz w:val="20"/>
                <w:szCs w:val="20"/>
              </w:rPr>
              <w:t xml:space="preserve">éclairer les choix des stratégies de réduction des risques de catastrophes et de l’adaptation au changement climatique pour ce groupe vulnérable. </w:t>
            </w:r>
          </w:p>
        </w:tc>
        <w:tc>
          <w:tcPr>
            <w:tcW w:w="1821" w:type="dxa"/>
          </w:tcPr>
          <w:p w14:paraId="70D181C4" w14:textId="114AB44A" w:rsidR="00700CB8" w:rsidRPr="00EE752F" w:rsidRDefault="00204F69"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2019 – 2022 </w:t>
            </w:r>
          </w:p>
        </w:tc>
        <w:tc>
          <w:tcPr>
            <w:tcW w:w="1980" w:type="dxa"/>
          </w:tcPr>
          <w:p w14:paraId="306C39DC" w14:textId="1C4FB4A5" w:rsidR="00700CB8" w:rsidRPr="00EE752F" w:rsidRDefault="005C691F"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Gouvernance </w:t>
            </w:r>
          </w:p>
        </w:tc>
        <w:tc>
          <w:tcPr>
            <w:tcW w:w="2981" w:type="dxa"/>
          </w:tcPr>
          <w:p w14:paraId="42F477ED" w14:textId="285D92BB" w:rsidR="00700CB8" w:rsidRPr="00EE752F" w:rsidRDefault="00882FD0" w:rsidP="00882FD0">
            <w:pPr>
              <w:tabs>
                <w:tab w:val="left" w:pos="1080"/>
              </w:tabs>
              <w:jc w:val="both"/>
              <w:rPr>
                <w:rFonts w:asciiTheme="minorHAnsi" w:hAnsiTheme="minorHAnsi" w:cstheme="minorHAnsi"/>
                <w:sz w:val="20"/>
                <w:szCs w:val="20"/>
                <w:lang w:val="fr-FR"/>
              </w:rPr>
            </w:pPr>
            <w:r w:rsidRPr="00EE752F">
              <w:rPr>
                <w:rFonts w:asciiTheme="minorHAnsi" w:hAnsiTheme="minorHAnsi" w:cstheme="minorHAnsi"/>
                <w:sz w:val="20"/>
                <w:szCs w:val="20"/>
                <w:lang w:val="fr-FR"/>
              </w:rPr>
              <w:t xml:space="preserve">Portefeuille </w:t>
            </w:r>
            <w:proofErr w:type="spellStart"/>
            <w:r w:rsidR="00573F82" w:rsidRPr="00EE752F">
              <w:rPr>
                <w:rFonts w:asciiTheme="minorHAnsi" w:hAnsiTheme="minorHAnsi" w:cstheme="minorHAnsi"/>
                <w:sz w:val="20"/>
                <w:szCs w:val="20"/>
                <w:lang w:val="fr-FR"/>
              </w:rPr>
              <w:t>gender-oriented</w:t>
            </w:r>
            <w:proofErr w:type="spellEnd"/>
            <w:r w:rsidR="00573F82" w:rsidRPr="00EE752F">
              <w:rPr>
                <w:rFonts w:asciiTheme="minorHAnsi" w:hAnsiTheme="minorHAnsi" w:cstheme="minorHAnsi"/>
                <w:sz w:val="20"/>
                <w:szCs w:val="20"/>
                <w:lang w:val="fr-FR"/>
              </w:rPr>
              <w:t xml:space="preserve"> qui fait de la participation des femmes un des leviers du développement </w:t>
            </w:r>
            <w:r w:rsidR="00AE5959" w:rsidRPr="00EE752F">
              <w:rPr>
                <w:rFonts w:asciiTheme="minorHAnsi" w:hAnsiTheme="minorHAnsi" w:cstheme="minorHAnsi"/>
                <w:sz w:val="20"/>
                <w:szCs w:val="20"/>
                <w:lang w:val="fr-FR"/>
              </w:rPr>
              <w:t>à</w:t>
            </w:r>
            <w:r w:rsidR="00573F82" w:rsidRPr="00EE752F">
              <w:rPr>
                <w:rFonts w:asciiTheme="minorHAnsi" w:hAnsiTheme="minorHAnsi" w:cstheme="minorHAnsi"/>
                <w:sz w:val="20"/>
                <w:szCs w:val="20"/>
                <w:lang w:val="fr-FR"/>
              </w:rPr>
              <w:t xml:space="preserve"> travers  </w:t>
            </w:r>
            <w:r w:rsidRPr="00EE752F">
              <w:rPr>
                <w:rFonts w:asciiTheme="minorHAnsi" w:hAnsiTheme="minorHAnsi" w:cstheme="minorHAnsi"/>
                <w:sz w:val="20"/>
                <w:szCs w:val="20"/>
                <w:lang w:val="fr-FR"/>
              </w:rPr>
              <w:t xml:space="preserve"> une batterie d’approches, de stratégies et d’actions pour </w:t>
            </w:r>
            <w:r w:rsidR="00573F82" w:rsidRPr="00EE752F">
              <w:rPr>
                <w:rFonts w:asciiTheme="minorHAnsi" w:hAnsiTheme="minorHAnsi" w:cstheme="minorHAnsi"/>
                <w:sz w:val="20"/>
                <w:szCs w:val="20"/>
                <w:lang w:val="fr-FR"/>
              </w:rPr>
              <w:t xml:space="preserve">favoriser </w:t>
            </w:r>
            <w:r w:rsidR="000523CD" w:rsidRPr="00EE752F">
              <w:rPr>
                <w:rFonts w:asciiTheme="minorHAnsi" w:hAnsiTheme="minorHAnsi" w:cstheme="minorHAnsi"/>
                <w:sz w:val="20"/>
                <w:szCs w:val="20"/>
                <w:lang w:val="fr-FR"/>
              </w:rPr>
              <w:t>leur inclusion</w:t>
            </w:r>
            <w:r w:rsidR="00573F82" w:rsidRPr="00EE752F">
              <w:rPr>
                <w:rFonts w:asciiTheme="minorHAnsi" w:hAnsiTheme="minorHAnsi" w:cstheme="minorHAnsi"/>
                <w:sz w:val="20"/>
                <w:szCs w:val="20"/>
                <w:lang w:val="fr-FR"/>
              </w:rPr>
              <w:t xml:space="preserve"> effective dans les actions de développement </w:t>
            </w:r>
          </w:p>
        </w:tc>
        <w:tc>
          <w:tcPr>
            <w:tcW w:w="1429" w:type="dxa"/>
          </w:tcPr>
          <w:p w14:paraId="37A9921E" w14:textId="76828DF8" w:rsidR="00700CB8" w:rsidRPr="00EE752F" w:rsidRDefault="00BB5DB4" w:rsidP="0095705F">
            <w:pPr>
              <w:tabs>
                <w:tab w:val="left" w:pos="1080"/>
              </w:tabs>
              <w:rPr>
                <w:rFonts w:asciiTheme="minorHAnsi" w:hAnsiTheme="minorHAnsi" w:cstheme="minorHAnsi"/>
                <w:sz w:val="20"/>
                <w:szCs w:val="20"/>
                <w:lang w:val="fr-FR"/>
              </w:rPr>
            </w:pPr>
            <w:r w:rsidRPr="00EE752F">
              <w:rPr>
                <w:rFonts w:asciiTheme="minorHAnsi" w:hAnsiTheme="minorHAnsi" w:cstheme="minorHAnsi"/>
                <w:sz w:val="20"/>
                <w:szCs w:val="20"/>
                <w:lang w:val="fr-FR"/>
              </w:rPr>
              <w:t>En cours</w:t>
            </w:r>
          </w:p>
        </w:tc>
      </w:tr>
    </w:tbl>
    <w:p w14:paraId="7C68B68A" w14:textId="77777777" w:rsidR="00700CB8" w:rsidRPr="000E0F97" w:rsidRDefault="00700CB8" w:rsidP="004B66B9">
      <w:pPr>
        <w:tabs>
          <w:tab w:val="left" w:pos="1080"/>
        </w:tabs>
        <w:rPr>
          <w:rFonts w:asciiTheme="minorHAnsi" w:hAnsiTheme="minorHAnsi" w:cstheme="minorHAnsi"/>
          <w:sz w:val="20"/>
          <w:szCs w:val="20"/>
          <w:lang w:val="fr-FR"/>
        </w:rPr>
      </w:pPr>
    </w:p>
    <w:p w14:paraId="582FBC73" w14:textId="77777777" w:rsidR="00700CB8" w:rsidRPr="000E0F97" w:rsidRDefault="00700CB8" w:rsidP="004B66B9">
      <w:pPr>
        <w:tabs>
          <w:tab w:val="left" w:pos="1080"/>
        </w:tabs>
        <w:rPr>
          <w:rFonts w:asciiTheme="minorHAnsi" w:hAnsiTheme="minorHAnsi" w:cstheme="minorHAnsi"/>
          <w:sz w:val="20"/>
          <w:szCs w:val="20"/>
          <w:lang w:val="fr-FR"/>
        </w:rPr>
      </w:pPr>
    </w:p>
    <w:p w14:paraId="3A5D6C68" w14:textId="77777777" w:rsidR="004B66B9" w:rsidRPr="000E0F97" w:rsidRDefault="004B66B9" w:rsidP="004B66B9">
      <w:pPr>
        <w:tabs>
          <w:tab w:val="left" w:pos="1080"/>
        </w:tabs>
        <w:rPr>
          <w:rFonts w:asciiTheme="minorHAnsi" w:hAnsiTheme="minorHAnsi" w:cstheme="minorHAnsi"/>
          <w:sz w:val="20"/>
          <w:szCs w:val="20"/>
          <w:lang w:val="fr-FR" w:eastAsia="ja-JP"/>
        </w:rPr>
      </w:pPr>
    </w:p>
    <w:p w14:paraId="2D14A973" w14:textId="77777777" w:rsidR="004B66B9" w:rsidRPr="00065CE6" w:rsidRDefault="004B66B9" w:rsidP="004B66B9">
      <w:pPr>
        <w:tabs>
          <w:tab w:val="left" w:pos="1080"/>
        </w:tabs>
        <w:rPr>
          <w:rFonts w:asciiTheme="minorHAnsi" w:hAnsiTheme="minorHAnsi" w:cstheme="minorHAnsi"/>
          <w:sz w:val="17"/>
          <w:szCs w:val="17"/>
        </w:rPr>
      </w:pPr>
      <w:r w:rsidRPr="00065CE6">
        <w:rPr>
          <w:rFonts w:asciiTheme="minorHAnsi" w:hAnsiTheme="minorHAnsi" w:cstheme="minorHAnsi"/>
          <w:sz w:val="17"/>
          <w:szCs w:val="17"/>
          <w:lang w:eastAsia="ja-JP"/>
        </w:rPr>
        <w:t xml:space="preserve">* </w:t>
      </w:r>
      <w:r w:rsidRPr="00065CE6">
        <w:rPr>
          <w:rFonts w:asciiTheme="minorHAnsi" w:hAnsiTheme="minorHAnsi" w:cstheme="minorHAnsi"/>
          <w:sz w:val="17"/>
          <w:szCs w:val="17"/>
        </w:rPr>
        <w:t>Status of implementation is tracked electronically in the Evaluation Resource Centre database (ERC).</w:t>
      </w:r>
    </w:p>
    <w:p w14:paraId="0CB56830" w14:textId="77777777" w:rsidR="0095705F" w:rsidRPr="00065CE6" w:rsidRDefault="0095705F">
      <w:pPr>
        <w:rPr>
          <w:rFonts w:asciiTheme="minorHAnsi" w:hAnsiTheme="minorHAnsi" w:cstheme="minorHAnsi"/>
        </w:rPr>
      </w:pPr>
    </w:p>
    <w:sectPr w:rsidR="0095705F" w:rsidRPr="00065CE6" w:rsidSect="004B66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9BE"/>
    <w:multiLevelType w:val="multilevel"/>
    <w:tmpl w:val="C5CEF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08575FF"/>
    <w:multiLevelType w:val="hybridMultilevel"/>
    <w:tmpl w:val="F07A124C"/>
    <w:lvl w:ilvl="0" w:tplc="405C59F4">
      <w:start w:val="1"/>
      <w:numFmt w:val="bullet"/>
      <w:lvlText w:val="•"/>
      <w:lvlJc w:val="left"/>
      <w:pPr>
        <w:tabs>
          <w:tab w:val="num" w:pos="720"/>
        </w:tabs>
        <w:ind w:left="720" w:hanging="360"/>
      </w:pPr>
      <w:rPr>
        <w:rFonts w:ascii="Arial" w:hAnsi="Arial" w:hint="default"/>
      </w:rPr>
    </w:lvl>
    <w:lvl w:ilvl="1" w:tplc="589CCE2A" w:tentative="1">
      <w:start w:val="1"/>
      <w:numFmt w:val="bullet"/>
      <w:lvlText w:val="•"/>
      <w:lvlJc w:val="left"/>
      <w:pPr>
        <w:tabs>
          <w:tab w:val="num" w:pos="1440"/>
        </w:tabs>
        <w:ind w:left="1440" w:hanging="360"/>
      </w:pPr>
      <w:rPr>
        <w:rFonts w:ascii="Arial" w:hAnsi="Arial" w:hint="default"/>
      </w:rPr>
    </w:lvl>
    <w:lvl w:ilvl="2" w:tplc="DA54638A" w:tentative="1">
      <w:start w:val="1"/>
      <w:numFmt w:val="bullet"/>
      <w:lvlText w:val="•"/>
      <w:lvlJc w:val="left"/>
      <w:pPr>
        <w:tabs>
          <w:tab w:val="num" w:pos="2160"/>
        </w:tabs>
        <w:ind w:left="2160" w:hanging="360"/>
      </w:pPr>
      <w:rPr>
        <w:rFonts w:ascii="Arial" w:hAnsi="Arial" w:hint="default"/>
      </w:rPr>
    </w:lvl>
    <w:lvl w:ilvl="3" w:tplc="3BAA77FA" w:tentative="1">
      <w:start w:val="1"/>
      <w:numFmt w:val="bullet"/>
      <w:lvlText w:val="•"/>
      <w:lvlJc w:val="left"/>
      <w:pPr>
        <w:tabs>
          <w:tab w:val="num" w:pos="2880"/>
        </w:tabs>
        <w:ind w:left="2880" w:hanging="360"/>
      </w:pPr>
      <w:rPr>
        <w:rFonts w:ascii="Arial" w:hAnsi="Arial" w:hint="default"/>
      </w:rPr>
    </w:lvl>
    <w:lvl w:ilvl="4" w:tplc="19A07A3E" w:tentative="1">
      <w:start w:val="1"/>
      <w:numFmt w:val="bullet"/>
      <w:lvlText w:val="•"/>
      <w:lvlJc w:val="left"/>
      <w:pPr>
        <w:tabs>
          <w:tab w:val="num" w:pos="3600"/>
        </w:tabs>
        <w:ind w:left="3600" w:hanging="360"/>
      </w:pPr>
      <w:rPr>
        <w:rFonts w:ascii="Arial" w:hAnsi="Arial" w:hint="default"/>
      </w:rPr>
    </w:lvl>
    <w:lvl w:ilvl="5" w:tplc="3D1A905E" w:tentative="1">
      <w:start w:val="1"/>
      <w:numFmt w:val="bullet"/>
      <w:lvlText w:val="•"/>
      <w:lvlJc w:val="left"/>
      <w:pPr>
        <w:tabs>
          <w:tab w:val="num" w:pos="4320"/>
        </w:tabs>
        <w:ind w:left="4320" w:hanging="360"/>
      </w:pPr>
      <w:rPr>
        <w:rFonts w:ascii="Arial" w:hAnsi="Arial" w:hint="default"/>
      </w:rPr>
    </w:lvl>
    <w:lvl w:ilvl="6" w:tplc="DAEC3C3E" w:tentative="1">
      <w:start w:val="1"/>
      <w:numFmt w:val="bullet"/>
      <w:lvlText w:val="•"/>
      <w:lvlJc w:val="left"/>
      <w:pPr>
        <w:tabs>
          <w:tab w:val="num" w:pos="5040"/>
        </w:tabs>
        <w:ind w:left="5040" w:hanging="360"/>
      </w:pPr>
      <w:rPr>
        <w:rFonts w:ascii="Arial" w:hAnsi="Arial" w:hint="default"/>
      </w:rPr>
    </w:lvl>
    <w:lvl w:ilvl="7" w:tplc="60F04E2E" w:tentative="1">
      <w:start w:val="1"/>
      <w:numFmt w:val="bullet"/>
      <w:lvlText w:val="•"/>
      <w:lvlJc w:val="left"/>
      <w:pPr>
        <w:tabs>
          <w:tab w:val="num" w:pos="5760"/>
        </w:tabs>
        <w:ind w:left="5760" w:hanging="360"/>
      </w:pPr>
      <w:rPr>
        <w:rFonts w:ascii="Arial" w:hAnsi="Arial" w:hint="default"/>
      </w:rPr>
    </w:lvl>
    <w:lvl w:ilvl="8" w:tplc="9C2CD1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1B7E52"/>
    <w:multiLevelType w:val="hybridMultilevel"/>
    <w:tmpl w:val="C3C2A6D6"/>
    <w:lvl w:ilvl="0" w:tplc="10C49FC8">
      <w:start w:val="1"/>
      <w:numFmt w:val="decimal"/>
      <w:lvlText w:val="%1."/>
      <w:lvlJc w:val="left"/>
      <w:pPr>
        <w:ind w:left="360" w:hanging="360"/>
      </w:pPr>
      <w:rPr>
        <w:rFonts w:asciiTheme="minorHAnsi" w:hAnsiTheme="minorHAnsi" w:cstheme="minorHAns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B1DDA"/>
    <w:multiLevelType w:val="hybridMultilevel"/>
    <w:tmpl w:val="5AF4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15F93"/>
    <w:multiLevelType w:val="hybridMultilevel"/>
    <w:tmpl w:val="B024E7DC"/>
    <w:lvl w:ilvl="0" w:tplc="C752223E">
      <w:start w:val="1"/>
      <w:numFmt w:val="bullet"/>
      <w:lvlText w:val="-"/>
      <w:lvlJc w:val="left"/>
      <w:pPr>
        <w:ind w:left="360" w:hanging="360"/>
      </w:pPr>
      <w:rPr>
        <w:rFonts w:ascii="Univers" w:hAnsi="Unive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B9"/>
    <w:rsid w:val="000523CD"/>
    <w:rsid w:val="00063F5D"/>
    <w:rsid w:val="00065CE6"/>
    <w:rsid w:val="0009714E"/>
    <w:rsid w:val="000E0F97"/>
    <w:rsid w:val="000E5376"/>
    <w:rsid w:val="00107859"/>
    <w:rsid w:val="00107E7E"/>
    <w:rsid w:val="00116DE6"/>
    <w:rsid w:val="00144BC2"/>
    <w:rsid w:val="00166D79"/>
    <w:rsid w:val="00181546"/>
    <w:rsid w:val="00193F83"/>
    <w:rsid w:val="001D4145"/>
    <w:rsid w:val="00204F69"/>
    <w:rsid w:val="00205D73"/>
    <w:rsid w:val="002732F9"/>
    <w:rsid w:val="002C0854"/>
    <w:rsid w:val="002F5F1D"/>
    <w:rsid w:val="00304A28"/>
    <w:rsid w:val="00312DF7"/>
    <w:rsid w:val="00330C45"/>
    <w:rsid w:val="003437EC"/>
    <w:rsid w:val="00347FD2"/>
    <w:rsid w:val="003C2883"/>
    <w:rsid w:val="003C6F8F"/>
    <w:rsid w:val="00401795"/>
    <w:rsid w:val="004350DF"/>
    <w:rsid w:val="004424F3"/>
    <w:rsid w:val="00462736"/>
    <w:rsid w:val="004B66B9"/>
    <w:rsid w:val="004F5FFB"/>
    <w:rsid w:val="00504F72"/>
    <w:rsid w:val="00510C13"/>
    <w:rsid w:val="00524698"/>
    <w:rsid w:val="00543D7D"/>
    <w:rsid w:val="0057237B"/>
    <w:rsid w:val="00573F82"/>
    <w:rsid w:val="005C691F"/>
    <w:rsid w:val="00640758"/>
    <w:rsid w:val="006419B5"/>
    <w:rsid w:val="006518EA"/>
    <w:rsid w:val="00653566"/>
    <w:rsid w:val="006716B2"/>
    <w:rsid w:val="00671B73"/>
    <w:rsid w:val="00686ECD"/>
    <w:rsid w:val="006915B9"/>
    <w:rsid w:val="006B160A"/>
    <w:rsid w:val="006B340D"/>
    <w:rsid w:val="006F03F6"/>
    <w:rsid w:val="00700CB8"/>
    <w:rsid w:val="00734234"/>
    <w:rsid w:val="00742DC1"/>
    <w:rsid w:val="00783ECE"/>
    <w:rsid w:val="007A035F"/>
    <w:rsid w:val="007C205F"/>
    <w:rsid w:val="00821AC1"/>
    <w:rsid w:val="0082657E"/>
    <w:rsid w:val="00826828"/>
    <w:rsid w:val="00857421"/>
    <w:rsid w:val="008618F3"/>
    <w:rsid w:val="00867EF2"/>
    <w:rsid w:val="00882FD0"/>
    <w:rsid w:val="008A35DD"/>
    <w:rsid w:val="008A5622"/>
    <w:rsid w:val="008B67CB"/>
    <w:rsid w:val="00931BA9"/>
    <w:rsid w:val="009501D2"/>
    <w:rsid w:val="00951367"/>
    <w:rsid w:val="0095705F"/>
    <w:rsid w:val="00957816"/>
    <w:rsid w:val="00981C53"/>
    <w:rsid w:val="009C7D0E"/>
    <w:rsid w:val="009F7C37"/>
    <w:rsid w:val="00A30D44"/>
    <w:rsid w:val="00A80095"/>
    <w:rsid w:val="00AA0E4B"/>
    <w:rsid w:val="00AB687D"/>
    <w:rsid w:val="00AE50B4"/>
    <w:rsid w:val="00AE5959"/>
    <w:rsid w:val="00B0047F"/>
    <w:rsid w:val="00B259FB"/>
    <w:rsid w:val="00B265FF"/>
    <w:rsid w:val="00B27153"/>
    <w:rsid w:val="00B5785D"/>
    <w:rsid w:val="00B840C5"/>
    <w:rsid w:val="00BA0ABE"/>
    <w:rsid w:val="00BA2B31"/>
    <w:rsid w:val="00BB5DB4"/>
    <w:rsid w:val="00C61CDB"/>
    <w:rsid w:val="00C8511D"/>
    <w:rsid w:val="00C877FB"/>
    <w:rsid w:val="00CD6C25"/>
    <w:rsid w:val="00D345EA"/>
    <w:rsid w:val="00D36F07"/>
    <w:rsid w:val="00D46CD8"/>
    <w:rsid w:val="00D56EC0"/>
    <w:rsid w:val="00D71F35"/>
    <w:rsid w:val="00D71FB0"/>
    <w:rsid w:val="00DE038D"/>
    <w:rsid w:val="00DE2750"/>
    <w:rsid w:val="00EA03C4"/>
    <w:rsid w:val="00EB0C43"/>
    <w:rsid w:val="00EC233F"/>
    <w:rsid w:val="00EE752F"/>
    <w:rsid w:val="00F306D2"/>
    <w:rsid w:val="00F422FD"/>
    <w:rsid w:val="00F42F50"/>
    <w:rsid w:val="00F61D65"/>
    <w:rsid w:val="00F67A4C"/>
    <w:rsid w:val="00F84A3B"/>
    <w:rsid w:val="00F94F10"/>
    <w:rsid w:val="00F95D44"/>
    <w:rsid w:val="00F97130"/>
    <w:rsid w:val="00FB61BE"/>
    <w:rsid w:val="00FC5DA3"/>
    <w:rsid w:val="00FC6DFD"/>
    <w:rsid w:val="00FF6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B7D3"/>
  <w15:chartTrackingRefBased/>
  <w15:docId w15:val="{38DB292F-C7E0-4312-9AA4-538F41B7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Normal"/>
    <w:next w:val="Normal"/>
    <w:rsid w:val="004B66B9"/>
    <w:pPr>
      <w:keepNext/>
      <w:keepLines/>
      <w:suppressAutoHyphens/>
      <w:spacing w:line="300" w:lineRule="exact"/>
      <w:outlineLvl w:val="0"/>
    </w:pPr>
    <w:rPr>
      <w:rFonts w:eastAsia="MS Mincho"/>
      <w:b/>
      <w:spacing w:val="-2"/>
      <w:w w:val="103"/>
      <w:kern w:val="14"/>
      <w:sz w:val="28"/>
      <w:szCs w:val="20"/>
      <w:lang w:val="en-GB"/>
    </w:rPr>
  </w:style>
  <w:style w:type="paragraph" w:customStyle="1" w:styleId="paragraph">
    <w:name w:val="paragraph"/>
    <w:basedOn w:val="Normal"/>
    <w:rsid w:val="00065CE6"/>
    <w:pPr>
      <w:spacing w:before="100" w:beforeAutospacing="1" w:after="100" w:afterAutospacing="1"/>
    </w:pPr>
    <w:rPr>
      <w:lang w:val="en-GB" w:eastAsia="en-GB"/>
    </w:rPr>
  </w:style>
  <w:style w:type="character" w:customStyle="1" w:styleId="normaltextrun">
    <w:name w:val="normaltextrun"/>
    <w:basedOn w:val="DefaultParagraphFont"/>
    <w:rsid w:val="00065CE6"/>
  </w:style>
  <w:style w:type="paragraph" w:customStyle="1" w:styleId="Default">
    <w:name w:val="Default"/>
    <w:rsid w:val="00C8511D"/>
    <w:pPr>
      <w:autoSpaceDE w:val="0"/>
      <w:autoSpaceDN w:val="0"/>
      <w:adjustRightInd w:val="0"/>
      <w:spacing w:after="0" w:line="240" w:lineRule="auto"/>
    </w:pPr>
    <w:rPr>
      <w:rFonts w:ascii="Calibri" w:hAnsi="Calibri" w:cs="Calibri"/>
      <w:color w:val="000000"/>
      <w:sz w:val="24"/>
      <w:szCs w:val="24"/>
      <w:lang w:val="fr-FR"/>
    </w:rPr>
  </w:style>
  <w:style w:type="paragraph" w:styleId="ListParagraph">
    <w:name w:val="List Paragraph"/>
    <w:basedOn w:val="Normal"/>
    <w:uiPriority w:val="34"/>
    <w:qFormat/>
    <w:rsid w:val="00C8511D"/>
    <w:pPr>
      <w:ind w:left="720"/>
      <w:contextualSpacing/>
    </w:pPr>
  </w:style>
  <w:style w:type="character" w:styleId="CommentReference">
    <w:name w:val="annotation reference"/>
    <w:basedOn w:val="DefaultParagraphFont"/>
    <w:uiPriority w:val="99"/>
    <w:semiHidden/>
    <w:unhideWhenUsed/>
    <w:rsid w:val="00653566"/>
    <w:rPr>
      <w:sz w:val="16"/>
      <w:szCs w:val="16"/>
    </w:rPr>
  </w:style>
  <w:style w:type="paragraph" w:styleId="CommentText">
    <w:name w:val="annotation text"/>
    <w:basedOn w:val="Normal"/>
    <w:link w:val="CommentTextChar"/>
    <w:uiPriority w:val="99"/>
    <w:semiHidden/>
    <w:unhideWhenUsed/>
    <w:rsid w:val="00653566"/>
    <w:rPr>
      <w:sz w:val="20"/>
      <w:szCs w:val="20"/>
    </w:rPr>
  </w:style>
  <w:style w:type="character" w:customStyle="1" w:styleId="CommentTextChar">
    <w:name w:val="Comment Text Char"/>
    <w:basedOn w:val="DefaultParagraphFont"/>
    <w:link w:val="CommentText"/>
    <w:uiPriority w:val="99"/>
    <w:semiHidden/>
    <w:rsid w:val="006535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566"/>
    <w:rPr>
      <w:b/>
      <w:bCs/>
    </w:rPr>
  </w:style>
  <w:style w:type="character" w:customStyle="1" w:styleId="CommentSubjectChar">
    <w:name w:val="Comment Subject Char"/>
    <w:basedOn w:val="CommentTextChar"/>
    <w:link w:val="CommentSubject"/>
    <w:uiPriority w:val="99"/>
    <w:semiHidden/>
    <w:rsid w:val="006535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3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66"/>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653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653566"/>
    <w:rPr>
      <w:rFonts w:ascii="Courier New"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19111">
      <w:bodyDiv w:val="1"/>
      <w:marLeft w:val="0"/>
      <w:marRight w:val="0"/>
      <w:marTop w:val="0"/>
      <w:marBottom w:val="0"/>
      <w:divBdr>
        <w:top w:val="none" w:sz="0" w:space="0" w:color="auto"/>
        <w:left w:val="none" w:sz="0" w:space="0" w:color="auto"/>
        <w:bottom w:val="none" w:sz="0" w:space="0" w:color="auto"/>
        <w:right w:val="none" w:sz="0" w:space="0" w:color="auto"/>
      </w:divBdr>
      <w:divsChild>
        <w:div w:id="1847749240">
          <w:marLeft w:val="360"/>
          <w:marRight w:val="0"/>
          <w:marTop w:val="200"/>
          <w:marBottom w:val="0"/>
          <w:divBdr>
            <w:top w:val="none" w:sz="0" w:space="0" w:color="auto"/>
            <w:left w:val="none" w:sz="0" w:space="0" w:color="auto"/>
            <w:bottom w:val="none" w:sz="0" w:space="0" w:color="auto"/>
            <w:right w:val="none" w:sz="0" w:space="0" w:color="auto"/>
          </w:divBdr>
        </w:div>
      </w:divsChild>
    </w:div>
    <w:div w:id="7488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2146</Words>
  <Characters>11809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Kieu Oanh Nguyen</dc:creator>
  <cp:keywords/>
  <dc:description/>
  <cp:lastModifiedBy>Thierry Messina Endeme</cp:lastModifiedBy>
  <cp:revision>2</cp:revision>
  <dcterms:created xsi:type="dcterms:W3CDTF">2021-10-27T13:28:00Z</dcterms:created>
  <dcterms:modified xsi:type="dcterms:W3CDTF">2021-10-27T13:28:00Z</dcterms:modified>
</cp:coreProperties>
</file>