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7725" w14:textId="2D2352D2" w:rsidR="00D8729A" w:rsidRPr="00ED6657" w:rsidRDefault="00D8729A" w:rsidP="00D8729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2060"/>
          <w:sz w:val="24"/>
          <w:szCs w:val="24"/>
          <w:lang w:val="fr-CM"/>
        </w:rPr>
      </w:pPr>
      <w:bookmarkStart w:id="0" w:name="_Toc56506918"/>
      <w:r w:rsidRPr="00ED6657">
        <w:rPr>
          <w:rFonts w:ascii="Calibri" w:eastAsia="Times New Roman" w:hAnsi="Calibri" w:cs="Calibri"/>
          <w:b/>
          <w:bCs/>
          <w:color w:val="002060"/>
          <w:sz w:val="24"/>
          <w:szCs w:val="24"/>
          <w:lang w:val="fr-CM"/>
        </w:rPr>
        <w:t xml:space="preserve">Tableau </w:t>
      </w:r>
      <w:r w:rsidR="00AB4F48" w:rsidRPr="00ED6657">
        <w:rPr>
          <w:rFonts w:ascii="Calibri" w:eastAsia="Times New Roman" w:hAnsi="Calibri" w:cs="Calibri"/>
          <w:b/>
          <w:bCs/>
          <w:color w:val="002060"/>
          <w:sz w:val="24"/>
          <w:szCs w:val="24"/>
          <w:lang w:val="fr-CM"/>
        </w:rPr>
        <w:t xml:space="preserve">1 </w:t>
      </w:r>
      <w:r w:rsidRPr="00ED6657">
        <w:rPr>
          <w:rFonts w:ascii="Calibri" w:eastAsia="Times New Roman" w:hAnsi="Calibri" w:cs="Calibri"/>
          <w:b/>
          <w:bCs/>
          <w:color w:val="002060"/>
          <w:sz w:val="24"/>
          <w:szCs w:val="24"/>
          <w:lang w:val="fr-CM"/>
        </w:rPr>
        <w:t xml:space="preserve">: recommandations stratégiques et opérationnelles de l’évaluation à mi-parcours du </w:t>
      </w:r>
      <w:bookmarkEnd w:id="0"/>
      <w:r w:rsidR="00AB4F48" w:rsidRPr="00ED6657">
        <w:rPr>
          <w:rFonts w:ascii="Calibri" w:eastAsia="Times New Roman" w:hAnsi="Calibri" w:cs="Calibri"/>
          <w:b/>
          <w:bCs/>
          <w:color w:val="002060"/>
          <w:sz w:val="24"/>
          <w:szCs w:val="24"/>
          <w:lang w:val="fr-CM"/>
        </w:rPr>
        <w:t>PNA</w:t>
      </w:r>
    </w:p>
    <w:p w14:paraId="15547C05" w14:textId="77777777" w:rsidR="00D8729A" w:rsidRPr="00D8729A" w:rsidRDefault="00D8729A" w:rsidP="00D8729A">
      <w:pPr>
        <w:spacing w:after="0" w:line="240" w:lineRule="auto"/>
        <w:jc w:val="both"/>
        <w:rPr>
          <w:rFonts w:ascii="Calibri" w:eastAsia="Times New Roman" w:hAnsi="Calibri" w:cs="Calibri"/>
          <w:b/>
          <w:bCs/>
          <w:szCs w:val="28"/>
          <w:lang w:val="fr-CM"/>
        </w:rPr>
      </w:pPr>
    </w:p>
    <w:tbl>
      <w:tblPr>
        <w:tblStyle w:val="Grilledutableau10"/>
        <w:tblW w:w="5000" w:type="pct"/>
        <w:tblLook w:val="04A0" w:firstRow="1" w:lastRow="0" w:firstColumn="1" w:lastColumn="0" w:noHBand="0" w:noVBand="1"/>
      </w:tblPr>
      <w:tblGrid>
        <w:gridCol w:w="5349"/>
        <w:gridCol w:w="2057"/>
        <w:gridCol w:w="2200"/>
        <w:gridCol w:w="2194"/>
        <w:gridCol w:w="2194"/>
      </w:tblGrid>
      <w:tr w:rsidR="00D8729A" w:rsidRPr="00D8729A" w14:paraId="757DE4AB" w14:textId="77777777" w:rsidTr="00D8729A">
        <w:tc>
          <w:tcPr>
            <w:tcW w:w="1911" w:type="pct"/>
            <w:shd w:val="clear" w:color="auto" w:fill="4472C4"/>
            <w:vAlign w:val="center"/>
            <w:hideMark/>
          </w:tcPr>
          <w:p w14:paraId="65267A6B" w14:textId="77777777" w:rsidR="00D8729A" w:rsidRPr="00D8729A" w:rsidRDefault="00D8729A" w:rsidP="00D8729A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 w:rsidRPr="00D8729A"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Recommandations stratégiques et opérationnelles</w:t>
            </w:r>
          </w:p>
        </w:tc>
        <w:tc>
          <w:tcPr>
            <w:tcW w:w="735" w:type="pct"/>
            <w:shd w:val="clear" w:color="auto" w:fill="4472C4"/>
            <w:vAlign w:val="center"/>
            <w:hideMark/>
          </w:tcPr>
          <w:p w14:paraId="17A77B51" w14:textId="47814190" w:rsidR="005E1F27" w:rsidRDefault="00D8729A" w:rsidP="00D8729A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Management response</w:t>
            </w:r>
            <w:r w:rsidR="00B835DA"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s</w:t>
            </w: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 xml:space="preserve"> (recommandation pertinente </w:t>
            </w:r>
            <w:r w:rsidR="00DD497F"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 xml:space="preserve">et </w:t>
            </w:r>
            <w:r w:rsidR="0057052D"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 xml:space="preserve">entièrement </w:t>
            </w:r>
            <w:r w:rsidR="00DD497F"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acceptée</w:t>
            </w:r>
          </w:p>
          <w:p w14:paraId="4B630AED" w14:textId="77777777" w:rsidR="00D8729A" w:rsidRDefault="005E1F27" w:rsidP="00D8729A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 xml:space="preserve">Recommandation </w:t>
            </w:r>
            <w:r w:rsidR="0057052D"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partiellement acceptée</w:t>
            </w:r>
          </w:p>
          <w:p w14:paraId="10335A54" w14:textId="0A150855" w:rsidR="0057052D" w:rsidRPr="00D8729A" w:rsidRDefault="0057052D" w:rsidP="00D8729A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Recommandation non acceptée</w:t>
            </w:r>
          </w:p>
        </w:tc>
        <w:tc>
          <w:tcPr>
            <w:tcW w:w="786" w:type="pct"/>
            <w:shd w:val="clear" w:color="auto" w:fill="4472C4"/>
            <w:vAlign w:val="center"/>
            <w:hideMark/>
          </w:tcPr>
          <w:p w14:paraId="1D1CFADF" w14:textId="77777777" w:rsidR="00D8729A" w:rsidRPr="00D8729A" w:rsidRDefault="00D8729A" w:rsidP="00D8729A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Key actions (actions pour mettre en œuvre la recommandation)</w:t>
            </w:r>
          </w:p>
        </w:tc>
        <w:tc>
          <w:tcPr>
            <w:tcW w:w="784" w:type="pct"/>
            <w:shd w:val="clear" w:color="auto" w:fill="4472C4"/>
          </w:tcPr>
          <w:p w14:paraId="7BD0F2E2" w14:textId="77777777" w:rsidR="00D8729A" w:rsidRDefault="00D8729A" w:rsidP="00D8729A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Responsable</w:t>
            </w:r>
          </w:p>
        </w:tc>
        <w:tc>
          <w:tcPr>
            <w:tcW w:w="784" w:type="pct"/>
            <w:shd w:val="clear" w:color="auto" w:fill="4472C4"/>
          </w:tcPr>
          <w:p w14:paraId="1A02B8F2" w14:textId="77777777" w:rsidR="00D8729A" w:rsidRDefault="00D8729A" w:rsidP="00D8729A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color w:val="FFFFFF"/>
                <w:szCs w:val="24"/>
                <w:lang w:eastAsia="fr-FR"/>
              </w:rPr>
              <w:t>Due date</w:t>
            </w:r>
          </w:p>
        </w:tc>
      </w:tr>
      <w:tr w:rsidR="001E276C" w:rsidRPr="00D8729A" w14:paraId="0C4E3D6C" w14:textId="77777777" w:rsidTr="008410E6">
        <w:tc>
          <w:tcPr>
            <w:tcW w:w="1911" w:type="pct"/>
          </w:tcPr>
          <w:p w14:paraId="276E882E" w14:textId="0021C9CF" w:rsidR="001E276C" w:rsidRPr="00D8729A" w:rsidRDefault="001E276C" w:rsidP="001E276C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szCs w:val="24"/>
                <w:lang w:val="fr-CM" w:eastAsia="fr-FR"/>
              </w:rPr>
            </w:pPr>
            <w:r>
              <w:rPr>
                <w:sz w:val="20"/>
              </w:rPr>
              <w:t>Organiser rapidement une réunion PNUD (Tchad et NCE) et CBLT pour clarifier l’ancrage de l’UGP par rapport aux Directions/Divisions de la CBLT</w:t>
            </w:r>
          </w:p>
        </w:tc>
        <w:tc>
          <w:tcPr>
            <w:tcW w:w="735" w:type="pct"/>
            <w:vAlign w:val="center"/>
          </w:tcPr>
          <w:p w14:paraId="566B1DB5" w14:textId="2DA1D5F3" w:rsidR="001E276C" w:rsidRPr="00D8729A" w:rsidRDefault="001E276C" w:rsidP="007A1C44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665F9027" w14:textId="4B62F3B2" w:rsidR="001E276C" w:rsidRPr="001E276C" w:rsidRDefault="001E276C" w:rsidP="001E276C">
            <w:pPr>
              <w:spacing w:line="276" w:lineRule="auto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 w:rsidRPr="001E276C">
              <w:rPr>
                <w:rFonts w:ascii="Calibri" w:eastAsia="Times New Roman" w:hAnsi="Calibri" w:cs="Cambria"/>
                <w:b/>
                <w:szCs w:val="24"/>
                <w:lang w:eastAsia="fr-FR"/>
              </w:rPr>
              <w:t>1)Echanger avec la CBLT et le PNUD pour fixer une date</w:t>
            </w:r>
          </w:p>
        </w:tc>
        <w:tc>
          <w:tcPr>
            <w:tcW w:w="784" w:type="pct"/>
          </w:tcPr>
          <w:p w14:paraId="7B2A1B7B" w14:textId="1D72BB63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</w:t>
            </w:r>
          </w:p>
        </w:tc>
        <w:tc>
          <w:tcPr>
            <w:tcW w:w="784" w:type="pct"/>
          </w:tcPr>
          <w:p w14:paraId="196D2C6E" w14:textId="042C847E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Mars 2022</w:t>
            </w:r>
          </w:p>
        </w:tc>
      </w:tr>
      <w:tr w:rsidR="001E276C" w:rsidRPr="00D8729A" w14:paraId="17646B68" w14:textId="77777777" w:rsidTr="008410E6">
        <w:trPr>
          <w:trHeight w:val="70"/>
        </w:trPr>
        <w:tc>
          <w:tcPr>
            <w:tcW w:w="1911" w:type="pct"/>
          </w:tcPr>
          <w:p w14:paraId="2B47AE04" w14:textId="77777777" w:rsidR="001E276C" w:rsidRDefault="001E276C" w:rsidP="001E276C">
            <w:pPr>
              <w:rPr>
                <w:sz w:val="20"/>
              </w:rPr>
            </w:pPr>
          </w:p>
          <w:p w14:paraId="77EBA28C" w14:textId="77777777" w:rsidR="001E276C" w:rsidRDefault="001E276C" w:rsidP="001E276C">
            <w:pPr>
              <w:rPr>
                <w:sz w:val="20"/>
              </w:rPr>
            </w:pPr>
            <w:r w:rsidRPr="005C0122">
              <w:rPr>
                <w:sz w:val="20"/>
              </w:rPr>
              <w:t xml:space="preserve">Elaborer une stratégie de </w:t>
            </w:r>
            <w:r>
              <w:rPr>
                <w:sz w:val="20"/>
              </w:rPr>
              <w:t>continuité des activités du</w:t>
            </w:r>
            <w:r w:rsidRPr="005C0122">
              <w:rPr>
                <w:sz w:val="20"/>
              </w:rPr>
              <w:t xml:space="preserve"> projet en cas de crise majeure pour les années 2022 et 2023</w:t>
            </w:r>
          </w:p>
          <w:p w14:paraId="30971A53" w14:textId="3E77E85D" w:rsidR="001E276C" w:rsidRPr="00D8729A" w:rsidRDefault="001E276C" w:rsidP="001E276C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szCs w:val="24"/>
                <w:lang w:val="fr-CM" w:eastAsia="fr-FR"/>
              </w:rPr>
            </w:pPr>
          </w:p>
        </w:tc>
        <w:tc>
          <w:tcPr>
            <w:tcW w:w="735" w:type="pct"/>
            <w:vAlign w:val="center"/>
          </w:tcPr>
          <w:p w14:paraId="2FD99D92" w14:textId="044E2F44" w:rsidR="001E276C" w:rsidRPr="00D8729A" w:rsidRDefault="001E276C" w:rsidP="007A1C44">
            <w:pPr>
              <w:spacing w:line="276" w:lineRule="auto"/>
              <w:contextualSpacing/>
              <w:rPr>
                <w:rFonts w:ascii="Calibri" w:eastAsia="Times New Roman" w:hAnsi="Calibri" w:cs="Cambria"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4A7EC574" w14:textId="4EE72C3A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1)Elaborer un plan de criticité intégrant les risques mis à jour</w:t>
            </w:r>
          </w:p>
        </w:tc>
        <w:tc>
          <w:tcPr>
            <w:tcW w:w="784" w:type="pct"/>
          </w:tcPr>
          <w:p w14:paraId="7C69BDB1" w14:textId="7101BC6B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</w:t>
            </w:r>
          </w:p>
        </w:tc>
        <w:tc>
          <w:tcPr>
            <w:tcW w:w="784" w:type="pct"/>
          </w:tcPr>
          <w:p w14:paraId="7F9F253C" w14:textId="60E9C0BB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Avril 2022</w:t>
            </w:r>
          </w:p>
        </w:tc>
      </w:tr>
      <w:tr w:rsidR="001E276C" w:rsidRPr="00D8729A" w14:paraId="2CC5172C" w14:textId="77777777" w:rsidTr="003C798D">
        <w:tc>
          <w:tcPr>
            <w:tcW w:w="1911" w:type="pct"/>
          </w:tcPr>
          <w:p w14:paraId="02792AF5" w14:textId="25C7CDF2" w:rsidR="001E276C" w:rsidRPr="00D8729A" w:rsidRDefault="001E276C" w:rsidP="001E276C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szCs w:val="24"/>
                <w:lang w:val="fr-CM" w:eastAsia="fr-FR"/>
              </w:rPr>
            </w:pPr>
            <w:r>
              <w:rPr>
                <w:sz w:val="20"/>
              </w:rPr>
              <w:t>Procéder à l’actualisation des mesures de sauvegarde environnementales et sociales du projet</w:t>
            </w:r>
          </w:p>
        </w:tc>
        <w:tc>
          <w:tcPr>
            <w:tcW w:w="735" w:type="pct"/>
          </w:tcPr>
          <w:p w14:paraId="7D71B8FD" w14:textId="780569DC" w:rsidR="001E276C" w:rsidRPr="00D8729A" w:rsidRDefault="001E276C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 w:rsidRPr="009F16E4"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3D6F2A38" w14:textId="77777777" w:rsidR="001E276C" w:rsidRDefault="007A1C44" w:rsidP="007A1C44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1)Recruter un consultant</w:t>
            </w:r>
          </w:p>
          <w:p w14:paraId="0ED2C6C4" w14:textId="54568AF7" w:rsidR="007A1C44" w:rsidRPr="00D8729A" w:rsidRDefault="007A1C44" w:rsidP="007A1C44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2)Elaborer un CGES</w:t>
            </w:r>
          </w:p>
        </w:tc>
        <w:tc>
          <w:tcPr>
            <w:tcW w:w="784" w:type="pct"/>
          </w:tcPr>
          <w:p w14:paraId="471FF331" w14:textId="2BC6C777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</w:t>
            </w:r>
          </w:p>
        </w:tc>
        <w:tc>
          <w:tcPr>
            <w:tcW w:w="784" w:type="pct"/>
          </w:tcPr>
          <w:p w14:paraId="2FC17C2A" w14:textId="4DE91124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Avril 202</w:t>
            </w:r>
            <w:r w:rsidR="002D11CD">
              <w:rPr>
                <w:rFonts w:ascii="Calibri" w:eastAsia="Times New Roman" w:hAnsi="Calibri" w:cs="Cambria"/>
                <w:b/>
                <w:szCs w:val="24"/>
                <w:lang w:eastAsia="fr-FR"/>
              </w:rPr>
              <w:t>2</w:t>
            </w:r>
          </w:p>
        </w:tc>
      </w:tr>
      <w:tr w:rsidR="001E276C" w:rsidRPr="00D8729A" w14:paraId="56ED4E1D" w14:textId="77777777" w:rsidTr="008410E6">
        <w:tc>
          <w:tcPr>
            <w:tcW w:w="1911" w:type="pct"/>
          </w:tcPr>
          <w:p w14:paraId="7D3484C4" w14:textId="77777777" w:rsidR="001E276C" w:rsidRDefault="001E276C" w:rsidP="001E276C">
            <w:pPr>
              <w:rPr>
                <w:sz w:val="20"/>
              </w:rPr>
            </w:pPr>
            <w:r>
              <w:rPr>
                <w:sz w:val="20"/>
              </w:rPr>
              <w:t>Renforcer le focus thématique et géographique des interventions du projet au niveau local en alignant les activités de la composante 3 aux sites d’intervention de la composante 5</w:t>
            </w:r>
          </w:p>
          <w:p w14:paraId="2016CA81" w14:textId="154BB985" w:rsidR="001E276C" w:rsidRPr="00D8729A" w:rsidRDefault="001E276C" w:rsidP="001E276C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b/>
                <w:bCs/>
                <w:szCs w:val="24"/>
                <w:lang w:eastAsia="fr-FR"/>
              </w:rPr>
            </w:pPr>
          </w:p>
        </w:tc>
        <w:tc>
          <w:tcPr>
            <w:tcW w:w="735" w:type="pct"/>
            <w:shd w:val="clear" w:color="auto" w:fill="FFF2CC" w:themeFill="accent4" w:themeFillTint="33"/>
          </w:tcPr>
          <w:p w14:paraId="25637056" w14:textId="02BB060D" w:rsidR="001E276C" w:rsidRPr="00D8729A" w:rsidRDefault="001E276C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 w:rsidRPr="009F16E4"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shd w:val="clear" w:color="auto" w:fill="FFF2CC" w:themeFill="accent4" w:themeFillTint="33"/>
          </w:tcPr>
          <w:p w14:paraId="72D952EE" w14:textId="0F183E85" w:rsidR="001E276C" w:rsidRPr="00D8729A" w:rsidRDefault="007A1C44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1)Retenir les mêmes sites pour les interventions des composantes 3 et 5</w:t>
            </w:r>
          </w:p>
        </w:tc>
        <w:tc>
          <w:tcPr>
            <w:tcW w:w="784" w:type="pct"/>
            <w:shd w:val="clear" w:color="auto" w:fill="FFF2CC" w:themeFill="accent4" w:themeFillTint="33"/>
          </w:tcPr>
          <w:p w14:paraId="164F5D70" w14:textId="4EDDD542" w:rsidR="007A1C44" w:rsidRPr="00D8729A" w:rsidRDefault="007A1C44" w:rsidP="007A1C44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 - CBLT</w:t>
            </w:r>
          </w:p>
        </w:tc>
        <w:tc>
          <w:tcPr>
            <w:tcW w:w="784" w:type="pct"/>
            <w:shd w:val="clear" w:color="auto" w:fill="FFF2CC" w:themeFill="accent4" w:themeFillTint="33"/>
          </w:tcPr>
          <w:p w14:paraId="7DC05798" w14:textId="7E1C3B29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Juin 2022</w:t>
            </w:r>
          </w:p>
        </w:tc>
      </w:tr>
      <w:tr w:rsidR="001E276C" w:rsidRPr="00D8729A" w14:paraId="6B785E5B" w14:textId="77777777" w:rsidTr="003C798D">
        <w:tc>
          <w:tcPr>
            <w:tcW w:w="1911" w:type="pct"/>
          </w:tcPr>
          <w:p w14:paraId="588E8F58" w14:textId="62D65AD2" w:rsidR="001E276C" w:rsidRPr="00D8729A" w:rsidRDefault="001E276C" w:rsidP="001E276C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szCs w:val="24"/>
                <w:lang w:eastAsia="fr-FR"/>
              </w:rPr>
            </w:pPr>
            <w:r>
              <w:rPr>
                <w:sz w:val="20"/>
              </w:rPr>
              <w:lastRenderedPageBreak/>
              <w:t>Soumettre les documents stratégiques élaborés à la validation du comité technique</w:t>
            </w:r>
            <w:r w:rsidRPr="00380073">
              <w:rPr>
                <w:sz w:val="20"/>
              </w:rPr>
              <w:t xml:space="preserve"> en attendant </w:t>
            </w:r>
            <w:r>
              <w:rPr>
                <w:sz w:val="20"/>
              </w:rPr>
              <w:t>l’approbation par le</w:t>
            </w:r>
            <w:r w:rsidRPr="00380073">
              <w:rPr>
                <w:sz w:val="20"/>
              </w:rPr>
              <w:t xml:space="preserve"> conseil des ministres</w:t>
            </w:r>
            <w:r>
              <w:rPr>
                <w:sz w:val="20"/>
              </w:rPr>
              <w:t xml:space="preserve"> et obtenir un aval pour la continuation des activités jusqu’à la validation du PAS.</w:t>
            </w:r>
          </w:p>
        </w:tc>
        <w:tc>
          <w:tcPr>
            <w:tcW w:w="735" w:type="pct"/>
          </w:tcPr>
          <w:p w14:paraId="701DFAEF" w14:textId="5BE3CE34" w:rsidR="001E276C" w:rsidRPr="00D8729A" w:rsidRDefault="001E276C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 w:rsidRPr="009F16E4"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4930861B" w14:textId="3A33E0C0" w:rsidR="001E276C" w:rsidRPr="00D8729A" w:rsidRDefault="007A1C44" w:rsidP="007A1C44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1)Réceptionner techniquement les documents</w:t>
            </w:r>
          </w:p>
        </w:tc>
        <w:tc>
          <w:tcPr>
            <w:tcW w:w="784" w:type="pct"/>
          </w:tcPr>
          <w:p w14:paraId="65958735" w14:textId="25DF299C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 - CBLT</w:t>
            </w:r>
          </w:p>
        </w:tc>
        <w:tc>
          <w:tcPr>
            <w:tcW w:w="784" w:type="pct"/>
          </w:tcPr>
          <w:p w14:paraId="3470EE72" w14:textId="662201AF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Mars 2022</w:t>
            </w:r>
          </w:p>
        </w:tc>
      </w:tr>
      <w:tr w:rsidR="001E276C" w:rsidRPr="00D8729A" w14:paraId="356B5C1F" w14:textId="77777777" w:rsidTr="003C798D">
        <w:tc>
          <w:tcPr>
            <w:tcW w:w="1911" w:type="pct"/>
          </w:tcPr>
          <w:p w14:paraId="03C8CC30" w14:textId="546721CC" w:rsidR="001E276C" w:rsidRPr="00D8729A" w:rsidRDefault="001E276C" w:rsidP="001E276C">
            <w:pPr>
              <w:spacing w:line="276" w:lineRule="auto"/>
              <w:contextualSpacing/>
              <w:jc w:val="both"/>
              <w:rPr>
                <w:rFonts w:ascii="Calibri" w:eastAsia="Times New Roman" w:hAnsi="Calibri" w:cs="Cambria"/>
                <w:szCs w:val="24"/>
                <w:lang w:eastAsia="fr-FR"/>
              </w:rPr>
            </w:pPr>
            <w:r w:rsidRPr="00380073">
              <w:rPr>
                <w:sz w:val="20"/>
              </w:rPr>
              <w:t>Procéder rapidement à une replanification des activités du projet pour pouvoir compléter les actions avant la fin prévue du projet</w:t>
            </w:r>
          </w:p>
        </w:tc>
        <w:tc>
          <w:tcPr>
            <w:tcW w:w="735" w:type="pct"/>
          </w:tcPr>
          <w:p w14:paraId="494DFC1E" w14:textId="4D6A848C" w:rsidR="001E276C" w:rsidRPr="00D8729A" w:rsidRDefault="001E276C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 w:rsidRPr="009F16E4"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129F89AE" w14:textId="77777777" w:rsidR="001E276C" w:rsidRDefault="001E276C" w:rsidP="001E276C">
            <w:pPr>
              <w:spacing w:line="276" w:lineRule="auto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1)</w:t>
            </w:r>
            <w:r w:rsidRPr="001E276C">
              <w:rPr>
                <w:rFonts w:ascii="Calibri" w:eastAsia="Times New Roman" w:hAnsi="Calibri" w:cs="Cambria"/>
                <w:b/>
                <w:szCs w:val="24"/>
                <w:lang w:eastAsia="fr-FR"/>
              </w:rPr>
              <w:t>Finaliser le PTA 2021</w:t>
            </w:r>
          </w:p>
          <w:p w14:paraId="4FCDEAF5" w14:textId="1F86883A" w:rsidR="001E276C" w:rsidRPr="001E276C" w:rsidRDefault="001E276C" w:rsidP="001E276C">
            <w:pPr>
              <w:spacing w:line="276" w:lineRule="auto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 xml:space="preserve">2)Actualiser la planification </w:t>
            </w:r>
            <w:r w:rsidR="007A1C44">
              <w:rPr>
                <w:rFonts w:ascii="Calibri" w:eastAsia="Times New Roman" w:hAnsi="Calibri" w:cs="Cambria"/>
                <w:b/>
                <w:szCs w:val="24"/>
                <w:lang w:eastAsia="fr-FR"/>
              </w:rPr>
              <w:t>pluriannuelle</w:t>
            </w:r>
          </w:p>
        </w:tc>
        <w:tc>
          <w:tcPr>
            <w:tcW w:w="784" w:type="pct"/>
          </w:tcPr>
          <w:p w14:paraId="29BB8D9A" w14:textId="148AD523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</w:t>
            </w:r>
          </w:p>
        </w:tc>
        <w:tc>
          <w:tcPr>
            <w:tcW w:w="784" w:type="pct"/>
          </w:tcPr>
          <w:p w14:paraId="1B340332" w14:textId="488D23D8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Janvier</w:t>
            </w:r>
            <w:r w:rsidR="001E276C">
              <w:rPr>
                <w:rFonts w:ascii="Calibri" w:eastAsia="Times New Roman" w:hAnsi="Calibri" w:cs="Cambria"/>
                <w:b/>
                <w:szCs w:val="24"/>
                <w:lang w:eastAsia="fr-FR"/>
              </w:rPr>
              <w:t xml:space="preserve"> 2022</w:t>
            </w:r>
          </w:p>
        </w:tc>
      </w:tr>
      <w:tr w:rsidR="001E276C" w:rsidRPr="00D8729A" w14:paraId="7FE5D89F" w14:textId="77777777" w:rsidTr="003C798D">
        <w:tc>
          <w:tcPr>
            <w:tcW w:w="1911" w:type="pct"/>
          </w:tcPr>
          <w:p w14:paraId="72B9EB9F" w14:textId="68A48153" w:rsidR="001E276C" w:rsidRPr="001E276C" w:rsidRDefault="007A1C44" w:rsidP="001E276C">
            <w:pPr>
              <w:spacing w:line="276" w:lineRule="auto"/>
              <w:contextualSpacing/>
              <w:jc w:val="both"/>
              <w:rPr>
                <w:sz w:val="20"/>
              </w:rPr>
            </w:pPr>
            <w:r w:rsidRPr="00380073">
              <w:rPr>
                <w:sz w:val="20"/>
              </w:rPr>
              <w:t>Procéder</w:t>
            </w:r>
            <w:r w:rsidR="001E276C" w:rsidRPr="00380073">
              <w:rPr>
                <w:sz w:val="20"/>
              </w:rPr>
              <w:t xml:space="preserve"> au recrutement d’un consultant </w:t>
            </w:r>
            <w:r>
              <w:rPr>
                <w:sz w:val="20"/>
              </w:rPr>
              <w:t xml:space="preserve">à </w:t>
            </w:r>
            <w:r w:rsidR="001E276C" w:rsidRPr="00380073">
              <w:rPr>
                <w:sz w:val="20"/>
              </w:rPr>
              <w:t>temps partiel pour aider dans la gestion des connaissances, l’élaboration des outils de communication et assurer le volet communication du projet</w:t>
            </w:r>
            <w:r w:rsidR="001E276C">
              <w:rPr>
                <w:sz w:val="20"/>
              </w:rPr>
              <w:t xml:space="preserve"> ce qui améliorera</w:t>
            </w:r>
            <w:r w:rsidR="001E276C" w:rsidRPr="00380073">
              <w:rPr>
                <w:sz w:val="20"/>
              </w:rPr>
              <w:t xml:space="preserve"> </w:t>
            </w:r>
            <w:r w:rsidR="001E276C">
              <w:rPr>
                <w:sz w:val="20"/>
              </w:rPr>
              <w:t>la communication sur les résultats atteints et le partage des connaissances</w:t>
            </w:r>
          </w:p>
        </w:tc>
        <w:tc>
          <w:tcPr>
            <w:tcW w:w="735" w:type="pct"/>
          </w:tcPr>
          <w:p w14:paraId="61913536" w14:textId="0A6BCFAC" w:rsidR="001E276C" w:rsidRPr="00D8729A" w:rsidRDefault="001E276C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 w:rsidRPr="009F16E4"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1AB33B9A" w14:textId="3B889075" w:rsidR="001E276C" w:rsidRPr="001E276C" w:rsidRDefault="001E276C" w:rsidP="001E276C">
            <w:pPr>
              <w:spacing w:line="276" w:lineRule="auto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2)</w:t>
            </w:r>
            <w:r w:rsidR="007A1C44">
              <w:rPr>
                <w:rFonts w:ascii="Calibri" w:eastAsia="Times New Roman" w:hAnsi="Calibri" w:cs="Cambria"/>
                <w:b/>
                <w:szCs w:val="24"/>
                <w:lang w:eastAsia="fr-FR"/>
              </w:rPr>
              <w:t xml:space="preserve"> Recruter un consultant pour p</w:t>
            </w: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roduire le matériel de communication</w:t>
            </w:r>
            <w:r w:rsidR="007A1C44">
              <w:rPr>
                <w:rFonts w:ascii="Calibri" w:eastAsia="Times New Roman" w:hAnsi="Calibri" w:cs="Cambria"/>
                <w:b/>
                <w:szCs w:val="24"/>
                <w:lang w:eastAsia="fr-FR"/>
              </w:rPr>
              <w:t xml:space="preserve"> et en assurer la diffusion</w:t>
            </w:r>
          </w:p>
        </w:tc>
        <w:tc>
          <w:tcPr>
            <w:tcW w:w="784" w:type="pct"/>
          </w:tcPr>
          <w:p w14:paraId="69023465" w14:textId="64636A3B" w:rsidR="001E276C" w:rsidRPr="00D8729A" w:rsidRDefault="007A1C44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UGP</w:t>
            </w:r>
          </w:p>
        </w:tc>
        <w:tc>
          <w:tcPr>
            <w:tcW w:w="784" w:type="pct"/>
          </w:tcPr>
          <w:p w14:paraId="14A10267" w14:textId="09F38A73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szCs w:val="24"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szCs w:val="24"/>
                <w:lang w:eastAsia="fr-FR"/>
              </w:rPr>
              <w:t>Juin 2022</w:t>
            </w:r>
          </w:p>
        </w:tc>
      </w:tr>
      <w:tr w:rsidR="001E276C" w:rsidRPr="00D8729A" w14:paraId="4ABD990C" w14:textId="77777777" w:rsidTr="003C798D">
        <w:tc>
          <w:tcPr>
            <w:tcW w:w="1911" w:type="pct"/>
            <w:vAlign w:val="center"/>
          </w:tcPr>
          <w:p w14:paraId="2FB4363C" w14:textId="6D2A6FCD" w:rsidR="001E276C" w:rsidRPr="001E276C" w:rsidRDefault="001E276C" w:rsidP="001E276C">
            <w:pPr>
              <w:spacing w:line="276" w:lineRule="auto"/>
              <w:contextualSpacing/>
              <w:jc w:val="both"/>
              <w:rPr>
                <w:sz w:val="20"/>
              </w:rPr>
            </w:pPr>
            <w:r w:rsidRPr="001E276C">
              <w:rPr>
                <w:sz w:val="20"/>
              </w:rPr>
              <w:t>Mettre en place des outils de Suivi évaluation pratiques et harmonisés et renforcer les capacités des acteurs à leur utilisation.</w:t>
            </w:r>
          </w:p>
        </w:tc>
        <w:tc>
          <w:tcPr>
            <w:tcW w:w="735" w:type="pct"/>
          </w:tcPr>
          <w:p w14:paraId="2F9179FC" w14:textId="650AA0AC" w:rsidR="001E276C" w:rsidRPr="00D8729A" w:rsidRDefault="001E276C" w:rsidP="001E276C">
            <w:pPr>
              <w:spacing w:line="276" w:lineRule="auto"/>
              <w:contextualSpacing/>
              <w:rPr>
                <w:rFonts w:ascii="Calibri" w:eastAsia="Times New Roman" w:hAnsi="Calibri" w:cs="Cambria"/>
                <w:b/>
                <w:lang w:eastAsia="fr-FR"/>
              </w:rPr>
            </w:pPr>
            <w:r w:rsidRPr="009F16E4">
              <w:rPr>
                <w:rFonts w:ascii="Calibri" w:eastAsia="Times New Roman" w:hAnsi="Calibri" w:cs="Cambria"/>
                <w:szCs w:val="24"/>
                <w:lang w:eastAsia="fr-FR"/>
              </w:rPr>
              <w:t>Acceptée</w:t>
            </w:r>
          </w:p>
        </w:tc>
        <w:tc>
          <w:tcPr>
            <w:tcW w:w="786" w:type="pct"/>
            <w:vAlign w:val="center"/>
          </w:tcPr>
          <w:p w14:paraId="6DC71B5F" w14:textId="006A83AB" w:rsidR="001E276C" w:rsidRDefault="001E276C" w:rsidP="001E276C">
            <w:pPr>
              <w:spacing w:line="276" w:lineRule="auto"/>
              <w:rPr>
                <w:rFonts w:ascii="Calibri" w:eastAsia="Times New Roman" w:hAnsi="Calibri" w:cs="Cambria"/>
                <w:b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lang w:eastAsia="fr-FR"/>
              </w:rPr>
              <w:t>1)</w:t>
            </w:r>
            <w:r w:rsidRPr="001E276C">
              <w:rPr>
                <w:rFonts w:ascii="Calibri" w:eastAsia="Times New Roman" w:hAnsi="Calibri" w:cs="Cambria"/>
                <w:b/>
                <w:lang w:eastAsia="fr-FR"/>
              </w:rPr>
              <w:t>Organiser une réunion avec les parties responsable</w:t>
            </w:r>
            <w:r>
              <w:rPr>
                <w:rFonts w:ascii="Calibri" w:eastAsia="Times New Roman" w:hAnsi="Calibri" w:cs="Cambria"/>
                <w:b/>
                <w:lang w:eastAsia="fr-FR"/>
              </w:rPr>
              <w:t>s</w:t>
            </w:r>
            <w:r w:rsidRPr="001E276C">
              <w:rPr>
                <w:rFonts w:ascii="Calibri" w:eastAsia="Times New Roman" w:hAnsi="Calibri" w:cs="Cambria"/>
                <w:b/>
                <w:lang w:eastAsia="fr-FR"/>
              </w:rPr>
              <w:t xml:space="preserve"> (</w:t>
            </w:r>
            <w:r w:rsidR="007A1C44">
              <w:rPr>
                <w:rFonts w:ascii="Calibri" w:eastAsia="Times New Roman" w:hAnsi="Calibri" w:cs="Cambria"/>
                <w:b/>
                <w:lang w:eastAsia="fr-FR"/>
              </w:rPr>
              <w:t>C</w:t>
            </w:r>
            <w:r w:rsidRPr="001E276C">
              <w:rPr>
                <w:rFonts w:ascii="Calibri" w:eastAsia="Times New Roman" w:hAnsi="Calibri" w:cs="Cambria"/>
                <w:b/>
                <w:lang w:eastAsia="fr-FR"/>
              </w:rPr>
              <w:t>omposante 3 et IUCN)</w:t>
            </w:r>
          </w:p>
          <w:p w14:paraId="766024F7" w14:textId="091FFB53" w:rsidR="001E276C" w:rsidRPr="001E276C" w:rsidRDefault="001E276C" w:rsidP="001E276C">
            <w:pPr>
              <w:spacing w:line="276" w:lineRule="auto"/>
              <w:rPr>
                <w:rFonts w:ascii="Calibri" w:eastAsia="Times New Roman" w:hAnsi="Calibri" w:cs="Cambria"/>
                <w:b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lang w:eastAsia="fr-FR"/>
              </w:rPr>
              <w:t>2) Elaborer et diffuser les outils harmonisés</w:t>
            </w:r>
          </w:p>
          <w:p w14:paraId="7B017862" w14:textId="63772B5B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lang w:eastAsia="fr-FR"/>
              </w:rPr>
            </w:pPr>
          </w:p>
        </w:tc>
        <w:tc>
          <w:tcPr>
            <w:tcW w:w="784" w:type="pct"/>
          </w:tcPr>
          <w:p w14:paraId="02743E84" w14:textId="3063BAD7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lang w:eastAsia="fr-FR"/>
              </w:rPr>
              <w:t>UGP</w:t>
            </w:r>
          </w:p>
        </w:tc>
        <w:tc>
          <w:tcPr>
            <w:tcW w:w="784" w:type="pct"/>
          </w:tcPr>
          <w:p w14:paraId="408F0B9F" w14:textId="74A3AD63" w:rsidR="001E276C" w:rsidRPr="00D8729A" w:rsidRDefault="001E276C" w:rsidP="001E276C">
            <w:pPr>
              <w:spacing w:line="276" w:lineRule="auto"/>
              <w:contextualSpacing/>
              <w:jc w:val="center"/>
              <w:rPr>
                <w:rFonts w:ascii="Calibri" w:eastAsia="Times New Roman" w:hAnsi="Calibri" w:cs="Cambria"/>
                <w:b/>
                <w:lang w:eastAsia="fr-FR"/>
              </w:rPr>
            </w:pPr>
            <w:r>
              <w:rPr>
                <w:rFonts w:ascii="Calibri" w:eastAsia="Times New Roman" w:hAnsi="Calibri" w:cs="Cambria"/>
                <w:b/>
                <w:lang w:eastAsia="fr-FR"/>
              </w:rPr>
              <w:t>Juin 2022</w:t>
            </w:r>
          </w:p>
        </w:tc>
      </w:tr>
    </w:tbl>
    <w:p w14:paraId="14485EAD" w14:textId="77777777" w:rsidR="00D8729A" w:rsidRPr="00D8729A" w:rsidRDefault="00D8729A" w:rsidP="00D8729A">
      <w:pPr>
        <w:spacing w:before="240" w:after="12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4"/>
          <w:lang w:val="fr-FR"/>
        </w:rPr>
      </w:pPr>
    </w:p>
    <w:p w14:paraId="3764D9F5" w14:textId="77777777" w:rsidR="00D8729A" w:rsidRDefault="00D8729A"/>
    <w:p w14:paraId="2D5CEA66" w14:textId="77777777" w:rsidR="00D8729A" w:rsidRDefault="00D8729A"/>
    <w:sectPr w:rsidR="00D8729A" w:rsidSect="00D87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36CB"/>
    <w:multiLevelType w:val="hybridMultilevel"/>
    <w:tmpl w:val="B510DD8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C01"/>
    <w:multiLevelType w:val="hybridMultilevel"/>
    <w:tmpl w:val="C69AAC9A"/>
    <w:lvl w:ilvl="0" w:tplc="AA9A4CA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994"/>
    <w:multiLevelType w:val="hybridMultilevel"/>
    <w:tmpl w:val="A37A29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E65A3"/>
    <w:multiLevelType w:val="hybridMultilevel"/>
    <w:tmpl w:val="34202F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67198"/>
    <w:multiLevelType w:val="hybridMultilevel"/>
    <w:tmpl w:val="F0F46A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F6CFA"/>
    <w:multiLevelType w:val="hybridMultilevel"/>
    <w:tmpl w:val="8B00F4A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A"/>
    <w:rsid w:val="00117B8E"/>
    <w:rsid w:val="001E276C"/>
    <w:rsid w:val="002D11CD"/>
    <w:rsid w:val="0057052D"/>
    <w:rsid w:val="005E1F27"/>
    <w:rsid w:val="007A1C44"/>
    <w:rsid w:val="00AB4F48"/>
    <w:rsid w:val="00B835DA"/>
    <w:rsid w:val="00D8729A"/>
    <w:rsid w:val="00DD497F"/>
    <w:rsid w:val="00E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0765"/>
  <w15:chartTrackingRefBased/>
  <w15:docId w15:val="{D1F9BEC7-0717-4D59-BA09-19F1DB88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T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0">
    <w:name w:val="Grille du tableau10"/>
    <w:basedOn w:val="TableauNormal"/>
    <w:next w:val="Grilledutableau"/>
    <w:uiPriority w:val="39"/>
    <w:rsid w:val="00D8729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8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0516DA143B44906B0DC28AF68281" ma:contentTypeVersion="9" ma:contentTypeDescription="Create a new document." ma:contentTypeScope="" ma:versionID="745835616d805fce3d4f93e8fbeeb853">
  <xsd:schema xmlns:xsd="http://www.w3.org/2001/XMLSchema" xmlns:xs="http://www.w3.org/2001/XMLSchema" xmlns:p="http://schemas.microsoft.com/office/2006/metadata/properties" xmlns:ns3="8c3b4589-7db3-47b0-8f6a-ed4fa7c72d62" targetNamespace="http://schemas.microsoft.com/office/2006/metadata/properties" ma:root="true" ma:fieldsID="f3edbb1e6b8c72792ed4ef29b440269c" ns3:_="">
    <xsd:import namespace="8c3b4589-7db3-47b0-8f6a-ed4fa7c72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4589-7db3-47b0-8f6a-ed4fa7c72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C5A77-AD52-473B-ABFB-DFD5087A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b4589-7db3-47b0-8f6a-ed4fa7c72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CBB2-E57A-45AD-9580-D7B063C5E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054C73-FB25-49DA-B461-A59D73C582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Weldadouar</dc:creator>
  <cp:keywords/>
  <dc:description/>
  <cp:lastModifiedBy>Gaye Weldadouar</cp:lastModifiedBy>
  <cp:revision>3</cp:revision>
  <dcterms:created xsi:type="dcterms:W3CDTF">2021-12-21T09:28:00Z</dcterms:created>
  <dcterms:modified xsi:type="dcterms:W3CDTF">2021-12-23T11:10:00Z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0x01010042B40516DA143B44906B0DC28AF68281</vt:lpwstr>
  </property>
</Properties>
</file>