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0D7F" w14:textId="77777777" w:rsidR="00E61BD7" w:rsidRPr="00D60D1F" w:rsidRDefault="00E61BD7" w:rsidP="00E61BD7">
      <w:pPr>
        <w:pStyle w:val="G-heading2"/>
        <w:numPr>
          <w:ilvl w:val="0"/>
          <w:numId w:val="0"/>
        </w:numPr>
      </w:pPr>
      <w:bookmarkStart w:id="0" w:name="_Toc533099722"/>
      <w:r w:rsidRPr="00D60D1F">
        <w:t>Management response template</w:t>
      </w:r>
      <w:bookmarkEnd w:id="0"/>
    </w:p>
    <w:p w14:paraId="346DA996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</w:p>
    <w:p w14:paraId="6E0FC145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 xml:space="preserve">UNDP </w:t>
      </w:r>
      <w:r>
        <w:rPr>
          <w:rFonts w:cstheme="minorHAnsi"/>
          <w:b/>
        </w:rPr>
        <w:t>m</w:t>
      </w:r>
      <w:r w:rsidRPr="00BF5D14">
        <w:rPr>
          <w:rFonts w:cstheme="minorHAnsi"/>
          <w:b/>
        </w:rPr>
        <w:t xml:space="preserve">anagement </w:t>
      </w:r>
      <w:r>
        <w:rPr>
          <w:rFonts w:cstheme="minorHAnsi"/>
          <w:b/>
        </w:rPr>
        <w:t>r</w:t>
      </w:r>
      <w:r w:rsidRPr="00BF5D14">
        <w:rPr>
          <w:rFonts w:cstheme="minorHAnsi"/>
          <w:b/>
        </w:rPr>
        <w:t xml:space="preserve">esponse </w:t>
      </w:r>
      <w:r>
        <w:rPr>
          <w:rFonts w:cstheme="minorHAnsi"/>
          <w:b/>
        </w:rPr>
        <w:t>t</w:t>
      </w:r>
      <w:r w:rsidRPr="00BF5D14">
        <w:rPr>
          <w:rFonts w:cstheme="minorHAnsi"/>
          <w:b/>
        </w:rPr>
        <w:t>emplate</w:t>
      </w:r>
    </w:p>
    <w:p w14:paraId="6D7675D7" w14:textId="3CA41F11" w:rsidR="00E61BD7" w:rsidRPr="00E23BCB" w:rsidRDefault="00495A94" w:rsidP="00E61BD7">
      <w:pPr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b/>
          <w:lang w:val="es-CO"/>
        </w:rPr>
        <w:t>Capacidades Locales PDET 120927</w:t>
      </w:r>
      <w:r w:rsidR="00A5155E" w:rsidRPr="00E23BCB">
        <w:rPr>
          <w:rFonts w:cstheme="minorHAnsi"/>
          <w:b/>
          <w:lang w:val="es-CO"/>
        </w:rPr>
        <w:t xml:space="preserve">: </w:t>
      </w:r>
      <w:r w:rsidR="00E61BD7" w:rsidRPr="00E23BCB">
        <w:rPr>
          <w:rFonts w:cstheme="minorHAnsi"/>
          <w:lang w:val="es-CO"/>
        </w:rPr>
        <w:t xml:space="preserve"> Date:</w:t>
      </w:r>
      <w:r w:rsidR="00D13CBD">
        <w:rPr>
          <w:rFonts w:cstheme="minorHAnsi"/>
          <w:lang w:val="es-CO"/>
        </w:rPr>
        <w:t>27</w:t>
      </w:r>
      <w:r w:rsidR="00A5155E" w:rsidRPr="00E23BCB">
        <w:rPr>
          <w:rFonts w:cstheme="minorHAnsi"/>
          <w:lang w:val="es-CO"/>
        </w:rPr>
        <w:t>/</w:t>
      </w:r>
      <w:r w:rsidR="00D13CBD">
        <w:rPr>
          <w:rFonts w:cstheme="minorHAnsi"/>
          <w:lang w:val="es-CO"/>
        </w:rPr>
        <w:t>01</w:t>
      </w:r>
      <w:r w:rsidR="00A5155E" w:rsidRPr="00E23BCB">
        <w:rPr>
          <w:rFonts w:cstheme="minorHAnsi"/>
          <w:lang w:val="es-CO"/>
        </w:rPr>
        <w:t>/2</w:t>
      </w:r>
      <w:r w:rsidR="00D13CBD">
        <w:rPr>
          <w:rFonts w:cstheme="minorHAnsi"/>
          <w:lang w:val="es-CO"/>
        </w:rPr>
        <w:t>2</w:t>
      </w:r>
    </w:p>
    <w:p w14:paraId="7493AA05" w14:textId="77777777" w:rsidR="00E61BD7" w:rsidRPr="00E23BCB" w:rsidRDefault="00E61BD7" w:rsidP="00E61BD7">
      <w:pPr>
        <w:spacing w:after="0" w:line="240" w:lineRule="auto"/>
        <w:ind w:left="5040" w:firstLine="720"/>
        <w:jc w:val="both"/>
        <w:rPr>
          <w:rFonts w:cstheme="minorHAnsi"/>
          <w:lang w:val="es-CO"/>
        </w:rPr>
      </w:pPr>
    </w:p>
    <w:p w14:paraId="35A1020D" w14:textId="037531F4" w:rsidR="000A7144" w:rsidRDefault="000A7144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                                                                                       </w:t>
      </w:r>
      <w:r w:rsidRPr="00A5155E">
        <w:rPr>
          <w:rFonts w:cstheme="minorHAnsi"/>
          <w:lang w:val="es-CO"/>
        </w:rPr>
        <w:t>Position:</w:t>
      </w:r>
    </w:p>
    <w:p w14:paraId="421C43BC" w14:textId="54B6CA21" w:rsidR="00A5155E" w:rsidRPr="00A5155E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s-CO"/>
        </w:rPr>
      </w:pPr>
      <w:r w:rsidRPr="00A5155E">
        <w:rPr>
          <w:rFonts w:cstheme="minorHAnsi"/>
          <w:lang w:val="es-CO"/>
        </w:rPr>
        <w:t xml:space="preserve">Prepared by:   </w:t>
      </w:r>
      <w:r w:rsidR="009E34B7">
        <w:rPr>
          <w:rFonts w:cstheme="minorHAnsi"/>
          <w:lang w:val="es-CO"/>
        </w:rPr>
        <w:t xml:space="preserve">Ángela Maldonado </w:t>
      </w:r>
      <w:r w:rsidR="00705F9B">
        <w:rPr>
          <w:rFonts w:cstheme="minorHAnsi"/>
          <w:lang w:val="es-CO"/>
        </w:rPr>
        <w:t>Guerra</w:t>
      </w:r>
      <w:r w:rsidRPr="00A5155E">
        <w:rPr>
          <w:rFonts w:cstheme="minorHAnsi"/>
          <w:lang w:val="es-CO"/>
        </w:rPr>
        <w:tab/>
      </w:r>
      <w:r w:rsidR="000A7144" w:rsidRPr="000A7144">
        <w:rPr>
          <w:rFonts w:cstheme="minorHAnsi"/>
          <w:lang w:val="es-CO"/>
        </w:rPr>
        <w:t>Profesional Especializada</w:t>
      </w:r>
      <w:r w:rsidR="000A7144">
        <w:rPr>
          <w:rFonts w:cstheme="minorHAnsi"/>
          <w:lang w:val="es-CO"/>
        </w:rPr>
        <w:t xml:space="preserve"> Gobernabilidad</w:t>
      </w:r>
    </w:p>
    <w:p w14:paraId="37A804C3" w14:textId="5227AB1D" w:rsidR="00705F9B" w:rsidRDefault="009E34B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                          David Lamprea Rodriguez</w:t>
      </w:r>
      <w:r w:rsidR="00A5155E" w:rsidRPr="00A5155E">
        <w:rPr>
          <w:rFonts w:cstheme="minorHAnsi"/>
          <w:lang w:val="es-CO"/>
        </w:rPr>
        <w:tab/>
      </w:r>
      <w:r w:rsidR="00705F9B" w:rsidRPr="00A5155E">
        <w:rPr>
          <w:rFonts w:cstheme="minorHAnsi"/>
          <w:lang w:val="es-CO"/>
        </w:rPr>
        <w:t xml:space="preserve">UNV </w:t>
      </w:r>
      <w:r w:rsidR="00705F9B">
        <w:rPr>
          <w:rFonts w:cstheme="minorHAnsi"/>
          <w:lang w:val="es-CO"/>
        </w:rPr>
        <w:t>Professional</w:t>
      </w:r>
      <w:r w:rsidR="00705F9B" w:rsidRPr="00A5155E">
        <w:rPr>
          <w:rFonts w:cstheme="minorHAnsi"/>
          <w:lang w:val="es-CO"/>
        </w:rPr>
        <w:t xml:space="preserve"> M&amp;E Paz</w:t>
      </w:r>
    </w:p>
    <w:p w14:paraId="5FEE77D4" w14:textId="420A0893" w:rsidR="00E61BD7" w:rsidRDefault="00705F9B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                                                                                       </w:t>
      </w:r>
      <w:r w:rsidR="00E61BD7" w:rsidRPr="00E23BCB">
        <w:rPr>
          <w:rFonts w:cstheme="minorHAnsi"/>
          <w:lang w:val="es-CO"/>
        </w:rPr>
        <w:t>Unit/Bureau:</w:t>
      </w:r>
      <w:r w:rsidR="00A5155E" w:rsidRPr="00E23BCB">
        <w:rPr>
          <w:rFonts w:cstheme="minorHAnsi"/>
          <w:lang w:val="es-CO"/>
        </w:rPr>
        <w:t xml:space="preserve"> PNUD Colombia</w:t>
      </w:r>
    </w:p>
    <w:p w14:paraId="15F7CC51" w14:textId="77777777" w:rsidR="000A7144" w:rsidRPr="00E23BCB" w:rsidRDefault="000A7144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s-CO"/>
        </w:rPr>
      </w:pPr>
    </w:p>
    <w:p w14:paraId="5A77DD26" w14:textId="7223F108" w:rsidR="00E61BD7" w:rsidRPr="00E23BCB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s-CO"/>
        </w:rPr>
      </w:pPr>
      <w:r w:rsidRPr="00E23BCB">
        <w:rPr>
          <w:rFonts w:cstheme="minorHAnsi"/>
          <w:lang w:val="es-CO"/>
        </w:rPr>
        <w:t xml:space="preserve">Cleared </w:t>
      </w:r>
      <w:r w:rsidR="00A5155E" w:rsidRPr="00E23BCB">
        <w:rPr>
          <w:rFonts w:cstheme="minorHAnsi"/>
          <w:lang w:val="es-CO"/>
        </w:rPr>
        <w:t>by: Juliana Correa</w:t>
      </w:r>
      <w:r w:rsidRPr="00E23BCB">
        <w:rPr>
          <w:rFonts w:cstheme="minorHAnsi"/>
          <w:lang w:val="es-CO"/>
        </w:rPr>
        <w:tab/>
        <w:t>Position:</w:t>
      </w:r>
      <w:r w:rsidR="00A5155E" w:rsidRPr="00E23BCB">
        <w:rPr>
          <w:rFonts w:cstheme="minorHAnsi"/>
          <w:lang w:val="es-CO"/>
        </w:rPr>
        <w:t xml:space="preserve"> Oficial de Programa Paz</w:t>
      </w:r>
      <w:r w:rsidRPr="00E23BCB">
        <w:rPr>
          <w:rFonts w:cstheme="minorHAnsi"/>
          <w:lang w:val="es-CO"/>
        </w:rPr>
        <w:tab/>
      </w:r>
      <w:r w:rsidRPr="00E23BCB">
        <w:rPr>
          <w:rFonts w:cstheme="minorHAnsi"/>
          <w:lang w:val="es-CO"/>
        </w:rPr>
        <w:tab/>
        <w:t>Unit/Bureau:</w:t>
      </w:r>
      <w:r w:rsidR="00A5155E" w:rsidRPr="00E23BCB">
        <w:rPr>
          <w:rFonts w:cstheme="minorHAnsi"/>
          <w:lang w:val="es-CO"/>
        </w:rPr>
        <w:t xml:space="preserve"> PNUD Colombia</w:t>
      </w:r>
    </w:p>
    <w:p w14:paraId="436BF28A" w14:textId="097D4A13" w:rsidR="00E61BD7" w:rsidRPr="006472F1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  <w:lang w:val="en-US"/>
        </w:rPr>
      </w:pPr>
      <w:r w:rsidRPr="006472F1">
        <w:rPr>
          <w:rFonts w:cstheme="minorHAnsi"/>
          <w:lang w:val="en-US"/>
        </w:rPr>
        <w:t>Input into and update in ERC:</w:t>
      </w:r>
      <w:r w:rsidR="00A5155E" w:rsidRPr="006472F1">
        <w:rPr>
          <w:rFonts w:cstheme="minorHAnsi"/>
          <w:lang w:val="en-US"/>
        </w:rPr>
        <w:t xml:space="preserve"> David Quijano</w:t>
      </w:r>
      <w:r w:rsidRPr="006472F1">
        <w:rPr>
          <w:rFonts w:cstheme="minorHAnsi"/>
          <w:lang w:val="en-US"/>
        </w:rPr>
        <w:tab/>
        <w:t>Position:</w:t>
      </w:r>
      <w:r w:rsidR="00A5155E" w:rsidRPr="006472F1">
        <w:rPr>
          <w:rFonts w:cstheme="minorHAnsi"/>
          <w:lang w:val="en-US"/>
        </w:rPr>
        <w:t xml:space="preserve"> </w:t>
      </w:r>
      <w:r w:rsidR="006472F1">
        <w:rPr>
          <w:rFonts w:cstheme="minorHAnsi"/>
          <w:lang w:val="en-US"/>
        </w:rPr>
        <w:t xml:space="preserve">Unidad de </w:t>
      </w:r>
      <w:r w:rsidR="000A7144">
        <w:rPr>
          <w:rFonts w:cstheme="minorHAnsi"/>
          <w:lang w:val="en-US"/>
        </w:rPr>
        <w:t>A</w:t>
      </w:r>
      <w:r w:rsidR="006472F1">
        <w:rPr>
          <w:rFonts w:cstheme="minorHAnsi"/>
          <w:lang w:val="en-US"/>
        </w:rPr>
        <w:t>poyo Estratégico</w:t>
      </w:r>
      <w:r w:rsidR="00A5155E" w:rsidRPr="006472F1">
        <w:rPr>
          <w:rFonts w:cstheme="minorHAnsi"/>
          <w:lang w:val="en-US"/>
        </w:rPr>
        <w:t xml:space="preserve"> </w:t>
      </w:r>
      <w:r w:rsidRPr="006472F1">
        <w:rPr>
          <w:rFonts w:cstheme="minorHAnsi"/>
          <w:lang w:val="en-US"/>
        </w:rPr>
        <w:tab/>
      </w:r>
      <w:r w:rsidRPr="006472F1">
        <w:rPr>
          <w:rFonts w:cstheme="minorHAnsi"/>
          <w:lang w:val="en-US"/>
        </w:rPr>
        <w:tab/>
        <w:t>Unit/Bureau:</w:t>
      </w:r>
      <w:r w:rsidR="00A5155E" w:rsidRPr="006472F1">
        <w:rPr>
          <w:rFonts w:cstheme="minorHAnsi"/>
          <w:lang w:val="en-US"/>
        </w:rPr>
        <w:t xml:space="preserve"> PNUD Colombia</w:t>
      </w:r>
    </w:p>
    <w:p w14:paraId="1F447C04" w14:textId="77777777" w:rsidR="00E61BD7" w:rsidRPr="006472F1" w:rsidRDefault="00E61BD7" w:rsidP="00E61BD7">
      <w:pPr>
        <w:spacing w:after="0" w:line="240" w:lineRule="auto"/>
        <w:jc w:val="both"/>
        <w:rPr>
          <w:rFonts w:cstheme="minorHAnsi"/>
          <w:lang w:val="en-US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696"/>
        <w:gridCol w:w="2008"/>
        <w:gridCol w:w="1894"/>
        <w:gridCol w:w="1224"/>
        <w:gridCol w:w="1194"/>
      </w:tblGrid>
      <w:tr w:rsidR="00E61BD7" w:rsidRPr="005E1766" w14:paraId="09594BBB" w14:textId="77777777" w:rsidTr="00E314EB">
        <w:tc>
          <w:tcPr>
            <w:tcW w:w="9016" w:type="dxa"/>
            <w:gridSpan w:val="5"/>
            <w:shd w:val="clear" w:color="auto" w:fill="EAF6F3"/>
          </w:tcPr>
          <w:p w14:paraId="7EB0337E" w14:textId="7CEE63A0" w:rsidR="00DB6459" w:rsidRPr="00DB6459" w:rsidRDefault="00E61BD7" w:rsidP="00DB6459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Evaluation recommendation 1. </w:t>
            </w:r>
            <w:r w:rsidR="005C6DB3" w:rsidRPr="005C6DB3">
              <w:rPr>
                <w:lang w:val="es-CO"/>
              </w:rPr>
              <w:t xml:space="preserve"> </w:t>
            </w:r>
            <w:r w:rsidR="00DB6459">
              <w:t xml:space="preserve"> </w:t>
            </w:r>
            <w:r w:rsidR="00DB6459" w:rsidRPr="00DB6459">
              <w:rPr>
                <w:lang w:val="es-CO"/>
              </w:rPr>
              <w:t>Al ser una plataforma sujeta a un público objetivo tan diverso,</w:t>
            </w:r>
          </w:p>
          <w:p w14:paraId="21565DCD" w14:textId="1BD1A62C" w:rsidR="00E61BD7" w:rsidRPr="005C6DB3" w:rsidRDefault="00DB6459" w:rsidP="009806D4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  <w:r w:rsidRPr="00DB6459">
              <w:rPr>
                <w:lang w:val="es-CO"/>
              </w:rPr>
              <w:t>desde el diseño no es claro cómo el contenido responderá a las</w:t>
            </w:r>
            <w:r w:rsidR="009806D4">
              <w:rPr>
                <w:lang w:val="es-CO"/>
              </w:rPr>
              <w:t xml:space="preserve"> </w:t>
            </w:r>
            <w:r w:rsidRPr="00DB6459">
              <w:rPr>
                <w:lang w:val="es-CO"/>
              </w:rPr>
              <w:t>necesidades de los actores privados y de cooperación que hacen</w:t>
            </w:r>
            <w:r w:rsidR="009806D4">
              <w:rPr>
                <w:lang w:val="es-CO"/>
              </w:rPr>
              <w:t xml:space="preserve"> </w:t>
            </w:r>
            <w:r w:rsidRPr="00DB6459">
              <w:rPr>
                <w:lang w:val="es-CO"/>
              </w:rPr>
              <w:t>parte de los actores del territorio.</w:t>
            </w:r>
            <w:r w:rsidR="009806D4">
              <w:rPr>
                <w:lang w:val="es-CO"/>
              </w:rPr>
              <w:t xml:space="preserve"> </w:t>
            </w:r>
            <w:r w:rsidR="009806D4">
              <w:t xml:space="preserve"> </w:t>
            </w:r>
            <w:r w:rsidR="009806D4" w:rsidRPr="009806D4">
              <w:rPr>
                <w:lang w:val="es-CO"/>
              </w:rPr>
              <w:t>Se recomienda que se haga evidente cuál es el valor agregado</w:t>
            </w:r>
            <w:r w:rsidR="009806D4">
              <w:rPr>
                <w:lang w:val="es-CO"/>
              </w:rPr>
              <w:t xml:space="preserve"> </w:t>
            </w:r>
            <w:r w:rsidR="009806D4" w:rsidRPr="009806D4">
              <w:rPr>
                <w:lang w:val="es-CO"/>
              </w:rPr>
              <w:t>que ofrecerá para la red de privados y cooperación internacional</w:t>
            </w:r>
            <w:r w:rsidR="009806D4">
              <w:rPr>
                <w:lang w:val="es-CO"/>
              </w:rPr>
              <w:t xml:space="preserve"> </w:t>
            </w:r>
            <w:r w:rsidR="009806D4" w:rsidRPr="009806D4">
              <w:rPr>
                <w:lang w:val="es-CO"/>
              </w:rPr>
              <w:t>que también se encuentran apoyando la implementación de los</w:t>
            </w:r>
            <w:r w:rsidR="009806D4">
              <w:rPr>
                <w:lang w:val="es-CO"/>
              </w:rPr>
              <w:t xml:space="preserve"> </w:t>
            </w:r>
            <w:r w:rsidR="009806D4" w:rsidRPr="009806D4">
              <w:rPr>
                <w:lang w:val="es-CO"/>
              </w:rPr>
              <w:t>PDET en los territorios.</w:t>
            </w:r>
          </w:p>
        </w:tc>
      </w:tr>
      <w:tr w:rsidR="00E61BD7" w:rsidRPr="00E25934" w14:paraId="3CE1456E" w14:textId="77777777" w:rsidTr="00E314EB">
        <w:tc>
          <w:tcPr>
            <w:tcW w:w="9016" w:type="dxa"/>
            <w:gridSpan w:val="5"/>
            <w:shd w:val="clear" w:color="auto" w:fill="EAF6F3"/>
          </w:tcPr>
          <w:p w14:paraId="41BAF8A2" w14:textId="7669449C" w:rsidR="00E61BD7" w:rsidRPr="00E25934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  <w:r w:rsidRPr="00E25934">
              <w:rPr>
                <w:rFonts w:cstheme="minorHAnsi"/>
                <w:b/>
                <w:color w:val="185262"/>
                <w:lang w:val="es-CO"/>
              </w:rPr>
              <w:t xml:space="preserve">Management response: </w:t>
            </w:r>
            <w:r w:rsidR="00E25934" w:rsidRPr="00E25934">
              <w:rPr>
                <w:rFonts w:cstheme="minorHAnsi"/>
                <w:b/>
                <w:color w:val="185262"/>
                <w:lang w:val="es-CO"/>
              </w:rPr>
              <w:t xml:space="preserve"> </w:t>
            </w:r>
            <w:r w:rsidR="00E25934" w:rsidRPr="00E25934">
              <w:rPr>
                <w:lang w:val="es-CO"/>
              </w:rPr>
              <w:t xml:space="preserve"> </w:t>
            </w:r>
            <w:r w:rsidR="005351E9">
              <w:rPr>
                <w:lang w:val="es-CO"/>
              </w:rPr>
              <w:t>D</w:t>
            </w:r>
            <w:r w:rsidR="009C0EC9">
              <w:rPr>
                <w:lang w:val="es-CO"/>
              </w:rPr>
              <w:t xml:space="preserve">e acuerdo con la recomendación. En el diseño del documento del proyecto se contempló </w:t>
            </w:r>
            <w:r w:rsidR="002C324A">
              <w:rPr>
                <w:lang w:val="es-CO"/>
              </w:rPr>
              <w:t xml:space="preserve">la participación de red de privados y cooperación internacional, pero no se definió </w:t>
            </w:r>
            <w:r w:rsidR="003F37E3">
              <w:rPr>
                <w:lang w:val="es-CO"/>
              </w:rPr>
              <w:t>su responsabilidad.</w:t>
            </w:r>
            <w:r w:rsidR="00D92BAF">
              <w:rPr>
                <w:lang w:val="es-CO"/>
              </w:rPr>
              <w:t xml:space="preserve"> </w:t>
            </w:r>
            <w:r w:rsidR="00893A67">
              <w:rPr>
                <w:lang w:val="es-CO"/>
              </w:rPr>
              <w:t>La recomendación será tomada</w:t>
            </w:r>
            <w:r w:rsidR="00D92BAF">
              <w:rPr>
                <w:lang w:val="es-CO"/>
              </w:rPr>
              <w:t xml:space="preserve"> en cuenta para futuros proyectos.</w:t>
            </w:r>
          </w:p>
        </w:tc>
      </w:tr>
      <w:tr w:rsidR="00E61BD7" w:rsidRPr="008711DF" w14:paraId="2CB5DAF7" w14:textId="77777777" w:rsidTr="00E314EB">
        <w:trPr>
          <w:trHeight w:val="135"/>
        </w:trPr>
        <w:tc>
          <w:tcPr>
            <w:tcW w:w="2696" w:type="dxa"/>
            <w:vMerge w:val="restart"/>
            <w:shd w:val="clear" w:color="auto" w:fill="EAF6F3"/>
          </w:tcPr>
          <w:p w14:paraId="293159F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08" w:type="dxa"/>
            <w:vMerge w:val="restart"/>
            <w:shd w:val="clear" w:color="auto" w:fill="EAF6F3"/>
          </w:tcPr>
          <w:p w14:paraId="65560E4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894" w:type="dxa"/>
            <w:vMerge w:val="restart"/>
            <w:shd w:val="clear" w:color="auto" w:fill="EAF6F3"/>
          </w:tcPr>
          <w:p w14:paraId="316DE187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18" w:type="dxa"/>
            <w:gridSpan w:val="2"/>
            <w:shd w:val="clear" w:color="auto" w:fill="EAF6F3"/>
          </w:tcPr>
          <w:p w14:paraId="5F71D2E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Tracking*</w:t>
            </w:r>
          </w:p>
        </w:tc>
      </w:tr>
      <w:tr w:rsidR="00E61BD7" w:rsidRPr="008711DF" w14:paraId="285D04BA" w14:textId="77777777" w:rsidTr="00E314EB">
        <w:trPr>
          <w:trHeight w:val="135"/>
        </w:trPr>
        <w:tc>
          <w:tcPr>
            <w:tcW w:w="2696" w:type="dxa"/>
            <w:vMerge/>
            <w:shd w:val="clear" w:color="auto" w:fill="F3F3F3"/>
          </w:tcPr>
          <w:p w14:paraId="579DFBC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08" w:type="dxa"/>
            <w:vMerge/>
            <w:shd w:val="clear" w:color="auto" w:fill="F3F3F3"/>
          </w:tcPr>
          <w:p w14:paraId="62D147D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94" w:type="dxa"/>
            <w:vMerge/>
            <w:shd w:val="clear" w:color="auto" w:fill="F3F3F3"/>
          </w:tcPr>
          <w:p w14:paraId="11BE5D60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4" w:type="dxa"/>
          </w:tcPr>
          <w:p w14:paraId="4F10E3E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94" w:type="dxa"/>
          </w:tcPr>
          <w:p w14:paraId="5604A97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Theme="majorHAnsi" w:eastAsiaTheme="majorEastAsia" w:hAnsiTheme="majorHAnsi" w:cstheme="minorHAnsi"/>
                <w:b/>
                <w:color w:val="185262"/>
                <w:sz w:val="21"/>
                <w:szCs w:val="21"/>
              </w:rPr>
            </w:pPr>
            <w:r w:rsidRPr="008711DF">
              <w:rPr>
                <w:rFonts w:cstheme="minorHAnsi"/>
                <w:b/>
                <w:color w:val="185262"/>
              </w:rPr>
              <w:t>Status</w:t>
            </w:r>
          </w:p>
          <w:p w14:paraId="0BE697D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(initiated, completed or no due date)</w:t>
            </w:r>
          </w:p>
        </w:tc>
      </w:tr>
      <w:tr w:rsidR="00E61BD7" w:rsidRPr="005E1766" w14:paraId="7FB68C9E" w14:textId="77777777" w:rsidTr="00E314EB">
        <w:trPr>
          <w:trHeight w:val="2061"/>
        </w:trPr>
        <w:tc>
          <w:tcPr>
            <w:tcW w:w="2696" w:type="dxa"/>
          </w:tcPr>
          <w:p w14:paraId="138B2EB0" w14:textId="3D912C59" w:rsidR="00E61BD7" w:rsidRPr="00E314EB" w:rsidRDefault="00E61BD7" w:rsidP="00DA60E4">
            <w:pPr>
              <w:rPr>
                <w:rFonts w:cstheme="minorHAnsi"/>
                <w:color w:val="185262"/>
                <w:lang w:val="es-CO"/>
              </w:rPr>
            </w:pPr>
            <w:r w:rsidRPr="00DA60E4">
              <w:rPr>
                <w:rFonts w:cstheme="minorHAnsi"/>
                <w:color w:val="185262"/>
                <w:lang w:val="es-CO"/>
              </w:rPr>
              <w:t>1.1</w:t>
            </w:r>
            <w:r w:rsidR="00DA60E4" w:rsidRPr="00DA60E4">
              <w:rPr>
                <w:lang w:val="es-CO"/>
              </w:rPr>
              <w:t xml:space="preserve"> </w:t>
            </w:r>
            <w:r w:rsidR="00ED14D1" w:rsidRPr="00ED14D1">
              <w:rPr>
                <w:lang w:val="es-CO"/>
              </w:rPr>
              <w:t xml:space="preserve"> </w:t>
            </w:r>
            <w:r w:rsidR="00E314EB" w:rsidRPr="00E314EB">
              <w:rPr>
                <w:lang w:val="es-CO"/>
              </w:rPr>
              <w:t xml:space="preserve"> </w:t>
            </w:r>
            <w:r w:rsidR="004B007D">
              <w:t xml:space="preserve"> </w:t>
            </w:r>
            <w:r w:rsidR="004B007D" w:rsidRPr="004B007D">
              <w:rPr>
                <w:lang w:val="es-CO"/>
              </w:rPr>
              <w:t>Socializar los resultados de la evaluación con el Fondo Multidonante, la ART y con el equipo del área de gobernabilidad democrática para ser tenido en cuenta en futuros proyectos</w:t>
            </w:r>
          </w:p>
        </w:tc>
        <w:tc>
          <w:tcPr>
            <w:tcW w:w="2008" w:type="dxa"/>
          </w:tcPr>
          <w:p w14:paraId="5D8AC49E" w14:textId="400D2D2F" w:rsidR="00E61BD7" w:rsidRPr="007209B2" w:rsidRDefault="004B007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28/FEB/22</w:t>
            </w:r>
          </w:p>
        </w:tc>
        <w:tc>
          <w:tcPr>
            <w:tcW w:w="1894" w:type="dxa"/>
          </w:tcPr>
          <w:p w14:paraId="2FA5C175" w14:textId="08842DC9" w:rsidR="007209B2" w:rsidRPr="007209B2" w:rsidRDefault="004B007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Profesional Monitoreo del área de Paz</w:t>
            </w:r>
          </w:p>
        </w:tc>
        <w:tc>
          <w:tcPr>
            <w:tcW w:w="1224" w:type="dxa"/>
          </w:tcPr>
          <w:p w14:paraId="04FB7A1A" w14:textId="77777777" w:rsidR="00E61BD7" w:rsidRPr="007209B2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1194" w:type="dxa"/>
          </w:tcPr>
          <w:p w14:paraId="3E87EDB2" w14:textId="5B192038" w:rsidR="00E61BD7" w:rsidRPr="007209B2" w:rsidRDefault="004B007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Iniciada</w:t>
            </w:r>
          </w:p>
        </w:tc>
      </w:tr>
    </w:tbl>
    <w:p w14:paraId="082CA099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792"/>
        <w:gridCol w:w="1947"/>
        <w:gridCol w:w="1857"/>
        <w:gridCol w:w="1226"/>
        <w:gridCol w:w="1194"/>
      </w:tblGrid>
      <w:tr w:rsidR="00E61BD7" w:rsidRPr="005E1766" w14:paraId="7D2D1856" w14:textId="77777777" w:rsidTr="6366D6C1">
        <w:tc>
          <w:tcPr>
            <w:tcW w:w="9016" w:type="dxa"/>
            <w:gridSpan w:val="5"/>
            <w:shd w:val="clear" w:color="auto" w:fill="EAF6F3"/>
          </w:tcPr>
          <w:p w14:paraId="36A7AB55" w14:textId="4D1DDE55" w:rsidR="00920E40" w:rsidRPr="00920E40" w:rsidRDefault="00E61BD7" w:rsidP="00920E4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Cs/>
                <w:lang w:val="es-CO"/>
              </w:rPr>
            </w:pP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Evaluation recommendation 2. </w:t>
            </w:r>
            <w:r w:rsidR="005C6DB3" w:rsidRPr="005C6DB3">
              <w:rPr>
                <w:rFonts w:cstheme="minorHAnsi"/>
                <w:b/>
                <w:color w:val="185262"/>
                <w:lang w:val="es-CO"/>
              </w:rPr>
              <w:t xml:space="preserve"> </w:t>
            </w:r>
            <w:r w:rsidR="00920E40" w:rsidRPr="00920E40">
              <w:rPr>
                <w:rFonts w:cstheme="minorHAnsi"/>
                <w:bCs/>
                <w:lang w:val="es-CO"/>
              </w:rPr>
              <w:t>El proyecto tuvo buena incidencia en las administraciones</w:t>
            </w:r>
            <w:r w:rsidR="00920E40">
              <w:rPr>
                <w:rFonts w:cstheme="minorHAnsi"/>
                <w:bCs/>
                <w:lang w:val="es-CO"/>
              </w:rPr>
              <w:t xml:space="preserve"> </w:t>
            </w:r>
            <w:r w:rsidR="00920E40" w:rsidRPr="00920E40">
              <w:rPr>
                <w:rFonts w:cstheme="minorHAnsi"/>
                <w:bCs/>
                <w:lang w:val="es-CO"/>
              </w:rPr>
              <w:t>municipales, sin embargo, no ocurrió de la misma manera a nivel</w:t>
            </w:r>
            <w:r w:rsidR="00920E40">
              <w:rPr>
                <w:rFonts w:cstheme="minorHAnsi"/>
                <w:bCs/>
                <w:lang w:val="es-CO"/>
              </w:rPr>
              <w:t xml:space="preserve"> </w:t>
            </w:r>
            <w:r w:rsidR="00920E40" w:rsidRPr="00920E40">
              <w:rPr>
                <w:rFonts w:cstheme="minorHAnsi"/>
                <w:bCs/>
                <w:lang w:val="es-CO"/>
              </w:rPr>
              <w:t>departamental.</w:t>
            </w:r>
            <w:r w:rsidR="00920E40">
              <w:rPr>
                <w:rFonts w:cstheme="minorHAnsi"/>
                <w:bCs/>
                <w:lang w:val="es-CO"/>
              </w:rPr>
              <w:t xml:space="preserve"> </w:t>
            </w:r>
            <w:r w:rsidR="00920E40" w:rsidRPr="00920E40">
              <w:rPr>
                <w:rFonts w:cstheme="minorHAnsi"/>
                <w:bCs/>
                <w:lang w:val="es-CO"/>
              </w:rPr>
              <w:t>Se recomienda la incorporación del nivel departamental en este</w:t>
            </w:r>
            <w:r w:rsidR="00920E40">
              <w:rPr>
                <w:rFonts w:cstheme="minorHAnsi"/>
                <w:bCs/>
                <w:lang w:val="es-CO"/>
              </w:rPr>
              <w:t xml:space="preserve"> </w:t>
            </w:r>
            <w:r w:rsidR="00920E40" w:rsidRPr="00920E40">
              <w:rPr>
                <w:rFonts w:cstheme="minorHAnsi"/>
                <w:bCs/>
                <w:lang w:val="es-CO"/>
              </w:rPr>
              <w:t>tipo de proyectos, pues tener un acercamiento a los</w:t>
            </w:r>
          </w:p>
          <w:p w14:paraId="3319BB24" w14:textId="4C372819" w:rsidR="00E61BD7" w:rsidRPr="005C6DB3" w:rsidRDefault="00920E40" w:rsidP="00920E4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  <w:r w:rsidRPr="00920E40">
              <w:rPr>
                <w:rFonts w:cstheme="minorHAnsi"/>
                <w:bCs/>
                <w:lang w:val="es-CO"/>
              </w:rPr>
              <w:t>departamentos, puede generar una mayor externalidad positiva</w:t>
            </w:r>
            <w:r>
              <w:rPr>
                <w:rFonts w:cstheme="minorHAnsi"/>
                <w:bCs/>
                <w:lang w:val="es-CO"/>
              </w:rPr>
              <w:t xml:space="preserve"> </w:t>
            </w:r>
            <w:r w:rsidRPr="00920E40">
              <w:rPr>
                <w:rFonts w:cstheme="minorHAnsi"/>
                <w:bCs/>
                <w:lang w:val="es-CO"/>
              </w:rPr>
              <w:t>con algunos municipios</w:t>
            </w:r>
          </w:p>
        </w:tc>
      </w:tr>
      <w:tr w:rsidR="00E61BD7" w:rsidRPr="00086E76" w14:paraId="4351F906" w14:textId="77777777" w:rsidTr="6366D6C1">
        <w:tc>
          <w:tcPr>
            <w:tcW w:w="9016" w:type="dxa"/>
            <w:gridSpan w:val="5"/>
            <w:shd w:val="clear" w:color="auto" w:fill="EAF6F3"/>
          </w:tcPr>
          <w:p w14:paraId="460B874A" w14:textId="71783BA5" w:rsidR="00E61BD7" w:rsidRPr="00086E76" w:rsidRDefault="00E61BD7" w:rsidP="6366D6C1">
            <w:pPr>
              <w:tabs>
                <w:tab w:val="left" w:pos="1080"/>
              </w:tabs>
              <w:spacing w:after="0" w:line="240" w:lineRule="auto"/>
              <w:jc w:val="both"/>
              <w:rPr>
                <w:color w:val="185262"/>
                <w:lang w:val="es-CO"/>
              </w:rPr>
            </w:pPr>
            <w:r w:rsidRPr="6366D6C1">
              <w:rPr>
                <w:color w:val="185262"/>
                <w:lang w:val="es-CO"/>
              </w:rPr>
              <w:t>Management response:</w:t>
            </w:r>
            <w:r w:rsidR="00086E76" w:rsidRPr="6366D6C1">
              <w:rPr>
                <w:color w:val="185262"/>
                <w:lang w:val="es-CO"/>
              </w:rPr>
              <w:t xml:space="preserve"> </w:t>
            </w:r>
            <w:r w:rsidR="1F5603E6" w:rsidRPr="6366D6C1">
              <w:rPr>
                <w:lang w:val="es-CO"/>
              </w:rPr>
              <w:t xml:space="preserve"> </w:t>
            </w:r>
            <w:r w:rsidR="005D46FF">
              <w:rPr>
                <w:lang w:val="es-CO"/>
              </w:rPr>
              <w:t xml:space="preserve">Parcialmente de acuerdo con </w:t>
            </w:r>
            <w:r w:rsidR="00EB1E0A">
              <w:rPr>
                <w:lang w:val="es-CO"/>
              </w:rPr>
              <w:t xml:space="preserve">la </w:t>
            </w:r>
            <w:r w:rsidR="006E3FC1">
              <w:rPr>
                <w:lang w:val="es-CO"/>
              </w:rPr>
              <w:t>recomendación: E</w:t>
            </w:r>
            <w:r w:rsidR="1F5603E6" w:rsidRPr="6366D6C1">
              <w:rPr>
                <w:lang w:val="es-CO"/>
              </w:rPr>
              <w:t xml:space="preserve">sta es una recomendación válida para el diseño de próximos proyectos en el marco del fortalecimiento institucional. </w:t>
            </w:r>
            <w:r w:rsidR="516417CB" w:rsidRPr="6366D6C1">
              <w:rPr>
                <w:lang w:val="es-CO"/>
              </w:rPr>
              <w:t>Esto puede ser una medida que puede tener impacto positivo a un mayor número de municipios</w:t>
            </w:r>
            <w:r w:rsidR="753DD3D7" w:rsidRPr="6366D6C1">
              <w:rPr>
                <w:lang w:val="es-CO"/>
              </w:rPr>
              <w:t xml:space="preserve">, dada la obligación de los departamentos de brindar asistencia técnica al nivel municipal. </w:t>
            </w:r>
          </w:p>
        </w:tc>
      </w:tr>
      <w:tr w:rsidR="00E61BD7" w:rsidRPr="008711DF" w14:paraId="477A72A4" w14:textId="77777777" w:rsidTr="6366D6C1">
        <w:trPr>
          <w:trHeight w:val="135"/>
        </w:trPr>
        <w:tc>
          <w:tcPr>
            <w:tcW w:w="2792" w:type="dxa"/>
            <w:vMerge w:val="restart"/>
            <w:shd w:val="clear" w:color="auto" w:fill="EAF6F3"/>
          </w:tcPr>
          <w:p w14:paraId="3ACB3E8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947" w:type="dxa"/>
            <w:vMerge w:val="restart"/>
            <w:shd w:val="clear" w:color="auto" w:fill="EAF6F3"/>
          </w:tcPr>
          <w:p w14:paraId="222AE21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857" w:type="dxa"/>
            <w:vMerge w:val="restart"/>
            <w:shd w:val="clear" w:color="auto" w:fill="EAF6F3"/>
          </w:tcPr>
          <w:p w14:paraId="622F66E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20" w:type="dxa"/>
            <w:gridSpan w:val="2"/>
            <w:shd w:val="clear" w:color="auto" w:fill="EAF6F3"/>
          </w:tcPr>
          <w:p w14:paraId="4F8BF67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5DC6B07B" w14:textId="77777777" w:rsidTr="6366D6C1">
        <w:trPr>
          <w:trHeight w:val="135"/>
        </w:trPr>
        <w:tc>
          <w:tcPr>
            <w:tcW w:w="2792" w:type="dxa"/>
            <w:vMerge/>
          </w:tcPr>
          <w:p w14:paraId="3F8CE7C0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47" w:type="dxa"/>
            <w:vMerge/>
          </w:tcPr>
          <w:p w14:paraId="1BA3995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857" w:type="dxa"/>
            <w:vMerge/>
          </w:tcPr>
          <w:p w14:paraId="6E3EDB0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6" w:type="dxa"/>
          </w:tcPr>
          <w:p w14:paraId="7C6654E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94" w:type="dxa"/>
          </w:tcPr>
          <w:p w14:paraId="7CD3A0A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Status (initiated, completed </w:t>
            </w:r>
            <w:r w:rsidRPr="008711DF">
              <w:rPr>
                <w:rFonts w:cstheme="minorHAnsi"/>
                <w:b/>
                <w:color w:val="185262"/>
              </w:rPr>
              <w:lastRenderedPageBreak/>
              <w:t>or no due date)</w:t>
            </w:r>
          </w:p>
        </w:tc>
      </w:tr>
      <w:tr w:rsidR="00752837" w:rsidRPr="00752837" w14:paraId="2E0A52E3" w14:textId="77777777" w:rsidTr="6366D6C1">
        <w:tc>
          <w:tcPr>
            <w:tcW w:w="2792" w:type="dxa"/>
          </w:tcPr>
          <w:p w14:paraId="2A6D5718" w14:textId="605A56D0" w:rsidR="00752837" w:rsidRPr="00E23BCB" w:rsidRDefault="00BB7567" w:rsidP="6366D6C1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6366D6C1">
              <w:rPr>
                <w:lang w:val="es-CO"/>
              </w:rPr>
              <w:lastRenderedPageBreak/>
              <w:t xml:space="preserve">2.1 </w:t>
            </w:r>
            <w:r w:rsidR="35F82FD6" w:rsidRPr="6366D6C1">
              <w:rPr>
                <w:lang w:val="es-CO"/>
              </w:rPr>
              <w:t>Socializar los re</w:t>
            </w:r>
            <w:r w:rsidR="49124BD6" w:rsidRPr="6366D6C1">
              <w:rPr>
                <w:lang w:val="es-CO"/>
              </w:rPr>
              <w:t>su</w:t>
            </w:r>
            <w:r w:rsidR="35F82FD6" w:rsidRPr="6366D6C1">
              <w:rPr>
                <w:lang w:val="es-CO"/>
              </w:rPr>
              <w:t>ltados de la evaluación con el Fondo Multidonante</w:t>
            </w:r>
            <w:r w:rsidR="31669C35" w:rsidRPr="6366D6C1">
              <w:rPr>
                <w:lang w:val="es-CO"/>
              </w:rPr>
              <w:t xml:space="preserve">, la ART y con el equipo del área de gobernabilidad democrática para ser tenido en cuenta más adelante. </w:t>
            </w:r>
          </w:p>
        </w:tc>
        <w:tc>
          <w:tcPr>
            <w:tcW w:w="1947" w:type="dxa"/>
          </w:tcPr>
          <w:p w14:paraId="3FB30996" w14:textId="2A3ED628" w:rsidR="00752837" w:rsidRPr="004F2497" w:rsidRDefault="31669C35" w:rsidP="6366D6C1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6366D6C1">
              <w:rPr>
                <w:lang w:val="es-CO"/>
              </w:rPr>
              <w:t xml:space="preserve"> </w:t>
            </w:r>
            <w:r w:rsidR="00E85E68">
              <w:rPr>
                <w:lang w:val="es-CO"/>
              </w:rPr>
              <w:t>28</w:t>
            </w:r>
            <w:r w:rsidRPr="6366D6C1">
              <w:rPr>
                <w:lang w:val="es-CO"/>
              </w:rPr>
              <w:t>/</w:t>
            </w:r>
            <w:r w:rsidR="00E85E68">
              <w:rPr>
                <w:lang w:val="es-CO"/>
              </w:rPr>
              <w:t>FEB</w:t>
            </w:r>
            <w:r w:rsidRPr="6366D6C1">
              <w:rPr>
                <w:lang w:val="es-CO"/>
              </w:rPr>
              <w:t>/2022</w:t>
            </w:r>
          </w:p>
        </w:tc>
        <w:tc>
          <w:tcPr>
            <w:tcW w:w="1857" w:type="dxa"/>
          </w:tcPr>
          <w:p w14:paraId="52839F79" w14:textId="15AD15ED" w:rsidR="005300A6" w:rsidRPr="004F2497" w:rsidRDefault="31669C35" w:rsidP="6366D6C1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6366D6C1">
              <w:rPr>
                <w:lang w:val="es-CO"/>
              </w:rPr>
              <w:t>Profesional especializada gobernabilidad democrática</w:t>
            </w:r>
          </w:p>
        </w:tc>
        <w:tc>
          <w:tcPr>
            <w:tcW w:w="1226" w:type="dxa"/>
          </w:tcPr>
          <w:p w14:paraId="4DF705F7" w14:textId="77777777" w:rsidR="00752837" w:rsidRDefault="00752837" w:rsidP="0075283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  <w:p w14:paraId="336FCBB0" w14:textId="77777777" w:rsidR="00A157A3" w:rsidRDefault="00A157A3" w:rsidP="0075283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  <w:p w14:paraId="1E89D8F3" w14:textId="18ACACD9" w:rsidR="00A157A3" w:rsidRPr="004F2497" w:rsidRDefault="00A157A3" w:rsidP="00752837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1194" w:type="dxa"/>
          </w:tcPr>
          <w:p w14:paraId="29549CA6" w14:textId="05D5B932" w:rsidR="00752837" w:rsidRPr="004F2497" w:rsidRDefault="31669C35" w:rsidP="6366D6C1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6366D6C1">
              <w:rPr>
                <w:lang w:val="es-CO"/>
              </w:rPr>
              <w:t>Iniciada</w:t>
            </w:r>
          </w:p>
        </w:tc>
      </w:tr>
    </w:tbl>
    <w:p w14:paraId="65C106F1" w14:textId="77777777" w:rsidR="00E61BD7" w:rsidRPr="005300A6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  <w:lang w:val="es-CO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577"/>
        <w:gridCol w:w="1996"/>
        <w:gridCol w:w="1914"/>
        <w:gridCol w:w="1228"/>
        <w:gridCol w:w="1301"/>
      </w:tblGrid>
      <w:tr w:rsidR="00E61BD7" w:rsidRPr="005E1766" w14:paraId="233D1FF7" w14:textId="77777777" w:rsidTr="005C6DB3">
        <w:tc>
          <w:tcPr>
            <w:tcW w:w="9016" w:type="dxa"/>
            <w:gridSpan w:val="5"/>
            <w:shd w:val="clear" w:color="auto" w:fill="EAF6F3"/>
          </w:tcPr>
          <w:p w14:paraId="5AD6D5AC" w14:textId="77777777" w:rsidR="00991533" w:rsidRPr="00991533" w:rsidRDefault="00E61BD7" w:rsidP="00991533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005C6DB3">
              <w:rPr>
                <w:rFonts w:cstheme="minorHAnsi"/>
                <w:color w:val="185262"/>
                <w:lang w:val="es-CO"/>
              </w:rPr>
              <w:br w:type="page"/>
            </w: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Evaluation recommendation 3. </w:t>
            </w:r>
            <w:r w:rsidR="005C6DB3" w:rsidRPr="005C6DB3">
              <w:rPr>
                <w:rFonts w:cstheme="minorHAnsi"/>
                <w:b/>
                <w:color w:val="185262"/>
                <w:lang w:val="es-CO"/>
              </w:rPr>
              <w:t xml:space="preserve"> </w:t>
            </w:r>
            <w:r w:rsidR="00991533">
              <w:t xml:space="preserve"> </w:t>
            </w:r>
            <w:r w:rsidR="00991533" w:rsidRPr="00991533">
              <w:rPr>
                <w:lang w:val="es-CO"/>
              </w:rPr>
              <w:t>Establecer dentro de la estrategia, mecanismos de medición en</w:t>
            </w:r>
          </w:p>
          <w:p w14:paraId="39343760" w14:textId="7ED0061E" w:rsidR="00E61BD7" w:rsidRPr="005C6DB3" w:rsidRDefault="00991533" w:rsidP="0099153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val="es-CO"/>
              </w:rPr>
            </w:pPr>
            <w:r w:rsidRPr="00991533">
              <w:rPr>
                <w:lang w:val="es-CO"/>
              </w:rPr>
              <w:t>los que se identifique la apuesta por el cambio que hace cada</w:t>
            </w:r>
            <w:r>
              <w:rPr>
                <w:lang w:val="es-CO"/>
              </w:rPr>
              <w:t xml:space="preserve"> </w:t>
            </w:r>
            <w:r w:rsidRPr="00991533">
              <w:rPr>
                <w:lang w:val="es-CO"/>
              </w:rPr>
              <w:t>una de estas iniciativas en búsqueda de transformar las</w:t>
            </w:r>
            <w:r>
              <w:rPr>
                <w:lang w:val="es-CO"/>
              </w:rPr>
              <w:t xml:space="preserve"> </w:t>
            </w:r>
            <w:r w:rsidRPr="00991533">
              <w:rPr>
                <w:lang w:val="es-CO"/>
              </w:rPr>
              <w:t>realidades de las mujeres, jóvenes, niños, niñas y población</w:t>
            </w:r>
            <w:r>
              <w:rPr>
                <w:lang w:val="es-CO"/>
              </w:rPr>
              <w:t xml:space="preserve"> </w:t>
            </w:r>
            <w:r w:rsidRPr="00991533">
              <w:rPr>
                <w:lang w:val="es-CO"/>
              </w:rPr>
              <w:t>étnica en los territorios</w:t>
            </w:r>
          </w:p>
        </w:tc>
      </w:tr>
      <w:tr w:rsidR="00E61BD7" w:rsidRPr="00943354" w14:paraId="4A5F4738" w14:textId="77777777" w:rsidTr="005C6DB3">
        <w:tc>
          <w:tcPr>
            <w:tcW w:w="9016" w:type="dxa"/>
            <w:gridSpan w:val="5"/>
            <w:shd w:val="clear" w:color="auto" w:fill="EAF6F3"/>
          </w:tcPr>
          <w:p w14:paraId="388ECDC3" w14:textId="755E2792" w:rsidR="00991533" w:rsidRPr="00991533" w:rsidRDefault="00E61BD7" w:rsidP="0099153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 w:rsidRPr="00943354">
              <w:rPr>
                <w:rFonts w:cstheme="minorHAnsi"/>
                <w:b/>
                <w:color w:val="185262"/>
                <w:lang w:val="es-CO"/>
              </w:rPr>
              <w:t>Management response</w:t>
            </w:r>
            <w:r w:rsidRPr="00943354">
              <w:rPr>
                <w:rFonts w:cstheme="minorHAnsi"/>
                <w:color w:val="185262"/>
                <w:lang w:val="es-CO"/>
              </w:rPr>
              <w:t xml:space="preserve">: </w:t>
            </w:r>
            <w:r w:rsidR="00FE02BD" w:rsidRPr="00FE02BD">
              <w:rPr>
                <w:rFonts w:cstheme="minorHAnsi"/>
                <w:lang w:val="es-CO"/>
              </w:rPr>
              <w:t>Parcialmente de acuerdo con la recomendación.</w:t>
            </w:r>
            <w:r w:rsidR="00FE02BD">
              <w:rPr>
                <w:rFonts w:cstheme="minorHAnsi"/>
                <w:lang w:val="es-CO"/>
              </w:rPr>
              <w:t xml:space="preserve"> </w:t>
            </w:r>
            <w:r w:rsidR="0016414A">
              <w:t xml:space="preserve"> </w:t>
            </w:r>
            <w:r w:rsidR="0016414A" w:rsidRPr="0016414A">
              <w:rPr>
                <w:rFonts w:cstheme="minorHAnsi"/>
                <w:lang w:val="es-CO"/>
              </w:rPr>
              <w:t>Esta observación se realiza frente a los Acuerdos de Subvención de Bajo Valor - ASBV, estos incluyen indicadores a nivel de producto (segundo nivel de la cadena de resultados) dada la naturaleza del objetivo de fortalecimiento de capacidades, que para el caso del programa se orientó a organizaciones comunitarias de base, para las cuales en su mayoría esta subvención representó una primera experiencia de gestión.  El tiempo y naturaleza de los acuerdos firmados no aplica para un planteamiento de indicadores de efecto (cambio) ya que se incumpliría con los criterios de medible y económico</w:t>
            </w:r>
            <w:r w:rsidR="0016414A">
              <w:rPr>
                <w:rFonts w:cstheme="minorHAnsi"/>
                <w:lang w:val="es-CO"/>
              </w:rPr>
              <w:t>.</w:t>
            </w:r>
            <w:r w:rsidR="0016414A" w:rsidRPr="0016414A">
              <w:rPr>
                <w:rFonts w:cstheme="minorHAnsi"/>
                <w:lang w:val="es-CO"/>
              </w:rPr>
              <w:t xml:space="preserve"> </w:t>
            </w:r>
            <w:r w:rsidR="0016414A">
              <w:rPr>
                <w:rFonts w:cstheme="minorHAnsi"/>
                <w:lang w:val="es-CO"/>
              </w:rPr>
              <w:t>S</w:t>
            </w:r>
            <w:r w:rsidR="0016414A" w:rsidRPr="0016414A">
              <w:rPr>
                <w:rFonts w:cstheme="minorHAnsi"/>
                <w:lang w:val="es-CO"/>
              </w:rPr>
              <w:t xml:space="preserve">in embargo, se reforzará con el equipo de monitoreo y evaluación esta recomendación para otras experiencias de SBV donde el tiempo y naturaleza permita trabajar indicadores de efecto. </w:t>
            </w:r>
          </w:p>
          <w:p w14:paraId="7B000225" w14:textId="1699BBA6" w:rsidR="00E61BD7" w:rsidRPr="00943354" w:rsidRDefault="00E61BD7" w:rsidP="0099153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</w:p>
        </w:tc>
      </w:tr>
      <w:tr w:rsidR="00E61BD7" w:rsidRPr="008711DF" w14:paraId="5A3E17CB" w14:textId="77777777" w:rsidTr="00403E44">
        <w:trPr>
          <w:trHeight w:val="135"/>
        </w:trPr>
        <w:tc>
          <w:tcPr>
            <w:tcW w:w="2577" w:type="dxa"/>
            <w:vMerge w:val="restart"/>
            <w:shd w:val="clear" w:color="auto" w:fill="EAF6F3"/>
          </w:tcPr>
          <w:p w14:paraId="443BF9E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996" w:type="dxa"/>
            <w:vMerge w:val="restart"/>
            <w:shd w:val="clear" w:color="auto" w:fill="EAF6F3"/>
          </w:tcPr>
          <w:p w14:paraId="4BEEBC2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14" w:type="dxa"/>
            <w:vMerge w:val="restart"/>
            <w:shd w:val="clear" w:color="auto" w:fill="EAF6F3"/>
          </w:tcPr>
          <w:p w14:paraId="20B4141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3773382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25F7BF03" w14:textId="77777777" w:rsidTr="00403E44">
        <w:trPr>
          <w:trHeight w:val="135"/>
        </w:trPr>
        <w:tc>
          <w:tcPr>
            <w:tcW w:w="2577" w:type="dxa"/>
            <w:vMerge/>
            <w:shd w:val="clear" w:color="auto" w:fill="F3F3F3"/>
          </w:tcPr>
          <w:p w14:paraId="1B23A89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96" w:type="dxa"/>
            <w:vMerge/>
            <w:shd w:val="clear" w:color="auto" w:fill="F3F3F3"/>
          </w:tcPr>
          <w:p w14:paraId="4207FE5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14" w:type="dxa"/>
            <w:vMerge/>
            <w:shd w:val="clear" w:color="auto" w:fill="F3F3F3"/>
          </w:tcPr>
          <w:p w14:paraId="47B4A2F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77DC143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5100C7A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E61BD7" w:rsidRPr="005E1766" w14:paraId="0994084A" w14:textId="77777777" w:rsidTr="00403E44">
        <w:tc>
          <w:tcPr>
            <w:tcW w:w="2577" w:type="dxa"/>
          </w:tcPr>
          <w:p w14:paraId="2C67A72A" w14:textId="07C99D9B" w:rsidR="00E61BD7" w:rsidRPr="00E23BCB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  <w:r w:rsidRPr="00AC0FF4">
              <w:rPr>
                <w:rFonts w:cstheme="minorHAnsi"/>
                <w:lang w:val="es-CO"/>
              </w:rPr>
              <w:t>3.1</w:t>
            </w:r>
            <w:r w:rsidR="00E23BCB" w:rsidRPr="00AC0FF4">
              <w:rPr>
                <w:lang w:val="es-CO"/>
              </w:rPr>
              <w:t xml:space="preserve"> </w:t>
            </w:r>
            <w:r w:rsidR="00025030">
              <w:rPr>
                <w:lang w:val="es-CO"/>
              </w:rPr>
              <w:t>Socializar dentro del equipo de monitoreo y evaluación del área de paz del PNUD la recomendación sobre medición de transformación de realidades</w:t>
            </w:r>
          </w:p>
        </w:tc>
        <w:tc>
          <w:tcPr>
            <w:tcW w:w="1996" w:type="dxa"/>
          </w:tcPr>
          <w:p w14:paraId="1F84BE44" w14:textId="443E13E1" w:rsidR="00E61BD7" w:rsidRPr="00E23BCB" w:rsidRDefault="009D1F53" w:rsidP="009D1F53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theme="minorHAnsi"/>
                <w:color w:val="185262"/>
                <w:lang w:val="es-CO"/>
              </w:rPr>
            </w:pPr>
            <w:r w:rsidRPr="009D1F53">
              <w:rPr>
                <w:rFonts w:cstheme="minorHAnsi"/>
                <w:lang w:val="es-CO"/>
              </w:rPr>
              <w:t>28/FEB/2022</w:t>
            </w:r>
          </w:p>
        </w:tc>
        <w:tc>
          <w:tcPr>
            <w:tcW w:w="1914" w:type="dxa"/>
          </w:tcPr>
          <w:p w14:paraId="4283FF89" w14:textId="27BE2AF6" w:rsidR="00E61BD7" w:rsidRPr="00C413D8" w:rsidRDefault="009D1F5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Profesional Monitoreo del área de Paz</w:t>
            </w:r>
          </w:p>
        </w:tc>
        <w:tc>
          <w:tcPr>
            <w:tcW w:w="1228" w:type="dxa"/>
          </w:tcPr>
          <w:p w14:paraId="5CEEF386" w14:textId="77777777" w:rsidR="00E61BD7" w:rsidRPr="00C413D8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1301" w:type="dxa"/>
          </w:tcPr>
          <w:p w14:paraId="560143D4" w14:textId="362E7AD2" w:rsidR="00E61BD7" w:rsidRPr="00C413D8" w:rsidRDefault="00401276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Iniciada</w:t>
            </w:r>
          </w:p>
        </w:tc>
      </w:tr>
      <w:tr w:rsidR="000A19BD" w:rsidRPr="005E1766" w14:paraId="6DCAB367" w14:textId="77777777" w:rsidTr="005C6DB3">
        <w:tc>
          <w:tcPr>
            <w:tcW w:w="9016" w:type="dxa"/>
            <w:gridSpan w:val="5"/>
            <w:shd w:val="clear" w:color="auto" w:fill="EAF6F3"/>
          </w:tcPr>
          <w:p w14:paraId="0177A834" w14:textId="6B563446" w:rsidR="002831CD" w:rsidRPr="002831CD" w:rsidRDefault="000A19BD" w:rsidP="002831CD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005C6DB3">
              <w:rPr>
                <w:rFonts w:cstheme="minorHAnsi"/>
                <w:color w:val="185262"/>
                <w:lang w:val="es-CO"/>
              </w:rPr>
              <w:br w:type="page"/>
            </w: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  <w:lang w:val="es-CO"/>
              </w:rPr>
              <w:t>4</w:t>
            </w: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.  </w:t>
            </w:r>
            <w:r w:rsidRPr="005C6DB3">
              <w:rPr>
                <w:lang w:val="es-CO"/>
              </w:rPr>
              <w:t xml:space="preserve"> </w:t>
            </w:r>
            <w:r w:rsidRPr="000A19BD">
              <w:rPr>
                <w:lang w:val="es-CO"/>
              </w:rPr>
              <w:t xml:space="preserve"> </w:t>
            </w:r>
            <w:r w:rsidR="00401276" w:rsidRPr="00401276">
              <w:rPr>
                <w:lang w:val="es-CO"/>
              </w:rPr>
              <w:t>Los asesores y profesionales de fortalecimiento a las</w:t>
            </w:r>
            <w:r w:rsidR="00401276">
              <w:rPr>
                <w:lang w:val="es-CO"/>
              </w:rPr>
              <w:t xml:space="preserve"> </w:t>
            </w:r>
            <w:r w:rsidR="00401276" w:rsidRPr="00401276">
              <w:rPr>
                <w:lang w:val="es-CO"/>
              </w:rPr>
              <w:t>organizaciones sociales tenían 18 organizaciones a su cargo, lo</w:t>
            </w:r>
            <w:r w:rsidR="00401276">
              <w:rPr>
                <w:lang w:val="es-CO"/>
              </w:rPr>
              <w:t xml:space="preserve"> </w:t>
            </w:r>
            <w:r w:rsidR="00401276" w:rsidRPr="00401276">
              <w:rPr>
                <w:lang w:val="es-CO"/>
              </w:rPr>
              <w:t>cual constituye una carga alta que dificulta la profundidad y calidad</w:t>
            </w:r>
            <w:r w:rsidR="00401276">
              <w:rPr>
                <w:lang w:val="es-CO"/>
              </w:rPr>
              <w:t xml:space="preserve"> </w:t>
            </w:r>
            <w:r w:rsidR="00401276" w:rsidRPr="00401276">
              <w:rPr>
                <w:lang w:val="es-CO"/>
              </w:rPr>
              <w:t>en cada uno de los aspectos del acompañamiento</w:t>
            </w:r>
            <w:r w:rsidR="002831CD">
              <w:rPr>
                <w:lang w:val="es-CO"/>
              </w:rPr>
              <w:t xml:space="preserve">. </w:t>
            </w:r>
            <w:r w:rsidR="002831CD" w:rsidRPr="002831CD">
              <w:rPr>
                <w:lang w:val="es-CO"/>
              </w:rPr>
              <w:t>Si bien el proyecto solventó esta carga a través de los</w:t>
            </w:r>
            <w:r w:rsidR="002831CD">
              <w:rPr>
                <w:lang w:val="es-CO"/>
              </w:rPr>
              <w:t xml:space="preserve"> </w:t>
            </w:r>
            <w:r w:rsidR="002831CD" w:rsidRPr="002831CD">
              <w:rPr>
                <w:lang w:val="es-CO"/>
              </w:rPr>
              <w:t>profesionales del PNUD y ART en territorio, quienes apoyaron</w:t>
            </w:r>
            <w:r w:rsidR="002831CD">
              <w:rPr>
                <w:lang w:val="es-CO"/>
              </w:rPr>
              <w:t xml:space="preserve"> </w:t>
            </w:r>
            <w:r w:rsidR="002831CD" w:rsidRPr="002831CD">
              <w:rPr>
                <w:lang w:val="es-CO"/>
              </w:rPr>
              <w:t>algunas capacitaciones y formaciones. Sin embargo, ellos no</w:t>
            </w:r>
            <w:r w:rsidR="002831CD">
              <w:rPr>
                <w:lang w:val="es-CO"/>
              </w:rPr>
              <w:t xml:space="preserve"> </w:t>
            </w:r>
            <w:r w:rsidR="002831CD" w:rsidRPr="002831CD">
              <w:rPr>
                <w:lang w:val="es-CO"/>
              </w:rPr>
              <w:t>hacían parte de este aspecto del proyecto, por tanto, es</w:t>
            </w:r>
            <w:r w:rsidR="002831CD">
              <w:rPr>
                <w:lang w:val="es-CO"/>
              </w:rPr>
              <w:t xml:space="preserve"> </w:t>
            </w:r>
            <w:r w:rsidR="002831CD" w:rsidRPr="002831CD">
              <w:rPr>
                <w:lang w:val="es-CO"/>
              </w:rPr>
              <w:t>importante tener en cuenta la cantidad de personal requerido</w:t>
            </w:r>
          </w:p>
          <w:p w14:paraId="4D270A80" w14:textId="667C80E5" w:rsidR="000A19BD" w:rsidRPr="000A19BD" w:rsidRDefault="002831CD" w:rsidP="002831CD">
            <w:pPr>
              <w:tabs>
                <w:tab w:val="left" w:pos="1080"/>
              </w:tabs>
              <w:spacing w:after="0" w:line="240" w:lineRule="auto"/>
              <w:jc w:val="both"/>
              <w:rPr>
                <w:lang w:val="es-CO"/>
              </w:rPr>
            </w:pPr>
            <w:r w:rsidRPr="002831CD">
              <w:rPr>
                <w:lang w:val="es-CO"/>
              </w:rPr>
              <w:t>para este tipo de estrategias a futuro.</w:t>
            </w:r>
          </w:p>
        </w:tc>
      </w:tr>
      <w:tr w:rsidR="005C6DB3" w:rsidRPr="00524A8B" w14:paraId="12E79308" w14:textId="77777777" w:rsidTr="005C6DB3">
        <w:tc>
          <w:tcPr>
            <w:tcW w:w="9016" w:type="dxa"/>
            <w:gridSpan w:val="5"/>
            <w:shd w:val="clear" w:color="auto" w:fill="EAF6F3"/>
          </w:tcPr>
          <w:p w14:paraId="14516DA2" w14:textId="6C2FB785" w:rsidR="005C6DB3" w:rsidRPr="00524A8B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  <w:r w:rsidRPr="00524A8B">
              <w:rPr>
                <w:rFonts w:cstheme="minorHAnsi"/>
                <w:b/>
                <w:color w:val="185262"/>
                <w:lang w:val="es-CO"/>
              </w:rPr>
              <w:t>Management response</w:t>
            </w:r>
            <w:r w:rsidRPr="00524A8B">
              <w:rPr>
                <w:rFonts w:cstheme="minorHAnsi"/>
                <w:color w:val="185262"/>
                <w:lang w:val="es-CO"/>
              </w:rPr>
              <w:t xml:space="preserve">: </w:t>
            </w:r>
            <w:r w:rsidR="00524A8B" w:rsidRPr="00524A8B">
              <w:rPr>
                <w:rFonts w:cstheme="minorHAnsi"/>
                <w:color w:val="185262"/>
                <w:lang w:val="es-CO"/>
              </w:rPr>
              <w:t xml:space="preserve"> </w:t>
            </w:r>
            <w:r w:rsidR="00524A8B" w:rsidRPr="00524A8B">
              <w:rPr>
                <w:lang w:val="es-CO"/>
              </w:rPr>
              <w:t xml:space="preserve"> </w:t>
            </w:r>
            <w:r w:rsidR="006C0E33">
              <w:rPr>
                <w:lang w:val="es-CO"/>
              </w:rPr>
              <w:t>De acuerdo con la recomendación:</w:t>
            </w:r>
            <w:r w:rsidR="002831CD">
              <w:rPr>
                <w:lang w:val="es-CO"/>
              </w:rPr>
              <w:t xml:space="preserve"> </w:t>
            </w:r>
            <w:r w:rsidR="006C0E33">
              <w:rPr>
                <w:lang w:val="es-CO"/>
              </w:rPr>
              <w:t>E</w:t>
            </w:r>
            <w:r w:rsidR="002831CD">
              <w:rPr>
                <w:lang w:val="es-CO"/>
              </w:rPr>
              <w:t xml:space="preserve">l proyecto contempló </w:t>
            </w:r>
            <w:r w:rsidR="000D1143">
              <w:rPr>
                <w:lang w:val="es-CO"/>
              </w:rPr>
              <w:t xml:space="preserve">contratar un profesional por cada subregión para coordinar el fortalecimiento y acompañamiento, que al final del proceso resultó </w:t>
            </w:r>
            <w:r w:rsidR="004B72D9">
              <w:rPr>
                <w:lang w:val="es-CO"/>
              </w:rPr>
              <w:t>abarcando a 18 organizaciones por subregión, si bien esta cantidad de organizaciones a cargo por parte de los profesionales no se dio de manera simultánea, s</w:t>
            </w:r>
            <w:r w:rsidR="00352615">
              <w:rPr>
                <w:lang w:val="es-CO"/>
              </w:rPr>
              <w:t>i implicó una mayor carga, debido a que por el COVID-19 los profesionales tuvieron mayor carga de trabajo al</w:t>
            </w:r>
            <w:r w:rsidR="00CE2C65">
              <w:rPr>
                <w:lang w:val="es-CO"/>
              </w:rPr>
              <w:t xml:space="preserve"> realizar el fortalecimiento y seguimiento de manera virtual</w:t>
            </w:r>
            <w:r w:rsidR="004B72D9">
              <w:rPr>
                <w:lang w:val="es-CO"/>
              </w:rPr>
              <w:t xml:space="preserve"> </w:t>
            </w:r>
          </w:p>
        </w:tc>
      </w:tr>
      <w:tr w:rsidR="005C6DB3" w:rsidRPr="008711DF" w14:paraId="436FFE38" w14:textId="77777777" w:rsidTr="00403E44">
        <w:trPr>
          <w:trHeight w:val="135"/>
        </w:trPr>
        <w:tc>
          <w:tcPr>
            <w:tcW w:w="2577" w:type="dxa"/>
            <w:vMerge w:val="restart"/>
            <w:shd w:val="clear" w:color="auto" w:fill="EAF6F3"/>
          </w:tcPr>
          <w:p w14:paraId="59004FB4" w14:textId="70619AFB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996" w:type="dxa"/>
            <w:vMerge w:val="restart"/>
            <w:shd w:val="clear" w:color="auto" w:fill="EAF6F3"/>
          </w:tcPr>
          <w:p w14:paraId="7BFE9643" w14:textId="316E374C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14" w:type="dxa"/>
            <w:vMerge w:val="restart"/>
            <w:shd w:val="clear" w:color="auto" w:fill="EAF6F3"/>
          </w:tcPr>
          <w:p w14:paraId="70D77B6D" w14:textId="3FF989A9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15A704CE" w14:textId="4F1B34D0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5C6DB3" w:rsidRPr="008711DF" w14:paraId="61B39560" w14:textId="77777777" w:rsidTr="00403E44">
        <w:trPr>
          <w:trHeight w:val="135"/>
        </w:trPr>
        <w:tc>
          <w:tcPr>
            <w:tcW w:w="2577" w:type="dxa"/>
            <w:vMerge/>
            <w:shd w:val="clear" w:color="auto" w:fill="F3F3F3"/>
          </w:tcPr>
          <w:p w14:paraId="3A788AB4" w14:textId="77777777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96" w:type="dxa"/>
            <w:vMerge/>
            <w:shd w:val="clear" w:color="auto" w:fill="F3F3F3"/>
          </w:tcPr>
          <w:p w14:paraId="3D6DE57F" w14:textId="77777777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14" w:type="dxa"/>
            <w:vMerge/>
            <w:shd w:val="clear" w:color="auto" w:fill="F3F3F3"/>
          </w:tcPr>
          <w:p w14:paraId="3C0A0544" w14:textId="77777777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6778CA28" w14:textId="014A1E13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1FF0532C" w14:textId="5DC3AF2F" w:rsidR="005C6DB3" w:rsidRPr="008711DF" w:rsidRDefault="005C6DB3" w:rsidP="005C6DB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056F9B" w:rsidRPr="00A500F6" w14:paraId="6AF9B186" w14:textId="77777777" w:rsidTr="00403E44">
        <w:tc>
          <w:tcPr>
            <w:tcW w:w="2577" w:type="dxa"/>
          </w:tcPr>
          <w:p w14:paraId="41766E46" w14:textId="6D2DE751" w:rsidR="00056F9B" w:rsidRPr="00113293" w:rsidRDefault="00056F9B" w:rsidP="00056F9B">
            <w:pPr>
              <w:rPr>
                <w:rFonts w:cstheme="minorHAnsi"/>
              </w:rPr>
            </w:pPr>
            <w:r w:rsidRPr="00113293">
              <w:rPr>
                <w:rFonts w:cstheme="minorHAnsi"/>
                <w:lang w:val="es-CO"/>
              </w:rPr>
              <w:t xml:space="preserve">4.1 </w:t>
            </w:r>
            <w:r>
              <w:rPr>
                <w:rFonts w:cstheme="minorHAnsi"/>
                <w:lang w:val="es-CO"/>
              </w:rPr>
              <w:t xml:space="preserve">Realizar una socialización de las lecciones aprendidas del proyecto con el área de </w:t>
            </w:r>
            <w:r w:rsidR="00740C52">
              <w:rPr>
                <w:rFonts w:cstheme="minorHAnsi"/>
                <w:lang w:val="es-CO"/>
              </w:rPr>
              <w:t xml:space="preserve">monitoreo de </w:t>
            </w:r>
            <w:r>
              <w:rPr>
                <w:rFonts w:cstheme="minorHAnsi"/>
                <w:lang w:val="es-CO"/>
              </w:rPr>
              <w:t>paz de PNUD para mitigar dificultades con la carga de trabajo de los profesionales</w:t>
            </w:r>
          </w:p>
        </w:tc>
        <w:tc>
          <w:tcPr>
            <w:tcW w:w="1996" w:type="dxa"/>
          </w:tcPr>
          <w:p w14:paraId="77714A91" w14:textId="2EFAB2CF" w:rsidR="00056F9B" w:rsidRPr="00A500F6" w:rsidRDefault="00056F9B" w:rsidP="00056F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s-CO"/>
              </w:rPr>
              <w:t>31</w:t>
            </w:r>
            <w:r w:rsidRPr="009D1F53">
              <w:rPr>
                <w:rFonts w:cstheme="minorHAnsi"/>
                <w:lang w:val="es-CO"/>
              </w:rPr>
              <w:t>/</w:t>
            </w:r>
            <w:r>
              <w:rPr>
                <w:rFonts w:cstheme="minorHAnsi"/>
                <w:lang w:val="es-CO"/>
              </w:rPr>
              <w:t>MAR</w:t>
            </w:r>
            <w:r w:rsidRPr="009D1F53">
              <w:rPr>
                <w:rFonts w:cstheme="minorHAnsi"/>
                <w:lang w:val="es-CO"/>
              </w:rPr>
              <w:t>/2022</w:t>
            </w:r>
          </w:p>
        </w:tc>
        <w:tc>
          <w:tcPr>
            <w:tcW w:w="1914" w:type="dxa"/>
          </w:tcPr>
          <w:p w14:paraId="5046A665" w14:textId="73106201" w:rsidR="00056F9B" w:rsidRPr="00247DDB" w:rsidRDefault="00056F9B" w:rsidP="00056F9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Profesional Monitoreo del área de Paz</w:t>
            </w:r>
          </w:p>
        </w:tc>
        <w:tc>
          <w:tcPr>
            <w:tcW w:w="1228" w:type="dxa"/>
          </w:tcPr>
          <w:p w14:paraId="416A4523" w14:textId="77777777" w:rsidR="00056F9B" w:rsidRPr="00247DDB" w:rsidRDefault="00056F9B" w:rsidP="00056F9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1301" w:type="dxa"/>
          </w:tcPr>
          <w:p w14:paraId="24EB1E64" w14:textId="568CB5ED" w:rsidR="00056F9B" w:rsidRPr="00A500F6" w:rsidRDefault="00056F9B" w:rsidP="00056F9B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es-CO"/>
              </w:rPr>
              <w:t>Iniciada</w:t>
            </w:r>
          </w:p>
        </w:tc>
      </w:tr>
      <w:tr w:rsidR="005C6DB3" w:rsidRPr="005E1766" w14:paraId="477099A7" w14:textId="77777777" w:rsidTr="00F46180">
        <w:tc>
          <w:tcPr>
            <w:tcW w:w="9016" w:type="dxa"/>
            <w:gridSpan w:val="5"/>
            <w:shd w:val="clear" w:color="auto" w:fill="EAF6F3"/>
          </w:tcPr>
          <w:p w14:paraId="501EC4CC" w14:textId="3C610636" w:rsidR="005C6DB3" w:rsidRPr="005C6DB3" w:rsidRDefault="005C6DB3" w:rsidP="005B259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  <w:lang w:val="es-CO"/>
              </w:rPr>
            </w:pPr>
            <w:r w:rsidRPr="005C6DB3">
              <w:rPr>
                <w:rFonts w:cstheme="minorHAnsi"/>
                <w:color w:val="185262"/>
                <w:lang w:val="es-CO"/>
              </w:rPr>
              <w:br w:type="page"/>
            </w: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  <w:lang w:val="es-CO"/>
              </w:rPr>
              <w:t>5</w:t>
            </w:r>
            <w:r w:rsidRPr="005C6DB3">
              <w:rPr>
                <w:rFonts w:cstheme="minorHAnsi"/>
                <w:b/>
                <w:color w:val="185262"/>
                <w:lang w:val="es-CO"/>
              </w:rPr>
              <w:t xml:space="preserve">.  </w:t>
            </w:r>
            <w:r w:rsidRPr="005C6DB3">
              <w:rPr>
                <w:lang w:val="es-CO"/>
              </w:rPr>
              <w:t xml:space="preserve">  </w:t>
            </w:r>
            <w:r w:rsidR="005B259F" w:rsidRPr="005B259F">
              <w:rPr>
                <w:lang w:val="es-CO"/>
              </w:rPr>
              <w:t>Aunque las organizaciones entrevistadas también</w:t>
            </w:r>
            <w:r w:rsidR="005B259F">
              <w:rPr>
                <w:lang w:val="es-CO"/>
              </w:rPr>
              <w:t xml:space="preserve"> </w:t>
            </w:r>
            <w:r w:rsidR="005B259F" w:rsidRPr="005B259F">
              <w:rPr>
                <w:lang w:val="es-CO"/>
              </w:rPr>
              <w:t>reconocen los resultados que se alcanzaron, consideran que el proceso de gestión de los</w:t>
            </w:r>
            <w:r w:rsidR="005B259F">
              <w:rPr>
                <w:lang w:val="es-CO"/>
              </w:rPr>
              <w:t xml:space="preserve"> </w:t>
            </w:r>
            <w:r w:rsidR="005B259F" w:rsidRPr="005B259F">
              <w:rPr>
                <w:lang w:val="es-CO"/>
              </w:rPr>
              <w:t>recursos fue “engorroso”. En la medida que, exige requisitos que son difíciles de</w:t>
            </w:r>
            <w:r w:rsidR="005B259F">
              <w:rPr>
                <w:lang w:val="es-CO"/>
              </w:rPr>
              <w:t xml:space="preserve"> </w:t>
            </w:r>
            <w:r w:rsidR="005B259F" w:rsidRPr="005B259F">
              <w:rPr>
                <w:lang w:val="es-CO"/>
              </w:rPr>
              <w:t>cumplir en el escenario local, lo cual les dificulta a las organizaciones contratar personas</w:t>
            </w:r>
            <w:r w:rsidR="005B259F">
              <w:rPr>
                <w:lang w:val="es-CO"/>
              </w:rPr>
              <w:t xml:space="preserve"> </w:t>
            </w:r>
            <w:r w:rsidR="005B259F" w:rsidRPr="005B259F">
              <w:rPr>
                <w:lang w:val="es-CO"/>
              </w:rPr>
              <w:t>locales, o adquirir bienes y servicios.</w:t>
            </w:r>
            <w:r w:rsidR="005B259F">
              <w:rPr>
                <w:lang w:val="es-CO"/>
              </w:rPr>
              <w:t xml:space="preserve"> Se recomienda d</w:t>
            </w:r>
            <w:r w:rsidR="00497603" w:rsidRPr="00497603">
              <w:rPr>
                <w:lang w:val="es-CO"/>
              </w:rPr>
              <w:t>esarrollar procesos que permitan reducir los tramites</w:t>
            </w:r>
            <w:r w:rsidR="005B259F">
              <w:rPr>
                <w:lang w:val="es-CO"/>
              </w:rPr>
              <w:t xml:space="preserve"> </w:t>
            </w:r>
            <w:r w:rsidR="00497603" w:rsidRPr="00497603">
              <w:rPr>
                <w:lang w:val="es-CO"/>
              </w:rPr>
              <w:t>“engorrosos” de los ASBV</w:t>
            </w:r>
            <w:r w:rsidR="005B259F">
              <w:rPr>
                <w:lang w:val="es-CO"/>
              </w:rPr>
              <w:t>.</w:t>
            </w:r>
          </w:p>
        </w:tc>
      </w:tr>
      <w:tr w:rsidR="005C6DB3" w:rsidRPr="002F2EC5" w14:paraId="798ACAD9" w14:textId="77777777" w:rsidTr="00F46180">
        <w:tc>
          <w:tcPr>
            <w:tcW w:w="9016" w:type="dxa"/>
            <w:gridSpan w:val="5"/>
            <w:shd w:val="clear" w:color="auto" w:fill="EAF6F3"/>
          </w:tcPr>
          <w:p w14:paraId="1588B647" w14:textId="29C959DB" w:rsidR="005B259F" w:rsidRPr="00166039" w:rsidRDefault="005C6DB3" w:rsidP="000A7144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 w:rsidRPr="002F2EC5">
              <w:rPr>
                <w:rFonts w:cstheme="minorHAnsi"/>
                <w:b/>
                <w:color w:val="185262"/>
                <w:lang w:val="es-CO"/>
              </w:rPr>
              <w:t>Management response</w:t>
            </w:r>
            <w:r w:rsidRPr="002F2EC5">
              <w:rPr>
                <w:rFonts w:cstheme="minorHAnsi"/>
                <w:color w:val="185262"/>
                <w:lang w:val="es-CO"/>
              </w:rPr>
              <w:t>:</w:t>
            </w:r>
            <w:r w:rsidR="005B259F">
              <w:rPr>
                <w:rFonts w:cstheme="minorHAnsi"/>
                <w:color w:val="185262"/>
                <w:lang w:val="es-CO"/>
              </w:rPr>
              <w:t xml:space="preserve"> </w:t>
            </w:r>
            <w:r w:rsidR="00792696" w:rsidRPr="00792696">
              <w:rPr>
                <w:rFonts w:cstheme="minorHAnsi"/>
                <w:lang w:val="es-CO"/>
              </w:rPr>
              <w:t>En desacuerdo</w:t>
            </w:r>
            <w:r w:rsidR="00792696">
              <w:rPr>
                <w:rFonts w:cstheme="minorHAnsi"/>
                <w:lang w:val="es-CO"/>
              </w:rPr>
              <w:t xml:space="preserve"> con la reocmendación</w:t>
            </w:r>
            <w:r w:rsidR="00792696">
              <w:rPr>
                <w:rFonts w:cstheme="minorHAnsi"/>
                <w:color w:val="185262"/>
                <w:lang w:val="es-CO"/>
              </w:rPr>
              <w:t xml:space="preserve">. </w:t>
            </w:r>
            <w:r w:rsidR="00166039" w:rsidRPr="00166039">
              <w:rPr>
                <w:rFonts w:cstheme="minorHAnsi"/>
                <w:lang w:val="es-CO"/>
              </w:rPr>
              <w:t xml:space="preserve">Si bien </w:t>
            </w:r>
            <w:r w:rsidR="00166039">
              <w:rPr>
                <w:rFonts w:cstheme="minorHAnsi"/>
                <w:lang w:val="es-CO"/>
              </w:rPr>
              <w:t>las organizaciones</w:t>
            </w:r>
            <w:r w:rsidR="00970BFE">
              <w:rPr>
                <w:rFonts w:cstheme="minorHAnsi"/>
                <w:lang w:val="es-CO"/>
              </w:rPr>
              <w:t xml:space="preserve"> al inicio del proceso manifestaron dificultades para conseguir los documentos legales para la firma de la ASBV como Cámara de comercio, Registro Único Tributario – Rut y Cuenta Bancaria, y a su vez manifestaron inconformidad co</w:t>
            </w:r>
            <w:r w:rsidR="00DE18F8">
              <w:rPr>
                <w:rFonts w:cstheme="minorHAnsi"/>
                <w:lang w:val="es-CO"/>
              </w:rPr>
              <w:t xml:space="preserve">n el formato de propuesta de la ASBV y la definición de objetivos, indicadores, plan de trabajo y presupuesto. Esto fue el inicio del fortalecimiento de estas organizaciones, y permitió como lo evidencia el informe de evaluación, que adquieran capacidades que llevaron incluso a que varias de las </w:t>
            </w:r>
            <w:r w:rsidR="00C00FCC">
              <w:rPr>
                <w:rFonts w:cstheme="minorHAnsi"/>
                <w:lang w:val="es-CO"/>
              </w:rPr>
              <w:t>organizaciones fueran ganadoras de convocatorias con otras agencias del Sistema de Naciones Unidas</w:t>
            </w:r>
            <w:r w:rsidR="00DE18F8">
              <w:rPr>
                <w:rFonts w:cstheme="minorHAnsi"/>
                <w:lang w:val="es-CO"/>
              </w:rPr>
              <w:t xml:space="preserve"> </w:t>
            </w:r>
            <w:r w:rsidR="00C00FCC">
              <w:rPr>
                <w:rFonts w:cstheme="minorHAnsi"/>
                <w:lang w:val="es-CO"/>
              </w:rPr>
              <w:t>y convocatorias gubernamentales. Por esta razón, se considera que no aplica la recomendación.</w:t>
            </w:r>
          </w:p>
          <w:p w14:paraId="09CC0E45" w14:textId="77777777" w:rsidR="005B259F" w:rsidRPr="002F2EC5" w:rsidRDefault="005B259F" w:rsidP="000A7144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</w:p>
          <w:p w14:paraId="45C389D0" w14:textId="3409BADE" w:rsidR="005C6DB3" w:rsidRPr="002F2EC5" w:rsidRDefault="005C6DB3" w:rsidP="002F2EC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  <w:lang w:val="es-CO"/>
              </w:rPr>
            </w:pPr>
          </w:p>
        </w:tc>
      </w:tr>
      <w:tr w:rsidR="005C6DB3" w:rsidRPr="008711DF" w14:paraId="3AE48BCD" w14:textId="77777777" w:rsidTr="00403E44">
        <w:trPr>
          <w:trHeight w:val="135"/>
        </w:trPr>
        <w:tc>
          <w:tcPr>
            <w:tcW w:w="2577" w:type="dxa"/>
            <w:vMerge w:val="restart"/>
            <w:shd w:val="clear" w:color="auto" w:fill="EAF6F3"/>
          </w:tcPr>
          <w:p w14:paraId="5C94E250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1996" w:type="dxa"/>
            <w:vMerge w:val="restart"/>
            <w:shd w:val="clear" w:color="auto" w:fill="EAF6F3"/>
          </w:tcPr>
          <w:p w14:paraId="56BAFE16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14" w:type="dxa"/>
            <w:vMerge w:val="restart"/>
            <w:shd w:val="clear" w:color="auto" w:fill="EAF6F3"/>
          </w:tcPr>
          <w:p w14:paraId="5EB288D4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529" w:type="dxa"/>
            <w:gridSpan w:val="2"/>
            <w:shd w:val="clear" w:color="auto" w:fill="EAF6F3"/>
          </w:tcPr>
          <w:p w14:paraId="02380A01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5C6DB3" w:rsidRPr="008711DF" w14:paraId="19E747B4" w14:textId="77777777" w:rsidTr="00403E44">
        <w:trPr>
          <w:trHeight w:val="135"/>
        </w:trPr>
        <w:tc>
          <w:tcPr>
            <w:tcW w:w="2577" w:type="dxa"/>
            <w:vMerge/>
            <w:shd w:val="clear" w:color="auto" w:fill="F3F3F3"/>
          </w:tcPr>
          <w:p w14:paraId="6CD3FD3B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96" w:type="dxa"/>
            <w:vMerge/>
            <w:shd w:val="clear" w:color="auto" w:fill="F3F3F3"/>
          </w:tcPr>
          <w:p w14:paraId="1BA6B566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14" w:type="dxa"/>
            <w:vMerge/>
            <w:shd w:val="clear" w:color="auto" w:fill="F3F3F3"/>
          </w:tcPr>
          <w:p w14:paraId="6589D25C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8" w:type="dxa"/>
          </w:tcPr>
          <w:p w14:paraId="7357F81F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301" w:type="dxa"/>
          </w:tcPr>
          <w:p w14:paraId="10D6C243" w14:textId="77777777" w:rsidR="005C6DB3" w:rsidRPr="008711DF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5C6DB3" w:rsidRPr="008569DD" w14:paraId="09856C67" w14:textId="77777777" w:rsidTr="00403E44">
        <w:tc>
          <w:tcPr>
            <w:tcW w:w="2577" w:type="dxa"/>
          </w:tcPr>
          <w:p w14:paraId="58B6832E" w14:textId="7B3C671D" w:rsidR="005C6DB3" w:rsidRPr="00A31E23" w:rsidRDefault="003F6465" w:rsidP="00AA0FE8">
            <w:pPr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5.1 Brindar orientación dentro del área de paz para brindar c</w:t>
            </w:r>
            <w:r>
              <w:t>apacitación a las contrapartes en las normas del PNUD</w:t>
            </w:r>
            <w:r>
              <w:t xml:space="preserve"> referidas a los ASBV</w:t>
            </w:r>
          </w:p>
        </w:tc>
        <w:tc>
          <w:tcPr>
            <w:tcW w:w="1996" w:type="dxa"/>
          </w:tcPr>
          <w:p w14:paraId="6CD35DCA" w14:textId="0309D385" w:rsidR="005C6DB3" w:rsidRPr="00A31E23" w:rsidRDefault="00792696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31-mar-22</w:t>
            </w:r>
          </w:p>
        </w:tc>
        <w:tc>
          <w:tcPr>
            <w:tcW w:w="1914" w:type="dxa"/>
          </w:tcPr>
          <w:p w14:paraId="03C205AC" w14:textId="0C26700E" w:rsidR="005C6DB3" w:rsidRPr="00A31E23" w:rsidRDefault="00792696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Profesional Monitoreo del área de Paz</w:t>
            </w:r>
          </w:p>
        </w:tc>
        <w:tc>
          <w:tcPr>
            <w:tcW w:w="1228" w:type="dxa"/>
          </w:tcPr>
          <w:p w14:paraId="4560518E" w14:textId="77777777" w:rsidR="005C6DB3" w:rsidRPr="00A31E23" w:rsidRDefault="005C6DB3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1301" w:type="dxa"/>
          </w:tcPr>
          <w:p w14:paraId="1B2585A9" w14:textId="07809DE9" w:rsidR="005C6DB3" w:rsidRPr="00A31E23" w:rsidRDefault="00792696" w:rsidP="00F46180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Iniciada</w:t>
            </w:r>
          </w:p>
        </w:tc>
      </w:tr>
    </w:tbl>
    <w:p w14:paraId="71E01C6C" w14:textId="77777777" w:rsidR="00E61BD7" w:rsidRPr="006F61DE" w:rsidRDefault="00E61BD7" w:rsidP="00E61BD7">
      <w:pPr>
        <w:tabs>
          <w:tab w:val="left" w:pos="1080"/>
        </w:tabs>
        <w:spacing w:after="0" w:line="240" w:lineRule="auto"/>
        <w:jc w:val="both"/>
        <w:rPr>
          <w:rFonts w:eastAsiaTheme="majorEastAsia" w:cstheme="minorHAnsi"/>
          <w:color w:val="2E74B5" w:themeColor="accent1" w:themeShade="BF"/>
        </w:rPr>
      </w:pPr>
      <w:r w:rsidRPr="00BF5D14">
        <w:rPr>
          <w:rFonts w:cstheme="minorHAnsi"/>
          <w:lang w:eastAsia="ja-JP"/>
        </w:rPr>
        <w:t xml:space="preserve">* </w:t>
      </w:r>
      <w:r w:rsidRPr="00BF5D14">
        <w:rPr>
          <w:rFonts w:cstheme="minorHAnsi"/>
        </w:rPr>
        <w:t xml:space="preserve">Status of implementation is tracked electronically in the </w:t>
      </w:r>
      <w:r>
        <w:rPr>
          <w:rFonts w:cstheme="minorHAnsi"/>
        </w:rPr>
        <w:t>ERC</w:t>
      </w:r>
      <w:r w:rsidRPr="00BF5D14">
        <w:rPr>
          <w:rFonts w:cstheme="minorHAnsi"/>
        </w:rPr>
        <w:t xml:space="preserve"> database.</w:t>
      </w:r>
    </w:p>
    <w:p w14:paraId="3DAF5658" w14:textId="77777777" w:rsidR="00DE19DA" w:rsidRDefault="00792696"/>
    <w:sectPr w:rsidR="00DE19DA" w:rsidSect="00CB589A">
      <w:pgSz w:w="11906" w:h="16838"/>
      <w:pgMar w:top="1170" w:right="1440" w:bottom="1440" w:left="1440" w:header="720" w:footer="720" w:gutter="0"/>
      <w:pgNumType w:start="4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A77"/>
    <w:multiLevelType w:val="multilevel"/>
    <w:tmpl w:val="35AA41EE"/>
    <w:lvl w:ilvl="0">
      <w:start w:val="4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26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9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96A3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C747378"/>
    <w:multiLevelType w:val="hybridMultilevel"/>
    <w:tmpl w:val="68EED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5AD0"/>
    <w:multiLevelType w:val="hybridMultilevel"/>
    <w:tmpl w:val="E4867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zEzMze3MDG3MLBQ0lEKTi0uzszPAykwqQUA+nAcFSwAAAA="/>
  </w:docVars>
  <w:rsids>
    <w:rsidRoot w:val="00E61BD7"/>
    <w:rsid w:val="000121D3"/>
    <w:rsid w:val="00025030"/>
    <w:rsid w:val="00050538"/>
    <w:rsid w:val="00056F9B"/>
    <w:rsid w:val="00081A45"/>
    <w:rsid w:val="00086E76"/>
    <w:rsid w:val="000A19BD"/>
    <w:rsid w:val="000A7144"/>
    <w:rsid w:val="000D1143"/>
    <w:rsid w:val="00113293"/>
    <w:rsid w:val="001142AF"/>
    <w:rsid w:val="00163041"/>
    <w:rsid w:val="0016414A"/>
    <w:rsid w:val="00166039"/>
    <w:rsid w:val="00247DDB"/>
    <w:rsid w:val="0026662A"/>
    <w:rsid w:val="002831CD"/>
    <w:rsid w:val="00286BBC"/>
    <w:rsid w:val="002C324A"/>
    <w:rsid w:val="002C45D5"/>
    <w:rsid w:val="002D2889"/>
    <w:rsid w:val="002F2EC5"/>
    <w:rsid w:val="00316497"/>
    <w:rsid w:val="00317514"/>
    <w:rsid w:val="00352615"/>
    <w:rsid w:val="00381A91"/>
    <w:rsid w:val="003A23ED"/>
    <w:rsid w:val="003B5306"/>
    <w:rsid w:val="003C3FD6"/>
    <w:rsid w:val="003F37E3"/>
    <w:rsid w:val="003F6465"/>
    <w:rsid w:val="003F7502"/>
    <w:rsid w:val="00401276"/>
    <w:rsid w:val="00403E44"/>
    <w:rsid w:val="00464DDA"/>
    <w:rsid w:val="00480727"/>
    <w:rsid w:val="00495A94"/>
    <w:rsid w:val="00497603"/>
    <w:rsid w:val="004B007D"/>
    <w:rsid w:val="004B72D9"/>
    <w:rsid w:val="004D74E2"/>
    <w:rsid w:val="004E51B6"/>
    <w:rsid w:val="004F2497"/>
    <w:rsid w:val="00500101"/>
    <w:rsid w:val="00524A8B"/>
    <w:rsid w:val="005300A6"/>
    <w:rsid w:val="005351E9"/>
    <w:rsid w:val="00547BBB"/>
    <w:rsid w:val="005A036D"/>
    <w:rsid w:val="005B259F"/>
    <w:rsid w:val="005C3F81"/>
    <w:rsid w:val="005C6DB3"/>
    <w:rsid w:val="005D46FF"/>
    <w:rsid w:val="005E1766"/>
    <w:rsid w:val="006472F1"/>
    <w:rsid w:val="006B1581"/>
    <w:rsid w:val="006C0E33"/>
    <w:rsid w:val="006E3FC1"/>
    <w:rsid w:val="006F24B5"/>
    <w:rsid w:val="00705F9B"/>
    <w:rsid w:val="007209B2"/>
    <w:rsid w:val="00740C52"/>
    <w:rsid w:val="00752837"/>
    <w:rsid w:val="00792696"/>
    <w:rsid w:val="007A5493"/>
    <w:rsid w:val="007C7FCF"/>
    <w:rsid w:val="007D57C4"/>
    <w:rsid w:val="007F6399"/>
    <w:rsid w:val="00806B27"/>
    <w:rsid w:val="00815726"/>
    <w:rsid w:val="008569DD"/>
    <w:rsid w:val="00893A67"/>
    <w:rsid w:val="00913922"/>
    <w:rsid w:val="00920E40"/>
    <w:rsid w:val="00943354"/>
    <w:rsid w:val="00970BFE"/>
    <w:rsid w:val="009765F6"/>
    <w:rsid w:val="009806D4"/>
    <w:rsid w:val="00991533"/>
    <w:rsid w:val="00997742"/>
    <w:rsid w:val="009C0EC9"/>
    <w:rsid w:val="009C2119"/>
    <w:rsid w:val="009D1F53"/>
    <w:rsid w:val="009D5521"/>
    <w:rsid w:val="009E34B7"/>
    <w:rsid w:val="00A157A3"/>
    <w:rsid w:val="00A15A4C"/>
    <w:rsid w:val="00A31E23"/>
    <w:rsid w:val="00A32D5C"/>
    <w:rsid w:val="00A462B0"/>
    <w:rsid w:val="00A500F6"/>
    <w:rsid w:val="00A5155E"/>
    <w:rsid w:val="00A7220C"/>
    <w:rsid w:val="00AA0FE8"/>
    <w:rsid w:val="00AA1E66"/>
    <w:rsid w:val="00AB4895"/>
    <w:rsid w:val="00AC0FF4"/>
    <w:rsid w:val="00AC6B44"/>
    <w:rsid w:val="00AD338C"/>
    <w:rsid w:val="00B13853"/>
    <w:rsid w:val="00B40DAA"/>
    <w:rsid w:val="00B50BA0"/>
    <w:rsid w:val="00BB5915"/>
    <w:rsid w:val="00BB7567"/>
    <w:rsid w:val="00C00FCC"/>
    <w:rsid w:val="00C33879"/>
    <w:rsid w:val="00C34E6C"/>
    <w:rsid w:val="00C413D8"/>
    <w:rsid w:val="00CD3968"/>
    <w:rsid w:val="00CE2C65"/>
    <w:rsid w:val="00D13CBD"/>
    <w:rsid w:val="00D92BAF"/>
    <w:rsid w:val="00DA60E4"/>
    <w:rsid w:val="00DB0141"/>
    <w:rsid w:val="00DB6459"/>
    <w:rsid w:val="00DE18F8"/>
    <w:rsid w:val="00DF35B0"/>
    <w:rsid w:val="00E23BCB"/>
    <w:rsid w:val="00E25934"/>
    <w:rsid w:val="00E314EB"/>
    <w:rsid w:val="00E61BD7"/>
    <w:rsid w:val="00E85E68"/>
    <w:rsid w:val="00EB1E0A"/>
    <w:rsid w:val="00ED14D1"/>
    <w:rsid w:val="00EF2118"/>
    <w:rsid w:val="00EF2FDA"/>
    <w:rsid w:val="00F04CE1"/>
    <w:rsid w:val="00FA7B83"/>
    <w:rsid w:val="00FE02BD"/>
    <w:rsid w:val="08B019EF"/>
    <w:rsid w:val="10D6BBAE"/>
    <w:rsid w:val="1BEECEB3"/>
    <w:rsid w:val="1F5603E6"/>
    <w:rsid w:val="2347BA95"/>
    <w:rsid w:val="31669C35"/>
    <w:rsid w:val="35F82FD6"/>
    <w:rsid w:val="3E8F562F"/>
    <w:rsid w:val="49124BD6"/>
    <w:rsid w:val="516417CB"/>
    <w:rsid w:val="5926F6D5"/>
    <w:rsid w:val="6366D6C1"/>
    <w:rsid w:val="67FC7432"/>
    <w:rsid w:val="6F9D4C5B"/>
    <w:rsid w:val="753DD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C71E"/>
  <w15:chartTrackingRefBased/>
  <w15:docId w15:val="{3F69541E-0FFC-4BAE-9028-FAE2D1D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D7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61B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1B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1BD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1B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1BD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1BD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1B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1B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1B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E61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1BD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1BD7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1BD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1BD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1B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1B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G-heading2">
    <w:name w:val="G-heading2"/>
    <w:basedOn w:val="Ttulo2"/>
    <w:link w:val="G-heading2Char"/>
    <w:qFormat/>
    <w:rsid w:val="00E61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color w:val="185262"/>
      <w:u w:color="374C80"/>
      <w:bdr w:val="nil"/>
      <w:lang w:eastAsia="zh-CN"/>
    </w:rPr>
  </w:style>
  <w:style w:type="character" w:customStyle="1" w:styleId="G-heading2Char">
    <w:name w:val="G-heading2 Char"/>
    <w:basedOn w:val="Ttulo2Car"/>
    <w:link w:val="G-heading2"/>
    <w:rsid w:val="00E61BD7"/>
    <w:rPr>
      <w:rFonts w:ascii="Calibri" w:eastAsia="Calibri" w:hAnsi="Calibri" w:cs="Calibri"/>
      <w:b/>
      <w:color w:val="185262"/>
      <w:sz w:val="26"/>
      <w:szCs w:val="26"/>
      <w:u w:color="374C80"/>
      <w:bdr w:val="nil"/>
      <w:lang w:val="en-GB" w:eastAsia="zh-CN"/>
    </w:rPr>
  </w:style>
  <w:style w:type="paragraph" w:styleId="Prrafodelista">
    <w:name w:val="List Paragraph"/>
    <w:basedOn w:val="Normal"/>
    <w:uiPriority w:val="34"/>
    <w:qFormat/>
    <w:rsid w:val="00E23BCB"/>
    <w:pPr>
      <w:ind w:left="720"/>
      <w:contextualSpacing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20E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E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E40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E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E4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David Leonardo Lamprea Rodriguez</cp:lastModifiedBy>
  <cp:revision>52</cp:revision>
  <dcterms:created xsi:type="dcterms:W3CDTF">2021-04-09T15:36:00Z</dcterms:created>
  <dcterms:modified xsi:type="dcterms:W3CDTF">2022-02-01T14:51:00Z</dcterms:modified>
</cp:coreProperties>
</file>