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E86B" w14:textId="229061EE" w:rsidR="00A23C52" w:rsidRPr="00C57148" w:rsidRDefault="00E570F6" w:rsidP="00A23C52">
      <w:pPr>
        <w:pStyle w:val="G-heading2"/>
        <w:numPr>
          <w:ilvl w:val="0"/>
          <w:numId w:val="0"/>
        </w:numPr>
        <w:ind w:left="-630"/>
        <w:rPr>
          <w:rFonts w:ascii="Times New Roman" w:hAnsi="Times New Roman" w:cs="Times New Roman"/>
          <w:bCs/>
          <w:sz w:val="18"/>
          <w:szCs w:val="18"/>
        </w:rPr>
      </w:pPr>
      <w:r w:rsidRPr="00867815">
        <w:rPr>
          <w:rFonts w:ascii="Times New Roman" w:hAnsi="Times New Roman" w:cs="Times New Roman"/>
          <w:sz w:val="18"/>
          <w:szCs w:val="18"/>
        </w:rPr>
        <w:t xml:space="preserve">UNDP </w:t>
      </w:r>
      <w:r w:rsidR="00C57148">
        <w:rPr>
          <w:rFonts w:ascii="Times New Roman" w:hAnsi="Times New Roman" w:cs="Times New Roman"/>
          <w:sz w:val="18"/>
          <w:szCs w:val="18"/>
        </w:rPr>
        <w:t>M</w:t>
      </w:r>
      <w:r w:rsidRPr="00867815">
        <w:rPr>
          <w:rFonts w:ascii="Times New Roman" w:hAnsi="Times New Roman" w:cs="Times New Roman"/>
          <w:sz w:val="18"/>
          <w:szCs w:val="18"/>
        </w:rPr>
        <w:t xml:space="preserve">anagement </w:t>
      </w:r>
      <w:r w:rsidR="00C57148">
        <w:rPr>
          <w:rFonts w:ascii="Times New Roman" w:hAnsi="Times New Roman" w:cs="Times New Roman"/>
          <w:sz w:val="18"/>
          <w:szCs w:val="18"/>
        </w:rPr>
        <w:t>R</w:t>
      </w:r>
      <w:r w:rsidRPr="00867815">
        <w:rPr>
          <w:rFonts w:ascii="Times New Roman" w:hAnsi="Times New Roman" w:cs="Times New Roman"/>
          <w:sz w:val="18"/>
          <w:szCs w:val="18"/>
        </w:rPr>
        <w:t xml:space="preserve">esponse </w:t>
      </w:r>
    </w:p>
    <w:p w14:paraId="0946BC17" w14:textId="77777777" w:rsidR="00805B39" w:rsidRDefault="00805B39" w:rsidP="00B70390">
      <w:pPr>
        <w:pStyle w:val="G-heading2"/>
        <w:numPr>
          <w:ilvl w:val="0"/>
          <w:numId w:val="0"/>
        </w:numPr>
        <w:ind w:left="-630"/>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Mid-Term Evaluation: </w:t>
      </w:r>
      <w:r w:rsidR="00EA39CC" w:rsidRPr="00C57148">
        <w:rPr>
          <w:rFonts w:ascii="Times New Roman" w:hAnsi="Times New Roman" w:cs="Times New Roman"/>
          <w:bCs/>
          <w:color w:val="auto"/>
          <w:sz w:val="18"/>
          <w:szCs w:val="18"/>
        </w:rPr>
        <w:t xml:space="preserve">Support to Security and Justice Sector Governance in Post- Conflict Iraq </w:t>
      </w:r>
    </w:p>
    <w:p w14:paraId="6D03D486" w14:textId="0807C369" w:rsidR="00EB6F76" w:rsidRPr="00C57148" w:rsidRDefault="00E567F3" w:rsidP="00B70390">
      <w:pPr>
        <w:pStyle w:val="G-heading2"/>
        <w:numPr>
          <w:ilvl w:val="0"/>
          <w:numId w:val="0"/>
        </w:numPr>
        <w:ind w:left="-630"/>
        <w:jc w:val="both"/>
        <w:rPr>
          <w:rFonts w:ascii="Times New Roman" w:hAnsi="Times New Roman" w:cs="Times New Roman"/>
          <w:bCs/>
          <w:color w:val="auto"/>
          <w:sz w:val="18"/>
          <w:szCs w:val="18"/>
        </w:rPr>
      </w:pPr>
      <w:r>
        <w:rPr>
          <w:rFonts w:ascii="Times New Roman" w:hAnsi="Times New Roman" w:cs="Times New Roman"/>
          <w:bCs/>
          <w:color w:val="auto"/>
          <w:sz w:val="18"/>
          <w:szCs w:val="18"/>
        </w:rPr>
        <w:t xml:space="preserve">January </w:t>
      </w:r>
      <w:r w:rsidR="00805B39">
        <w:rPr>
          <w:rFonts w:ascii="Times New Roman" w:hAnsi="Times New Roman" w:cs="Times New Roman"/>
          <w:bCs/>
          <w:color w:val="auto"/>
          <w:sz w:val="18"/>
          <w:szCs w:val="18"/>
        </w:rPr>
        <w:t>202</w:t>
      </w:r>
      <w:r>
        <w:rPr>
          <w:rFonts w:ascii="Times New Roman" w:hAnsi="Times New Roman" w:cs="Times New Roman"/>
          <w:bCs/>
          <w:color w:val="auto"/>
          <w:sz w:val="18"/>
          <w:szCs w:val="18"/>
        </w:rPr>
        <w:t>2</w:t>
      </w:r>
    </w:p>
    <w:tbl>
      <w:tblPr>
        <w:tblStyle w:val="TableGrid"/>
        <w:tblW w:w="10530" w:type="dxa"/>
        <w:tblInd w:w="-635" w:type="dxa"/>
        <w:tblLook w:val="04A0" w:firstRow="1" w:lastRow="0" w:firstColumn="1" w:lastColumn="0" w:noHBand="0" w:noVBand="1"/>
      </w:tblPr>
      <w:tblGrid>
        <w:gridCol w:w="2070"/>
        <w:gridCol w:w="8460"/>
      </w:tblGrid>
      <w:tr w:rsidR="00A23C52" w:rsidRPr="00867815" w14:paraId="1C638CC6" w14:textId="77777777" w:rsidTr="63FEB75E">
        <w:tc>
          <w:tcPr>
            <w:tcW w:w="2070" w:type="dxa"/>
          </w:tcPr>
          <w:p w14:paraId="16B1575F" w14:textId="20082B59" w:rsidR="00A23C52" w:rsidRPr="00867815" w:rsidRDefault="00F93746" w:rsidP="00BF139A">
            <w:pPr>
              <w:jc w:val="both"/>
              <w:rPr>
                <w:rFonts w:ascii="Times New Roman" w:hAnsi="Times New Roman" w:cs="Times New Roman"/>
                <w:sz w:val="18"/>
                <w:szCs w:val="18"/>
              </w:rPr>
            </w:pPr>
            <w:r w:rsidRPr="00867815">
              <w:rPr>
                <w:rFonts w:ascii="Times New Roman" w:hAnsi="Times New Roman" w:cs="Times New Roman"/>
                <w:sz w:val="18"/>
                <w:szCs w:val="18"/>
              </w:rPr>
              <w:t xml:space="preserve">Prepared by </w:t>
            </w:r>
          </w:p>
        </w:tc>
        <w:tc>
          <w:tcPr>
            <w:tcW w:w="8460" w:type="dxa"/>
          </w:tcPr>
          <w:p w14:paraId="3B2CA9DB" w14:textId="0723F024" w:rsidR="00921F79" w:rsidRPr="00EB6F76" w:rsidRDefault="00F93746" w:rsidP="00BF139A">
            <w:pPr>
              <w:jc w:val="both"/>
              <w:rPr>
                <w:rFonts w:ascii="Times New Roman" w:hAnsi="Times New Roman" w:cs="Times New Roman"/>
                <w:sz w:val="18"/>
                <w:szCs w:val="18"/>
                <w:lang w:val="en-US"/>
              </w:rPr>
            </w:pPr>
            <w:r w:rsidRPr="00EB6F76">
              <w:rPr>
                <w:rFonts w:ascii="Times New Roman" w:hAnsi="Times New Roman" w:cs="Times New Roman"/>
                <w:sz w:val="18"/>
                <w:szCs w:val="18"/>
                <w:lang w:val="en-US"/>
              </w:rPr>
              <w:t>Beamie Moses Seiwoh</w:t>
            </w:r>
            <w:r w:rsidR="008160E3" w:rsidRPr="00EB6F76">
              <w:rPr>
                <w:rFonts w:ascii="Times New Roman" w:hAnsi="Times New Roman" w:cs="Times New Roman"/>
                <w:sz w:val="18"/>
                <w:szCs w:val="18"/>
                <w:lang w:val="en-US"/>
              </w:rPr>
              <w:t xml:space="preserve">, </w:t>
            </w:r>
            <w:proofErr w:type="spellStart"/>
            <w:r w:rsidRPr="00EB6F76">
              <w:rPr>
                <w:rFonts w:ascii="Times New Roman" w:hAnsi="Times New Roman" w:cs="Times New Roman"/>
                <w:sz w:val="18"/>
                <w:szCs w:val="18"/>
                <w:lang w:val="en-US"/>
              </w:rPr>
              <w:t>Programme</w:t>
            </w:r>
            <w:proofErr w:type="spellEnd"/>
            <w:r w:rsidRPr="00EB6F76">
              <w:rPr>
                <w:rFonts w:ascii="Times New Roman" w:hAnsi="Times New Roman" w:cs="Times New Roman"/>
                <w:sz w:val="18"/>
                <w:szCs w:val="18"/>
                <w:lang w:val="en-US"/>
              </w:rPr>
              <w:t xml:space="preserve"> Management Specialist, S</w:t>
            </w:r>
            <w:r w:rsidR="00EB6F76" w:rsidRPr="00EB6F76">
              <w:rPr>
                <w:rFonts w:ascii="Times New Roman" w:hAnsi="Times New Roman" w:cs="Times New Roman"/>
                <w:sz w:val="18"/>
                <w:szCs w:val="18"/>
                <w:lang w:val="en-US"/>
              </w:rPr>
              <w:t xml:space="preserve">ecurity </w:t>
            </w:r>
            <w:r w:rsidRPr="00EB6F76">
              <w:rPr>
                <w:rFonts w:ascii="Times New Roman" w:hAnsi="Times New Roman" w:cs="Times New Roman"/>
                <w:sz w:val="18"/>
                <w:szCs w:val="18"/>
                <w:lang w:val="en-US"/>
              </w:rPr>
              <w:t>S</w:t>
            </w:r>
            <w:r w:rsidR="00EB6F76" w:rsidRPr="00EB6F76">
              <w:rPr>
                <w:rFonts w:ascii="Times New Roman" w:hAnsi="Times New Roman" w:cs="Times New Roman"/>
                <w:sz w:val="18"/>
                <w:szCs w:val="18"/>
                <w:lang w:val="en-US"/>
              </w:rPr>
              <w:t xml:space="preserve">ector </w:t>
            </w:r>
            <w:r w:rsidRPr="00EB6F76">
              <w:rPr>
                <w:rFonts w:ascii="Times New Roman" w:hAnsi="Times New Roman" w:cs="Times New Roman"/>
                <w:sz w:val="18"/>
                <w:szCs w:val="18"/>
                <w:lang w:val="en-US"/>
              </w:rPr>
              <w:t>R</w:t>
            </w:r>
            <w:r w:rsidR="00EB6F76" w:rsidRPr="00EB6F76">
              <w:rPr>
                <w:rFonts w:ascii="Times New Roman" w:hAnsi="Times New Roman" w:cs="Times New Roman"/>
                <w:sz w:val="18"/>
                <w:szCs w:val="18"/>
                <w:lang w:val="en-US"/>
              </w:rPr>
              <w:t>eform</w:t>
            </w:r>
            <w:r w:rsidR="00921F79" w:rsidRPr="00EB6F76">
              <w:rPr>
                <w:rFonts w:ascii="Times New Roman" w:hAnsi="Times New Roman" w:cs="Times New Roman"/>
                <w:sz w:val="18"/>
                <w:szCs w:val="18"/>
                <w:lang w:val="en-US"/>
              </w:rPr>
              <w:t>/R</w:t>
            </w:r>
            <w:r w:rsidR="00EB6F76" w:rsidRPr="00EB6F76">
              <w:rPr>
                <w:rFonts w:ascii="Times New Roman" w:hAnsi="Times New Roman" w:cs="Times New Roman"/>
                <w:sz w:val="18"/>
                <w:szCs w:val="18"/>
                <w:lang w:val="en-US"/>
              </w:rPr>
              <w:t xml:space="preserve">ule </w:t>
            </w:r>
            <w:r w:rsidR="00921F79" w:rsidRPr="00EB6F76">
              <w:rPr>
                <w:rFonts w:ascii="Times New Roman" w:hAnsi="Times New Roman" w:cs="Times New Roman"/>
                <w:sz w:val="18"/>
                <w:szCs w:val="18"/>
                <w:lang w:val="en-US"/>
              </w:rPr>
              <w:t>o</w:t>
            </w:r>
            <w:r w:rsidR="00EB6F76">
              <w:rPr>
                <w:rFonts w:ascii="Times New Roman" w:hAnsi="Times New Roman" w:cs="Times New Roman"/>
                <w:sz w:val="18"/>
                <w:szCs w:val="18"/>
                <w:lang w:val="en-US"/>
              </w:rPr>
              <w:t xml:space="preserve">f </w:t>
            </w:r>
            <w:r w:rsidR="00921F79" w:rsidRPr="00EB6F76">
              <w:rPr>
                <w:rFonts w:ascii="Times New Roman" w:hAnsi="Times New Roman" w:cs="Times New Roman"/>
                <w:sz w:val="18"/>
                <w:szCs w:val="18"/>
                <w:lang w:val="en-US"/>
              </w:rPr>
              <w:t>L</w:t>
            </w:r>
            <w:r w:rsidR="00EB6F76">
              <w:rPr>
                <w:rFonts w:ascii="Times New Roman" w:hAnsi="Times New Roman" w:cs="Times New Roman"/>
                <w:sz w:val="18"/>
                <w:szCs w:val="18"/>
                <w:lang w:val="en-US"/>
              </w:rPr>
              <w:t>aw (SSR/</w:t>
            </w:r>
            <w:proofErr w:type="spellStart"/>
            <w:r w:rsidR="00EB6F76">
              <w:rPr>
                <w:rFonts w:ascii="Times New Roman" w:hAnsi="Times New Roman" w:cs="Times New Roman"/>
                <w:sz w:val="18"/>
                <w:szCs w:val="18"/>
                <w:lang w:val="en-US"/>
              </w:rPr>
              <w:t>RoL</w:t>
            </w:r>
            <w:proofErr w:type="spellEnd"/>
            <w:r w:rsidR="00EB6F76">
              <w:rPr>
                <w:rFonts w:ascii="Times New Roman" w:hAnsi="Times New Roman" w:cs="Times New Roman"/>
                <w:sz w:val="18"/>
                <w:szCs w:val="18"/>
                <w:lang w:val="en-US"/>
              </w:rPr>
              <w:t>)</w:t>
            </w:r>
            <w:r w:rsidR="00921F79" w:rsidRPr="00EB6F76">
              <w:rPr>
                <w:rFonts w:ascii="Times New Roman" w:hAnsi="Times New Roman" w:cs="Times New Roman"/>
                <w:sz w:val="18"/>
                <w:szCs w:val="18"/>
                <w:lang w:val="en-US"/>
              </w:rPr>
              <w:t xml:space="preserve"> </w:t>
            </w:r>
            <w:proofErr w:type="spellStart"/>
            <w:r w:rsidR="00921F79" w:rsidRPr="00EB6F76">
              <w:rPr>
                <w:rFonts w:ascii="Times New Roman" w:hAnsi="Times New Roman" w:cs="Times New Roman"/>
                <w:sz w:val="18"/>
                <w:szCs w:val="18"/>
                <w:lang w:val="en-US"/>
              </w:rPr>
              <w:t>Programme</w:t>
            </w:r>
            <w:proofErr w:type="spellEnd"/>
          </w:p>
          <w:p w14:paraId="2C7194BB" w14:textId="48CB464C" w:rsidR="00F93746" w:rsidRPr="00EB6F76" w:rsidRDefault="00335C00" w:rsidP="00BF139A">
            <w:pPr>
              <w:jc w:val="both"/>
              <w:rPr>
                <w:rFonts w:ascii="Times New Roman" w:hAnsi="Times New Roman" w:cs="Times New Roman"/>
                <w:sz w:val="18"/>
                <w:szCs w:val="18"/>
                <w:lang w:val="en-US"/>
              </w:rPr>
            </w:pPr>
            <w:r w:rsidRPr="00EB6F76">
              <w:rPr>
                <w:rFonts w:ascii="Times New Roman" w:hAnsi="Times New Roman" w:cs="Times New Roman"/>
                <w:sz w:val="18"/>
                <w:szCs w:val="18"/>
                <w:lang w:val="en-US"/>
              </w:rPr>
              <w:t>Unit/</w:t>
            </w:r>
            <w:r w:rsidR="00BE1143" w:rsidRPr="00EB6F76">
              <w:rPr>
                <w:rFonts w:ascii="Times New Roman" w:hAnsi="Times New Roman" w:cs="Times New Roman"/>
                <w:sz w:val="18"/>
                <w:szCs w:val="18"/>
                <w:lang w:val="en-US"/>
              </w:rPr>
              <w:t>Bureau: UNDP</w:t>
            </w:r>
            <w:r w:rsidRPr="00EB6F76">
              <w:rPr>
                <w:rFonts w:ascii="Times New Roman" w:hAnsi="Times New Roman" w:cs="Times New Roman"/>
                <w:sz w:val="18"/>
                <w:szCs w:val="18"/>
                <w:lang w:val="en-US"/>
              </w:rPr>
              <w:t xml:space="preserve"> Iraq</w:t>
            </w:r>
          </w:p>
        </w:tc>
      </w:tr>
      <w:tr w:rsidR="00335C00" w:rsidRPr="00867815" w14:paraId="355512CB" w14:textId="77777777" w:rsidTr="63FEB75E">
        <w:tc>
          <w:tcPr>
            <w:tcW w:w="2070" w:type="dxa"/>
          </w:tcPr>
          <w:p w14:paraId="04AE54EE" w14:textId="6D5DEA1D" w:rsidR="00335C00" w:rsidRPr="00867815" w:rsidRDefault="0080526E" w:rsidP="00BF139A">
            <w:pPr>
              <w:jc w:val="both"/>
              <w:rPr>
                <w:rFonts w:ascii="Times New Roman" w:hAnsi="Times New Roman" w:cs="Times New Roman"/>
                <w:sz w:val="18"/>
                <w:szCs w:val="18"/>
              </w:rPr>
            </w:pPr>
            <w:r>
              <w:rPr>
                <w:rFonts w:ascii="Times New Roman" w:hAnsi="Times New Roman" w:cs="Times New Roman"/>
                <w:sz w:val="18"/>
                <w:szCs w:val="18"/>
              </w:rPr>
              <w:t>Reviewed by</w:t>
            </w:r>
          </w:p>
        </w:tc>
        <w:tc>
          <w:tcPr>
            <w:tcW w:w="8460" w:type="dxa"/>
          </w:tcPr>
          <w:p w14:paraId="61ECD6AC" w14:textId="03B6AC84" w:rsidR="00423AF1" w:rsidRPr="00867815" w:rsidRDefault="00423AF1" w:rsidP="00BF139A">
            <w:pPr>
              <w:jc w:val="both"/>
              <w:rPr>
                <w:rFonts w:ascii="Times New Roman" w:hAnsi="Times New Roman" w:cs="Times New Roman"/>
                <w:sz w:val="18"/>
                <w:szCs w:val="18"/>
                <w:lang w:val="fr-FR"/>
              </w:rPr>
            </w:pPr>
            <w:r w:rsidRPr="00867815">
              <w:rPr>
                <w:rFonts w:ascii="Times New Roman" w:hAnsi="Times New Roman" w:cs="Times New Roman"/>
                <w:sz w:val="18"/>
                <w:szCs w:val="18"/>
                <w:lang w:val="fr-FR"/>
              </w:rPr>
              <w:t>Chamila Hemmathagama</w:t>
            </w:r>
            <w:r w:rsidR="008160E3" w:rsidRPr="00867815">
              <w:rPr>
                <w:rFonts w:ascii="Times New Roman" w:hAnsi="Times New Roman" w:cs="Times New Roman"/>
                <w:sz w:val="18"/>
                <w:szCs w:val="18"/>
                <w:lang w:val="fr-FR"/>
              </w:rPr>
              <w:t xml:space="preserve">, </w:t>
            </w:r>
            <w:r w:rsidRPr="00867815">
              <w:rPr>
                <w:rFonts w:ascii="Times New Roman" w:hAnsi="Times New Roman" w:cs="Times New Roman"/>
                <w:sz w:val="18"/>
                <w:szCs w:val="18"/>
                <w:lang w:val="fr-FR"/>
              </w:rPr>
              <w:t>Programme Manager, SSR/</w:t>
            </w:r>
            <w:proofErr w:type="spellStart"/>
            <w:r w:rsidRPr="00867815">
              <w:rPr>
                <w:rFonts w:ascii="Times New Roman" w:hAnsi="Times New Roman" w:cs="Times New Roman"/>
                <w:sz w:val="18"/>
                <w:szCs w:val="18"/>
                <w:lang w:val="fr-FR"/>
              </w:rPr>
              <w:t>RoL</w:t>
            </w:r>
            <w:proofErr w:type="spellEnd"/>
            <w:r w:rsidRPr="00867815">
              <w:rPr>
                <w:rFonts w:ascii="Times New Roman" w:hAnsi="Times New Roman" w:cs="Times New Roman"/>
                <w:sz w:val="18"/>
                <w:szCs w:val="18"/>
                <w:lang w:val="fr-FR"/>
              </w:rPr>
              <w:t xml:space="preserve"> Programme</w:t>
            </w:r>
          </w:p>
          <w:p w14:paraId="2EFCDA72" w14:textId="0169AD3F" w:rsidR="00423AF1" w:rsidRPr="00867815" w:rsidRDefault="00423AF1" w:rsidP="00BF139A">
            <w:pPr>
              <w:jc w:val="both"/>
              <w:rPr>
                <w:rFonts w:ascii="Times New Roman" w:hAnsi="Times New Roman" w:cs="Times New Roman"/>
                <w:sz w:val="18"/>
                <w:szCs w:val="18"/>
                <w:lang w:val="fr-FR"/>
              </w:rPr>
            </w:pPr>
            <w:r w:rsidRPr="00867815">
              <w:rPr>
                <w:rFonts w:ascii="Times New Roman" w:hAnsi="Times New Roman" w:cs="Times New Roman"/>
                <w:sz w:val="18"/>
                <w:szCs w:val="18"/>
                <w:lang w:val="fr-FR"/>
              </w:rPr>
              <w:t>Unit/</w:t>
            </w:r>
            <w:proofErr w:type="gramStart"/>
            <w:r w:rsidRPr="00867815">
              <w:rPr>
                <w:rFonts w:ascii="Times New Roman" w:hAnsi="Times New Roman" w:cs="Times New Roman"/>
                <w:sz w:val="18"/>
                <w:szCs w:val="18"/>
                <w:lang w:val="fr-FR"/>
              </w:rPr>
              <w:t>Bureau:</w:t>
            </w:r>
            <w:proofErr w:type="gramEnd"/>
            <w:r w:rsidRPr="00867815">
              <w:rPr>
                <w:rFonts w:ascii="Times New Roman" w:hAnsi="Times New Roman" w:cs="Times New Roman"/>
                <w:sz w:val="18"/>
                <w:szCs w:val="18"/>
                <w:lang w:val="fr-FR"/>
              </w:rPr>
              <w:t xml:space="preserve"> UNDP Iraq</w:t>
            </w:r>
            <w:r w:rsidR="004D2CAE">
              <w:rPr>
                <w:rFonts w:ascii="Times New Roman" w:hAnsi="Times New Roman" w:cs="Times New Roman"/>
                <w:sz w:val="18"/>
                <w:szCs w:val="18"/>
                <w:lang w:val="fr-FR"/>
              </w:rPr>
              <w:t xml:space="preserve"> / PMSU</w:t>
            </w:r>
          </w:p>
        </w:tc>
      </w:tr>
      <w:tr w:rsidR="00423AF1" w:rsidRPr="00867815" w14:paraId="44EB11D1" w14:textId="77777777" w:rsidTr="63FEB75E">
        <w:tc>
          <w:tcPr>
            <w:tcW w:w="2070" w:type="dxa"/>
          </w:tcPr>
          <w:p w14:paraId="16493005" w14:textId="46EB5079" w:rsidR="00423AF1" w:rsidRPr="00867815" w:rsidRDefault="0080526E" w:rsidP="00BF139A">
            <w:pPr>
              <w:jc w:val="both"/>
              <w:rPr>
                <w:rFonts w:ascii="Times New Roman" w:hAnsi="Times New Roman" w:cs="Times New Roman"/>
                <w:sz w:val="18"/>
                <w:szCs w:val="18"/>
              </w:rPr>
            </w:pPr>
            <w:r w:rsidRPr="00667A41">
              <w:rPr>
                <w:rFonts w:ascii="Times New Roman" w:hAnsi="Times New Roman" w:cs="Times New Roman"/>
                <w:sz w:val="18"/>
                <w:szCs w:val="18"/>
              </w:rPr>
              <w:t>Cleared</w:t>
            </w:r>
            <w:r w:rsidR="009D3C57" w:rsidRPr="00667A41">
              <w:rPr>
                <w:rFonts w:ascii="Times New Roman" w:hAnsi="Times New Roman" w:cs="Times New Roman"/>
                <w:sz w:val="18"/>
                <w:szCs w:val="18"/>
              </w:rPr>
              <w:t xml:space="preserve"> by</w:t>
            </w:r>
            <w:r w:rsidR="009D3C57">
              <w:rPr>
                <w:rFonts w:ascii="Times New Roman" w:hAnsi="Times New Roman" w:cs="Times New Roman"/>
                <w:sz w:val="18"/>
                <w:szCs w:val="18"/>
              </w:rPr>
              <w:t xml:space="preserve"> </w:t>
            </w:r>
          </w:p>
        </w:tc>
        <w:tc>
          <w:tcPr>
            <w:tcW w:w="8460" w:type="dxa"/>
          </w:tcPr>
          <w:p w14:paraId="04C6D01F" w14:textId="638B39C0" w:rsidR="008370C9" w:rsidRPr="00867815" w:rsidRDefault="00F44E5D" w:rsidP="00BF139A">
            <w:pPr>
              <w:jc w:val="both"/>
              <w:rPr>
                <w:rFonts w:ascii="Times New Roman" w:hAnsi="Times New Roman" w:cs="Times New Roman"/>
                <w:sz w:val="18"/>
                <w:szCs w:val="18"/>
              </w:rPr>
            </w:pPr>
            <w:r w:rsidRPr="00867815">
              <w:rPr>
                <w:rFonts w:ascii="Times New Roman" w:hAnsi="Times New Roman" w:cs="Times New Roman"/>
                <w:sz w:val="18"/>
                <w:szCs w:val="18"/>
              </w:rPr>
              <w:t>Zena Ali Ahmed</w:t>
            </w:r>
            <w:r w:rsidR="008160E3" w:rsidRPr="00867815">
              <w:rPr>
                <w:rFonts w:ascii="Times New Roman" w:hAnsi="Times New Roman" w:cs="Times New Roman"/>
                <w:sz w:val="18"/>
                <w:szCs w:val="18"/>
              </w:rPr>
              <w:t xml:space="preserve">, </w:t>
            </w:r>
            <w:r w:rsidR="008370C9" w:rsidRPr="00867815">
              <w:rPr>
                <w:rFonts w:ascii="Times New Roman" w:hAnsi="Times New Roman" w:cs="Times New Roman"/>
                <w:sz w:val="18"/>
                <w:szCs w:val="18"/>
              </w:rPr>
              <w:t>Resident Representative</w:t>
            </w:r>
          </w:p>
          <w:p w14:paraId="10C3DC67" w14:textId="43588C82" w:rsidR="008370C9" w:rsidRPr="00867815" w:rsidRDefault="008370C9" w:rsidP="00BF139A">
            <w:pPr>
              <w:jc w:val="both"/>
              <w:rPr>
                <w:rFonts w:ascii="Times New Roman" w:hAnsi="Times New Roman" w:cs="Times New Roman"/>
                <w:sz w:val="18"/>
                <w:szCs w:val="18"/>
              </w:rPr>
            </w:pPr>
            <w:r w:rsidRPr="00867815">
              <w:rPr>
                <w:rFonts w:ascii="Times New Roman" w:hAnsi="Times New Roman" w:cs="Times New Roman"/>
                <w:sz w:val="18"/>
                <w:szCs w:val="18"/>
              </w:rPr>
              <w:t>Unit/Bureau: UNDP Iraq</w:t>
            </w:r>
          </w:p>
        </w:tc>
      </w:tr>
      <w:tr w:rsidR="008370C9" w:rsidRPr="00867815" w14:paraId="3AAFDF03" w14:textId="77777777" w:rsidTr="63FEB75E">
        <w:tc>
          <w:tcPr>
            <w:tcW w:w="2070" w:type="dxa"/>
          </w:tcPr>
          <w:p w14:paraId="421B3A1B" w14:textId="7473A5BC" w:rsidR="008370C9" w:rsidRPr="00867815" w:rsidRDefault="00534931" w:rsidP="00BF139A">
            <w:pPr>
              <w:jc w:val="both"/>
              <w:rPr>
                <w:rFonts w:ascii="Times New Roman" w:hAnsi="Times New Roman" w:cs="Times New Roman"/>
                <w:sz w:val="18"/>
                <w:szCs w:val="18"/>
              </w:rPr>
            </w:pPr>
            <w:r w:rsidRPr="00867815">
              <w:rPr>
                <w:rFonts w:ascii="Times New Roman" w:hAnsi="Times New Roman" w:cs="Times New Roman"/>
                <w:sz w:val="18"/>
                <w:szCs w:val="18"/>
              </w:rPr>
              <w:t>Input into and update in ERC</w:t>
            </w:r>
          </w:p>
        </w:tc>
        <w:tc>
          <w:tcPr>
            <w:tcW w:w="8460" w:type="dxa"/>
          </w:tcPr>
          <w:p w14:paraId="7B1DC39A" w14:textId="0152EEBB" w:rsidR="009379F8" w:rsidRPr="00867815" w:rsidRDefault="00057CAE" w:rsidP="00BF139A">
            <w:pPr>
              <w:jc w:val="both"/>
              <w:rPr>
                <w:rFonts w:ascii="Times New Roman" w:hAnsi="Times New Roman" w:cs="Times New Roman"/>
                <w:sz w:val="18"/>
                <w:szCs w:val="18"/>
              </w:rPr>
            </w:pPr>
            <w:r w:rsidRPr="00867815">
              <w:rPr>
                <w:rFonts w:ascii="Times New Roman" w:hAnsi="Times New Roman" w:cs="Times New Roman"/>
                <w:sz w:val="18"/>
                <w:szCs w:val="18"/>
              </w:rPr>
              <w:t>Farooq Al Wakeel</w:t>
            </w:r>
            <w:r w:rsidR="008160E3" w:rsidRPr="00867815">
              <w:rPr>
                <w:rFonts w:ascii="Times New Roman" w:hAnsi="Times New Roman" w:cs="Times New Roman"/>
                <w:sz w:val="18"/>
                <w:szCs w:val="18"/>
              </w:rPr>
              <w:t xml:space="preserve">, </w:t>
            </w:r>
            <w:r w:rsidR="009379F8" w:rsidRPr="00867815">
              <w:rPr>
                <w:rFonts w:ascii="Times New Roman" w:hAnsi="Times New Roman" w:cs="Times New Roman"/>
                <w:sz w:val="18"/>
                <w:szCs w:val="18"/>
              </w:rPr>
              <w:t>Programme Management Specialist, P</w:t>
            </w:r>
            <w:r w:rsidR="00805B39">
              <w:rPr>
                <w:rFonts w:ascii="Times New Roman" w:hAnsi="Times New Roman" w:cs="Times New Roman"/>
                <w:sz w:val="18"/>
                <w:szCs w:val="18"/>
              </w:rPr>
              <w:t xml:space="preserve">rogramme Management Support Unit </w:t>
            </w:r>
          </w:p>
          <w:p w14:paraId="2990FFBE" w14:textId="5D79685D" w:rsidR="009379F8" w:rsidRPr="00867815" w:rsidRDefault="009379F8" w:rsidP="00BF139A">
            <w:pPr>
              <w:jc w:val="both"/>
              <w:rPr>
                <w:rFonts w:ascii="Times New Roman" w:hAnsi="Times New Roman" w:cs="Times New Roman"/>
                <w:sz w:val="18"/>
                <w:szCs w:val="18"/>
              </w:rPr>
            </w:pPr>
            <w:r w:rsidRPr="00867815">
              <w:rPr>
                <w:rFonts w:ascii="Times New Roman" w:hAnsi="Times New Roman" w:cs="Times New Roman"/>
                <w:sz w:val="18"/>
                <w:szCs w:val="18"/>
                <w:lang w:val="fr-FR"/>
              </w:rPr>
              <w:t>Unit/</w:t>
            </w:r>
            <w:proofErr w:type="gramStart"/>
            <w:r w:rsidRPr="00867815">
              <w:rPr>
                <w:rFonts w:ascii="Times New Roman" w:hAnsi="Times New Roman" w:cs="Times New Roman"/>
                <w:sz w:val="18"/>
                <w:szCs w:val="18"/>
                <w:lang w:val="fr-FR"/>
              </w:rPr>
              <w:t>Bureau:</w:t>
            </w:r>
            <w:proofErr w:type="gramEnd"/>
            <w:r w:rsidRPr="00867815">
              <w:rPr>
                <w:rFonts w:ascii="Times New Roman" w:hAnsi="Times New Roman" w:cs="Times New Roman"/>
                <w:sz w:val="18"/>
                <w:szCs w:val="18"/>
                <w:lang w:val="fr-FR"/>
              </w:rPr>
              <w:t xml:space="preserve"> UNDP Iraq</w:t>
            </w:r>
          </w:p>
        </w:tc>
      </w:tr>
    </w:tbl>
    <w:p w14:paraId="786133E2" w14:textId="77777777" w:rsidR="00E570F6" w:rsidRPr="00867815" w:rsidRDefault="00E570F6" w:rsidP="00E61BD7">
      <w:pPr>
        <w:spacing w:after="0" w:line="240" w:lineRule="auto"/>
        <w:jc w:val="both"/>
        <w:rPr>
          <w:rFonts w:ascii="Times New Roman" w:hAnsi="Times New Roman" w:cs="Times New Roman"/>
          <w:sz w:val="18"/>
          <w:szCs w:val="18"/>
        </w:rPr>
      </w:pPr>
    </w:p>
    <w:tbl>
      <w:tblPr>
        <w:tblpPr w:leftFromText="180" w:rightFromText="180" w:vertAnchor="text" w:tblpX="-635" w:tblpY="31"/>
        <w:tblW w:w="1053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ayout w:type="fixed"/>
        <w:tblLook w:val="01E0" w:firstRow="1" w:lastRow="1" w:firstColumn="1" w:lastColumn="1" w:noHBand="0" w:noVBand="0"/>
      </w:tblPr>
      <w:tblGrid>
        <w:gridCol w:w="3870"/>
        <w:gridCol w:w="1732"/>
        <w:gridCol w:w="1598"/>
        <w:gridCol w:w="1075"/>
        <w:gridCol w:w="2255"/>
      </w:tblGrid>
      <w:tr w:rsidR="00E61BD7" w:rsidRPr="00867815" w14:paraId="64C5E4AF" w14:textId="77777777" w:rsidTr="00DA362E">
        <w:trPr>
          <w:trHeight w:val="1160"/>
        </w:trPr>
        <w:tc>
          <w:tcPr>
            <w:tcW w:w="10530" w:type="dxa"/>
            <w:gridSpan w:val="5"/>
            <w:shd w:val="clear" w:color="auto" w:fill="EAF6F3"/>
          </w:tcPr>
          <w:p w14:paraId="649C8C79" w14:textId="49F2D7A4" w:rsidR="00E61BD7" w:rsidRPr="001B5EA6" w:rsidRDefault="00E61BD7" w:rsidP="009D3C57">
            <w:pPr>
              <w:spacing w:after="0" w:line="240" w:lineRule="auto"/>
              <w:jc w:val="both"/>
              <w:rPr>
                <w:rFonts w:ascii="Times New Roman" w:eastAsia="Calibri" w:hAnsi="Times New Roman" w:cs="Times New Roman"/>
                <w:lang w:eastAsia="sl-SI"/>
              </w:rPr>
            </w:pPr>
            <w:r w:rsidRPr="00867815">
              <w:rPr>
                <w:rFonts w:ascii="Times New Roman" w:hAnsi="Times New Roman" w:cs="Times New Roman"/>
                <w:b/>
                <w:color w:val="185262"/>
                <w:sz w:val="18"/>
                <w:szCs w:val="18"/>
              </w:rPr>
              <w:t>Evaluation recommendation 1</w:t>
            </w:r>
            <w:r w:rsidR="00EB6F76">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r w:rsidR="00A76C26" w:rsidRPr="00867815">
              <w:rPr>
                <w:rFonts w:ascii="Times New Roman" w:hAnsi="Times New Roman" w:cs="Times New Roman"/>
                <w:b/>
                <w:bCs/>
                <w:sz w:val="18"/>
                <w:szCs w:val="18"/>
              </w:rPr>
              <w:t>Continuation of donor support</w:t>
            </w:r>
            <w:r w:rsidR="001B5EA6">
              <w:rPr>
                <w:rFonts w:ascii="Times New Roman" w:hAnsi="Times New Roman" w:cs="Times New Roman"/>
                <w:b/>
                <w:bCs/>
                <w:sz w:val="18"/>
                <w:szCs w:val="18"/>
              </w:rPr>
              <w:t xml:space="preserve">: </w:t>
            </w:r>
            <w:r w:rsidR="001B5EA6" w:rsidRPr="00DA362E">
              <w:rPr>
                <w:rFonts w:ascii="Times New Roman" w:eastAsia="Calibri" w:hAnsi="Times New Roman" w:cs="Times New Roman"/>
                <w:sz w:val="18"/>
                <w:szCs w:val="18"/>
                <w:lang w:eastAsia="sl-SI"/>
              </w:rPr>
              <w:t>The donors should remain flexible and continue providing donor support to Iraq (e.g., peer-to-peer support, capacity building, support to civil society and population, etc). Continued support is relevant for building upon the achievements, further development of reached advantages, and maintaining the momentum and presence of a conducive environment.</w:t>
            </w:r>
            <w:r w:rsidR="001B5EA6" w:rsidRPr="00DA362E">
              <w:rPr>
                <w:rFonts w:ascii="Times New Roman" w:hAnsi="Times New Roman" w:cs="Times New Roman"/>
                <w:sz w:val="18"/>
                <w:szCs w:val="18"/>
              </w:rPr>
              <w:t xml:space="preserve"> The project should put more emphasis on the judiciary and equally support security and justice pillars. In view of the human rights violations, the project should consider including other key players in the judiciary that are relevant for addressing human rights such as the Iraqi Bar Association, etc.</w:t>
            </w:r>
          </w:p>
        </w:tc>
      </w:tr>
      <w:tr w:rsidR="00E61BD7" w:rsidRPr="00867815" w14:paraId="19FFBD3E" w14:textId="77777777" w:rsidTr="00D1228E">
        <w:trPr>
          <w:trHeight w:val="667"/>
        </w:trPr>
        <w:tc>
          <w:tcPr>
            <w:tcW w:w="10530" w:type="dxa"/>
            <w:gridSpan w:val="5"/>
            <w:shd w:val="clear" w:color="auto" w:fill="EAF6F3"/>
          </w:tcPr>
          <w:p w14:paraId="67B49C1A" w14:textId="2193D239" w:rsidR="00D57754" w:rsidRPr="00DA362E" w:rsidRDefault="00E61BD7" w:rsidP="00D57754">
            <w:pPr>
              <w:tabs>
                <w:tab w:val="left" w:pos="1080"/>
              </w:tabs>
              <w:spacing w:after="0" w:line="240" w:lineRule="auto"/>
              <w:jc w:val="both"/>
              <w:rPr>
                <w:rFonts w:ascii="Times New Roman" w:hAnsi="Times New Roman" w:cs="Times New Roman"/>
                <w:b/>
                <w:sz w:val="18"/>
                <w:szCs w:val="18"/>
              </w:rPr>
            </w:pPr>
            <w:r w:rsidRPr="00867815">
              <w:rPr>
                <w:rFonts w:ascii="Times New Roman" w:hAnsi="Times New Roman" w:cs="Times New Roman"/>
                <w:b/>
                <w:color w:val="185262"/>
                <w:sz w:val="18"/>
                <w:szCs w:val="18"/>
              </w:rPr>
              <w:t xml:space="preserve">Management response: </w:t>
            </w:r>
            <w:r w:rsidR="001B5EA6" w:rsidRPr="00DA362E">
              <w:rPr>
                <w:rFonts w:ascii="Times New Roman" w:hAnsi="Times New Roman" w:cs="Times New Roman"/>
                <w:bCs/>
                <w:sz w:val="18"/>
                <w:szCs w:val="18"/>
              </w:rPr>
              <w:t>The recommendation is well received</w:t>
            </w:r>
            <w:r w:rsidR="00484E0B" w:rsidRPr="00DA362E">
              <w:rPr>
                <w:rFonts w:ascii="Times New Roman" w:hAnsi="Times New Roman" w:cs="Times New Roman"/>
                <w:bCs/>
                <w:sz w:val="18"/>
                <w:szCs w:val="18"/>
              </w:rPr>
              <w:t xml:space="preserve">. </w:t>
            </w:r>
          </w:p>
          <w:p w14:paraId="16E2E88A" w14:textId="3A84E7C1" w:rsidR="0005437B" w:rsidRPr="00211688" w:rsidRDefault="00484E0B" w:rsidP="00211688">
            <w:pPr>
              <w:tabs>
                <w:tab w:val="left" w:pos="1080"/>
              </w:tabs>
              <w:spacing w:after="0" w:line="240" w:lineRule="auto"/>
              <w:jc w:val="both"/>
              <w:rPr>
                <w:rFonts w:ascii="Times New Roman" w:hAnsi="Times New Roman" w:cs="Times New Roman"/>
                <w:bCs/>
                <w:sz w:val="18"/>
                <w:szCs w:val="18"/>
              </w:rPr>
            </w:pPr>
            <w:r w:rsidRPr="00DA362E">
              <w:rPr>
                <w:rFonts w:ascii="Times New Roman" w:hAnsi="Times New Roman" w:cs="Times New Roman"/>
                <w:bCs/>
                <w:sz w:val="18"/>
                <w:szCs w:val="18"/>
              </w:rPr>
              <w:t>It should be noted that UNDP SSR/</w:t>
            </w:r>
            <w:proofErr w:type="spellStart"/>
            <w:r w:rsidRPr="00DA362E">
              <w:rPr>
                <w:rFonts w:ascii="Times New Roman" w:hAnsi="Times New Roman" w:cs="Times New Roman"/>
                <w:bCs/>
                <w:sz w:val="18"/>
                <w:szCs w:val="18"/>
              </w:rPr>
              <w:t>RoL</w:t>
            </w:r>
            <w:proofErr w:type="spellEnd"/>
            <w:r w:rsidRPr="00DA362E">
              <w:rPr>
                <w:rFonts w:ascii="Times New Roman" w:hAnsi="Times New Roman" w:cs="Times New Roman"/>
                <w:bCs/>
                <w:sz w:val="18"/>
                <w:szCs w:val="18"/>
              </w:rPr>
              <w:t xml:space="preserve"> Pro</w:t>
            </w:r>
            <w:r w:rsidR="00043955">
              <w:rPr>
                <w:rFonts w:ascii="Times New Roman" w:hAnsi="Times New Roman" w:cs="Times New Roman"/>
                <w:bCs/>
                <w:sz w:val="18"/>
                <w:szCs w:val="18"/>
              </w:rPr>
              <w:t xml:space="preserve">ject </w:t>
            </w:r>
            <w:r w:rsidR="001B5EA6" w:rsidRPr="00DA362E">
              <w:rPr>
                <w:rFonts w:ascii="Times New Roman" w:hAnsi="Times New Roman" w:cs="Times New Roman"/>
                <w:bCs/>
                <w:sz w:val="18"/>
                <w:szCs w:val="18"/>
              </w:rPr>
              <w:t xml:space="preserve">has already taken initiatives to </w:t>
            </w:r>
            <w:r w:rsidRPr="00DA362E">
              <w:rPr>
                <w:rFonts w:ascii="Times New Roman" w:hAnsi="Times New Roman" w:cs="Times New Roman"/>
                <w:bCs/>
                <w:sz w:val="18"/>
                <w:szCs w:val="18"/>
              </w:rPr>
              <w:t>place</w:t>
            </w:r>
            <w:r w:rsidR="001B5EA6" w:rsidRPr="00DA362E">
              <w:rPr>
                <w:rFonts w:ascii="Times New Roman" w:hAnsi="Times New Roman" w:cs="Times New Roman"/>
                <w:bCs/>
                <w:sz w:val="18"/>
                <w:szCs w:val="18"/>
              </w:rPr>
              <w:t xml:space="preserve"> further emphasis on support to </w:t>
            </w:r>
            <w:r w:rsidRPr="00DA362E">
              <w:rPr>
                <w:rFonts w:ascii="Times New Roman" w:hAnsi="Times New Roman" w:cs="Times New Roman"/>
                <w:bCs/>
                <w:sz w:val="18"/>
                <w:szCs w:val="18"/>
              </w:rPr>
              <w:t>the justice</w:t>
            </w:r>
            <w:r w:rsidR="001B5EA6" w:rsidRPr="00DA362E">
              <w:rPr>
                <w:rFonts w:ascii="Times New Roman" w:hAnsi="Times New Roman" w:cs="Times New Roman"/>
                <w:bCs/>
                <w:sz w:val="18"/>
                <w:szCs w:val="18"/>
              </w:rPr>
              <w:t xml:space="preserve"> sector</w:t>
            </w:r>
            <w:r w:rsidRPr="00DA362E">
              <w:rPr>
                <w:rFonts w:ascii="Times New Roman" w:hAnsi="Times New Roman" w:cs="Times New Roman"/>
                <w:bCs/>
                <w:sz w:val="18"/>
                <w:szCs w:val="18"/>
              </w:rPr>
              <w:t xml:space="preserve"> in Iraq</w:t>
            </w:r>
            <w:r w:rsidR="001B5EA6" w:rsidRPr="00DA362E">
              <w:rPr>
                <w:rFonts w:ascii="Times New Roman" w:hAnsi="Times New Roman" w:cs="Times New Roman"/>
                <w:bCs/>
                <w:sz w:val="18"/>
                <w:szCs w:val="18"/>
              </w:rPr>
              <w:t xml:space="preserve">. A key </w:t>
            </w:r>
            <w:r w:rsidRPr="00DA362E">
              <w:rPr>
                <w:rFonts w:ascii="Times New Roman" w:hAnsi="Times New Roman" w:cs="Times New Roman"/>
                <w:bCs/>
                <w:sz w:val="18"/>
                <w:szCs w:val="18"/>
              </w:rPr>
              <w:t>milestone</w:t>
            </w:r>
            <w:r w:rsidR="001B5EA6" w:rsidRPr="00DA362E">
              <w:rPr>
                <w:rFonts w:ascii="Times New Roman" w:hAnsi="Times New Roman" w:cs="Times New Roman"/>
                <w:bCs/>
                <w:sz w:val="18"/>
                <w:szCs w:val="18"/>
              </w:rPr>
              <w:t xml:space="preserve"> in this regard </w:t>
            </w:r>
            <w:r w:rsidRPr="00DA362E">
              <w:rPr>
                <w:rFonts w:ascii="Times New Roman" w:hAnsi="Times New Roman" w:cs="Times New Roman"/>
                <w:bCs/>
                <w:sz w:val="18"/>
                <w:szCs w:val="18"/>
              </w:rPr>
              <w:t xml:space="preserve">involves </w:t>
            </w:r>
            <w:r w:rsidR="001B5EA6" w:rsidRPr="00DA362E">
              <w:rPr>
                <w:rFonts w:ascii="Times New Roman" w:hAnsi="Times New Roman" w:cs="Times New Roman"/>
                <w:bCs/>
                <w:sz w:val="18"/>
                <w:szCs w:val="18"/>
              </w:rPr>
              <w:t xml:space="preserve">securing </w:t>
            </w:r>
            <w:r w:rsidR="00211688" w:rsidRPr="00DA362E">
              <w:rPr>
                <w:rFonts w:ascii="Times New Roman" w:hAnsi="Times New Roman" w:cs="Times New Roman"/>
                <w:bCs/>
                <w:sz w:val="18"/>
                <w:szCs w:val="18"/>
              </w:rPr>
              <w:t>a new donor and a grant from the US/ Bureau of International Narcotics and Law Enforcement Affairs (INL)</w:t>
            </w:r>
            <w:r w:rsidR="006C5FC8" w:rsidRPr="00DA362E">
              <w:rPr>
                <w:rFonts w:ascii="Times New Roman" w:hAnsi="Times New Roman" w:cs="Times New Roman"/>
                <w:bCs/>
                <w:sz w:val="18"/>
                <w:szCs w:val="18"/>
              </w:rPr>
              <w:t xml:space="preserve"> in 2020</w:t>
            </w:r>
            <w:r w:rsidR="00211688" w:rsidRPr="00DA362E">
              <w:rPr>
                <w:rFonts w:ascii="Times New Roman" w:hAnsi="Times New Roman" w:cs="Times New Roman"/>
                <w:bCs/>
                <w:sz w:val="18"/>
                <w:szCs w:val="18"/>
              </w:rPr>
              <w:t xml:space="preserve"> to support the Supreme Judicial Council and relevant justice sector entities to improve complex financial case investigations and adjudications through the project </w:t>
            </w:r>
            <w:r w:rsidR="00211688" w:rsidRPr="00DA362E">
              <w:rPr>
                <w:rFonts w:ascii="Times New Roman" w:hAnsi="Times New Roman" w:cs="Times New Roman"/>
                <w:bCs/>
                <w:i/>
                <w:iCs/>
                <w:sz w:val="18"/>
                <w:szCs w:val="18"/>
              </w:rPr>
              <w:t>‘strengthening justice sector capacities to uphold the rule of law in Iraq’</w:t>
            </w:r>
            <w:r w:rsidR="00211688" w:rsidRPr="00DA362E">
              <w:rPr>
                <w:rFonts w:ascii="Times New Roman" w:hAnsi="Times New Roman" w:cs="Times New Roman"/>
                <w:bCs/>
                <w:sz w:val="18"/>
                <w:szCs w:val="18"/>
              </w:rPr>
              <w:t xml:space="preserve"> </w:t>
            </w:r>
            <w:r w:rsidR="006C5FC8" w:rsidRPr="00DA362E">
              <w:rPr>
                <w:rFonts w:ascii="Times New Roman" w:hAnsi="Times New Roman" w:cs="Times New Roman"/>
                <w:bCs/>
                <w:sz w:val="18"/>
                <w:szCs w:val="18"/>
              </w:rPr>
              <w:t xml:space="preserve">to </w:t>
            </w:r>
            <w:r w:rsidR="00211688" w:rsidRPr="00DA362E">
              <w:rPr>
                <w:rFonts w:ascii="Times New Roman" w:hAnsi="Times New Roman" w:cs="Times New Roman"/>
                <w:bCs/>
                <w:sz w:val="18"/>
                <w:szCs w:val="18"/>
              </w:rPr>
              <w:t>a total of USD 2 million</w:t>
            </w:r>
            <w:r w:rsidR="006C5FC8" w:rsidRPr="00DA362E">
              <w:rPr>
                <w:rFonts w:ascii="Times New Roman" w:hAnsi="Times New Roman" w:cs="Times New Roman"/>
                <w:bCs/>
                <w:sz w:val="18"/>
                <w:szCs w:val="18"/>
              </w:rPr>
              <w:t xml:space="preserve">. </w:t>
            </w:r>
            <w:r w:rsidR="00E85B7D" w:rsidRPr="00DA362E">
              <w:rPr>
                <w:rFonts w:ascii="Times New Roman" w:hAnsi="Times New Roman" w:cs="Times New Roman"/>
                <w:bCs/>
                <w:sz w:val="18"/>
                <w:szCs w:val="18"/>
              </w:rPr>
              <w:t xml:space="preserve">Building on key outcomes of the inception phase of its implementation the project was </w:t>
            </w:r>
            <w:r w:rsidR="006C5FC8" w:rsidRPr="00DA362E">
              <w:rPr>
                <w:rFonts w:ascii="Times New Roman" w:hAnsi="Times New Roman" w:cs="Times New Roman"/>
                <w:bCs/>
                <w:sz w:val="18"/>
                <w:szCs w:val="18"/>
              </w:rPr>
              <w:t xml:space="preserve">further </w:t>
            </w:r>
            <w:r w:rsidR="00E85B7D" w:rsidRPr="00DA362E">
              <w:rPr>
                <w:rFonts w:ascii="Times New Roman" w:hAnsi="Times New Roman" w:cs="Times New Roman"/>
                <w:bCs/>
                <w:sz w:val="18"/>
                <w:szCs w:val="18"/>
              </w:rPr>
              <w:t>expanded to include the justice sectors of Federal and Kurdistan Region of Iraq (</w:t>
            </w:r>
            <w:r w:rsidR="00826B12" w:rsidRPr="00DA362E">
              <w:rPr>
                <w:rFonts w:ascii="Times New Roman" w:hAnsi="Times New Roman" w:cs="Times New Roman"/>
                <w:bCs/>
                <w:sz w:val="18"/>
                <w:szCs w:val="18"/>
              </w:rPr>
              <w:t>KRI) while</w:t>
            </w:r>
            <w:r w:rsidR="00E85B7D" w:rsidRPr="00DA362E">
              <w:rPr>
                <w:rFonts w:ascii="Times New Roman" w:hAnsi="Times New Roman" w:cs="Times New Roman"/>
                <w:bCs/>
                <w:sz w:val="18"/>
                <w:szCs w:val="18"/>
              </w:rPr>
              <w:t xml:space="preserve"> also mobilis</w:t>
            </w:r>
            <w:r w:rsidR="00826B12" w:rsidRPr="00DA362E">
              <w:rPr>
                <w:rFonts w:ascii="Times New Roman" w:hAnsi="Times New Roman" w:cs="Times New Roman"/>
                <w:bCs/>
                <w:sz w:val="18"/>
                <w:szCs w:val="18"/>
              </w:rPr>
              <w:t>ing</w:t>
            </w:r>
            <w:r w:rsidR="00E85B7D" w:rsidRPr="00DA362E">
              <w:rPr>
                <w:rFonts w:ascii="Times New Roman" w:hAnsi="Times New Roman" w:cs="Times New Roman"/>
                <w:bCs/>
                <w:sz w:val="18"/>
                <w:szCs w:val="18"/>
              </w:rPr>
              <w:t xml:space="preserve"> an additional USD 5.4 million from the donor</w:t>
            </w:r>
            <w:r w:rsidR="00826B12" w:rsidRPr="00DA362E">
              <w:rPr>
                <w:rFonts w:ascii="Times New Roman" w:hAnsi="Times New Roman" w:cs="Times New Roman"/>
                <w:bCs/>
                <w:sz w:val="18"/>
                <w:szCs w:val="18"/>
              </w:rPr>
              <w:t xml:space="preserve">. </w:t>
            </w:r>
            <w:r w:rsidR="005E438B" w:rsidRPr="00DA362E">
              <w:rPr>
                <w:rFonts w:ascii="Times New Roman" w:hAnsi="Times New Roman" w:cs="Times New Roman"/>
                <w:bCs/>
                <w:sz w:val="18"/>
                <w:szCs w:val="18"/>
              </w:rPr>
              <w:t>Thus,</w:t>
            </w:r>
            <w:r w:rsidR="00826B12" w:rsidRPr="00DA362E">
              <w:rPr>
                <w:rFonts w:ascii="Times New Roman" w:hAnsi="Times New Roman" w:cs="Times New Roman"/>
                <w:bCs/>
                <w:sz w:val="18"/>
                <w:szCs w:val="18"/>
              </w:rPr>
              <w:t xml:space="preserve"> secur</w:t>
            </w:r>
            <w:r w:rsidR="006C5FC8" w:rsidRPr="00DA362E">
              <w:rPr>
                <w:rFonts w:ascii="Times New Roman" w:hAnsi="Times New Roman" w:cs="Times New Roman"/>
                <w:bCs/>
                <w:sz w:val="18"/>
                <w:szCs w:val="18"/>
              </w:rPr>
              <w:t>ing</w:t>
            </w:r>
            <w:r w:rsidR="00826B12" w:rsidRPr="00DA362E">
              <w:rPr>
                <w:rFonts w:ascii="Times New Roman" w:hAnsi="Times New Roman" w:cs="Times New Roman"/>
                <w:bCs/>
                <w:sz w:val="18"/>
                <w:szCs w:val="18"/>
              </w:rPr>
              <w:t xml:space="preserve"> a total of USD 7.4 million for targeted support to the justice sector</w:t>
            </w:r>
            <w:r w:rsidR="005E438B" w:rsidRPr="00DA362E">
              <w:rPr>
                <w:rFonts w:ascii="Times New Roman" w:hAnsi="Times New Roman" w:cs="Times New Roman"/>
                <w:bCs/>
                <w:sz w:val="18"/>
                <w:szCs w:val="18"/>
              </w:rPr>
              <w:t xml:space="preserve"> in Iraq</w:t>
            </w:r>
            <w:r w:rsidR="00826B12" w:rsidRPr="00DA362E">
              <w:rPr>
                <w:rFonts w:ascii="Times New Roman" w:hAnsi="Times New Roman" w:cs="Times New Roman"/>
                <w:bCs/>
                <w:sz w:val="18"/>
                <w:szCs w:val="18"/>
              </w:rPr>
              <w:t xml:space="preserve"> up to</w:t>
            </w:r>
            <w:r w:rsidR="006C5FC8" w:rsidRPr="00DA362E">
              <w:rPr>
                <w:rFonts w:ascii="Times New Roman" w:hAnsi="Times New Roman" w:cs="Times New Roman"/>
                <w:bCs/>
                <w:sz w:val="18"/>
                <w:szCs w:val="18"/>
              </w:rPr>
              <w:t xml:space="preserve"> </w:t>
            </w:r>
            <w:r w:rsidR="00826B12" w:rsidRPr="00DA362E">
              <w:rPr>
                <w:rFonts w:ascii="Times New Roman" w:hAnsi="Times New Roman" w:cs="Times New Roman"/>
                <w:bCs/>
                <w:sz w:val="18"/>
                <w:szCs w:val="18"/>
              </w:rPr>
              <w:t xml:space="preserve">2024. It </w:t>
            </w:r>
            <w:r w:rsidR="006C5FC8" w:rsidRPr="00DA362E">
              <w:rPr>
                <w:rFonts w:ascii="Times New Roman" w:hAnsi="Times New Roman" w:cs="Times New Roman"/>
                <w:bCs/>
                <w:sz w:val="18"/>
                <w:szCs w:val="18"/>
              </w:rPr>
              <w:t xml:space="preserve">also presents </w:t>
            </w:r>
            <w:r w:rsidR="00826B12" w:rsidRPr="00DA362E">
              <w:rPr>
                <w:rFonts w:ascii="Times New Roman" w:hAnsi="Times New Roman" w:cs="Times New Roman"/>
                <w:bCs/>
                <w:sz w:val="18"/>
                <w:szCs w:val="18"/>
              </w:rPr>
              <w:t>the</w:t>
            </w:r>
            <w:r w:rsidR="004105FB" w:rsidRPr="00DA362E">
              <w:rPr>
                <w:rFonts w:ascii="Times New Roman" w:hAnsi="Times New Roman" w:cs="Times New Roman"/>
                <w:bCs/>
                <w:sz w:val="18"/>
                <w:szCs w:val="18"/>
              </w:rPr>
              <w:t xml:space="preserve"> project with a </w:t>
            </w:r>
            <w:r w:rsidR="00826B12" w:rsidRPr="00DA362E">
              <w:rPr>
                <w:rFonts w:ascii="Times New Roman" w:hAnsi="Times New Roman" w:cs="Times New Roman"/>
                <w:bCs/>
                <w:sz w:val="18"/>
                <w:szCs w:val="18"/>
              </w:rPr>
              <w:t>strong foundation</w:t>
            </w:r>
            <w:r w:rsidRPr="00DA362E">
              <w:rPr>
                <w:rFonts w:ascii="Times New Roman" w:hAnsi="Times New Roman" w:cs="Times New Roman"/>
                <w:bCs/>
                <w:sz w:val="18"/>
                <w:szCs w:val="18"/>
              </w:rPr>
              <w:t xml:space="preserve"> to</w:t>
            </w:r>
            <w:r w:rsidR="00826B12" w:rsidRPr="00DA362E">
              <w:rPr>
                <w:rFonts w:ascii="Times New Roman" w:hAnsi="Times New Roman" w:cs="Times New Roman"/>
                <w:bCs/>
                <w:sz w:val="18"/>
                <w:szCs w:val="18"/>
              </w:rPr>
              <w:t xml:space="preserve"> continue </w:t>
            </w:r>
            <w:r w:rsidRPr="00DA362E">
              <w:rPr>
                <w:rFonts w:ascii="Times New Roman" w:hAnsi="Times New Roman" w:cs="Times New Roman"/>
                <w:bCs/>
                <w:sz w:val="18"/>
                <w:szCs w:val="18"/>
              </w:rPr>
              <w:t xml:space="preserve">efforts on further resource mobilisation to support the justice sector in Iraq, building on from </w:t>
            </w:r>
            <w:r w:rsidR="004105FB" w:rsidRPr="00DA362E">
              <w:rPr>
                <w:rFonts w:ascii="Times New Roman" w:hAnsi="Times New Roman" w:cs="Times New Roman"/>
                <w:bCs/>
                <w:sz w:val="18"/>
                <w:szCs w:val="18"/>
              </w:rPr>
              <w:t xml:space="preserve">activities under this </w:t>
            </w:r>
            <w:r w:rsidRPr="00DA362E">
              <w:rPr>
                <w:rFonts w:ascii="Times New Roman" w:hAnsi="Times New Roman" w:cs="Times New Roman"/>
                <w:bCs/>
                <w:sz w:val="18"/>
                <w:szCs w:val="18"/>
              </w:rPr>
              <w:t xml:space="preserve">work strand. </w:t>
            </w:r>
            <w:r w:rsidR="004105FB" w:rsidRPr="00043955">
              <w:rPr>
                <w:rFonts w:ascii="Times New Roman" w:hAnsi="Times New Roman" w:cs="Times New Roman"/>
                <w:bCs/>
                <w:sz w:val="18"/>
                <w:szCs w:val="18"/>
              </w:rPr>
              <w:t xml:space="preserve">Therefore, </w:t>
            </w:r>
            <w:r w:rsidRPr="00043955">
              <w:rPr>
                <w:rFonts w:ascii="Times New Roman" w:hAnsi="Times New Roman" w:cs="Times New Roman"/>
                <w:bCs/>
                <w:sz w:val="18"/>
                <w:szCs w:val="18"/>
              </w:rPr>
              <w:t>action corresponding to this recommendation is already in progress</w:t>
            </w:r>
            <w:r w:rsidR="00E21FAA" w:rsidRPr="00043955">
              <w:rPr>
                <w:rFonts w:ascii="Times New Roman" w:hAnsi="Times New Roman" w:cs="Times New Roman"/>
                <w:bCs/>
                <w:sz w:val="18"/>
                <w:szCs w:val="18"/>
              </w:rPr>
              <w:t xml:space="preserve"> and no further/ additional action is required</w:t>
            </w:r>
            <w:r w:rsidRPr="00043955">
              <w:rPr>
                <w:rFonts w:ascii="Times New Roman" w:hAnsi="Times New Roman" w:cs="Times New Roman"/>
                <w:bCs/>
                <w:sz w:val="18"/>
                <w:szCs w:val="18"/>
              </w:rPr>
              <w:t>.</w:t>
            </w:r>
            <w:r w:rsidR="005E438B" w:rsidRPr="00043955">
              <w:rPr>
                <w:rFonts w:ascii="Times New Roman" w:hAnsi="Times New Roman" w:cs="Times New Roman"/>
                <w:bCs/>
                <w:sz w:val="18"/>
                <w:szCs w:val="18"/>
              </w:rPr>
              <w:t xml:space="preserve"> </w:t>
            </w:r>
            <w:r w:rsidR="006C5FC8" w:rsidRPr="00043955">
              <w:rPr>
                <w:rFonts w:ascii="Times New Roman" w:hAnsi="Times New Roman" w:cs="Times New Roman"/>
                <w:bCs/>
                <w:sz w:val="18"/>
                <w:szCs w:val="18"/>
              </w:rPr>
              <w:t>(Corresponding</w:t>
            </w:r>
            <w:r w:rsidR="005E438B" w:rsidRPr="00043955">
              <w:rPr>
                <w:rFonts w:ascii="Times New Roman" w:hAnsi="Times New Roman" w:cs="Times New Roman"/>
                <w:bCs/>
                <w:sz w:val="18"/>
                <w:szCs w:val="18"/>
              </w:rPr>
              <w:t xml:space="preserve"> </w:t>
            </w:r>
            <w:r w:rsidR="006C5FC8" w:rsidRPr="00043955">
              <w:rPr>
                <w:rFonts w:ascii="Times New Roman" w:hAnsi="Times New Roman" w:cs="Times New Roman"/>
                <w:bCs/>
                <w:sz w:val="18"/>
                <w:szCs w:val="18"/>
              </w:rPr>
              <w:t>O</w:t>
            </w:r>
            <w:r w:rsidR="005E438B" w:rsidRPr="00043955">
              <w:rPr>
                <w:rFonts w:ascii="Times New Roman" w:hAnsi="Times New Roman" w:cs="Times New Roman"/>
                <w:bCs/>
                <w:sz w:val="18"/>
                <w:szCs w:val="18"/>
              </w:rPr>
              <w:t xml:space="preserve">utput of the </w:t>
            </w:r>
            <w:r w:rsidR="00111C90" w:rsidRPr="00043955">
              <w:rPr>
                <w:rFonts w:ascii="Times New Roman" w:hAnsi="Times New Roman" w:cs="Times New Roman"/>
                <w:bCs/>
                <w:sz w:val="18"/>
                <w:szCs w:val="18"/>
              </w:rPr>
              <w:t>P</w:t>
            </w:r>
            <w:r w:rsidR="005E438B" w:rsidRPr="00043955">
              <w:rPr>
                <w:rFonts w:ascii="Times New Roman" w:hAnsi="Times New Roman" w:cs="Times New Roman"/>
                <w:bCs/>
                <w:sz w:val="18"/>
                <w:szCs w:val="18"/>
              </w:rPr>
              <w:t xml:space="preserve">roject </w:t>
            </w:r>
            <w:r w:rsidR="00111C90" w:rsidRPr="00043955">
              <w:rPr>
                <w:rFonts w:ascii="Times New Roman" w:hAnsi="Times New Roman" w:cs="Times New Roman"/>
                <w:bCs/>
                <w:sz w:val="18"/>
                <w:szCs w:val="18"/>
              </w:rPr>
              <w:t>D</w:t>
            </w:r>
            <w:r w:rsidR="006C5FC8" w:rsidRPr="00043955">
              <w:rPr>
                <w:rFonts w:ascii="Times New Roman" w:hAnsi="Times New Roman" w:cs="Times New Roman"/>
                <w:bCs/>
                <w:sz w:val="18"/>
                <w:szCs w:val="18"/>
              </w:rPr>
              <w:t>ocument:</w:t>
            </w:r>
            <w:r w:rsidR="005E438B" w:rsidRPr="00043955">
              <w:rPr>
                <w:rFonts w:ascii="Times New Roman" w:hAnsi="Times New Roman" w:cs="Times New Roman"/>
                <w:bCs/>
                <w:sz w:val="18"/>
                <w:szCs w:val="18"/>
              </w:rPr>
              <w:t xml:space="preserve"> </w:t>
            </w:r>
            <w:r w:rsidR="006C5FC8" w:rsidRPr="00043955">
              <w:rPr>
                <w:rFonts w:ascii="Times New Roman" w:hAnsi="Times New Roman" w:cs="Times New Roman"/>
                <w:bCs/>
                <w:sz w:val="18"/>
                <w:szCs w:val="18"/>
              </w:rPr>
              <w:t>O</w:t>
            </w:r>
            <w:r w:rsidR="005E438B" w:rsidRPr="00043955">
              <w:rPr>
                <w:rFonts w:ascii="Times New Roman" w:hAnsi="Times New Roman" w:cs="Times New Roman"/>
                <w:bCs/>
                <w:sz w:val="18"/>
                <w:szCs w:val="18"/>
              </w:rPr>
              <w:t>utput 2)</w:t>
            </w:r>
          </w:p>
        </w:tc>
      </w:tr>
      <w:tr w:rsidR="00E61BD7" w:rsidRPr="00867815" w14:paraId="2FC05C15" w14:textId="77777777" w:rsidTr="00BF139A">
        <w:trPr>
          <w:trHeight w:val="127"/>
        </w:trPr>
        <w:tc>
          <w:tcPr>
            <w:tcW w:w="3870" w:type="dxa"/>
            <w:vMerge w:val="restart"/>
            <w:shd w:val="clear" w:color="auto" w:fill="EAF6F3"/>
            <w:vAlign w:val="center"/>
          </w:tcPr>
          <w:p w14:paraId="030BB577" w14:textId="77777777" w:rsidR="00E61BD7" w:rsidRPr="00867815" w:rsidRDefault="00E61BD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action(s)</w:t>
            </w:r>
          </w:p>
        </w:tc>
        <w:tc>
          <w:tcPr>
            <w:tcW w:w="1732" w:type="dxa"/>
            <w:vMerge w:val="restart"/>
            <w:shd w:val="clear" w:color="auto" w:fill="EAF6F3"/>
            <w:vAlign w:val="center"/>
          </w:tcPr>
          <w:p w14:paraId="733D43B6" w14:textId="77777777" w:rsidR="00E61BD7" w:rsidRPr="00867815" w:rsidRDefault="00E61BD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598" w:type="dxa"/>
            <w:vMerge w:val="restart"/>
            <w:shd w:val="clear" w:color="auto" w:fill="EAF6F3"/>
            <w:vAlign w:val="center"/>
          </w:tcPr>
          <w:p w14:paraId="105B80C7" w14:textId="77777777" w:rsidR="00E61BD7" w:rsidRPr="00867815" w:rsidRDefault="00E61BD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330" w:type="dxa"/>
            <w:gridSpan w:val="2"/>
            <w:shd w:val="clear" w:color="auto" w:fill="EAF6F3"/>
          </w:tcPr>
          <w:p w14:paraId="21680CD0" w14:textId="77777777" w:rsidR="00E61BD7" w:rsidRPr="00867815" w:rsidRDefault="00E61BD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E61BD7" w:rsidRPr="00867815" w14:paraId="03228DBF" w14:textId="77777777" w:rsidTr="36C67657">
        <w:trPr>
          <w:trHeight w:val="135"/>
        </w:trPr>
        <w:tc>
          <w:tcPr>
            <w:tcW w:w="3870" w:type="dxa"/>
            <w:vMerge/>
          </w:tcPr>
          <w:p w14:paraId="01996747" w14:textId="77777777" w:rsidR="00E61BD7" w:rsidRPr="00867815" w:rsidRDefault="00E61BD7" w:rsidP="00D86A94">
            <w:pPr>
              <w:tabs>
                <w:tab w:val="left" w:pos="1080"/>
              </w:tabs>
              <w:spacing w:after="0" w:line="240" w:lineRule="auto"/>
              <w:jc w:val="both"/>
              <w:rPr>
                <w:rFonts w:ascii="Times New Roman" w:hAnsi="Times New Roman" w:cs="Times New Roman"/>
                <w:color w:val="185262"/>
                <w:sz w:val="18"/>
                <w:szCs w:val="18"/>
              </w:rPr>
            </w:pPr>
          </w:p>
        </w:tc>
        <w:tc>
          <w:tcPr>
            <w:tcW w:w="1732" w:type="dxa"/>
            <w:vMerge/>
          </w:tcPr>
          <w:p w14:paraId="751BB381" w14:textId="77777777" w:rsidR="00E61BD7" w:rsidRPr="00867815" w:rsidRDefault="00E61BD7" w:rsidP="00D86A94">
            <w:pPr>
              <w:tabs>
                <w:tab w:val="left" w:pos="1080"/>
              </w:tabs>
              <w:spacing w:after="0" w:line="240" w:lineRule="auto"/>
              <w:jc w:val="both"/>
              <w:rPr>
                <w:rFonts w:ascii="Times New Roman" w:hAnsi="Times New Roman" w:cs="Times New Roman"/>
                <w:b/>
                <w:color w:val="185262"/>
                <w:sz w:val="18"/>
                <w:szCs w:val="18"/>
              </w:rPr>
            </w:pPr>
          </w:p>
        </w:tc>
        <w:tc>
          <w:tcPr>
            <w:tcW w:w="1598" w:type="dxa"/>
            <w:vMerge/>
          </w:tcPr>
          <w:p w14:paraId="42C25C37" w14:textId="77777777" w:rsidR="00E61BD7" w:rsidRPr="00867815" w:rsidRDefault="00E61BD7" w:rsidP="00D86A94">
            <w:pPr>
              <w:tabs>
                <w:tab w:val="left" w:pos="1080"/>
              </w:tabs>
              <w:spacing w:after="0" w:line="240" w:lineRule="auto"/>
              <w:jc w:val="both"/>
              <w:rPr>
                <w:rFonts w:ascii="Times New Roman" w:hAnsi="Times New Roman" w:cs="Times New Roman"/>
                <w:b/>
                <w:color w:val="185262"/>
                <w:sz w:val="18"/>
                <w:szCs w:val="18"/>
              </w:rPr>
            </w:pPr>
          </w:p>
        </w:tc>
        <w:tc>
          <w:tcPr>
            <w:tcW w:w="1075" w:type="dxa"/>
          </w:tcPr>
          <w:p w14:paraId="35589534" w14:textId="77777777" w:rsidR="00E61BD7" w:rsidRPr="00867815" w:rsidRDefault="00E61BD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255" w:type="dxa"/>
          </w:tcPr>
          <w:p w14:paraId="75240D63" w14:textId="26E33245" w:rsidR="00E61BD7" w:rsidRPr="00867815" w:rsidRDefault="00E61BD7" w:rsidP="00D86A94">
            <w:pPr>
              <w:tabs>
                <w:tab w:val="left" w:pos="1080"/>
              </w:tabs>
              <w:spacing w:after="0" w:line="240" w:lineRule="auto"/>
              <w:jc w:val="both"/>
              <w:rPr>
                <w:rFonts w:ascii="Times New Roman" w:eastAsiaTheme="majorEastAsia" w:hAnsi="Times New Roman" w:cs="Times New Roman"/>
                <w:b/>
                <w:color w:val="185262"/>
                <w:sz w:val="18"/>
                <w:szCs w:val="18"/>
              </w:rPr>
            </w:pPr>
            <w:r w:rsidRPr="00867815">
              <w:rPr>
                <w:rFonts w:ascii="Times New Roman" w:hAnsi="Times New Roman" w:cs="Times New Roman"/>
                <w:b/>
                <w:color w:val="185262"/>
                <w:sz w:val="18"/>
                <w:szCs w:val="18"/>
              </w:rPr>
              <w:t>Status</w:t>
            </w:r>
            <w:r w:rsidR="00EB6F76">
              <w:rPr>
                <w:rFonts w:ascii="Times New Roman" w:hAnsi="Times New Roman" w:cs="Times New Roman"/>
                <w:b/>
                <w:color w:val="185262"/>
                <w:sz w:val="18"/>
                <w:szCs w:val="18"/>
              </w:rPr>
              <w:t xml:space="preserve"> </w:t>
            </w:r>
            <w:r w:rsidRPr="00867815">
              <w:rPr>
                <w:rFonts w:ascii="Times New Roman" w:hAnsi="Times New Roman" w:cs="Times New Roman"/>
                <w:bCs/>
                <w:i/>
                <w:iCs/>
                <w:color w:val="185262"/>
                <w:sz w:val="18"/>
                <w:szCs w:val="18"/>
              </w:rPr>
              <w:t>(initiated, completed or no due date)</w:t>
            </w:r>
          </w:p>
        </w:tc>
      </w:tr>
      <w:tr w:rsidR="00E61BD7" w:rsidRPr="00867815" w14:paraId="730479CF" w14:textId="77777777" w:rsidTr="00867815">
        <w:tc>
          <w:tcPr>
            <w:tcW w:w="3870" w:type="dxa"/>
          </w:tcPr>
          <w:p w14:paraId="0DB63C98" w14:textId="77777777" w:rsidR="002200C2" w:rsidRDefault="0080526E" w:rsidP="009D3C57">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Not Applicable.</w:t>
            </w:r>
          </w:p>
          <w:p w14:paraId="1F2CA1AE" w14:textId="56CCE691" w:rsidR="0080526E" w:rsidRPr="00867815" w:rsidRDefault="0080526E" w:rsidP="009D3C57">
            <w:pPr>
              <w:tabs>
                <w:tab w:val="left" w:pos="1080"/>
              </w:tabs>
              <w:spacing w:after="0" w:line="240" w:lineRule="auto"/>
              <w:jc w:val="both"/>
              <w:rPr>
                <w:rFonts w:ascii="Times New Roman" w:hAnsi="Times New Roman" w:cs="Times New Roman"/>
                <w:color w:val="185262"/>
                <w:sz w:val="18"/>
                <w:szCs w:val="18"/>
              </w:rPr>
            </w:pPr>
          </w:p>
        </w:tc>
        <w:tc>
          <w:tcPr>
            <w:tcW w:w="1732" w:type="dxa"/>
            <w:vAlign w:val="center"/>
          </w:tcPr>
          <w:p w14:paraId="0E434497" w14:textId="77663891" w:rsidR="00E61BD7" w:rsidRPr="00867815" w:rsidRDefault="30CE0C76" w:rsidP="009D3C57">
            <w:pPr>
              <w:tabs>
                <w:tab w:val="left" w:pos="1080"/>
              </w:tabs>
              <w:spacing w:after="0" w:line="240" w:lineRule="auto"/>
              <w:jc w:val="both"/>
              <w:rPr>
                <w:rFonts w:ascii="Times New Roman" w:hAnsi="Times New Roman" w:cs="Times New Roman"/>
                <w:sz w:val="18"/>
                <w:szCs w:val="18"/>
              </w:rPr>
            </w:pPr>
            <w:r w:rsidRPr="36C67657">
              <w:rPr>
                <w:rFonts w:ascii="Times New Roman" w:hAnsi="Times New Roman" w:cs="Times New Roman"/>
                <w:sz w:val="18"/>
                <w:szCs w:val="18"/>
              </w:rPr>
              <w:t>NA</w:t>
            </w:r>
          </w:p>
        </w:tc>
        <w:tc>
          <w:tcPr>
            <w:tcW w:w="1598" w:type="dxa"/>
            <w:vAlign w:val="center"/>
          </w:tcPr>
          <w:p w14:paraId="45AB070F" w14:textId="1398AAA8" w:rsidR="00E61BD7" w:rsidRPr="00867815" w:rsidRDefault="4E389C3C" w:rsidP="009D3C57">
            <w:pPr>
              <w:tabs>
                <w:tab w:val="left" w:pos="1080"/>
              </w:tabs>
              <w:spacing w:after="0" w:line="240" w:lineRule="auto"/>
              <w:jc w:val="both"/>
              <w:rPr>
                <w:rFonts w:ascii="Times New Roman" w:hAnsi="Times New Roman" w:cs="Times New Roman"/>
                <w:sz w:val="18"/>
                <w:szCs w:val="18"/>
              </w:rPr>
            </w:pPr>
            <w:r w:rsidRPr="38A04D3B">
              <w:rPr>
                <w:rFonts w:ascii="Times New Roman" w:hAnsi="Times New Roman" w:cs="Times New Roman"/>
                <w:sz w:val="18"/>
                <w:szCs w:val="18"/>
              </w:rPr>
              <w:t>NA</w:t>
            </w:r>
          </w:p>
        </w:tc>
        <w:tc>
          <w:tcPr>
            <w:tcW w:w="1075" w:type="dxa"/>
            <w:vAlign w:val="center"/>
          </w:tcPr>
          <w:p w14:paraId="4D3A98C0" w14:textId="70A10E92" w:rsidR="00E61BD7" w:rsidRPr="00867815" w:rsidRDefault="4E389C3C" w:rsidP="009D3C57">
            <w:pPr>
              <w:tabs>
                <w:tab w:val="left" w:pos="1080"/>
              </w:tabs>
              <w:spacing w:after="0" w:line="240" w:lineRule="auto"/>
              <w:jc w:val="both"/>
              <w:rPr>
                <w:rFonts w:ascii="Times New Roman" w:hAnsi="Times New Roman" w:cs="Times New Roman"/>
                <w:sz w:val="18"/>
                <w:szCs w:val="18"/>
              </w:rPr>
            </w:pPr>
            <w:r w:rsidRPr="3B925F96">
              <w:rPr>
                <w:rFonts w:ascii="Times New Roman" w:hAnsi="Times New Roman" w:cs="Times New Roman"/>
                <w:sz w:val="18"/>
                <w:szCs w:val="18"/>
              </w:rPr>
              <w:t>NA</w:t>
            </w:r>
          </w:p>
        </w:tc>
        <w:tc>
          <w:tcPr>
            <w:tcW w:w="2255" w:type="dxa"/>
            <w:vAlign w:val="center"/>
          </w:tcPr>
          <w:p w14:paraId="5C02D078" w14:textId="2589A306" w:rsidR="00E61BD7" w:rsidRPr="00867815" w:rsidRDefault="4E389C3C" w:rsidP="009D3C57">
            <w:pPr>
              <w:tabs>
                <w:tab w:val="left" w:pos="1080"/>
              </w:tabs>
              <w:spacing w:after="0" w:line="240" w:lineRule="auto"/>
              <w:jc w:val="both"/>
              <w:rPr>
                <w:rFonts w:ascii="Times New Roman" w:hAnsi="Times New Roman" w:cs="Times New Roman"/>
                <w:sz w:val="18"/>
                <w:szCs w:val="18"/>
              </w:rPr>
            </w:pPr>
            <w:r w:rsidRPr="3023DE5D">
              <w:rPr>
                <w:rFonts w:ascii="Times New Roman" w:hAnsi="Times New Roman" w:cs="Times New Roman"/>
                <w:sz w:val="18"/>
                <w:szCs w:val="18"/>
              </w:rPr>
              <w:t>NA</w:t>
            </w:r>
          </w:p>
        </w:tc>
      </w:tr>
    </w:tbl>
    <w:p w14:paraId="748E0CE8" w14:textId="77777777" w:rsidR="00E61BD7" w:rsidRPr="00867815" w:rsidRDefault="00E61BD7" w:rsidP="009D3C57">
      <w:pPr>
        <w:spacing w:after="0" w:line="240" w:lineRule="auto"/>
        <w:jc w:val="both"/>
        <w:rPr>
          <w:rFonts w:ascii="Times New Roman" w:hAnsi="Times New Roman" w:cs="Times New Roman"/>
          <w:vanish/>
          <w:color w:val="185262"/>
          <w:sz w:val="18"/>
          <w:szCs w:val="18"/>
        </w:rPr>
      </w:pPr>
    </w:p>
    <w:tbl>
      <w:tblPr>
        <w:tblW w:w="10530" w:type="dxa"/>
        <w:tblInd w:w="-63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049"/>
        <w:gridCol w:w="1316"/>
        <w:gridCol w:w="1865"/>
        <w:gridCol w:w="1231"/>
        <w:gridCol w:w="2069"/>
      </w:tblGrid>
      <w:tr w:rsidR="00777726" w:rsidRPr="00867815" w14:paraId="68654D42" w14:textId="77777777" w:rsidTr="00043955">
        <w:trPr>
          <w:trHeight w:val="1241"/>
        </w:trPr>
        <w:tc>
          <w:tcPr>
            <w:tcW w:w="10530" w:type="dxa"/>
            <w:gridSpan w:val="5"/>
            <w:shd w:val="clear" w:color="auto" w:fill="EAF6F3"/>
          </w:tcPr>
          <w:p w14:paraId="08921CBE" w14:textId="17BBACD6" w:rsidR="00E61BD7" w:rsidRPr="004105FB" w:rsidRDefault="00E61BD7" w:rsidP="00043955">
            <w:pPr>
              <w:spacing w:after="0" w:line="240" w:lineRule="auto"/>
              <w:jc w:val="both"/>
              <w:rPr>
                <w:rFonts w:ascii="Times New Roman" w:eastAsia="Times New Roman" w:hAnsi="Times New Roman" w:cs="Times New Roman"/>
                <w:sz w:val="18"/>
                <w:szCs w:val="18"/>
                <w:lang w:eastAsia="sl-SI"/>
              </w:rPr>
            </w:pPr>
            <w:r w:rsidRPr="00867815">
              <w:rPr>
                <w:rFonts w:ascii="Times New Roman" w:hAnsi="Times New Roman" w:cs="Times New Roman"/>
                <w:b/>
                <w:color w:val="185262"/>
                <w:sz w:val="18"/>
                <w:szCs w:val="18"/>
              </w:rPr>
              <w:t>Evaluation recommendation 2</w:t>
            </w:r>
            <w:r w:rsidR="00EB6F76">
              <w:rPr>
                <w:rFonts w:ascii="Times New Roman" w:hAnsi="Times New Roman" w:cs="Times New Roman"/>
                <w:b/>
                <w:color w:val="185262"/>
                <w:sz w:val="18"/>
                <w:szCs w:val="18"/>
              </w:rPr>
              <w:t>:</w:t>
            </w:r>
            <w:r w:rsidRPr="00867815">
              <w:rPr>
                <w:rFonts w:ascii="Times New Roman" w:hAnsi="Times New Roman" w:cs="Times New Roman"/>
                <w:b/>
                <w:color w:val="185262"/>
                <w:sz w:val="18"/>
                <w:szCs w:val="18"/>
              </w:rPr>
              <w:t xml:space="preserve"> </w:t>
            </w:r>
            <w:r w:rsidR="00E6176A" w:rsidRPr="00867815">
              <w:rPr>
                <w:rFonts w:ascii="Times New Roman" w:hAnsi="Times New Roman" w:cs="Times New Roman"/>
                <w:b/>
                <w:sz w:val="18"/>
                <w:szCs w:val="18"/>
              </w:rPr>
              <w:t>Identification of opportunities for enhanced coherence with other partners</w:t>
            </w:r>
            <w:r w:rsidR="004105FB">
              <w:rPr>
                <w:rFonts w:ascii="Times New Roman" w:hAnsi="Times New Roman" w:cs="Times New Roman"/>
                <w:b/>
                <w:sz w:val="18"/>
                <w:szCs w:val="18"/>
              </w:rPr>
              <w:t>:</w:t>
            </w:r>
            <w:bookmarkStart w:id="0" w:name="_Hlk70595316"/>
            <w:r w:rsidR="004105FB" w:rsidRPr="00464854">
              <w:rPr>
                <w:rFonts w:ascii="Times New Roman" w:eastAsia="Times New Roman" w:hAnsi="Times New Roman" w:cs="Times New Roman"/>
                <w:lang w:eastAsia="sl-SI"/>
              </w:rPr>
              <w:t xml:space="preserve"> </w:t>
            </w:r>
            <w:r w:rsidR="004105FB" w:rsidRPr="00490DDC">
              <w:rPr>
                <w:rFonts w:ascii="Times New Roman" w:eastAsia="Times New Roman" w:hAnsi="Times New Roman" w:cs="Times New Roman"/>
                <w:sz w:val="18"/>
                <w:szCs w:val="18"/>
                <w:lang w:eastAsia="sl-SI"/>
              </w:rPr>
              <w:t>UNDP and I</w:t>
            </w:r>
            <w:r w:rsidR="00CC4F57">
              <w:rPr>
                <w:rFonts w:ascii="Times New Roman" w:eastAsia="Times New Roman" w:hAnsi="Times New Roman" w:cs="Times New Roman"/>
                <w:sz w:val="18"/>
                <w:szCs w:val="18"/>
                <w:lang w:eastAsia="sl-SI"/>
              </w:rPr>
              <w:t>nternational Partners (I</w:t>
            </w:r>
            <w:r w:rsidR="00043955">
              <w:rPr>
                <w:rFonts w:ascii="Times New Roman" w:eastAsia="Times New Roman" w:hAnsi="Times New Roman" w:cs="Times New Roman"/>
                <w:sz w:val="18"/>
                <w:szCs w:val="18"/>
                <w:lang w:eastAsia="sl-SI"/>
              </w:rPr>
              <w:t>P</w:t>
            </w:r>
            <w:r w:rsidR="004105FB" w:rsidRPr="00490DDC">
              <w:rPr>
                <w:rFonts w:ascii="Times New Roman" w:eastAsia="Times New Roman" w:hAnsi="Times New Roman" w:cs="Times New Roman"/>
                <w:sz w:val="18"/>
                <w:szCs w:val="18"/>
                <w:lang w:eastAsia="sl-SI"/>
              </w:rPr>
              <w:t>s</w:t>
            </w:r>
            <w:r w:rsidR="00CC4F57">
              <w:rPr>
                <w:rFonts w:ascii="Times New Roman" w:eastAsia="Times New Roman" w:hAnsi="Times New Roman" w:cs="Times New Roman"/>
                <w:sz w:val="18"/>
                <w:szCs w:val="18"/>
                <w:lang w:eastAsia="sl-SI"/>
              </w:rPr>
              <w:t>)</w:t>
            </w:r>
            <w:r w:rsidR="004105FB" w:rsidRPr="00490DDC">
              <w:rPr>
                <w:rFonts w:ascii="Times New Roman" w:eastAsia="Times New Roman" w:hAnsi="Times New Roman" w:cs="Times New Roman"/>
                <w:sz w:val="18"/>
                <w:szCs w:val="18"/>
                <w:lang w:eastAsia="sl-SI"/>
              </w:rPr>
              <w:t xml:space="preserve"> should jointly identify areas for deeper cooperation and delivery of joint activities and outputs by pooling joint resources (e.g., joint training courses, joint activities) to ensure better synergies and complementarity</w:t>
            </w:r>
            <w:bookmarkEnd w:id="0"/>
            <w:r w:rsidR="004105FB" w:rsidRPr="00490DDC">
              <w:rPr>
                <w:rFonts w:ascii="Times New Roman" w:eastAsia="Times New Roman" w:hAnsi="Times New Roman" w:cs="Times New Roman"/>
                <w:sz w:val="18"/>
                <w:szCs w:val="18"/>
                <w:lang w:eastAsia="sl-SI"/>
              </w:rPr>
              <w:t>. UNDP should take the initiative and approach relevant IPs to define potential areas where additional synergies could be reached, as well as jointly define steps for increased cooperation and pooling joint resources. In this regard, proactive engagement by IPs in terms of timely collaboration, cooperation and information sharing is also equally important.</w:t>
            </w:r>
          </w:p>
        </w:tc>
      </w:tr>
      <w:tr w:rsidR="00777726" w:rsidRPr="00867815" w14:paraId="09FB7DC7" w14:textId="77777777" w:rsidTr="60794859">
        <w:trPr>
          <w:trHeight w:val="2289"/>
        </w:trPr>
        <w:tc>
          <w:tcPr>
            <w:tcW w:w="10530" w:type="dxa"/>
            <w:gridSpan w:val="5"/>
            <w:shd w:val="clear" w:color="auto" w:fill="EAF6F3"/>
          </w:tcPr>
          <w:p w14:paraId="2628C066" w14:textId="46D6FC36" w:rsidR="00D57754" w:rsidRPr="00490DDC" w:rsidRDefault="00E61BD7" w:rsidP="00D57754">
            <w:pPr>
              <w:tabs>
                <w:tab w:val="left" w:pos="1080"/>
              </w:tabs>
              <w:spacing w:after="0" w:line="240" w:lineRule="auto"/>
              <w:jc w:val="both"/>
              <w:rPr>
                <w:rFonts w:asciiTheme="majorBidi" w:hAnsiTheme="majorBidi" w:cstheme="majorBidi"/>
                <w:sz w:val="18"/>
                <w:szCs w:val="18"/>
              </w:rPr>
            </w:pPr>
            <w:r w:rsidRPr="00867815">
              <w:rPr>
                <w:rFonts w:ascii="Times New Roman" w:hAnsi="Times New Roman" w:cs="Times New Roman"/>
                <w:b/>
                <w:bCs/>
                <w:color w:val="185262"/>
                <w:sz w:val="18"/>
                <w:szCs w:val="18"/>
              </w:rPr>
              <w:t>Management response:</w:t>
            </w:r>
            <w:r w:rsidR="00153EA3" w:rsidRPr="00867815">
              <w:rPr>
                <w:rFonts w:ascii="Times New Roman" w:hAnsi="Times New Roman" w:cs="Times New Roman"/>
                <w:color w:val="185262"/>
                <w:sz w:val="18"/>
                <w:szCs w:val="18"/>
              </w:rPr>
              <w:t xml:space="preserve"> </w:t>
            </w:r>
            <w:r w:rsidR="00D526CA" w:rsidRPr="00490DDC">
              <w:rPr>
                <w:rFonts w:asciiTheme="majorBidi" w:hAnsiTheme="majorBidi" w:cstheme="majorBidi"/>
                <w:sz w:val="18"/>
                <w:szCs w:val="18"/>
              </w:rPr>
              <w:t xml:space="preserve">The recommendation is well received. </w:t>
            </w:r>
          </w:p>
          <w:p w14:paraId="1151CB93" w14:textId="28CB6376" w:rsidR="00711DD2" w:rsidRPr="00490DDC" w:rsidRDefault="00D526CA" w:rsidP="00556DE7">
            <w:pPr>
              <w:tabs>
                <w:tab w:val="left" w:pos="1080"/>
              </w:tabs>
              <w:spacing w:after="0" w:line="240" w:lineRule="auto"/>
              <w:jc w:val="both"/>
              <w:rPr>
                <w:rFonts w:asciiTheme="majorBidi" w:hAnsiTheme="majorBidi" w:cstheme="majorBidi"/>
                <w:sz w:val="18"/>
                <w:szCs w:val="18"/>
              </w:rPr>
            </w:pPr>
            <w:r w:rsidRPr="00490DDC">
              <w:rPr>
                <w:rFonts w:asciiTheme="majorBidi" w:hAnsiTheme="majorBidi" w:cstheme="majorBidi"/>
                <w:sz w:val="18"/>
                <w:szCs w:val="18"/>
              </w:rPr>
              <w:t xml:space="preserve">To further strengthen UNDP efforts to improve </w:t>
            </w:r>
            <w:r w:rsidR="00F502EC" w:rsidRPr="00490DDC">
              <w:rPr>
                <w:rFonts w:asciiTheme="majorBidi" w:hAnsiTheme="majorBidi" w:cstheme="majorBidi"/>
                <w:sz w:val="18"/>
                <w:szCs w:val="18"/>
              </w:rPr>
              <w:t xml:space="preserve">SSR partner </w:t>
            </w:r>
            <w:r w:rsidRPr="00490DDC">
              <w:rPr>
                <w:rFonts w:asciiTheme="majorBidi" w:hAnsiTheme="majorBidi" w:cstheme="majorBidi"/>
                <w:sz w:val="18"/>
                <w:szCs w:val="18"/>
              </w:rPr>
              <w:t>coordination and identify opportunities for enhanced coherence with other like-minded partners, the SSR/</w:t>
            </w:r>
            <w:proofErr w:type="spellStart"/>
            <w:r w:rsidRPr="00490DDC">
              <w:rPr>
                <w:rFonts w:asciiTheme="majorBidi" w:hAnsiTheme="majorBidi" w:cstheme="majorBidi"/>
                <w:sz w:val="18"/>
                <w:szCs w:val="18"/>
              </w:rPr>
              <w:t>RoL</w:t>
            </w:r>
            <w:proofErr w:type="spellEnd"/>
            <w:r w:rsidRPr="00490DDC">
              <w:rPr>
                <w:rFonts w:asciiTheme="majorBidi" w:hAnsiTheme="majorBidi" w:cstheme="majorBidi"/>
                <w:sz w:val="18"/>
                <w:szCs w:val="18"/>
              </w:rPr>
              <w:t xml:space="preserve"> Programme has already undertaken a new initiative to establish a security sector partnership funding facility to ‘promote peaceful and inclusive societies for sustainable developed (SDG16)’ in </w:t>
            </w:r>
            <w:r w:rsidR="00E21FAA" w:rsidRPr="00490DDC">
              <w:rPr>
                <w:rFonts w:asciiTheme="majorBidi" w:hAnsiTheme="majorBidi" w:cstheme="majorBidi"/>
                <w:sz w:val="18"/>
                <w:szCs w:val="18"/>
              </w:rPr>
              <w:t>collaboration with</w:t>
            </w:r>
            <w:r w:rsidR="00F502EC" w:rsidRPr="00490DDC">
              <w:rPr>
                <w:rFonts w:asciiTheme="majorBidi" w:hAnsiTheme="majorBidi" w:cstheme="majorBidi"/>
                <w:sz w:val="18"/>
                <w:szCs w:val="18"/>
              </w:rPr>
              <w:t>,</w:t>
            </w:r>
            <w:r w:rsidRPr="00490DDC">
              <w:rPr>
                <w:rFonts w:asciiTheme="majorBidi" w:hAnsiTheme="majorBidi" w:cstheme="majorBidi"/>
                <w:sz w:val="18"/>
                <w:szCs w:val="18"/>
              </w:rPr>
              <w:t xml:space="preserve"> and </w:t>
            </w:r>
            <w:r w:rsidR="00F502EC" w:rsidRPr="00490DDC">
              <w:rPr>
                <w:rFonts w:asciiTheme="majorBidi" w:hAnsiTheme="majorBidi" w:cstheme="majorBidi"/>
                <w:sz w:val="18"/>
                <w:szCs w:val="18"/>
              </w:rPr>
              <w:t xml:space="preserve">generous </w:t>
            </w:r>
            <w:r w:rsidRPr="00490DDC">
              <w:rPr>
                <w:rFonts w:asciiTheme="majorBidi" w:hAnsiTheme="majorBidi" w:cstheme="majorBidi"/>
                <w:sz w:val="18"/>
                <w:szCs w:val="18"/>
              </w:rPr>
              <w:t xml:space="preserve">funding from the Government of Denmark. </w:t>
            </w:r>
            <w:r w:rsidR="008051CB" w:rsidRPr="00490DDC">
              <w:rPr>
                <w:rFonts w:asciiTheme="majorBidi" w:hAnsiTheme="majorBidi" w:cstheme="majorBidi"/>
                <w:bCs/>
                <w:sz w:val="18"/>
                <w:szCs w:val="18"/>
              </w:rPr>
              <w:t xml:space="preserve">The objective of the SSR Partnership is to accelerate and scale up security sector reform in Iraq in line with the United Nations Sustainable Development Goal (SDG) #16: “Promote peaceful and inclusive societies for sustainable development, provide access to justice for all and build effective, accountable and inclusive institutions at all levels”. It </w:t>
            </w:r>
            <w:r w:rsidR="00E21FAA" w:rsidRPr="00490DDC">
              <w:rPr>
                <w:rFonts w:asciiTheme="majorBidi" w:hAnsiTheme="majorBidi" w:cstheme="majorBidi"/>
                <w:bCs/>
                <w:sz w:val="18"/>
                <w:szCs w:val="18"/>
              </w:rPr>
              <w:t>will aim</w:t>
            </w:r>
            <w:r w:rsidR="008051CB" w:rsidRPr="00490DDC">
              <w:rPr>
                <w:rFonts w:asciiTheme="majorBidi" w:hAnsiTheme="majorBidi" w:cstheme="majorBidi"/>
                <w:bCs/>
                <w:sz w:val="18"/>
                <w:szCs w:val="18"/>
              </w:rPr>
              <w:t xml:space="preserve"> to bring together a range of partners from the </w:t>
            </w:r>
            <w:bookmarkStart w:id="1" w:name="_Hlk94783168"/>
            <w:proofErr w:type="spellStart"/>
            <w:r w:rsidR="008051CB" w:rsidRPr="00490DDC">
              <w:rPr>
                <w:rFonts w:asciiTheme="majorBidi" w:hAnsiTheme="majorBidi" w:cstheme="majorBidi"/>
                <w:bCs/>
                <w:sz w:val="18"/>
                <w:szCs w:val="18"/>
              </w:rPr>
              <w:t>GoI</w:t>
            </w:r>
            <w:proofErr w:type="spellEnd"/>
            <w:r w:rsidR="008051CB" w:rsidRPr="00490DDC">
              <w:rPr>
                <w:rFonts w:asciiTheme="majorBidi" w:hAnsiTheme="majorBidi" w:cstheme="majorBidi"/>
                <w:bCs/>
                <w:sz w:val="18"/>
                <w:szCs w:val="18"/>
              </w:rPr>
              <w:t>, donors, civil society organisation</w:t>
            </w:r>
            <w:r w:rsidR="00805735" w:rsidRPr="00490DDC">
              <w:rPr>
                <w:rFonts w:asciiTheme="majorBidi" w:hAnsiTheme="majorBidi" w:cstheme="majorBidi"/>
                <w:bCs/>
                <w:sz w:val="18"/>
                <w:szCs w:val="18"/>
              </w:rPr>
              <w:t>s</w:t>
            </w:r>
            <w:r w:rsidR="008051CB" w:rsidRPr="00490DDC">
              <w:rPr>
                <w:rFonts w:asciiTheme="majorBidi" w:hAnsiTheme="majorBidi" w:cstheme="majorBidi"/>
                <w:bCs/>
                <w:sz w:val="18"/>
                <w:szCs w:val="18"/>
              </w:rPr>
              <w:t xml:space="preserve"> and</w:t>
            </w:r>
            <w:r w:rsidR="00805735" w:rsidRPr="00490DDC">
              <w:rPr>
                <w:rFonts w:asciiTheme="majorBidi" w:hAnsiTheme="majorBidi" w:cstheme="majorBidi"/>
                <w:bCs/>
                <w:sz w:val="18"/>
                <w:szCs w:val="18"/>
              </w:rPr>
              <w:t xml:space="preserve"> the private</w:t>
            </w:r>
            <w:r w:rsidR="008051CB" w:rsidRPr="00490DDC">
              <w:rPr>
                <w:rFonts w:asciiTheme="majorBidi" w:hAnsiTheme="majorBidi" w:cstheme="majorBidi"/>
                <w:bCs/>
                <w:sz w:val="18"/>
                <w:szCs w:val="18"/>
              </w:rPr>
              <w:t xml:space="preserve"> sector</w:t>
            </w:r>
            <w:r w:rsidR="00E21FAA" w:rsidRPr="00490DDC">
              <w:rPr>
                <w:rFonts w:asciiTheme="majorBidi" w:hAnsiTheme="majorBidi" w:cstheme="majorBidi"/>
                <w:bCs/>
                <w:sz w:val="18"/>
                <w:szCs w:val="18"/>
              </w:rPr>
              <w:t xml:space="preserve"> to combine efforts and expertise to undertake</w:t>
            </w:r>
            <w:r w:rsidR="00805735" w:rsidRPr="00490DDC">
              <w:rPr>
                <w:rFonts w:asciiTheme="majorBidi" w:hAnsiTheme="majorBidi" w:cstheme="majorBidi"/>
                <w:bCs/>
                <w:sz w:val="18"/>
                <w:szCs w:val="18"/>
              </w:rPr>
              <w:t xml:space="preserve"> joint initiatives to provide</w:t>
            </w:r>
            <w:r w:rsidR="008051CB" w:rsidRPr="00490DDC">
              <w:rPr>
                <w:rFonts w:asciiTheme="majorBidi" w:hAnsiTheme="majorBidi" w:cstheme="majorBidi"/>
                <w:bCs/>
                <w:sz w:val="18"/>
                <w:szCs w:val="18"/>
              </w:rPr>
              <w:t xml:space="preserve"> innovative and practical solutions to advance</w:t>
            </w:r>
            <w:r w:rsidR="00805735" w:rsidRPr="00490DDC">
              <w:rPr>
                <w:rFonts w:asciiTheme="majorBidi" w:hAnsiTheme="majorBidi" w:cstheme="majorBidi"/>
                <w:bCs/>
                <w:sz w:val="18"/>
                <w:szCs w:val="18"/>
              </w:rPr>
              <w:t xml:space="preserve"> Iraq’s</w:t>
            </w:r>
            <w:r w:rsidR="00E21FAA" w:rsidRPr="00490DDC">
              <w:rPr>
                <w:rFonts w:asciiTheme="majorBidi" w:hAnsiTheme="majorBidi" w:cstheme="majorBidi"/>
                <w:bCs/>
                <w:sz w:val="18"/>
                <w:szCs w:val="18"/>
              </w:rPr>
              <w:t xml:space="preserve"> security and justice </w:t>
            </w:r>
            <w:r w:rsidR="008051CB" w:rsidRPr="00490DDC">
              <w:rPr>
                <w:rFonts w:asciiTheme="majorBidi" w:hAnsiTheme="majorBidi" w:cstheme="majorBidi"/>
                <w:bCs/>
                <w:sz w:val="18"/>
                <w:szCs w:val="18"/>
              </w:rPr>
              <w:t>sector reform priorities</w:t>
            </w:r>
            <w:bookmarkEnd w:id="1"/>
            <w:r w:rsidR="00E21FAA" w:rsidRPr="00490DDC">
              <w:rPr>
                <w:rFonts w:asciiTheme="majorBidi" w:hAnsiTheme="majorBidi" w:cstheme="majorBidi"/>
                <w:bCs/>
                <w:sz w:val="18"/>
                <w:szCs w:val="18"/>
              </w:rPr>
              <w:t xml:space="preserve">. Through a consultative process with the afore mentioned partners the SSR partnership facility </w:t>
            </w:r>
            <w:r w:rsidR="00805735" w:rsidRPr="00490DDC">
              <w:rPr>
                <w:rFonts w:asciiTheme="majorBidi" w:hAnsiTheme="majorBidi" w:cstheme="majorBidi"/>
                <w:bCs/>
                <w:sz w:val="18"/>
                <w:szCs w:val="18"/>
              </w:rPr>
              <w:t xml:space="preserve">will be </w:t>
            </w:r>
            <w:r w:rsidR="00E21FAA" w:rsidRPr="00490DDC">
              <w:rPr>
                <w:rFonts w:asciiTheme="majorBidi" w:hAnsiTheme="majorBidi" w:cstheme="majorBidi"/>
                <w:bCs/>
                <w:sz w:val="18"/>
                <w:szCs w:val="18"/>
              </w:rPr>
              <w:t xml:space="preserve">established </w:t>
            </w:r>
            <w:r w:rsidR="00805735" w:rsidRPr="00490DDC">
              <w:rPr>
                <w:rFonts w:asciiTheme="majorBidi" w:hAnsiTheme="majorBidi" w:cstheme="majorBidi"/>
                <w:bCs/>
                <w:sz w:val="18"/>
                <w:szCs w:val="18"/>
              </w:rPr>
              <w:t>in</w:t>
            </w:r>
            <w:r w:rsidR="00E21FAA" w:rsidRPr="00490DDC">
              <w:rPr>
                <w:rFonts w:asciiTheme="majorBidi" w:hAnsiTheme="majorBidi" w:cstheme="majorBidi"/>
                <w:bCs/>
                <w:sz w:val="18"/>
                <w:szCs w:val="18"/>
              </w:rPr>
              <w:t xml:space="preserve"> 2022 </w:t>
            </w:r>
            <w:r w:rsidR="00CF4A97" w:rsidRPr="00490DDC">
              <w:rPr>
                <w:rFonts w:asciiTheme="majorBidi" w:hAnsiTheme="majorBidi" w:cstheme="majorBidi"/>
                <w:bCs/>
                <w:sz w:val="18"/>
                <w:szCs w:val="18"/>
              </w:rPr>
              <w:t xml:space="preserve">including </w:t>
            </w:r>
            <w:bookmarkStart w:id="2" w:name="_Hlk94783606"/>
            <w:r w:rsidR="00CF4A97" w:rsidRPr="00490DDC">
              <w:rPr>
                <w:rFonts w:asciiTheme="majorBidi" w:hAnsiTheme="majorBidi" w:cstheme="majorBidi"/>
                <w:bCs/>
                <w:sz w:val="18"/>
                <w:szCs w:val="18"/>
              </w:rPr>
              <w:t>undertaking joint research, analysis</w:t>
            </w:r>
            <w:r w:rsidR="00805735" w:rsidRPr="00490DDC">
              <w:rPr>
                <w:rFonts w:asciiTheme="majorBidi" w:hAnsiTheme="majorBidi" w:cstheme="majorBidi"/>
                <w:bCs/>
                <w:sz w:val="18"/>
                <w:szCs w:val="18"/>
              </w:rPr>
              <w:t>,</w:t>
            </w:r>
            <w:r w:rsidR="00CF4A97" w:rsidRPr="00490DDC">
              <w:rPr>
                <w:rFonts w:asciiTheme="majorBidi" w:hAnsiTheme="majorBidi" w:cstheme="majorBidi"/>
                <w:bCs/>
                <w:sz w:val="18"/>
                <w:szCs w:val="18"/>
              </w:rPr>
              <w:t xml:space="preserve"> and strategy for joint evidence – base and understanding of SSR priorities relevant to the Iraqi context</w:t>
            </w:r>
            <w:bookmarkEnd w:id="2"/>
            <w:r w:rsidR="00805735" w:rsidRPr="00490DDC">
              <w:rPr>
                <w:rFonts w:asciiTheme="majorBidi" w:hAnsiTheme="majorBidi" w:cstheme="majorBidi"/>
                <w:bCs/>
                <w:sz w:val="18"/>
                <w:szCs w:val="18"/>
              </w:rPr>
              <w:t>, and</w:t>
            </w:r>
            <w:r w:rsidR="00CF4A97" w:rsidRPr="00490DDC">
              <w:rPr>
                <w:rFonts w:asciiTheme="majorBidi" w:hAnsiTheme="majorBidi" w:cstheme="majorBidi"/>
                <w:bCs/>
                <w:sz w:val="18"/>
                <w:szCs w:val="18"/>
              </w:rPr>
              <w:t xml:space="preserve"> from 2023 -2025 the facility will support joint undertaking between and amongst the </w:t>
            </w:r>
            <w:r w:rsidR="00805735" w:rsidRPr="00490DDC">
              <w:rPr>
                <w:rFonts w:asciiTheme="majorBidi" w:hAnsiTheme="majorBidi" w:cstheme="majorBidi"/>
                <w:bCs/>
                <w:sz w:val="18"/>
                <w:szCs w:val="18"/>
              </w:rPr>
              <w:t>SSR</w:t>
            </w:r>
            <w:r w:rsidR="00CF4A97" w:rsidRPr="00490DDC">
              <w:rPr>
                <w:rFonts w:asciiTheme="majorBidi" w:hAnsiTheme="majorBidi" w:cstheme="majorBidi"/>
                <w:bCs/>
                <w:sz w:val="18"/>
                <w:szCs w:val="18"/>
              </w:rPr>
              <w:t xml:space="preserve"> partners to foster security and justice reform priorities in Iraq. </w:t>
            </w:r>
            <w:r w:rsidR="00805735" w:rsidRPr="00490DDC">
              <w:rPr>
                <w:rFonts w:asciiTheme="majorBidi" w:hAnsiTheme="majorBidi" w:cstheme="majorBidi"/>
                <w:bCs/>
                <w:sz w:val="18"/>
                <w:szCs w:val="18"/>
              </w:rPr>
              <w:t xml:space="preserve">UNDP will also act as the coordinating secretariat of the funding facilitate in close collaboration with </w:t>
            </w:r>
            <w:proofErr w:type="spellStart"/>
            <w:r w:rsidR="00805735" w:rsidRPr="00490DDC">
              <w:rPr>
                <w:rFonts w:asciiTheme="majorBidi" w:hAnsiTheme="majorBidi" w:cstheme="majorBidi"/>
                <w:bCs/>
                <w:sz w:val="18"/>
                <w:szCs w:val="18"/>
              </w:rPr>
              <w:t>GoI</w:t>
            </w:r>
            <w:proofErr w:type="spellEnd"/>
            <w:r w:rsidR="00805735" w:rsidRPr="00490DDC">
              <w:rPr>
                <w:rFonts w:asciiTheme="majorBidi" w:hAnsiTheme="majorBidi" w:cstheme="majorBidi"/>
                <w:bCs/>
                <w:sz w:val="18"/>
                <w:szCs w:val="18"/>
              </w:rPr>
              <w:t xml:space="preserve">, donors and like-minded partners. </w:t>
            </w:r>
            <w:r w:rsidR="00CF4A97" w:rsidRPr="00490DDC">
              <w:rPr>
                <w:rFonts w:ascii="Times New Roman" w:hAnsi="Times New Roman" w:cs="Times New Roman"/>
                <w:bCs/>
                <w:sz w:val="18"/>
                <w:szCs w:val="18"/>
              </w:rPr>
              <w:t>Therefore, action corresponding to this recommendation is already in progress</w:t>
            </w:r>
            <w:r w:rsidR="00805735" w:rsidRPr="00490DDC">
              <w:rPr>
                <w:rFonts w:ascii="Times New Roman" w:hAnsi="Times New Roman" w:cs="Times New Roman"/>
                <w:bCs/>
                <w:sz w:val="18"/>
                <w:szCs w:val="18"/>
              </w:rPr>
              <w:t>,</w:t>
            </w:r>
            <w:r w:rsidR="00CF4A97" w:rsidRPr="00490DDC">
              <w:rPr>
                <w:rFonts w:ascii="Times New Roman" w:hAnsi="Times New Roman" w:cs="Times New Roman"/>
                <w:bCs/>
                <w:sz w:val="18"/>
                <w:szCs w:val="18"/>
              </w:rPr>
              <w:t xml:space="preserve"> and no further</w:t>
            </w:r>
            <w:r w:rsidR="009D3C57">
              <w:rPr>
                <w:rFonts w:ascii="Times New Roman" w:hAnsi="Times New Roman" w:cs="Times New Roman"/>
                <w:bCs/>
                <w:sz w:val="18"/>
                <w:szCs w:val="18"/>
              </w:rPr>
              <w:t xml:space="preserve"> </w:t>
            </w:r>
            <w:r w:rsidR="00CF4A97" w:rsidRPr="00490DDC">
              <w:rPr>
                <w:rFonts w:ascii="Times New Roman" w:hAnsi="Times New Roman" w:cs="Times New Roman"/>
                <w:bCs/>
                <w:sz w:val="18"/>
                <w:szCs w:val="18"/>
              </w:rPr>
              <w:t>/ additional action is required</w:t>
            </w:r>
            <w:r w:rsidR="009D3C57">
              <w:rPr>
                <w:rFonts w:ascii="Times New Roman" w:hAnsi="Times New Roman" w:cs="Times New Roman"/>
                <w:bCs/>
                <w:sz w:val="18"/>
                <w:szCs w:val="18"/>
              </w:rPr>
              <w:t xml:space="preserve"> </w:t>
            </w:r>
            <w:r w:rsidR="00CF4A97" w:rsidRPr="00490DDC">
              <w:rPr>
                <w:rFonts w:ascii="Times New Roman" w:hAnsi="Times New Roman" w:cs="Times New Roman"/>
                <w:bCs/>
                <w:sz w:val="18"/>
                <w:szCs w:val="18"/>
              </w:rPr>
              <w:t>(Corresponding Output of the ‘project document’: Output 1)</w:t>
            </w:r>
            <w:r w:rsidR="009D3C57">
              <w:rPr>
                <w:rFonts w:ascii="Times New Roman" w:hAnsi="Times New Roman" w:cs="Times New Roman"/>
                <w:bCs/>
                <w:sz w:val="18"/>
                <w:szCs w:val="18"/>
              </w:rPr>
              <w:t>.</w:t>
            </w:r>
          </w:p>
        </w:tc>
      </w:tr>
      <w:tr w:rsidR="00912687" w:rsidRPr="00867815" w14:paraId="75609D70" w14:textId="77777777" w:rsidTr="60794859">
        <w:trPr>
          <w:trHeight w:val="135"/>
        </w:trPr>
        <w:tc>
          <w:tcPr>
            <w:tcW w:w="4049" w:type="dxa"/>
            <w:vMerge w:val="restart"/>
            <w:shd w:val="clear" w:color="auto" w:fill="EAF6F3"/>
            <w:vAlign w:val="center"/>
          </w:tcPr>
          <w:p w14:paraId="1014F7B0" w14:textId="145F9D3E" w:rsidR="00E61BD7" w:rsidRPr="00867815" w:rsidRDefault="00E61BD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w:t>
            </w:r>
            <w:r w:rsidR="005B18E4" w:rsidRPr="00867815">
              <w:rPr>
                <w:rFonts w:ascii="Times New Roman" w:hAnsi="Times New Roman" w:cs="Times New Roman"/>
                <w:b/>
                <w:color w:val="185262"/>
                <w:sz w:val="18"/>
                <w:szCs w:val="18"/>
              </w:rPr>
              <w:t xml:space="preserve"> </w:t>
            </w:r>
            <w:r w:rsidRPr="00867815">
              <w:rPr>
                <w:rFonts w:ascii="Times New Roman" w:hAnsi="Times New Roman" w:cs="Times New Roman"/>
                <w:b/>
                <w:color w:val="185262"/>
                <w:sz w:val="18"/>
                <w:szCs w:val="18"/>
              </w:rPr>
              <w:t>(s)</w:t>
            </w:r>
          </w:p>
        </w:tc>
        <w:tc>
          <w:tcPr>
            <w:tcW w:w="1316" w:type="dxa"/>
            <w:vMerge w:val="restart"/>
            <w:shd w:val="clear" w:color="auto" w:fill="EAF6F3"/>
            <w:vAlign w:val="center"/>
          </w:tcPr>
          <w:p w14:paraId="0F6EDDDA" w14:textId="77777777" w:rsidR="00E61BD7" w:rsidRPr="00867815" w:rsidRDefault="00E61BD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865" w:type="dxa"/>
            <w:vMerge w:val="restart"/>
            <w:shd w:val="clear" w:color="auto" w:fill="EAF6F3"/>
            <w:vAlign w:val="center"/>
          </w:tcPr>
          <w:p w14:paraId="2B41AF8A" w14:textId="77777777" w:rsidR="00E61BD7" w:rsidRPr="00867815" w:rsidRDefault="00E61BD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300" w:type="dxa"/>
            <w:gridSpan w:val="2"/>
            <w:shd w:val="clear" w:color="auto" w:fill="EAF6F3"/>
          </w:tcPr>
          <w:p w14:paraId="11F81595"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912687" w:rsidRPr="00867815" w14:paraId="2B584F9C" w14:textId="77777777" w:rsidTr="60794859">
        <w:trPr>
          <w:trHeight w:val="135"/>
        </w:trPr>
        <w:tc>
          <w:tcPr>
            <w:tcW w:w="4049" w:type="dxa"/>
            <w:vMerge/>
          </w:tcPr>
          <w:p w14:paraId="1684C741" w14:textId="77777777" w:rsidR="00E61BD7" w:rsidRPr="00867815" w:rsidRDefault="00E61BD7" w:rsidP="009D3E8D">
            <w:pPr>
              <w:tabs>
                <w:tab w:val="left" w:pos="1080"/>
              </w:tabs>
              <w:spacing w:after="0" w:line="240" w:lineRule="auto"/>
              <w:jc w:val="both"/>
              <w:rPr>
                <w:rFonts w:ascii="Times New Roman" w:hAnsi="Times New Roman" w:cs="Times New Roman"/>
                <w:color w:val="185262"/>
                <w:sz w:val="18"/>
                <w:szCs w:val="18"/>
              </w:rPr>
            </w:pPr>
          </w:p>
        </w:tc>
        <w:tc>
          <w:tcPr>
            <w:tcW w:w="1316" w:type="dxa"/>
            <w:vMerge/>
          </w:tcPr>
          <w:p w14:paraId="7EDCBBF0"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p>
        </w:tc>
        <w:tc>
          <w:tcPr>
            <w:tcW w:w="1865" w:type="dxa"/>
            <w:vMerge/>
          </w:tcPr>
          <w:p w14:paraId="7522D048"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p>
        </w:tc>
        <w:tc>
          <w:tcPr>
            <w:tcW w:w="1231" w:type="dxa"/>
          </w:tcPr>
          <w:p w14:paraId="539D6226"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069" w:type="dxa"/>
          </w:tcPr>
          <w:p w14:paraId="57CB3FB8" w14:textId="0DB0F364"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 xml:space="preserve">Status </w:t>
            </w:r>
            <w:r w:rsidR="004B2058" w:rsidRPr="00867815">
              <w:rPr>
                <w:rFonts w:ascii="Times New Roman" w:hAnsi="Times New Roman" w:cs="Times New Roman"/>
                <w:bCs/>
                <w:i/>
                <w:iCs/>
                <w:color w:val="185262"/>
                <w:sz w:val="18"/>
                <w:szCs w:val="18"/>
              </w:rPr>
              <w:t>(initiated, completed or no due date)</w:t>
            </w:r>
          </w:p>
        </w:tc>
      </w:tr>
      <w:tr w:rsidR="00777726" w:rsidRPr="00867815" w14:paraId="601CC2A2" w14:textId="77777777" w:rsidTr="60794859">
        <w:tc>
          <w:tcPr>
            <w:tcW w:w="4049" w:type="dxa"/>
          </w:tcPr>
          <w:p w14:paraId="428D46F7" w14:textId="026058B4" w:rsidR="0007378B" w:rsidRPr="00043955" w:rsidRDefault="00043955" w:rsidP="00043955">
            <w:pPr>
              <w:spacing w:after="0" w:line="240" w:lineRule="auto"/>
              <w:jc w:val="both"/>
              <w:rPr>
                <w:rFonts w:asciiTheme="majorBidi" w:hAnsiTheme="majorBidi" w:cstheme="majorBidi"/>
                <w:bCs/>
                <w:sz w:val="18"/>
                <w:szCs w:val="18"/>
              </w:rPr>
            </w:pPr>
            <w:r>
              <w:rPr>
                <w:rFonts w:ascii="Times New Roman" w:hAnsi="Times New Roman" w:cs="Times New Roman"/>
                <w:sz w:val="18"/>
                <w:szCs w:val="18"/>
              </w:rPr>
              <w:t xml:space="preserve"> 2.1: </w:t>
            </w:r>
            <w:r w:rsidRPr="009368A5">
              <w:rPr>
                <w:rFonts w:asciiTheme="majorBidi" w:hAnsiTheme="majorBidi" w:cstheme="majorBidi"/>
                <w:bCs/>
                <w:sz w:val="18"/>
                <w:szCs w:val="18"/>
              </w:rPr>
              <w:t>Establish the</w:t>
            </w:r>
            <w:r w:rsidR="002D2882">
              <w:rPr>
                <w:rFonts w:asciiTheme="majorBidi" w:hAnsiTheme="majorBidi" w:cstheme="majorBidi"/>
                <w:bCs/>
                <w:sz w:val="18"/>
                <w:szCs w:val="18"/>
              </w:rPr>
              <w:t xml:space="preserve"> </w:t>
            </w:r>
            <w:r w:rsidR="00625BBF">
              <w:rPr>
                <w:rFonts w:asciiTheme="majorBidi" w:hAnsiTheme="majorBidi" w:cstheme="majorBidi"/>
                <w:bCs/>
                <w:sz w:val="18"/>
                <w:szCs w:val="18"/>
              </w:rPr>
              <w:t xml:space="preserve">proposed Iraq security sector reform partnership (ISSRP) </w:t>
            </w:r>
            <w:r>
              <w:rPr>
                <w:rFonts w:asciiTheme="majorBidi" w:hAnsiTheme="majorBidi" w:cstheme="majorBidi"/>
                <w:bCs/>
                <w:sz w:val="18"/>
                <w:szCs w:val="18"/>
              </w:rPr>
              <w:t>F</w:t>
            </w:r>
            <w:r w:rsidRPr="009368A5">
              <w:rPr>
                <w:rFonts w:asciiTheme="majorBidi" w:hAnsiTheme="majorBidi" w:cstheme="majorBidi"/>
                <w:bCs/>
                <w:sz w:val="18"/>
                <w:szCs w:val="18"/>
              </w:rPr>
              <w:t>acility</w:t>
            </w:r>
            <w:r>
              <w:rPr>
                <w:rFonts w:asciiTheme="majorBidi" w:hAnsiTheme="majorBidi" w:cstheme="majorBidi"/>
                <w:bCs/>
                <w:sz w:val="18"/>
                <w:szCs w:val="18"/>
              </w:rPr>
              <w:t xml:space="preserve">, </w:t>
            </w:r>
            <w:r w:rsidR="00625BBF">
              <w:rPr>
                <w:rFonts w:asciiTheme="majorBidi" w:hAnsiTheme="majorBidi" w:cstheme="majorBidi"/>
                <w:bCs/>
                <w:sz w:val="18"/>
                <w:szCs w:val="18"/>
              </w:rPr>
              <w:t xml:space="preserve">of which the aim to develop a robust partnership mechanism to improve coordination with </w:t>
            </w:r>
            <w:proofErr w:type="spellStart"/>
            <w:r>
              <w:rPr>
                <w:rFonts w:asciiTheme="majorBidi" w:hAnsiTheme="majorBidi" w:cstheme="majorBidi"/>
                <w:bCs/>
                <w:sz w:val="18"/>
                <w:szCs w:val="18"/>
              </w:rPr>
              <w:t>GoI</w:t>
            </w:r>
            <w:proofErr w:type="spellEnd"/>
            <w:r>
              <w:rPr>
                <w:rFonts w:asciiTheme="majorBidi" w:hAnsiTheme="majorBidi" w:cstheme="majorBidi"/>
                <w:bCs/>
                <w:sz w:val="18"/>
                <w:szCs w:val="18"/>
              </w:rPr>
              <w:t xml:space="preserve">, donors, national CSOs </w:t>
            </w:r>
            <w:r w:rsidRPr="00490DDC">
              <w:rPr>
                <w:rFonts w:asciiTheme="majorBidi" w:hAnsiTheme="majorBidi" w:cstheme="majorBidi"/>
                <w:bCs/>
                <w:sz w:val="18"/>
                <w:szCs w:val="18"/>
              </w:rPr>
              <w:t xml:space="preserve">and the private sector </w:t>
            </w:r>
            <w:r w:rsidRPr="009368A5">
              <w:rPr>
                <w:rFonts w:asciiTheme="majorBidi" w:hAnsiTheme="majorBidi" w:cstheme="majorBidi"/>
                <w:bCs/>
                <w:sz w:val="18"/>
                <w:szCs w:val="18"/>
              </w:rPr>
              <w:t xml:space="preserve">to combine efforts and expertise to undertake joint initiatives to provide innovative and practical solutions to advance Iraq’s </w:t>
            </w:r>
            <w:r>
              <w:rPr>
                <w:rFonts w:asciiTheme="majorBidi" w:hAnsiTheme="majorBidi" w:cstheme="majorBidi"/>
                <w:bCs/>
                <w:sz w:val="18"/>
                <w:szCs w:val="18"/>
              </w:rPr>
              <w:t xml:space="preserve">SJSR </w:t>
            </w:r>
            <w:r w:rsidRPr="009368A5">
              <w:rPr>
                <w:rFonts w:asciiTheme="majorBidi" w:hAnsiTheme="majorBidi" w:cstheme="majorBidi"/>
                <w:bCs/>
                <w:sz w:val="18"/>
                <w:szCs w:val="18"/>
              </w:rPr>
              <w:t>priorities</w:t>
            </w:r>
            <w:r>
              <w:rPr>
                <w:rFonts w:asciiTheme="majorBidi" w:hAnsiTheme="majorBidi" w:cstheme="majorBidi"/>
                <w:bCs/>
                <w:sz w:val="18"/>
                <w:szCs w:val="18"/>
              </w:rPr>
              <w:t xml:space="preserve">. </w:t>
            </w:r>
          </w:p>
        </w:tc>
        <w:tc>
          <w:tcPr>
            <w:tcW w:w="1316" w:type="dxa"/>
            <w:vAlign w:val="center"/>
          </w:tcPr>
          <w:p w14:paraId="40E8456D" w14:textId="218CFDEC" w:rsidR="0007378B" w:rsidRPr="00867815" w:rsidRDefault="00625BBF" w:rsidP="002D2882">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31 December 2022</w:t>
            </w:r>
          </w:p>
        </w:tc>
        <w:tc>
          <w:tcPr>
            <w:tcW w:w="1865" w:type="dxa"/>
            <w:vAlign w:val="center"/>
          </w:tcPr>
          <w:p w14:paraId="29BC3C51" w14:textId="6EF93A51" w:rsidR="0007378B" w:rsidRPr="00867815" w:rsidRDefault="00625BBF" w:rsidP="002D2882">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UNDP SSR/</w:t>
            </w:r>
            <w:proofErr w:type="spellStart"/>
            <w:r>
              <w:rPr>
                <w:rFonts w:ascii="Times New Roman" w:hAnsi="Times New Roman" w:cs="Times New Roman"/>
                <w:color w:val="185262"/>
                <w:sz w:val="18"/>
                <w:szCs w:val="18"/>
              </w:rPr>
              <w:t>Ro</w:t>
            </w:r>
            <w:r w:rsidR="002D2882">
              <w:rPr>
                <w:rFonts w:ascii="Times New Roman" w:hAnsi="Times New Roman" w:cs="Times New Roman"/>
                <w:color w:val="185262"/>
                <w:sz w:val="18"/>
                <w:szCs w:val="18"/>
              </w:rPr>
              <w:t>L</w:t>
            </w:r>
            <w:proofErr w:type="spellEnd"/>
            <w:r>
              <w:rPr>
                <w:rFonts w:ascii="Times New Roman" w:hAnsi="Times New Roman" w:cs="Times New Roman"/>
                <w:color w:val="185262"/>
                <w:sz w:val="18"/>
                <w:szCs w:val="18"/>
              </w:rPr>
              <w:t xml:space="preserve"> Programme, </w:t>
            </w:r>
            <w:proofErr w:type="spellStart"/>
            <w:r>
              <w:rPr>
                <w:rFonts w:ascii="Times New Roman" w:hAnsi="Times New Roman" w:cs="Times New Roman"/>
                <w:color w:val="185262"/>
                <w:sz w:val="18"/>
                <w:szCs w:val="18"/>
              </w:rPr>
              <w:t>GoI</w:t>
            </w:r>
            <w:proofErr w:type="spellEnd"/>
            <w:r>
              <w:rPr>
                <w:rFonts w:ascii="Times New Roman" w:hAnsi="Times New Roman" w:cs="Times New Roman"/>
                <w:color w:val="185262"/>
                <w:sz w:val="18"/>
                <w:szCs w:val="18"/>
              </w:rPr>
              <w:t xml:space="preserve"> and Denmark (donor)</w:t>
            </w:r>
          </w:p>
        </w:tc>
        <w:tc>
          <w:tcPr>
            <w:tcW w:w="1231" w:type="dxa"/>
          </w:tcPr>
          <w:p w14:paraId="7E1C2BB0" w14:textId="77777777" w:rsidR="00464A4B" w:rsidRDefault="00464A4B" w:rsidP="009D3E8D">
            <w:pPr>
              <w:tabs>
                <w:tab w:val="left" w:pos="1080"/>
              </w:tabs>
              <w:spacing w:after="0" w:line="240" w:lineRule="auto"/>
              <w:jc w:val="both"/>
              <w:rPr>
                <w:rFonts w:ascii="Times New Roman" w:hAnsi="Times New Roman" w:cs="Times New Roman"/>
                <w:sz w:val="18"/>
                <w:szCs w:val="18"/>
              </w:rPr>
            </w:pPr>
          </w:p>
          <w:p w14:paraId="347185EE" w14:textId="77777777" w:rsidR="00464A4B" w:rsidRDefault="00464A4B" w:rsidP="009D3E8D">
            <w:pPr>
              <w:tabs>
                <w:tab w:val="left" w:pos="1080"/>
              </w:tabs>
              <w:spacing w:after="0" w:line="240" w:lineRule="auto"/>
              <w:jc w:val="both"/>
              <w:rPr>
                <w:rFonts w:ascii="Times New Roman" w:hAnsi="Times New Roman" w:cs="Times New Roman"/>
                <w:sz w:val="18"/>
                <w:szCs w:val="18"/>
              </w:rPr>
            </w:pPr>
          </w:p>
          <w:p w14:paraId="62DA083A" w14:textId="77777777" w:rsidR="00464A4B" w:rsidRDefault="00464A4B" w:rsidP="009D3E8D">
            <w:pPr>
              <w:tabs>
                <w:tab w:val="left" w:pos="1080"/>
              </w:tabs>
              <w:spacing w:after="0" w:line="240" w:lineRule="auto"/>
              <w:jc w:val="both"/>
              <w:rPr>
                <w:rFonts w:ascii="Times New Roman" w:hAnsi="Times New Roman" w:cs="Times New Roman"/>
                <w:sz w:val="18"/>
                <w:szCs w:val="18"/>
              </w:rPr>
            </w:pPr>
          </w:p>
          <w:p w14:paraId="3562C179" w14:textId="022BBC0E" w:rsidR="0007378B" w:rsidRPr="00867815" w:rsidRDefault="00625BBF" w:rsidP="009D3E8D">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N/A at this stage</w:t>
            </w:r>
          </w:p>
        </w:tc>
        <w:tc>
          <w:tcPr>
            <w:tcW w:w="2069" w:type="dxa"/>
            <w:vAlign w:val="center"/>
          </w:tcPr>
          <w:p w14:paraId="28A514D4" w14:textId="79E6E8B5" w:rsidR="0007378B" w:rsidRPr="00867815" w:rsidRDefault="00625BBF" w:rsidP="002D2882">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Preparatory work has just started: i.e.  preliminary </w:t>
            </w:r>
            <w:proofErr w:type="gramStart"/>
            <w:r>
              <w:rPr>
                <w:rFonts w:ascii="Times New Roman" w:hAnsi="Times New Roman" w:cs="Times New Roman"/>
                <w:sz w:val="18"/>
                <w:szCs w:val="18"/>
              </w:rPr>
              <w:t>discussions  between</w:t>
            </w:r>
            <w:proofErr w:type="gramEnd"/>
            <w:r>
              <w:rPr>
                <w:rFonts w:ascii="Times New Roman" w:hAnsi="Times New Roman" w:cs="Times New Roman"/>
                <w:sz w:val="18"/>
                <w:szCs w:val="18"/>
              </w:rPr>
              <w:t xml:space="preserve"> UNDP and Denmark to finalise the concept and </w:t>
            </w:r>
            <w:r w:rsidR="00D01544">
              <w:rPr>
                <w:rFonts w:ascii="Times New Roman" w:hAnsi="Times New Roman" w:cs="Times New Roman"/>
                <w:sz w:val="18"/>
                <w:szCs w:val="18"/>
              </w:rPr>
              <w:t>an</w:t>
            </w:r>
            <w:r>
              <w:rPr>
                <w:rFonts w:ascii="Times New Roman" w:hAnsi="Times New Roman" w:cs="Times New Roman"/>
                <w:sz w:val="18"/>
                <w:szCs w:val="18"/>
              </w:rPr>
              <w:t xml:space="preserve"> action plan to undertaken consultations with a range of relevant interlocutors/ partners</w:t>
            </w:r>
            <w:r w:rsidR="00D01544">
              <w:rPr>
                <w:rFonts w:ascii="Times New Roman" w:hAnsi="Times New Roman" w:cs="Times New Roman"/>
                <w:sz w:val="18"/>
                <w:szCs w:val="18"/>
              </w:rPr>
              <w:t>.</w:t>
            </w:r>
          </w:p>
        </w:tc>
      </w:tr>
      <w:tr w:rsidR="00043955" w:rsidRPr="00867815" w14:paraId="5A8C3E26" w14:textId="77777777" w:rsidTr="00043955">
        <w:trPr>
          <w:trHeight w:val="615"/>
        </w:trPr>
        <w:tc>
          <w:tcPr>
            <w:tcW w:w="4049" w:type="dxa"/>
          </w:tcPr>
          <w:p w14:paraId="277D8B48" w14:textId="6A3F35A0" w:rsidR="00043955" w:rsidRDefault="00043955" w:rsidP="00043955">
            <w:pPr>
              <w:spacing w:after="0" w:line="240" w:lineRule="auto"/>
              <w:jc w:val="both"/>
              <w:rPr>
                <w:rFonts w:asciiTheme="majorBidi" w:hAnsiTheme="majorBidi" w:cstheme="majorBidi"/>
                <w:bCs/>
                <w:sz w:val="18"/>
                <w:szCs w:val="18"/>
              </w:rPr>
            </w:pPr>
            <w:r>
              <w:rPr>
                <w:rFonts w:asciiTheme="majorBidi" w:hAnsiTheme="majorBidi" w:cstheme="majorBidi"/>
                <w:bCs/>
                <w:sz w:val="18"/>
                <w:szCs w:val="18"/>
              </w:rPr>
              <w:lastRenderedPageBreak/>
              <w:t xml:space="preserve">2.2: Conduct </w:t>
            </w:r>
            <w:r w:rsidRPr="00490DDC">
              <w:rPr>
                <w:rFonts w:asciiTheme="majorBidi" w:hAnsiTheme="majorBidi" w:cstheme="majorBidi"/>
                <w:bCs/>
                <w:sz w:val="18"/>
                <w:szCs w:val="18"/>
              </w:rPr>
              <w:t xml:space="preserve">joint research, analysis, and strategy for joint evidence – base </w:t>
            </w:r>
            <w:proofErr w:type="gramStart"/>
            <w:r w:rsidRPr="00490DDC">
              <w:rPr>
                <w:rFonts w:asciiTheme="majorBidi" w:hAnsiTheme="majorBidi" w:cstheme="majorBidi"/>
                <w:bCs/>
                <w:sz w:val="18"/>
                <w:szCs w:val="18"/>
              </w:rPr>
              <w:t xml:space="preserve">and </w:t>
            </w:r>
            <w:r w:rsidR="00625BBF">
              <w:rPr>
                <w:rFonts w:asciiTheme="majorBidi" w:hAnsiTheme="majorBidi" w:cstheme="majorBidi"/>
                <w:bCs/>
                <w:sz w:val="18"/>
                <w:szCs w:val="18"/>
              </w:rPr>
              <w:t xml:space="preserve"> better</w:t>
            </w:r>
            <w:proofErr w:type="gramEnd"/>
            <w:r w:rsidR="00625BBF">
              <w:rPr>
                <w:rFonts w:asciiTheme="majorBidi" w:hAnsiTheme="majorBidi" w:cstheme="majorBidi"/>
                <w:bCs/>
                <w:sz w:val="18"/>
                <w:szCs w:val="18"/>
              </w:rPr>
              <w:t xml:space="preserve"> </w:t>
            </w:r>
            <w:r w:rsidRPr="00490DDC">
              <w:rPr>
                <w:rFonts w:asciiTheme="majorBidi" w:hAnsiTheme="majorBidi" w:cstheme="majorBidi"/>
                <w:bCs/>
                <w:sz w:val="18"/>
                <w:szCs w:val="18"/>
              </w:rPr>
              <w:t xml:space="preserve">understanding of </w:t>
            </w:r>
            <w:r w:rsidRPr="009368A5">
              <w:rPr>
                <w:rFonts w:asciiTheme="majorBidi" w:hAnsiTheme="majorBidi" w:cstheme="majorBidi"/>
                <w:bCs/>
                <w:sz w:val="18"/>
                <w:szCs w:val="18"/>
              </w:rPr>
              <w:t xml:space="preserve">Iraq’s </w:t>
            </w:r>
            <w:r w:rsidR="00625BBF">
              <w:rPr>
                <w:rFonts w:asciiTheme="majorBidi" w:hAnsiTheme="majorBidi" w:cstheme="majorBidi"/>
                <w:bCs/>
                <w:sz w:val="18"/>
                <w:szCs w:val="18"/>
              </w:rPr>
              <w:t xml:space="preserve">security and justice sector </w:t>
            </w:r>
            <w:r>
              <w:rPr>
                <w:rFonts w:asciiTheme="majorBidi" w:hAnsiTheme="majorBidi" w:cstheme="majorBidi"/>
                <w:bCs/>
                <w:sz w:val="18"/>
                <w:szCs w:val="18"/>
              </w:rPr>
              <w:t xml:space="preserve"> </w:t>
            </w:r>
            <w:r w:rsidRPr="009368A5">
              <w:rPr>
                <w:rFonts w:asciiTheme="majorBidi" w:hAnsiTheme="majorBidi" w:cstheme="majorBidi"/>
                <w:bCs/>
                <w:sz w:val="18"/>
                <w:szCs w:val="18"/>
              </w:rPr>
              <w:t>priorities</w:t>
            </w:r>
            <w:r>
              <w:rPr>
                <w:rFonts w:asciiTheme="majorBidi" w:hAnsiTheme="majorBidi" w:cstheme="majorBidi"/>
                <w:bCs/>
                <w:sz w:val="18"/>
                <w:szCs w:val="18"/>
              </w:rPr>
              <w:t xml:space="preserve">. </w:t>
            </w:r>
          </w:p>
          <w:p w14:paraId="26E8DDC6" w14:textId="255E2350" w:rsidR="00043955" w:rsidRPr="00043955" w:rsidDel="0080526E" w:rsidRDefault="00043955" w:rsidP="00043955">
            <w:pPr>
              <w:spacing w:after="0" w:line="240" w:lineRule="auto"/>
              <w:jc w:val="both"/>
              <w:rPr>
                <w:rFonts w:asciiTheme="majorBidi" w:hAnsiTheme="majorBidi" w:cstheme="majorBidi"/>
                <w:bCs/>
                <w:sz w:val="18"/>
                <w:szCs w:val="18"/>
              </w:rPr>
            </w:pPr>
          </w:p>
        </w:tc>
        <w:tc>
          <w:tcPr>
            <w:tcW w:w="1316" w:type="dxa"/>
            <w:vAlign w:val="center"/>
          </w:tcPr>
          <w:p w14:paraId="4E90AAF4" w14:textId="33F5C89E" w:rsidR="00043955" w:rsidRPr="00867815" w:rsidRDefault="00D01544" w:rsidP="002D2882">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31 December 2023</w:t>
            </w:r>
          </w:p>
        </w:tc>
        <w:tc>
          <w:tcPr>
            <w:tcW w:w="1865" w:type="dxa"/>
            <w:vAlign w:val="center"/>
          </w:tcPr>
          <w:p w14:paraId="1EFB2B0F" w14:textId="4977BF7D" w:rsidR="00043955" w:rsidRPr="00867815" w:rsidRDefault="00D01544" w:rsidP="002D2882">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 xml:space="preserve">UNDP SSR/ </w:t>
            </w:r>
            <w:proofErr w:type="spellStart"/>
            <w:r>
              <w:rPr>
                <w:rFonts w:ascii="Times New Roman" w:hAnsi="Times New Roman" w:cs="Times New Roman"/>
                <w:color w:val="185262"/>
                <w:sz w:val="18"/>
                <w:szCs w:val="18"/>
              </w:rPr>
              <w:t>RoL</w:t>
            </w:r>
            <w:proofErr w:type="spellEnd"/>
            <w:r>
              <w:rPr>
                <w:rFonts w:ascii="Times New Roman" w:hAnsi="Times New Roman" w:cs="Times New Roman"/>
                <w:color w:val="185262"/>
                <w:sz w:val="18"/>
                <w:szCs w:val="18"/>
              </w:rPr>
              <w:t xml:space="preserve"> Programme as the secretariat of the ISSRP; ISSRP board consisting of </w:t>
            </w:r>
            <w:proofErr w:type="spellStart"/>
            <w:r>
              <w:rPr>
                <w:rFonts w:ascii="Times New Roman" w:hAnsi="Times New Roman" w:cs="Times New Roman"/>
                <w:color w:val="185262"/>
                <w:sz w:val="18"/>
                <w:szCs w:val="18"/>
              </w:rPr>
              <w:t>GoI</w:t>
            </w:r>
            <w:proofErr w:type="spellEnd"/>
            <w:r>
              <w:rPr>
                <w:rFonts w:ascii="Times New Roman" w:hAnsi="Times New Roman" w:cs="Times New Roman"/>
                <w:color w:val="185262"/>
                <w:sz w:val="18"/>
                <w:szCs w:val="18"/>
              </w:rPr>
              <w:t>, Denmark, NMI, EUAM and UNDP; and corresponding partners of the ISSRP</w:t>
            </w:r>
          </w:p>
        </w:tc>
        <w:tc>
          <w:tcPr>
            <w:tcW w:w="1231" w:type="dxa"/>
          </w:tcPr>
          <w:p w14:paraId="24AF9ED1" w14:textId="05861FB5" w:rsidR="00043955" w:rsidRPr="00867815" w:rsidRDefault="00D01544" w:rsidP="009D3E8D">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N/A at this stage</w:t>
            </w:r>
          </w:p>
        </w:tc>
        <w:tc>
          <w:tcPr>
            <w:tcW w:w="2069" w:type="dxa"/>
            <w:vAlign w:val="center"/>
          </w:tcPr>
          <w:p w14:paraId="006C6C88" w14:textId="79A6D488" w:rsidR="00043955" w:rsidRPr="00867815" w:rsidRDefault="00D01544" w:rsidP="009D3E8D">
            <w:pPr>
              <w:tabs>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Approximate start date of this action is January 2023,</w:t>
            </w:r>
          </w:p>
        </w:tc>
      </w:tr>
    </w:tbl>
    <w:p w14:paraId="1A8D6E91" w14:textId="77777777" w:rsidR="00E61BD7" w:rsidRPr="00867815" w:rsidRDefault="00E61BD7" w:rsidP="009D3E8D">
      <w:pPr>
        <w:spacing w:after="0" w:line="240" w:lineRule="auto"/>
        <w:jc w:val="both"/>
        <w:rPr>
          <w:rFonts w:ascii="Times New Roman" w:hAnsi="Times New Roman" w:cs="Times New Roman"/>
          <w:vanish/>
          <w:color w:val="185262"/>
          <w:sz w:val="18"/>
          <w:szCs w:val="18"/>
        </w:rPr>
      </w:pPr>
    </w:p>
    <w:tbl>
      <w:tblPr>
        <w:tblpPr w:leftFromText="180" w:rightFromText="180" w:vertAnchor="text" w:horzAnchor="margin" w:tblpX="-635" w:tblpY="16"/>
        <w:tblW w:w="1053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041"/>
        <w:gridCol w:w="1356"/>
        <w:gridCol w:w="1829"/>
        <w:gridCol w:w="1231"/>
        <w:gridCol w:w="2073"/>
      </w:tblGrid>
      <w:tr w:rsidR="00E61BD7" w:rsidRPr="00867815" w14:paraId="6A718396" w14:textId="77777777" w:rsidTr="00D86A94">
        <w:tc>
          <w:tcPr>
            <w:tcW w:w="10530" w:type="dxa"/>
            <w:gridSpan w:val="5"/>
            <w:shd w:val="clear" w:color="auto" w:fill="EAF6F3"/>
          </w:tcPr>
          <w:p w14:paraId="3ED7735D" w14:textId="0329558C" w:rsidR="00E61BD7" w:rsidRPr="00523763" w:rsidRDefault="00E61BD7" w:rsidP="009D3E8D">
            <w:pPr>
              <w:spacing w:line="240" w:lineRule="auto"/>
              <w:jc w:val="both"/>
              <w:rPr>
                <w:rFonts w:ascii="Times New Roman" w:eastAsia="Times New Roman" w:hAnsi="Times New Roman" w:cs="Times New Roman"/>
                <w:lang w:eastAsia="sl-SI"/>
              </w:rPr>
            </w:pPr>
            <w:r w:rsidRPr="00867815">
              <w:rPr>
                <w:rFonts w:ascii="Times New Roman" w:hAnsi="Times New Roman" w:cs="Times New Roman"/>
                <w:color w:val="185262"/>
                <w:sz w:val="18"/>
                <w:szCs w:val="18"/>
              </w:rPr>
              <w:br w:type="page"/>
            </w:r>
            <w:r w:rsidRPr="00867815">
              <w:rPr>
                <w:rFonts w:ascii="Times New Roman" w:hAnsi="Times New Roman" w:cs="Times New Roman"/>
                <w:b/>
                <w:color w:val="185262"/>
                <w:sz w:val="18"/>
                <w:szCs w:val="18"/>
              </w:rPr>
              <w:t>Evaluation recommendation 3</w:t>
            </w:r>
            <w:r w:rsidR="005E76EF" w:rsidRPr="00867815">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bookmarkStart w:id="3" w:name="_Hlk88215738"/>
            <w:r w:rsidR="000C1B22" w:rsidRPr="4C56EC95">
              <w:rPr>
                <w:rFonts w:ascii="Times New Roman" w:eastAsia="Times New Roman" w:hAnsi="Times New Roman" w:cs="Times New Roman"/>
                <w:lang w:eastAsia="sl-SI"/>
              </w:rPr>
              <w:t xml:space="preserve"> </w:t>
            </w:r>
            <w:r w:rsidR="000C1B22" w:rsidRPr="00464A4B">
              <w:rPr>
                <w:rFonts w:ascii="Times New Roman" w:eastAsia="Times New Roman" w:hAnsi="Times New Roman" w:cs="Times New Roman"/>
                <w:sz w:val="18"/>
                <w:szCs w:val="18"/>
                <w:lang w:eastAsia="sl-SI"/>
              </w:rPr>
              <w:t>UNDP should ensure that its internal administrative proceedings related to procurement and recruitment of human resources do not hamper project delivery. UNDP should thus thoroughly identify concrete provisions and/or malpractices that caused delays and adopt appropriate measures to prevent further delays. If necessary, internal rules should be revised or eased.</w:t>
            </w:r>
            <w:r w:rsidR="000C1B22" w:rsidRPr="000C1B22">
              <w:rPr>
                <w:rFonts w:ascii="Times New Roman" w:eastAsia="Times New Roman" w:hAnsi="Times New Roman" w:cs="Times New Roman"/>
                <w:sz w:val="18"/>
                <w:szCs w:val="18"/>
                <w:lang w:eastAsia="sl-SI"/>
              </w:rPr>
              <w:t xml:space="preserve"> Likewise, the </w:t>
            </w:r>
            <w:proofErr w:type="spellStart"/>
            <w:r w:rsidR="000C1B22" w:rsidRPr="000C1B22">
              <w:rPr>
                <w:rFonts w:ascii="Times New Roman" w:eastAsia="Times New Roman" w:hAnsi="Times New Roman" w:cs="Times New Roman"/>
                <w:sz w:val="18"/>
                <w:szCs w:val="18"/>
                <w:lang w:eastAsia="sl-SI"/>
              </w:rPr>
              <w:t>GoI</w:t>
            </w:r>
            <w:proofErr w:type="spellEnd"/>
            <w:r w:rsidR="000C1B22" w:rsidRPr="000C1B22">
              <w:rPr>
                <w:rFonts w:ascii="Times New Roman" w:eastAsia="Times New Roman" w:hAnsi="Times New Roman" w:cs="Times New Roman"/>
                <w:sz w:val="18"/>
                <w:szCs w:val="18"/>
                <w:lang w:eastAsia="sl-SI"/>
              </w:rPr>
              <w:t xml:space="preserve"> should ease internal administrative proceedings hindering more efficient project implementation </w:t>
            </w:r>
            <w:bookmarkEnd w:id="3"/>
            <w:r w:rsidR="000C1B22" w:rsidRPr="000C1B22">
              <w:rPr>
                <w:rFonts w:ascii="Times New Roman" w:eastAsia="Times New Roman" w:hAnsi="Times New Roman" w:cs="Times New Roman"/>
                <w:sz w:val="18"/>
                <w:szCs w:val="18"/>
                <w:lang w:eastAsia="sl-SI"/>
              </w:rPr>
              <w:t xml:space="preserve">and provide eased access to </w:t>
            </w:r>
            <w:proofErr w:type="spellStart"/>
            <w:r w:rsidR="000C1B22" w:rsidRPr="000C1B22">
              <w:rPr>
                <w:rFonts w:ascii="Times New Roman" w:eastAsia="Times New Roman" w:hAnsi="Times New Roman" w:cs="Times New Roman"/>
                <w:sz w:val="18"/>
                <w:szCs w:val="18"/>
                <w:lang w:eastAsia="sl-SI"/>
              </w:rPr>
              <w:t>GoI</w:t>
            </w:r>
            <w:proofErr w:type="spellEnd"/>
            <w:r w:rsidR="000C1B22" w:rsidRPr="000C1B22">
              <w:rPr>
                <w:rFonts w:ascii="Times New Roman" w:eastAsia="Times New Roman" w:hAnsi="Times New Roman" w:cs="Times New Roman"/>
                <w:sz w:val="18"/>
                <w:szCs w:val="18"/>
                <w:lang w:eastAsia="sl-SI"/>
              </w:rPr>
              <w:t xml:space="preserve"> institutions. If necessary, UNDP leadership should address this issue with the </w:t>
            </w:r>
            <w:proofErr w:type="spellStart"/>
            <w:r w:rsidR="000C1B22" w:rsidRPr="000C1B22">
              <w:rPr>
                <w:rFonts w:ascii="Times New Roman" w:eastAsia="Times New Roman" w:hAnsi="Times New Roman" w:cs="Times New Roman"/>
                <w:sz w:val="18"/>
                <w:szCs w:val="18"/>
                <w:lang w:eastAsia="sl-SI"/>
              </w:rPr>
              <w:t>GoI</w:t>
            </w:r>
            <w:proofErr w:type="spellEnd"/>
            <w:r w:rsidR="000C1B22" w:rsidRPr="000C1B22">
              <w:rPr>
                <w:rFonts w:ascii="Times New Roman" w:eastAsia="Times New Roman" w:hAnsi="Times New Roman" w:cs="Times New Roman"/>
                <w:sz w:val="18"/>
                <w:szCs w:val="18"/>
                <w:lang w:eastAsia="sl-SI"/>
              </w:rPr>
              <w:t xml:space="preserve"> at the highest level.</w:t>
            </w:r>
            <w:r w:rsidR="000C1B22">
              <w:rPr>
                <w:rFonts w:ascii="Times New Roman" w:eastAsia="Times New Roman" w:hAnsi="Times New Roman" w:cs="Times New Roman"/>
                <w:lang w:eastAsia="sl-SI"/>
              </w:rPr>
              <w:t xml:space="preserve"> </w:t>
            </w:r>
          </w:p>
        </w:tc>
      </w:tr>
      <w:tr w:rsidR="00E61BD7" w:rsidRPr="00867815" w14:paraId="54494186" w14:textId="77777777" w:rsidTr="00D86A94">
        <w:tc>
          <w:tcPr>
            <w:tcW w:w="10530" w:type="dxa"/>
            <w:gridSpan w:val="5"/>
            <w:shd w:val="clear" w:color="auto" w:fill="EAF6F3"/>
          </w:tcPr>
          <w:p w14:paraId="1FD1F24D" w14:textId="1F56D825" w:rsidR="0021614E" w:rsidRPr="00523763" w:rsidRDefault="00E61BD7" w:rsidP="009D3E8D">
            <w:pPr>
              <w:tabs>
                <w:tab w:val="left" w:pos="1080"/>
              </w:tabs>
              <w:spacing w:after="0" w:line="240" w:lineRule="auto"/>
              <w:jc w:val="both"/>
              <w:rPr>
                <w:rFonts w:ascii="Times New Roman" w:hAnsi="Times New Roman" w:cs="Times New Roman"/>
                <w:color w:val="FF0000"/>
                <w:sz w:val="18"/>
                <w:szCs w:val="18"/>
              </w:rPr>
            </w:pPr>
            <w:r w:rsidRPr="00867815">
              <w:rPr>
                <w:rFonts w:ascii="Times New Roman" w:hAnsi="Times New Roman" w:cs="Times New Roman"/>
                <w:b/>
                <w:color w:val="185262"/>
                <w:sz w:val="18"/>
                <w:szCs w:val="18"/>
              </w:rPr>
              <w:t>Management response</w:t>
            </w:r>
            <w:r w:rsidRPr="00867815">
              <w:rPr>
                <w:rFonts w:ascii="Times New Roman" w:hAnsi="Times New Roman" w:cs="Times New Roman"/>
                <w:color w:val="185262"/>
                <w:sz w:val="18"/>
                <w:szCs w:val="18"/>
              </w:rPr>
              <w:t>:</w:t>
            </w:r>
            <w:r w:rsidR="008D55EE" w:rsidRPr="00867815">
              <w:rPr>
                <w:rFonts w:ascii="Times New Roman" w:hAnsi="Times New Roman" w:cs="Times New Roman"/>
                <w:color w:val="185262"/>
                <w:sz w:val="18"/>
                <w:szCs w:val="18"/>
              </w:rPr>
              <w:t xml:space="preserve"> </w:t>
            </w:r>
            <w:r w:rsidR="00043955">
              <w:t xml:space="preserve"> </w:t>
            </w:r>
            <w:r w:rsidR="00D53FEF">
              <w:rPr>
                <w:rFonts w:ascii="Times New Roman" w:hAnsi="Times New Roman" w:cs="Times New Roman"/>
                <w:color w:val="FF0000"/>
                <w:sz w:val="18"/>
                <w:szCs w:val="18"/>
              </w:rPr>
              <w:t xml:space="preserve"> </w:t>
            </w:r>
            <w:r w:rsidR="00D53FEF" w:rsidRPr="00464A4B">
              <w:rPr>
                <w:rFonts w:asciiTheme="majorBidi" w:hAnsiTheme="majorBidi" w:cstheme="majorBidi"/>
                <w:bCs/>
                <w:sz w:val="18"/>
                <w:szCs w:val="18"/>
              </w:rPr>
              <w:t xml:space="preserve">The Country Office (CO) has noted the observation made in the Evaluation Report related to internal administrative proceedings for procurement and human resources management which reportedly caused delays in provision of various services to the Project. The CO has also noted that such observation is made based upon the impressions drawn from the interviews with project personnel only and not based upon any analysis of a sample of reported cases. UNDP Policies and Procedures for Programme and Operations are of highest international standards which ensures integrity, </w:t>
            </w:r>
            <w:proofErr w:type="gramStart"/>
            <w:r w:rsidR="00D53FEF" w:rsidRPr="00464A4B">
              <w:rPr>
                <w:rFonts w:asciiTheme="majorBidi" w:hAnsiTheme="majorBidi" w:cstheme="majorBidi"/>
                <w:bCs/>
                <w:sz w:val="18"/>
                <w:szCs w:val="18"/>
              </w:rPr>
              <w:t>transparency</w:t>
            </w:r>
            <w:proofErr w:type="gramEnd"/>
            <w:r w:rsidR="00D53FEF" w:rsidRPr="00464A4B">
              <w:rPr>
                <w:rFonts w:asciiTheme="majorBidi" w:hAnsiTheme="majorBidi" w:cstheme="majorBidi"/>
                <w:bCs/>
                <w:sz w:val="18"/>
                <w:szCs w:val="18"/>
              </w:rPr>
              <w:t xml:space="preserve"> and fairness of the processes. Nevertheless, the CO will ensure that coordination measures are undertaken to improve efficiency of services. UNDP also acknowledges the observation related </w:t>
            </w:r>
            <w:proofErr w:type="spellStart"/>
            <w:r w:rsidR="00D53FEF" w:rsidRPr="00464A4B">
              <w:rPr>
                <w:rFonts w:asciiTheme="majorBidi" w:hAnsiTheme="majorBidi" w:cstheme="majorBidi"/>
                <w:bCs/>
                <w:sz w:val="18"/>
                <w:szCs w:val="18"/>
              </w:rPr>
              <w:t>GoI</w:t>
            </w:r>
            <w:proofErr w:type="spellEnd"/>
            <w:r w:rsidR="00D53FEF" w:rsidRPr="00464A4B">
              <w:rPr>
                <w:rFonts w:asciiTheme="majorBidi" w:hAnsiTheme="majorBidi" w:cstheme="majorBidi"/>
                <w:bCs/>
                <w:sz w:val="18"/>
                <w:szCs w:val="18"/>
              </w:rPr>
              <w:t xml:space="preserve"> institutional administrative delays. The following actions are proposed to address the concerns</w:t>
            </w:r>
            <w:r w:rsidR="00D53FEF">
              <w:rPr>
                <w:rFonts w:ascii="Times New Roman" w:hAnsi="Times New Roman" w:cs="Times New Roman"/>
                <w:color w:val="FF0000"/>
                <w:sz w:val="18"/>
                <w:szCs w:val="18"/>
              </w:rPr>
              <w:t>.</w:t>
            </w:r>
          </w:p>
        </w:tc>
      </w:tr>
      <w:tr w:rsidR="00E61BD7" w:rsidRPr="00867815" w14:paraId="0C3AE1EA" w14:textId="77777777" w:rsidTr="00D86A94">
        <w:trPr>
          <w:trHeight w:val="135"/>
        </w:trPr>
        <w:tc>
          <w:tcPr>
            <w:tcW w:w="4041" w:type="dxa"/>
            <w:vMerge w:val="restart"/>
            <w:shd w:val="clear" w:color="auto" w:fill="EAF6F3"/>
            <w:vAlign w:val="center"/>
          </w:tcPr>
          <w:p w14:paraId="19638B72" w14:textId="77777777" w:rsidR="00E61BD7" w:rsidRPr="00867815" w:rsidRDefault="00E61BD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action(s)</w:t>
            </w:r>
          </w:p>
        </w:tc>
        <w:tc>
          <w:tcPr>
            <w:tcW w:w="1356" w:type="dxa"/>
            <w:vMerge w:val="restart"/>
            <w:shd w:val="clear" w:color="auto" w:fill="EAF6F3"/>
            <w:vAlign w:val="center"/>
          </w:tcPr>
          <w:p w14:paraId="1AE95F1F" w14:textId="77777777" w:rsidR="00E61BD7" w:rsidRPr="00867815" w:rsidRDefault="00E61BD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829" w:type="dxa"/>
            <w:vMerge w:val="restart"/>
            <w:shd w:val="clear" w:color="auto" w:fill="EAF6F3"/>
            <w:vAlign w:val="center"/>
          </w:tcPr>
          <w:p w14:paraId="05F2DF6A" w14:textId="77777777" w:rsidR="00E61BD7" w:rsidRPr="00867815" w:rsidRDefault="00E61BD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304" w:type="dxa"/>
            <w:gridSpan w:val="2"/>
            <w:shd w:val="clear" w:color="auto" w:fill="EAF6F3"/>
          </w:tcPr>
          <w:p w14:paraId="51718CFF"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E61BD7" w:rsidRPr="00867815" w14:paraId="06B12A20" w14:textId="77777777" w:rsidTr="114C3BCD">
        <w:trPr>
          <w:trHeight w:val="135"/>
        </w:trPr>
        <w:tc>
          <w:tcPr>
            <w:tcW w:w="4041" w:type="dxa"/>
            <w:vMerge/>
          </w:tcPr>
          <w:p w14:paraId="49F9883A" w14:textId="77777777" w:rsidR="00E61BD7" w:rsidRPr="00867815" w:rsidRDefault="00E61BD7" w:rsidP="009D3E8D">
            <w:pPr>
              <w:tabs>
                <w:tab w:val="left" w:pos="1080"/>
              </w:tabs>
              <w:spacing w:after="0" w:line="240" w:lineRule="auto"/>
              <w:jc w:val="both"/>
              <w:rPr>
                <w:rFonts w:ascii="Times New Roman" w:hAnsi="Times New Roman" w:cs="Times New Roman"/>
                <w:color w:val="185262"/>
                <w:sz w:val="18"/>
                <w:szCs w:val="18"/>
              </w:rPr>
            </w:pPr>
          </w:p>
        </w:tc>
        <w:tc>
          <w:tcPr>
            <w:tcW w:w="1356" w:type="dxa"/>
            <w:vMerge/>
          </w:tcPr>
          <w:p w14:paraId="04EBF815"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p>
        </w:tc>
        <w:tc>
          <w:tcPr>
            <w:tcW w:w="1829" w:type="dxa"/>
            <w:vMerge/>
          </w:tcPr>
          <w:p w14:paraId="6B98FD64"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p>
        </w:tc>
        <w:tc>
          <w:tcPr>
            <w:tcW w:w="1231" w:type="dxa"/>
          </w:tcPr>
          <w:p w14:paraId="673DD545"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073" w:type="dxa"/>
          </w:tcPr>
          <w:p w14:paraId="4A2BA04B" w14:textId="77777777" w:rsidR="00E61BD7" w:rsidRPr="00867815" w:rsidRDefault="00E61BD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 xml:space="preserve">Status </w:t>
            </w:r>
            <w:r w:rsidRPr="00867815">
              <w:rPr>
                <w:rFonts w:ascii="Times New Roman" w:hAnsi="Times New Roman" w:cs="Times New Roman"/>
                <w:bCs/>
                <w:i/>
                <w:iCs/>
                <w:color w:val="185262"/>
                <w:sz w:val="18"/>
                <w:szCs w:val="18"/>
              </w:rPr>
              <w:t>(initiated, completed or no due date)</w:t>
            </w:r>
          </w:p>
        </w:tc>
      </w:tr>
      <w:tr w:rsidR="00E61BD7" w:rsidRPr="00867815" w14:paraId="3791D890" w14:textId="77777777" w:rsidTr="00D86A94">
        <w:tc>
          <w:tcPr>
            <w:tcW w:w="4041" w:type="dxa"/>
          </w:tcPr>
          <w:p w14:paraId="55A9CF09" w14:textId="38A8D313" w:rsidR="00744C95" w:rsidRPr="00464A4B" w:rsidRDefault="00D53FEF" w:rsidP="00043955">
            <w:pPr>
              <w:tabs>
                <w:tab w:val="left" w:pos="1080"/>
              </w:tabs>
              <w:spacing w:after="0" w:line="240" w:lineRule="auto"/>
              <w:jc w:val="both"/>
              <w:rPr>
                <w:rFonts w:ascii="Times New Roman" w:hAnsi="Times New Roman" w:cs="Times New Roman"/>
                <w:sz w:val="18"/>
                <w:szCs w:val="18"/>
              </w:rPr>
            </w:pPr>
            <w:r w:rsidRPr="00464A4B">
              <w:rPr>
                <w:rFonts w:ascii="Times New Roman" w:hAnsi="Times New Roman" w:cs="Times New Roman"/>
                <w:sz w:val="18"/>
                <w:szCs w:val="18"/>
              </w:rPr>
              <w:t>3.1: Institute a quarterly review mechanism in 2022 between the Project and Country Office (CO) Operations for periodic review of effectiveness and efficiency of provision of various operations services, e.g., procurement and human resources management, to the project to avoid perceived delays.</w:t>
            </w:r>
          </w:p>
        </w:tc>
        <w:tc>
          <w:tcPr>
            <w:tcW w:w="1356" w:type="dxa"/>
            <w:vAlign w:val="center"/>
          </w:tcPr>
          <w:p w14:paraId="6E787C0F" w14:textId="3FB65F83" w:rsidR="00E61BD7" w:rsidRPr="00464A4B" w:rsidRDefault="00D53FEF" w:rsidP="009D3E8D">
            <w:pPr>
              <w:tabs>
                <w:tab w:val="left" w:pos="1080"/>
              </w:tabs>
              <w:spacing w:after="0" w:line="240" w:lineRule="auto"/>
              <w:rPr>
                <w:rFonts w:ascii="Times New Roman" w:hAnsi="Times New Roman" w:cs="Times New Roman"/>
                <w:sz w:val="18"/>
                <w:szCs w:val="18"/>
              </w:rPr>
            </w:pPr>
            <w:r w:rsidRPr="00464A4B">
              <w:rPr>
                <w:rFonts w:ascii="Times New Roman" w:hAnsi="Times New Roman" w:cs="Times New Roman"/>
                <w:sz w:val="18"/>
                <w:szCs w:val="18"/>
              </w:rPr>
              <w:t>December 2022</w:t>
            </w:r>
          </w:p>
        </w:tc>
        <w:tc>
          <w:tcPr>
            <w:tcW w:w="1829" w:type="dxa"/>
            <w:vAlign w:val="center"/>
          </w:tcPr>
          <w:p w14:paraId="08513CD4" w14:textId="4072F419" w:rsidR="00D53FEF" w:rsidRPr="00464A4B" w:rsidRDefault="00D53FEF" w:rsidP="00D53FEF">
            <w:pPr>
              <w:rPr>
                <w:rFonts w:ascii="Times New Roman" w:hAnsi="Times New Roman" w:cs="Times New Roman"/>
                <w:sz w:val="18"/>
                <w:szCs w:val="18"/>
                <w:lang w:val="en-US"/>
              </w:rPr>
            </w:pPr>
            <w:r w:rsidRPr="00464A4B">
              <w:rPr>
                <w:rFonts w:ascii="Times New Roman" w:hAnsi="Times New Roman" w:cs="Times New Roman"/>
                <w:sz w:val="18"/>
                <w:szCs w:val="18"/>
              </w:rPr>
              <w:t>SSR/</w:t>
            </w:r>
            <w:proofErr w:type="spellStart"/>
            <w:r w:rsidRPr="00464A4B">
              <w:rPr>
                <w:rFonts w:ascii="Times New Roman" w:hAnsi="Times New Roman" w:cs="Times New Roman"/>
                <w:sz w:val="18"/>
                <w:szCs w:val="18"/>
              </w:rPr>
              <w:t>RoL</w:t>
            </w:r>
            <w:proofErr w:type="spellEnd"/>
            <w:r w:rsidRPr="00464A4B">
              <w:rPr>
                <w:rFonts w:ascii="Times New Roman" w:hAnsi="Times New Roman" w:cs="Times New Roman"/>
                <w:sz w:val="18"/>
                <w:szCs w:val="18"/>
              </w:rPr>
              <w:t xml:space="preserve"> Programme and</w:t>
            </w:r>
          </w:p>
          <w:p w14:paraId="1F3C4BF4" w14:textId="523222A2" w:rsidR="00E61BD7" w:rsidRPr="00464A4B" w:rsidRDefault="00D53FEF" w:rsidP="00D53FEF">
            <w:pPr>
              <w:tabs>
                <w:tab w:val="left" w:pos="1080"/>
              </w:tabs>
              <w:spacing w:after="0" w:line="240" w:lineRule="auto"/>
              <w:rPr>
                <w:rFonts w:ascii="Times New Roman" w:hAnsi="Times New Roman" w:cs="Times New Roman"/>
                <w:sz w:val="18"/>
                <w:szCs w:val="18"/>
              </w:rPr>
            </w:pPr>
            <w:r w:rsidRPr="00464A4B">
              <w:rPr>
                <w:rFonts w:ascii="Times New Roman" w:hAnsi="Times New Roman" w:cs="Times New Roman"/>
                <w:sz w:val="18"/>
                <w:szCs w:val="18"/>
              </w:rPr>
              <w:t>CO Operations</w:t>
            </w:r>
          </w:p>
        </w:tc>
        <w:tc>
          <w:tcPr>
            <w:tcW w:w="1231" w:type="dxa"/>
          </w:tcPr>
          <w:p w14:paraId="673A96E5" w14:textId="73A81C17" w:rsidR="00E61BD7" w:rsidRPr="00464A4B" w:rsidRDefault="00D53FEF" w:rsidP="009D3E8D">
            <w:pPr>
              <w:tabs>
                <w:tab w:val="left" w:pos="1080"/>
              </w:tabs>
              <w:spacing w:after="0" w:line="240" w:lineRule="auto"/>
              <w:jc w:val="both"/>
              <w:rPr>
                <w:rFonts w:ascii="Times New Roman" w:hAnsi="Times New Roman" w:cs="Times New Roman"/>
                <w:sz w:val="18"/>
                <w:szCs w:val="18"/>
              </w:rPr>
            </w:pPr>
            <w:r w:rsidRPr="00464A4B">
              <w:rPr>
                <w:rFonts w:ascii="Times New Roman" w:hAnsi="Times New Roman" w:cs="Times New Roman"/>
                <w:sz w:val="18"/>
                <w:szCs w:val="18"/>
              </w:rPr>
              <w:t>4 quarterly review meetings conducted in 2022 and documented</w:t>
            </w:r>
          </w:p>
        </w:tc>
        <w:tc>
          <w:tcPr>
            <w:tcW w:w="2073" w:type="dxa"/>
          </w:tcPr>
          <w:p w14:paraId="4DBBC56E" w14:textId="05D9371C" w:rsidR="00E61BD7" w:rsidRPr="00867815" w:rsidRDefault="00D53FEF" w:rsidP="009D3E8D">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Initiated</w:t>
            </w:r>
          </w:p>
        </w:tc>
      </w:tr>
      <w:tr w:rsidR="0092529D" w:rsidRPr="00867815" w14:paraId="52D191B3" w14:textId="77777777" w:rsidTr="00D86A94">
        <w:tc>
          <w:tcPr>
            <w:tcW w:w="4041" w:type="dxa"/>
          </w:tcPr>
          <w:p w14:paraId="5BB34993" w14:textId="435C2B7D" w:rsidR="0092529D" w:rsidRPr="00867815" w:rsidRDefault="00043955" w:rsidP="00043955">
            <w:pPr>
              <w:tabs>
                <w:tab w:val="left" w:pos="1080"/>
              </w:tabs>
              <w:spacing w:after="0" w:line="240" w:lineRule="auto"/>
              <w:jc w:val="both"/>
              <w:rPr>
                <w:rFonts w:ascii="Times New Roman" w:hAnsi="Times New Roman" w:cs="Times New Roman"/>
                <w:sz w:val="18"/>
                <w:szCs w:val="18"/>
              </w:rPr>
            </w:pPr>
            <w:r w:rsidRPr="00867815">
              <w:rPr>
                <w:rFonts w:ascii="Times New Roman" w:hAnsi="Times New Roman" w:cs="Times New Roman"/>
                <w:sz w:val="18"/>
                <w:szCs w:val="18"/>
              </w:rPr>
              <w:t xml:space="preserve">3.2: Liaise </w:t>
            </w:r>
            <w:r>
              <w:rPr>
                <w:rFonts w:ascii="Times New Roman" w:hAnsi="Times New Roman" w:cs="Times New Roman"/>
                <w:sz w:val="18"/>
                <w:szCs w:val="18"/>
              </w:rPr>
              <w:t xml:space="preserve">with Government </w:t>
            </w:r>
            <w:r w:rsidRPr="00867815">
              <w:rPr>
                <w:rFonts w:ascii="Times New Roman" w:hAnsi="Times New Roman" w:cs="Times New Roman"/>
                <w:sz w:val="18"/>
                <w:szCs w:val="18"/>
              </w:rPr>
              <w:t>partner</w:t>
            </w:r>
            <w:r>
              <w:rPr>
                <w:rFonts w:ascii="Times New Roman" w:hAnsi="Times New Roman" w:cs="Times New Roman"/>
                <w:sz w:val="18"/>
                <w:szCs w:val="18"/>
              </w:rPr>
              <w:t xml:space="preserve"> institutions</w:t>
            </w:r>
            <w:r w:rsidRPr="00867815">
              <w:rPr>
                <w:rFonts w:ascii="Times New Roman" w:hAnsi="Times New Roman" w:cs="Times New Roman"/>
                <w:sz w:val="18"/>
                <w:szCs w:val="18"/>
              </w:rPr>
              <w:t xml:space="preserve">’ leaderships </w:t>
            </w:r>
            <w:r>
              <w:rPr>
                <w:rFonts w:ascii="Times New Roman" w:hAnsi="Times New Roman" w:cs="Times New Roman"/>
                <w:sz w:val="18"/>
                <w:szCs w:val="18"/>
              </w:rPr>
              <w:t>and authorities</w:t>
            </w:r>
            <w:r w:rsidR="0014737C">
              <w:rPr>
                <w:rFonts w:ascii="Times New Roman" w:hAnsi="Times New Roman" w:cs="Times New Roman"/>
                <w:sz w:val="18"/>
                <w:szCs w:val="18"/>
              </w:rPr>
              <w:t xml:space="preserve"> where possible to identify ways to avoid recurring delays on </w:t>
            </w:r>
            <w:proofErr w:type="spellStart"/>
            <w:r w:rsidR="0014737C">
              <w:rPr>
                <w:rFonts w:ascii="Times New Roman" w:hAnsi="Times New Roman" w:cs="Times New Roman"/>
                <w:sz w:val="18"/>
                <w:szCs w:val="18"/>
              </w:rPr>
              <w:t>GoI</w:t>
            </w:r>
            <w:proofErr w:type="spellEnd"/>
            <w:r w:rsidR="0014737C">
              <w:rPr>
                <w:rFonts w:ascii="Times New Roman" w:hAnsi="Times New Roman" w:cs="Times New Roman"/>
                <w:sz w:val="18"/>
                <w:szCs w:val="18"/>
              </w:rPr>
              <w:t xml:space="preserve"> </w:t>
            </w:r>
            <w:r>
              <w:rPr>
                <w:rFonts w:ascii="Times New Roman" w:hAnsi="Times New Roman" w:cs="Times New Roman"/>
                <w:sz w:val="18"/>
                <w:szCs w:val="18"/>
              </w:rPr>
              <w:t xml:space="preserve">institutional </w:t>
            </w:r>
            <w:r w:rsidRPr="00867815">
              <w:rPr>
                <w:rFonts w:ascii="Times New Roman" w:hAnsi="Times New Roman" w:cs="Times New Roman"/>
                <w:sz w:val="18"/>
                <w:szCs w:val="18"/>
              </w:rPr>
              <w:t>internal administrative processes</w:t>
            </w:r>
            <w:r w:rsidR="0014737C">
              <w:rPr>
                <w:rFonts w:ascii="Times New Roman" w:hAnsi="Times New Roman" w:cs="Times New Roman"/>
                <w:sz w:val="18"/>
                <w:szCs w:val="18"/>
              </w:rPr>
              <w:t>.</w:t>
            </w:r>
          </w:p>
        </w:tc>
        <w:tc>
          <w:tcPr>
            <w:tcW w:w="1356" w:type="dxa"/>
            <w:vAlign w:val="center"/>
          </w:tcPr>
          <w:p w14:paraId="081A7289" w14:textId="6A36C513" w:rsidR="0092529D" w:rsidRPr="00867815" w:rsidRDefault="0014737C" w:rsidP="002D2882">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 xml:space="preserve">It will be an on-going process on a case </w:t>
            </w:r>
            <w:r w:rsidR="002D2882">
              <w:rPr>
                <w:rFonts w:ascii="Times New Roman" w:hAnsi="Times New Roman" w:cs="Times New Roman"/>
                <w:color w:val="185262"/>
                <w:sz w:val="18"/>
                <w:szCs w:val="18"/>
              </w:rPr>
              <w:t>-</w:t>
            </w:r>
            <w:r>
              <w:rPr>
                <w:rFonts w:ascii="Times New Roman" w:hAnsi="Times New Roman" w:cs="Times New Roman"/>
                <w:color w:val="185262"/>
                <w:sz w:val="18"/>
                <w:szCs w:val="18"/>
              </w:rPr>
              <w:t xml:space="preserve">by </w:t>
            </w:r>
            <w:r w:rsidR="002D2882">
              <w:rPr>
                <w:rFonts w:ascii="Times New Roman" w:hAnsi="Times New Roman" w:cs="Times New Roman"/>
                <w:color w:val="185262"/>
                <w:sz w:val="18"/>
                <w:szCs w:val="18"/>
              </w:rPr>
              <w:t>-</w:t>
            </w:r>
            <w:r>
              <w:rPr>
                <w:rFonts w:ascii="Times New Roman" w:hAnsi="Times New Roman" w:cs="Times New Roman"/>
                <w:color w:val="185262"/>
                <w:sz w:val="18"/>
                <w:szCs w:val="18"/>
              </w:rPr>
              <w:t>case basis as such delays/ issues occur therefore it is not practical to give a completion date.</w:t>
            </w:r>
          </w:p>
        </w:tc>
        <w:tc>
          <w:tcPr>
            <w:tcW w:w="1829" w:type="dxa"/>
            <w:vAlign w:val="center"/>
          </w:tcPr>
          <w:p w14:paraId="79A894FC" w14:textId="240AA6AA" w:rsidR="0092529D" w:rsidRPr="00867815" w:rsidRDefault="0014737C" w:rsidP="009D3E8D">
            <w:pPr>
              <w:tabs>
                <w:tab w:val="left" w:pos="1080"/>
              </w:tabs>
              <w:spacing w:after="0" w:line="240" w:lineRule="auto"/>
              <w:rPr>
                <w:rFonts w:ascii="Times New Roman" w:hAnsi="Times New Roman" w:cs="Times New Roman"/>
                <w:color w:val="185262"/>
                <w:sz w:val="18"/>
                <w:szCs w:val="18"/>
              </w:rPr>
            </w:pPr>
            <w:r>
              <w:rPr>
                <w:rFonts w:ascii="Times New Roman" w:hAnsi="Times New Roman" w:cs="Times New Roman"/>
                <w:color w:val="185262"/>
                <w:sz w:val="18"/>
                <w:szCs w:val="18"/>
              </w:rPr>
              <w:t>SSR/</w:t>
            </w:r>
            <w:proofErr w:type="spellStart"/>
            <w:r>
              <w:rPr>
                <w:rFonts w:ascii="Times New Roman" w:hAnsi="Times New Roman" w:cs="Times New Roman"/>
                <w:color w:val="185262"/>
                <w:sz w:val="18"/>
                <w:szCs w:val="18"/>
              </w:rPr>
              <w:t>RoL</w:t>
            </w:r>
            <w:proofErr w:type="spellEnd"/>
            <w:r>
              <w:rPr>
                <w:rFonts w:ascii="Times New Roman" w:hAnsi="Times New Roman" w:cs="Times New Roman"/>
                <w:color w:val="185262"/>
                <w:sz w:val="18"/>
                <w:szCs w:val="18"/>
              </w:rPr>
              <w:t xml:space="preserve"> Programme</w:t>
            </w:r>
          </w:p>
        </w:tc>
        <w:tc>
          <w:tcPr>
            <w:tcW w:w="1231" w:type="dxa"/>
          </w:tcPr>
          <w:p w14:paraId="53686F9F" w14:textId="77777777" w:rsidR="0092529D" w:rsidRPr="00867815" w:rsidRDefault="0092529D" w:rsidP="009D3E8D">
            <w:pPr>
              <w:tabs>
                <w:tab w:val="left" w:pos="1080"/>
              </w:tabs>
              <w:spacing w:after="0" w:line="240" w:lineRule="auto"/>
              <w:jc w:val="both"/>
              <w:rPr>
                <w:rFonts w:ascii="Times New Roman" w:hAnsi="Times New Roman" w:cs="Times New Roman"/>
                <w:color w:val="185262"/>
                <w:sz w:val="18"/>
                <w:szCs w:val="18"/>
              </w:rPr>
            </w:pPr>
          </w:p>
        </w:tc>
        <w:tc>
          <w:tcPr>
            <w:tcW w:w="2073" w:type="dxa"/>
          </w:tcPr>
          <w:p w14:paraId="688F0C23" w14:textId="70BD4487" w:rsidR="0092529D" w:rsidRPr="00867815" w:rsidRDefault="0014737C" w:rsidP="009D3E8D">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This is an </w:t>
            </w:r>
            <w:r w:rsidR="00CC08C9">
              <w:rPr>
                <w:rFonts w:ascii="Times New Roman" w:hAnsi="Times New Roman" w:cs="Times New Roman"/>
                <w:sz w:val="18"/>
                <w:szCs w:val="18"/>
              </w:rPr>
              <w:t>on-going</w:t>
            </w:r>
            <w:r>
              <w:rPr>
                <w:rFonts w:ascii="Times New Roman" w:hAnsi="Times New Roman" w:cs="Times New Roman"/>
                <w:sz w:val="18"/>
                <w:szCs w:val="18"/>
              </w:rPr>
              <w:t xml:space="preserve"> task / efforts by the project on a </w:t>
            </w:r>
            <w:r w:rsidR="00CC08C9">
              <w:rPr>
                <w:rFonts w:ascii="Times New Roman" w:hAnsi="Times New Roman" w:cs="Times New Roman"/>
                <w:sz w:val="18"/>
                <w:szCs w:val="18"/>
              </w:rPr>
              <w:t>case-by-case</w:t>
            </w:r>
            <w:r>
              <w:rPr>
                <w:rFonts w:ascii="Times New Roman" w:hAnsi="Times New Roman" w:cs="Times New Roman"/>
                <w:sz w:val="18"/>
                <w:szCs w:val="18"/>
              </w:rPr>
              <w:t xml:space="preserve"> basis as</w:t>
            </w:r>
            <w:r w:rsidR="00CC08C9">
              <w:rPr>
                <w:rFonts w:ascii="Times New Roman" w:hAnsi="Times New Roman" w:cs="Times New Roman"/>
                <w:sz w:val="18"/>
                <w:szCs w:val="18"/>
              </w:rPr>
              <w:t xml:space="preserve"> and when</w:t>
            </w:r>
            <w:r>
              <w:rPr>
                <w:rFonts w:ascii="Times New Roman" w:hAnsi="Times New Roman" w:cs="Times New Roman"/>
                <w:sz w:val="18"/>
                <w:szCs w:val="18"/>
              </w:rPr>
              <w:t xml:space="preserve"> such delays and </w:t>
            </w:r>
            <w:r w:rsidR="00CC08C9">
              <w:rPr>
                <w:rFonts w:ascii="Times New Roman" w:hAnsi="Times New Roman" w:cs="Times New Roman"/>
                <w:sz w:val="18"/>
                <w:szCs w:val="18"/>
              </w:rPr>
              <w:t xml:space="preserve">issues occur. Therefore, not a new action.  However, it should be noted that some delays are beyond UNDP control to address as they are a result of </w:t>
            </w:r>
            <w:proofErr w:type="spellStart"/>
            <w:r w:rsidR="00CC08C9">
              <w:rPr>
                <w:rFonts w:ascii="Times New Roman" w:hAnsi="Times New Roman" w:cs="Times New Roman"/>
                <w:sz w:val="18"/>
                <w:szCs w:val="18"/>
              </w:rPr>
              <w:t>GoI</w:t>
            </w:r>
            <w:proofErr w:type="spellEnd"/>
            <w:r w:rsidR="00CC08C9">
              <w:rPr>
                <w:rFonts w:ascii="Times New Roman" w:hAnsi="Times New Roman" w:cs="Times New Roman"/>
                <w:sz w:val="18"/>
                <w:szCs w:val="18"/>
              </w:rPr>
              <w:t xml:space="preserve"> official </w:t>
            </w:r>
            <w:proofErr w:type="gramStart"/>
            <w:r w:rsidR="00CC08C9">
              <w:rPr>
                <w:rFonts w:ascii="Times New Roman" w:hAnsi="Times New Roman" w:cs="Times New Roman"/>
                <w:sz w:val="18"/>
                <w:szCs w:val="18"/>
              </w:rPr>
              <w:t>standard  processes</w:t>
            </w:r>
            <w:proofErr w:type="gramEnd"/>
            <w:r w:rsidR="00CC08C9">
              <w:rPr>
                <w:rFonts w:ascii="Times New Roman" w:hAnsi="Times New Roman" w:cs="Times New Roman"/>
                <w:sz w:val="18"/>
                <w:szCs w:val="18"/>
              </w:rPr>
              <w:t xml:space="preserve"> set at ministerial levels.</w:t>
            </w:r>
          </w:p>
        </w:tc>
      </w:tr>
    </w:tbl>
    <w:p w14:paraId="6A2EB303" w14:textId="77777777" w:rsidR="00061C51" w:rsidRPr="00867815" w:rsidRDefault="00061C51" w:rsidP="009D3E8D">
      <w:pPr>
        <w:tabs>
          <w:tab w:val="left" w:pos="1080"/>
        </w:tabs>
        <w:spacing w:after="0" w:line="240" w:lineRule="auto"/>
        <w:jc w:val="both"/>
        <w:rPr>
          <w:rFonts w:ascii="Times New Roman" w:hAnsi="Times New Roman" w:cs="Times New Roman"/>
          <w:color w:val="185262"/>
          <w:sz w:val="18"/>
          <w:szCs w:val="18"/>
          <w:lang w:eastAsia="ja-JP"/>
        </w:rPr>
      </w:pPr>
    </w:p>
    <w:tbl>
      <w:tblPr>
        <w:tblpPr w:leftFromText="180" w:rightFromText="180" w:vertAnchor="text" w:tblpX="-735" w:tblpY="31"/>
        <w:tblW w:w="1063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147"/>
        <w:gridCol w:w="1350"/>
        <w:gridCol w:w="1952"/>
        <w:gridCol w:w="1101"/>
        <w:gridCol w:w="2080"/>
      </w:tblGrid>
      <w:tr w:rsidR="00834F97" w:rsidRPr="00867815" w14:paraId="569AB732" w14:textId="77777777" w:rsidTr="00061C51">
        <w:tc>
          <w:tcPr>
            <w:tcW w:w="10630" w:type="dxa"/>
            <w:gridSpan w:val="5"/>
            <w:shd w:val="clear" w:color="auto" w:fill="EAF6F3"/>
          </w:tcPr>
          <w:p w14:paraId="561AA0E1" w14:textId="4B6EFBEA" w:rsidR="00834F97" w:rsidRPr="009652F9" w:rsidRDefault="00834F97" w:rsidP="009D3C57">
            <w:pPr>
              <w:spacing w:after="0" w:line="240" w:lineRule="auto"/>
              <w:jc w:val="both"/>
              <w:rPr>
                <w:rFonts w:ascii="Times New Roman" w:eastAsia="Times New Roman" w:hAnsi="Times New Roman" w:cs="Times New Roman"/>
                <w:color w:val="FF0000"/>
                <w:sz w:val="18"/>
                <w:szCs w:val="18"/>
                <w:lang w:eastAsia="sl-SI"/>
              </w:rPr>
            </w:pPr>
            <w:r w:rsidRPr="00867815">
              <w:rPr>
                <w:rFonts w:ascii="Times New Roman" w:hAnsi="Times New Roman" w:cs="Times New Roman"/>
                <w:b/>
                <w:color w:val="185262"/>
                <w:sz w:val="18"/>
                <w:szCs w:val="18"/>
              </w:rPr>
              <w:t xml:space="preserve">Evaluation recommendation </w:t>
            </w:r>
            <w:r w:rsidR="004A624C" w:rsidRPr="00867815">
              <w:rPr>
                <w:rFonts w:ascii="Times New Roman" w:hAnsi="Times New Roman" w:cs="Times New Roman"/>
                <w:b/>
                <w:color w:val="185262"/>
                <w:sz w:val="18"/>
                <w:szCs w:val="18"/>
              </w:rPr>
              <w:t>4</w:t>
            </w:r>
            <w:r w:rsidR="0083475D" w:rsidRPr="00867815">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r w:rsidR="00746461" w:rsidRPr="00867815">
              <w:rPr>
                <w:rFonts w:ascii="Times New Roman" w:hAnsi="Times New Roman" w:cs="Times New Roman"/>
                <w:b/>
                <w:sz w:val="18"/>
                <w:szCs w:val="18"/>
              </w:rPr>
              <w:t>Prioritisation of the project outputs and activities</w:t>
            </w:r>
            <w:r w:rsidR="009652F9">
              <w:rPr>
                <w:rFonts w:ascii="Times New Roman" w:hAnsi="Times New Roman" w:cs="Times New Roman"/>
                <w:b/>
                <w:sz w:val="18"/>
                <w:szCs w:val="18"/>
              </w:rPr>
              <w:t>:</w:t>
            </w:r>
            <w:r w:rsidR="009652F9" w:rsidRPr="4C56EC95">
              <w:rPr>
                <w:rFonts w:ascii="Times New Roman" w:eastAsia="Times New Roman" w:hAnsi="Times New Roman" w:cs="Times New Roman"/>
                <w:lang w:eastAsia="sl-SI"/>
              </w:rPr>
              <w:t xml:space="preserve"> </w:t>
            </w:r>
            <w:r w:rsidR="009652F9" w:rsidRPr="007F1E76">
              <w:rPr>
                <w:rFonts w:ascii="Times New Roman" w:eastAsia="Times New Roman" w:hAnsi="Times New Roman" w:cs="Times New Roman"/>
                <w:sz w:val="18"/>
                <w:szCs w:val="18"/>
                <w:lang w:eastAsia="sl-SI"/>
              </w:rPr>
              <w:t xml:space="preserve">UNDP, donors and the </w:t>
            </w:r>
            <w:proofErr w:type="spellStart"/>
            <w:r w:rsidR="009652F9" w:rsidRPr="007F1E76">
              <w:rPr>
                <w:rFonts w:ascii="Times New Roman" w:eastAsia="Times New Roman" w:hAnsi="Times New Roman" w:cs="Times New Roman"/>
                <w:sz w:val="18"/>
                <w:szCs w:val="18"/>
                <w:lang w:eastAsia="sl-SI"/>
              </w:rPr>
              <w:t>GoI</w:t>
            </w:r>
            <w:proofErr w:type="spellEnd"/>
            <w:r w:rsidR="009652F9" w:rsidRPr="007F1E76">
              <w:rPr>
                <w:rFonts w:ascii="Times New Roman" w:eastAsia="Times New Roman" w:hAnsi="Times New Roman" w:cs="Times New Roman"/>
                <w:sz w:val="18"/>
                <w:szCs w:val="18"/>
                <w:lang w:eastAsia="sl-SI"/>
              </w:rPr>
              <w:t xml:space="preserve"> should </w:t>
            </w:r>
            <w:bookmarkStart w:id="4" w:name="_Hlk88215828"/>
            <w:r w:rsidR="009652F9" w:rsidRPr="007F1E76">
              <w:rPr>
                <w:rFonts w:ascii="Times New Roman" w:eastAsia="Times New Roman" w:hAnsi="Times New Roman" w:cs="Times New Roman"/>
                <w:sz w:val="18"/>
                <w:szCs w:val="18"/>
                <w:lang w:eastAsia="sl-SI"/>
              </w:rPr>
              <w:t xml:space="preserve">reconsider past support and prioritise activities that (still) remain relevant for </w:t>
            </w:r>
            <w:bookmarkEnd w:id="4"/>
            <w:r w:rsidR="009652F9" w:rsidRPr="007F1E76">
              <w:rPr>
                <w:rFonts w:ascii="Times New Roman" w:eastAsia="Times New Roman" w:hAnsi="Times New Roman" w:cs="Times New Roman"/>
                <w:sz w:val="18"/>
                <w:szCs w:val="18"/>
                <w:lang w:eastAsia="sl-SI"/>
              </w:rPr>
              <w:t xml:space="preserve">Iraq. Project activities and outputs with limited progress and/or without elements of sustainability should be identified and replaced (e.g., Public Perception Survey on Security and Justice Service Delivery seems to provide limited added value and could also be conducted by </w:t>
            </w:r>
            <w:proofErr w:type="spellStart"/>
            <w:r w:rsidR="009652F9" w:rsidRPr="007F1E76">
              <w:rPr>
                <w:rFonts w:ascii="Times New Roman" w:eastAsia="Times New Roman" w:hAnsi="Times New Roman" w:cs="Times New Roman"/>
                <w:sz w:val="18"/>
                <w:szCs w:val="18"/>
                <w:lang w:eastAsia="sl-SI"/>
              </w:rPr>
              <w:t>GoI</w:t>
            </w:r>
            <w:proofErr w:type="spellEnd"/>
            <w:r w:rsidR="009652F9" w:rsidRPr="007F1E76">
              <w:rPr>
                <w:rFonts w:ascii="Times New Roman" w:eastAsia="Times New Roman" w:hAnsi="Times New Roman" w:cs="Times New Roman"/>
                <w:sz w:val="18"/>
                <w:szCs w:val="18"/>
                <w:lang w:eastAsia="sl-SI"/>
              </w:rPr>
              <w:t xml:space="preserve"> institutions). The changed operational context requires a stronger response and emphasis on human rights, prevention of torture, misuse of police powers, anti-corruption (together with the UNDP anti-corruption project). </w:t>
            </w:r>
          </w:p>
        </w:tc>
      </w:tr>
      <w:tr w:rsidR="00834F97" w:rsidRPr="00867815" w14:paraId="3A7143E1" w14:textId="77777777" w:rsidTr="00061C51">
        <w:tc>
          <w:tcPr>
            <w:tcW w:w="10630" w:type="dxa"/>
            <w:gridSpan w:val="5"/>
            <w:shd w:val="clear" w:color="auto" w:fill="EAF6F3"/>
          </w:tcPr>
          <w:p w14:paraId="174ABBD2" w14:textId="77777777" w:rsidR="00D57754" w:rsidRPr="007F1E76" w:rsidRDefault="00834F97" w:rsidP="00061C51">
            <w:pPr>
              <w:tabs>
                <w:tab w:val="left" w:pos="1080"/>
              </w:tabs>
              <w:spacing w:after="0" w:line="240" w:lineRule="auto"/>
              <w:jc w:val="both"/>
              <w:rPr>
                <w:rFonts w:asciiTheme="majorBidi" w:hAnsiTheme="majorBidi" w:cstheme="majorBidi"/>
                <w:sz w:val="18"/>
                <w:szCs w:val="18"/>
              </w:rPr>
            </w:pPr>
            <w:r w:rsidRPr="007F1E76">
              <w:rPr>
                <w:rFonts w:ascii="Times New Roman" w:hAnsi="Times New Roman" w:cs="Times New Roman"/>
                <w:b/>
                <w:sz w:val="18"/>
                <w:szCs w:val="18"/>
              </w:rPr>
              <w:t>Management response:</w:t>
            </w:r>
            <w:r w:rsidR="00057746" w:rsidRPr="007F1E76">
              <w:rPr>
                <w:rFonts w:ascii="Times New Roman" w:hAnsi="Times New Roman" w:cs="Times New Roman"/>
                <w:b/>
                <w:sz w:val="18"/>
                <w:szCs w:val="18"/>
              </w:rPr>
              <w:t xml:space="preserve"> </w:t>
            </w:r>
            <w:r w:rsidR="009652F9" w:rsidRPr="007F1E76">
              <w:rPr>
                <w:rFonts w:asciiTheme="majorBidi" w:hAnsiTheme="majorBidi" w:cstheme="majorBidi"/>
                <w:sz w:val="18"/>
                <w:szCs w:val="18"/>
              </w:rPr>
              <w:t xml:space="preserve"> The recommendation is well received. </w:t>
            </w:r>
          </w:p>
          <w:p w14:paraId="04DDA15D" w14:textId="5037770E" w:rsidR="009652F9" w:rsidRPr="007F1E76" w:rsidRDefault="00624461" w:rsidP="00061C51">
            <w:pPr>
              <w:tabs>
                <w:tab w:val="left" w:pos="1080"/>
              </w:tabs>
              <w:spacing w:after="0" w:line="240" w:lineRule="auto"/>
              <w:jc w:val="both"/>
              <w:rPr>
                <w:rFonts w:asciiTheme="majorBidi" w:hAnsiTheme="majorBidi" w:cstheme="majorBidi"/>
                <w:sz w:val="18"/>
                <w:szCs w:val="18"/>
              </w:rPr>
            </w:pPr>
            <w:r w:rsidRPr="007F1E76">
              <w:rPr>
                <w:rFonts w:asciiTheme="majorBidi" w:hAnsiTheme="majorBidi" w:cstheme="majorBidi"/>
                <w:sz w:val="18"/>
                <w:szCs w:val="18"/>
              </w:rPr>
              <w:t xml:space="preserve">However, strongly </w:t>
            </w:r>
            <w:r w:rsidR="009652F9" w:rsidRPr="007F1E76">
              <w:rPr>
                <w:rFonts w:asciiTheme="majorBidi" w:hAnsiTheme="majorBidi" w:cstheme="majorBidi"/>
                <w:sz w:val="18"/>
                <w:szCs w:val="18"/>
              </w:rPr>
              <w:t xml:space="preserve">disagree with the afore mentioned point that the </w:t>
            </w:r>
            <w:r w:rsidR="00D57754" w:rsidRPr="007F1E76">
              <w:rPr>
                <w:rFonts w:asciiTheme="majorBidi" w:hAnsiTheme="majorBidi" w:cstheme="majorBidi"/>
                <w:sz w:val="18"/>
                <w:szCs w:val="18"/>
              </w:rPr>
              <w:t>‘</w:t>
            </w:r>
            <w:r w:rsidR="009652F9" w:rsidRPr="007F1E76">
              <w:rPr>
                <w:rFonts w:asciiTheme="majorBidi" w:hAnsiTheme="majorBidi" w:cstheme="majorBidi"/>
                <w:i/>
                <w:iCs/>
                <w:sz w:val="18"/>
                <w:szCs w:val="18"/>
              </w:rPr>
              <w:t xml:space="preserve">public perception survey on security and justice sector delivery seems to provide limited added value </w:t>
            </w:r>
            <w:r w:rsidRPr="007F1E76">
              <w:rPr>
                <w:rFonts w:asciiTheme="majorBidi" w:hAnsiTheme="majorBidi" w:cstheme="majorBidi"/>
                <w:i/>
                <w:iCs/>
                <w:sz w:val="18"/>
                <w:szCs w:val="18"/>
              </w:rPr>
              <w:t>and</w:t>
            </w:r>
            <w:r w:rsidR="009652F9" w:rsidRPr="007F1E76">
              <w:rPr>
                <w:rFonts w:asciiTheme="majorBidi" w:hAnsiTheme="majorBidi" w:cstheme="majorBidi"/>
                <w:i/>
                <w:iCs/>
                <w:sz w:val="18"/>
                <w:szCs w:val="18"/>
              </w:rPr>
              <w:t xml:space="preserve"> be conducted by </w:t>
            </w:r>
            <w:proofErr w:type="spellStart"/>
            <w:r w:rsidR="009652F9" w:rsidRPr="007F1E76">
              <w:rPr>
                <w:rFonts w:asciiTheme="majorBidi" w:hAnsiTheme="majorBidi" w:cstheme="majorBidi"/>
                <w:i/>
                <w:iCs/>
                <w:sz w:val="18"/>
                <w:szCs w:val="18"/>
              </w:rPr>
              <w:t>GoI</w:t>
            </w:r>
            <w:proofErr w:type="spellEnd"/>
            <w:r w:rsidR="009652F9" w:rsidRPr="007F1E76">
              <w:rPr>
                <w:rFonts w:asciiTheme="majorBidi" w:hAnsiTheme="majorBidi" w:cstheme="majorBidi"/>
                <w:i/>
                <w:iCs/>
                <w:sz w:val="18"/>
                <w:szCs w:val="18"/>
              </w:rPr>
              <w:t xml:space="preserve"> </w:t>
            </w:r>
            <w:r w:rsidR="00D57754" w:rsidRPr="007F1E76">
              <w:rPr>
                <w:rFonts w:asciiTheme="majorBidi" w:hAnsiTheme="majorBidi" w:cstheme="majorBidi"/>
                <w:i/>
                <w:iCs/>
                <w:sz w:val="18"/>
                <w:szCs w:val="18"/>
              </w:rPr>
              <w:t>institutions</w:t>
            </w:r>
            <w:r w:rsidR="009652F9" w:rsidRPr="007F1E76">
              <w:rPr>
                <w:rFonts w:asciiTheme="majorBidi" w:hAnsiTheme="majorBidi" w:cstheme="majorBidi"/>
                <w:sz w:val="18"/>
                <w:szCs w:val="18"/>
              </w:rPr>
              <w:t xml:space="preserve">. The </w:t>
            </w:r>
            <w:r w:rsidR="00B862A4" w:rsidRPr="007F1E76">
              <w:rPr>
                <w:rFonts w:asciiTheme="majorBidi" w:hAnsiTheme="majorBidi" w:cstheme="majorBidi"/>
                <w:sz w:val="18"/>
                <w:szCs w:val="18"/>
              </w:rPr>
              <w:t xml:space="preserve">key objectives of the two tracker </w:t>
            </w:r>
            <w:r w:rsidR="00D57754" w:rsidRPr="007F1E76">
              <w:rPr>
                <w:rFonts w:asciiTheme="majorBidi" w:hAnsiTheme="majorBidi" w:cstheme="majorBidi"/>
                <w:sz w:val="18"/>
                <w:szCs w:val="18"/>
              </w:rPr>
              <w:t>surveys</w:t>
            </w:r>
            <w:r w:rsidR="00B862A4" w:rsidRPr="007F1E76">
              <w:rPr>
                <w:rFonts w:asciiTheme="majorBidi" w:hAnsiTheme="majorBidi" w:cstheme="majorBidi"/>
                <w:sz w:val="18"/>
                <w:szCs w:val="18"/>
              </w:rPr>
              <w:t xml:space="preserve"> conducted by the </w:t>
            </w:r>
            <w:r w:rsidR="00EB1039">
              <w:rPr>
                <w:rFonts w:asciiTheme="majorBidi" w:hAnsiTheme="majorBidi" w:cstheme="majorBidi"/>
                <w:sz w:val="18"/>
                <w:szCs w:val="18"/>
              </w:rPr>
              <w:t xml:space="preserve">Project </w:t>
            </w:r>
            <w:r w:rsidR="00B862A4" w:rsidRPr="007F1E76">
              <w:rPr>
                <w:rFonts w:asciiTheme="majorBidi" w:hAnsiTheme="majorBidi" w:cstheme="majorBidi"/>
                <w:sz w:val="18"/>
                <w:szCs w:val="18"/>
              </w:rPr>
              <w:t xml:space="preserve"> were to</w:t>
            </w:r>
            <w:r w:rsidR="00D57754" w:rsidRPr="007F1E76">
              <w:rPr>
                <w:rFonts w:asciiTheme="majorBidi" w:hAnsiTheme="majorBidi" w:cstheme="majorBidi"/>
                <w:sz w:val="18"/>
                <w:szCs w:val="18"/>
              </w:rPr>
              <w:t xml:space="preserve">: 1) </w:t>
            </w:r>
            <w:r w:rsidR="00B862A4" w:rsidRPr="007F1E76">
              <w:rPr>
                <w:rFonts w:asciiTheme="majorBidi" w:hAnsiTheme="majorBidi" w:cstheme="majorBidi"/>
                <w:sz w:val="18"/>
                <w:szCs w:val="18"/>
              </w:rPr>
              <w:t xml:space="preserve"> set </w:t>
            </w:r>
            <w:r w:rsidR="00D57754" w:rsidRPr="007F1E76">
              <w:rPr>
                <w:rFonts w:asciiTheme="majorBidi" w:hAnsiTheme="majorBidi" w:cstheme="majorBidi"/>
                <w:sz w:val="18"/>
                <w:szCs w:val="18"/>
              </w:rPr>
              <w:t>‘project’s</w:t>
            </w:r>
            <w:r w:rsidR="00B862A4" w:rsidRPr="007F1E76">
              <w:rPr>
                <w:rFonts w:asciiTheme="majorBidi" w:hAnsiTheme="majorBidi" w:cstheme="majorBidi"/>
                <w:sz w:val="18"/>
                <w:szCs w:val="18"/>
              </w:rPr>
              <w:t xml:space="preserve">’ outcome level baseline </w:t>
            </w:r>
            <w:r w:rsidR="00D57754" w:rsidRPr="007F1E76">
              <w:rPr>
                <w:rFonts w:asciiTheme="majorBidi" w:hAnsiTheme="majorBidi" w:cstheme="majorBidi"/>
                <w:sz w:val="18"/>
                <w:szCs w:val="18"/>
              </w:rPr>
              <w:t xml:space="preserve">and to </w:t>
            </w:r>
            <w:r w:rsidR="00B862A4" w:rsidRPr="007F1E76">
              <w:rPr>
                <w:rFonts w:asciiTheme="majorBidi" w:hAnsiTheme="majorBidi" w:cstheme="majorBidi"/>
                <w:sz w:val="18"/>
                <w:szCs w:val="18"/>
              </w:rPr>
              <w:t>measure outcome level indicators on an annual basis</w:t>
            </w:r>
            <w:r w:rsidR="00D57754" w:rsidRPr="007F1E76">
              <w:rPr>
                <w:rFonts w:asciiTheme="majorBidi" w:hAnsiTheme="majorBidi" w:cstheme="majorBidi"/>
                <w:sz w:val="18"/>
                <w:szCs w:val="18"/>
              </w:rPr>
              <w:t xml:space="preserve">; </w:t>
            </w:r>
            <w:r w:rsidR="00B862A4" w:rsidRPr="007F1E76">
              <w:rPr>
                <w:rFonts w:asciiTheme="majorBidi" w:hAnsiTheme="majorBidi" w:cstheme="majorBidi"/>
                <w:sz w:val="18"/>
                <w:szCs w:val="18"/>
              </w:rPr>
              <w:t xml:space="preserve"> </w:t>
            </w:r>
            <w:r w:rsidR="00D57754" w:rsidRPr="007F1E76">
              <w:rPr>
                <w:rFonts w:asciiTheme="majorBidi" w:hAnsiTheme="majorBidi" w:cstheme="majorBidi"/>
                <w:sz w:val="18"/>
                <w:szCs w:val="18"/>
              </w:rPr>
              <w:t xml:space="preserve">2) to </w:t>
            </w:r>
            <w:r w:rsidR="00B862A4" w:rsidRPr="007F1E76">
              <w:rPr>
                <w:rFonts w:asciiTheme="majorBidi" w:hAnsiTheme="majorBidi" w:cstheme="majorBidi"/>
                <w:sz w:val="18"/>
                <w:szCs w:val="18"/>
              </w:rPr>
              <w:t>develop a real time evidence- based</w:t>
            </w:r>
            <w:r w:rsidR="00D57754" w:rsidRPr="007F1E76">
              <w:rPr>
                <w:rFonts w:asciiTheme="majorBidi" w:hAnsiTheme="majorBidi" w:cstheme="majorBidi"/>
                <w:sz w:val="18"/>
                <w:szCs w:val="18"/>
              </w:rPr>
              <w:t xml:space="preserve"> knowledge hub</w:t>
            </w:r>
            <w:r w:rsidR="00B862A4" w:rsidRPr="007F1E76">
              <w:rPr>
                <w:rFonts w:asciiTheme="majorBidi" w:hAnsiTheme="majorBidi" w:cstheme="majorBidi"/>
                <w:sz w:val="18"/>
                <w:szCs w:val="18"/>
              </w:rPr>
              <w:t xml:space="preserve"> during the overall ‘project’ period</w:t>
            </w:r>
            <w:r w:rsidR="00D57754" w:rsidRPr="007F1E76">
              <w:rPr>
                <w:rFonts w:asciiTheme="majorBidi" w:hAnsiTheme="majorBidi" w:cstheme="majorBidi"/>
                <w:sz w:val="18"/>
                <w:szCs w:val="18"/>
              </w:rPr>
              <w:t xml:space="preserve">; and 3) </w:t>
            </w:r>
            <w:r w:rsidR="00B862A4" w:rsidRPr="007F1E76">
              <w:rPr>
                <w:rFonts w:asciiTheme="majorBidi" w:hAnsiTheme="majorBidi" w:cstheme="majorBidi"/>
                <w:sz w:val="18"/>
                <w:szCs w:val="18"/>
              </w:rPr>
              <w:t>to assess improvements and gaps with comparative data analysis from 2019 to end of project cycle</w:t>
            </w:r>
            <w:r w:rsidR="00D57754" w:rsidRPr="007F1E76">
              <w:rPr>
                <w:rFonts w:asciiTheme="majorBidi" w:hAnsiTheme="majorBidi" w:cstheme="majorBidi"/>
                <w:sz w:val="18"/>
                <w:szCs w:val="18"/>
              </w:rPr>
              <w:t>,</w:t>
            </w:r>
            <w:r w:rsidR="00B862A4" w:rsidRPr="007F1E76">
              <w:rPr>
                <w:rFonts w:asciiTheme="majorBidi" w:hAnsiTheme="majorBidi" w:cstheme="majorBidi"/>
                <w:sz w:val="18"/>
                <w:szCs w:val="18"/>
              </w:rPr>
              <w:t xml:space="preserve">  </w:t>
            </w:r>
            <w:r w:rsidR="00716163" w:rsidRPr="007F1E76">
              <w:rPr>
                <w:rFonts w:asciiTheme="majorBidi" w:hAnsiTheme="majorBidi" w:cstheme="majorBidi"/>
                <w:sz w:val="18"/>
                <w:szCs w:val="18"/>
              </w:rPr>
              <w:t>in order</w:t>
            </w:r>
            <w:r w:rsidR="00B862A4" w:rsidRPr="007F1E76">
              <w:rPr>
                <w:rFonts w:asciiTheme="majorBidi" w:hAnsiTheme="majorBidi" w:cstheme="majorBidi"/>
                <w:sz w:val="18"/>
                <w:szCs w:val="18"/>
              </w:rPr>
              <w:t xml:space="preserve"> to take necessary action to further strengthen interventions and also to address gaps/ make improvements to those that need additional support.  As such these annual </w:t>
            </w:r>
            <w:r w:rsidR="007D47F0" w:rsidRPr="007F1E76">
              <w:rPr>
                <w:rFonts w:asciiTheme="majorBidi" w:hAnsiTheme="majorBidi" w:cstheme="majorBidi"/>
                <w:sz w:val="18"/>
                <w:szCs w:val="18"/>
              </w:rPr>
              <w:t>surveys</w:t>
            </w:r>
            <w:r w:rsidR="00B862A4" w:rsidRPr="007F1E76">
              <w:rPr>
                <w:rFonts w:asciiTheme="majorBidi" w:hAnsiTheme="majorBidi" w:cstheme="majorBidi"/>
                <w:sz w:val="18"/>
                <w:szCs w:val="18"/>
              </w:rPr>
              <w:t xml:space="preserve"> to-date has helped the </w:t>
            </w:r>
            <w:r w:rsidR="00EB1039">
              <w:rPr>
                <w:rFonts w:asciiTheme="majorBidi" w:hAnsiTheme="majorBidi" w:cstheme="majorBidi"/>
                <w:sz w:val="18"/>
                <w:szCs w:val="18"/>
              </w:rPr>
              <w:t>P</w:t>
            </w:r>
            <w:r w:rsidR="007D47F0" w:rsidRPr="007F1E76">
              <w:rPr>
                <w:rFonts w:asciiTheme="majorBidi" w:hAnsiTheme="majorBidi" w:cstheme="majorBidi"/>
                <w:sz w:val="18"/>
                <w:szCs w:val="18"/>
              </w:rPr>
              <w:t>roject</w:t>
            </w:r>
            <w:r w:rsidR="00B862A4" w:rsidRPr="007F1E76">
              <w:rPr>
                <w:rFonts w:asciiTheme="majorBidi" w:hAnsiTheme="majorBidi" w:cstheme="majorBidi"/>
                <w:sz w:val="18"/>
                <w:szCs w:val="18"/>
              </w:rPr>
              <w:t xml:space="preserve"> significantly to </w:t>
            </w:r>
            <w:r w:rsidR="007D47F0" w:rsidRPr="007F1E76">
              <w:rPr>
                <w:rFonts w:asciiTheme="majorBidi" w:hAnsiTheme="majorBidi" w:cstheme="majorBidi"/>
                <w:sz w:val="18"/>
                <w:szCs w:val="18"/>
              </w:rPr>
              <w:t xml:space="preserve">implement, develop, </w:t>
            </w:r>
            <w:r w:rsidRPr="007F1E76">
              <w:rPr>
                <w:rFonts w:asciiTheme="majorBidi" w:hAnsiTheme="majorBidi" w:cstheme="majorBidi"/>
                <w:sz w:val="18"/>
                <w:szCs w:val="18"/>
              </w:rPr>
              <w:t>strengthen,</w:t>
            </w:r>
            <w:r w:rsidR="007D47F0" w:rsidRPr="007F1E76">
              <w:rPr>
                <w:rFonts w:asciiTheme="majorBidi" w:hAnsiTheme="majorBidi" w:cstheme="majorBidi"/>
                <w:sz w:val="18"/>
                <w:szCs w:val="18"/>
              </w:rPr>
              <w:t xml:space="preserve"> </w:t>
            </w:r>
            <w:r w:rsidR="00716163" w:rsidRPr="007F1E76">
              <w:rPr>
                <w:rFonts w:asciiTheme="majorBidi" w:hAnsiTheme="majorBidi" w:cstheme="majorBidi"/>
                <w:sz w:val="18"/>
                <w:szCs w:val="18"/>
              </w:rPr>
              <w:t xml:space="preserve">and to </w:t>
            </w:r>
            <w:r w:rsidR="007D47F0" w:rsidRPr="007F1E76">
              <w:rPr>
                <w:rFonts w:asciiTheme="majorBidi" w:hAnsiTheme="majorBidi" w:cstheme="majorBidi"/>
                <w:sz w:val="18"/>
                <w:szCs w:val="18"/>
              </w:rPr>
              <w:t xml:space="preserve">address gaps in its overall engagement with real time data and feedback from the key target beneficiaries -i.e., Iraqi public/ women and men. </w:t>
            </w:r>
            <w:r w:rsidR="00716163" w:rsidRPr="007F1E76">
              <w:rPr>
                <w:rFonts w:asciiTheme="majorBidi" w:hAnsiTheme="majorBidi" w:cstheme="majorBidi"/>
                <w:sz w:val="18"/>
                <w:szCs w:val="18"/>
              </w:rPr>
              <w:t xml:space="preserve"> </w:t>
            </w:r>
            <w:r w:rsidR="00316E48" w:rsidRPr="007F1E76">
              <w:rPr>
                <w:rFonts w:asciiTheme="majorBidi" w:hAnsiTheme="majorBidi" w:cstheme="majorBidi"/>
                <w:sz w:val="18"/>
                <w:szCs w:val="18"/>
              </w:rPr>
              <w:t>Therefore,</w:t>
            </w:r>
            <w:r w:rsidR="00716163" w:rsidRPr="007F1E76">
              <w:rPr>
                <w:rFonts w:asciiTheme="majorBidi" w:hAnsiTheme="majorBidi" w:cstheme="majorBidi"/>
                <w:sz w:val="18"/>
                <w:szCs w:val="18"/>
              </w:rPr>
              <w:t xml:space="preserve"> these undertakings had allowed the </w:t>
            </w:r>
            <w:r w:rsidR="00E91139">
              <w:rPr>
                <w:rFonts w:asciiTheme="majorBidi" w:hAnsiTheme="majorBidi" w:cstheme="majorBidi"/>
                <w:sz w:val="18"/>
                <w:szCs w:val="18"/>
              </w:rPr>
              <w:t>P</w:t>
            </w:r>
            <w:r w:rsidR="00316E48" w:rsidRPr="007F1E76">
              <w:rPr>
                <w:rFonts w:asciiTheme="majorBidi" w:hAnsiTheme="majorBidi" w:cstheme="majorBidi"/>
                <w:sz w:val="18"/>
                <w:szCs w:val="18"/>
              </w:rPr>
              <w:t>roject invaluable</w:t>
            </w:r>
            <w:r w:rsidR="00716163" w:rsidRPr="007F1E76">
              <w:rPr>
                <w:rFonts w:asciiTheme="majorBidi" w:hAnsiTheme="majorBidi" w:cstheme="majorBidi"/>
                <w:sz w:val="18"/>
                <w:szCs w:val="18"/>
              </w:rPr>
              <w:t xml:space="preserve"> entry points to develop and sustain a </w:t>
            </w:r>
            <w:r w:rsidR="00316E48" w:rsidRPr="007F1E76">
              <w:rPr>
                <w:rFonts w:asciiTheme="majorBidi" w:hAnsiTheme="majorBidi" w:cstheme="majorBidi"/>
                <w:sz w:val="18"/>
                <w:szCs w:val="18"/>
              </w:rPr>
              <w:t>‘</w:t>
            </w:r>
            <w:r w:rsidR="00716163" w:rsidRPr="007F1E76">
              <w:rPr>
                <w:rFonts w:asciiTheme="majorBidi" w:hAnsiTheme="majorBidi" w:cstheme="majorBidi"/>
                <w:sz w:val="18"/>
                <w:szCs w:val="18"/>
              </w:rPr>
              <w:t>security and justice real time knowledge hub</w:t>
            </w:r>
            <w:r w:rsidR="00316E48" w:rsidRPr="007F1E76">
              <w:rPr>
                <w:rFonts w:asciiTheme="majorBidi" w:hAnsiTheme="majorBidi" w:cstheme="majorBidi"/>
                <w:sz w:val="18"/>
                <w:szCs w:val="18"/>
              </w:rPr>
              <w:t>’</w:t>
            </w:r>
            <w:r w:rsidR="00716163" w:rsidRPr="007F1E76">
              <w:rPr>
                <w:rFonts w:asciiTheme="majorBidi" w:hAnsiTheme="majorBidi" w:cstheme="majorBidi"/>
                <w:sz w:val="18"/>
                <w:szCs w:val="18"/>
              </w:rPr>
              <w:t xml:space="preserve">, while also providing an insightful evidence- based rational/ logic to develop new undertakings/ concept notes since 2019 to- date. </w:t>
            </w:r>
            <w:r w:rsidR="00316E48" w:rsidRPr="007F1E76">
              <w:rPr>
                <w:rFonts w:asciiTheme="majorBidi" w:hAnsiTheme="majorBidi" w:cstheme="majorBidi"/>
                <w:sz w:val="18"/>
                <w:szCs w:val="18"/>
              </w:rPr>
              <w:t>For example, amongst others these include the</w:t>
            </w:r>
            <w:r w:rsidR="00716163" w:rsidRPr="007F1E76">
              <w:rPr>
                <w:rFonts w:asciiTheme="majorBidi" w:hAnsiTheme="majorBidi" w:cstheme="majorBidi"/>
                <w:sz w:val="18"/>
                <w:szCs w:val="18"/>
              </w:rPr>
              <w:t xml:space="preserve"> model police station pilot initiative, design of specialised police trainings, development of the local police service road map and the corresponding </w:t>
            </w:r>
            <w:proofErr w:type="spellStart"/>
            <w:r w:rsidR="00716163" w:rsidRPr="007F1E76">
              <w:rPr>
                <w:rFonts w:asciiTheme="majorBidi" w:hAnsiTheme="majorBidi" w:cstheme="majorBidi"/>
                <w:sz w:val="18"/>
                <w:szCs w:val="18"/>
              </w:rPr>
              <w:t>SoP</w:t>
            </w:r>
            <w:proofErr w:type="spellEnd"/>
            <w:r w:rsidR="00716163" w:rsidRPr="007F1E76">
              <w:rPr>
                <w:rFonts w:asciiTheme="majorBidi" w:hAnsiTheme="majorBidi" w:cstheme="majorBidi"/>
                <w:sz w:val="18"/>
                <w:szCs w:val="18"/>
              </w:rPr>
              <w:t xml:space="preserve"> for criminal investigations and </w:t>
            </w:r>
            <w:r w:rsidR="00316E48" w:rsidRPr="007F1E76">
              <w:rPr>
                <w:rFonts w:asciiTheme="majorBidi" w:hAnsiTheme="majorBidi" w:cstheme="majorBidi"/>
                <w:sz w:val="18"/>
                <w:szCs w:val="18"/>
              </w:rPr>
              <w:t xml:space="preserve">the recent undertaking to strengthen financial crimes investigations and adjudications. </w:t>
            </w:r>
            <w:r w:rsidR="00716163" w:rsidRPr="007F1E76">
              <w:rPr>
                <w:rFonts w:asciiTheme="majorBidi" w:hAnsiTheme="majorBidi" w:cstheme="majorBidi"/>
                <w:sz w:val="18"/>
                <w:szCs w:val="18"/>
              </w:rPr>
              <w:t xml:space="preserve"> Similarly,</w:t>
            </w:r>
            <w:r w:rsidR="007D47F0" w:rsidRPr="007F1E76">
              <w:rPr>
                <w:rFonts w:asciiTheme="majorBidi" w:hAnsiTheme="majorBidi" w:cstheme="majorBidi"/>
                <w:sz w:val="18"/>
                <w:szCs w:val="18"/>
              </w:rPr>
              <w:t xml:space="preserve"> the routine publication of the key findings of these surveys by UNDP for wider dissemination amongst like-minded – partners in Iraq and beyond also helps to address an existing gap in </w:t>
            </w:r>
            <w:r w:rsidRPr="007F1E76">
              <w:rPr>
                <w:rFonts w:asciiTheme="majorBidi" w:hAnsiTheme="majorBidi" w:cstheme="majorBidi"/>
                <w:sz w:val="18"/>
                <w:szCs w:val="18"/>
              </w:rPr>
              <w:t>‘real</w:t>
            </w:r>
            <w:r w:rsidR="007D47F0" w:rsidRPr="007F1E76">
              <w:rPr>
                <w:rFonts w:asciiTheme="majorBidi" w:hAnsiTheme="majorBidi" w:cstheme="majorBidi"/>
                <w:sz w:val="18"/>
                <w:szCs w:val="18"/>
              </w:rPr>
              <w:t xml:space="preserve"> time’ data </w:t>
            </w:r>
            <w:r w:rsidR="00517998" w:rsidRPr="007F1E76">
              <w:rPr>
                <w:rFonts w:asciiTheme="majorBidi" w:hAnsiTheme="majorBidi" w:cstheme="majorBidi"/>
                <w:sz w:val="18"/>
                <w:szCs w:val="18"/>
              </w:rPr>
              <w:t>on public</w:t>
            </w:r>
            <w:r w:rsidR="007D47F0" w:rsidRPr="007F1E76">
              <w:rPr>
                <w:rFonts w:asciiTheme="majorBidi" w:hAnsiTheme="majorBidi" w:cstheme="majorBidi"/>
                <w:sz w:val="18"/>
                <w:szCs w:val="18"/>
              </w:rPr>
              <w:t xml:space="preserve"> perceptions on safety and security and security and justice service delivery </w:t>
            </w:r>
            <w:r w:rsidRPr="007F1E76">
              <w:rPr>
                <w:rFonts w:asciiTheme="majorBidi" w:hAnsiTheme="majorBidi" w:cstheme="majorBidi"/>
                <w:sz w:val="18"/>
                <w:szCs w:val="18"/>
              </w:rPr>
              <w:t>in Iraq</w:t>
            </w:r>
            <w:r w:rsidR="007D47F0" w:rsidRPr="007F1E76">
              <w:rPr>
                <w:rFonts w:asciiTheme="majorBidi" w:hAnsiTheme="majorBidi" w:cstheme="majorBidi"/>
                <w:sz w:val="18"/>
                <w:szCs w:val="18"/>
              </w:rPr>
              <w:t>.</w:t>
            </w:r>
          </w:p>
          <w:p w14:paraId="515C55FF" w14:textId="5E5C022F" w:rsidR="00624461" w:rsidRPr="007F1E76" w:rsidRDefault="00624461" w:rsidP="00061C51">
            <w:pPr>
              <w:tabs>
                <w:tab w:val="left" w:pos="1080"/>
              </w:tabs>
              <w:spacing w:after="0" w:line="240" w:lineRule="auto"/>
              <w:jc w:val="both"/>
              <w:rPr>
                <w:rFonts w:ascii="Times New Roman" w:hAnsi="Times New Roman" w:cs="Times New Roman"/>
                <w:b/>
                <w:sz w:val="18"/>
                <w:szCs w:val="18"/>
              </w:rPr>
            </w:pPr>
          </w:p>
          <w:p w14:paraId="26C70ACD" w14:textId="60A3BB3D" w:rsidR="00316E48" w:rsidRPr="007F1E76" w:rsidRDefault="00624461" w:rsidP="00061C51">
            <w:pPr>
              <w:tabs>
                <w:tab w:val="left" w:pos="1080"/>
              </w:tabs>
              <w:spacing w:after="0" w:line="240" w:lineRule="auto"/>
              <w:jc w:val="both"/>
              <w:rPr>
                <w:rFonts w:ascii="Times New Roman" w:hAnsi="Times New Roman" w:cs="Times New Roman"/>
                <w:bCs/>
                <w:sz w:val="18"/>
                <w:szCs w:val="18"/>
              </w:rPr>
            </w:pPr>
            <w:r w:rsidRPr="007F1E76">
              <w:rPr>
                <w:rFonts w:ascii="Times New Roman" w:hAnsi="Times New Roman" w:cs="Times New Roman"/>
                <w:bCs/>
                <w:sz w:val="18"/>
                <w:szCs w:val="18"/>
              </w:rPr>
              <w:t xml:space="preserve">In terms of dedicated interventions on human rights, prevention of torture and misuse of police powers there are a range of human rights organisations such as the human rights watch as well as the UN office of human rights that </w:t>
            </w:r>
            <w:r w:rsidR="00316E48" w:rsidRPr="007F1E76">
              <w:rPr>
                <w:rFonts w:ascii="Times New Roman" w:hAnsi="Times New Roman" w:cs="Times New Roman"/>
                <w:bCs/>
                <w:sz w:val="18"/>
                <w:szCs w:val="18"/>
              </w:rPr>
              <w:t>undertake numerous</w:t>
            </w:r>
            <w:r w:rsidR="004C7643" w:rsidRPr="007F1E76">
              <w:rPr>
                <w:rFonts w:ascii="Times New Roman" w:hAnsi="Times New Roman" w:cs="Times New Roman"/>
                <w:bCs/>
                <w:sz w:val="18"/>
                <w:szCs w:val="18"/>
              </w:rPr>
              <w:t xml:space="preserve"> activit</w:t>
            </w:r>
            <w:r w:rsidR="00316E48" w:rsidRPr="007F1E76">
              <w:rPr>
                <w:rFonts w:ascii="Times New Roman" w:hAnsi="Times New Roman" w:cs="Times New Roman"/>
                <w:bCs/>
                <w:sz w:val="18"/>
                <w:szCs w:val="18"/>
              </w:rPr>
              <w:t>ies</w:t>
            </w:r>
            <w:r w:rsidRPr="007F1E76">
              <w:rPr>
                <w:rFonts w:ascii="Times New Roman" w:hAnsi="Times New Roman" w:cs="Times New Roman"/>
                <w:bCs/>
                <w:sz w:val="18"/>
                <w:szCs w:val="18"/>
              </w:rPr>
              <w:t xml:space="preserve"> with </w:t>
            </w:r>
            <w:r w:rsidR="004C7643" w:rsidRPr="007F1E76">
              <w:rPr>
                <w:rFonts w:ascii="Times New Roman" w:hAnsi="Times New Roman" w:cs="Times New Roman"/>
                <w:bCs/>
                <w:sz w:val="18"/>
                <w:szCs w:val="18"/>
              </w:rPr>
              <w:t>relevant</w:t>
            </w:r>
            <w:r w:rsidRPr="007F1E76">
              <w:rPr>
                <w:rFonts w:ascii="Times New Roman" w:hAnsi="Times New Roman" w:cs="Times New Roman"/>
                <w:bCs/>
                <w:sz w:val="18"/>
                <w:szCs w:val="18"/>
              </w:rPr>
              <w:t xml:space="preserve"> </w:t>
            </w:r>
            <w:proofErr w:type="spellStart"/>
            <w:r w:rsidRPr="007F1E76">
              <w:rPr>
                <w:rFonts w:ascii="Times New Roman" w:hAnsi="Times New Roman" w:cs="Times New Roman"/>
                <w:bCs/>
                <w:sz w:val="18"/>
                <w:szCs w:val="18"/>
              </w:rPr>
              <w:t>GoI</w:t>
            </w:r>
            <w:proofErr w:type="spellEnd"/>
            <w:r w:rsidRPr="007F1E76">
              <w:rPr>
                <w:rFonts w:ascii="Times New Roman" w:hAnsi="Times New Roman" w:cs="Times New Roman"/>
                <w:bCs/>
                <w:sz w:val="18"/>
                <w:szCs w:val="18"/>
              </w:rPr>
              <w:t xml:space="preserve"> entities and civil society at federal and KRI levels in Iraq. </w:t>
            </w:r>
            <w:r w:rsidR="004C7643" w:rsidRPr="007F1E76">
              <w:rPr>
                <w:rFonts w:ascii="Times New Roman" w:hAnsi="Times New Roman" w:cs="Times New Roman"/>
                <w:bCs/>
                <w:sz w:val="18"/>
                <w:szCs w:val="18"/>
              </w:rPr>
              <w:t>Therefore,</w:t>
            </w:r>
            <w:r w:rsidRPr="007F1E76">
              <w:rPr>
                <w:rFonts w:ascii="Times New Roman" w:hAnsi="Times New Roman" w:cs="Times New Roman"/>
                <w:bCs/>
                <w:sz w:val="18"/>
                <w:szCs w:val="18"/>
              </w:rPr>
              <w:t xml:space="preserve"> as a prudent and de- conflicting approach to international partner engagement in the afore mentioned </w:t>
            </w:r>
            <w:r w:rsidR="00316E48" w:rsidRPr="007F1E76">
              <w:rPr>
                <w:rFonts w:ascii="Times New Roman" w:hAnsi="Times New Roman" w:cs="Times New Roman"/>
                <w:bCs/>
                <w:sz w:val="18"/>
                <w:szCs w:val="18"/>
              </w:rPr>
              <w:t xml:space="preserve">areas of work, </w:t>
            </w:r>
            <w:r w:rsidR="00F20AED">
              <w:rPr>
                <w:rFonts w:ascii="Times New Roman" w:hAnsi="Times New Roman" w:cs="Times New Roman"/>
                <w:bCs/>
                <w:sz w:val="18"/>
                <w:szCs w:val="18"/>
              </w:rPr>
              <w:t>the Project</w:t>
            </w:r>
            <w:r w:rsidRPr="007F1E76">
              <w:rPr>
                <w:rFonts w:ascii="Times New Roman" w:hAnsi="Times New Roman" w:cs="Times New Roman"/>
                <w:bCs/>
                <w:sz w:val="18"/>
                <w:szCs w:val="18"/>
              </w:rPr>
              <w:t xml:space="preserve"> </w:t>
            </w:r>
            <w:r w:rsidR="004C7643" w:rsidRPr="007F1E76">
              <w:rPr>
                <w:rFonts w:ascii="Times New Roman" w:hAnsi="Times New Roman" w:cs="Times New Roman"/>
                <w:bCs/>
                <w:sz w:val="18"/>
                <w:szCs w:val="18"/>
              </w:rPr>
              <w:t xml:space="preserve">will continue to collaborate with these entities to foster human rights and related issues while </w:t>
            </w:r>
            <w:r w:rsidR="004C7643" w:rsidRPr="007F1E76">
              <w:rPr>
                <w:rFonts w:ascii="Times New Roman" w:hAnsi="Times New Roman" w:cs="Times New Roman"/>
                <w:bCs/>
                <w:sz w:val="18"/>
                <w:szCs w:val="18"/>
              </w:rPr>
              <w:lastRenderedPageBreak/>
              <w:t xml:space="preserve">also incorporating tailored sessions in police trainings to advocate for </w:t>
            </w:r>
            <w:r w:rsidR="00316E48" w:rsidRPr="007F1E76">
              <w:rPr>
                <w:rFonts w:ascii="Times New Roman" w:hAnsi="Times New Roman" w:cs="Times New Roman"/>
                <w:bCs/>
                <w:sz w:val="18"/>
                <w:szCs w:val="18"/>
              </w:rPr>
              <w:t xml:space="preserve">the </w:t>
            </w:r>
            <w:r w:rsidR="004C7643" w:rsidRPr="007F1E76">
              <w:rPr>
                <w:rFonts w:ascii="Times New Roman" w:hAnsi="Times New Roman" w:cs="Times New Roman"/>
                <w:bCs/>
                <w:sz w:val="18"/>
                <w:szCs w:val="18"/>
              </w:rPr>
              <w:t xml:space="preserve">promotion of democratic policing </w:t>
            </w:r>
            <w:r w:rsidR="00316E48" w:rsidRPr="007F1E76">
              <w:rPr>
                <w:rFonts w:ascii="Times New Roman" w:hAnsi="Times New Roman" w:cs="Times New Roman"/>
                <w:bCs/>
                <w:sz w:val="18"/>
                <w:szCs w:val="18"/>
              </w:rPr>
              <w:t>that</w:t>
            </w:r>
            <w:r w:rsidR="004C7643" w:rsidRPr="007F1E76">
              <w:rPr>
                <w:rFonts w:ascii="Times New Roman" w:hAnsi="Times New Roman" w:cs="Times New Roman"/>
                <w:bCs/>
                <w:sz w:val="18"/>
                <w:szCs w:val="18"/>
              </w:rPr>
              <w:t xml:space="preserve"> </w:t>
            </w:r>
            <w:r w:rsidR="00316E48" w:rsidRPr="007F1E76">
              <w:rPr>
                <w:rFonts w:ascii="Times New Roman" w:hAnsi="Times New Roman" w:cs="Times New Roman"/>
                <w:bCs/>
                <w:sz w:val="18"/>
                <w:szCs w:val="18"/>
              </w:rPr>
              <w:t xml:space="preserve">also </w:t>
            </w:r>
            <w:r w:rsidR="004C7643" w:rsidRPr="007F1E76">
              <w:rPr>
                <w:rFonts w:ascii="Times New Roman" w:hAnsi="Times New Roman" w:cs="Times New Roman"/>
                <w:bCs/>
                <w:sz w:val="18"/>
                <w:szCs w:val="18"/>
              </w:rPr>
              <w:t xml:space="preserve">centres around principles of international human rights and norms. </w:t>
            </w:r>
          </w:p>
          <w:p w14:paraId="47C6C656" w14:textId="77777777" w:rsidR="00316E48" w:rsidRPr="007F1E76" w:rsidRDefault="00316E48" w:rsidP="00061C51">
            <w:pPr>
              <w:tabs>
                <w:tab w:val="left" w:pos="1080"/>
              </w:tabs>
              <w:spacing w:after="0" w:line="240" w:lineRule="auto"/>
              <w:jc w:val="both"/>
              <w:rPr>
                <w:rFonts w:ascii="Times New Roman" w:hAnsi="Times New Roman" w:cs="Times New Roman"/>
                <w:bCs/>
                <w:sz w:val="18"/>
                <w:szCs w:val="18"/>
              </w:rPr>
            </w:pPr>
          </w:p>
          <w:p w14:paraId="0ACCAA28" w14:textId="04530A86" w:rsidR="00624461" w:rsidRPr="007F1E76" w:rsidRDefault="004C7643" w:rsidP="00061C51">
            <w:pPr>
              <w:tabs>
                <w:tab w:val="left" w:pos="1080"/>
              </w:tabs>
              <w:spacing w:after="0" w:line="240" w:lineRule="auto"/>
              <w:jc w:val="both"/>
              <w:rPr>
                <w:rFonts w:ascii="Times New Roman" w:hAnsi="Times New Roman" w:cs="Times New Roman"/>
                <w:bCs/>
                <w:sz w:val="18"/>
                <w:szCs w:val="18"/>
              </w:rPr>
            </w:pPr>
            <w:r w:rsidRPr="007F1E76">
              <w:rPr>
                <w:rFonts w:ascii="Times New Roman" w:hAnsi="Times New Roman" w:cs="Times New Roman"/>
                <w:bCs/>
                <w:sz w:val="18"/>
                <w:szCs w:val="18"/>
              </w:rPr>
              <w:t xml:space="preserve">Also in view of the rather crowded field of human rights </w:t>
            </w:r>
            <w:r w:rsidR="00316E48" w:rsidRPr="007F1E76">
              <w:rPr>
                <w:rFonts w:ascii="Times New Roman" w:hAnsi="Times New Roman" w:cs="Times New Roman"/>
                <w:bCs/>
                <w:sz w:val="18"/>
                <w:szCs w:val="18"/>
              </w:rPr>
              <w:t>in Iraq that</w:t>
            </w:r>
            <w:r w:rsidRPr="007F1E76">
              <w:rPr>
                <w:rFonts w:ascii="Times New Roman" w:hAnsi="Times New Roman" w:cs="Times New Roman"/>
                <w:bCs/>
                <w:sz w:val="18"/>
                <w:szCs w:val="18"/>
              </w:rPr>
              <w:t xml:space="preserve"> already has multiple international partners actively engaged in Iraq, it is not a prudent approach for the </w:t>
            </w:r>
            <w:r w:rsidR="003207E9">
              <w:rPr>
                <w:rFonts w:ascii="Times New Roman" w:hAnsi="Times New Roman" w:cs="Times New Roman"/>
                <w:bCs/>
                <w:sz w:val="18"/>
                <w:szCs w:val="18"/>
              </w:rPr>
              <w:t>Project</w:t>
            </w:r>
            <w:r w:rsidRPr="007F1E76">
              <w:rPr>
                <w:rFonts w:ascii="Times New Roman" w:hAnsi="Times New Roman" w:cs="Times New Roman"/>
                <w:bCs/>
                <w:sz w:val="18"/>
                <w:szCs w:val="18"/>
              </w:rPr>
              <w:t xml:space="preserve"> to replicate and overlap these interventions</w:t>
            </w:r>
            <w:r w:rsidR="00130C35" w:rsidRPr="007F1E76">
              <w:rPr>
                <w:rFonts w:ascii="Times New Roman" w:hAnsi="Times New Roman" w:cs="Times New Roman"/>
                <w:bCs/>
                <w:sz w:val="18"/>
                <w:szCs w:val="18"/>
              </w:rPr>
              <w:t xml:space="preserve">, </w:t>
            </w:r>
            <w:r w:rsidRPr="007F1E76">
              <w:rPr>
                <w:rFonts w:ascii="Times New Roman" w:hAnsi="Times New Roman" w:cs="Times New Roman"/>
                <w:bCs/>
                <w:sz w:val="18"/>
                <w:szCs w:val="18"/>
              </w:rPr>
              <w:t xml:space="preserve"> </w:t>
            </w:r>
            <w:r w:rsidR="00130C35" w:rsidRPr="007F1E76">
              <w:rPr>
                <w:rFonts w:ascii="Times New Roman" w:hAnsi="Times New Roman" w:cs="Times New Roman"/>
                <w:bCs/>
                <w:sz w:val="18"/>
                <w:szCs w:val="18"/>
              </w:rPr>
              <w:t xml:space="preserve">instead </w:t>
            </w:r>
            <w:r w:rsidRPr="007F1E76">
              <w:rPr>
                <w:rFonts w:ascii="Times New Roman" w:hAnsi="Times New Roman" w:cs="Times New Roman"/>
                <w:bCs/>
                <w:sz w:val="18"/>
                <w:szCs w:val="18"/>
              </w:rPr>
              <w:t xml:space="preserve"> utilise project resources prudently by i</w:t>
            </w:r>
            <w:r w:rsidRPr="007F1E76">
              <w:rPr>
                <w:rFonts w:ascii="Times New Roman" w:hAnsi="Times New Roman" w:cs="Times New Roman"/>
                <w:bCs/>
                <w:sz w:val="18"/>
                <w:szCs w:val="18"/>
                <w:u w:val="single"/>
              </w:rPr>
              <w:t xml:space="preserve">ntegrating </w:t>
            </w:r>
            <w:r w:rsidRPr="007F1E76">
              <w:rPr>
                <w:rFonts w:ascii="Times New Roman" w:hAnsi="Times New Roman" w:cs="Times New Roman"/>
                <w:bCs/>
                <w:sz w:val="18"/>
                <w:szCs w:val="18"/>
              </w:rPr>
              <w:t>human rights approach</w:t>
            </w:r>
            <w:r w:rsidR="00130C35" w:rsidRPr="007F1E76">
              <w:rPr>
                <w:rFonts w:ascii="Times New Roman" w:hAnsi="Times New Roman" w:cs="Times New Roman"/>
                <w:bCs/>
                <w:sz w:val="18"/>
                <w:szCs w:val="18"/>
              </w:rPr>
              <w:t>es</w:t>
            </w:r>
            <w:r w:rsidRPr="007F1E76">
              <w:rPr>
                <w:rFonts w:ascii="Times New Roman" w:hAnsi="Times New Roman" w:cs="Times New Roman"/>
                <w:bCs/>
                <w:sz w:val="18"/>
                <w:szCs w:val="18"/>
              </w:rPr>
              <w:t xml:space="preserve"> to all its key activities to strengthen local policing, gender responsive policing,</w:t>
            </w:r>
            <w:r w:rsidR="00130C35" w:rsidRPr="007F1E76">
              <w:rPr>
                <w:rFonts w:ascii="Times New Roman" w:hAnsi="Times New Roman" w:cs="Times New Roman"/>
                <w:bCs/>
                <w:sz w:val="18"/>
                <w:szCs w:val="18"/>
              </w:rPr>
              <w:t xml:space="preserve"> and to improve</w:t>
            </w:r>
            <w:r w:rsidRPr="007F1E76">
              <w:rPr>
                <w:rFonts w:ascii="Times New Roman" w:hAnsi="Times New Roman" w:cs="Times New Roman"/>
                <w:bCs/>
                <w:sz w:val="18"/>
                <w:szCs w:val="18"/>
              </w:rPr>
              <w:t xml:space="preserve"> justice sector case investigations and adjudications</w:t>
            </w:r>
            <w:r w:rsidR="00130C35" w:rsidRPr="007F1E76">
              <w:rPr>
                <w:rFonts w:ascii="Times New Roman" w:hAnsi="Times New Roman" w:cs="Times New Roman"/>
                <w:bCs/>
                <w:sz w:val="18"/>
                <w:szCs w:val="18"/>
              </w:rPr>
              <w:t>,</w:t>
            </w:r>
            <w:r w:rsidRPr="007F1E76">
              <w:rPr>
                <w:rFonts w:ascii="Times New Roman" w:hAnsi="Times New Roman" w:cs="Times New Roman"/>
                <w:bCs/>
                <w:sz w:val="18"/>
                <w:szCs w:val="18"/>
              </w:rPr>
              <w:t xml:space="preserve"> while also working in close partnership with</w:t>
            </w:r>
            <w:r w:rsidR="00130C35" w:rsidRPr="007F1E76">
              <w:rPr>
                <w:rFonts w:ascii="Times New Roman" w:hAnsi="Times New Roman" w:cs="Times New Roman"/>
                <w:bCs/>
                <w:sz w:val="18"/>
                <w:szCs w:val="18"/>
              </w:rPr>
              <w:t xml:space="preserve"> afore mentioned</w:t>
            </w:r>
            <w:r w:rsidRPr="007F1E76">
              <w:rPr>
                <w:rFonts w:ascii="Times New Roman" w:hAnsi="Times New Roman" w:cs="Times New Roman"/>
                <w:bCs/>
                <w:sz w:val="18"/>
                <w:szCs w:val="18"/>
              </w:rPr>
              <w:t xml:space="preserve"> partners who</w:t>
            </w:r>
            <w:r w:rsidR="00130C35" w:rsidRPr="007F1E76">
              <w:rPr>
                <w:rFonts w:ascii="Times New Roman" w:hAnsi="Times New Roman" w:cs="Times New Roman"/>
                <w:bCs/>
                <w:sz w:val="18"/>
                <w:szCs w:val="18"/>
              </w:rPr>
              <w:t>se core business is to promote and protect</w:t>
            </w:r>
            <w:r w:rsidRPr="007F1E76">
              <w:rPr>
                <w:rFonts w:ascii="Times New Roman" w:hAnsi="Times New Roman" w:cs="Times New Roman"/>
                <w:bCs/>
                <w:sz w:val="18"/>
                <w:szCs w:val="18"/>
              </w:rPr>
              <w:t xml:space="preserve"> human rights in Iraq</w:t>
            </w:r>
            <w:r w:rsidR="00130C35" w:rsidRPr="007F1E76">
              <w:rPr>
                <w:rFonts w:ascii="Times New Roman" w:hAnsi="Times New Roman" w:cs="Times New Roman"/>
                <w:bCs/>
                <w:sz w:val="18"/>
                <w:szCs w:val="18"/>
              </w:rPr>
              <w:t xml:space="preserve">. </w:t>
            </w:r>
            <w:r w:rsidR="00EF3B96" w:rsidRPr="007F1E76">
              <w:rPr>
                <w:rFonts w:ascii="Times New Roman" w:hAnsi="Times New Roman" w:cs="Times New Roman"/>
                <w:bCs/>
                <w:sz w:val="18"/>
                <w:szCs w:val="18"/>
              </w:rPr>
              <w:t>Thus,</w:t>
            </w:r>
            <w:r w:rsidR="00130C35" w:rsidRPr="007F1E76">
              <w:rPr>
                <w:rFonts w:ascii="Times New Roman" w:hAnsi="Times New Roman" w:cs="Times New Roman"/>
                <w:bCs/>
                <w:sz w:val="18"/>
                <w:szCs w:val="18"/>
              </w:rPr>
              <w:t xml:space="preserve"> </w:t>
            </w:r>
            <w:proofErr w:type="gramStart"/>
            <w:r w:rsidR="00130C35" w:rsidRPr="007F1E76">
              <w:rPr>
                <w:rFonts w:ascii="Times New Roman" w:hAnsi="Times New Roman" w:cs="Times New Roman"/>
                <w:bCs/>
                <w:sz w:val="18"/>
                <w:szCs w:val="18"/>
              </w:rPr>
              <w:t>wisely</w:t>
            </w:r>
            <w:proofErr w:type="gramEnd"/>
            <w:r w:rsidR="00130C35" w:rsidRPr="007F1E76">
              <w:rPr>
                <w:rFonts w:ascii="Times New Roman" w:hAnsi="Times New Roman" w:cs="Times New Roman"/>
                <w:bCs/>
                <w:sz w:val="18"/>
                <w:szCs w:val="18"/>
              </w:rPr>
              <w:t xml:space="preserve"> and better pool</w:t>
            </w:r>
            <w:r w:rsidRPr="007F1E76">
              <w:rPr>
                <w:rFonts w:ascii="Times New Roman" w:hAnsi="Times New Roman" w:cs="Times New Roman"/>
                <w:bCs/>
                <w:sz w:val="18"/>
                <w:szCs w:val="18"/>
              </w:rPr>
              <w:t xml:space="preserve"> expertise, build synergies and strengthen collaborations to foster and protect human rights</w:t>
            </w:r>
            <w:r w:rsidR="00130C35" w:rsidRPr="007F1E76">
              <w:rPr>
                <w:rFonts w:ascii="Times New Roman" w:hAnsi="Times New Roman" w:cs="Times New Roman"/>
                <w:bCs/>
                <w:sz w:val="18"/>
                <w:szCs w:val="18"/>
              </w:rPr>
              <w:t>.</w:t>
            </w:r>
          </w:p>
          <w:p w14:paraId="204E36C1" w14:textId="739743A8" w:rsidR="004C7643" w:rsidRPr="007F1E76" w:rsidRDefault="004C7643" w:rsidP="00061C51">
            <w:pPr>
              <w:tabs>
                <w:tab w:val="left" w:pos="1080"/>
              </w:tabs>
              <w:spacing w:after="0" w:line="240" w:lineRule="auto"/>
              <w:jc w:val="both"/>
              <w:rPr>
                <w:rFonts w:ascii="Times New Roman" w:hAnsi="Times New Roman" w:cs="Times New Roman"/>
                <w:bCs/>
                <w:sz w:val="18"/>
                <w:szCs w:val="18"/>
              </w:rPr>
            </w:pPr>
          </w:p>
          <w:p w14:paraId="0D0B710E" w14:textId="1F674C7E" w:rsidR="004C7643" w:rsidRPr="007F1E76" w:rsidRDefault="00517998" w:rsidP="00061C51">
            <w:pPr>
              <w:tabs>
                <w:tab w:val="left" w:pos="1080"/>
              </w:tabs>
              <w:spacing w:after="0" w:line="240" w:lineRule="auto"/>
              <w:jc w:val="both"/>
              <w:rPr>
                <w:rFonts w:ascii="Times New Roman" w:hAnsi="Times New Roman" w:cs="Times New Roman"/>
                <w:bCs/>
                <w:sz w:val="18"/>
                <w:szCs w:val="18"/>
              </w:rPr>
            </w:pPr>
            <w:r w:rsidRPr="007F1E76">
              <w:rPr>
                <w:rFonts w:ascii="Times New Roman" w:hAnsi="Times New Roman" w:cs="Times New Roman"/>
                <w:bCs/>
                <w:sz w:val="18"/>
                <w:szCs w:val="18"/>
              </w:rPr>
              <w:t>Similarly,</w:t>
            </w:r>
            <w:r w:rsidR="004C7643" w:rsidRPr="007F1E76">
              <w:rPr>
                <w:rFonts w:ascii="Times New Roman" w:hAnsi="Times New Roman" w:cs="Times New Roman"/>
                <w:bCs/>
                <w:sz w:val="18"/>
                <w:szCs w:val="18"/>
              </w:rPr>
              <w:t xml:space="preserve"> UNDP Iraq CO already has a comprehensive programme on anti- corruption </w:t>
            </w:r>
            <w:r w:rsidRPr="007F1E76">
              <w:rPr>
                <w:rFonts w:ascii="Times New Roman" w:hAnsi="Times New Roman" w:cs="Times New Roman"/>
                <w:bCs/>
                <w:sz w:val="18"/>
                <w:szCs w:val="18"/>
              </w:rPr>
              <w:t xml:space="preserve">therefore it is not prudent for </w:t>
            </w:r>
            <w:r w:rsidR="00883139">
              <w:rPr>
                <w:rFonts w:ascii="Times New Roman" w:hAnsi="Times New Roman" w:cs="Times New Roman"/>
                <w:bCs/>
                <w:sz w:val="18"/>
                <w:szCs w:val="18"/>
              </w:rPr>
              <w:t>this Project</w:t>
            </w:r>
            <w:r w:rsidRPr="007F1E76">
              <w:rPr>
                <w:rFonts w:ascii="Times New Roman" w:hAnsi="Times New Roman" w:cs="Times New Roman"/>
                <w:bCs/>
                <w:sz w:val="18"/>
                <w:szCs w:val="18"/>
              </w:rPr>
              <w:t xml:space="preserve"> to duplicate these on-going efforts by also attempting </w:t>
            </w:r>
            <w:r w:rsidR="00130C35" w:rsidRPr="007F1E76">
              <w:rPr>
                <w:rFonts w:ascii="Times New Roman" w:hAnsi="Times New Roman" w:cs="Times New Roman"/>
                <w:bCs/>
                <w:sz w:val="18"/>
                <w:szCs w:val="18"/>
              </w:rPr>
              <w:t xml:space="preserve">to </w:t>
            </w:r>
            <w:r w:rsidRPr="007F1E76">
              <w:rPr>
                <w:rFonts w:ascii="Times New Roman" w:hAnsi="Times New Roman" w:cs="Times New Roman"/>
                <w:bCs/>
                <w:sz w:val="18"/>
                <w:szCs w:val="18"/>
              </w:rPr>
              <w:t>engage in anti- corruption sphere. Instead, th</w:t>
            </w:r>
            <w:r w:rsidR="00883139">
              <w:rPr>
                <w:rFonts w:ascii="Times New Roman" w:hAnsi="Times New Roman" w:cs="Times New Roman"/>
                <w:bCs/>
                <w:sz w:val="18"/>
                <w:szCs w:val="18"/>
              </w:rPr>
              <w:t>is Project</w:t>
            </w:r>
            <w:r w:rsidR="00043955">
              <w:rPr>
                <w:rFonts w:ascii="Times New Roman" w:hAnsi="Times New Roman" w:cs="Times New Roman"/>
                <w:bCs/>
                <w:sz w:val="18"/>
                <w:szCs w:val="18"/>
              </w:rPr>
              <w:t xml:space="preserve"> </w:t>
            </w:r>
            <w:r w:rsidRPr="007F1E76">
              <w:rPr>
                <w:rFonts w:ascii="Times New Roman" w:hAnsi="Times New Roman" w:cs="Times New Roman"/>
                <w:bCs/>
                <w:sz w:val="18"/>
                <w:szCs w:val="18"/>
              </w:rPr>
              <w:t>works in close collaboration with the UNDP A</w:t>
            </w:r>
            <w:r w:rsidR="009D3E8D">
              <w:rPr>
                <w:rFonts w:ascii="Times New Roman" w:hAnsi="Times New Roman" w:cs="Times New Roman"/>
                <w:bCs/>
                <w:sz w:val="18"/>
                <w:szCs w:val="18"/>
              </w:rPr>
              <w:t>nti</w:t>
            </w:r>
            <w:r w:rsidRPr="007F1E76">
              <w:rPr>
                <w:rFonts w:ascii="Times New Roman" w:hAnsi="Times New Roman" w:cs="Times New Roman"/>
                <w:bCs/>
                <w:sz w:val="18"/>
                <w:szCs w:val="18"/>
              </w:rPr>
              <w:t xml:space="preserve"> – Corruption Programme to maximise efforts in the areas where there are synergies specifically </w:t>
            </w:r>
            <w:r w:rsidR="00130C35" w:rsidRPr="007F1E76">
              <w:rPr>
                <w:rFonts w:ascii="Times New Roman" w:hAnsi="Times New Roman" w:cs="Times New Roman"/>
                <w:bCs/>
                <w:sz w:val="18"/>
                <w:szCs w:val="18"/>
              </w:rPr>
              <w:t>about</w:t>
            </w:r>
            <w:r w:rsidRPr="007F1E76">
              <w:rPr>
                <w:rFonts w:ascii="Times New Roman" w:hAnsi="Times New Roman" w:cs="Times New Roman"/>
                <w:bCs/>
                <w:sz w:val="18"/>
                <w:szCs w:val="18"/>
              </w:rPr>
              <w:t xml:space="preserve"> financial crimes investigations and adjudication work at federal and KRI levels by </w:t>
            </w:r>
            <w:r w:rsidR="00883139">
              <w:rPr>
                <w:rFonts w:ascii="Times New Roman" w:hAnsi="Times New Roman" w:cs="Times New Roman"/>
                <w:bCs/>
                <w:sz w:val="18"/>
                <w:szCs w:val="18"/>
              </w:rPr>
              <w:t>this Project</w:t>
            </w:r>
            <w:r w:rsidRPr="007F1E76">
              <w:rPr>
                <w:rFonts w:ascii="Times New Roman" w:hAnsi="Times New Roman" w:cs="Times New Roman"/>
                <w:bCs/>
                <w:sz w:val="18"/>
                <w:szCs w:val="18"/>
              </w:rPr>
              <w:t>.</w:t>
            </w:r>
          </w:p>
          <w:p w14:paraId="0872E2BE" w14:textId="415CBCC6" w:rsidR="00130C35" w:rsidRPr="007F1E76" w:rsidRDefault="00517998" w:rsidP="00517998">
            <w:pPr>
              <w:tabs>
                <w:tab w:val="left" w:pos="1080"/>
              </w:tabs>
              <w:spacing w:after="0" w:line="240" w:lineRule="auto"/>
              <w:jc w:val="both"/>
              <w:rPr>
                <w:rFonts w:ascii="Times New Roman" w:hAnsi="Times New Roman" w:cs="Times New Roman"/>
                <w:bCs/>
                <w:sz w:val="18"/>
                <w:szCs w:val="18"/>
              </w:rPr>
            </w:pPr>
            <w:r w:rsidRPr="007F1E76">
              <w:rPr>
                <w:rFonts w:ascii="Times New Roman" w:hAnsi="Times New Roman" w:cs="Times New Roman"/>
                <w:bCs/>
                <w:sz w:val="18"/>
                <w:szCs w:val="18"/>
              </w:rPr>
              <w:t xml:space="preserve">In light of the above </w:t>
            </w:r>
            <w:r w:rsidR="00EF3B96" w:rsidRPr="007F1E76">
              <w:rPr>
                <w:rFonts w:ascii="Times New Roman" w:hAnsi="Times New Roman" w:cs="Times New Roman"/>
                <w:bCs/>
                <w:sz w:val="18"/>
                <w:szCs w:val="18"/>
              </w:rPr>
              <w:t>clarifications, appropriate</w:t>
            </w:r>
            <w:r w:rsidR="00130C35" w:rsidRPr="007F1E76">
              <w:rPr>
                <w:rFonts w:ascii="Times New Roman" w:hAnsi="Times New Roman" w:cs="Times New Roman"/>
                <w:bCs/>
                <w:sz w:val="18"/>
                <w:szCs w:val="18"/>
              </w:rPr>
              <w:t xml:space="preserve"> and necessary action corresponding to this recommendation is already in progress, </w:t>
            </w:r>
            <w:proofErr w:type="gramStart"/>
            <w:r w:rsidR="00130C35" w:rsidRPr="007F1E76">
              <w:rPr>
                <w:rFonts w:ascii="Times New Roman" w:hAnsi="Times New Roman" w:cs="Times New Roman"/>
                <w:bCs/>
                <w:sz w:val="18"/>
                <w:szCs w:val="18"/>
              </w:rPr>
              <w:t xml:space="preserve">and </w:t>
            </w:r>
            <w:r w:rsidRPr="007F1E76">
              <w:rPr>
                <w:rFonts w:ascii="Times New Roman" w:hAnsi="Times New Roman" w:cs="Times New Roman"/>
                <w:bCs/>
                <w:sz w:val="18"/>
                <w:szCs w:val="18"/>
              </w:rPr>
              <w:t xml:space="preserve"> no</w:t>
            </w:r>
            <w:proofErr w:type="gramEnd"/>
            <w:r w:rsidRPr="007F1E76">
              <w:rPr>
                <w:rFonts w:ascii="Times New Roman" w:hAnsi="Times New Roman" w:cs="Times New Roman"/>
                <w:bCs/>
                <w:sz w:val="18"/>
                <w:szCs w:val="18"/>
              </w:rPr>
              <w:t xml:space="preserve"> further action is required under this recommendation.</w:t>
            </w:r>
          </w:p>
        </w:tc>
      </w:tr>
      <w:tr w:rsidR="00834F97" w:rsidRPr="00867815" w14:paraId="2D0513C8" w14:textId="77777777" w:rsidTr="00061C51">
        <w:trPr>
          <w:trHeight w:val="135"/>
        </w:trPr>
        <w:tc>
          <w:tcPr>
            <w:tcW w:w="4147" w:type="dxa"/>
            <w:vMerge w:val="restart"/>
            <w:shd w:val="clear" w:color="auto" w:fill="EAF6F3"/>
            <w:vAlign w:val="center"/>
          </w:tcPr>
          <w:p w14:paraId="2645D2B3" w14:textId="77777777" w:rsidR="00834F97" w:rsidRPr="00867815" w:rsidRDefault="00834F97" w:rsidP="00061C51">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lastRenderedPageBreak/>
              <w:t>Key action(s)</w:t>
            </w:r>
          </w:p>
        </w:tc>
        <w:tc>
          <w:tcPr>
            <w:tcW w:w="1350" w:type="dxa"/>
            <w:vMerge w:val="restart"/>
            <w:shd w:val="clear" w:color="auto" w:fill="EAF6F3"/>
            <w:vAlign w:val="center"/>
          </w:tcPr>
          <w:p w14:paraId="5FB0ED33" w14:textId="77777777" w:rsidR="00834F97" w:rsidRPr="00867815" w:rsidRDefault="00834F97" w:rsidP="00061C51">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952" w:type="dxa"/>
            <w:vMerge w:val="restart"/>
            <w:shd w:val="clear" w:color="auto" w:fill="EAF6F3"/>
            <w:vAlign w:val="center"/>
          </w:tcPr>
          <w:p w14:paraId="2188A501" w14:textId="77777777" w:rsidR="00834F97" w:rsidRPr="00867815" w:rsidRDefault="00834F97" w:rsidP="00061C51">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181" w:type="dxa"/>
            <w:gridSpan w:val="2"/>
            <w:shd w:val="clear" w:color="auto" w:fill="EAF6F3"/>
          </w:tcPr>
          <w:p w14:paraId="122EEB49" w14:textId="77777777" w:rsidR="00834F97" w:rsidRPr="00867815" w:rsidRDefault="00834F97" w:rsidP="00061C51">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834F97" w:rsidRPr="00867815" w14:paraId="09C6B5DD" w14:textId="77777777" w:rsidTr="3CC5BCA3">
        <w:trPr>
          <w:trHeight w:val="135"/>
        </w:trPr>
        <w:tc>
          <w:tcPr>
            <w:tcW w:w="4147" w:type="dxa"/>
            <w:vMerge/>
          </w:tcPr>
          <w:p w14:paraId="36D4A557" w14:textId="77777777" w:rsidR="00834F97" w:rsidRPr="00867815" w:rsidRDefault="00834F97" w:rsidP="00061C51">
            <w:pPr>
              <w:tabs>
                <w:tab w:val="left" w:pos="1080"/>
              </w:tabs>
              <w:spacing w:after="0" w:line="240" w:lineRule="auto"/>
              <w:jc w:val="both"/>
              <w:rPr>
                <w:rFonts w:ascii="Times New Roman" w:hAnsi="Times New Roman" w:cs="Times New Roman"/>
                <w:color w:val="185262"/>
                <w:sz w:val="18"/>
                <w:szCs w:val="18"/>
              </w:rPr>
            </w:pPr>
          </w:p>
        </w:tc>
        <w:tc>
          <w:tcPr>
            <w:tcW w:w="1350" w:type="dxa"/>
            <w:vMerge/>
          </w:tcPr>
          <w:p w14:paraId="16D7D19A" w14:textId="77777777" w:rsidR="00834F97" w:rsidRPr="00867815" w:rsidRDefault="00834F97" w:rsidP="00061C51">
            <w:pPr>
              <w:tabs>
                <w:tab w:val="left" w:pos="1080"/>
              </w:tabs>
              <w:spacing w:after="0" w:line="240" w:lineRule="auto"/>
              <w:jc w:val="both"/>
              <w:rPr>
                <w:rFonts w:ascii="Times New Roman" w:hAnsi="Times New Roman" w:cs="Times New Roman"/>
                <w:b/>
                <w:color w:val="185262"/>
                <w:sz w:val="18"/>
                <w:szCs w:val="18"/>
              </w:rPr>
            </w:pPr>
          </w:p>
        </w:tc>
        <w:tc>
          <w:tcPr>
            <w:tcW w:w="1952" w:type="dxa"/>
            <w:vMerge/>
          </w:tcPr>
          <w:p w14:paraId="7090AFFF" w14:textId="77777777" w:rsidR="00834F97" w:rsidRPr="00867815" w:rsidRDefault="00834F97" w:rsidP="00061C51">
            <w:pPr>
              <w:tabs>
                <w:tab w:val="left" w:pos="1080"/>
              </w:tabs>
              <w:spacing w:after="0" w:line="240" w:lineRule="auto"/>
              <w:jc w:val="both"/>
              <w:rPr>
                <w:rFonts w:ascii="Times New Roman" w:hAnsi="Times New Roman" w:cs="Times New Roman"/>
                <w:b/>
                <w:color w:val="185262"/>
                <w:sz w:val="18"/>
                <w:szCs w:val="18"/>
              </w:rPr>
            </w:pPr>
          </w:p>
        </w:tc>
        <w:tc>
          <w:tcPr>
            <w:tcW w:w="1101" w:type="dxa"/>
          </w:tcPr>
          <w:p w14:paraId="79BCCC89" w14:textId="77777777" w:rsidR="00834F97" w:rsidRPr="00867815" w:rsidRDefault="00834F97" w:rsidP="00061C51">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080" w:type="dxa"/>
          </w:tcPr>
          <w:p w14:paraId="186585B2" w14:textId="3B1EED78" w:rsidR="00834F97" w:rsidRPr="0007378B" w:rsidRDefault="00834F97" w:rsidP="00061C51">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Status</w:t>
            </w:r>
            <w:r w:rsidR="0007378B">
              <w:rPr>
                <w:rFonts w:ascii="Times New Roman" w:hAnsi="Times New Roman" w:cs="Times New Roman"/>
                <w:b/>
                <w:color w:val="185262"/>
                <w:sz w:val="18"/>
                <w:szCs w:val="18"/>
              </w:rPr>
              <w:t xml:space="preserve"> </w:t>
            </w:r>
            <w:r w:rsidRPr="00867815">
              <w:rPr>
                <w:rFonts w:ascii="Times New Roman" w:hAnsi="Times New Roman" w:cs="Times New Roman"/>
                <w:bCs/>
                <w:i/>
                <w:iCs/>
                <w:color w:val="185262"/>
                <w:sz w:val="18"/>
                <w:szCs w:val="18"/>
              </w:rPr>
              <w:t>(initiated, completed or no due date)</w:t>
            </w:r>
          </w:p>
        </w:tc>
      </w:tr>
      <w:tr w:rsidR="0095796A" w:rsidRPr="00867815" w14:paraId="79137C6A" w14:textId="77777777" w:rsidTr="00061C51">
        <w:tc>
          <w:tcPr>
            <w:tcW w:w="4147" w:type="dxa"/>
          </w:tcPr>
          <w:p w14:paraId="63F4E4D2" w14:textId="53F6C486" w:rsidR="0095796A" w:rsidRPr="00867815" w:rsidRDefault="000E3C40" w:rsidP="00061C51">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 xml:space="preserve">Not Applicable. </w:t>
            </w:r>
          </w:p>
        </w:tc>
        <w:tc>
          <w:tcPr>
            <w:tcW w:w="1350" w:type="dxa"/>
          </w:tcPr>
          <w:p w14:paraId="44FB4A78" w14:textId="488125B2" w:rsidR="0095796A" w:rsidRPr="00867815" w:rsidRDefault="5E2DB9F5" w:rsidP="00061C51">
            <w:pPr>
              <w:tabs>
                <w:tab w:val="left" w:pos="1080"/>
              </w:tabs>
              <w:spacing w:after="0" w:line="240" w:lineRule="auto"/>
              <w:jc w:val="both"/>
              <w:rPr>
                <w:rFonts w:ascii="Times New Roman" w:hAnsi="Times New Roman" w:cs="Times New Roman"/>
                <w:color w:val="185262"/>
                <w:sz w:val="18"/>
                <w:szCs w:val="18"/>
              </w:rPr>
            </w:pPr>
            <w:r w:rsidRPr="3CC5BCA3">
              <w:rPr>
                <w:rFonts w:ascii="Times New Roman" w:hAnsi="Times New Roman" w:cs="Times New Roman"/>
                <w:color w:val="185262"/>
                <w:sz w:val="18"/>
                <w:szCs w:val="18"/>
              </w:rPr>
              <w:t>NA</w:t>
            </w:r>
          </w:p>
        </w:tc>
        <w:tc>
          <w:tcPr>
            <w:tcW w:w="1952" w:type="dxa"/>
          </w:tcPr>
          <w:p w14:paraId="7764B2EF" w14:textId="25749DB6" w:rsidR="0095796A" w:rsidRPr="00867815" w:rsidRDefault="5E2DB9F5" w:rsidP="00061C51">
            <w:pPr>
              <w:tabs>
                <w:tab w:val="left" w:pos="1080"/>
              </w:tabs>
              <w:spacing w:after="0" w:line="240" w:lineRule="auto"/>
              <w:jc w:val="both"/>
              <w:rPr>
                <w:rFonts w:ascii="Times New Roman" w:hAnsi="Times New Roman" w:cs="Times New Roman"/>
                <w:color w:val="185262"/>
                <w:sz w:val="18"/>
                <w:szCs w:val="18"/>
              </w:rPr>
            </w:pPr>
            <w:r w:rsidRPr="58B39F43">
              <w:rPr>
                <w:rFonts w:ascii="Times New Roman" w:hAnsi="Times New Roman" w:cs="Times New Roman"/>
                <w:color w:val="185262"/>
                <w:sz w:val="18"/>
                <w:szCs w:val="18"/>
              </w:rPr>
              <w:t>NA</w:t>
            </w:r>
          </w:p>
        </w:tc>
        <w:tc>
          <w:tcPr>
            <w:tcW w:w="1101" w:type="dxa"/>
          </w:tcPr>
          <w:p w14:paraId="6D3176C1" w14:textId="4D1B4F0D" w:rsidR="0095796A" w:rsidRPr="00867815" w:rsidRDefault="5E2DB9F5" w:rsidP="00061C51">
            <w:pPr>
              <w:tabs>
                <w:tab w:val="left" w:pos="1080"/>
              </w:tabs>
              <w:spacing w:after="0" w:line="240" w:lineRule="auto"/>
              <w:jc w:val="both"/>
              <w:rPr>
                <w:rFonts w:ascii="Times New Roman" w:hAnsi="Times New Roman" w:cs="Times New Roman"/>
                <w:color w:val="185262"/>
                <w:sz w:val="18"/>
                <w:szCs w:val="18"/>
              </w:rPr>
            </w:pPr>
            <w:r w:rsidRPr="58B39F43">
              <w:rPr>
                <w:rFonts w:ascii="Times New Roman" w:hAnsi="Times New Roman" w:cs="Times New Roman"/>
                <w:color w:val="185262"/>
                <w:sz w:val="18"/>
                <w:szCs w:val="18"/>
              </w:rPr>
              <w:t>NA</w:t>
            </w:r>
          </w:p>
        </w:tc>
        <w:tc>
          <w:tcPr>
            <w:tcW w:w="2080" w:type="dxa"/>
          </w:tcPr>
          <w:p w14:paraId="1DA5B4BD" w14:textId="0BDFF4E3" w:rsidR="0095796A" w:rsidRPr="00867815" w:rsidRDefault="5E2DB9F5" w:rsidP="00061C51">
            <w:pPr>
              <w:tabs>
                <w:tab w:val="left" w:pos="1080"/>
              </w:tabs>
              <w:spacing w:after="0" w:line="240" w:lineRule="auto"/>
              <w:jc w:val="both"/>
              <w:rPr>
                <w:rFonts w:ascii="Times New Roman" w:hAnsi="Times New Roman" w:cs="Times New Roman"/>
                <w:color w:val="185262"/>
                <w:sz w:val="18"/>
                <w:szCs w:val="18"/>
              </w:rPr>
            </w:pPr>
            <w:r w:rsidRPr="58B39F43">
              <w:rPr>
                <w:rFonts w:ascii="Times New Roman" w:hAnsi="Times New Roman" w:cs="Times New Roman"/>
                <w:color w:val="185262"/>
                <w:sz w:val="18"/>
                <w:szCs w:val="18"/>
              </w:rPr>
              <w:t>NA</w:t>
            </w:r>
          </w:p>
        </w:tc>
      </w:tr>
    </w:tbl>
    <w:p w14:paraId="5CF24A56" w14:textId="07BBAC27" w:rsidR="00834F97" w:rsidRPr="00867815" w:rsidRDefault="00834F97" w:rsidP="00E61BD7">
      <w:pPr>
        <w:tabs>
          <w:tab w:val="left" w:pos="1080"/>
        </w:tabs>
        <w:spacing w:after="0" w:line="240" w:lineRule="auto"/>
        <w:jc w:val="both"/>
        <w:rPr>
          <w:rFonts w:ascii="Times New Roman" w:hAnsi="Times New Roman" w:cs="Times New Roman"/>
          <w:color w:val="185262"/>
          <w:sz w:val="18"/>
          <w:szCs w:val="18"/>
          <w:lang w:eastAsia="ja-JP"/>
        </w:rPr>
      </w:pPr>
    </w:p>
    <w:tbl>
      <w:tblPr>
        <w:tblpPr w:leftFromText="180" w:rightFromText="180" w:vertAnchor="text" w:tblpX="-730" w:tblpY="31"/>
        <w:tblW w:w="1062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099"/>
        <w:gridCol w:w="1316"/>
        <w:gridCol w:w="1912"/>
        <w:gridCol w:w="1231"/>
        <w:gridCol w:w="2067"/>
      </w:tblGrid>
      <w:tr w:rsidR="00834F97" w:rsidRPr="00867815" w14:paraId="05759C1A" w14:textId="77777777" w:rsidTr="00D86A94">
        <w:tc>
          <w:tcPr>
            <w:tcW w:w="10625" w:type="dxa"/>
            <w:gridSpan w:val="5"/>
            <w:shd w:val="clear" w:color="auto" w:fill="EAF6F3"/>
          </w:tcPr>
          <w:p w14:paraId="25E2B63A" w14:textId="5EFD03A2" w:rsidR="00834F97" w:rsidRPr="000700EC" w:rsidRDefault="00834F97" w:rsidP="009D3C57">
            <w:pPr>
              <w:spacing w:after="0" w:line="240" w:lineRule="auto"/>
              <w:jc w:val="both"/>
              <w:rPr>
                <w:rFonts w:ascii="Times New Roman" w:eastAsia="Calibri" w:hAnsi="Times New Roman" w:cs="Times New Roman"/>
                <w:lang w:eastAsia="sl-SI"/>
              </w:rPr>
            </w:pPr>
            <w:r w:rsidRPr="00867815">
              <w:rPr>
                <w:rFonts w:ascii="Times New Roman" w:hAnsi="Times New Roman" w:cs="Times New Roman"/>
                <w:b/>
                <w:color w:val="185262"/>
                <w:sz w:val="18"/>
                <w:szCs w:val="18"/>
              </w:rPr>
              <w:t xml:space="preserve">Evaluation recommendation </w:t>
            </w:r>
            <w:r w:rsidR="004A624C" w:rsidRPr="00867815">
              <w:rPr>
                <w:rFonts w:ascii="Times New Roman" w:hAnsi="Times New Roman" w:cs="Times New Roman"/>
                <w:b/>
                <w:color w:val="185262"/>
                <w:sz w:val="18"/>
                <w:szCs w:val="18"/>
              </w:rPr>
              <w:t>5</w:t>
            </w:r>
            <w:r w:rsidR="005B7CAB" w:rsidRPr="00867815">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r w:rsidR="005B7CAB" w:rsidRPr="00867815">
              <w:rPr>
                <w:rFonts w:ascii="Times New Roman" w:hAnsi="Times New Roman" w:cs="Times New Roman"/>
                <w:b/>
                <w:sz w:val="18"/>
                <w:szCs w:val="18"/>
              </w:rPr>
              <w:t xml:space="preserve">Development of </w:t>
            </w:r>
            <w:r w:rsidR="009C641A">
              <w:rPr>
                <w:rFonts w:ascii="Times New Roman" w:hAnsi="Times New Roman" w:cs="Times New Roman"/>
                <w:b/>
                <w:sz w:val="18"/>
                <w:szCs w:val="18"/>
              </w:rPr>
              <w:t xml:space="preserve">an </w:t>
            </w:r>
            <w:r w:rsidR="005B7CAB" w:rsidRPr="00867815">
              <w:rPr>
                <w:rFonts w:ascii="Times New Roman" w:hAnsi="Times New Roman" w:cs="Times New Roman"/>
                <w:b/>
                <w:sz w:val="18"/>
                <w:szCs w:val="18"/>
              </w:rPr>
              <w:t>exit strategy</w:t>
            </w:r>
            <w:r w:rsidR="000700EC">
              <w:rPr>
                <w:rFonts w:ascii="Times New Roman" w:hAnsi="Times New Roman" w:cs="Times New Roman"/>
                <w:b/>
                <w:sz w:val="18"/>
                <w:szCs w:val="18"/>
              </w:rPr>
              <w:t xml:space="preserve">: </w:t>
            </w:r>
            <w:r w:rsidR="000700EC" w:rsidRPr="4C56EC95">
              <w:rPr>
                <w:rFonts w:ascii="Times New Roman" w:eastAsia="Calibri" w:hAnsi="Times New Roman" w:cs="Times New Roman"/>
                <w:lang w:eastAsia="sl-SI"/>
              </w:rPr>
              <w:t xml:space="preserve"> </w:t>
            </w:r>
            <w:r w:rsidR="000700EC" w:rsidRPr="000700EC">
              <w:rPr>
                <w:rFonts w:ascii="Times New Roman" w:eastAsia="Calibri" w:hAnsi="Times New Roman" w:cs="Times New Roman"/>
                <w:sz w:val="18"/>
                <w:szCs w:val="18"/>
                <w:lang w:eastAsia="sl-SI"/>
              </w:rPr>
              <w:t>UNDP should start developing an exit strategy together with the GOI and donors to identify areas where further support is less needed or areas where there is no sustainability and/or less progress. The elaboration of an exit strategy outline with an indicative agenda should start before the next project extension, which will also enable better definition of mid-and-long term priorities for the third phase</w:t>
            </w:r>
            <w:r w:rsidR="000700EC" w:rsidRPr="4C56EC95">
              <w:rPr>
                <w:rFonts w:ascii="Times New Roman" w:eastAsia="Calibri" w:hAnsi="Times New Roman" w:cs="Times New Roman"/>
                <w:lang w:eastAsia="sl-SI"/>
              </w:rPr>
              <w:t>.</w:t>
            </w:r>
            <w:r w:rsidR="000700EC">
              <w:rPr>
                <w:rFonts w:ascii="Times New Roman" w:eastAsia="Calibri" w:hAnsi="Times New Roman" w:cs="Times New Roman"/>
                <w:lang w:eastAsia="sl-SI"/>
              </w:rPr>
              <w:t xml:space="preserve"> </w:t>
            </w:r>
          </w:p>
        </w:tc>
      </w:tr>
      <w:tr w:rsidR="00834F97" w:rsidRPr="00867815" w14:paraId="66B87583" w14:textId="77777777" w:rsidTr="00D86A94">
        <w:tc>
          <w:tcPr>
            <w:tcW w:w="10625" w:type="dxa"/>
            <w:gridSpan w:val="5"/>
            <w:shd w:val="clear" w:color="auto" w:fill="EAF6F3"/>
          </w:tcPr>
          <w:p w14:paraId="5480BDD6" w14:textId="77777777" w:rsidR="00D76E6C" w:rsidRPr="009D3E8D" w:rsidRDefault="00834F97" w:rsidP="009D3C57">
            <w:pPr>
              <w:tabs>
                <w:tab w:val="left" w:pos="1080"/>
              </w:tabs>
              <w:spacing w:after="0" w:line="240" w:lineRule="auto"/>
              <w:jc w:val="both"/>
              <w:rPr>
                <w:rFonts w:ascii="Times New Roman" w:hAnsi="Times New Roman" w:cs="Times New Roman"/>
                <w:sz w:val="18"/>
                <w:szCs w:val="18"/>
              </w:rPr>
            </w:pPr>
            <w:r w:rsidRPr="00867815">
              <w:rPr>
                <w:rFonts w:ascii="Times New Roman" w:hAnsi="Times New Roman" w:cs="Times New Roman"/>
                <w:b/>
                <w:color w:val="185262"/>
                <w:sz w:val="18"/>
                <w:szCs w:val="18"/>
              </w:rPr>
              <w:t>Management response:</w:t>
            </w:r>
            <w:r w:rsidR="00057746">
              <w:rPr>
                <w:rFonts w:ascii="Times New Roman" w:hAnsi="Times New Roman" w:cs="Times New Roman"/>
                <w:b/>
                <w:color w:val="185262"/>
                <w:sz w:val="18"/>
                <w:szCs w:val="18"/>
              </w:rPr>
              <w:t xml:space="preserve"> </w:t>
            </w:r>
            <w:r w:rsidR="000700EC" w:rsidRPr="00CF4A97">
              <w:rPr>
                <w:rFonts w:asciiTheme="majorBidi" w:hAnsiTheme="majorBidi" w:cstheme="majorBidi"/>
                <w:color w:val="FF0000"/>
                <w:sz w:val="18"/>
                <w:szCs w:val="18"/>
              </w:rPr>
              <w:t xml:space="preserve"> </w:t>
            </w:r>
            <w:r w:rsidR="000700EC" w:rsidRPr="009D3E8D">
              <w:rPr>
                <w:rFonts w:asciiTheme="majorBidi" w:hAnsiTheme="majorBidi" w:cstheme="majorBidi"/>
                <w:sz w:val="18"/>
                <w:szCs w:val="18"/>
              </w:rPr>
              <w:t xml:space="preserve">The recommendation is well received. </w:t>
            </w:r>
          </w:p>
          <w:p w14:paraId="0BF23A6F" w14:textId="494B033A" w:rsidR="000700EC" w:rsidRPr="009D3E8D" w:rsidRDefault="000700EC" w:rsidP="009D3C57">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The SSR /</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Programme</w:t>
            </w:r>
            <w:r w:rsidR="0035120E">
              <w:rPr>
                <w:rFonts w:ascii="Times New Roman" w:hAnsi="Times New Roman" w:cs="Times New Roman"/>
                <w:sz w:val="18"/>
                <w:szCs w:val="18"/>
              </w:rPr>
              <w:t xml:space="preserve"> is being extended until </w:t>
            </w:r>
            <w:proofErr w:type="gramStart"/>
            <w:r w:rsidR="00043955">
              <w:rPr>
                <w:rFonts w:ascii="Times New Roman" w:hAnsi="Times New Roman" w:cs="Times New Roman"/>
                <w:sz w:val="18"/>
                <w:szCs w:val="18"/>
              </w:rPr>
              <w:t xml:space="preserve">2025 </w:t>
            </w:r>
            <w:r w:rsidR="0035120E">
              <w:rPr>
                <w:rFonts w:ascii="Times New Roman" w:hAnsi="Times New Roman" w:cs="Times New Roman"/>
                <w:sz w:val="18"/>
                <w:szCs w:val="18"/>
              </w:rPr>
              <w:t>,</w:t>
            </w:r>
            <w:proofErr w:type="gramEnd"/>
            <w:r w:rsidR="0035120E">
              <w:rPr>
                <w:rFonts w:ascii="Times New Roman" w:hAnsi="Times New Roman" w:cs="Times New Roman"/>
                <w:sz w:val="18"/>
                <w:szCs w:val="18"/>
              </w:rPr>
              <w:t xml:space="preserve"> therefore</w:t>
            </w:r>
            <w:r w:rsidR="00AD6AD1">
              <w:rPr>
                <w:rFonts w:ascii="Times New Roman" w:hAnsi="Times New Roman" w:cs="Times New Roman"/>
                <w:sz w:val="18"/>
                <w:szCs w:val="18"/>
              </w:rPr>
              <w:t xml:space="preserve"> </w:t>
            </w:r>
            <w:r w:rsidRPr="009D3E8D">
              <w:rPr>
                <w:rFonts w:ascii="Times New Roman" w:hAnsi="Times New Roman" w:cs="Times New Roman"/>
                <w:sz w:val="18"/>
                <w:szCs w:val="18"/>
              </w:rPr>
              <w:t xml:space="preserve">intends to start working on the exit strategy from 2023.  Additionally, ongoing efforts by the UNDP Funding Facility for Stabilisation (FFS) to develop </w:t>
            </w:r>
            <w:r w:rsidR="007F0699" w:rsidRPr="009D3E8D">
              <w:rPr>
                <w:rFonts w:ascii="Times New Roman" w:hAnsi="Times New Roman" w:cs="Times New Roman"/>
                <w:sz w:val="18"/>
                <w:szCs w:val="18"/>
              </w:rPr>
              <w:t>its</w:t>
            </w:r>
            <w:r w:rsidRPr="009D3E8D">
              <w:rPr>
                <w:rFonts w:ascii="Times New Roman" w:hAnsi="Times New Roman" w:cs="Times New Roman"/>
                <w:sz w:val="18"/>
                <w:szCs w:val="18"/>
              </w:rPr>
              <w:t xml:space="preserve"> exit </w:t>
            </w:r>
            <w:r w:rsidR="009D3E8D" w:rsidRPr="009D3E8D">
              <w:rPr>
                <w:rFonts w:ascii="Times New Roman" w:hAnsi="Times New Roman" w:cs="Times New Roman"/>
                <w:sz w:val="18"/>
                <w:szCs w:val="18"/>
              </w:rPr>
              <w:t>strategy is</w:t>
            </w:r>
            <w:r w:rsidR="007F0699" w:rsidRPr="009D3E8D">
              <w:rPr>
                <w:rFonts w:ascii="Times New Roman" w:hAnsi="Times New Roman" w:cs="Times New Roman"/>
                <w:sz w:val="18"/>
                <w:szCs w:val="18"/>
              </w:rPr>
              <w:t xml:space="preserve"> </w:t>
            </w:r>
            <w:r w:rsidR="009D3E8D" w:rsidRPr="009D3E8D">
              <w:rPr>
                <w:rFonts w:ascii="Times New Roman" w:hAnsi="Times New Roman" w:cs="Times New Roman"/>
                <w:sz w:val="18"/>
                <w:szCs w:val="18"/>
              </w:rPr>
              <w:t>also expected</w:t>
            </w:r>
            <w:r w:rsidRPr="009D3E8D">
              <w:rPr>
                <w:rFonts w:ascii="Times New Roman" w:hAnsi="Times New Roman" w:cs="Times New Roman"/>
                <w:sz w:val="18"/>
                <w:szCs w:val="18"/>
              </w:rPr>
              <w:t xml:space="preserve"> to provide a useful and </w:t>
            </w:r>
            <w:r w:rsidR="009D3E8D" w:rsidRPr="009D3E8D">
              <w:rPr>
                <w:rFonts w:ascii="Times New Roman" w:hAnsi="Times New Roman" w:cs="Times New Roman"/>
                <w:sz w:val="18"/>
                <w:szCs w:val="18"/>
              </w:rPr>
              <w:t>timely opportunity</w:t>
            </w:r>
            <w:r w:rsidRPr="009D3E8D">
              <w:rPr>
                <w:rFonts w:ascii="Times New Roman" w:hAnsi="Times New Roman" w:cs="Times New Roman"/>
                <w:sz w:val="18"/>
                <w:szCs w:val="18"/>
              </w:rPr>
              <w:t xml:space="preserve"> for the SSR/</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w:t>
            </w:r>
            <w:proofErr w:type="gramStart"/>
            <w:r w:rsidRPr="009D3E8D">
              <w:rPr>
                <w:rFonts w:ascii="Times New Roman" w:hAnsi="Times New Roman" w:cs="Times New Roman"/>
                <w:sz w:val="18"/>
                <w:szCs w:val="18"/>
              </w:rPr>
              <w:t>‘ project</w:t>
            </w:r>
            <w:proofErr w:type="gramEnd"/>
            <w:r w:rsidRPr="009D3E8D">
              <w:rPr>
                <w:rFonts w:ascii="Times New Roman" w:hAnsi="Times New Roman" w:cs="Times New Roman"/>
                <w:sz w:val="18"/>
                <w:szCs w:val="18"/>
              </w:rPr>
              <w:t xml:space="preserve"> team’ to learn fro</w:t>
            </w:r>
            <w:r w:rsidR="007F0699" w:rsidRPr="009D3E8D">
              <w:rPr>
                <w:rFonts w:ascii="Times New Roman" w:hAnsi="Times New Roman" w:cs="Times New Roman"/>
                <w:sz w:val="18"/>
                <w:szCs w:val="18"/>
              </w:rPr>
              <w:t>m in this regard.</w:t>
            </w:r>
          </w:p>
        </w:tc>
      </w:tr>
      <w:tr w:rsidR="00834F97" w:rsidRPr="00867815" w14:paraId="3DBE6DD2" w14:textId="77777777" w:rsidTr="00D86A94">
        <w:trPr>
          <w:trHeight w:val="135"/>
        </w:trPr>
        <w:tc>
          <w:tcPr>
            <w:tcW w:w="4099" w:type="dxa"/>
            <w:vMerge w:val="restart"/>
            <w:shd w:val="clear" w:color="auto" w:fill="EAF6F3"/>
            <w:vAlign w:val="center"/>
          </w:tcPr>
          <w:p w14:paraId="4D80FD7A"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action(s)</w:t>
            </w:r>
          </w:p>
        </w:tc>
        <w:tc>
          <w:tcPr>
            <w:tcW w:w="1316" w:type="dxa"/>
            <w:vMerge w:val="restart"/>
            <w:shd w:val="clear" w:color="auto" w:fill="EAF6F3"/>
            <w:vAlign w:val="center"/>
          </w:tcPr>
          <w:p w14:paraId="688917D2"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912" w:type="dxa"/>
            <w:vMerge w:val="restart"/>
            <w:shd w:val="clear" w:color="auto" w:fill="EAF6F3"/>
            <w:vAlign w:val="center"/>
          </w:tcPr>
          <w:p w14:paraId="6E63BFB5"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298" w:type="dxa"/>
            <w:gridSpan w:val="2"/>
            <w:shd w:val="clear" w:color="auto" w:fill="EAF6F3"/>
          </w:tcPr>
          <w:p w14:paraId="03BE7C97"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834F97" w:rsidRPr="00867815" w14:paraId="27172F4D" w14:textId="77777777" w:rsidTr="188EA211">
        <w:trPr>
          <w:trHeight w:val="135"/>
        </w:trPr>
        <w:tc>
          <w:tcPr>
            <w:tcW w:w="4099" w:type="dxa"/>
            <w:vMerge/>
          </w:tcPr>
          <w:p w14:paraId="4D87D746" w14:textId="77777777" w:rsidR="00834F97" w:rsidRPr="00867815" w:rsidRDefault="00834F97" w:rsidP="00D86A94">
            <w:pPr>
              <w:tabs>
                <w:tab w:val="left" w:pos="1080"/>
              </w:tabs>
              <w:spacing w:after="0" w:line="240" w:lineRule="auto"/>
              <w:jc w:val="both"/>
              <w:rPr>
                <w:rFonts w:ascii="Times New Roman" w:hAnsi="Times New Roman" w:cs="Times New Roman"/>
                <w:color w:val="185262"/>
                <w:sz w:val="18"/>
                <w:szCs w:val="18"/>
              </w:rPr>
            </w:pPr>
          </w:p>
        </w:tc>
        <w:tc>
          <w:tcPr>
            <w:tcW w:w="1316" w:type="dxa"/>
            <w:vMerge/>
          </w:tcPr>
          <w:p w14:paraId="6F5A64EE"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p>
        </w:tc>
        <w:tc>
          <w:tcPr>
            <w:tcW w:w="1912" w:type="dxa"/>
            <w:vMerge/>
          </w:tcPr>
          <w:p w14:paraId="79DEE9C1"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p>
        </w:tc>
        <w:tc>
          <w:tcPr>
            <w:tcW w:w="1231" w:type="dxa"/>
          </w:tcPr>
          <w:p w14:paraId="77BA9582"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067" w:type="dxa"/>
          </w:tcPr>
          <w:p w14:paraId="34727C4C" w14:textId="72497FA0" w:rsidR="00834F97" w:rsidRPr="00867815" w:rsidRDefault="00834F97" w:rsidP="00D86A94">
            <w:pPr>
              <w:tabs>
                <w:tab w:val="left" w:pos="1080"/>
              </w:tabs>
              <w:spacing w:after="0" w:line="240" w:lineRule="auto"/>
              <w:jc w:val="both"/>
              <w:rPr>
                <w:rFonts w:ascii="Times New Roman" w:eastAsiaTheme="majorEastAsia" w:hAnsi="Times New Roman" w:cs="Times New Roman"/>
                <w:b/>
                <w:color w:val="185262"/>
                <w:sz w:val="18"/>
                <w:szCs w:val="18"/>
              </w:rPr>
            </w:pPr>
            <w:r w:rsidRPr="00867815">
              <w:rPr>
                <w:rFonts w:ascii="Times New Roman" w:hAnsi="Times New Roman" w:cs="Times New Roman"/>
                <w:b/>
                <w:color w:val="185262"/>
                <w:sz w:val="18"/>
                <w:szCs w:val="18"/>
              </w:rPr>
              <w:t>Status</w:t>
            </w:r>
            <w:r w:rsidR="00FC360B" w:rsidRPr="00867815">
              <w:rPr>
                <w:rFonts w:ascii="Times New Roman" w:hAnsi="Times New Roman" w:cs="Times New Roman"/>
                <w:b/>
                <w:color w:val="185262"/>
                <w:sz w:val="18"/>
                <w:szCs w:val="18"/>
              </w:rPr>
              <w:t xml:space="preserve"> </w:t>
            </w:r>
            <w:r w:rsidR="00082D59" w:rsidRPr="00867815">
              <w:rPr>
                <w:rFonts w:ascii="Times New Roman" w:hAnsi="Times New Roman" w:cs="Times New Roman"/>
                <w:bCs/>
                <w:i/>
                <w:iCs/>
                <w:color w:val="185262"/>
                <w:sz w:val="18"/>
                <w:szCs w:val="18"/>
              </w:rPr>
              <w:t>(initiated, completed or no due date)</w:t>
            </w:r>
          </w:p>
        </w:tc>
      </w:tr>
      <w:tr w:rsidR="00464A4B" w:rsidRPr="00867815" w14:paraId="28CA2A98" w14:textId="77777777" w:rsidTr="00D86A94">
        <w:tc>
          <w:tcPr>
            <w:tcW w:w="4099" w:type="dxa"/>
          </w:tcPr>
          <w:p w14:paraId="658BA7EF" w14:textId="7EE50C97"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5.1: Draft T</w:t>
            </w:r>
            <w:r>
              <w:rPr>
                <w:rFonts w:ascii="Times New Roman" w:hAnsi="Times New Roman" w:cs="Times New Roman"/>
                <w:sz w:val="18"/>
                <w:szCs w:val="18"/>
              </w:rPr>
              <w:t>erns of Reference</w:t>
            </w:r>
            <w:r w:rsidRPr="009D3E8D">
              <w:rPr>
                <w:rFonts w:ascii="Times New Roman" w:hAnsi="Times New Roman" w:cs="Times New Roman"/>
                <w:sz w:val="18"/>
                <w:szCs w:val="18"/>
              </w:rPr>
              <w:t xml:space="preserve"> to project exit strategy </w:t>
            </w:r>
          </w:p>
        </w:tc>
        <w:tc>
          <w:tcPr>
            <w:tcW w:w="1316" w:type="dxa"/>
          </w:tcPr>
          <w:p w14:paraId="39B655E4" w14:textId="2885F400"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 xml:space="preserve"> December 2023</w:t>
            </w:r>
          </w:p>
        </w:tc>
        <w:tc>
          <w:tcPr>
            <w:tcW w:w="1912" w:type="dxa"/>
          </w:tcPr>
          <w:p w14:paraId="2309CC0B" w14:textId="68F9B6E5"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SSR/</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Programme </w:t>
            </w:r>
          </w:p>
        </w:tc>
        <w:tc>
          <w:tcPr>
            <w:tcW w:w="1231" w:type="dxa"/>
          </w:tcPr>
          <w:p w14:paraId="49E58F06" w14:textId="77777777"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p>
        </w:tc>
        <w:tc>
          <w:tcPr>
            <w:tcW w:w="2067" w:type="dxa"/>
          </w:tcPr>
          <w:p w14:paraId="06ACA888" w14:textId="0CD106E4"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r w:rsidRPr="001823A5">
              <w:rPr>
                <w:rFonts w:ascii="Times New Roman" w:hAnsi="Times New Roman" w:cs="Times New Roman"/>
                <w:color w:val="185262"/>
                <w:sz w:val="18"/>
                <w:szCs w:val="18"/>
              </w:rPr>
              <w:t xml:space="preserve">This action has </w:t>
            </w:r>
            <w:proofErr w:type="gramStart"/>
            <w:r w:rsidRPr="001823A5">
              <w:rPr>
                <w:rFonts w:ascii="Times New Roman" w:hAnsi="Times New Roman" w:cs="Times New Roman"/>
                <w:color w:val="185262"/>
                <w:sz w:val="18"/>
                <w:szCs w:val="18"/>
              </w:rPr>
              <w:t>not  started</w:t>
            </w:r>
            <w:proofErr w:type="gramEnd"/>
          </w:p>
        </w:tc>
      </w:tr>
      <w:tr w:rsidR="00464A4B" w:rsidRPr="00867815" w14:paraId="5E79BEC6" w14:textId="77777777" w:rsidTr="00517DE5">
        <w:trPr>
          <w:trHeight w:val="205"/>
        </w:trPr>
        <w:tc>
          <w:tcPr>
            <w:tcW w:w="4099" w:type="dxa"/>
          </w:tcPr>
          <w:p w14:paraId="72E3F6BD" w14:textId="59411438"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 xml:space="preserve">5.2:  Undertake a series of consultations with all ‘project’ partners to inform the design of the </w:t>
            </w:r>
            <w:proofErr w:type="spellStart"/>
            <w:r w:rsidRPr="009D3E8D">
              <w:rPr>
                <w:rFonts w:ascii="Times New Roman" w:hAnsi="Times New Roman" w:cs="Times New Roman"/>
                <w:sz w:val="18"/>
                <w:szCs w:val="18"/>
              </w:rPr>
              <w:t>exist</w:t>
            </w:r>
            <w:proofErr w:type="spellEnd"/>
            <w:r w:rsidRPr="009D3E8D">
              <w:rPr>
                <w:rFonts w:ascii="Times New Roman" w:hAnsi="Times New Roman" w:cs="Times New Roman"/>
                <w:sz w:val="18"/>
                <w:szCs w:val="18"/>
              </w:rPr>
              <w:t xml:space="preserve"> strategy. (Inception phase) </w:t>
            </w:r>
          </w:p>
        </w:tc>
        <w:tc>
          <w:tcPr>
            <w:tcW w:w="1316" w:type="dxa"/>
          </w:tcPr>
          <w:p w14:paraId="2E7DB3A3" w14:textId="34210095" w:rsidR="00464A4B" w:rsidRPr="009D3E8D" w:rsidRDefault="00464A4B" w:rsidP="00464A4B">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30</w:t>
            </w:r>
            <w:r w:rsidRPr="009D3E8D">
              <w:rPr>
                <w:rFonts w:ascii="Times New Roman" w:hAnsi="Times New Roman" w:cs="Times New Roman"/>
                <w:sz w:val="18"/>
                <w:szCs w:val="18"/>
              </w:rPr>
              <w:t xml:space="preserve"> June 2024</w:t>
            </w:r>
          </w:p>
        </w:tc>
        <w:tc>
          <w:tcPr>
            <w:tcW w:w="1912" w:type="dxa"/>
          </w:tcPr>
          <w:p w14:paraId="27613B2C" w14:textId="53D81E5B"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SSR/</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Programme</w:t>
            </w:r>
          </w:p>
        </w:tc>
        <w:tc>
          <w:tcPr>
            <w:tcW w:w="1231" w:type="dxa"/>
          </w:tcPr>
          <w:p w14:paraId="5827E159" w14:textId="77777777"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p>
        </w:tc>
        <w:tc>
          <w:tcPr>
            <w:tcW w:w="2067" w:type="dxa"/>
          </w:tcPr>
          <w:p w14:paraId="0CFCEF6C" w14:textId="4A02033D"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r w:rsidRPr="001823A5">
              <w:rPr>
                <w:rFonts w:ascii="Times New Roman" w:hAnsi="Times New Roman" w:cs="Times New Roman"/>
                <w:color w:val="185262"/>
                <w:sz w:val="18"/>
                <w:szCs w:val="18"/>
              </w:rPr>
              <w:t xml:space="preserve">This action has </w:t>
            </w:r>
            <w:proofErr w:type="gramStart"/>
            <w:r w:rsidRPr="001823A5">
              <w:rPr>
                <w:rFonts w:ascii="Times New Roman" w:hAnsi="Times New Roman" w:cs="Times New Roman"/>
                <w:color w:val="185262"/>
                <w:sz w:val="18"/>
                <w:szCs w:val="18"/>
              </w:rPr>
              <w:t>not  started</w:t>
            </w:r>
            <w:proofErr w:type="gramEnd"/>
          </w:p>
        </w:tc>
      </w:tr>
      <w:tr w:rsidR="00464A4B" w:rsidRPr="00867815" w14:paraId="61C538E3" w14:textId="77777777" w:rsidTr="00D86A94">
        <w:tc>
          <w:tcPr>
            <w:tcW w:w="4099" w:type="dxa"/>
          </w:tcPr>
          <w:p w14:paraId="3D11F957" w14:textId="11584962"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5.3:</w:t>
            </w:r>
            <w:r w:rsidRPr="009D3E8D">
              <w:rPr>
                <w:rFonts w:ascii="Times New Roman" w:hAnsi="Times New Roman" w:cs="Times New Roman"/>
                <w:b/>
                <w:bCs/>
                <w:sz w:val="18"/>
                <w:szCs w:val="18"/>
              </w:rPr>
              <w:t xml:space="preserve">  </w:t>
            </w:r>
            <w:r w:rsidRPr="009D3E8D">
              <w:rPr>
                <w:rFonts w:ascii="Times New Roman" w:hAnsi="Times New Roman" w:cs="Times New Roman"/>
                <w:sz w:val="18"/>
                <w:szCs w:val="18"/>
              </w:rPr>
              <w:t>Develop and finalise exist strategy including through consultation with the project board</w:t>
            </w:r>
            <w:r>
              <w:rPr>
                <w:rFonts w:ascii="Times New Roman" w:hAnsi="Times New Roman" w:cs="Times New Roman"/>
                <w:sz w:val="18"/>
                <w:szCs w:val="18"/>
              </w:rPr>
              <w:t xml:space="preserve"> </w:t>
            </w:r>
            <w:r w:rsidRPr="009D3E8D">
              <w:rPr>
                <w:rFonts w:ascii="Times New Roman" w:hAnsi="Times New Roman" w:cs="Times New Roman"/>
                <w:sz w:val="18"/>
                <w:szCs w:val="18"/>
              </w:rPr>
              <w:t>(inception phase)</w:t>
            </w:r>
          </w:p>
        </w:tc>
        <w:tc>
          <w:tcPr>
            <w:tcW w:w="1316" w:type="dxa"/>
          </w:tcPr>
          <w:p w14:paraId="759753CC" w14:textId="71201431" w:rsidR="00464A4B" w:rsidRPr="009D3E8D" w:rsidRDefault="00464A4B" w:rsidP="00464A4B">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31</w:t>
            </w:r>
            <w:r w:rsidRPr="009D3E8D">
              <w:rPr>
                <w:rFonts w:ascii="Times New Roman" w:hAnsi="Times New Roman" w:cs="Times New Roman"/>
                <w:sz w:val="18"/>
                <w:szCs w:val="18"/>
              </w:rPr>
              <w:t xml:space="preserve"> December 2024</w:t>
            </w:r>
          </w:p>
        </w:tc>
        <w:tc>
          <w:tcPr>
            <w:tcW w:w="1912" w:type="dxa"/>
          </w:tcPr>
          <w:p w14:paraId="4976A71B" w14:textId="212B837C"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SSR/</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Programme</w:t>
            </w:r>
          </w:p>
        </w:tc>
        <w:tc>
          <w:tcPr>
            <w:tcW w:w="1231" w:type="dxa"/>
          </w:tcPr>
          <w:p w14:paraId="67F58329" w14:textId="77777777"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p>
        </w:tc>
        <w:tc>
          <w:tcPr>
            <w:tcW w:w="2067" w:type="dxa"/>
          </w:tcPr>
          <w:p w14:paraId="50B59941" w14:textId="4A430DA8"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r w:rsidRPr="001823A5">
              <w:rPr>
                <w:rFonts w:ascii="Times New Roman" w:hAnsi="Times New Roman" w:cs="Times New Roman"/>
                <w:color w:val="185262"/>
                <w:sz w:val="18"/>
                <w:szCs w:val="18"/>
              </w:rPr>
              <w:t xml:space="preserve">This action has </w:t>
            </w:r>
            <w:proofErr w:type="gramStart"/>
            <w:r w:rsidRPr="001823A5">
              <w:rPr>
                <w:rFonts w:ascii="Times New Roman" w:hAnsi="Times New Roman" w:cs="Times New Roman"/>
                <w:color w:val="185262"/>
                <w:sz w:val="18"/>
                <w:szCs w:val="18"/>
              </w:rPr>
              <w:t>not  started</w:t>
            </w:r>
            <w:proofErr w:type="gramEnd"/>
          </w:p>
        </w:tc>
      </w:tr>
      <w:tr w:rsidR="00464A4B" w:rsidRPr="00867815" w14:paraId="1C1BE8E8" w14:textId="77777777" w:rsidTr="00D86A94">
        <w:tc>
          <w:tcPr>
            <w:tcW w:w="4099" w:type="dxa"/>
          </w:tcPr>
          <w:p w14:paraId="7BB59B60" w14:textId="3BD659E2"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5.4 Initiate exist strategy implementation. (</w:t>
            </w:r>
            <w:proofErr w:type="gramStart"/>
            <w:r w:rsidRPr="009D3E8D">
              <w:rPr>
                <w:rFonts w:ascii="Times New Roman" w:hAnsi="Times New Roman" w:cs="Times New Roman"/>
                <w:sz w:val="18"/>
                <w:szCs w:val="18"/>
              </w:rPr>
              <w:t>implementation</w:t>
            </w:r>
            <w:proofErr w:type="gramEnd"/>
            <w:r w:rsidRPr="009D3E8D">
              <w:rPr>
                <w:rFonts w:ascii="Times New Roman" w:hAnsi="Times New Roman" w:cs="Times New Roman"/>
                <w:sz w:val="18"/>
                <w:szCs w:val="18"/>
              </w:rPr>
              <w:t xml:space="preserve"> phase)</w:t>
            </w:r>
          </w:p>
        </w:tc>
        <w:tc>
          <w:tcPr>
            <w:tcW w:w="1316" w:type="dxa"/>
          </w:tcPr>
          <w:p w14:paraId="0116A2F2" w14:textId="76B38140" w:rsidR="00464A4B" w:rsidRPr="009D3E8D" w:rsidRDefault="00464A4B" w:rsidP="00464A4B">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31 </w:t>
            </w:r>
            <w:r w:rsidRPr="009D3E8D">
              <w:rPr>
                <w:rFonts w:ascii="Times New Roman" w:hAnsi="Times New Roman" w:cs="Times New Roman"/>
                <w:sz w:val="18"/>
                <w:szCs w:val="18"/>
              </w:rPr>
              <w:t xml:space="preserve">August 2024 </w:t>
            </w:r>
          </w:p>
        </w:tc>
        <w:tc>
          <w:tcPr>
            <w:tcW w:w="1912" w:type="dxa"/>
          </w:tcPr>
          <w:p w14:paraId="5C75D523" w14:textId="01E30925" w:rsidR="00464A4B" w:rsidRPr="009D3E8D" w:rsidRDefault="00464A4B" w:rsidP="00464A4B">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SSR/</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Programme</w:t>
            </w:r>
          </w:p>
        </w:tc>
        <w:tc>
          <w:tcPr>
            <w:tcW w:w="1231" w:type="dxa"/>
          </w:tcPr>
          <w:p w14:paraId="2F7E7489" w14:textId="77777777"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p>
        </w:tc>
        <w:tc>
          <w:tcPr>
            <w:tcW w:w="2067" w:type="dxa"/>
          </w:tcPr>
          <w:p w14:paraId="21498264" w14:textId="096FBF59" w:rsidR="00464A4B" w:rsidRPr="00867815" w:rsidRDefault="00464A4B" w:rsidP="00464A4B">
            <w:pPr>
              <w:tabs>
                <w:tab w:val="left" w:pos="1080"/>
              </w:tabs>
              <w:spacing w:after="0" w:line="240" w:lineRule="auto"/>
              <w:jc w:val="both"/>
              <w:rPr>
                <w:rFonts w:ascii="Times New Roman" w:hAnsi="Times New Roman" w:cs="Times New Roman"/>
                <w:color w:val="185262"/>
                <w:sz w:val="18"/>
                <w:szCs w:val="18"/>
              </w:rPr>
            </w:pPr>
            <w:r w:rsidRPr="001823A5">
              <w:rPr>
                <w:rFonts w:ascii="Times New Roman" w:hAnsi="Times New Roman" w:cs="Times New Roman"/>
                <w:color w:val="185262"/>
                <w:sz w:val="18"/>
                <w:szCs w:val="18"/>
              </w:rPr>
              <w:t xml:space="preserve">This action has </w:t>
            </w:r>
            <w:proofErr w:type="gramStart"/>
            <w:r w:rsidRPr="001823A5">
              <w:rPr>
                <w:rFonts w:ascii="Times New Roman" w:hAnsi="Times New Roman" w:cs="Times New Roman"/>
                <w:color w:val="185262"/>
                <w:sz w:val="18"/>
                <w:szCs w:val="18"/>
              </w:rPr>
              <w:t>not  started</w:t>
            </w:r>
            <w:proofErr w:type="gramEnd"/>
          </w:p>
        </w:tc>
      </w:tr>
    </w:tbl>
    <w:p w14:paraId="54E58B92" w14:textId="77777777" w:rsidR="00EF6696" w:rsidRPr="00867815" w:rsidRDefault="00EF6696" w:rsidP="00E61BD7">
      <w:pPr>
        <w:tabs>
          <w:tab w:val="left" w:pos="1080"/>
        </w:tabs>
        <w:spacing w:after="0" w:line="240" w:lineRule="auto"/>
        <w:jc w:val="both"/>
        <w:rPr>
          <w:rFonts w:ascii="Times New Roman" w:hAnsi="Times New Roman" w:cs="Times New Roman"/>
          <w:color w:val="185262"/>
          <w:sz w:val="18"/>
          <w:szCs w:val="18"/>
          <w:lang w:eastAsia="ja-JP"/>
        </w:rPr>
      </w:pPr>
    </w:p>
    <w:tbl>
      <w:tblPr>
        <w:tblpPr w:leftFromText="180" w:rightFromText="180" w:vertAnchor="text" w:tblpX="-725" w:tblpY="31"/>
        <w:tblW w:w="1062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083"/>
        <w:gridCol w:w="1316"/>
        <w:gridCol w:w="1914"/>
        <w:gridCol w:w="1231"/>
        <w:gridCol w:w="2076"/>
      </w:tblGrid>
      <w:tr w:rsidR="00834F97" w:rsidRPr="00867815" w14:paraId="6A6C93BC" w14:textId="77777777" w:rsidTr="00D86A94">
        <w:tc>
          <w:tcPr>
            <w:tcW w:w="10620" w:type="dxa"/>
            <w:gridSpan w:val="5"/>
            <w:shd w:val="clear" w:color="auto" w:fill="EAF6F3"/>
          </w:tcPr>
          <w:p w14:paraId="10821BAE" w14:textId="1737D83D" w:rsidR="00834F97" w:rsidRPr="00F534DB" w:rsidRDefault="00834F97" w:rsidP="009D3C57">
            <w:pPr>
              <w:spacing w:after="0" w:line="240" w:lineRule="auto"/>
              <w:jc w:val="both"/>
              <w:rPr>
                <w:rFonts w:ascii="Times New Roman" w:eastAsia="Calibri" w:hAnsi="Times New Roman" w:cs="Times New Roman"/>
                <w:b/>
                <w:sz w:val="18"/>
                <w:szCs w:val="18"/>
                <w:lang w:eastAsia="sl-SI"/>
              </w:rPr>
            </w:pPr>
            <w:r w:rsidRPr="00867815">
              <w:rPr>
                <w:rFonts w:ascii="Times New Roman" w:hAnsi="Times New Roman" w:cs="Times New Roman"/>
                <w:b/>
                <w:color w:val="185262"/>
                <w:sz w:val="18"/>
                <w:szCs w:val="18"/>
              </w:rPr>
              <w:t xml:space="preserve">Evaluation recommendation </w:t>
            </w:r>
            <w:r w:rsidR="004A624C" w:rsidRPr="00867815">
              <w:rPr>
                <w:rFonts w:ascii="Times New Roman" w:hAnsi="Times New Roman" w:cs="Times New Roman"/>
                <w:b/>
                <w:color w:val="185262"/>
                <w:sz w:val="18"/>
                <w:szCs w:val="18"/>
              </w:rPr>
              <w:t>6</w:t>
            </w:r>
            <w:r w:rsidR="00871C4E" w:rsidRPr="00867815">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r w:rsidR="0037797A" w:rsidRPr="00867815">
              <w:rPr>
                <w:rFonts w:ascii="Times New Roman" w:hAnsi="Times New Roman" w:cs="Times New Roman"/>
                <w:b/>
                <w:sz w:val="18"/>
                <w:szCs w:val="18"/>
              </w:rPr>
              <w:t>Further replication of the project results that have elements of sustainability</w:t>
            </w:r>
            <w:r w:rsidR="00F534DB">
              <w:rPr>
                <w:rFonts w:ascii="Times New Roman" w:hAnsi="Times New Roman" w:cs="Times New Roman"/>
                <w:b/>
                <w:sz w:val="18"/>
                <w:szCs w:val="18"/>
              </w:rPr>
              <w:t xml:space="preserve">: </w:t>
            </w:r>
            <w:bookmarkStart w:id="5" w:name="_Hlk88216427"/>
            <w:r w:rsidR="00F534DB" w:rsidRPr="00464854">
              <w:rPr>
                <w:rFonts w:ascii="Times New Roman" w:eastAsia="Times New Roman" w:hAnsi="Times New Roman" w:cs="Times New Roman"/>
                <w:lang w:eastAsia="sl-SI"/>
              </w:rPr>
              <w:t xml:space="preserve"> </w:t>
            </w:r>
            <w:r w:rsidR="00F534DB" w:rsidRPr="00F534DB">
              <w:rPr>
                <w:rFonts w:ascii="Times New Roman" w:eastAsia="Times New Roman" w:hAnsi="Times New Roman" w:cs="Times New Roman"/>
                <w:sz w:val="18"/>
                <w:szCs w:val="18"/>
                <w:lang w:eastAsia="sl-SI"/>
              </w:rPr>
              <w:t>UNDP and donors should strive to replicate those project results that proved to be successful and provide long-term sustainable results</w:t>
            </w:r>
            <w:bookmarkEnd w:id="5"/>
            <w:r w:rsidR="00F534DB" w:rsidRPr="00F534DB">
              <w:rPr>
                <w:rFonts w:ascii="Times New Roman" w:eastAsia="Times New Roman" w:hAnsi="Times New Roman" w:cs="Times New Roman"/>
                <w:sz w:val="18"/>
                <w:szCs w:val="18"/>
                <w:lang w:eastAsia="sl-SI"/>
              </w:rPr>
              <w:t>. Two of them that should be replicated and further developed are the Model Police Stations Model and the E-learning platform. In view of the strengthening support to justice, the project (and donors) may reconsider introduction of a Model Courts Pilot.</w:t>
            </w:r>
            <w:r w:rsidR="00F534DB" w:rsidRPr="00F534DB">
              <w:rPr>
                <w:rStyle w:val="FootnoteReference"/>
                <w:rFonts w:ascii="Times New Roman" w:eastAsia="Times New Roman" w:hAnsi="Times New Roman" w:cs="Times New Roman"/>
                <w:sz w:val="18"/>
                <w:szCs w:val="18"/>
                <w:lang w:eastAsia="sl-SI"/>
              </w:rPr>
              <w:footnoteReference w:id="2"/>
            </w:r>
          </w:p>
        </w:tc>
      </w:tr>
      <w:tr w:rsidR="00834F97" w:rsidRPr="00867815" w14:paraId="7AC242E7" w14:textId="77777777" w:rsidTr="00C4092D">
        <w:trPr>
          <w:trHeight w:val="434"/>
        </w:trPr>
        <w:tc>
          <w:tcPr>
            <w:tcW w:w="10620" w:type="dxa"/>
            <w:gridSpan w:val="5"/>
            <w:shd w:val="clear" w:color="auto" w:fill="EAF6F3"/>
          </w:tcPr>
          <w:p w14:paraId="62880F14" w14:textId="18B76FC6" w:rsidR="00F534DB" w:rsidRPr="009D3E8D" w:rsidRDefault="00834F97" w:rsidP="009D3C57">
            <w:pPr>
              <w:tabs>
                <w:tab w:val="left" w:pos="1080"/>
              </w:tabs>
              <w:spacing w:after="0" w:line="240" w:lineRule="auto"/>
              <w:jc w:val="both"/>
              <w:rPr>
                <w:rFonts w:asciiTheme="majorBidi" w:hAnsiTheme="majorBidi" w:cstheme="majorBidi"/>
                <w:sz w:val="18"/>
                <w:szCs w:val="18"/>
              </w:rPr>
            </w:pPr>
            <w:r w:rsidRPr="009D3E8D">
              <w:rPr>
                <w:rFonts w:ascii="Times New Roman" w:hAnsi="Times New Roman" w:cs="Times New Roman"/>
                <w:b/>
                <w:sz w:val="18"/>
                <w:szCs w:val="18"/>
              </w:rPr>
              <w:t>Management response:</w:t>
            </w:r>
            <w:r w:rsidR="00057746" w:rsidRPr="009D3E8D">
              <w:rPr>
                <w:rFonts w:ascii="Times New Roman" w:hAnsi="Times New Roman" w:cs="Times New Roman"/>
                <w:b/>
                <w:sz w:val="18"/>
                <w:szCs w:val="18"/>
              </w:rPr>
              <w:t xml:space="preserve"> </w:t>
            </w:r>
            <w:r w:rsidR="00F534DB" w:rsidRPr="009D3E8D">
              <w:rPr>
                <w:rFonts w:asciiTheme="majorBidi" w:hAnsiTheme="majorBidi" w:cstheme="majorBidi"/>
                <w:sz w:val="18"/>
                <w:szCs w:val="18"/>
              </w:rPr>
              <w:t xml:space="preserve"> The recommendation is well received. </w:t>
            </w:r>
          </w:p>
          <w:p w14:paraId="0B0083F0" w14:textId="647B4408" w:rsidR="00F534DB" w:rsidRPr="009D3E8D" w:rsidRDefault="00857402" w:rsidP="009D3C57">
            <w:pPr>
              <w:tabs>
                <w:tab w:val="left" w:pos="1080"/>
              </w:tabs>
              <w:spacing w:after="0" w:line="240" w:lineRule="auto"/>
              <w:jc w:val="both"/>
              <w:rPr>
                <w:rFonts w:asciiTheme="majorBidi" w:hAnsiTheme="majorBidi" w:cstheme="majorBidi"/>
                <w:sz w:val="18"/>
                <w:szCs w:val="18"/>
              </w:rPr>
            </w:pPr>
            <w:r w:rsidRPr="009D3E8D">
              <w:rPr>
                <w:rFonts w:asciiTheme="majorBidi" w:hAnsiTheme="majorBidi" w:cstheme="majorBidi"/>
                <w:sz w:val="18"/>
                <w:szCs w:val="18"/>
              </w:rPr>
              <w:t>Work is already in progress to expand/ scale up</w:t>
            </w:r>
            <w:r w:rsidR="00F534DB" w:rsidRPr="009D3E8D">
              <w:rPr>
                <w:rFonts w:asciiTheme="majorBidi" w:hAnsiTheme="majorBidi" w:cstheme="majorBidi"/>
                <w:sz w:val="18"/>
                <w:szCs w:val="18"/>
              </w:rPr>
              <w:t xml:space="preserve"> the E- </w:t>
            </w:r>
            <w:r w:rsidRPr="009D3E8D">
              <w:rPr>
                <w:rFonts w:asciiTheme="majorBidi" w:hAnsiTheme="majorBidi" w:cstheme="majorBidi"/>
                <w:sz w:val="18"/>
                <w:szCs w:val="18"/>
              </w:rPr>
              <w:t>L</w:t>
            </w:r>
            <w:r w:rsidR="00F534DB" w:rsidRPr="009D3E8D">
              <w:rPr>
                <w:rFonts w:asciiTheme="majorBidi" w:hAnsiTheme="majorBidi" w:cstheme="majorBidi"/>
                <w:sz w:val="18"/>
                <w:szCs w:val="18"/>
              </w:rPr>
              <w:t xml:space="preserve">earning platform </w:t>
            </w:r>
            <w:r w:rsidRPr="009D3E8D">
              <w:rPr>
                <w:rFonts w:asciiTheme="majorBidi" w:hAnsiTheme="majorBidi" w:cstheme="majorBidi"/>
                <w:sz w:val="18"/>
                <w:szCs w:val="18"/>
              </w:rPr>
              <w:t>and to</w:t>
            </w:r>
            <w:r w:rsidR="00F534DB" w:rsidRPr="009D3E8D">
              <w:rPr>
                <w:rFonts w:asciiTheme="majorBidi" w:hAnsiTheme="majorBidi" w:cstheme="majorBidi"/>
                <w:sz w:val="18"/>
                <w:szCs w:val="18"/>
              </w:rPr>
              <w:t xml:space="preserve"> include all training courses designed and developed </w:t>
            </w:r>
            <w:r w:rsidRPr="009D3E8D">
              <w:rPr>
                <w:rFonts w:asciiTheme="majorBidi" w:hAnsiTheme="majorBidi" w:cstheme="majorBidi"/>
                <w:sz w:val="18"/>
                <w:szCs w:val="18"/>
              </w:rPr>
              <w:t>jointly by</w:t>
            </w:r>
            <w:r w:rsidR="00F534DB" w:rsidRPr="009D3E8D">
              <w:rPr>
                <w:rFonts w:asciiTheme="majorBidi" w:hAnsiTheme="majorBidi" w:cstheme="majorBidi"/>
                <w:sz w:val="18"/>
                <w:szCs w:val="18"/>
              </w:rPr>
              <w:t xml:space="preserve"> UNDP</w:t>
            </w:r>
            <w:r w:rsidRPr="009D3E8D">
              <w:rPr>
                <w:rFonts w:asciiTheme="majorBidi" w:hAnsiTheme="majorBidi" w:cstheme="majorBidi"/>
                <w:sz w:val="18"/>
                <w:szCs w:val="18"/>
              </w:rPr>
              <w:t xml:space="preserve"> and </w:t>
            </w:r>
            <w:proofErr w:type="spellStart"/>
            <w:r w:rsidRPr="009D3E8D">
              <w:rPr>
                <w:rFonts w:asciiTheme="majorBidi" w:hAnsiTheme="majorBidi" w:cstheme="majorBidi"/>
                <w:sz w:val="18"/>
                <w:szCs w:val="18"/>
              </w:rPr>
              <w:t>MoI</w:t>
            </w:r>
            <w:proofErr w:type="spellEnd"/>
            <w:r w:rsidRPr="009D3E8D">
              <w:rPr>
                <w:rFonts w:asciiTheme="majorBidi" w:hAnsiTheme="majorBidi" w:cstheme="majorBidi"/>
                <w:sz w:val="18"/>
                <w:szCs w:val="18"/>
              </w:rPr>
              <w:t xml:space="preserve"> Training and Qualifications Directorate (TQD) going forward.</w:t>
            </w:r>
            <w:r w:rsidR="00F534DB" w:rsidRPr="009D3E8D">
              <w:rPr>
                <w:rFonts w:asciiTheme="majorBidi" w:hAnsiTheme="majorBidi" w:cstheme="majorBidi"/>
                <w:sz w:val="18"/>
                <w:szCs w:val="18"/>
              </w:rPr>
              <w:t xml:space="preserve"> </w:t>
            </w:r>
            <w:r w:rsidR="00036822" w:rsidRPr="009D3E8D">
              <w:rPr>
                <w:rFonts w:asciiTheme="majorBidi" w:hAnsiTheme="majorBidi" w:cstheme="majorBidi"/>
                <w:sz w:val="18"/>
                <w:szCs w:val="18"/>
              </w:rPr>
              <w:t>Additionally,</w:t>
            </w:r>
            <w:r w:rsidRPr="009D3E8D">
              <w:rPr>
                <w:rFonts w:asciiTheme="majorBidi" w:hAnsiTheme="majorBidi" w:cstheme="majorBidi"/>
                <w:sz w:val="18"/>
                <w:szCs w:val="18"/>
              </w:rPr>
              <w:t xml:space="preserve"> UNDP is also supporting </w:t>
            </w:r>
            <w:proofErr w:type="spellStart"/>
            <w:r w:rsidRPr="009D3E8D">
              <w:rPr>
                <w:rFonts w:asciiTheme="majorBidi" w:hAnsiTheme="majorBidi" w:cstheme="majorBidi"/>
                <w:sz w:val="18"/>
                <w:szCs w:val="18"/>
              </w:rPr>
              <w:t>MoI</w:t>
            </w:r>
            <w:proofErr w:type="spellEnd"/>
            <w:r w:rsidRPr="009D3E8D">
              <w:rPr>
                <w:rFonts w:asciiTheme="majorBidi" w:hAnsiTheme="majorBidi" w:cstheme="majorBidi"/>
                <w:sz w:val="18"/>
                <w:szCs w:val="18"/>
              </w:rPr>
              <w:t xml:space="preserve"> TQD to develop and implement an</w:t>
            </w:r>
            <w:r w:rsidR="00F534DB" w:rsidRPr="009D3E8D">
              <w:rPr>
                <w:rFonts w:asciiTheme="majorBidi" w:hAnsiTheme="majorBidi" w:cstheme="majorBidi"/>
                <w:sz w:val="18"/>
                <w:szCs w:val="18"/>
              </w:rPr>
              <w:t xml:space="preserve"> awareness raising plan to encourage all local police officers (women and men) to utilise the E-</w:t>
            </w:r>
            <w:r w:rsidRPr="009D3E8D">
              <w:rPr>
                <w:rFonts w:asciiTheme="majorBidi" w:hAnsiTheme="majorBidi" w:cstheme="majorBidi"/>
                <w:sz w:val="18"/>
                <w:szCs w:val="18"/>
              </w:rPr>
              <w:t>L</w:t>
            </w:r>
            <w:r w:rsidR="00F534DB" w:rsidRPr="009D3E8D">
              <w:rPr>
                <w:rFonts w:asciiTheme="majorBidi" w:hAnsiTheme="majorBidi" w:cstheme="majorBidi"/>
                <w:sz w:val="18"/>
                <w:szCs w:val="18"/>
              </w:rPr>
              <w:t>earning platform to improve their knowledge and skills</w:t>
            </w:r>
            <w:r w:rsidRPr="009D3E8D">
              <w:rPr>
                <w:rFonts w:asciiTheme="majorBidi" w:hAnsiTheme="majorBidi" w:cstheme="majorBidi"/>
                <w:sz w:val="18"/>
                <w:szCs w:val="18"/>
              </w:rPr>
              <w:t xml:space="preserve"> at their own pace and time. This work is </w:t>
            </w:r>
            <w:r w:rsidR="00F534DB" w:rsidRPr="009D3E8D">
              <w:rPr>
                <w:rFonts w:asciiTheme="majorBidi" w:hAnsiTheme="majorBidi" w:cstheme="majorBidi"/>
                <w:sz w:val="18"/>
                <w:szCs w:val="18"/>
              </w:rPr>
              <w:t>already embedded into the ‘project</w:t>
            </w:r>
            <w:r w:rsidRPr="009D3E8D">
              <w:rPr>
                <w:rFonts w:asciiTheme="majorBidi" w:hAnsiTheme="majorBidi" w:cstheme="majorBidi"/>
                <w:sz w:val="18"/>
                <w:szCs w:val="18"/>
              </w:rPr>
              <w:t>’</w:t>
            </w:r>
            <w:r w:rsidR="00F534DB" w:rsidRPr="009D3E8D">
              <w:rPr>
                <w:rFonts w:asciiTheme="majorBidi" w:hAnsiTheme="majorBidi" w:cstheme="majorBidi"/>
                <w:sz w:val="18"/>
                <w:szCs w:val="18"/>
              </w:rPr>
              <w:t xml:space="preserve"> activities from 2022 -2025. </w:t>
            </w:r>
          </w:p>
          <w:p w14:paraId="67EDE3E2" w14:textId="77777777" w:rsidR="00036822" w:rsidRPr="009D3E8D" w:rsidRDefault="00036822" w:rsidP="009D3C57">
            <w:pPr>
              <w:tabs>
                <w:tab w:val="left" w:pos="1080"/>
              </w:tabs>
              <w:spacing w:after="0" w:line="240" w:lineRule="auto"/>
              <w:jc w:val="both"/>
              <w:rPr>
                <w:rFonts w:asciiTheme="majorBidi" w:hAnsiTheme="majorBidi" w:cstheme="majorBidi"/>
                <w:sz w:val="18"/>
                <w:szCs w:val="18"/>
              </w:rPr>
            </w:pPr>
          </w:p>
          <w:p w14:paraId="2605130C" w14:textId="22A1942F" w:rsidR="00036822" w:rsidRPr="009D3E8D" w:rsidRDefault="00F03CDD" w:rsidP="009D3C57">
            <w:pPr>
              <w:tabs>
                <w:tab w:val="left" w:pos="1080"/>
              </w:tabs>
              <w:spacing w:after="0" w:line="240" w:lineRule="auto"/>
              <w:jc w:val="both"/>
              <w:rPr>
                <w:rFonts w:asciiTheme="majorBidi" w:hAnsiTheme="majorBidi" w:cstheme="majorBidi"/>
                <w:sz w:val="18"/>
                <w:szCs w:val="18"/>
              </w:rPr>
            </w:pPr>
            <w:r w:rsidRPr="009D3E8D">
              <w:rPr>
                <w:rFonts w:asciiTheme="majorBidi" w:hAnsiTheme="majorBidi" w:cstheme="majorBidi"/>
                <w:sz w:val="18"/>
                <w:szCs w:val="18"/>
              </w:rPr>
              <w:t>Similarly,</w:t>
            </w:r>
            <w:r w:rsidR="00F534DB" w:rsidRPr="009D3E8D">
              <w:rPr>
                <w:rFonts w:asciiTheme="majorBidi" w:hAnsiTheme="majorBidi" w:cstheme="majorBidi"/>
                <w:sz w:val="18"/>
                <w:szCs w:val="18"/>
              </w:rPr>
              <w:t xml:space="preserve"> </w:t>
            </w:r>
            <w:r w:rsidR="00857402" w:rsidRPr="009D3E8D">
              <w:rPr>
                <w:rFonts w:asciiTheme="majorBidi" w:hAnsiTheme="majorBidi" w:cstheme="majorBidi"/>
                <w:sz w:val="18"/>
                <w:szCs w:val="18"/>
              </w:rPr>
              <w:t xml:space="preserve">building on from the key outcomes and learnings of the </w:t>
            </w:r>
            <w:r w:rsidR="00036822" w:rsidRPr="009D3E8D">
              <w:rPr>
                <w:rFonts w:asciiTheme="majorBidi" w:hAnsiTheme="majorBidi" w:cstheme="majorBidi"/>
                <w:sz w:val="18"/>
                <w:szCs w:val="18"/>
              </w:rPr>
              <w:t>six model police station pilots that will be implemented in 2022, the ‘project’ intends to gradually scale up/ replicate the model in Iraq. However, s</w:t>
            </w:r>
            <w:r w:rsidRPr="009D3E8D">
              <w:rPr>
                <w:rFonts w:asciiTheme="majorBidi" w:hAnsiTheme="majorBidi" w:cstheme="majorBidi"/>
                <w:sz w:val="18"/>
                <w:szCs w:val="18"/>
              </w:rPr>
              <w:t>ince the implementation of this pilot is at</w:t>
            </w:r>
            <w:r w:rsidR="00880696" w:rsidRPr="009D3E8D">
              <w:rPr>
                <w:rFonts w:asciiTheme="majorBidi" w:hAnsiTheme="majorBidi" w:cstheme="majorBidi"/>
                <w:sz w:val="18"/>
                <w:szCs w:val="18"/>
              </w:rPr>
              <w:t xml:space="preserve"> its inception phase, in 2022</w:t>
            </w:r>
            <w:r w:rsidRPr="009D3E8D">
              <w:rPr>
                <w:rFonts w:asciiTheme="majorBidi" w:hAnsiTheme="majorBidi" w:cstheme="majorBidi"/>
                <w:sz w:val="18"/>
                <w:szCs w:val="18"/>
              </w:rPr>
              <w:t xml:space="preserve"> it is </w:t>
            </w:r>
            <w:r w:rsidR="00880696" w:rsidRPr="009D3E8D">
              <w:rPr>
                <w:rFonts w:asciiTheme="majorBidi" w:hAnsiTheme="majorBidi" w:cstheme="majorBidi"/>
                <w:sz w:val="18"/>
                <w:szCs w:val="18"/>
              </w:rPr>
              <w:t xml:space="preserve">best that the </w:t>
            </w:r>
            <w:r w:rsidR="00036822" w:rsidRPr="009D3E8D">
              <w:rPr>
                <w:rFonts w:asciiTheme="majorBidi" w:hAnsiTheme="majorBidi" w:cstheme="majorBidi"/>
                <w:sz w:val="18"/>
                <w:szCs w:val="18"/>
              </w:rPr>
              <w:t xml:space="preserve">‘project’ prioritises to regularly </w:t>
            </w:r>
            <w:r w:rsidRPr="009D3E8D">
              <w:rPr>
                <w:rFonts w:asciiTheme="majorBidi" w:hAnsiTheme="majorBidi" w:cstheme="majorBidi"/>
                <w:sz w:val="18"/>
                <w:szCs w:val="18"/>
              </w:rPr>
              <w:t xml:space="preserve">assess and </w:t>
            </w:r>
            <w:r w:rsidR="00036822" w:rsidRPr="009D3E8D">
              <w:rPr>
                <w:rFonts w:asciiTheme="majorBidi" w:hAnsiTheme="majorBidi" w:cstheme="majorBidi"/>
                <w:sz w:val="18"/>
                <w:szCs w:val="18"/>
              </w:rPr>
              <w:t>document key</w:t>
            </w:r>
            <w:r w:rsidRPr="009D3E8D">
              <w:rPr>
                <w:rFonts w:asciiTheme="majorBidi" w:hAnsiTheme="majorBidi" w:cstheme="majorBidi"/>
                <w:sz w:val="18"/>
                <w:szCs w:val="18"/>
              </w:rPr>
              <w:t xml:space="preserve"> findings from the six stations</w:t>
            </w:r>
            <w:r w:rsidR="00036822" w:rsidRPr="009D3E8D">
              <w:rPr>
                <w:rFonts w:asciiTheme="majorBidi" w:hAnsiTheme="majorBidi" w:cstheme="majorBidi"/>
                <w:sz w:val="18"/>
                <w:szCs w:val="18"/>
              </w:rPr>
              <w:t xml:space="preserve"> in </w:t>
            </w:r>
            <w:proofErr w:type="spellStart"/>
            <w:r w:rsidR="00036822" w:rsidRPr="009D3E8D">
              <w:rPr>
                <w:rFonts w:asciiTheme="majorBidi" w:hAnsiTheme="majorBidi" w:cstheme="majorBidi"/>
                <w:sz w:val="18"/>
                <w:szCs w:val="18"/>
              </w:rPr>
              <w:t>Anabr</w:t>
            </w:r>
            <w:proofErr w:type="spellEnd"/>
            <w:r w:rsidR="00036822" w:rsidRPr="009D3E8D">
              <w:rPr>
                <w:rFonts w:asciiTheme="majorBidi" w:hAnsiTheme="majorBidi" w:cstheme="majorBidi"/>
                <w:sz w:val="18"/>
                <w:szCs w:val="18"/>
              </w:rPr>
              <w:t>, Ninewa, Baghdad and Basra</w:t>
            </w:r>
            <w:r w:rsidRPr="009D3E8D">
              <w:rPr>
                <w:rFonts w:asciiTheme="majorBidi" w:hAnsiTheme="majorBidi" w:cstheme="majorBidi"/>
                <w:sz w:val="18"/>
                <w:szCs w:val="18"/>
              </w:rPr>
              <w:t xml:space="preserve"> including through</w:t>
            </w:r>
            <w:r w:rsidR="00036822" w:rsidRPr="009D3E8D">
              <w:rPr>
                <w:rFonts w:asciiTheme="majorBidi" w:hAnsiTheme="majorBidi" w:cstheme="majorBidi"/>
                <w:sz w:val="18"/>
                <w:szCs w:val="18"/>
              </w:rPr>
              <w:t xml:space="preserve"> the planned</w:t>
            </w:r>
            <w:r w:rsidRPr="009D3E8D">
              <w:rPr>
                <w:rFonts w:asciiTheme="majorBidi" w:hAnsiTheme="majorBidi" w:cstheme="majorBidi"/>
                <w:sz w:val="18"/>
                <w:szCs w:val="18"/>
              </w:rPr>
              <w:t xml:space="preserve"> quarterly</w:t>
            </w:r>
            <w:r w:rsidR="00880696" w:rsidRPr="009D3E8D">
              <w:rPr>
                <w:rFonts w:asciiTheme="majorBidi" w:hAnsiTheme="majorBidi" w:cstheme="majorBidi"/>
                <w:sz w:val="18"/>
                <w:szCs w:val="18"/>
              </w:rPr>
              <w:t xml:space="preserve"> mini-</w:t>
            </w:r>
            <w:r w:rsidRPr="009D3E8D">
              <w:rPr>
                <w:rFonts w:asciiTheme="majorBidi" w:hAnsiTheme="majorBidi" w:cstheme="majorBidi"/>
                <w:sz w:val="18"/>
                <w:szCs w:val="18"/>
              </w:rPr>
              <w:t xml:space="preserve"> </w:t>
            </w:r>
            <w:r w:rsidR="00036822" w:rsidRPr="009D3E8D">
              <w:rPr>
                <w:rFonts w:asciiTheme="majorBidi" w:hAnsiTheme="majorBidi" w:cstheme="majorBidi"/>
                <w:sz w:val="18"/>
                <w:szCs w:val="18"/>
              </w:rPr>
              <w:t xml:space="preserve">surveys. </w:t>
            </w:r>
            <w:r w:rsidR="00880696" w:rsidRPr="009D3E8D">
              <w:rPr>
                <w:rFonts w:asciiTheme="majorBidi" w:hAnsiTheme="majorBidi" w:cstheme="majorBidi"/>
                <w:sz w:val="18"/>
                <w:szCs w:val="18"/>
              </w:rPr>
              <w:t xml:space="preserve">As such the </w:t>
            </w:r>
            <w:r w:rsidR="0048343A" w:rsidRPr="009D3E8D">
              <w:rPr>
                <w:rFonts w:asciiTheme="majorBidi" w:hAnsiTheme="majorBidi" w:cstheme="majorBidi"/>
                <w:sz w:val="18"/>
                <w:szCs w:val="18"/>
              </w:rPr>
              <w:t>‘project</w:t>
            </w:r>
            <w:r w:rsidR="00880696" w:rsidRPr="009D3E8D">
              <w:rPr>
                <w:rFonts w:asciiTheme="majorBidi" w:hAnsiTheme="majorBidi" w:cstheme="majorBidi"/>
                <w:sz w:val="18"/>
                <w:szCs w:val="18"/>
              </w:rPr>
              <w:t xml:space="preserve">’ will be better placed </w:t>
            </w:r>
            <w:r w:rsidR="001B7EAD" w:rsidRPr="009D3E8D">
              <w:rPr>
                <w:rFonts w:asciiTheme="majorBidi" w:hAnsiTheme="majorBidi" w:cstheme="majorBidi"/>
                <w:sz w:val="18"/>
                <w:szCs w:val="18"/>
              </w:rPr>
              <w:t>and better</w:t>
            </w:r>
            <w:r w:rsidR="00880696" w:rsidRPr="009D3E8D">
              <w:rPr>
                <w:rFonts w:asciiTheme="majorBidi" w:hAnsiTheme="majorBidi" w:cstheme="majorBidi"/>
                <w:sz w:val="18"/>
                <w:szCs w:val="18"/>
              </w:rPr>
              <w:t xml:space="preserve"> informed to </w:t>
            </w:r>
            <w:r w:rsidRPr="009D3E8D">
              <w:rPr>
                <w:rFonts w:asciiTheme="majorBidi" w:hAnsiTheme="majorBidi" w:cstheme="majorBidi"/>
                <w:sz w:val="18"/>
                <w:szCs w:val="18"/>
              </w:rPr>
              <w:t xml:space="preserve">initiate the development of a replicable </w:t>
            </w:r>
            <w:r w:rsidR="001B7EAD" w:rsidRPr="009D3E8D">
              <w:rPr>
                <w:rFonts w:asciiTheme="majorBidi" w:hAnsiTheme="majorBidi" w:cstheme="majorBidi"/>
                <w:sz w:val="18"/>
                <w:szCs w:val="18"/>
              </w:rPr>
              <w:t>model with</w:t>
            </w:r>
            <w:r w:rsidRPr="009D3E8D">
              <w:rPr>
                <w:rFonts w:asciiTheme="majorBidi" w:hAnsiTheme="majorBidi" w:cstheme="majorBidi"/>
                <w:sz w:val="18"/>
                <w:szCs w:val="18"/>
              </w:rPr>
              <w:t xml:space="preserve"> a wider </w:t>
            </w:r>
            <w:r w:rsidR="00036822" w:rsidRPr="009D3E8D">
              <w:rPr>
                <w:rFonts w:asciiTheme="majorBidi" w:hAnsiTheme="majorBidi" w:cstheme="majorBidi"/>
                <w:sz w:val="18"/>
                <w:szCs w:val="18"/>
              </w:rPr>
              <w:t xml:space="preserve">geographic </w:t>
            </w:r>
            <w:r w:rsidRPr="009D3E8D">
              <w:rPr>
                <w:rFonts w:asciiTheme="majorBidi" w:hAnsiTheme="majorBidi" w:cstheme="majorBidi"/>
                <w:sz w:val="18"/>
                <w:szCs w:val="18"/>
              </w:rPr>
              <w:t xml:space="preserve">coverage </w:t>
            </w:r>
            <w:r w:rsidR="0048343A" w:rsidRPr="009D3E8D">
              <w:rPr>
                <w:rFonts w:asciiTheme="majorBidi" w:hAnsiTheme="majorBidi" w:cstheme="majorBidi"/>
                <w:sz w:val="18"/>
                <w:szCs w:val="18"/>
              </w:rPr>
              <w:t xml:space="preserve">from 2023 </w:t>
            </w:r>
            <w:proofErr w:type="spellStart"/>
            <w:r w:rsidR="0048343A" w:rsidRPr="009D3E8D">
              <w:rPr>
                <w:rFonts w:asciiTheme="majorBidi" w:hAnsiTheme="majorBidi" w:cstheme="majorBidi"/>
                <w:sz w:val="18"/>
                <w:szCs w:val="18"/>
              </w:rPr>
              <w:t>on wards</w:t>
            </w:r>
            <w:proofErr w:type="spellEnd"/>
            <w:r w:rsidR="0048343A" w:rsidRPr="009D3E8D">
              <w:rPr>
                <w:rFonts w:asciiTheme="majorBidi" w:hAnsiTheme="majorBidi" w:cstheme="majorBidi"/>
                <w:sz w:val="18"/>
                <w:szCs w:val="18"/>
              </w:rPr>
              <w:t>.</w:t>
            </w:r>
          </w:p>
          <w:p w14:paraId="522E3CF3" w14:textId="77777777" w:rsidR="00036822" w:rsidRPr="009D3E8D" w:rsidRDefault="00036822" w:rsidP="009D3C57">
            <w:pPr>
              <w:tabs>
                <w:tab w:val="left" w:pos="1080"/>
              </w:tabs>
              <w:spacing w:after="0" w:line="240" w:lineRule="auto"/>
              <w:jc w:val="both"/>
              <w:rPr>
                <w:rFonts w:asciiTheme="majorBidi" w:hAnsiTheme="majorBidi" w:cstheme="majorBidi"/>
                <w:sz w:val="18"/>
                <w:szCs w:val="18"/>
              </w:rPr>
            </w:pPr>
          </w:p>
          <w:p w14:paraId="09BF5531" w14:textId="431A4447" w:rsidR="0048343A" w:rsidRPr="009D3E8D" w:rsidRDefault="00036822" w:rsidP="009D3C57">
            <w:pPr>
              <w:tabs>
                <w:tab w:val="left" w:pos="1080"/>
              </w:tabs>
              <w:spacing w:after="0" w:line="240" w:lineRule="auto"/>
              <w:jc w:val="both"/>
              <w:rPr>
                <w:rFonts w:asciiTheme="majorBidi" w:hAnsiTheme="majorBidi" w:cstheme="majorBidi"/>
                <w:sz w:val="18"/>
                <w:szCs w:val="18"/>
              </w:rPr>
            </w:pPr>
            <w:r w:rsidRPr="009D3E8D">
              <w:rPr>
                <w:rFonts w:asciiTheme="majorBidi" w:hAnsiTheme="majorBidi" w:cstheme="majorBidi"/>
                <w:sz w:val="18"/>
                <w:szCs w:val="18"/>
              </w:rPr>
              <w:t>A</w:t>
            </w:r>
            <w:r w:rsidR="0048343A" w:rsidRPr="009D3E8D">
              <w:rPr>
                <w:rFonts w:asciiTheme="majorBidi" w:hAnsiTheme="majorBidi" w:cstheme="majorBidi"/>
                <w:sz w:val="18"/>
                <w:szCs w:val="18"/>
              </w:rPr>
              <w:t xml:space="preserve">dditionally, </w:t>
            </w:r>
            <w:r w:rsidR="001B7EAD" w:rsidRPr="009D3E8D">
              <w:rPr>
                <w:rFonts w:asciiTheme="majorBidi" w:hAnsiTheme="majorBidi" w:cstheme="majorBidi"/>
                <w:sz w:val="18"/>
                <w:szCs w:val="18"/>
              </w:rPr>
              <w:t>a key</w:t>
            </w:r>
            <w:r w:rsidR="009A3305" w:rsidRPr="009D3E8D">
              <w:rPr>
                <w:rFonts w:asciiTheme="majorBidi" w:hAnsiTheme="majorBidi" w:cstheme="majorBidi"/>
                <w:sz w:val="18"/>
                <w:szCs w:val="18"/>
              </w:rPr>
              <w:t xml:space="preserve"> lesson</w:t>
            </w:r>
            <w:r w:rsidRPr="009D3E8D">
              <w:rPr>
                <w:rFonts w:asciiTheme="majorBidi" w:hAnsiTheme="majorBidi" w:cstheme="majorBidi"/>
                <w:sz w:val="18"/>
                <w:szCs w:val="18"/>
              </w:rPr>
              <w:t xml:space="preserve"> learned during the project implementation from 2019 to</w:t>
            </w:r>
            <w:r w:rsidR="0048343A" w:rsidRPr="009D3E8D">
              <w:rPr>
                <w:rFonts w:asciiTheme="majorBidi" w:hAnsiTheme="majorBidi" w:cstheme="majorBidi"/>
                <w:sz w:val="18"/>
                <w:szCs w:val="18"/>
              </w:rPr>
              <w:t>-</w:t>
            </w:r>
            <w:r w:rsidRPr="009D3E8D">
              <w:rPr>
                <w:rFonts w:asciiTheme="majorBidi" w:hAnsiTheme="majorBidi" w:cstheme="majorBidi"/>
                <w:sz w:val="18"/>
                <w:szCs w:val="18"/>
              </w:rPr>
              <w:t xml:space="preserve"> date is that </w:t>
            </w:r>
            <w:r w:rsidR="009A3305" w:rsidRPr="009D3E8D">
              <w:rPr>
                <w:rFonts w:asciiTheme="majorBidi" w:hAnsiTheme="majorBidi" w:cstheme="majorBidi"/>
                <w:sz w:val="18"/>
                <w:szCs w:val="18"/>
              </w:rPr>
              <w:t xml:space="preserve">rollout of </w:t>
            </w:r>
            <w:r w:rsidR="0048343A" w:rsidRPr="009D3E8D">
              <w:rPr>
                <w:rFonts w:asciiTheme="majorBidi" w:hAnsiTheme="majorBidi" w:cstheme="majorBidi"/>
                <w:sz w:val="18"/>
                <w:szCs w:val="18"/>
              </w:rPr>
              <w:t xml:space="preserve">pilots, are done </w:t>
            </w:r>
            <w:r w:rsidR="001B7EAD" w:rsidRPr="009D3E8D">
              <w:rPr>
                <w:rFonts w:asciiTheme="majorBidi" w:hAnsiTheme="majorBidi" w:cstheme="majorBidi"/>
                <w:sz w:val="18"/>
                <w:szCs w:val="18"/>
              </w:rPr>
              <w:t>best when</w:t>
            </w:r>
            <w:r w:rsidR="009A3305" w:rsidRPr="009D3E8D">
              <w:rPr>
                <w:rFonts w:asciiTheme="majorBidi" w:hAnsiTheme="majorBidi" w:cstheme="majorBidi"/>
                <w:sz w:val="18"/>
                <w:szCs w:val="18"/>
              </w:rPr>
              <w:t xml:space="preserve"> enough time is</w:t>
            </w:r>
            <w:r w:rsidR="0048343A" w:rsidRPr="009D3E8D">
              <w:rPr>
                <w:rFonts w:asciiTheme="majorBidi" w:hAnsiTheme="majorBidi" w:cstheme="majorBidi"/>
                <w:sz w:val="18"/>
                <w:szCs w:val="18"/>
              </w:rPr>
              <w:t xml:space="preserve"> invested to implement them</w:t>
            </w:r>
            <w:r w:rsidR="009A3305" w:rsidRPr="009D3E8D">
              <w:rPr>
                <w:rFonts w:asciiTheme="majorBidi" w:hAnsiTheme="majorBidi" w:cstheme="majorBidi"/>
                <w:sz w:val="18"/>
                <w:szCs w:val="18"/>
              </w:rPr>
              <w:t>, assess</w:t>
            </w:r>
            <w:r w:rsidR="0048343A" w:rsidRPr="009D3E8D">
              <w:rPr>
                <w:rFonts w:asciiTheme="majorBidi" w:hAnsiTheme="majorBidi" w:cstheme="majorBidi"/>
                <w:sz w:val="18"/>
                <w:szCs w:val="18"/>
              </w:rPr>
              <w:t xml:space="preserve"> pilot</w:t>
            </w:r>
            <w:r w:rsidR="009A3305" w:rsidRPr="009D3E8D">
              <w:rPr>
                <w:rFonts w:asciiTheme="majorBidi" w:hAnsiTheme="majorBidi" w:cstheme="majorBidi"/>
                <w:sz w:val="18"/>
                <w:szCs w:val="18"/>
              </w:rPr>
              <w:t xml:space="preserve"> outcomes</w:t>
            </w:r>
            <w:r w:rsidR="0048343A" w:rsidRPr="009D3E8D">
              <w:rPr>
                <w:rFonts w:asciiTheme="majorBidi" w:hAnsiTheme="majorBidi" w:cstheme="majorBidi"/>
                <w:sz w:val="18"/>
                <w:szCs w:val="18"/>
              </w:rPr>
              <w:t>,</w:t>
            </w:r>
            <w:r w:rsidR="009A3305" w:rsidRPr="009D3E8D">
              <w:rPr>
                <w:rFonts w:asciiTheme="majorBidi" w:hAnsiTheme="majorBidi" w:cstheme="majorBidi"/>
                <w:sz w:val="18"/>
                <w:szCs w:val="18"/>
              </w:rPr>
              <w:t xml:space="preserve"> and</w:t>
            </w:r>
            <w:r w:rsidR="0048343A" w:rsidRPr="009D3E8D">
              <w:rPr>
                <w:rFonts w:asciiTheme="majorBidi" w:hAnsiTheme="majorBidi" w:cstheme="majorBidi"/>
                <w:sz w:val="18"/>
                <w:szCs w:val="18"/>
              </w:rPr>
              <w:t xml:space="preserve"> then</w:t>
            </w:r>
            <w:r w:rsidR="009A3305" w:rsidRPr="009D3E8D">
              <w:rPr>
                <w:rFonts w:asciiTheme="majorBidi" w:hAnsiTheme="majorBidi" w:cstheme="majorBidi"/>
                <w:sz w:val="18"/>
                <w:szCs w:val="18"/>
              </w:rPr>
              <w:t xml:space="preserve"> design </w:t>
            </w:r>
            <w:r w:rsidR="0048343A" w:rsidRPr="009D3E8D">
              <w:rPr>
                <w:rFonts w:asciiTheme="majorBidi" w:hAnsiTheme="majorBidi" w:cstheme="majorBidi"/>
                <w:sz w:val="18"/>
                <w:szCs w:val="18"/>
              </w:rPr>
              <w:t>a replicable model informed</w:t>
            </w:r>
            <w:r w:rsidR="009A3305" w:rsidRPr="009D3E8D">
              <w:rPr>
                <w:rFonts w:asciiTheme="majorBidi" w:hAnsiTheme="majorBidi" w:cstheme="majorBidi"/>
                <w:sz w:val="18"/>
                <w:szCs w:val="18"/>
              </w:rPr>
              <w:t xml:space="preserve"> </w:t>
            </w:r>
            <w:r w:rsidR="0048343A" w:rsidRPr="009D3E8D">
              <w:rPr>
                <w:rFonts w:asciiTheme="majorBidi" w:hAnsiTheme="majorBidi" w:cstheme="majorBidi"/>
                <w:sz w:val="18"/>
                <w:szCs w:val="18"/>
              </w:rPr>
              <w:t>by</w:t>
            </w:r>
            <w:r w:rsidR="009A3305" w:rsidRPr="009D3E8D">
              <w:rPr>
                <w:rFonts w:asciiTheme="majorBidi" w:hAnsiTheme="majorBidi" w:cstheme="majorBidi"/>
                <w:sz w:val="18"/>
                <w:szCs w:val="18"/>
              </w:rPr>
              <w:t xml:space="preserve"> these learnings. </w:t>
            </w:r>
          </w:p>
          <w:p w14:paraId="3D5B6438" w14:textId="77777777" w:rsidR="0048343A" w:rsidRPr="009D3E8D" w:rsidRDefault="0048343A" w:rsidP="009D3C57">
            <w:pPr>
              <w:tabs>
                <w:tab w:val="left" w:pos="1080"/>
              </w:tabs>
              <w:spacing w:after="0" w:line="240" w:lineRule="auto"/>
              <w:jc w:val="both"/>
              <w:rPr>
                <w:rFonts w:asciiTheme="majorBidi" w:hAnsiTheme="majorBidi" w:cstheme="majorBidi"/>
                <w:sz w:val="18"/>
                <w:szCs w:val="18"/>
              </w:rPr>
            </w:pPr>
          </w:p>
          <w:p w14:paraId="63737096" w14:textId="1B078C73" w:rsidR="00670BE7" w:rsidRPr="009D3E8D" w:rsidRDefault="009A3305" w:rsidP="009D3C57">
            <w:pPr>
              <w:tabs>
                <w:tab w:val="left" w:pos="1080"/>
              </w:tabs>
              <w:spacing w:after="0" w:line="240" w:lineRule="auto"/>
              <w:jc w:val="both"/>
              <w:rPr>
                <w:rFonts w:asciiTheme="majorBidi" w:hAnsiTheme="majorBidi" w:cstheme="majorBidi"/>
                <w:sz w:val="18"/>
                <w:szCs w:val="18"/>
              </w:rPr>
            </w:pPr>
            <w:r w:rsidRPr="009D3E8D">
              <w:rPr>
                <w:rFonts w:asciiTheme="majorBidi" w:hAnsiTheme="majorBidi" w:cstheme="majorBidi"/>
                <w:sz w:val="18"/>
                <w:szCs w:val="18"/>
              </w:rPr>
              <w:t xml:space="preserve">Similarly, </w:t>
            </w:r>
            <w:r w:rsidR="0048343A" w:rsidRPr="009D3E8D">
              <w:rPr>
                <w:rFonts w:asciiTheme="majorBidi" w:hAnsiTheme="majorBidi" w:cstheme="majorBidi"/>
                <w:sz w:val="18"/>
                <w:szCs w:val="18"/>
              </w:rPr>
              <w:t xml:space="preserve">learnings </w:t>
            </w:r>
            <w:r w:rsidR="001B7EAD" w:rsidRPr="009D3E8D">
              <w:rPr>
                <w:rFonts w:asciiTheme="majorBidi" w:hAnsiTheme="majorBidi" w:cstheme="majorBidi"/>
                <w:sz w:val="18"/>
                <w:szCs w:val="18"/>
              </w:rPr>
              <w:t>from project’s</w:t>
            </w:r>
            <w:r w:rsidRPr="009D3E8D">
              <w:rPr>
                <w:rFonts w:asciiTheme="majorBidi" w:hAnsiTheme="majorBidi" w:cstheme="majorBidi"/>
                <w:sz w:val="18"/>
                <w:szCs w:val="18"/>
              </w:rPr>
              <w:t xml:space="preserve"> </w:t>
            </w:r>
            <w:r w:rsidR="00670BE7" w:rsidRPr="009D3E8D">
              <w:rPr>
                <w:rFonts w:asciiTheme="majorBidi" w:hAnsiTheme="majorBidi" w:cstheme="majorBidi"/>
                <w:sz w:val="18"/>
                <w:szCs w:val="18"/>
              </w:rPr>
              <w:t>resource mobilisation</w:t>
            </w:r>
            <w:r w:rsidR="0048343A" w:rsidRPr="009D3E8D">
              <w:rPr>
                <w:rFonts w:asciiTheme="majorBidi" w:hAnsiTheme="majorBidi" w:cstheme="majorBidi"/>
                <w:sz w:val="18"/>
                <w:szCs w:val="18"/>
              </w:rPr>
              <w:t xml:space="preserve"> efforts to date </w:t>
            </w:r>
            <w:r w:rsidR="001B7EAD" w:rsidRPr="009D3E8D">
              <w:rPr>
                <w:rFonts w:asciiTheme="majorBidi" w:hAnsiTheme="majorBidi" w:cstheme="majorBidi"/>
                <w:sz w:val="18"/>
                <w:szCs w:val="18"/>
              </w:rPr>
              <w:t>also highlight</w:t>
            </w:r>
            <w:r w:rsidR="0048343A" w:rsidRPr="009D3E8D">
              <w:rPr>
                <w:rFonts w:asciiTheme="majorBidi" w:hAnsiTheme="majorBidi" w:cstheme="majorBidi"/>
                <w:sz w:val="18"/>
                <w:szCs w:val="18"/>
              </w:rPr>
              <w:t xml:space="preserve"> that </w:t>
            </w:r>
            <w:r w:rsidR="00670BE7" w:rsidRPr="009D3E8D">
              <w:rPr>
                <w:rFonts w:asciiTheme="majorBidi" w:hAnsiTheme="majorBidi" w:cstheme="majorBidi"/>
                <w:sz w:val="18"/>
                <w:szCs w:val="18"/>
              </w:rPr>
              <w:t>often</w:t>
            </w:r>
            <w:r w:rsidRPr="009D3E8D">
              <w:rPr>
                <w:rFonts w:asciiTheme="majorBidi" w:hAnsiTheme="majorBidi" w:cstheme="majorBidi"/>
                <w:sz w:val="18"/>
                <w:szCs w:val="18"/>
              </w:rPr>
              <w:t xml:space="preserve"> there is </w:t>
            </w:r>
            <w:r w:rsidR="0048343A" w:rsidRPr="009D3E8D">
              <w:rPr>
                <w:rFonts w:asciiTheme="majorBidi" w:hAnsiTheme="majorBidi" w:cstheme="majorBidi"/>
                <w:sz w:val="18"/>
                <w:szCs w:val="18"/>
              </w:rPr>
              <w:t>better</w:t>
            </w:r>
            <w:r w:rsidRPr="009D3E8D">
              <w:rPr>
                <w:rFonts w:asciiTheme="majorBidi" w:hAnsiTheme="majorBidi" w:cstheme="majorBidi"/>
                <w:sz w:val="18"/>
                <w:szCs w:val="18"/>
              </w:rPr>
              <w:t xml:space="preserve"> donor support/ interest</w:t>
            </w:r>
            <w:r w:rsidR="0048343A" w:rsidRPr="009D3E8D">
              <w:rPr>
                <w:rFonts w:asciiTheme="majorBidi" w:hAnsiTheme="majorBidi" w:cstheme="majorBidi"/>
                <w:sz w:val="18"/>
                <w:szCs w:val="18"/>
              </w:rPr>
              <w:t xml:space="preserve"> for replicable models/ scaling up pilots </w:t>
            </w:r>
            <w:r w:rsidRPr="009D3E8D">
              <w:rPr>
                <w:rFonts w:asciiTheme="majorBidi" w:hAnsiTheme="majorBidi" w:cstheme="majorBidi"/>
                <w:sz w:val="18"/>
                <w:szCs w:val="18"/>
              </w:rPr>
              <w:t xml:space="preserve">when they are </w:t>
            </w:r>
            <w:r w:rsidR="001B7EAD" w:rsidRPr="009D3E8D">
              <w:rPr>
                <w:rFonts w:asciiTheme="majorBidi" w:hAnsiTheme="majorBidi" w:cstheme="majorBidi"/>
                <w:sz w:val="18"/>
                <w:szCs w:val="18"/>
              </w:rPr>
              <w:t>supported by demonstratable</w:t>
            </w:r>
            <w:r w:rsidRPr="009D3E8D">
              <w:rPr>
                <w:rFonts w:asciiTheme="majorBidi" w:hAnsiTheme="majorBidi" w:cstheme="majorBidi"/>
                <w:sz w:val="18"/>
                <w:szCs w:val="18"/>
              </w:rPr>
              <w:t xml:space="preserve"> results</w:t>
            </w:r>
            <w:r w:rsidR="001B7EAD" w:rsidRPr="009D3E8D">
              <w:rPr>
                <w:rFonts w:asciiTheme="majorBidi" w:hAnsiTheme="majorBidi" w:cstheme="majorBidi"/>
                <w:sz w:val="18"/>
                <w:szCs w:val="18"/>
              </w:rPr>
              <w:t xml:space="preserve"> on the ground</w:t>
            </w:r>
            <w:r w:rsidRPr="009D3E8D">
              <w:rPr>
                <w:rFonts w:asciiTheme="majorBidi" w:hAnsiTheme="majorBidi" w:cstheme="majorBidi"/>
                <w:sz w:val="18"/>
                <w:szCs w:val="18"/>
              </w:rPr>
              <w:t xml:space="preserve">.  Therefore, the </w:t>
            </w:r>
            <w:r w:rsidR="001B7EAD" w:rsidRPr="009D3E8D">
              <w:rPr>
                <w:rFonts w:asciiTheme="majorBidi" w:hAnsiTheme="majorBidi" w:cstheme="majorBidi"/>
                <w:sz w:val="18"/>
                <w:szCs w:val="18"/>
              </w:rPr>
              <w:t>‘</w:t>
            </w:r>
            <w:r w:rsidRPr="009D3E8D">
              <w:rPr>
                <w:rFonts w:asciiTheme="majorBidi" w:hAnsiTheme="majorBidi" w:cstheme="majorBidi"/>
                <w:sz w:val="18"/>
                <w:szCs w:val="18"/>
              </w:rPr>
              <w:t>project</w:t>
            </w:r>
            <w:r w:rsidR="001B7EAD" w:rsidRPr="009D3E8D">
              <w:rPr>
                <w:rFonts w:asciiTheme="majorBidi" w:hAnsiTheme="majorBidi" w:cstheme="majorBidi"/>
                <w:sz w:val="18"/>
                <w:szCs w:val="18"/>
              </w:rPr>
              <w:t>’</w:t>
            </w:r>
            <w:r w:rsidRPr="009D3E8D">
              <w:rPr>
                <w:rFonts w:asciiTheme="majorBidi" w:hAnsiTheme="majorBidi" w:cstheme="majorBidi"/>
                <w:sz w:val="18"/>
                <w:szCs w:val="18"/>
              </w:rPr>
              <w:t xml:space="preserve"> team strong</w:t>
            </w:r>
            <w:r w:rsidR="001B7EAD" w:rsidRPr="009D3E8D">
              <w:rPr>
                <w:rFonts w:asciiTheme="majorBidi" w:hAnsiTheme="majorBidi" w:cstheme="majorBidi"/>
                <w:sz w:val="18"/>
                <w:szCs w:val="18"/>
              </w:rPr>
              <w:t>ly</w:t>
            </w:r>
            <w:r w:rsidRPr="009D3E8D">
              <w:rPr>
                <w:rFonts w:asciiTheme="majorBidi" w:hAnsiTheme="majorBidi" w:cstheme="majorBidi"/>
                <w:sz w:val="18"/>
                <w:szCs w:val="18"/>
              </w:rPr>
              <w:t xml:space="preserve"> believes </w:t>
            </w:r>
            <w:r w:rsidR="00670BE7" w:rsidRPr="009D3E8D">
              <w:rPr>
                <w:rFonts w:asciiTheme="majorBidi" w:hAnsiTheme="majorBidi" w:cstheme="majorBidi"/>
                <w:sz w:val="18"/>
                <w:szCs w:val="18"/>
              </w:rPr>
              <w:t>such a ‘</w:t>
            </w:r>
            <w:r w:rsidR="00F03CDD" w:rsidRPr="009D3E8D">
              <w:rPr>
                <w:rFonts w:asciiTheme="majorBidi" w:hAnsiTheme="majorBidi" w:cstheme="majorBidi"/>
                <w:sz w:val="18"/>
                <w:szCs w:val="18"/>
              </w:rPr>
              <w:t>tried and tested</w:t>
            </w:r>
            <w:r w:rsidR="00670BE7" w:rsidRPr="009D3E8D">
              <w:rPr>
                <w:rFonts w:asciiTheme="majorBidi" w:hAnsiTheme="majorBidi" w:cstheme="majorBidi"/>
                <w:sz w:val="18"/>
                <w:szCs w:val="18"/>
              </w:rPr>
              <w:t>’</w:t>
            </w:r>
            <w:r w:rsidR="00F03CDD" w:rsidRPr="009D3E8D">
              <w:rPr>
                <w:rFonts w:asciiTheme="majorBidi" w:hAnsiTheme="majorBidi" w:cstheme="majorBidi"/>
                <w:sz w:val="18"/>
                <w:szCs w:val="18"/>
              </w:rPr>
              <w:t xml:space="preserve"> approach</w:t>
            </w:r>
            <w:r w:rsidRPr="009D3E8D">
              <w:rPr>
                <w:rFonts w:asciiTheme="majorBidi" w:hAnsiTheme="majorBidi" w:cstheme="majorBidi"/>
                <w:sz w:val="18"/>
                <w:szCs w:val="18"/>
              </w:rPr>
              <w:t xml:space="preserve"> is best </w:t>
            </w:r>
            <w:r w:rsidR="001B7EAD" w:rsidRPr="009D3E8D">
              <w:rPr>
                <w:rFonts w:asciiTheme="majorBidi" w:hAnsiTheme="majorBidi" w:cstheme="majorBidi"/>
                <w:sz w:val="18"/>
                <w:szCs w:val="18"/>
              </w:rPr>
              <w:t>adapted</w:t>
            </w:r>
            <w:r w:rsidRPr="009D3E8D">
              <w:rPr>
                <w:rFonts w:asciiTheme="majorBidi" w:hAnsiTheme="majorBidi" w:cstheme="majorBidi"/>
                <w:sz w:val="18"/>
                <w:szCs w:val="18"/>
              </w:rPr>
              <w:t xml:space="preserve"> </w:t>
            </w:r>
            <w:r w:rsidR="001B7EAD" w:rsidRPr="009D3E8D">
              <w:rPr>
                <w:rFonts w:asciiTheme="majorBidi" w:hAnsiTheme="majorBidi" w:cstheme="majorBidi"/>
                <w:sz w:val="18"/>
                <w:szCs w:val="18"/>
              </w:rPr>
              <w:t xml:space="preserve">to </w:t>
            </w:r>
            <w:r w:rsidRPr="009D3E8D">
              <w:rPr>
                <w:rFonts w:asciiTheme="majorBidi" w:hAnsiTheme="majorBidi" w:cstheme="majorBidi"/>
                <w:sz w:val="18"/>
                <w:szCs w:val="18"/>
              </w:rPr>
              <w:t>replicat</w:t>
            </w:r>
            <w:r w:rsidR="001B7EAD" w:rsidRPr="009D3E8D">
              <w:rPr>
                <w:rFonts w:asciiTheme="majorBidi" w:hAnsiTheme="majorBidi" w:cstheme="majorBidi"/>
                <w:sz w:val="18"/>
                <w:szCs w:val="18"/>
              </w:rPr>
              <w:t>e</w:t>
            </w:r>
            <w:r w:rsidRPr="009D3E8D">
              <w:rPr>
                <w:rFonts w:asciiTheme="majorBidi" w:hAnsiTheme="majorBidi" w:cstheme="majorBidi"/>
                <w:sz w:val="18"/>
                <w:szCs w:val="18"/>
              </w:rPr>
              <w:t xml:space="preserve"> the model police station pilot initiative.</w:t>
            </w:r>
          </w:p>
          <w:p w14:paraId="30CD495C" w14:textId="77777777" w:rsidR="009A3305" w:rsidRPr="009D3E8D" w:rsidRDefault="009A3305" w:rsidP="009D3C57">
            <w:pPr>
              <w:tabs>
                <w:tab w:val="left" w:pos="1080"/>
              </w:tabs>
              <w:spacing w:after="0" w:line="240" w:lineRule="auto"/>
              <w:jc w:val="both"/>
              <w:rPr>
                <w:rFonts w:asciiTheme="majorBidi" w:hAnsiTheme="majorBidi" w:cstheme="majorBidi"/>
                <w:sz w:val="18"/>
                <w:szCs w:val="18"/>
              </w:rPr>
            </w:pPr>
          </w:p>
          <w:p w14:paraId="7DA8CB07" w14:textId="0FB435E6" w:rsidR="008D7A36" w:rsidRPr="009D3E8D" w:rsidRDefault="00670BE7" w:rsidP="009D3C57">
            <w:pPr>
              <w:tabs>
                <w:tab w:val="left" w:pos="1080"/>
              </w:tabs>
              <w:spacing w:after="0" w:line="240" w:lineRule="auto"/>
              <w:jc w:val="both"/>
              <w:rPr>
                <w:rFonts w:asciiTheme="majorBidi" w:hAnsiTheme="majorBidi" w:cstheme="majorBidi"/>
                <w:sz w:val="18"/>
                <w:szCs w:val="18"/>
              </w:rPr>
            </w:pPr>
            <w:r w:rsidRPr="009D3E8D">
              <w:rPr>
                <w:rFonts w:asciiTheme="majorBidi" w:hAnsiTheme="majorBidi" w:cstheme="majorBidi"/>
                <w:sz w:val="18"/>
                <w:szCs w:val="18"/>
              </w:rPr>
              <w:lastRenderedPageBreak/>
              <w:t xml:space="preserve">Based on </w:t>
            </w:r>
            <w:r w:rsidR="009C18CD">
              <w:rPr>
                <w:rFonts w:asciiTheme="majorBidi" w:hAnsiTheme="majorBidi" w:cstheme="majorBidi"/>
                <w:sz w:val="18"/>
                <w:szCs w:val="18"/>
              </w:rPr>
              <w:t>Project</w:t>
            </w:r>
            <w:r w:rsidRPr="009D3E8D">
              <w:rPr>
                <w:rFonts w:asciiTheme="majorBidi" w:hAnsiTheme="majorBidi" w:cstheme="majorBidi"/>
                <w:sz w:val="18"/>
                <w:szCs w:val="18"/>
              </w:rPr>
              <w:t xml:space="preserve"> team</w:t>
            </w:r>
            <w:r w:rsidR="009A3305" w:rsidRPr="009D3E8D">
              <w:rPr>
                <w:rFonts w:asciiTheme="majorBidi" w:hAnsiTheme="majorBidi" w:cstheme="majorBidi"/>
                <w:sz w:val="18"/>
                <w:szCs w:val="18"/>
              </w:rPr>
              <w:t>’</w:t>
            </w:r>
            <w:r w:rsidRPr="009D3E8D">
              <w:rPr>
                <w:rFonts w:asciiTheme="majorBidi" w:hAnsiTheme="majorBidi" w:cstheme="majorBidi"/>
                <w:sz w:val="18"/>
                <w:szCs w:val="18"/>
              </w:rPr>
              <w:t xml:space="preserve">s regular consultations with Iraqi counterparts and donors, </w:t>
            </w:r>
            <w:r w:rsidR="007765FA" w:rsidRPr="009D3E8D">
              <w:rPr>
                <w:rFonts w:asciiTheme="majorBidi" w:hAnsiTheme="majorBidi" w:cstheme="majorBidi"/>
                <w:sz w:val="18"/>
                <w:szCs w:val="18"/>
              </w:rPr>
              <w:t>it</w:t>
            </w:r>
            <w:r w:rsidRPr="009D3E8D">
              <w:rPr>
                <w:rFonts w:asciiTheme="majorBidi" w:hAnsiTheme="majorBidi" w:cstheme="majorBidi"/>
                <w:sz w:val="18"/>
                <w:szCs w:val="18"/>
              </w:rPr>
              <w:t xml:space="preserve"> is understood that there is no appetite for ‘model courts’ in</w:t>
            </w:r>
            <w:r w:rsidR="009A3305" w:rsidRPr="009D3E8D">
              <w:rPr>
                <w:rFonts w:asciiTheme="majorBidi" w:hAnsiTheme="majorBidi" w:cstheme="majorBidi"/>
                <w:sz w:val="18"/>
                <w:szCs w:val="18"/>
              </w:rPr>
              <w:t xml:space="preserve"> the current operational context</w:t>
            </w:r>
            <w:r w:rsidRPr="009D3E8D">
              <w:rPr>
                <w:rFonts w:asciiTheme="majorBidi" w:hAnsiTheme="majorBidi" w:cstheme="majorBidi"/>
                <w:sz w:val="18"/>
                <w:szCs w:val="18"/>
              </w:rPr>
              <w:t xml:space="preserve"> Iraq. </w:t>
            </w:r>
            <w:r w:rsidR="007765FA" w:rsidRPr="009D3E8D">
              <w:rPr>
                <w:rFonts w:asciiTheme="majorBidi" w:hAnsiTheme="majorBidi" w:cstheme="majorBidi"/>
                <w:sz w:val="18"/>
                <w:szCs w:val="18"/>
              </w:rPr>
              <w:t>Therefore,</w:t>
            </w:r>
            <w:r w:rsidRPr="009D3E8D">
              <w:rPr>
                <w:rFonts w:asciiTheme="majorBidi" w:hAnsiTheme="majorBidi" w:cstheme="majorBidi"/>
                <w:sz w:val="18"/>
                <w:szCs w:val="18"/>
              </w:rPr>
              <w:t xml:space="preserve"> </w:t>
            </w:r>
            <w:r w:rsidR="007765FA" w:rsidRPr="009D3E8D">
              <w:rPr>
                <w:rFonts w:asciiTheme="majorBidi" w:hAnsiTheme="majorBidi" w:cstheme="majorBidi"/>
                <w:sz w:val="18"/>
                <w:szCs w:val="18"/>
              </w:rPr>
              <w:t xml:space="preserve">the </w:t>
            </w:r>
            <w:r w:rsidR="00291585">
              <w:rPr>
                <w:rFonts w:asciiTheme="majorBidi" w:hAnsiTheme="majorBidi" w:cstheme="majorBidi"/>
                <w:sz w:val="18"/>
                <w:szCs w:val="18"/>
              </w:rPr>
              <w:t>Project</w:t>
            </w:r>
            <w:r w:rsidR="007765FA" w:rsidRPr="009D3E8D">
              <w:rPr>
                <w:rFonts w:asciiTheme="majorBidi" w:hAnsiTheme="majorBidi" w:cstheme="majorBidi"/>
                <w:sz w:val="18"/>
                <w:szCs w:val="18"/>
              </w:rPr>
              <w:t xml:space="preserve"> will </w:t>
            </w:r>
            <w:r w:rsidR="001B7EAD" w:rsidRPr="009D3E8D">
              <w:rPr>
                <w:rFonts w:asciiTheme="majorBidi" w:hAnsiTheme="majorBidi" w:cstheme="majorBidi"/>
                <w:sz w:val="18"/>
                <w:szCs w:val="18"/>
              </w:rPr>
              <w:t>revisit the</w:t>
            </w:r>
            <w:r w:rsidR="007765FA" w:rsidRPr="009D3E8D">
              <w:rPr>
                <w:rFonts w:asciiTheme="majorBidi" w:hAnsiTheme="majorBidi" w:cstheme="majorBidi"/>
                <w:sz w:val="18"/>
                <w:szCs w:val="18"/>
              </w:rPr>
              <w:t xml:space="preserve"> suggestion </w:t>
            </w:r>
            <w:r w:rsidR="00FB02F4" w:rsidRPr="009D3E8D">
              <w:rPr>
                <w:rFonts w:asciiTheme="majorBidi" w:hAnsiTheme="majorBidi" w:cstheme="majorBidi"/>
                <w:sz w:val="18"/>
                <w:szCs w:val="18"/>
              </w:rPr>
              <w:t xml:space="preserve">at such time </w:t>
            </w:r>
            <w:r w:rsidR="001B7EAD" w:rsidRPr="009D3E8D">
              <w:rPr>
                <w:rFonts w:asciiTheme="majorBidi" w:hAnsiTheme="majorBidi" w:cstheme="majorBidi"/>
                <w:sz w:val="18"/>
                <w:szCs w:val="18"/>
              </w:rPr>
              <w:t>when the context allows.</w:t>
            </w:r>
          </w:p>
          <w:p w14:paraId="400BFD56" w14:textId="77777777" w:rsidR="00EC01F5" w:rsidRPr="009D3E8D" w:rsidRDefault="00EC01F5" w:rsidP="009D3C57">
            <w:pPr>
              <w:tabs>
                <w:tab w:val="left" w:pos="1080"/>
              </w:tabs>
              <w:spacing w:after="0" w:line="240" w:lineRule="auto"/>
              <w:jc w:val="both"/>
              <w:rPr>
                <w:rFonts w:asciiTheme="majorBidi" w:hAnsiTheme="majorBidi" w:cstheme="majorBidi"/>
                <w:sz w:val="18"/>
                <w:szCs w:val="18"/>
              </w:rPr>
            </w:pPr>
          </w:p>
          <w:p w14:paraId="626C95F8" w14:textId="06091F1C" w:rsidR="00EC01F5" w:rsidRPr="009D3E8D" w:rsidRDefault="00EC01F5" w:rsidP="009D3C57">
            <w:pPr>
              <w:tabs>
                <w:tab w:val="left" w:pos="1080"/>
              </w:tabs>
              <w:spacing w:after="0" w:line="240" w:lineRule="auto"/>
              <w:jc w:val="both"/>
              <w:rPr>
                <w:rFonts w:ascii="Times New Roman" w:hAnsi="Times New Roman" w:cs="Times New Roman"/>
                <w:bCs/>
                <w:sz w:val="18"/>
                <w:szCs w:val="18"/>
              </w:rPr>
            </w:pPr>
            <w:proofErr w:type="gramStart"/>
            <w:r w:rsidRPr="009D3E8D">
              <w:rPr>
                <w:rFonts w:ascii="Times New Roman" w:hAnsi="Times New Roman" w:cs="Times New Roman"/>
                <w:bCs/>
                <w:sz w:val="18"/>
                <w:szCs w:val="18"/>
              </w:rPr>
              <w:t>In light of</w:t>
            </w:r>
            <w:proofErr w:type="gramEnd"/>
            <w:r w:rsidRPr="009D3E8D">
              <w:rPr>
                <w:rFonts w:ascii="Times New Roman" w:hAnsi="Times New Roman" w:cs="Times New Roman"/>
                <w:bCs/>
                <w:sz w:val="18"/>
                <w:szCs w:val="18"/>
              </w:rPr>
              <w:t xml:space="preserve"> the above clarifications, where appropriate and necessary planning and action corresponding to this recommendation is already in progress, </w:t>
            </w:r>
            <w:r w:rsidR="00113E7A" w:rsidRPr="009D3E8D">
              <w:rPr>
                <w:rFonts w:ascii="Times New Roman" w:hAnsi="Times New Roman" w:cs="Times New Roman"/>
                <w:bCs/>
                <w:sz w:val="18"/>
                <w:szCs w:val="18"/>
              </w:rPr>
              <w:t>and no</w:t>
            </w:r>
            <w:r w:rsidRPr="009D3E8D">
              <w:rPr>
                <w:rFonts w:ascii="Times New Roman" w:hAnsi="Times New Roman" w:cs="Times New Roman"/>
                <w:bCs/>
                <w:sz w:val="18"/>
                <w:szCs w:val="18"/>
              </w:rPr>
              <w:t xml:space="preserve"> further action is required under this recommendation.</w:t>
            </w:r>
          </w:p>
        </w:tc>
      </w:tr>
      <w:tr w:rsidR="00834F97" w:rsidRPr="00867815" w14:paraId="060AD541" w14:textId="77777777" w:rsidTr="00D86A94">
        <w:trPr>
          <w:trHeight w:val="135"/>
        </w:trPr>
        <w:tc>
          <w:tcPr>
            <w:tcW w:w="4083" w:type="dxa"/>
            <w:vMerge w:val="restart"/>
            <w:shd w:val="clear" w:color="auto" w:fill="EAF6F3"/>
            <w:vAlign w:val="center"/>
          </w:tcPr>
          <w:p w14:paraId="098D82C5" w14:textId="77777777" w:rsidR="00834F97" w:rsidRPr="00867815" w:rsidRDefault="00834F9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lastRenderedPageBreak/>
              <w:t>Key action(s)</w:t>
            </w:r>
          </w:p>
        </w:tc>
        <w:tc>
          <w:tcPr>
            <w:tcW w:w="1316" w:type="dxa"/>
            <w:vMerge w:val="restart"/>
            <w:shd w:val="clear" w:color="auto" w:fill="EAF6F3"/>
            <w:vAlign w:val="center"/>
          </w:tcPr>
          <w:p w14:paraId="14DE73F2" w14:textId="77777777" w:rsidR="00834F97" w:rsidRPr="00867815" w:rsidRDefault="00834F9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914" w:type="dxa"/>
            <w:vMerge w:val="restart"/>
            <w:shd w:val="clear" w:color="auto" w:fill="EAF6F3"/>
            <w:vAlign w:val="center"/>
          </w:tcPr>
          <w:p w14:paraId="3512BD1E" w14:textId="77777777" w:rsidR="00834F97" w:rsidRPr="00867815" w:rsidRDefault="00834F9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307" w:type="dxa"/>
            <w:gridSpan w:val="2"/>
            <w:shd w:val="clear" w:color="auto" w:fill="EAF6F3"/>
          </w:tcPr>
          <w:p w14:paraId="2AEDF633"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834F97" w:rsidRPr="00867815" w14:paraId="18507EA1" w14:textId="77777777" w:rsidTr="2146737A">
        <w:trPr>
          <w:trHeight w:val="135"/>
        </w:trPr>
        <w:tc>
          <w:tcPr>
            <w:tcW w:w="4083" w:type="dxa"/>
            <w:vMerge/>
          </w:tcPr>
          <w:p w14:paraId="68A3C01B" w14:textId="77777777" w:rsidR="00834F97" w:rsidRPr="00867815" w:rsidRDefault="00834F97" w:rsidP="009D3E8D">
            <w:pPr>
              <w:tabs>
                <w:tab w:val="left" w:pos="1080"/>
              </w:tabs>
              <w:spacing w:after="0" w:line="240" w:lineRule="auto"/>
              <w:jc w:val="both"/>
              <w:rPr>
                <w:rFonts w:ascii="Times New Roman" w:hAnsi="Times New Roman" w:cs="Times New Roman"/>
                <w:color w:val="185262"/>
                <w:sz w:val="18"/>
                <w:szCs w:val="18"/>
              </w:rPr>
            </w:pPr>
          </w:p>
        </w:tc>
        <w:tc>
          <w:tcPr>
            <w:tcW w:w="1316" w:type="dxa"/>
            <w:vMerge/>
          </w:tcPr>
          <w:p w14:paraId="6D0DAD10"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p>
        </w:tc>
        <w:tc>
          <w:tcPr>
            <w:tcW w:w="1914" w:type="dxa"/>
            <w:vMerge/>
          </w:tcPr>
          <w:p w14:paraId="40B5362C"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p>
        </w:tc>
        <w:tc>
          <w:tcPr>
            <w:tcW w:w="1231" w:type="dxa"/>
          </w:tcPr>
          <w:p w14:paraId="02EC1D77"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076" w:type="dxa"/>
          </w:tcPr>
          <w:p w14:paraId="3C5808A5" w14:textId="3D5905ED" w:rsidR="00834F97" w:rsidRPr="00BF139A" w:rsidRDefault="00834F97" w:rsidP="009D3E8D">
            <w:pPr>
              <w:tabs>
                <w:tab w:val="left" w:pos="1080"/>
              </w:tabs>
              <w:spacing w:after="0" w:line="240" w:lineRule="auto"/>
              <w:jc w:val="both"/>
              <w:rPr>
                <w:rFonts w:ascii="Times New Roman" w:eastAsiaTheme="majorEastAsia" w:hAnsi="Times New Roman" w:cs="Times New Roman"/>
                <w:b/>
                <w:color w:val="185262"/>
                <w:sz w:val="18"/>
                <w:szCs w:val="18"/>
              </w:rPr>
            </w:pPr>
            <w:r w:rsidRPr="00867815">
              <w:rPr>
                <w:rFonts w:ascii="Times New Roman" w:hAnsi="Times New Roman" w:cs="Times New Roman"/>
                <w:b/>
                <w:color w:val="185262"/>
                <w:sz w:val="18"/>
                <w:szCs w:val="18"/>
              </w:rPr>
              <w:t>Status</w:t>
            </w:r>
            <w:r w:rsidR="00BF139A">
              <w:rPr>
                <w:rFonts w:ascii="Times New Roman" w:hAnsi="Times New Roman" w:cs="Times New Roman"/>
                <w:b/>
                <w:color w:val="185262"/>
                <w:sz w:val="18"/>
                <w:szCs w:val="18"/>
              </w:rPr>
              <w:t xml:space="preserve"> </w:t>
            </w:r>
            <w:r w:rsidR="00BD0B6B" w:rsidRPr="00867815">
              <w:rPr>
                <w:rFonts w:ascii="Times New Roman" w:hAnsi="Times New Roman" w:cs="Times New Roman"/>
                <w:bCs/>
                <w:i/>
                <w:iCs/>
                <w:color w:val="185262"/>
                <w:sz w:val="18"/>
                <w:szCs w:val="18"/>
              </w:rPr>
              <w:t>(initiated, completed or no due date)</w:t>
            </w:r>
          </w:p>
        </w:tc>
      </w:tr>
      <w:tr w:rsidR="003C5864" w:rsidRPr="00867815" w14:paraId="40CAF894" w14:textId="77777777" w:rsidTr="00D86A94">
        <w:tc>
          <w:tcPr>
            <w:tcW w:w="4083" w:type="dxa"/>
          </w:tcPr>
          <w:p w14:paraId="6316B469" w14:textId="4F2FCE4C" w:rsidR="003C5864" w:rsidRPr="00867815" w:rsidRDefault="68C0A377" w:rsidP="009D3E8D">
            <w:pPr>
              <w:tabs>
                <w:tab w:val="left" w:pos="1080"/>
              </w:tabs>
              <w:spacing w:after="0" w:line="240" w:lineRule="auto"/>
              <w:jc w:val="both"/>
              <w:rPr>
                <w:rFonts w:ascii="Times New Roman" w:hAnsi="Times New Roman" w:cs="Times New Roman"/>
                <w:color w:val="185262"/>
                <w:sz w:val="18"/>
                <w:szCs w:val="18"/>
              </w:rPr>
            </w:pPr>
            <w:r w:rsidRPr="2146737A">
              <w:rPr>
                <w:rFonts w:ascii="Times New Roman" w:hAnsi="Times New Roman" w:cs="Times New Roman"/>
                <w:color w:val="185262"/>
                <w:sz w:val="18"/>
                <w:szCs w:val="18"/>
              </w:rPr>
              <w:t>NA</w:t>
            </w:r>
          </w:p>
        </w:tc>
        <w:tc>
          <w:tcPr>
            <w:tcW w:w="1316" w:type="dxa"/>
            <w:vAlign w:val="center"/>
          </w:tcPr>
          <w:p w14:paraId="79141CBF" w14:textId="075DE563" w:rsidR="003C5864" w:rsidRPr="00867815" w:rsidRDefault="68C0A377" w:rsidP="009D3E8D">
            <w:pPr>
              <w:tabs>
                <w:tab w:val="left" w:pos="1080"/>
              </w:tabs>
              <w:spacing w:after="0" w:line="240" w:lineRule="auto"/>
              <w:rPr>
                <w:rFonts w:ascii="Times New Roman" w:hAnsi="Times New Roman" w:cs="Times New Roman"/>
                <w:color w:val="185262"/>
                <w:sz w:val="18"/>
                <w:szCs w:val="18"/>
              </w:rPr>
            </w:pPr>
            <w:r w:rsidRPr="7CDC21FB">
              <w:rPr>
                <w:rFonts w:ascii="Times New Roman" w:hAnsi="Times New Roman" w:cs="Times New Roman"/>
                <w:color w:val="185262"/>
                <w:sz w:val="18"/>
                <w:szCs w:val="18"/>
              </w:rPr>
              <w:t>NA</w:t>
            </w:r>
          </w:p>
        </w:tc>
        <w:tc>
          <w:tcPr>
            <w:tcW w:w="1914" w:type="dxa"/>
            <w:vAlign w:val="center"/>
          </w:tcPr>
          <w:p w14:paraId="139FCE37" w14:textId="2F41207D" w:rsidR="003C5864" w:rsidRPr="00867815" w:rsidRDefault="68C0A377" w:rsidP="009D3E8D">
            <w:pPr>
              <w:tabs>
                <w:tab w:val="left" w:pos="1080"/>
              </w:tabs>
              <w:spacing w:after="0" w:line="240" w:lineRule="auto"/>
              <w:rPr>
                <w:rFonts w:ascii="Times New Roman" w:hAnsi="Times New Roman" w:cs="Times New Roman"/>
                <w:color w:val="185262"/>
                <w:sz w:val="18"/>
                <w:szCs w:val="18"/>
              </w:rPr>
            </w:pPr>
            <w:r w:rsidRPr="7CDC21FB">
              <w:rPr>
                <w:rFonts w:ascii="Times New Roman" w:hAnsi="Times New Roman" w:cs="Times New Roman"/>
                <w:color w:val="185262"/>
                <w:sz w:val="18"/>
                <w:szCs w:val="18"/>
              </w:rPr>
              <w:t>NA</w:t>
            </w:r>
          </w:p>
        </w:tc>
        <w:tc>
          <w:tcPr>
            <w:tcW w:w="1231" w:type="dxa"/>
          </w:tcPr>
          <w:p w14:paraId="74B6CD26" w14:textId="589DBB7F" w:rsidR="003C5864" w:rsidRPr="00867815" w:rsidRDefault="68C0A377" w:rsidP="009D3E8D">
            <w:pPr>
              <w:tabs>
                <w:tab w:val="left" w:pos="1080"/>
              </w:tabs>
              <w:spacing w:after="0" w:line="240" w:lineRule="auto"/>
              <w:jc w:val="both"/>
              <w:rPr>
                <w:rFonts w:ascii="Times New Roman" w:hAnsi="Times New Roman" w:cs="Times New Roman"/>
                <w:color w:val="185262"/>
                <w:sz w:val="18"/>
                <w:szCs w:val="18"/>
              </w:rPr>
            </w:pPr>
            <w:r w:rsidRPr="7CDC21FB">
              <w:rPr>
                <w:rFonts w:ascii="Times New Roman" w:hAnsi="Times New Roman" w:cs="Times New Roman"/>
                <w:color w:val="185262"/>
                <w:sz w:val="18"/>
                <w:szCs w:val="18"/>
              </w:rPr>
              <w:t>NA</w:t>
            </w:r>
          </w:p>
        </w:tc>
        <w:tc>
          <w:tcPr>
            <w:tcW w:w="2076" w:type="dxa"/>
          </w:tcPr>
          <w:p w14:paraId="23E91B59" w14:textId="45721EF1" w:rsidR="003C5864" w:rsidRPr="00867815" w:rsidRDefault="68C0A377" w:rsidP="009D3E8D">
            <w:pPr>
              <w:tabs>
                <w:tab w:val="left" w:pos="1080"/>
              </w:tabs>
              <w:spacing w:after="0" w:line="240" w:lineRule="auto"/>
              <w:jc w:val="both"/>
              <w:rPr>
                <w:rFonts w:ascii="Times New Roman" w:hAnsi="Times New Roman" w:cs="Times New Roman"/>
                <w:color w:val="185262"/>
                <w:sz w:val="18"/>
                <w:szCs w:val="18"/>
              </w:rPr>
            </w:pPr>
            <w:r w:rsidRPr="073267BE">
              <w:rPr>
                <w:rFonts w:ascii="Times New Roman" w:hAnsi="Times New Roman" w:cs="Times New Roman"/>
                <w:color w:val="185262"/>
                <w:sz w:val="18"/>
                <w:szCs w:val="18"/>
              </w:rPr>
              <w:t>NA</w:t>
            </w:r>
          </w:p>
        </w:tc>
      </w:tr>
    </w:tbl>
    <w:p w14:paraId="48BCDD49" w14:textId="180A51E7" w:rsidR="00834F97" w:rsidRPr="00867815" w:rsidRDefault="00834F97" w:rsidP="00E61BD7">
      <w:pPr>
        <w:tabs>
          <w:tab w:val="left" w:pos="1080"/>
        </w:tabs>
        <w:spacing w:after="0" w:line="240" w:lineRule="auto"/>
        <w:jc w:val="both"/>
        <w:rPr>
          <w:rFonts w:ascii="Times New Roman" w:hAnsi="Times New Roman" w:cs="Times New Roman"/>
          <w:color w:val="185262"/>
          <w:sz w:val="18"/>
          <w:szCs w:val="18"/>
          <w:lang w:eastAsia="ja-JP"/>
        </w:rPr>
      </w:pPr>
    </w:p>
    <w:tbl>
      <w:tblPr>
        <w:tblpPr w:leftFromText="180" w:rightFromText="180" w:vertAnchor="text" w:tblpX="-725" w:tblpY="31"/>
        <w:tblW w:w="1062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089"/>
        <w:gridCol w:w="1316"/>
        <w:gridCol w:w="1916"/>
        <w:gridCol w:w="1047"/>
        <w:gridCol w:w="2252"/>
      </w:tblGrid>
      <w:tr w:rsidR="00834F97" w:rsidRPr="00867815" w14:paraId="49C82744" w14:textId="77777777" w:rsidTr="009D3E8D">
        <w:trPr>
          <w:trHeight w:val="798"/>
        </w:trPr>
        <w:tc>
          <w:tcPr>
            <w:tcW w:w="10620" w:type="dxa"/>
            <w:gridSpan w:val="5"/>
            <w:shd w:val="clear" w:color="auto" w:fill="EAF6F3"/>
          </w:tcPr>
          <w:p w14:paraId="6DA0B838" w14:textId="4A3B4FD9" w:rsidR="00834F97" w:rsidRPr="00EB686C" w:rsidRDefault="00834F97" w:rsidP="009D3E8D">
            <w:pPr>
              <w:spacing w:after="0" w:line="240" w:lineRule="auto"/>
              <w:jc w:val="both"/>
              <w:rPr>
                <w:rFonts w:ascii="Times New Roman" w:eastAsia="Times New Roman" w:hAnsi="Times New Roman" w:cs="Times New Roman"/>
                <w:sz w:val="18"/>
                <w:szCs w:val="18"/>
                <w:lang w:eastAsia="sl-SI"/>
              </w:rPr>
            </w:pPr>
            <w:r w:rsidRPr="00867815">
              <w:rPr>
                <w:rFonts w:ascii="Times New Roman" w:hAnsi="Times New Roman" w:cs="Times New Roman"/>
                <w:b/>
                <w:color w:val="185262"/>
                <w:sz w:val="18"/>
                <w:szCs w:val="18"/>
              </w:rPr>
              <w:t xml:space="preserve">Evaluation recommendation </w:t>
            </w:r>
            <w:r w:rsidR="004A624C" w:rsidRPr="00867815">
              <w:rPr>
                <w:rFonts w:ascii="Times New Roman" w:hAnsi="Times New Roman" w:cs="Times New Roman"/>
                <w:b/>
                <w:color w:val="185262"/>
                <w:sz w:val="18"/>
                <w:szCs w:val="18"/>
              </w:rPr>
              <w:t>7</w:t>
            </w:r>
            <w:r w:rsidR="00871C4E" w:rsidRPr="00867815">
              <w:rPr>
                <w:rFonts w:ascii="Times New Roman" w:hAnsi="Times New Roman" w:cs="Times New Roman"/>
                <w:b/>
                <w:color w:val="185262"/>
                <w:sz w:val="18"/>
                <w:szCs w:val="18"/>
              </w:rPr>
              <w:t>:</w:t>
            </w:r>
            <w:r w:rsidR="00057746">
              <w:rPr>
                <w:rFonts w:ascii="Times New Roman" w:hAnsi="Times New Roman" w:cs="Times New Roman"/>
                <w:sz w:val="18"/>
                <w:szCs w:val="18"/>
              </w:rPr>
              <w:t xml:space="preserve"> </w:t>
            </w:r>
            <w:r w:rsidR="00B9417E">
              <w:rPr>
                <w:rFonts w:ascii="Times New Roman" w:hAnsi="Times New Roman" w:cs="Times New Roman"/>
                <w:b/>
                <w:bCs/>
                <w:sz w:val="18"/>
                <w:szCs w:val="18"/>
              </w:rPr>
              <w:t>E</w:t>
            </w:r>
            <w:r w:rsidR="00871C4E" w:rsidRPr="00867815">
              <w:rPr>
                <w:rFonts w:ascii="Times New Roman" w:hAnsi="Times New Roman" w:cs="Times New Roman"/>
                <w:b/>
                <w:bCs/>
                <w:sz w:val="18"/>
                <w:szCs w:val="18"/>
              </w:rPr>
              <w:t>nlarge Q</w:t>
            </w:r>
            <w:r w:rsidR="00B9417E">
              <w:rPr>
                <w:rFonts w:ascii="Times New Roman" w:hAnsi="Times New Roman" w:cs="Times New Roman"/>
                <w:b/>
                <w:bCs/>
                <w:sz w:val="18"/>
                <w:szCs w:val="18"/>
              </w:rPr>
              <w:t xml:space="preserve">uick </w:t>
            </w:r>
            <w:r w:rsidR="00871C4E" w:rsidRPr="00867815">
              <w:rPr>
                <w:rFonts w:ascii="Times New Roman" w:hAnsi="Times New Roman" w:cs="Times New Roman"/>
                <w:b/>
                <w:bCs/>
                <w:sz w:val="18"/>
                <w:szCs w:val="18"/>
              </w:rPr>
              <w:t>I</w:t>
            </w:r>
            <w:r w:rsidR="00B9417E">
              <w:rPr>
                <w:rFonts w:ascii="Times New Roman" w:hAnsi="Times New Roman" w:cs="Times New Roman"/>
                <w:b/>
                <w:bCs/>
                <w:sz w:val="18"/>
                <w:szCs w:val="18"/>
              </w:rPr>
              <w:t xml:space="preserve">mpact </w:t>
            </w:r>
            <w:r w:rsidR="00871C4E" w:rsidRPr="00867815">
              <w:rPr>
                <w:rFonts w:ascii="Times New Roman" w:hAnsi="Times New Roman" w:cs="Times New Roman"/>
                <w:b/>
                <w:bCs/>
                <w:sz w:val="18"/>
                <w:szCs w:val="18"/>
              </w:rPr>
              <w:t>P</w:t>
            </w:r>
            <w:r w:rsidR="00B9417E">
              <w:rPr>
                <w:rFonts w:ascii="Times New Roman" w:hAnsi="Times New Roman" w:cs="Times New Roman"/>
                <w:b/>
                <w:bCs/>
                <w:sz w:val="18"/>
                <w:szCs w:val="18"/>
              </w:rPr>
              <w:t>roject</w:t>
            </w:r>
            <w:r w:rsidR="00871C4E" w:rsidRPr="00867815">
              <w:rPr>
                <w:rFonts w:ascii="Times New Roman" w:hAnsi="Times New Roman" w:cs="Times New Roman"/>
                <w:b/>
                <w:bCs/>
                <w:sz w:val="18"/>
                <w:szCs w:val="18"/>
              </w:rPr>
              <w:t xml:space="preserve"> </w:t>
            </w:r>
            <w:r w:rsidR="00C4092D">
              <w:rPr>
                <w:rFonts w:ascii="Times New Roman" w:hAnsi="Times New Roman" w:cs="Times New Roman"/>
                <w:b/>
                <w:bCs/>
                <w:sz w:val="18"/>
                <w:szCs w:val="18"/>
              </w:rPr>
              <w:t xml:space="preserve">(QIP) </w:t>
            </w:r>
            <w:r w:rsidR="008068EF" w:rsidRPr="00867815">
              <w:rPr>
                <w:rFonts w:ascii="Times New Roman" w:hAnsi="Times New Roman" w:cs="Times New Roman"/>
                <w:b/>
                <w:bCs/>
                <w:sz w:val="18"/>
                <w:szCs w:val="18"/>
              </w:rPr>
              <w:t xml:space="preserve">and </w:t>
            </w:r>
            <w:r w:rsidR="008068EF" w:rsidRPr="008068EF">
              <w:rPr>
                <w:rFonts w:ascii="Times New Roman" w:hAnsi="Times New Roman" w:cs="Times New Roman"/>
                <w:b/>
                <w:bCs/>
                <w:sz w:val="18"/>
                <w:szCs w:val="18"/>
              </w:rPr>
              <w:t xml:space="preserve">Community Security Integration Pilot </w:t>
            </w:r>
            <w:r w:rsidR="008068EF">
              <w:rPr>
                <w:rFonts w:ascii="Times New Roman" w:hAnsi="Times New Roman" w:cs="Times New Roman"/>
                <w:b/>
                <w:bCs/>
                <w:sz w:val="18"/>
                <w:szCs w:val="18"/>
              </w:rPr>
              <w:t>(</w:t>
            </w:r>
            <w:r w:rsidR="00871C4E" w:rsidRPr="00867815">
              <w:rPr>
                <w:rFonts w:ascii="Times New Roman" w:hAnsi="Times New Roman" w:cs="Times New Roman"/>
                <w:b/>
                <w:bCs/>
                <w:sz w:val="18"/>
                <w:szCs w:val="18"/>
              </w:rPr>
              <w:t>CSIP</w:t>
            </w:r>
            <w:r w:rsidR="008068EF">
              <w:rPr>
                <w:rFonts w:ascii="Times New Roman" w:hAnsi="Times New Roman" w:cs="Times New Roman"/>
                <w:b/>
                <w:bCs/>
                <w:sz w:val="18"/>
                <w:szCs w:val="18"/>
              </w:rPr>
              <w:t>)</w:t>
            </w:r>
            <w:r w:rsidR="00871C4E" w:rsidRPr="00867815">
              <w:rPr>
                <w:rFonts w:ascii="Times New Roman" w:hAnsi="Times New Roman" w:cs="Times New Roman"/>
                <w:b/>
                <w:bCs/>
                <w:sz w:val="18"/>
                <w:szCs w:val="18"/>
              </w:rPr>
              <w:t xml:space="preserve"> support</w:t>
            </w:r>
            <w:r w:rsidR="00EB686C" w:rsidRPr="009D3E8D">
              <w:rPr>
                <w:rFonts w:ascii="Times New Roman" w:hAnsi="Times New Roman" w:cs="Times New Roman"/>
                <w:b/>
                <w:bCs/>
                <w:sz w:val="18"/>
                <w:szCs w:val="18"/>
              </w:rPr>
              <w:t xml:space="preserve">: </w:t>
            </w:r>
            <w:r w:rsidR="00EB686C" w:rsidRPr="009D3E8D">
              <w:rPr>
                <w:rFonts w:ascii="Times New Roman" w:eastAsia="Times New Roman" w:hAnsi="Times New Roman" w:cs="Times New Roman"/>
                <w:sz w:val="18"/>
                <w:szCs w:val="18"/>
                <w:lang w:eastAsia="sl-SI"/>
              </w:rPr>
              <w:t xml:space="preserve"> QIP and CSIP outreach should be expanded to other areas in need. Whilst QIPs should strive to institutionalise the cooperation between local communities and security forces, CSIP should explore additional possibilities to enhance the involvement of the private sector </w:t>
            </w:r>
            <w:proofErr w:type="gramStart"/>
            <w:r w:rsidR="00EB686C" w:rsidRPr="009D3E8D">
              <w:rPr>
                <w:rFonts w:ascii="Times New Roman" w:eastAsia="Times New Roman" w:hAnsi="Times New Roman" w:cs="Times New Roman"/>
                <w:sz w:val="18"/>
                <w:szCs w:val="18"/>
                <w:lang w:eastAsia="sl-SI"/>
              </w:rPr>
              <w:t>in order to</w:t>
            </w:r>
            <w:proofErr w:type="gramEnd"/>
            <w:r w:rsidR="00EB686C" w:rsidRPr="009D3E8D">
              <w:rPr>
                <w:rFonts w:ascii="Times New Roman" w:eastAsia="Times New Roman" w:hAnsi="Times New Roman" w:cs="Times New Roman"/>
                <w:sz w:val="18"/>
                <w:szCs w:val="18"/>
                <w:lang w:eastAsia="sl-SI"/>
              </w:rPr>
              <w:t xml:space="preserve"> increase employment possibilities for former volunteer fighters, their access to the job market, and the further development of their skills.</w:t>
            </w:r>
          </w:p>
        </w:tc>
      </w:tr>
      <w:tr w:rsidR="00834F97" w:rsidRPr="00867815" w14:paraId="2B18D9B8" w14:textId="77777777" w:rsidTr="000C0D33">
        <w:trPr>
          <w:trHeight w:val="738"/>
        </w:trPr>
        <w:tc>
          <w:tcPr>
            <w:tcW w:w="10620" w:type="dxa"/>
            <w:gridSpan w:val="5"/>
            <w:shd w:val="clear" w:color="auto" w:fill="EAF6F3"/>
          </w:tcPr>
          <w:p w14:paraId="015EE07A" w14:textId="77777777" w:rsidR="005741BC" w:rsidRPr="009D3E8D" w:rsidRDefault="00834F97" w:rsidP="009D3E8D">
            <w:pPr>
              <w:tabs>
                <w:tab w:val="left" w:pos="1080"/>
              </w:tabs>
              <w:spacing w:after="0" w:line="240" w:lineRule="auto"/>
              <w:jc w:val="both"/>
              <w:rPr>
                <w:rFonts w:ascii="Times New Roman" w:hAnsi="Times New Roman" w:cs="Times New Roman"/>
                <w:sz w:val="18"/>
                <w:szCs w:val="18"/>
              </w:rPr>
            </w:pPr>
            <w:r w:rsidRPr="00867815">
              <w:rPr>
                <w:rFonts w:ascii="Times New Roman" w:hAnsi="Times New Roman" w:cs="Times New Roman"/>
                <w:b/>
                <w:color w:val="185262"/>
                <w:sz w:val="18"/>
                <w:szCs w:val="18"/>
              </w:rPr>
              <w:t xml:space="preserve">Management response: </w:t>
            </w:r>
            <w:r w:rsidR="005741BC" w:rsidRPr="00CF4A97">
              <w:rPr>
                <w:rFonts w:asciiTheme="majorBidi" w:hAnsiTheme="majorBidi" w:cstheme="majorBidi"/>
                <w:color w:val="FF0000"/>
                <w:sz w:val="18"/>
                <w:szCs w:val="18"/>
              </w:rPr>
              <w:t xml:space="preserve"> </w:t>
            </w:r>
            <w:r w:rsidR="005741BC" w:rsidRPr="009D3E8D">
              <w:rPr>
                <w:rFonts w:asciiTheme="majorBidi" w:hAnsiTheme="majorBidi" w:cstheme="majorBidi"/>
                <w:sz w:val="18"/>
                <w:szCs w:val="18"/>
              </w:rPr>
              <w:t xml:space="preserve">The recommendation is well received. </w:t>
            </w:r>
          </w:p>
          <w:p w14:paraId="1E973D56" w14:textId="788DBBA0" w:rsidR="00834F97" w:rsidRPr="00867815" w:rsidRDefault="005741BC" w:rsidP="009D3E8D">
            <w:pPr>
              <w:tabs>
                <w:tab w:val="left" w:pos="1080"/>
              </w:tabs>
              <w:spacing w:after="0" w:line="240" w:lineRule="auto"/>
              <w:jc w:val="both"/>
              <w:rPr>
                <w:bCs/>
                <w:sz w:val="18"/>
                <w:szCs w:val="18"/>
              </w:rPr>
            </w:pPr>
            <w:r w:rsidRPr="009D3E8D">
              <w:rPr>
                <w:rFonts w:ascii="Times New Roman" w:hAnsi="Times New Roman" w:cs="Times New Roman"/>
                <w:sz w:val="18"/>
                <w:szCs w:val="18"/>
              </w:rPr>
              <w:t>P</w:t>
            </w:r>
            <w:r w:rsidR="008D7A36" w:rsidRPr="009D3E8D">
              <w:rPr>
                <w:rFonts w:ascii="Times New Roman" w:hAnsi="Times New Roman" w:cs="Times New Roman"/>
                <w:sz w:val="18"/>
                <w:szCs w:val="18"/>
              </w:rPr>
              <w:t xml:space="preserve">rivate sector </w:t>
            </w:r>
            <w:r w:rsidRPr="009D3E8D">
              <w:rPr>
                <w:rFonts w:ascii="Times New Roman" w:hAnsi="Times New Roman" w:cs="Times New Roman"/>
                <w:sz w:val="18"/>
                <w:szCs w:val="18"/>
              </w:rPr>
              <w:t xml:space="preserve">is vital for </w:t>
            </w:r>
            <w:r w:rsidR="008D7A36" w:rsidRPr="009D3E8D">
              <w:rPr>
                <w:rFonts w:ascii="Times New Roman" w:hAnsi="Times New Roman" w:cs="Times New Roman"/>
                <w:sz w:val="18"/>
                <w:szCs w:val="18"/>
              </w:rPr>
              <w:t xml:space="preserve">sustainable livelihoods and inclusive economic growth. </w:t>
            </w:r>
            <w:r w:rsidRPr="009D3E8D">
              <w:rPr>
                <w:rFonts w:ascii="Times New Roman" w:hAnsi="Times New Roman" w:cs="Times New Roman"/>
                <w:sz w:val="18"/>
                <w:szCs w:val="18"/>
              </w:rPr>
              <w:t xml:space="preserve">Going forward UNDP will incorporate mapping of private sector partnership </w:t>
            </w:r>
            <w:r w:rsidR="00F270E2" w:rsidRPr="009D3E8D">
              <w:rPr>
                <w:rFonts w:ascii="Times New Roman" w:hAnsi="Times New Roman" w:cs="Times New Roman"/>
                <w:sz w:val="18"/>
                <w:szCs w:val="18"/>
              </w:rPr>
              <w:t>opportunities in</w:t>
            </w:r>
            <w:r w:rsidRPr="009D3E8D">
              <w:rPr>
                <w:rFonts w:ascii="Times New Roman" w:hAnsi="Times New Roman" w:cs="Times New Roman"/>
                <w:sz w:val="18"/>
                <w:szCs w:val="18"/>
              </w:rPr>
              <w:t xml:space="preserve"> the upcoming </w:t>
            </w:r>
            <w:r w:rsidR="00F270E2" w:rsidRPr="009D3E8D">
              <w:rPr>
                <w:rFonts w:ascii="Times New Roman" w:hAnsi="Times New Roman" w:cs="Times New Roman"/>
                <w:sz w:val="18"/>
                <w:szCs w:val="18"/>
              </w:rPr>
              <w:t xml:space="preserve">CSIP </w:t>
            </w:r>
            <w:r w:rsidRPr="009D3E8D">
              <w:rPr>
                <w:rFonts w:ascii="Times New Roman" w:hAnsi="Times New Roman" w:cs="Times New Roman"/>
                <w:sz w:val="18"/>
                <w:szCs w:val="18"/>
              </w:rPr>
              <w:t xml:space="preserve">market research </w:t>
            </w:r>
            <w:r w:rsidR="00F270E2" w:rsidRPr="009D3E8D">
              <w:rPr>
                <w:rFonts w:ascii="Times New Roman" w:hAnsi="Times New Roman" w:cs="Times New Roman"/>
                <w:sz w:val="18"/>
                <w:szCs w:val="18"/>
              </w:rPr>
              <w:t xml:space="preserve">in the </w:t>
            </w:r>
            <w:r w:rsidRPr="009D3E8D">
              <w:rPr>
                <w:rFonts w:ascii="Times New Roman" w:hAnsi="Times New Roman" w:cs="Times New Roman"/>
                <w:sz w:val="18"/>
                <w:szCs w:val="18"/>
              </w:rPr>
              <w:t xml:space="preserve">new target locations in Sinjar to </w:t>
            </w:r>
            <w:r w:rsidR="00F270E2" w:rsidRPr="009D3E8D">
              <w:rPr>
                <w:rFonts w:ascii="Times New Roman" w:hAnsi="Times New Roman" w:cs="Times New Roman"/>
                <w:sz w:val="18"/>
                <w:szCs w:val="18"/>
              </w:rPr>
              <w:t xml:space="preserve">explore possible support/ collaborations with the </w:t>
            </w:r>
            <w:r w:rsidR="009D3E8D" w:rsidRPr="009D3E8D">
              <w:rPr>
                <w:rFonts w:ascii="Times New Roman" w:hAnsi="Times New Roman" w:cs="Times New Roman"/>
                <w:sz w:val="18"/>
                <w:szCs w:val="18"/>
              </w:rPr>
              <w:t>private</w:t>
            </w:r>
            <w:r w:rsidR="00F270E2" w:rsidRPr="009D3E8D">
              <w:rPr>
                <w:rFonts w:ascii="Times New Roman" w:hAnsi="Times New Roman" w:cs="Times New Roman"/>
                <w:sz w:val="18"/>
                <w:szCs w:val="18"/>
              </w:rPr>
              <w:t xml:space="preserve"> sector particularly in the reintegration of disengaged former volunteer fighters </w:t>
            </w:r>
            <w:r w:rsidR="00113E7A" w:rsidRPr="009D3E8D">
              <w:rPr>
                <w:rFonts w:ascii="Times New Roman" w:hAnsi="Times New Roman" w:cs="Times New Roman"/>
                <w:sz w:val="18"/>
                <w:szCs w:val="18"/>
              </w:rPr>
              <w:t>(men</w:t>
            </w:r>
            <w:r w:rsidR="00F270E2" w:rsidRPr="009D3E8D">
              <w:rPr>
                <w:rFonts w:ascii="Times New Roman" w:hAnsi="Times New Roman" w:cs="Times New Roman"/>
                <w:sz w:val="18"/>
                <w:szCs w:val="18"/>
              </w:rPr>
              <w:t xml:space="preserve"> and women) to the economic workforce. </w:t>
            </w:r>
          </w:p>
        </w:tc>
      </w:tr>
      <w:tr w:rsidR="00834F97" w:rsidRPr="00867815" w14:paraId="19BD42E3" w14:textId="77777777" w:rsidTr="00D86A94">
        <w:trPr>
          <w:trHeight w:val="135"/>
        </w:trPr>
        <w:tc>
          <w:tcPr>
            <w:tcW w:w="4089" w:type="dxa"/>
            <w:vMerge w:val="restart"/>
            <w:shd w:val="clear" w:color="auto" w:fill="EAF6F3"/>
            <w:vAlign w:val="center"/>
          </w:tcPr>
          <w:p w14:paraId="73653AA3" w14:textId="77777777" w:rsidR="00834F97" w:rsidRPr="00867815" w:rsidRDefault="00834F9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action(s)</w:t>
            </w:r>
          </w:p>
        </w:tc>
        <w:tc>
          <w:tcPr>
            <w:tcW w:w="1316" w:type="dxa"/>
            <w:vMerge w:val="restart"/>
            <w:shd w:val="clear" w:color="auto" w:fill="EAF6F3"/>
            <w:vAlign w:val="center"/>
          </w:tcPr>
          <w:p w14:paraId="0D877468" w14:textId="77777777" w:rsidR="00834F97" w:rsidRPr="00867815" w:rsidRDefault="00834F9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916" w:type="dxa"/>
            <w:vMerge w:val="restart"/>
            <w:shd w:val="clear" w:color="auto" w:fill="EAF6F3"/>
            <w:vAlign w:val="center"/>
          </w:tcPr>
          <w:p w14:paraId="2089708E" w14:textId="77777777" w:rsidR="00834F97" w:rsidRPr="00867815" w:rsidRDefault="00834F97" w:rsidP="009D3E8D">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299" w:type="dxa"/>
            <w:gridSpan w:val="2"/>
            <w:shd w:val="clear" w:color="auto" w:fill="EAF6F3"/>
          </w:tcPr>
          <w:p w14:paraId="53AFC8F5"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834F97" w:rsidRPr="00867815" w14:paraId="293502D2" w14:textId="77777777" w:rsidTr="0007378B">
        <w:trPr>
          <w:trHeight w:val="135"/>
        </w:trPr>
        <w:tc>
          <w:tcPr>
            <w:tcW w:w="4089" w:type="dxa"/>
            <w:vMerge/>
            <w:shd w:val="clear" w:color="auto" w:fill="F3F3F3"/>
          </w:tcPr>
          <w:p w14:paraId="0CBBB6D0" w14:textId="77777777" w:rsidR="00834F97" w:rsidRPr="00867815" w:rsidRDefault="00834F97" w:rsidP="009D3E8D">
            <w:pPr>
              <w:tabs>
                <w:tab w:val="left" w:pos="1080"/>
              </w:tabs>
              <w:spacing w:after="0" w:line="240" w:lineRule="auto"/>
              <w:jc w:val="both"/>
              <w:rPr>
                <w:rFonts w:ascii="Times New Roman" w:hAnsi="Times New Roman" w:cs="Times New Roman"/>
                <w:color w:val="185262"/>
                <w:sz w:val="18"/>
                <w:szCs w:val="18"/>
              </w:rPr>
            </w:pPr>
          </w:p>
        </w:tc>
        <w:tc>
          <w:tcPr>
            <w:tcW w:w="1316" w:type="dxa"/>
            <w:vMerge/>
            <w:shd w:val="clear" w:color="auto" w:fill="F3F3F3"/>
          </w:tcPr>
          <w:p w14:paraId="186113D2"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p>
        </w:tc>
        <w:tc>
          <w:tcPr>
            <w:tcW w:w="1916" w:type="dxa"/>
            <w:vMerge/>
            <w:shd w:val="clear" w:color="auto" w:fill="F3F3F3"/>
          </w:tcPr>
          <w:p w14:paraId="5F4212FD"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p>
        </w:tc>
        <w:tc>
          <w:tcPr>
            <w:tcW w:w="1047" w:type="dxa"/>
          </w:tcPr>
          <w:p w14:paraId="04DF5A7E" w14:textId="77777777" w:rsidR="00834F97" w:rsidRPr="00867815" w:rsidRDefault="00834F9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252" w:type="dxa"/>
          </w:tcPr>
          <w:p w14:paraId="0291AA0A" w14:textId="7CC020C8" w:rsidR="003D4BCE" w:rsidRPr="0007378B" w:rsidRDefault="00834F97" w:rsidP="009D3E8D">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Status</w:t>
            </w:r>
            <w:r w:rsidR="0007378B">
              <w:rPr>
                <w:rFonts w:ascii="Times New Roman" w:hAnsi="Times New Roman" w:cs="Times New Roman"/>
                <w:b/>
                <w:color w:val="185262"/>
                <w:sz w:val="18"/>
                <w:szCs w:val="18"/>
              </w:rPr>
              <w:t xml:space="preserve"> </w:t>
            </w:r>
            <w:r w:rsidR="003D4BCE" w:rsidRPr="00867815">
              <w:rPr>
                <w:rFonts w:ascii="Times New Roman" w:hAnsi="Times New Roman" w:cs="Times New Roman"/>
                <w:bCs/>
                <w:i/>
                <w:iCs/>
                <w:color w:val="185262"/>
                <w:sz w:val="18"/>
                <w:szCs w:val="18"/>
              </w:rPr>
              <w:t>(initiated, completed or no due date)</w:t>
            </w:r>
          </w:p>
        </w:tc>
      </w:tr>
      <w:tr w:rsidR="00834F97" w:rsidRPr="00867815" w14:paraId="52B5AABB" w14:textId="77777777" w:rsidTr="0007378B">
        <w:trPr>
          <w:trHeight w:val="136"/>
        </w:trPr>
        <w:tc>
          <w:tcPr>
            <w:tcW w:w="4089" w:type="dxa"/>
          </w:tcPr>
          <w:p w14:paraId="71BA0D2D" w14:textId="35307D48" w:rsidR="001751EB" w:rsidRPr="009D3E8D" w:rsidRDefault="00DD6EB2" w:rsidP="009D3E8D">
            <w:pPr>
              <w:tabs>
                <w:tab w:val="left" w:pos="1080"/>
              </w:tabs>
              <w:spacing w:after="0" w:line="240" w:lineRule="auto"/>
              <w:jc w:val="both"/>
              <w:rPr>
                <w:rFonts w:ascii="Times New Roman" w:hAnsi="Times New Roman" w:cs="Times New Roman"/>
                <w:sz w:val="18"/>
                <w:szCs w:val="18"/>
              </w:rPr>
            </w:pPr>
            <w:r w:rsidRPr="009D3E8D">
              <w:rPr>
                <w:rFonts w:ascii="Times New Roman" w:hAnsi="Times New Roman" w:cs="Times New Roman"/>
                <w:sz w:val="18"/>
                <w:szCs w:val="18"/>
              </w:rPr>
              <w:t xml:space="preserve">7.1: </w:t>
            </w:r>
            <w:r w:rsidR="00F270E2" w:rsidRPr="009D3E8D">
              <w:rPr>
                <w:rFonts w:ascii="Times New Roman" w:hAnsi="Times New Roman" w:cs="Times New Roman"/>
                <w:sz w:val="18"/>
                <w:szCs w:val="18"/>
              </w:rPr>
              <w:t>Incorporate mapping of the private sector partnership opportunities in the planned CSIP Market Research in Sinjar.</w:t>
            </w:r>
          </w:p>
        </w:tc>
        <w:tc>
          <w:tcPr>
            <w:tcW w:w="1316" w:type="dxa"/>
            <w:vAlign w:val="center"/>
          </w:tcPr>
          <w:p w14:paraId="099874DB" w14:textId="3F712B54" w:rsidR="00834F97" w:rsidRPr="009D3E8D" w:rsidRDefault="00C81E57" w:rsidP="009D3E8D">
            <w:pPr>
              <w:tabs>
                <w:tab w:val="left" w:pos="1080"/>
              </w:tabs>
              <w:spacing w:after="0" w:line="240" w:lineRule="auto"/>
              <w:rPr>
                <w:rFonts w:ascii="Times New Roman" w:hAnsi="Times New Roman" w:cs="Times New Roman"/>
                <w:sz w:val="18"/>
                <w:szCs w:val="18"/>
              </w:rPr>
            </w:pPr>
            <w:r w:rsidRPr="009D3E8D">
              <w:rPr>
                <w:rFonts w:ascii="Times New Roman" w:hAnsi="Times New Roman" w:cs="Times New Roman"/>
                <w:sz w:val="18"/>
                <w:szCs w:val="18"/>
              </w:rPr>
              <w:t>31 March 2022</w:t>
            </w:r>
          </w:p>
        </w:tc>
        <w:tc>
          <w:tcPr>
            <w:tcW w:w="1916" w:type="dxa"/>
            <w:vAlign w:val="center"/>
          </w:tcPr>
          <w:p w14:paraId="38C7B2A0" w14:textId="32B0B550" w:rsidR="001751EB" w:rsidRPr="009D3E8D" w:rsidRDefault="00C81E57" w:rsidP="009D3E8D">
            <w:pPr>
              <w:tabs>
                <w:tab w:val="left" w:pos="1080"/>
              </w:tabs>
              <w:spacing w:after="0" w:line="240" w:lineRule="auto"/>
              <w:rPr>
                <w:rFonts w:ascii="Times New Roman" w:hAnsi="Times New Roman" w:cs="Times New Roman"/>
                <w:i/>
                <w:iCs/>
                <w:sz w:val="18"/>
                <w:szCs w:val="18"/>
              </w:rPr>
            </w:pPr>
            <w:r w:rsidRPr="009D3E8D">
              <w:rPr>
                <w:rFonts w:ascii="Times New Roman" w:hAnsi="Times New Roman" w:cs="Times New Roman"/>
                <w:sz w:val="18"/>
                <w:szCs w:val="18"/>
              </w:rPr>
              <w:t>SSR/</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Programme</w:t>
            </w:r>
          </w:p>
        </w:tc>
        <w:tc>
          <w:tcPr>
            <w:tcW w:w="1047" w:type="dxa"/>
          </w:tcPr>
          <w:p w14:paraId="601C7F63" w14:textId="77777777" w:rsidR="00834F97" w:rsidRPr="00867815" w:rsidRDefault="00834F97" w:rsidP="009D3E8D">
            <w:pPr>
              <w:tabs>
                <w:tab w:val="left" w:pos="1080"/>
              </w:tabs>
              <w:spacing w:after="0" w:line="240" w:lineRule="auto"/>
              <w:jc w:val="both"/>
              <w:rPr>
                <w:rFonts w:ascii="Times New Roman" w:hAnsi="Times New Roman" w:cs="Times New Roman"/>
                <w:color w:val="185262"/>
                <w:sz w:val="18"/>
                <w:szCs w:val="18"/>
              </w:rPr>
            </w:pPr>
          </w:p>
        </w:tc>
        <w:tc>
          <w:tcPr>
            <w:tcW w:w="2252" w:type="dxa"/>
          </w:tcPr>
          <w:p w14:paraId="404FDBF2" w14:textId="5B4E12E9" w:rsidR="00834F97" w:rsidRPr="00867815" w:rsidRDefault="00971031" w:rsidP="009D3E8D">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 xml:space="preserve">This work is </w:t>
            </w:r>
            <w:proofErr w:type="spellStart"/>
            <w:r>
              <w:rPr>
                <w:rFonts w:ascii="Times New Roman" w:hAnsi="Times New Roman" w:cs="Times New Roman"/>
                <w:color w:val="185262"/>
                <w:sz w:val="18"/>
                <w:szCs w:val="18"/>
              </w:rPr>
              <w:t>on going</w:t>
            </w:r>
            <w:proofErr w:type="spellEnd"/>
            <w:r>
              <w:rPr>
                <w:rFonts w:ascii="Times New Roman" w:hAnsi="Times New Roman" w:cs="Times New Roman"/>
                <w:color w:val="185262"/>
                <w:sz w:val="18"/>
                <w:szCs w:val="18"/>
              </w:rPr>
              <w:t>.</w:t>
            </w:r>
          </w:p>
        </w:tc>
      </w:tr>
    </w:tbl>
    <w:p w14:paraId="514296F5" w14:textId="77777777" w:rsidR="00A70961" w:rsidRPr="00867815" w:rsidRDefault="00A70961" w:rsidP="009D3E8D">
      <w:pPr>
        <w:tabs>
          <w:tab w:val="left" w:pos="1080"/>
        </w:tabs>
        <w:spacing w:after="0" w:line="240" w:lineRule="auto"/>
        <w:jc w:val="both"/>
        <w:rPr>
          <w:rFonts w:ascii="Times New Roman" w:hAnsi="Times New Roman" w:cs="Times New Roman"/>
          <w:color w:val="185262"/>
          <w:sz w:val="18"/>
          <w:szCs w:val="18"/>
          <w:lang w:eastAsia="ja-JP"/>
        </w:rPr>
      </w:pPr>
    </w:p>
    <w:tbl>
      <w:tblPr>
        <w:tblpPr w:leftFromText="180" w:rightFromText="180" w:vertAnchor="text" w:tblpX="-725" w:tblpY="31"/>
        <w:tblW w:w="1062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053"/>
        <w:gridCol w:w="1348"/>
        <w:gridCol w:w="1927"/>
        <w:gridCol w:w="1048"/>
        <w:gridCol w:w="2244"/>
      </w:tblGrid>
      <w:tr w:rsidR="00834F97" w:rsidRPr="00867815" w14:paraId="4CFBC18A" w14:textId="77777777" w:rsidTr="009D3E8D">
        <w:trPr>
          <w:trHeight w:val="528"/>
        </w:trPr>
        <w:tc>
          <w:tcPr>
            <w:tcW w:w="10620" w:type="dxa"/>
            <w:gridSpan w:val="5"/>
            <w:shd w:val="clear" w:color="auto" w:fill="EAF6F3"/>
          </w:tcPr>
          <w:p w14:paraId="4C7C05EA" w14:textId="224BE2F6" w:rsidR="00834F97" w:rsidRPr="00AE0172" w:rsidRDefault="00834F97" w:rsidP="009D3E8D">
            <w:pPr>
              <w:spacing w:after="0" w:line="240" w:lineRule="auto"/>
              <w:jc w:val="both"/>
              <w:rPr>
                <w:rFonts w:ascii="Times New Roman" w:eastAsia="Calibri" w:hAnsi="Times New Roman" w:cs="Times New Roman"/>
                <w:sz w:val="18"/>
                <w:szCs w:val="18"/>
              </w:rPr>
            </w:pPr>
            <w:r w:rsidRPr="00867815">
              <w:rPr>
                <w:rFonts w:ascii="Times New Roman" w:hAnsi="Times New Roman" w:cs="Times New Roman"/>
                <w:b/>
                <w:color w:val="185262"/>
                <w:sz w:val="18"/>
                <w:szCs w:val="18"/>
              </w:rPr>
              <w:t xml:space="preserve">Evaluation recommendation </w:t>
            </w:r>
            <w:r w:rsidR="004A624C" w:rsidRPr="00867815">
              <w:rPr>
                <w:rFonts w:ascii="Times New Roman" w:hAnsi="Times New Roman" w:cs="Times New Roman"/>
                <w:b/>
                <w:color w:val="185262"/>
                <w:sz w:val="18"/>
                <w:szCs w:val="18"/>
              </w:rPr>
              <w:t>8</w:t>
            </w:r>
            <w:r w:rsidR="00B14101" w:rsidRPr="00867815">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r w:rsidR="00EF6696" w:rsidRPr="00867815">
              <w:rPr>
                <w:rFonts w:ascii="Times New Roman" w:hAnsi="Times New Roman" w:cs="Times New Roman"/>
                <w:b/>
                <w:bCs/>
                <w:sz w:val="18"/>
                <w:szCs w:val="18"/>
              </w:rPr>
              <w:t>Inclusion of gender expertise in all project components</w:t>
            </w:r>
            <w:r w:rsidR="00AE0172">
              <w:rPr>
                <w:rFonts w:ascii="Times New Roman" w:hAnsi="Times New Roman" w:cs="Times New Roman"/>
                <w:b/>
                <w:bCs/>
                <w:sz w:val="18"/>
                <w:szCs w:val="18"/>
              </w:rPr>
              <w:t xml:space="preserve">: </w:t>
            </w:r>
            <w:bookmarkStart w:id="6" w:name="_Hlk88216088"/>
            <w:r w:rsidR="00AE0172" w:rsidRPr="4C56EC95">
              <w:rPr>
                <w:rFonts w:ascii="Times New Roman" w:eastAsia="Calibri" w:hAnsi="Times New Roman" w:cs="Times New Roman"/>
              </w:rPr>
              <w:t xml:space="preserve"> </w:t>
            </w:r>
            <w:r w:rsidR="00AE0172" w:rsidRPr="009D3E8D">
              <w:rPr>
                <w:rFonts w:ascii="Times New Roman" w:eastAsia="Calibri" w:hAnsi="Times New Roman" w:cs="Times New Roman"/>
                <w:sz w:val="18"/>
                <w:szCs w:val="18"/>
              </w:rPr>
              <w:t xml:space="preserve">Gender issues should be more consistently addressed across every single intervention </w:t>
            </w:r>
            <w:bookmarkEnd w:id="6"/>
            <w:r w:rsidR="00AE0172" w:rsidRPr="009D3E8D">
              <w:rPr>
                <w:rFonts w:ascii="Times New Roman" w:eastAsia="Calibri" w:hAnsi="Times New Roman" w:cs="Times New Roman"/>
                <w:sz w:val="18"/>
                <w:szCs w:val="18"/>
              </w:rPr>
              <w:t xml:space="preserve">designed under the project, including in interventions’ design phases of each individual project/action under the overall project.  </w:t>
            </w:r>
          </w:p>
        </w:tc>
      </w:tr>
      <w:tr w:rsidR="00834F97" w:rsidRPr="00867815" w14:paraId="41F8AEF1" w14:textId="77777777" w:rsidTr="00E567F3">
        <w:trPr>
          <w:trHeight w:val="973"/>
        </w:trPr>
        <w:tc>
          <w:tcPr>
            <w:tcW w:w="10620" w:type="dxa"/>
            <w:gridSpan w:val="5"/>
            <w:shd w:val="clear" w:color="auto" w:fill="EAF6F3"/>
          </w:tcPr>
          <w:p w14:paraId="217DF652" w14:textId="1E502F8E" w:rsidR="00AE0172" w:rsidRPr="009D3E8D" w:rsidRDefault="00834F97" w:rsidP="00F81DCA">
            <w:pPr>
              <w:tabs>
                <w:tab w:val="left" w:pos="1080"/>
              </w:tabs>
              <w:spacing w:after="0" w:line="240" w:lineRule="auto"/>
              <w:jc w:val="both"/>
              <w:rPr>
                <w:rFonts w:asciiTheme="majorBidi" w:hAnsiTheme="majorBidi" w:cstheme="majorBidi"/>
                <w:sz w:val="18"/>
                <w:szCs w:val="18"/>
              </w:rPr>
            </w:pPr>
            <w:r w:rsidRPr="009D3E8D">
              <w:rPr>
                <w:rFonts w:ascii="Times New Roman" w:hAnsi="Times New Roman" w:cs="Times New Roman"/>
                <w:b/>
                <w:sz w:val="18"/>
                <w:szCs w:val="18"/>
              </w:rPr>
              <w:t xml:space="preserve">Management response: </w:t>
            </w:r>
            <w:r w:rsidR="00AE0172" w:rsidRPr="009D3E8D">
              <w:rPr>
                <w:rFonts w:asciiTheme="majorBidi" w:hAnsiTheme="majorBidi" w:cstheme="majorBidi"/>
                <w:sz w:val="18"/>
                <w:szCs w:val="18"/>
              </w:rPr>
              <w:t xml:space="preserve"> The recommendation is well received.</w:t>
            </w:r>
          </w:p>
          <w:p w14:paraId="6D7D5041" w14:textId="2EE21A36" w:rsidR="00113E7A" w:rsidRPr="009D3E8D" w:rsidRDefault="00AE0172" w:rsidP="00505EAB">
            <w:pPr>
              <w:tabs>
                <w:tab w:val="left" w:pos="1080"/>
              </w:tabs>
              <w:spacing w:after="0" w:line="240" w:lineRule="auto"/>
              <w:jc w:val="both"/>
              <w:rPr>
                <w:rFonts w:ascii="Times New Roman" w:hAnsi="Times New Roman" w:cs="Times New Roman"/>
                <w:bCs/>
                <w:sz w:val="18"/>
                <w:szCs w:val="18"/>
              </w:rPr>
            </w:pPr>
            <w:r w:rsidRPr="009D3E8D">
              <w:rPr>
                <w:rFonts w:ascii="Times New Roman" w:hAnsi="Times New Roman" w:cs="Times New Roman"/>
                <w:bCs/>
                <w:sz w:val="18"/>
                <w:szCs w:val="18"/>
              </w:rPr>
              <w:t xml:space="preserve">Work is already in progress in this regard including the incorporation of the gender specific indicators in the project’s 2022- 2025 results framework. </w:t>
            </w:r>
            <w:r w:rsidR="00E5362C" w:rsidRPr="009D3E8D">
              <w:rPr>
                <w:rFonts w:ascii="Times New Roman" w:hAnsi="Times New Roman" w:cs="Times New Roman"/>
                <w:bCs/>
                <w:sz w:val="18"/>
                <w:szCs w:val="18"/>
              </w:rPr>
              <w:t>Similarly,</w:t>
            </w:r>
            <w:r w:rsidRPr="009D3E8D">
              <w:rPr>
                <w:rFonts w:ascii="Times New Roman" w:hAnsi="Times New Roman" w:cs="Times New Roman"/>
                <w:bCs/>
                <w:sz w:val="18"/>
                <w:szCs w:val="18"/>
              </w:rPr>
              <w:t xml:space="preserve"> the model police station pilot initiative </w:t>
            </w:r>
            <w:r w:rsidR="00E5362C" w:rsidRPr="009D3E8D">
              <w:rPr>
                <w:rFonts w:ascii="Times New Roman" w:hAnsi="Times New Roman" w:cs="Times New Roman"/>
                <w:bCs/>
                <w:sz w:val="18"/>
                <w:szCs w:val="18"/>
              </w:rPr>
              <w:t>(</w:t>
            </w:r>
            <w:r w:rsidRPr="009D3E8D">
              <w:rPr>
                <w:rFonts w:ascii="Times New Roman" w:hAnsi="Times New Roman" w:cs="Times New Roman"/>
                <w:bCs/>
                <w:sz w:val="18"/>
                <w:szCs w:val="18"/>
              </w:rPr>
              <w:t xml:space="preserve">Output 2) and CSIP interventions </w:t>
            </w:r>
            <w:r w:rsidR="00E5362C" w:rsidRPr="009D3E8D">
              <w:rPr>
                <w:rFonts w:ascii="Times New Roman" w:hAnsi="Times New Roman" w:cs="Times New Roman"/>
                <w:bCs/>
                <w:sz w:val="18"/>
                <w:szCs w:val="18"/>
              </w:rPr>
              <w:t>(</w:t>
            </w:r>
            <w:r w:rsidRPr="009D3E8D">
              <w:rPr>
                <w:rFonts w:ascii="Times New Roman" w:hAnsi="Times New Roman" w:cs="Times New Roman"/>
                <w:bCs/>
                <w:sz w:val="18"/>
                <w:szCs w:val="18"/>
              </w:rPr>
              <w:t xml:space="preserve">Output 3) </w:t>
            </w:r>
            <w:r w:rsidR="00E5362C" w:rsidRPr="009D3E8D">
              <w:rPr>
                <w:rFonts w:ascii="Times New Roman" w:hAnsi="Times New Roman" w:cs="Times New Roman"/>
                <w:bCs/>
                <w:sz w:val="18"/>
                <w:szCs w:val="18"/>
              </w:rPr>
              <w:t xml:space="preserve">are specifically tailored and designed to better foster gender integration and inclusion in the </w:t>
            </w:r>
            <w:r w:rsidR="00B75254">
              <w:rPr>
                <w:rFonts w:ascii="Times New Roman" w:hAnsi="Times New Roman" w:cs="Times New Roman"/>
                <w:bCs/>
                <w:sz w:val="18"/>
                <w:szCs w:val="18"/>
              </w:rPr>
              <w:t>Project</w:t>
            </w:r>
            <w:r w:rsidR="00E5362C" w:rsidRPr="009D3E8D">
              <w:rPr>
                <w:rFonts w:ascii="Times New Roman" w:hAnsi="Times New Roman" w:cs="Times New Roman"/>
                <w:bCs/>
                <w:sz w:val="18"/>
                <w:szCs w:val="18"/>
              </w:rPr>
              <w:t xml:space="preserve">. Amongst others these included for example the </w:t>
            </w:r>
            <w:bookmarkStart w:id="7" w:name="_Hlk94790197"/>
            <w:r w:rsidR="00E5362C" w:rsidRPr="009D3E8D">
              <w:rPr>
                <w:rFonts w:ascii="Times New Roman" w:hAnsi="Times New Roman" w:cs="Times New Roman"/>
                <w:bCs/>
                <w:sz w:val="18"/>
                <w:szCs w:val="18"/>
              </w:rPr>
              <w:t xml:space="preserve">establishment of the first co- gender police stations under the model police station pilot initiative, </w:t>
            </w:r>
            <w:r w:rsidR="00113E7A" w:rsidRPr="009D3E8D">
              <w:rPr>
                <w:rFonts w:ascii="Times New Roman" w:hAnsi="Times New Roman" w:cs="Times New Roman"/>
                <w:bCs/>
                <w:sz w:val="18"/>
                <w:szCs w:val="18"/>
              </w:rPr>
              <w:t xml:space="preserve">and </w:t>
            </w:r>
            <w:r w:rsidR="00E5362C" w:rsidRPr="009D3E8D">
              <w:rPr>
                <w:rFonts w:ascii="Times New Roman" w:hAnsi="Times New Roman" w:cs="Times New Roman"/>
                <w:bCs/>
                <w:sz w:val="18"/>
                <w:szCs w:val="18"/>
              </w:rPr>
              <w:t>GEN 2 level range of activities under CSIP interventions</w:t>
            </w:r>
            <w:r w:rsidR="00113E7A" w:rsidRPr="009D3E8D">
              <w:rPr>
                <w:rFonts w:ascii="Times New Roman" w:hAnsi="Times New Roman" w:cs="Times New Roman"/>
                <w:bCs/>
                <w:sz w:val="18"/>
                <w:szCs w:val="18"/>
              </w:rPr>
              <w:t xml:space="preserve"> including one stop support centres and safe spaces for female disengaged former volunteer fighters (FVF) and</w:t>
            </w:r>
            <w:r w:rsidR="00505EAB" w:rsidRPr="009D3E8D">
              <w:rPr>
                <w:rFonts w:ascii="Times New Roman" w:hAnsi="Times New Roman" w:cs="Times New Roman"/>
                <w:bCs/>
                <w:sz w:val="18"/>
                <w:szCs w:val="18"/>
              </w:rPr>
              <w:t xml:space="preserve"> female family members </w:t>
            </w:r>
            <w:r w:rsidR="009D3E8D" w:rsidRPr="009D3E8D">
              <w:rPr>
                <w:rFonts w:ascii="Times New Roman" w:hAnsi="Times New Roman" w:cs="Times New Roman"/>
                <w:bCs/>
                <w:sz w:val="18"/>
                <w:szCs w:val="18"/>
              </w:rPr>
              <w:t>of FVF</w:t>
            </w:r>
            <w:r w:rsidR="00505EAB" w:rsidRPr="009D3E8D">
              <w:rPr>
                <w:rFonts w:ascii="Times New Roman" w:hAnsi="Times New Roman" w:cs="Times New Roman"/>
                <w:bCs/>
                <w:sz w:val="18"/>
                <w:szCs w:val="18"/>
              </w:rPr>
              <w:t xml:space="preserve"> in </w:t>
            </w:r>
            <w:proofErr w:type="gramStart"/>
            <w:r w:rsidR="00505EAB" w:rsidRPr="009D3E8D">
              <w:rPr>
                <w:rFonts w:ascii="Times New Roman" w:hAnsi="Times New Roman" w:cs="Times New Roman"/>
                <w:bCs/>
                <w:sz w:val="18"/>
                <w:szCs w:val="18"/>
              </w:rPr>
              <w:t>Sinjar.(</w:t>
            </w:r>
            <w:proofErr w:type="gramEnd"/>
            <w:r w:rsidR="00505EAB" w:rsidRPr="009D3E8D">
              <w:rPr>
                <w:rFonts w:ascii="Times New Roman" w:hAnsi="Times New Roman" w:cs="Times New Roman"/>
                <w:bCs/>
                <w:sz w:val="18"/>
                <w:szCs w:val="18"/>
              </w:rPr>
              <w:t xml:space="preserve"> women and girls)</w:t>
            </w:r>
            <w:bookmarkEnd w:id="7"/>
            <w:r w:rsidR="00FD7AB5">
              <w:rPr>
                <w:rFonts w:ascii="Times New Roman" w:hAnsi="Times New Roman" w:cs="Times New Roman"/>
                <w:bCs/>
                <w:sz w:val="18"/>
                <w:szCs w:val="18"/>
              </w:rPr>
              <w:t xml:space="preserve"> . Please also see the key actions below.</w:t>
            </w:r>
          </w:p>
          <w:p w14:paraId="17CC326D" w14:textId="331447CF" w:rsidR="003771C3" w:rsidRPr="009D3E8D" w:rsidRDefault="00E5362C" w:rsidP="00AE0172">
            <w:pPr>
              <w:tabs>
                <w:tab w:val="left" w:pos="1080"/>
              </w:tabs>
              <w:spacing w:after="0" w:line="240" w:lineRule="auto"/>
              <w:jc w:val="both"/>
              <w:rPr>
                <w:rFonts w:ascii="Times New Roman" w:hAnsi="Times New Roman" w:cs="Times New Roman"/>
                <w:bCs/>
                <w:sz w:val="18"/>
                <w:szCs w:val="18"/>
              </w:rPr>
            </w:pPr>
            <w:r w:rsidRPr="009D3E8D">
              <w:rPr>
                <w:rFonts w:ascii="Times New Roman" w:hAnsi="Times New Roman" w:cs="Times New Roman"/>
                <w:bCs/>
                <w:sz w:val="18"/>
                <w:szCs w:val="18"/>
              </w:rPr>
              <w:t xml:space="preserve">UNDP is also pioneering a gender study/ audit of the </w:t>
            </w:r>
            <w:proofErr w:type="spellStart"/>
            <w:r w:rsidR="00043955" w:rsidRPr="009D3E8D">
              <w:rPr>
                <w:rFonts w:ascii="Times New Roman" w:hAnsi="Times New Roman" w:cs="Times New Roman"/>
                <w:bCs/>
                <w:sz w:val="18"/>
                <w:szCs w:val="18"/>
              </w:rPr>
              <w:t>MoI</w:t>
            </w:r>
            <w:proofErr w:type="spellEnd"/>
            <w:r w:rsidR="00043955" w:rsidRPr="009D3E8D">
              <w:rPr>
                <w:rFonts w:ascii="Times New Roman" w:hAnsi="Times New Roman" w:cs="Times New Roman"/>
                <w:bCs/>
                <w:sz w:val="18"/>
                <w:szCs w:val="18"/>
              </w:rPr>
              <w:t xml:space="preserve"> and</w:t>
            </w:r>
            <w:r w:rsidRPr="009D3E8D">
              <w:rPr>
                <w:rFonts w:ascii="Times New Roman" w:hAnsi="Times New Roman" w:cs="Times New Roman"/>
                <w:bCs/>
                <w:sz w:val="18"/>
                <w:szCs w:val="18"/>
              </w:rPr>
              <w:t xml:space="preserve"> supporting</w:t>
            </w:r>
            <w:r w:rsidR="00505EAB" w:rsidRPr="009D3E8D">
              <w:rPr>
                <w:rFonts w:ascii="Times New Roman" w:hAnsi="Times New Roman" w:cs="Times New Roman"/>
                <w:bCs/>
                <w:sz w:val="18"/>
                <w:szCs w:val="18"/>
              </w:rPr>
              <w:t xml:space="preserve"> the N</w:t>
            </w:r>
            <w:r w:rsidR="009D3E8D">
              <w:rPr>
                <w:rFonts w:ascii="Times New Roman" w:hAnsi="Times New Roman" w:cs="Times New Roman"/>
                <w:bCs/>
                <w:sz w:val="18"/>
                <w:szCs w:val="18"/>
              </w:rPr>
              <w:t xml:space="preserve">ATO </w:t>
            </w:r>
            <w:r w:rsidR="00505EAB" w:rsidRPr="009D3E8D">
              <w:rPr>
                <w:rFonts w:ascii="Times New Roman" w:hAnsi="Times New Roman" w:cs="Times New Roman"/>
                <w:bCs/>
                <w:sz w:val="18"/>
                <w:szCs w:val="18"/>
              </w:rPr>
              <w:t>Mission in Iraq (NMI)</w:t>
            </w:r>
            <w:r w:rsidRPr="009D3E8D">
              <w:rPr>
                <w:rFonts w:ascii="Times New Roman" w:hAnsi="Times New Roman" w:cs="Times New Roman"/>
                <w:bCs/>
                <w:sz w:val="18"/>
                <w:szCs w:val="18"/>
              </w:rPr>
              <w:t xml:space="preserve"> to conduct a similar study in MoD</w:t>
            </w:r>
            <w:r w:rsidR="00505EAB" w:rsidRPr="009D3E8D">
              <w:rPr>
                <w:rFonts w:ascii="Times New Roman" w:hAnsi="Times New Roman" w:cs="Times New Roman"/>
                <w:bCs/>
                <w:sz w:val="18"/>
                <w:szCs w:val="18"/>
              </w:rPr>
              <w:t xml:space="preserve">. As such the </w:t>
            </w:r>
            <w:r w:rsidR="00B75254">
              <w:rPr>
                <w:rFonts w:ascii="Times New Roman" w:hAnsi="Times New Roman" w:cs="Times New Roman"/>
                <w:bCs/>
                <w:sz w:val="18"/>
                <w:szCs w:val="18"/>
              </w:rPr>
              <w:t>Project</w:t>
            </w:r>
            <w:r w:rsidR="00505EAB" w:rsidRPr="009D3E8D">
              <w:rPr>
                <w:rFonts w:ascii="Times New Roman" w:hAnsi="Times New Roman" w:cs="Times New Roman"/>
                <w:bCs/>
                <w:sz w:val="18"/>
                <w:szCs w:val="18"/>
              </w:rPr>
              <w:t xml:space="preserve"> is pioneering </w:t>
            </w:r>
            <w:r w:rsidRPr="009D3E8D">
              <w:rPr>
                <w:rFonts w:ascii="Times New Roman" w:hAnsi="Times New Roman" w:cs="Times New Roman"/>
                <w:bCs/>
                <w:sz w:val="18"/>
                <w:szCs w:val="18"/>
              </w:rPr>
              <w:t>a</w:t>
            </w:r>
            <w:r w:rsidR="00505EAB" w:rsidRPr="009D3E8D">
              <w:rPr>
                <w:rFonts w:ascii="Times New Roman" w:hAnsi="Times New Roman" w:cs="Times New Roman"/>
                <w:bCs/>
                <w:sz w:val="18"/>
                <w:szCs w:val="18"/>
              </w:rPr>
              <w:t xml:space="preserve">n initiative </w:t>
            </w:r>
            <w:r w:rsidRPr="009D3E8D">
              <w:rPr>
                <w:rFonts w:ascii="Times New Roman" w:hAnsi="Times New Roman" w:cs="Times New Roman"/>
                <w:bCs/>
                <w:sz w:val="18"/>
                <w:szCs w:val="18"/>
              </w:rPr>
              <w:t>in the Iraqi security sector to assess gender issues</w:t>
            </w:r>
            <w:r w:rsidR="00505EAB" w:rsidRPr="009D3E8D">
              <w:rPr>
                <w:rFonts w:ascii="Times New Roman" w:hAnsi="Times New Roman" w:cs="Times New Roman"/>
                <w:bCs/>
                <w:sz w:val="18"/>
                <w:szCs w:val="18"/>
              </w:rPr>
              <w:t>,</w:t>
            </w:r>
            <w:r w:rsidRPr="009D3E8D">
              <w:rPr>
                <w:rFonts w:ascii="Times New Roman" w:hAnsi="Times New Roman" w:cs="Times New Roman"/>
                <w:bCs/>
                <w:sz w:val="18"/>
                <w:szCs w:val="18"/>
              </w:rPr>
              <w:t xml:space="preserve"> and to undertake </w:t>
            </w:r>
            <w:r w:rsidR="00113E7A" w:rsidRPr="009D3E8D">
              <w:rPr>
                <w:rFonts w:ascii="Times New Roman" w:hAnsi="Times New Roman" w:cs="Times New Roman"/>
                <w:bCs/>
                <w:sz w:val="18"/>
                <w:szCs w:val="18"/>
              </w:rPr>
              <w:t>evidence-based</w:t>
            </w:r>
            <w:r w:rsidRPr="009D3E8D">
              <w:rPr>
                <w:rFonts w:ascii="Times New Roman" w:hAnsi="Times New Roman" w:cs="Times New Roman"/>
                <w:bCs/>
                <w:sz w:val="18"/>
                <w:szCs w:val="18"/>
              </w:rPr>
              <w:t xml:space="preserve"> recommendations to improve gender parity and inclusion </w:t>
            </w:r>
            <w:r w:rsidR="00505EAB" w:rsidRPr="009D3E8D">
              <w:rPr>
                <w:rFonts w:ascii="Times New Roman" w:hAnsi="Times New Roman" w:cs="Times New Roman"/>
                <w:bCs/>
                <w:sz w:val="18"/>
                <w:szCs w:val="18"/>
              </w:rPr>
              <w:t xml:space="preserve">in </w:t>
            </w:r>
            <w:proofErr w:type="spellStart"/>
            <w:r w:rsidRPr="009D3E8D">
              <w:rPr>
                <w:rFonts w:ascii="Times New Roman" w:hAnsi="Times New Roman" w:cs="Times New Roman"/>
                <w:bCs/>
                <w:sz w:val="18"/>
                <w:szCs w:val="18"/>
              </w:rPr>
              <w:t>GoI</w:t>
            </w:r>
            <w:proofErr w:type="spellEnd"/>
            <w:r w:rsidRPr="009D3E8D">
              <w:rPr>
                <w:rFonts w:ascii="Times New Roman" w:hAnsi="Times New Roman" w:cs="Times New Roman"/>
                <w:bCs/>
                <w:sz w:val="18"/>
                <w:szCs w:val="18"/>
              </w:rPr>
              <w:t xml:space="preserve"> security sector key ministries and agencies. </w:t>
            </w:r>
            <w:r w:rsidR="00113E7A" w:rsidRPr="009D3E8D">
              <w:rPr>
                <w:rFonts w:ascii="Times New Roman" w:hAnsi="Times New Roman" w:cs="Times New Roman"/>
                <w:bCs/>
                <w:sz w:val="18"/>
                <w:szCs w:val="18"/>
              </w:rPr>
              <w:t>Additionally,</w:t>
            </w:r>
            <w:r w:rsidRPr="009D3E8D">
              <w:rPr>
                <w:rFonts w:ascii="Times New Roman" w:hAnsi="Times New Roman" w:cs="Times New Roman"/>
                <w:bCs/>
                <w:sz w:val="18"/>
                <w:szCs w:val="18"/>
              </w:rPr>
              <w:t xml:space="preserve"> UNDP is also co- facilitating the only SSR gender forum</w:t>
            </w:r>
            <w:r w:rsidR="00505EAB" w:rsidRPr="009D3E8D">
              <w:rPr>
                <w:rFonts w:ascii="Times New Roman" w:hAnsi="Times New Roman" w:cs="Times New Roman"/>
                <w:bCs/>
                <w:sz w:val="18"/>
                <w:szCs w:val="18"/>
              </w:rPr>
              <w:t xml:space="preserve"> amongst international partners</w:t>
            </w:r>
            <w:r w:rsidRPr="009D3E8D">
              <w:rPr>
                <w:rFonts w:ascii="Times New Roman" w:hAnsi="Times New Roman" w:cs="Times New Roman"/>
                <w:bCs/>
                <w:sz w:val="18"/>
                <w:szCs w:val="18"/>
              </w:rPr>
              <w:t xml:space="preserve"> </w:t>
            </w:r>
            <w:r w:rsidR="00113E7A" w:rsidRPr="009D3E8D">
              <w:rPr>
                <w:rFonts w:ascii="Times New Roman" w:hAnsi="Times New Roman" w:cs="Times New Roman"/>
                <w:bCs/>
                <w:sz w:val="18"/>
                <w:szCs w:val="18"/>
              </w:rPr>
              <w:t xml:space="preserve">to </w:t>
            </w:r>
            <w:r w:rsidR="00505EAB" w:rsidRPr="009D3E8D">
              <w:rPr>
                <w:rFonts w:ascii="Times New Roman" w:hAnsi="Times New Roman" w:cs="Times New Roman"/>
                <w:bCs/>
                <w:sz w:val="18"/>
                <w:szCs w:val="18"/>
              </w:rPr>
              <w:t>promote the implementation of the</w:t>
            </w:r>
            <w:r w:rsidR="00113E7A" w:rsidRPr="009D3E8D">
              <w:rPr>
                <w:rFonts w:ascii="Times New Roman" w:hAnsi="Times New Roman" w:cs="Times New Roman"/>
                <w:bCs/>
                <w:sz w:val="18"/>
                <w:szCs w:val="18"/>
              </w:rPr>
              <w:t xml:space="preserve"> UN Resolution 1325 and the corresponding Second National Action Plan of Iraq in partnership with NMI (</w:t>
            </w:r>
            <w:r w:rsidR="00505EAB" w:rsidRPr="009D3E8D">
              <w:rPr>
                <w:rFonts w:ascii="Times New Roman" w:hAnsi="Times New Roman" w:cs="Times New Roman"/>
                <w:bCs/>
                <w:sz w:val="18"/>
                <w:szCs w:val="18"/>
              </w:rPr>
              <w:t>u</w:t>
            </w:r>
            <w:r w:rsidR="00113E7A" w:rsidRPr="009D3E8D">
              <w:rPr>
                <w:rFonts w:ascii="Times New Roman" w:hAnsi="Times New Roman" w:cs="Times New Roman"/>
                <w:bCs/>
                <w:sz w:val="18"/>
                <w:szCs w:val="18"/>
              </w:rPr>
              <w:t>nder Output 1).</w:t>
            </w:r>
          </w:p>
          <w:p w14:paraId="713CBBAC" w14:textId="77B5FA10" w:rsidR="00113E7A" w:rsidRPr="009D3E8D" w:rsidRDefault="00113E7A" w:rsidP="00113E7A">
            <w:pPr>
              <w:tabs>
                <w:tab w:val="left" w:pos="1080"/>
              </w:tabs>
              <w:spacing w:after="0" w:line="240" w:lineRule="auto"/>
              <w:jc w:val="both"/>
              <w:rPr>
                <w:rFonts w:ascii="Times New Roman" w:hAnsi="Times New Roman" w:cs="Times New Roman"/>
                <w:bCs/>
                <w:sz w:val="18"/>
                <w:szCs w:val="18"/>
              </w:rPr>
            </w:pPr>
          </w:p>
        </w:tc>
      </w:tr>
      <w:tr w:rsidR="00834F97" w:rsidRPr="00867815" w14:paraId="56599A9A" w14:textId="77777777" w:rsidTr="00D86A94">
        <w:trPr>
          <w:trHeight w:val="135"/>
        </w:trPr>
        <w:tc>
          <w:tcPr>
            <w:tcW w:w="4053" w:type="dxa"/>
            <w:vMerge w:val="restart"/>
            <w:shd w:val="clear" w:color="auto" w:fill="EAF6F3"/>
            <w:vAlign w:val="center"/>
          </w:tcPr>
          <w:p w14:paraId="7C5C3E52"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action(s)</w:t>
            </w:r>
          </w:p>
        </w:tc>
        <w:tc>
          <w:tcPr>
            <w:tcW w:w="1348" w:type="dxa"/>
            <w:vMerge w:val="restart"/>
            <w:shd w:val="clear" w:color="auto" w:fill="EAF6F3"/>
            <w:vAlign w:val="center"/>
          </w:tcPr>
          <w:p w14:paraId="79CFC9C5"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927" w:type="dxa"/>
            <w:vMerge w:val="restart"/>
            <w:shd w:val="clear" w:color="auto" w:fill="EAF6F3"/>
            <w:vAlign w:val="center"/>
          </w:tcPr>
          <w:p w14:paraId="337C7FAE"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292" w:type="dxa"/>
            <w:gridSpan w:val="2"/>
            <w:shd w:val="clear" w:color="auto" w:fill="EAF6F3"/>
          </w:tcPr>
          <w:p w14:paraId="4A3B0C74"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834F97" w:rsidRPr="00867815" w14:paraId="65619215" w14:textId="77777777" w:rsidTr="4529FF43">
        <w:trPr>
          <w:trHeight w:val="135"/>
        </w:trPr>
        <w:tc>
          <w:tcPr>
            <w:tcW w:w="4053" w:type="dxa"/>
            <w:vMerge/>
          </w:tcPr>
          <w:p w14:paraId="468CE554" w14:textId="77777777" w:rsidR="00834F97" w:rsidRPr="00867815" w:rsidRDefault="00834F97" w:rsidP="00D86A94">
            <w:pPr>
              <w:tabs>
                <w:tab w:val="left" w:pos="1080"/>
              </w:tabs>
              <w:spacing w:after="0" w:line="240" w:lineRule="auto"/>
              <w:jc w:val="both"/>
              <w:rPr>
                <w:rFonts w:ascii="Times New Roman" w:hAnsi="Times New Roman" w:cs="Times New Roman"/>
                <w:color w:val="185262"/>
                <w:sz w:val="18"/>
                <w:szCs w:val="18"/>
              </w:rPr>
            </w:pPr>
          </w:p>
        </w:tc>
        <w:tc>
          <w:tcPr>
            <w:tcW w:w="1348" w:type="dxa"/>
            <w:vMerge/>
          </w:tcPr>
          <w:p w14:paraId="2646AA20"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p>
        </w:tc>
        <w:tc>
          <w:tcPr>
            <w:tcW w:w="1927" w:type="dxa"/>
            <w:vMerge/>
          </w:tcPr>
          <w:p w14:paraId="7FF94299"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p>
        </w:tc>
        <w:tc>
          <w:tcPr>
            <w:tcW w:w="1048" w:type="dxa"/>
          </w:tcPr>
          <w:p w14:paraId="187CD189"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244" w:type="dxa"/>
          </w:tcPr>
          <w:p w14:paraId="3351D4E8" w14:textId="522D3A87" w:rsidR="00834F97" w:rsidRPr="00867815" w:rsidRDefault="00834F97" w:rsidP="00D86A94">
            <w:pPr>
              <w:tabs>
                <w:tab w:val="left" w:pos="1080"/>
              </w:tabs>
              <w:spacing w:after="0" w:line="240" w:lineRule="auto"/>
              <w:jc w:val="both"/>
              <w:rPr>
                <w:rFonts w:ascii="Times New Roman" w:eastAsiaTheme="majorEastAsia" w:hAnsi="Times New Roman" w:cs="Times New Roman"/>
                <w:b/>
                <w:color w:val="185262"/>
                <w:sz w:val="18"/>
                <w:szCs w:val="18"/>
              </w:rPr>
            </w:pPr>
            <w:r w:rsidRPr="00867815">
              <w:rPr>
                <w:rFonts w:ascii="Times New Roman" w:hAnsi="Times New Roman" w:cs="Times New Roman"/>
                <w:b/>
                <w:color w:val="185262"/>
                <w:sz w:val="18"/>
                <w:szCs w:val="18"/>
              </w:rPr>
              <w:t>Status</w:t>
            </w:r>
            <w:r w:rsidR="00A70C4D" w:rsidRPr="00867815">
              <w:rPr>
                <w:rFonts w:ascii="Times New Roman" w:hAnsi="Times New Roman" w:cs="Times New Roman"/>
                <w:b/>
                <w:color w:val="185262"/>
                <w:sz w:val="18"/>
                <w:szCs w:val="18"/>
              </w:rPr>
              <w:t xml:space="preserve"> </w:t>
            </w:r>
            <w:r w:rsidR="00355F1A" w:rsidRPr="00867815">
              <w:rPr>
                <w:rFonts w:ascii="Times New Roman" w:hAnsi="Times New Roman" w:cs="Times New Roman"/>
                <w:bCs/>
                <w:i/>
                <w:iCs/>
                <w:color w:val="185262"/>
                <w:sz w:val="18"/>
                <w:szCs w:val="18"/>
              </w:rPr>
              <w:t>(initiated, completed or no due date)</w:t>
            </w:r>
          </w:p>
        </w:tc>
      </w:tr>
      <w:tr w:rsidR="00F82008" w:rsidRPr="00867815" w14:paraId="39167757" w14:textId="77777777" w:rsidTr="00A33D1C">
        <w:trPr>
          <w:trHeight w:val="1552"/>
        </w:trPr>
        <w:tc>
          <w:tcPr>
            <w:tcW w:w="4053" w:type="dxa"/>
          </w:tcPr>
          <w:p w14:paraId="1A0054C7" w14:textId="53C12057" w:rsidR="00F82008" w:rsidRPr="00043955" w:rsidRDefault="00043955" w:rsidP="00043955">
            <w:pPr>
              <w:jc w:val="both"/>
            </w:pPr>
            <w:r>
              <w:rPr>
                <w:rFonts w:ascii="Times New Roman" w:hAnsi="Times New Roman" w:cs="Times New Roman"/>
                <w:bCs/>
                <w:sz w:val="18"/>
                <w:szCs w:val="18"/>
              </w:rPr>
              <w:t>E</w:t>
            </w:r>
            <w:r w:rsidRPr="009D3E8D">
              <w:rPr>
                <w:rFonts w:ascii="Times New Roman" w:hAnsi="Times New Roman" w:cs="Times New Roman"/>
                <w:bCs/>
                <w:sz w:val="18"/>
                <w:szCs w:val="18"/>
              </w:rPr>
              <w:t>stablish the first co-gender police stations under the model police station pilot initiative</w:t>
            </w:r>
            <w:r>
              <w:rPr>
                <w:rFonts w:ascii="Times New Roman" w:hAnsi="Times New Roman" w:cs="Times New Roman"/>
                <w:bCs/>
                <w:sz w:val="18"/>
                <w:szCs w:val="18"/>
              </w:rPr>
              <w:t xml:space="preserve"> </w:t>
            </w:r>
            <w:r w:rsidRPr="009D3E8D">
              <w:rPr>
                <w:rFonts w:ascii="Times New Roman" w:hAnsi="Times New Roman" w:cs="Times New Roman"/>
                <w:bCs/>
                <w:sz w:val="18"/>
                <w:szCs w:val="18"/>
              </w:rPr>
              <w:t xml:space="preserve">and GEN 2 level range of activities under CSIP interventions including </w:t>
            </w:r>
            <w:r>
              <w:rPr>
                <w:rFonts w:ascii="Times New Roman" w:hAnsi="Times New Roman" w:cs="Times New Roman"/>
                <w:bCs/>
                <w:sz w:val="18"/>
                <w:szCs w:val="18"/>
              </w:rPr>
              <w:t>One S</w:t>
            </w:r>
            <w:r w:rsidRPr="009D3E8D">
              <w:rPr>
                <w:rFonts w:ascii="Times New Roman" w:hAnsi="Times New Roman" w:cs="Times New Roman"/>
                <w:bCs/>
                <w:sz w:val="18"/>
                <w:szCs w:val="18"/>
              </w:rPr>
              <w:t xml:space="preserve">top </w:t>
            </w:r>
            <w:r>
              <w:rPr>
                <w:rFonts w:ascii="Times New Roman" w:hAnsi="Times New Roman" w:cs="Times New Roman"/>
                <w:bCs/>
                <w:sz w:val="18"/>
                <w:szCs w:val="18"/>
              </w:rPr>
              <w:t>S</w:t>
            </w:r>
            <w:r w:rsidRPr="009D3E8D">
              <w:rPr>
                <w:rFonts w:ascii="Times New Roman" w:hAnsi="Times New Roman" w:cs="Times New Roman"/>
                <w:bCs/>
                <w:sz w:val="18"/>
                <w:szCs w:val="18"/>
              </w:rPr>
              <w:t xml:space="preserve">upport </w:t>
            </w:r>
            <w:r>
              <w:rPr>
                <w:rFonts w:ascii="Times New Roman" w:hAnsi="Times New Roman" w:cs="Times New Roman"/>
                <w:bCs/>
                <w:sz w:val="18"/>
                <w:szCs w:val="18"/>
              </w:rPr>
              <w:t>C</w:t>
            </w:r>
            <w:r w:rsidRPr="009D3E8D">
              <w:rPr>
                <w:rFonts w:ascii="Times New Roman" w:hAnsi="Times New Roman" w:cs="Times New Roman"/>
                <w:bCs/>
                <w:sz w:val="18"/>
                <w:szCs w:val="18"/>
              </w:rPr>
              <w:t xml:space="preserve">entres and </w:t>
            </w:r>
            <w:r>
              <w:rPr>
                <w:rFonts w:ascii="Times New Roman" w:hAnsi="Times New Roman" w:cs="Times New Roman"/>
                <w:bCs/>
                <w:sz w:val="18"/>
                <w:szCs w:val="18"/>
              </w:rPr>
              <w:t>S</w:t>
            </w:r>
            <w:r w:rsidRPr="009D3E8D">
              <w:rPr>
                <w:rFonts w:ascii="Times New Roman" w:hAnsi="Times New Roman" w:cs="Times New Roman"/>
                <w:bCs/>
                <w:sz w:val="18"/>
                <w:szCs w:val="18"/>
              </w:rPr>
              <w:t xml:space="preserve">afe </w:t>
            </w:r>
            <w:r>
              <w:rPr>
                <w:rFonts w:ascii="Times New Roman" w:hAnsi="Times New Roman" w:cs="Times New Roman"/>
                <w:bCs/>
                <w:sz w:val="18"/>
                <w:szCs w:val="18"/>
              </w:rPr>
              <w:t>S</w:t>
            </w:r>
            <w:r w:rsidRPr="009D3E8D">
              <w:rPr>
                <w:rFonts w:ascii="Times New Roman" w:hAnsi="Times New Roman" w:cs="Times New Roman"/>
                <w:bCs/>
                <w:sz w:val="18"/>
                <w:szCs w:val="18"/>
              </w:rPr>
              <w:t>paces for female disengaged former volunteer fighters (FVF) and female family members (women and girls)</w:t>
            </w:r>
            <w:r>
              <w:rPr>
                <w:rFonts w:ascii="Times New Roman" w:hAnsi="Times New Roman" w:cs="Times New Roman"/>
                <w:bCs/>
                <w:sz w:val="18"/>
                <w:szCs w:val="18"/>
              </w:rPr>
              <w:t xml:space="preserve"> </w:t>
            </w:r>
            <w:r w:rsidRPr="009D3E8D">
              <w:rPr>
                <w:rFonts w:ascii="Times New Roman" w:hAnsi="Times New Roman" w:cs="Times New Roman"/>
                <w:bCs/>
                <w:sz w:val="18"/>
                <w:szCs w:val="18"/>
              </w:rPr>
              <w:t>of FVF in Sinjar</w:t>
            </w:r>
            <w:r>
              <w:rPr>
                <w:rFonts w:ascii="Times New Roman" w:hAnsi="Times New Roman" w:cs="Times New Roman"/>
                <w:bCs/>
                <w:sz w:val="18"/>
                <w:szCs w:val="18"/>
              </w:rPr>
              <w:t>.</w:t>
            </w:r>
          </w:p>
        </w:tc>
        <w:tc>
          <w:tcPr>
            <w:tcW w:w="1348" w:type="dxa"/>
          </w:tcPr>
          <w:p w14:paraId="19C10C2B" w14:textId="17160F03" w:rsidR="00F82008" w:rsidRPr="00867815" w:rsidRDefault="00FD7AB5" w:rsidP="00F3146A">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31 December 2022</w:t>
            </w:r>
          </w:p>
        </w:tc>
        <w:tc>
          <w:tcPr>
            <w:tcW w:w="1927" w:type="dxa"/>
          </w:tcPr>
          <w:p w14:paraId="1DFC981A" w14:textId="56ACC3C0" w:rsidR="00F82008" w:rsidRPr="00867815" w:rsidRDefault="00FD7AB5" w:rsidP="00D86A94">
            <w:pPr>
              <w:tabs>
                <w:tab w:val="left" w:pos="108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SSR/</w:t>
            </w:r>
            <w:proofErr w:type="spellStart"/>
            <w:r>
              <w:rPr>
                <w:rFonts w:ascii="Times New Roman" w:hAnsi="Times New Roman" w:cs="Times New Roman"/>
                <w:sz w:val="18"/>
                <w:szCs w:val="18"/>
              </w:rPr>
              <w:t>RoL</w:t>
            </w:r>
            <w:proofErr w:type="spellEnd"/>
            <w:r>
              <w:rPr>
                <w:rFonts w:ascii="Times New Roman" w:hAnsi="Times New Roman" w:cs="Times New Roman"/>
                <w:sz w:val="18"/>
                <w:szCs w:val="18"/>
              </w:rPr>
              <w:t xml:space="preserve"> Programme</w:t>
            </w:r>
          </w:p>
        </w:tc>
        <w:tc>
          <w:tcPr>
            <w:tcW w:w="1048" w:type="dxa"/>
          </w:tcPr>
          <w:p w14:paraId="7E63E60C" w14:textId="0AB7E2AC" w:rsidR="00F82008" w:rsidRPr="00867815" w:rsidRDefault="00FD7AB5" w:rsidP="00D86A94">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N/A</w:t>
            </w:r>
          </w:p>
        </w:tc>
        <w:tc>
          <w:tcPr>
            <w:tcW w:w="2244" w:type="dxa"/>
          </w:tcPr>
          <w:p w14:paraId="597D5AEF" w14:textId="177A2AD2" w:rsidR="00F82008" w:rsidRPr="00867815" w:rsidRDefault="00FD7AB5" w:rsidP="00D86A94">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 xml:space="preserve">This work is </w:t>
            </w:r>
            <w:proofErr w:type="spellStart"/>
            <w:r>
              <w:rPr>
                <w:rFonts w:ascii="Times New Roman" w:hAnsi="Times New Roman" w:cs="Times New Roman"/>
                <w:color w:val="185262"/>
                <w:sz w:val="18"/>
                <w:szCs w:val="18"/>
              </w:rPr>
              <w:t>on going</w:t>
            </w:r>
            <w:proofErr w:type="spellEnd"/>
            <w:r>
              <w:rPr>
                <w:rFonts w:ascii="Times New Roman" w:hAnsi="Times New Roman" w:cs="Times New Roman"/>
                <w:color w:val="185262"/>
                <w:sz w:val="18"/>
                <w:szCs w:val="18"/>
              </w:rPr>
              <w:t>.</w:t>
            </w:r>
          </w:p>
        </w:tc>
      </w:tr>
    </w:tbl>
    <w:p w14:paraId="7449C0F2" w14:textId="602AB60D" w:rsidR="00834F97" w:rsidRPr="00867815" w:rsidRDefault="00834F97" w:rsidP="00E61BD7">
      <w:pPr>
        <w:tabs>
          <w:tab w:val="left" w:pos="1080"/>
        </w:tabs>
        <w:spacing w:after="0" w:line="240" w:lineRule="auto"/>
        <w:jc w:val="both"/>
        <w:rPr>
          <w:rFonts w:ascii="Times New Roman" w:hAnsi="Times New Roman" w:cs="Times New Roman"/>
          <w:color w:val="185262"/>
          <w:sz w:val="18"/>
          <w:szCs w:val="18"/>
          <w:lang w:eastAsia="ja-JP"/>
        </w:rPr>
      </w:pPr>
    </w:p>
    <w:tbl>
      <w:tblPr>
        <w:tblpPr w:leftFromText="180" w:rightFromText="180" w:vertAnchor="text" w:tblpX="-725" w:tblpY="31"/>
        <w:tblW w:w="1062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110"/>
        <w:gridCol w:w="1316"/>
        <w:gridCol w:w="1900"/>
        <w:gridCol w:w="1129"/>
        <w:gridCol w:w="2165"/>
      </w:tblGrid>
      <w:tr w:rsidR="00834F97" w:rsidRPr="00867815" w14:paraId="1268C0F5" w14:textId="77777777" w:rsidTr="00D86A94">
        <w:tc>
          <w:tcPr>
            <w:tcW w:w="10620" w:type="dxa"/>
            <w:gridSpan w:val="5"/>
            <w:shd w:val="clear" w:color="auto" w:fill="EAF6F3"/>
          </w:tcPr>
          <w:p w14:paraId="75CB46D1" w14:textId="2BD9B1E9" w:rsidR="00834F97" w:rsidRPr="001D41EA" w:rsidRDefault="00834F97" w:rsidP="001D41EA">
            <w:pPr>
              <w:spacing w:line="240" w:lineRule="auto"/>
              <w:jc w:val="both"/>
              <w:rPr>
                <w:rFonts w:ascii="Times New Roman" w:eastAsia="Calibri" w:hAnsi="Times New Roman" w:cs="Times New Roman"/>
                <w:color w:val="FF0000"/>
                <w:sz w:val="18"/>
                <w:szCs w:val="18"/>
                <w:lang w:eastAsia="sl-SI"/>
              </w:rPr>
            </w:pPr>
            <w:r w:rsidRPr="00867815">
              <w:rPr>
                <w:rFonts w:ascii="Times New Roman" w:hAnsi="Times New Roman" w:cs="Times New Roman"/>
                <w:b/>
                <w:color w:val="185262"/>
                <w:sz w:val="18"/>
                <w:szCs w:val="18"/>
              </w:rPr>
              <w:t xml:space="preserve">Evaluation recommendation </w:t>
            </w:r>
            <w:r w:rsidR="004A624C" w:rsidRPr="00867815">
              <w:rPr>
                <w:rFonts w:ascii="Times New Roman" w:hAnsi="Times New Roman" w:cs="Times New Roman"/>
                <w:b/>
                <w:color w:val="185262"/>
                <w:sz w:val="18"/>
                <w:szCs w:val="18"/>
              </w:rPr>
              <w:t>9</w:t>
            </w:r>
            <w:r w:rsidR="00446357" w:rsidRPr="00867815">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r w:rsidR="008068EF" w:rsidRPr="008068EF">
              <w:rPr>
                <w:rFonts w:ascii="Times New Roman" w:hAnsi="Times New Roman" w:cs="Times New Roman"/>
                <w:b/>
                <w:bCs/>
                <w:sz w:val="18"/>
                <w:szCs w:val="18"/>
              </w:rPr>
              <w:t>Further support linked to the Gender Study findings</w:t>
            </w:r>
            <w:r w:rsidR="001D41EA">
              <w:rPr>
                <w:rFonts w:ascii="Times New Roman" w:hAnsi="Times New Roman" w:cs="Times New Roman"/>
                <w:b/>
                <w:bCs/>
                <w:sz w:val="18"/>
                <w:szCs w:val="18"/>
              </w:rPr>
              <w:t xml:space="preserve">: </w:t>
            </w:r>
            <w:bookmarkStart w:id="8" w:name="_Hlk88216107"/>
            <w:r w:rsidR="001D41EA" w:rsidRPr="00464854">
              <w:rPr>
                <w:rFonts w:ascii="Times New Roman" w:eastAsia="Calibri" w:hAnsi="Times New Roman" w:cs="Times New Roman"/>
                <w:lang w:eastAsia="sl-SI"/>
              </w:rPr>
              <w:t xml:space="preserve"> </w:t>
            </w:r>
            <w:r w:rsidR="001D41EA" w:rsidRPr="009D3E8D">
              <w:rPr>
                <w:rFonts w:ascii="Times New Roman" w:eastAsia="Calibri" w:hAnsi="Times New Roman" w:cs="Times New Roman"/>
                <w:sz w:val="18"/>
                <w:szCs w:val="18"/>
                <w:lang w:eastAsia="sl-SI"/>
              </w:rPr>
              <w:t xml:space="preserve">Follow-up support on gender issues should be linked to the Gender Study findings </w:t>
            </w:r>
            <w:bookmarkEnd w:id="8"/>
            <w:r w:rsidR="001D41EA" w:rsidRPr="009D3E8D">
              <w:rPr>
                <w:rFonts w:ascii="Times New Roman" w:eastAsia="Calibri" w:hAnsi="Times New Roman" w:cs="Times New Roman"/>
                <w:sz w:val="18"/>
                <w:szCs w:val="18"/>
                <w:lang w:eastAsia="sl-SI"/>
              </w:rPr>
              <w:t>and recommendations on how to further and better address gender issues in the gender-sensitive law enforcement environment. The project should continue to seek partnerships and ensure further complementarity, coherence, and synergies with other like-minded partners (e.g., UNWOMEN, EUAM, UNAMI, etc.).</w:t>
            </w:r>
          </w:p>
        </w:tc>
      </w:tr>
      <w:tr w:rsidR="00834F97" w:rsidRPr="00867815" w14:paraId="5A971052" w14:textId="77777777" w:rsidTr="00D86A94">
        <w:tc>
          <w:tcPr>
            <w:tcW w:w="10620" w:type="dxa"/>
            <w:gridSpan w:val="5"/>
            <w:shd w:val="clear" w:color="auto" w:fill="EAF6F3"/>
          </w:tcPr>
          <w:p w14:paraId="24CAFD44" w14:textId="5729DDB0" w:rsidR="00043955" w:rsidRPr="00043955" w:rsidRDefault="00834F97" w:rsidP="00043955">
            <w:pPr>
              <w:tabs>
                <w:tab w:val="left" w:pos="1080"/>
              </w:tabs>
              <w:spacing w:after="60" w:line="240" w:lineRule="auto"/>
              <w:jc w:val="both"/>
              <w:rPr>
                <w:rFonts w:ascii="Times New Roman" w:hAnsi="Times New Roman" w:cs="Times New Roman"/>
                <w:sz w:val="18"/>
                <w:szCs w:val="18"/>
              </w:rPr>
            </w:pPr>
            <w:r w:rsidRPr="00867815">
              <w:rPr>
                <w:rFonts w:ascii="Times New Roman" w:hAnsi="Times New Roman" w:cs="Times New Roman"/>
                <w:b/>
                <w:color w:val="185262"/>
                <w:sz w:val="18"/>
                <w:szCs w:val="18"/>
              </w:rPr>
              <w:t xml:space="preserve">Management response: </w:t>
            </w:r>
            <w:r w:rsidR="001D41EA" w:rsidRPr="00CF4A97">
              <w:rPr>
                <w:rFonts w:asciiTheme="majorBidi" w:hAnsiTheme="majorBidi" w:cstheme="majorBidi"/>
                <w:color w:val="FF0000"/>
                <w:sz w:val="18"/>
                <w:szCs w:val="18"/>
              </w:rPr>
              <w:t xml:space="preserve"> </w:t>
            </w:r>
            <w:r w:rsidR="00043955">
              <w:t xml:space="preserve"> </w:t>
            </w:r>
            <w:r w:rsidR="00043955" w:rsidRPr="00043955">
              <w:rPr>
                <w:rFonts w:ascii="Times New Roman" w:hAnsi="Times New Roman" w:cs="Times New Roman"/>
                <w:sz w:val="18"/>
                <w:szCs w:val="18"/>
              </w:rPr>
              <w:t xml:space="preserve">The </w:t>
            </w:r>
            <w:r w:rsidR="00043955">
              <w:rPr>
                <w:rFonts w:ascii="Times New Roman" w:hAnsi="Times New Roman" w:cs="Times New Roman"/>
                <w:sz w:val="18"/>
                <w:szCs w:val="18"/>
              </w:rPr>
              <w:t>P</w:t>
            </w:r>
            <w:r w:rsidR="00043955" w:rsidRPr="00043955">
              <w:rPr>
                <w:rFonts w:ascii="Times New Roman" w:hAnsi="Times New Roman" w:cs="Times New Roman"/>
                <w:sz w:val="18"/>
                <w:szCs w:val="18"/>
              </w:rPr>
              <w:t>roject</w:t>
            </w:r>
            <w:r w:rsidR="00043955">
              <w:rPr>
                <w:rFonts w:ascii="Times New Roman" w:hAnsi="Times New Roman" w:cs="Times New Roman"/>
                <w:sz w:val="18"/>
                <w:szCs w:val="18"/>
              </w:rPr>
              <w:t xml:space="preserve"> </w:t>
            </w:r>
            <w:r w:rsidR="00043955" w:rsidRPr="00043955">
              <w:rPr>
                <w:rFonts w:ascii="Times New Roman" w:hAnsi="Times New Roman" w:cs="Times New Roman"/>
                <w:sz w:val="18"/>
                <w:szCs w:val="18"/>
              </w:rPr>
              <w:t>takes note of this recommendation and acknowledges the importance of developing follow–up actions to operationalise the findings and recommendations of its</w:t>
            </w:r>
            <w:r w:rsidR="00043955">
              <w:rPr>
                <w:rFonts w:ascii="Times New Roman" w:hAnsi="Times New Roman" w:cs="Times New Roman"/>
                <w:sz w:val="18"/>
                <w:szCs w:val="18"/>
              </w:rPr>
              <w:t xml:space="preserve"> planned </w:t>
            </w:r>
            <w:r w:rsidR="00043955" w:rsidRPr="00043955">
              <w:rPr>
                <w:rFonts w:ascii="Times New Roman" w:hAnsi="Times New Roman" w:cs="Times New Roman"/>
                <w:sz w:val="18"/>
                <w:szCs w:val="18"/>
              </w:rPr>
              <w:t xml:space="preserve">Gender Study </w:t>
            </w:r>
            <w:r w:rsidR="00043955">
              <w:rPr>
                <w:rFonts w:ascii="Times New Roman" w:hAnsi="Times New Roman" w:cs="Times New Roman"/>
                <w:sz w:val="18"/>
                <w:szCs w:val="18"/>
              </w:rPr>
              <w:t xml:space="preserve">in collaboration </w:t>
            </w:r>
            <w:r w:rsidR="00043955" w:rsidRPr="00043955">
              <w:rPr>
                <w:rFonts w:ascii="Times New Roman" w:hAnsi="Times New Roman" w:cs="Times New Roman"/>
                <w:sz w:val="18"/>
                <w:szCs w:val="18"/>
              </w:rPr>
              <w:t xml:space="preserve">with </w:t>
            </w:r>
            <w:r w:rsidR="00043955">
              <w:rPr>
                <w:rFonts w:ascii="Times New Roman" w:hAnsi="Times New Roman" w:cs="Times New Roman"/>
                <w:sz w:val="18"/>
                <w:szCs w:val="18"/>
              </w:rPr>
              <w:t>the</w:t>
            </w:r>
            <w:r w:rsidR="00043955" w:rsidRPr="00043955">
              <w:rPr>
                <w:rFonts w:ascii="Times New Roman" w:hAnsi="Times New Roman" w:cs="Times New Roman"/>
                <w:sz w:val="18"/>
                <w:szCs w:val="18"/>
              </w:rPr>
              <w:t xml:space="preserve"> </w:t>
            </w:r>
            <w:proofErr w:type="spellStart"/>
            <w:r w:rsidR="00043955" w:rsidRPr="00043955">
              <w:rPr>
                <w:rFonts w:ascii="Times New Roman" w:hAnsi="Times New Roman" w:cs="Times New Roman"/>
                <w:sz w:val="18"/>
                <w:szCs w:val="18"/>
              </w:rPr>
              <w:t>M</w:t>
            </w:r>
            <w:r w:rsidR="00043955">
              <w:rPr>
                <w:rFonts w:ascii="Times New Roman" w:hAnsi="Times New Roman" w:cs="Times New Roman"/>
                <w:sz w:val="18"/>
                <w:szCs w:val="18"/>
              </w:rPr>
              <w:t>o</w:t>
            </w:r>
            <w:r w:rsidR="00043955" w:rsidRPr="00043955">
              <w:rPr>
                <w:rFonts w:ascii="Times New Roman" w:hAnsi="Times New Roman" w:cs="Times New Roman"/>
                <w:sz w:val="18"/>
                <w:szCs w:val="18"/>
              </w:rPr>
              <w:t>I</w:t>
            </w:r>
            <w:proofErr w:type="spellEnd"/>
            <w:r w:rsidR="00043955" w:rsidRPr="00043955">
              <w:rPr>
                <w:rFonts w:ascii="Times New Roman" w:hAnsi="Times New Roman" w:cs="Times New Roman"/>
                <w:sz w:val="18"/>
                <w:szCs w:val="18"/>
              </w:rPr>
              <w:t xml:space="preserve"> and M</w:t>
            </w:r>
            <w:r w:rsidR="00043955">
              <w:rPr>
                <w:rFonts w:ascii="Times New Roman" w:hAnsi="Times New Roman" w:cs="Times New Roman"/>
                <w:sz w:val="18"/>
                <w:szCs w:val="18"/>
              </w:rPr>
              <w:t>o</w:t>
            </w:r>
            <w:r w:rsidR="00043955" w:rsidRPr="00043955">
              <w:rPr>
                <w:rFonts w:ascii="Times New Roman" w:hAnsi="Times New Roman" w:cs="Times New Roman"/>
                <w:sz w:val="18"/>
                <w:szCs w:val="18"/>
              </w:rPr>
              <w:t xml:space="preserve">D and to upscale the effort across the entire security sector. UNDP will engage with all security institutions in Iraq through the SSR High Committee to cascade the gender study across other security institutions and with all international partners (UN and others) to engage their support to the </w:t>
            </w:r>
            <w:proofErr w:type="spellStart"/>
            <w:r w:rsidR="00043955" w:rsidRPr="00043955">
              <w:rPr>
                <w:rFonts w:ascii="Times New Roman" w:hAnsi="Times New Roman" w:cs="Times New Roman"/>
                <w:sz w:val="18"/>
                <w:szCs w:val="18"/>
              </w:rPr>
              <w:t>M</w:t>
            </w:r>
            <w:r w:rsidR="00043955">
              <w:rPr>
                <w:rFonts w:ascii="Times New Roman" w:hAnsi="Times New Roman" w:cs="Times New Roman"/>
                <w:sz w:val="18"/>
                <w:szCs w:val="18"/>
              </w:rPr>
              <w:t>o</w:t>
            </w:r>
            <w:r w:rsidR="00043955" w:rsidRPr="00043955">
              <w:rPr>
                <w:rFonts w:ascii="Times New Roman" w:hAnsi="Times New Roman" w:cs="Times New Roman"/>
                <w:sz w:val="18"/>
                <w:szCs w:val="18"/>
              </w:rPr>
              <w:t>I</w:t>
            </w:r>
            <w:proofErr w:type="spellEnd"/>
            <w:r w:rsidR="00043955" w:rsidRPr="00043955">
              <w:rPr>
                <w:rFonts w:ascii="Times New Roman" w:hAnsi="Times New Roman" w:cs="Times New Roman"/>
                <w:sz w:val="18"/>
                <w:szCs w:val="18"/>
              </w:rPr>
              <w:t>, M</w:t>
            </w:r>
            <w:r w:rsidR="00043955">
              <w:rPr>
                <w:rFonts w:ascii="Times New Roman" w:hAnsi="Times New Roman" w:cs="Times New Roman"/>
                <w:sz w:val="18"/>
                <w:szCs w:val="18"/>
              </w:rPr>
              <w:t>o</w:t>
            </w:r>
            <w:r w:rsidR="00043955" w:rsidRPr="00043955">
              <w:rPr>
                <w:rFonts w:ascii="Times New Roman" w:hAnsi="Times New Roman" w:cs="Times New Roman"/>
                <w:sz w:val="18"/>
                <w:szCs w:val="18"/>
              </w:rPr>
              <w:t xml:space="preserve">D, and other security institutions to operationalise the findings of the Gender Study. UNIDO will closely coordinate with the Women’s Empowerment Directorate (Secretariat of the Council of Ministers–COMSEC) to promote national ownership of all gender efforts across the security sector in Iraq. </w:t>
            </w:r>
          </w:p>
          <w:p w14:paraId="7D9283C5" w14:textId="75B1FED0" w:rsidR="00043955" w:rsidRPr="00043955" w:rsidRDefault="00043955" w:rsidP="00704808">
            <w:pPr>
              <w:tabs>
                <w:tab w:val="left" w:pos="1080"/>
              </w:tabs>
              <w:spacing w:after="60" w:line="240" w:lineRule="auto"/>
              <w:jc w:val="both"/>
              <w:rPr>
                <w:rFonts w:ascii="Times New Roman" w:hAnsi="Times New Roman" w:cs="Times New Roman"/>
                <w:color w:val="FF0000"/>
                <w:sz w:val="18"/>
                <w:szCs w:val="18"/>
              </w:rPr>
            </w:pPr>
            <w:r>
              <w:rPr>
                <w:rFonts w:ascii="Times New Roman" w:hAnsi="Times New Roman" w:cs="Times New Roman"/>
                <w:sz w:val="18"/>
                <w:szCs w:val="18"/>
              </w:rPr>
              <w:t>The project</w:t>
            </w:r>
            <w:r w:rsidRPr="00043955">
              <w:rPr>
                <w:rFonts w:ascii="Times New Roman" w:hAnsi="Times New Roman" w:cs="Times New Roman"/>
                <w:sz w:val="18"/>
                <w:szCs w:val="18"/>
              </w:rPr>
              <w:t xml:space="preserve"> is already co–chairing the Unified Action Partners Coordination Group for 1325 in Iraq. This platform will be used to further coordination and partnerships among international partners to support interventions strengthening a gender–responsive and gender–sensitive SSR process in Iraq.</w:t>
            </w:r>
          </w:p>
          <w:p w14:paraId="57F44E93" w14:textId="1B47250F" w:rsidR="001D41EA" w:rsidRPr="009D3E8D" w:rsidRDefault="001D41EA" w:rsidP="00704808">
            <w:pPr>
              <w:tabs>
                <w:tab w:val="left" w:pos="1080"/>
              </w:tabs>
              <w:spacing w:after="60" w:line="240" w:lineRule="auto"/>
              <w:jc w:val="both"/>
              <w:rPr>
                <w:rFonts w:ascii="Times New Roman" w:hAnsi="Times New Roman" w:cs="Times New Roman"/>
                <w:b/>
                <w:sz w:val="18"/>
                <w:szCs w:val="18"/>
              </w:rPr>
            </w:pPr>
            <w:r w:rsidRPr="009D3E8D">
              <w:rPr>
                <w:rFonts w:asciiTheme="majorBidi" w:hAnsiTheme="majorBidi" w:cstheme="majorBidi"/>
                <w:sz w:val="18"/>
                <w:szCs w:val="18"/>
              </w:rPr>
              <w:t>.</w:t>
            </w:r>
          </w:p>
          <w:p w14:paraId="57BF2263" w14:textId="2D304F58" w:rsidR="00DD4975" w:rsidRPr="009D3E8D" w:rsidRDefault="001D41EA" w:rsidP="00704808">
            <w:pPr>
              <w:tabs>
                <w:tab w:val="left" w:pos="1080"/>
              </w:tabs>
              <w:spacing w:after="60" w:line="240" w:lineRule="auto"/>
              <w:jc w:val="both"/>
              <w:rPr>
                <w:rFonts w:ascii="Times New Roman" w:hAnsi="Times New Roman" w:cs="Times New Roman"/>
                <w:color w:val="FF0000"/>
                <w:sz w:val="18"/>
                <w:szCs w:val="18"/>
              </w:rPr>
            </w:pPr>
            <w:bookmarkStart w:id="9" w:name="_Hlk94792018"/>
            <w:r w:rsidRPr="009D3E8D">
              <w:rPr>
                <w:rFonts w:ascii="Times New Roman" w:hAnsi="Times New Roman" w:cs="Times New Roman"/>
                <w:sz w:val="18"/>
                <w:szCs w:val="18"/>
              </w:rPr>
              <w:lastRenderedPageBreak/>
              <w:t xml:space="preserve">Subject to the key findings and recommendations from the Gender Study that is expected to be finalised by approximately 31 April 2022, the ‘project’ will revisit this recommendation to consider possible action where appropriate. </w:t>
            </w:r>
            <w:bookmarkEnd w:id="9"/>
          </w:p>
        </w:tc>
      </w:tr>
      <w:tr w:rsidR="00834F97" w:rsidRPr="00867815" w14:paraId="39280DBA" w14:textId="77777777" w:rsidTr="00D86A94">
        <w:trPr>
          <w:trHeight w:val="135"/>
        </w:trPr>
        <w:tc>
          <w:tcPr>
            <w:tcW w:w="4110" w:type="dxa"/>
            <w:vMerge w:val="restart"/>
            <w:shd w:val="clear" w:color="auto" w:fill="EAF6F3"/>
            <w:vAlign w:val="center"/>
          </w:tcPr>
          <w:p w14:paraId="705A0A41"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lastRenderedPageBreak/>
              <w:t>Key action(s)</w:t>
            </w:r>
          </w:p>
        </w:tc>
        <w:tc>
          <w:tcPr>
            <w:tcW w:w="1316" w:type="dxa"/>
            <w:vMerge w:val="restart"/>
            <w:shd w:val="clear" w:color="auto" w:fill="EAF6F3"/>
            <w:vAlign w:val="center"/>
          </w:tcPr>
          <w:p w14:paraId="4948521A"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900" w:type="dxa"/>
            <w:vMerge w:val="restart"/>
            <w:shd w:val="clear" w:color="auto" w:fill="EAF6F3"/>
            <w:vAlign w:val="center"/>
          </w:tcPr>
          <w:p w14:paraId="76829E43" w14:textId="77777777" w:rsidR="00834F97" w:rsidRPr="00867815" w:rsidRDefault="00834F97" w:rsidP="00D86A94">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294" w:type="dxa"/>
            <w:gridSpan w:val="2"/>
            <w:shd w:val="clear" w:color="auto" w:fill="EAF6F3"/>
          </w:tcPr>
          <w:p w14:paraId="0BFE62FC"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834F97" w:rsidRPr="00867815" w14:paraId="7BD99C7B" w14:textId="77777777" w:rsidTr="1C4D8CB9">
        <w:trPr>
          <w:trHeight w:val="135"/>
        </w:trPr>
        <w:tc>
          <w:tcPr>
            <w:tcW w:w="4110" w:type="dxa"/>
            <w:vMerge/>
          </w:tcPr>
          <w:p w14:paraId="50A36A8B" w14:textId="77777777" w:rsidR="00834F97" w:rsidRPr="00867815" w:rsidRDefault="00834F97" w:rsidP="00D86A94">
            <w:pPr>
              <w:tabs>
                <w:tab w:val="left" w:pos="1080"/>
              </w:tabs>
              <w:spacing w:after="0" w:line="240" w:lineRule="auto"/>
              <w:jc w:val="both"/>
              <w:rPr>
                <w:rFonts w:ascii="Times New Roman" w:hAnsi="Times New Roman" w:cs="Times New Roman"/>
                <w:color w:val="185262"/>
                <w:sz w:val="18"/>
                <w:szCs w:val="18"/>
              </w:rPr>
            </w:pPr>
          </w:p>
        </w:tc>
        <w:tc>
          <w:tcPr>
            <w:tcW w:w="1316" w:type="dxa"/>
            <w:vMerge/>
          </w:tcPr>
          <w:p w14:paraId="283B2566"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p>
        </w:tc>
        <w:tc>
          <w:tcPr>
            <w:tcW w:w="1900" w:type="dxa"/>
            <w:vMerge/>
          </w:tcPr>
          <w:p w14:paraId="001677CD"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p>
        </w:tc>
        <w:tc>
          <w:tcPr>
            <w:tcW w:w="1129" w:type="dxa"/>
          </w:tcPr>
          <w:p w14:paraId="78FE9A5B" w14:textId="77777777" w:rsidR="00834F97" w:rsidRPr="00867815" w:rsidRDefault="00834F97" w:rsidP="00D86A94">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165" w:type="dxa"/>
          </w:tcPr>
          <w:p w14:paraId="471E98D2" w14:textId="1B05235D" w:rsidR="00834F97" w:rsidRPr="0007378B" w:rsidRDefault="00834F97" w:rsidP="00D86A94">
            <w:pPr>
              <w:tabs>
                <w:tab w:val="left" w:pos="1080"/>
              </w:tabs>
              <w:spacing w:after="0" w:line="240" w:lineRule="auto"/>
              <w:jc w:val="both"/>
              <w:rPr>
                <w:rFonts w:ascii="Times New Roman" w:eastAsiaTheme="majorEastAsia" w:hAnsi="Times New Roman" w:cs="Times New Roman"/>
                <w:b/>
                <w:color w:val="185262"/>
                <w:sz w:val="18"/>
                <w:szCs w:val="18"/>
              </w:rPr>
            </w:pPr>
            <w:r w:rsidRPr="00867815">
              <w:rPr>
                <w:rFonts w:ascii="Times New Roman" w:hAnsi="Times New Roman" w:cs="Times New Roman"/>
                <w:b/>
                <w:color w:val="185262"/>
                <w:sz w:val="18"/>
                <w:szCs w:val="18"/>
              </w:rPr>
              <w:t>Status</w:t>
            </w:r>
            <w:r w:rsidR="0007378B">
              <w:rPr>
                <w:rFonts w:ascii="Times New Roman" w:hAnsi="Times New Roman" w:cs="Times New Roman"/>
                <w:b/>
                <w:color w:val="185262"/>
                <w:sz w:val="18"/>
                <w:szCs w:val="18"/>
              </w:rPr>
              <w:t xml:space="preserve"> </w:t>
            </w:r>
            <w:r w:rsidR="00355F1A" w:rsidRPr="00867815">
              <w:rPr>
                <w:rFonts w:ascii="Times New Roman" w:hAnsi="Times New Roman" w:cs="Times New Roman"/>
                <w:bCs/>
                <w:i/>
                <w:iCs/>
                <w:color w:val="185262"/>
                <w:sz w:val="18"/>
                <w:szCs w:val="18"/>
              </w:rPr>
              <w:t>(initiated, completed or no due date)</w:t>
            </w:r>
          </w:p>
        </w:tc>
      </w:tr>
      <w:tr w:rsidR="00834F97" w:rsidRPr="00867815" w14:paraId="417AE69C" w14:textId="77777777" w:rsidTr="00043955">
        <w:trPr>
          <w:trHeight w:val="435"/>
        </w:trPr>
        <w:tc>
          <w:tcPr>
            <w:tcW w:w="4110" w:type="dxa"/>
          </w:tcPr>
          <w:p w14:paraId="665525F9" w14:textId="70FBAC5E" w:rsidR="00B9278E" w:rsidRPr="00043955" w:rsidRDefault="00043955" w:rsidP="00043955">
            <w:pPr>
              <w:jc w:val="both"/>
            </w:pPr>
            <w:r>
              <w:rPr>
                <w:rFonts w:ascii="Times New Roman" w:hAnsi="Times New Roman" w:cs="Times New Roman"/>
                <w:sz w:val="18"/>
                <w:szCs w:val="18"/>
              </w:rPr>
              <w:t xml:space="preserve">9.1:  </w:t>
            </w:r>
            <w:r>
              <w:t xml:space="preserve"> </w:t>
            </w:r>
            <w:r w:rsidRPr="00043955">
              <w:rPr>
                <w:rFonts w:ascii="Times New Roman" w:hAnsi="Times New Roman" w:cs="Times New Roman"/>
                <w:sz w:val="18"/>
                <w:szCs w:val="18"/>
              </w:rPr>
              <w:t>Develop</w:t>
            </w:r>
            <w:r w:rsidR="00FD7AB5">
              <w:rPr>
                <w:rFonts w:ascii="Times New Roman" w:hAnsi="Times New Roman" w:cs="Times New Roman"/>
                <w:sz w:val="18"/>
                <w:szCs w:val="18"/>
              </w:rPr>
              <w:t xml:space="preserve">, publish and disseminate a policy brief on key findings and recommendations from the </w:t>
            </w:r>
            <w:proofErr w:type="gramStart"/>
            <w:r w:rsidR="00FD7AB5">
              <w:rPr>
                <w:rFonts w:ascii="Times New Roman" w:hAnsi="Times New Roman" w:cs="Times New Roman"/>
                <w:sz w:val="18"/>
                <w:szCs w:val="18"/>
              </w:rPr>
              <w:t xml:space="preserve">planned </w:t>
            </w:r>
            <w:r w:rsidRPr="00043955">
              <w:rPr>
                <w:rFonts w:ascii="Times New Roman" w:hAnsi="Times New Roman" w:cs="Times New Roman"/>
                <w:sz w:val="18"/>
                <w:szCs w:val="18"/>
              </w:rPr>
              <w:t xml:space="preserve"> Gender</w:t>
            </w:r>
            <w:proofErr w:type="gramEnd"/>
            <w:r w:rsidRPr="00043955">
              <w:rPr>
                <w:rFonts w:ascii="Times New Roman" w:hAnsi="Times New Roman" w:cs="Times New Roman"/>
                <w:sz w:val="18"/>
                <w:szCs w:val="18"/>
              </w:rPr>
              <w:t xml:space="preserve"> Study</w:t>
            </w:r>
            <w:r w:rsidR="00FD7AB5">
              <w:rPr>
                <w:rFonts w:ascii="Times New Roman" w:hAnsi="Times New Roman" w:cs="Times New Roman"/>
                <w:sz w:val="18"/>
                <w:szCs w:val="18"/>
              </w:rPr>
              <w:t xml:space="preserve"> on Iraqi Security Sector. </w:t>
            </w:r>
            <w:r w:rsidRPr="00043955">
              <w:rPr>
                <w:rFonts w:ascii="Times New Roman" w:hAnsi="Times New Roman" w:cs="Times New Roman"/>
                <w:sz w:val="18"/>
                <w:szCs w:val="18"/>
              </w:rPr>
              <w:t xml:space="preserve"> </w:t>
            </w:r>
          </w:p>
        </w:tc>
        <w:tc>
          <w:tcPr>
            <w:tcW w:w="1316" w:type="dxa"/>
          </w:tcPr>
          <w:p w14:paraId="6B9EB512" w14:textId="418F72AD" w:rsidR="004A7E44" w:rsidRPr="00867815" w:rsidRDefault="00237B49" w:rsidP="00C27EE1">
            <w:pPr>
              <w:tabs>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31 July 2022</w:t>
            </w:r>
          </w:p>
        </w:tc>
        <w:tc>
          <w:tcPr>
            <w:tcW w:w="1900" w:type="dxa"/>
            <w:vAlign w:val="center"/>
          </w:tcPr>
          <w:p w14:paraId="429557CB" w14:textId="136583FF" w:rsidR="00834F97" w:rsidRPr="00867815" w:rsidRDefault="00237B49" w:rsidP="00E174B1">
            <w:pPr>
              <w:tabs>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SSR/</w:t>
            </w:r>
            <w:proofErr w:type="spellStart"/>
            <w:r>
              <w:rPr>
                <w:rFonts w:ascii="Times New Roman" w:hAnsi="Times New Roman" w:cs="Times New Roman"/>
                <w:sz w:val="18"/>
                <w:szCs w:val="18"/>
              </w:rPr>
              <w:t>Ro</w:t>
            </w:r>
            <w:r w:rsidR="002D2882">
              <w:rPr>
                <w:rFonts w:ascii="Times New Roman" w:hAnsi="Times New Roman" w:cs="Times New Roman"/>
                <w:sz w:val="18"/>
                <w:szCs w:val="18"/>
              </w:rPr>
              <w:t>L</w:t>
            </w:r>
            <w:proofErr w:type="spellEnd"/>
            <w:r>
              <w:rPr>
                <w:rFonts w:ascii="Times New Roman" w:hAnsi="Times New Roman" w:cs="Times New Roman"/>
                <w:sz w:val="18"/>
                <w:szCs w:val="18"/>
              </w:rPr>
              <w:t xml:space="preserve"> Programme </w:t>
            </w:r>
          </w:p>
        </w:tc>
        <w:tc>
          <w:tcPr>
            <w:tcW w:w="1129" w:type="dxa"/>
          </w:tcPr>
          <w:p w14:paraId="7655E215" w14:textId="2DD3ECBC" w:rsidR="00834F97" w:rsidRPr="00867815" w:rsidRDefault="00237B49" w:rsidP="00D86A94">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N/A at this stage</w:t>
            </w:r>
          </w:p>
        </w:tc>
        <w:tc>
          <w:tcPr>
            <w:tcW w:w="2165" w:type="dxa"/>
          </w:tcPr>
          <w:p w14:paraId="57CF2994" w14:textId="010928E7" w:rsidR="00834F97" w:rsidRPr="00867815" w:rsidRDefault="00237B49" w:rsidP="00D86A94">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This action has not started.</w:t>
            </w:r>
          </w:p>
        </w:tc>
      </w:tr>
    </w:tbl>
    <w:p w14:paraId="4CAA0DB2" w14:textId="77777777" w:rsidR="00D86A94" w:rsidRPr="00867815" w:rsidRDefault="00D86A94" w:rsidP="00E61BD7">
      <w:pPr>
        <w:tabs>
          <w:tab w:val="left" w:pos="1080"/>
        </w:tabs>
        <w:spacing w:after="0" w:line="240" w:lineRule="auto"/>
        <w:jc w:val="both"/>
        <w:rPr>
          <w:rFonts w:ascii="Times New Roman" w:hAnsi="Times New Roman" w:cs="Times New Roman"/>
          <w:color w:val="185262"/>
          <w:sz w:val="18"/>
          <w:szCs w:val="18"/>
          <w:lang w:eastAsia="ja-JP"/>
        </w:rPr>
      </w:pPr>
    </w:p>
    <w:tbl>
      <w:tblPr>
        <w:tblpPr w:leftFromText="180" w:rightFromText="180" w:vertAnchor="text" w:tblpX="-730" w:tblpY="31"/>
        <w:tblW w:w="1062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643"/>
        <w:gridCol w:w="2748"/>
        <w:gridCol w:w="1137"/>
        <w:gridCol w:w="1203"/>
        <w:gridCol w:w="1894"/>
      </w:tblGrid>
      <w:tr w:rsidR="00834F97" w:rsidRPr="00867815" w14:paraId="09E8FB40" w14:textId="77777777" w:rsidTr="00D86A94">
        <w:tc>
          <w:tcPr>
            <w:tcW w:w="10625" w:type="dxa"/>
            <w:gridSpan w:val="5"/>
            <w:shd w:val="clear" w:color="auto" w:fill="EAF6F3"/>
          </w:tcPr>
          <w:p w14:paraId="42928444" w14:textId="0C8729CD" w:rsidR="00834F97" w:rsidRPr="001D41EA" w:rsidRDefault="00834F97" w:rsidP="00E567F3">
            <w:pPr>
              <w:spacing w:after="0" w:line="240" w:lineRule="auto"/>
              <w:jc w:val="both"/>
              <w:rPr>
                <w:rFonts w:ascii="Times New Roman" w:eastAsia="Calibri" w:hAnsi="Times New Roman" w:cs="Times New Roman"/>
                <w:color w:val="FF0000"/>
                <w:sz w:val="18"/>
                <w:szCs w:val="18"/>
                <w:lang w:eastAsia="sl-SI"/>
              </w:rPr>
            </w:pPr>
            <w:r w:rsidRPr="00867815">
              <w:rPr>
                <w:rFonts w:ascii="Times New Roman" w:hAnsi="Times New Roman" w:cs="Times New Roman"/>
                <w:b/>
                <w:color w:val="185262"/>
                <w:sz w:val="18"/>
                <w:szCs w:val="18"/>
              </w:rPr>
              <w:t>Evaluation recommendation 1</w:t>
            </w:r>
            <w:r w:rsidR="004A624C" w:rsidRPr="00867815">
              <w:rPr>
                <w:rFonts w:ascii="Times New Roman" w:hAnsi="Times New Roman" w:cs="Times New Roman"/>
                <w:b/>
                <w:color w:val="185262"/>
                <w:sz w:val="18"/>
                <w:szCs w:val="18"/>
              </w:rPr>
              <w:t>0</w:t>
            </w:r>
            <w:r w:rsidR="003C7EA1" w:rsidRPr="00867815">
              <w:rPr>
                <w:rFonts w:ascii="Times New Roman" w:hAnsi="Times New Roman" w:cs="Times New Roman"/>
                <w:b/>
                <w:color w:val="185262"/>
                <w:sz w:val="18"/>
                <w:szCs w:val="18"/>
              </w:rPr>
              <w:t>:</w:t>
            </w:r>
            <w:r w:rsidR="00057746">
              <w:rPr>
                <w:rFonts w:ascii="Times New Roman" w:hAnsi="Times New Roman" w:cs="Times New Roman"/>
                <w:b/>
                <w:color w:val="185262"/>
                <w:sz w:val="18"/>
                <w:szCs w:val="18"/>
              </w:rPr>
              <w:t xml:space="preserve"> </w:t>
            </w:r>
            <w:r w:rsidR="003C7EA1" w:rsidRPr="00867815">
              <w:rPr>
                <w:rFonts w:ascii="Times New Roman" w:hAnsi="Times New Roman" w:cs="Times New Roman"/>
                <w:b/>
                <w:sz w:val="18"/>
                <w:szCs w:val="18"/>
              </w:rPr>
              <w:t>Introduction of the UN Human Rights Due Diligence Policy</w:t>
            </w:r>
            <w:r w:rsidR="001D41EA">
              <w:rPr>
                <w:rFonts w:ascii="Times New Roman" w:hAnsi="Times New Roman" w:cs="Times New Roman"/>
                <w:b/>
                <w:sz w:val="18"/>
                <w:szCs w:val="18"/>
              </w:rPr>
              <w:t xml:space="preserve">: </w:t>
            </w:r>
            <w:bookmarkStart w:id="10" w:name="_Hlk88216197"/>
            <w:r w:rsidR="001D41EA" w:rsidRPr="4C56EC95">
              <w:rPr>
                <w:rFonts w:ascii="Times New Roman" w:eastAsia="Calibri" w:hAnsi="Times New Roman" w:cs="Times New Roman"/>
                <w:lang w:eastAsia="sl-SI"/>
              </w:rPr>
              <w:t xml:space="preserve"> </w:t>
            </w:r>
            <w:r w:rsidR="001D41EA" w:rsidRPr="009D3E8D">
              <w:rPr>
                <w:rFonts w:ascii="Times New Roman" w:eastAsia="Calibri" w:hAnsi="Times New Roman" w:cs="Times New Roman"/>
                <w:sz w:val="18"/>
                <w:szCs w:val="18"/>
                <w:lang w:eastAsia="sl-SI"/>
              </w:rPr>
              <w:t xml:space="preserve">UNDP should introduce and implement the UN Human Rights Due Diligence Policy, </w:t>
            </w:r>
            <w:bookmarkEnd w:id="10"/>
            <w:r w:rsidR="001D41EA" w:rsidRPr="009D3E8D">
              <w:rPr>
                <w:rFonts w:ascii="Times New Roman" w:eastAsia="Calibri" w:hAnsi="Times New Roman" w:cs="Times New Roman"/>
                <w:sz w:val="18"/>
                <w:szCs w:val="18"/>
                <w:lang w:eastAsia="sl-SI"/>
              </w:rPr>
              <w:t xml:space="preserve">which will also enable better addressing human rights.  In addition to this, the project should conduct an assessment on cross-cutting themes and how the project can adopt a gender, human rights, and anti-corruption lens. In line with this, the project should revise the project design, improve reporting on human rights and coherence as well as increase cooperation with other IPs and CSOs. </w:t>
            </w:r>
          </w:p>
        </w:tc>
      </w:tr>
      <w:tr w:rsidR="00834F97" w:rsidRPr="00867815" w14:paraId="4E4BD3D2" w14:textId="77777777" w:rsidTr="00D86A94">
        <w:tc>
          <w:tcPr>
            <w:tcW w:w="10625" w:type="dxa"/>
            <w:gridSpan w:val="5"/>
            <w:shd w:val="clear" w:color="auto" w:fill="EAF6F3"/>
          </w:tcPr>
          <w:p w14:paraId="2ABF2BD0" w14:textId="56CED2FE" w:rsidR="001D41EA" w:rsidRPr="009D3E8D" w:rsidRDefault="00834F97" w:rsidP="00E567F3">
            <w:pPr>
              <w:tabs>
                <w:tab w:val="left" w:pos="1080"/>
              </w:tabs>
              <w:spacing w:after="0" w:line="240" w:lineRule="auto"/>
              <w:jc w:val="both"/>
              <w:rPr>
                <w:rFonts w:asciiTheme="majorBidi" w:hAnsiTheme="majorBidi" w:cstheme="majorBidi"/>
                <w:sz w:val="18"/>
                <w:szCs w:val="18"/>
              </w:rPr>
            </w:pPr>
            <w:r w:rsidRPr="00867815">
              <w:rPr>
                <w:rFonts w:ascii="Times New Roman" w:hAnsi="Times New Roman" w:cs="Times New Roman"/>
                <w:b/>
                <w:color w:val="185262"/>
                <w:sz w:val="18"/>
                <w:szCs w:val="18"/>
              </w:rPr>
              <w:t>Management response:</w:t>
            </w:r>
            <w:r w:rsidR="00057746">
              <w:rPr>
                <w:rFonts w:ascii="Times New Roman" w:hAnsi="Times New Roman" w:cs="Times New Roman"/>
                <w:b/>
                <w:color w:val="185262"/>
                <w:sz w:val="18"/>
                <w:szCs w:val="18"/>
              </w:rPr>
              <w:t xml:space="preserve"> </w:t>
            </w:r>
            <w:r w:rsidR="001D41EA" w:rsidRPr="00CF4A97">
              <w:rPr>
                <w:rFonts w:asciiTheme="majorBidi" w:hAnsiTheme="majorBidi" w:cstheme="majorBidi"/>
                <w:color w:val="FF0000"/>
                <w:sz w:val="18"/>
                <w:szCs w:val="18"/>
              </w:rPr>
              <w:t xml:space="preserve"> </w:t>
            </w:r>
            <w:r w:rsidR="001D41EA" w:rsidRPr="009D3E8D">
              <w:rPr>
                <w:rFonts w:asciiTheme="majorBidi" w:hAnsiTheme="majorBidi" w:cstheme="majorBidi"/>
                <w:sz w:val="18"/>
                <w:szCs w:val="18"/>
              </w:rPr>
              <w:t>The recommendation is well received.</w:t>
            </w:r>
          </w:p>
          <w:p w14:paraId="49FB71DC" w14:textId="343610D1" w:rsidR="00DC7A8A" w:rsidRPr="0007378B" w:rsidRDefault="00A97327" w:rsidP="00E567F3">
            <w:pPr>
              <w:tabs>
                <w:tab w:val="left" w:pos="1080"/>
              </w:tabs>
              <w:spacing w:after="0" w:line="240" w:lineRule="auto"/>
              <w:jc w:val="both"/>
              <w:rPr>
                <w:sz w:val="18"/>
                <w:szCs w:val="18"/>
              </w:rPr>
            </w:pPr>
            <w:r w:rsidRPr="009D3E8D">
              <w:rPr>
                <w:rFonts w:ascii="Times New Roman" w:hAnsi="Times New Roman" w:cs="Times New Roman"/>
                <w:sz w:val="18"/>
                <w:szCs w:val="18"/>
              </w:rPr>
              <w:t>The UNCT in Iraq established the HRDDP working group in October 2021, and in complementarity with the HRDDP working group, going forward the</w:t>
            </w:r>
            <w:r w:rsidRPr="009D3E8D">
              <w:rPr>
                <w:rFonts w:ascii="Times New Roman" w:hAnsi="Times New Roman" w:cs="Times New Roman"/>
                <w:bCs/>
                <w:sz w:val="18"/>
                <w:szCs w:val="18"/>
              </w:rPr>
              <w:t xml:space="preserve"> ‘project’</w:t>
            </w:r>
            <w:r w:rsidR="00E83361" w:rsidRPr="009D3E8D">
              <w:rPr>
                <w:rFonts w:ascii="Times New Roman" w:hAnsi="Times New Roman" w:cs="Times New Roman"/>
                <w:bCs/>
                <w:sz w:val="18"/>
                <w:szCs w:val="18"/>
              </w:rPr>
              <w:t xml:space="preserve"> will comply with th</w:t>
            </w:r>
            <w:r w:rsidRPr="009D3E8D">
              <w:rPr>
                <w:rFonts w:ascii="Times New Roman" w:hAnsi="Times New Roman" w:cs="Times New Roman"/>
                <w:bCs/>
                <w:sz w:val="18"/>
                <w:szCs w:val="18"/>
              </w:rPr>
              <w:t>e</w:t>
            </w:r>
            <w:r w:rsidR="00E83361" w:rsidRPr="009D3E8D">
              <w:rPr>
                <w:rFonts w:ascii="Times New Roman" w:hAnsi="Times New Roman" w:cs="Times New Roman"/>
                <w:bCs/>
                <w:sz w:val="18"/>
                <w:szCs w:val="18"/>
              </w:rPr>
              <w:t xml:space="preserve"> minimum compliance requirements of the UN up</w:t>
            </w:r>
            <w:r w:rsidR="00E05491" w:rsidRPr="009D3E8D">
              <w:rPr>
                <w:rFonts w:ascii="Times New Roman" w:hAnsi="Times New Roman" w:cs="Times New Roman"/>
                <w:bCs/>
                <w:sz w:val="18"/>
                <w:szCs w:val="18"/>
              </w:rPr>
              <w:t>-</w:t>
            </w:r>
            <w:r w:rsidR="00E83361" w:rsidRPr="009D3E8D">
              <w:rPr>
                <w:rFonts w:ascii="Times New Roman" w:hAnsi="Times New Roman" w:cs="Times New Roman"/>
                <w:bCs/>
                <w:sz w:val="18"/>
                <w:szCs w:val="18"/>
              </w:rPr>
              <w:t xml:space="preserve">front approach instituted by the UN Secretary-General </w:t>
            </w:r>
            <w:r w:rsidRPr="009D3E8D">
              <w:rPr>
                <w:rFonts w:ascii="Times New Roman" w:hAnsi="Times New Roman" w:cs="Times New Roman"/>
                <w:bCs/>
                <w:sz w:val="18"/>
                <w:szCs w:val="18"/>
              </w:rPr>
              <w:t>and corresponding</w:t>
            </w:r>
            <w:r w:rsidR="00E83361" w:rsidRPr="009D3E8D">
              <w:rPr>
                <w:rFonts w:ascii="Times New Roman" w:hAnsi="Times New Roman" w:cs="Times New Roman"/>
                <w:bCs/>
                <w:sz w:val="18"/>
                <w:szCs w:val="18"/>
              </w:rPr>
              <w:t xml:space="preserve"> actions recommended by the HRDDP Guidance Note.</w:t>
            </w:r>
            <w:r w:rsidR="00E83361" w:rsidRPr="009D3E8D">
              <w:rPr>
                <w:rStyle w:val="FootnoteReference"/>
                <w:rFonts w:ascii="Times New Roman" w:hAnsi="Times New Roman" w:cs="Times New Roman"/>
                <w:bCs/>
                <w:sz w:val="18"/>
                <w:szCs w:val="18"/>
              </w:rPr>
              <w:footnoteReference w:id="3"/>
            </w:r>
            <w:r w:rsidR="0007378B" w:rsidRPr="009D3E8D">
              <w:rPr>
                <w:rFonts w:ascii="Times New Roman" w:hAnsi="Times New Roman" w:cs="Times New Roman"/>
                <w:bCs/>
                <w:sz w:val="18"/>
                <w:szCs w:val="18"/>
              </w:rPr>
              <w:t xml:space="preserve">. </w:t>
            </w:r>
          </w:p>
        </w:tc>
      </w:tr>
      <w:tr w:rsidR="00834F97" w:rsidRPr="00867815" w14:paraId="326DFAEF" w14:textId="77777777" w:rsidTr="00C4092D">
        <w:trPr>
          <w:trHeight w:val="135"/>
        </w:trPr>
        <w:tc>
          <w:tcPr>
            <w:tcW w:w="3643" w:type="dxa"/>
            <w:vMerge w:val="restart"/>
            <w:shd w:val="clear" w:color="auto" w:fill="EAF6F3"/>
            <w:vAlign w:val="center"/>
          </w:tcPr>
          <w:p w14:paraId="4E0A0365" w14:textId="77777777" w:rsidR="00834F97" w:rsidRPr="00867815" w:rsidRDefault="00834F97" w:rsidP="00E567F3">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action(s)</w:t>
            </w:r>
          </w:p>
        </w:tc>
        <w:tc>
          <w:tcPr>
            <w:tcW w:w="2748" w:type="dxa"/>
            <w:vMerge w:val="restart"/>
            <w:shd w:val="clear" w:color="auto" w:fill="EAF6F3"/>
            <w:vAlign w:val="center"/>
          </w:tcPr>
          <w:p w14:paraId="713106F1" w14:textId="77777777" w:rsidR="00834F97" w:rsidRPr="00867815" w:rsidRDefault="00834F97" w:rsidP="00E567F3">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137" w:type="dxa"/>
            <w:vMerge w:val="restart"/>
            <w:shd w:val="clear" w:color="auto" w:fill="EAF6F3"/>
            <w:vAlign w:val="center"/>
          </w:tcPr>
          <w:p w14:paraId="00E42FCF" w14:textId="77777777" w:rsidR="00834F97" w:rsidRPr="00867815" w:rsidRDefault="00834F97" w:rsidP="00E567F3">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097" w:type="dxa"/>
            <w:gridSpan w:val="2"/>
            <w:shd w:val="clear" w:color="auto" w:fill="EAF6F3"/>
          </w:tcPr>
          <w:p w14:paraId="4D0ACD2C" w14:textId="77777777" w:rsidR="00834F97" w:rsidRPr="00867815" w:rsidRDefault="00834F97" w:rsidP="00E567F3">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834F97" w:rsidRPr="00867815" w14:paraId="367C9FD1" w14:textId="77777777" w:rsidTr="00C4092D">
        <w:trPr>
          <w:trHeight w:val="135"/>
        </w:trPr>
        <w:tc>
          <w:tcPr>
            <w:tcW w:w="3643" w:type="dxa"/>
            <w:vMerge/>
            <w:shd w:val="clear" w:color="auto" w:fill="F3F3F3"/>
          </w:tcPr>
          <w:p w14:paraId="404081FC" w14:textId="77777777" w:rsidR="00834F97" w:rsidRPr="00867815" w:rsidRDefault="00834F97" w:rsidP="00E567F3">
            <w:pPr>
              <w:tabs>
                <w:tab w:val="left" w:pos="1080"/>
              </w:tabs>
              <w:spacing w:after="0" w:line="240" w:lineRule="auto"/>
              <w:jc w:val="both"/>
              <w:rPr>
                <w:rFonts w:ascii="Times New Roman" w:hAnsi="Times New Roman" w:cs="Times New Roman"/>
                <w:color w:val="185262"/>
                <w:sz w:val="18"/>
                <w:szCs w:val="18"/>
              </w:rPr>
            </w:pPr>
          </w:p>
        </w:tc>
        <w:tc>
          <w:tcPr>
            <w:tcW w:w="2748" w:type="dxa"/>
            <w:vMerge/>
            <w:shd w:val="clear" w:color="auto" w:fill="F3F3F3"/>
          </w:tcPr>
          <w:p w14:paraId="05C76E40" w14:textId="77777777" w:rsidR="00834F97" w:rsidRPr="00867815" w:rsidRDefault="00834F97" w:rsidP="00E567F3">
            <w:pPr>
              <w:tabs>
                <w:tab w:val="left" w:pos="1080"/>
              </w:tabs>
              <w:spacing w:after="0" w:line="240" w:lineRule="auto"/>
              <w:jc w:val="both"/>
              <w:rPr>
                <w:rFonts w:ascii="Times New Roman" w:hAnsi="Times New Roman" w:cs="Times New Roman"/>
                <w:b/>
                <w:color w:val="185262"/>
                <w:sz w:val="18"/>
                <w:szCs w:val="18"/>
              </w:rPr>
            </w:pPr>
          </w:p>
        </w:tc>
        <w:tc>
          <w:tcPr>
            <w:tcW w:w="1137" w:type="dxa"/>
            <w:vMerge/>
            <w:shd w:val="clear" w:color="auto" w:fill="F3F3F3"/>
          </w:tcPr>
          <w:p w14:paraId="4EDD4E96" w14:textId="77777777" w:rsidR="00834F97" w:rsidRPr="00867815" w:rsidRDefault="00834F97" w:rsidP="00E567F3">
            <w:pPr>
              <w:tabs>
                <w:tab w:val="left" w:pos="1080"/>
              </w:tabs>
              <w:spacing w:after="0" w:line="240" w:lineRule="auto"/>
              <w:jc w:val="both"/>
              <w:rPr>
                <w:rFonts w:ascii="Times New Roman" w:hAnsi="Times New Roman" w:cs="Times New Roman"/>
                <w:b/>
                <w:color w:val="185262"/>
                <w:sz w:val="18"/>
                <w:szCs w:val="18"/>
              </w:rPr>
            </w:pPr>
          </w:p>
        </w:tc>
        <w:tc>
          <w:tcPr>
            <w:tcW w:w="1203" w:type="dxa"/>
          </w:tcPr>
          <w:p w14:paraId="1B1CB952" w14:textId="77777777" w:rsidR="00834F97" w:rsidRPr="00867815" w:rsidRDefault="00834F97" w:rsidP="00E567F3">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1894" w:type="dxa"/>
          </w:tcPr>
          <w:p w14:paraId="37FE36B0" w14:textId="77777777" w:rsidR="00834F97" w:rsidRPr="00867815" w:rsidRDefault="00834F97" w:rsidP="00E567F3">
            <w:pPr>
              <w:tabs>
                <w:tab w:val="left" w:pos="1080"/>
              </w:tabs>
              <w:spacing w:after="0" w:line="240" w:lineRule="auto"/>
              <w:jc w:val="both"/>
              <w:rPr>
                <w:rFonts w:ascii="Times New Roman" w:eastAsiaTheme="majorEastAsia" w:hAnsi="Times New Roman" w:cs="Times New Roman"/>
                <w:b/>
                <w:color w:val="185262"/>
                <w:sz w:val="18"/>
                <w:szCs w:val="18"/>
              </w:rPr>
            </w:pPr>
            <w:r w:rsidRPr="00867815">
              <w:rPr>
                <w:rFonts w:ascii="Times New Roman" w:hAnsi="Times New Roman" w:cs="Times New Roman"/>
                <w:b/>
                <w:color w:val="185262"/>
                <w:sz w:val="18"/>
                <w:szCs w:val="18"/>
              </w:rPr>
              <w:t>Status</w:t>
            </w:r>
          </w:p>
          <w:p w14:paraId="2E84C4BF" w14:textId="6F37E8FE" w:rsidR="00834F97" w:rsidRPr="00867815" w:rsidRDefault="00F61F5A" w:rsidP="00E567F3">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Cs/>
                <w:i/>
                <w:iCs/>
                <w:color w:val="185262"/>
                <w:sz w:val="18"/>
                <w:szCs w:val="18"/>
              </w:rPr>
              <w:t>(</w:t>
            </w:r>
            <w:proofErr w:type="gramStart"/>
            <w:r w:rsidRPr="00867815">
              <w:rPr>
                <w:rFonts w:ascii="Times New Roman" w:hAnsi="Times New Roman" w:cs="Times New Roman"/>
                <w:bCs/>
                <w:i/>
                <w:iCs/>
                <w:color w:val="185262"/>
                <w:sz w:val="18"/>
                <w:szCs w:val="18"/>
              </w:rPr>
              <w:t>initiated</w:t>
            </w:r>
            <w:proofErr w:type="gramEnd"/>
            <w:r w:rsidRPr="00867815">
              <w:rPr>
                <w:rFonts w:ascii="Times New Roman" w:hAnsi="Times New Roman" w:cs="Times New Roman"/>
                <w:bCs/>
                <w:i/>
                <w:iCs/>
                <w:color w:val="185262"/>
                <w:sz w:val="18"/>
                <w:szCs w:val="18"/>
              </w:rPr>
              <w:t>, completed or no due date)</w:t>
            </w:r>
          </w:p>
        </w:tc>
      </w:tr>
      <w:tr w:rsidR="00F27DAA" w:rsidRPr="00867815" w14:paraId="33FE36E7" w14:textId="77777777" w:rsidTr="00C4092D">
        <w:tc>
          <w:tcPr>
            <w:tcW w:w="3643" w:type="dxa"/>
          </w:tcPr>
          <w:p w14:paraId="45A0E78E" w14:textId="7EBC9C7F" w:rsidR="00F27DAA" w:rsidRPr="00867815" w:rsidRDefault="00E174B1" w:rsidP="00E567F3">
            <w:pPr>
              <w:tabs>
                <w:tab w:val="left" w:pos="1080"/>
              </w:tabs>
              <w:spacing w:after="0" w:line="240" w:lineRule="auto"/>
              <w:jc w:val="both"/>
              <w:rPr>
                <w:rFonts w:ascii="Times New Roman" w:hAnsi="Times New Roman" w:cs="Times New Roman"/>
                <w:sz w:val="18"/>
                <w:szCs w:val="18"/>
              </w:rPr>
            </w:pPr>
            <w:r w:rsidRPr="00867815">
              <w:rPr>
                <w:rFonts w:ascii="Times New Roman" w:hAnsi="Times New Roman" w:cs="Times New Roman"/>
                <w:sz w:val="18"/>
                <w:szCs w:val="18"/>
              </w:rPr>
              <w:t>10.1</w:t>
            </w:r>
            <w:r w:rsidR="00467656" w:rsidRPr="00867815">
              <w:rPr>
                <w:rFonts w:ascii="Times New Roman" w:hAnsi="Times New Roman" w:cs="Times New Roman"/>
                <w:sz w:val="18"/>
                <w:szCs w:val="18"/>
              </w:rPr>
              <w:t>:</w:t>
            </w:r>
            <w:r w:rsidRPr="00867815">
              <w:rPr>
                <w:rFonts w:ascii="Times New Roman" w:hAnsi="Times New Roman" w:cs="Times New Roman"/>
                <w:sz w:val="18"/>
                <w:szCs w:val="18"/>
              </w:rPr>
              <w:t xml:space="preserve"> </w:t>
            </w:r>
            <w:r w:rsidR="00A97327">
              <w:rPr>
                <w:rFonts w:ascii="Times New Roman" w:hAnsi="Times New Roman" w:cs="Times New Roman"/>
                <w:sz w:val="18"/>
                <w:szCs w:val="18"/>
              </w:rPr>
              <w:t xml:space="preserve">The </w:t>
            </w:r>
            <w:r w:rsidR="00715378">
              <w:rPr>
                <w:rFonts w:ascii="Times New Roman" w:hAnsi="Times New Roman" w:cs="Times New Roman"/>
                <w:sz w:val="18"/>
                <w:szCs w:val="18"/>
              </w:rPr>
              <w:t>Project</w:t>
            </w:r>
            <w:r w:rsidR="00A23F20">
              <w:rPr>
                <w:rFonts w:ascii="Times New Roman" w:hAnsi="Times New Roman" w:cs="Times New Roman"/>
                <w:sz w:val="18"/>
                <w:szCs w:val="18"/>
              </w:rPr>
              <w:t xml:space="preserve"> </w:t>
            </w:r>
            <w:r w:rsidR="0017112A">
              <w:rPr>
                <w:rFonts w:ascii="Times New Roman" w:hAnsi="Times New Roman" w:cs="Times New Roman"/>
                <w:sz w:val="18"/>
                <w:szCs w:val="18"/>
              </w:rPr>
              <w:t xml:space="preserve">will </w:t>
            </w:r>
            <w:r w:rsidR="00A97327">
              <w:rPr>
                <w:rFonts w:ascii="Times New Roman" w:hAnsi="Times New Roman" w:cs="Times New Roman"/>
                <w:sz w:val="18"/>
                <w:szCs w:val="18"/>
              </w:rPr>
              <w:t xml:space="preserve">adapt the </w:t>
            </w:r>
            <w:r w:rsidR="00FD5A2F">
              <w:rPr>
                <w:rFonts w:ascii="Times New Roman" w:hAnsi="Times New Roman" w:cs="Times New Roman"/>
                <w:sz w:val="18"/>
                <w:szCs w:val="18"/>
              </w:rPr>
              <w:t>HRDDP guidance note and incorporate</w:t>
            </w:r>
            <w:r w:rsidR="00BC759C">
              <w:rPr>
                <w:rFonts w:ascii="Times New Roman" w:hAnsi="Times New Roman" w:cs="Times New Roman"/>
                <w:sz w:val="18"/>
                <w:szCs w:val="18"/>
              </w:rPr>
              <w:t>s</w:t>
            </w:r>
            <w:r w:rsidR="00FD5A2F">
              <w:rPr>
                <w:rFonts w:ascii="Times New Roman" w:hAnsi="Times New Roman" w:cs="Times New Roman"/>
                <w:sz w:val="18"/>
                <w:szCs w:val="18"/>
              </w:rPr>
              <w:t xml:space="preserve"> the HRDDP guidance note as an additional annex to the </w:t>
            </w:r>
            <w:r w:rsidR="00C66279">
              <w:rPr>
                <w:rFonts w:ascii="Times New Roman" w:hAnsi="Times New Roman" w:cs="Times New Roman"/>
                <w:sz w:val="18"/>
                <w:szCs w:val="18"/>
              </w:rPr>
              <w:t>P</w:t>
            </w:r>
            <w:r w:rsidR="00FD5A2F">
              <w:rPr>
                <w:rFonts w:ascii="Times New Roman" w:hAnsi="Times New Roman" w:cs="Times New Roman"/>
                <w:sz w:val="18"/>
                <w:szCs w:val="18"/>
              </w:rPr>
              <w:t xml:space="preserve">roject </w:t>
            </w:r>
            <w:r w:rsidR="00C66279">
              <w:rPr>
                <w:rFonts w:ascii="Times New Roman" w:hAnsi="Times New Roman" w:cs="Times New Roman"/>
                <w:sz w:val="18"/>
                <w:szCs w:val="18"/>
              </w:rPr>
              <w:t>D</w:t>
            </w:r>
            <w:r w:rsidR="00FD5A2F">
              <w:rPr>
                <w:rFonts w:ascii="Times New Roman" w:hAnsi="Times New Roman" w:cs="Times New Roman"/>
                <w:sz w:val="18"/>
                <w:szCs w:val="18"/>
              </w:rPr>
              <w:t>ocument.</w:t>
            </w:r>
          </w:p>
        </w:tc>
        <w:tc>
          <w:tcPr>
            <w:tcW w:w="2748" w:type="dxa"/>
          </w:tcPr>
          <w:p w14:paraId="48E014F7" w14:textId="24CCB4F1" w:rsidR="00F27DAA" w:rsidRPr="00867815" w:rsidRDefault="00FD5A2F" w:rsidP="00E567F3">
            <w:pPr>
              <w:tabs>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31 </w:t>
            </w:r>
            <w:r w:rsidR="00237B49">
              <w:rPr>
                <w:rFonts w:ascii="Times New Roman" w:hAnsi="Times New Roman" w:cs="Times New Roman"/>
                <w:sz w:val="18"/>
                <w:szCs w:val="18"/>
              </w:rPr>
              <w:t>June</w:t>
            </w:r>
            <w:r>
              <w:rPr>
                <w:rFonts w:ascii="Times New Roman" w:hAnsi="Times New Roman" w:cs="Times New Roman"/>
                <w:sz w:val="18"/>
                <w:szCs w:val="18"/>
              </w:rPr>
              <w:t xml:space="preserve"> </w:t>
            </w:r>
            <w:r w:rsidR="00E174B1" w:rsidRPr="00867815">
              <w:rPr>
                <w:rFonts w:ascii="Times New Roman" w:hAnsi="Times New Roman" w:cs="Times New Roman"/>
                <w:sz w:val="18"/>
                <w:szCs w:val="18"/>
              </w:rPr>
              <w:t>2022</w:t>
            </w:r>
          </w:p>
        </w:tc>
        <w:tc>
          <w:tcPr>
            <w:tcW w:w="1137" w:type="dxa"/>
            <w:vAlign w:val="center"/>
          </w:tcPr>
          <w:p w14:paraId="57913486" w14:textId="1FFB1D6A" w:rsidR="00F27DAA" w:rsidRPr="00867815" w:rsidRDefault="00FD5A2F" w:rsidP="00E567F3">
            <w:pPr>
              <w:tabs>
                <w:tab w:val="left" w:pos="1080"/>
              </w:tabs>
              <w:spacing w:after="0" w:line="240" w:lineRule="auto"/>
              <w:rPr>
                <w:rFonts w:ascii="Times New Roman" w:hAnsi="Times New Roman" w:cs="Times New Roman"/>
                <w:sz w:val="18"/>
                <w:szCs w:val="18"/>
              </w:rPr>
            </w:pPr>
            <w:r w:rsidRPr="009D3E8D">
              <w:rPr>
                <w:rFonts w:ascii="Times New Roman" w:hAnsi="Times New Roman" w:cs="Times New Roman"/>
                <w:sz w:val="18"/>
                <w:szCs w:val="18"/>
              </w:rPr>
              <w:t>SSR/</w:t>
            </w:r>
            <w:proofErr w:type="spellStart"/>
            <w:r w:rsidRPr="009D3E8D">
              <w:rPr>
                <w:rFonts w:ascii="Times New Roman" w:hAnsi="Times New Roman" w:cs="Times New Roman"/>
                <w:sz w:val="18"/>
                <w:szCs w:val="18"/>
              </w:rPr>
              <w:t>RoL</w:t>
            </w:r>
            <w:proofErr w:type="spellEnd"/>
            <w:r w:rsidRPr="009D3E8D">
              <w:rPr>
                <w:rFonts w:ascii="Times New Roman" w:hAnsi="Times New Roman" w:cs="Times New Roman"/>
                <w:sz w:val="18"/>
                <w:szCs w:val="18"/>
              </w:rPr>
              <w:t xml:space="preserve"> Programme</w:t>
            </w:r>
          </w:p>
        </w:tc>
        <w:tc>
          <w:tcPr>
            <w:tcW w:w="1203" w:type="dxa"/>
          </w:tcPr>
          <w:p w14:paraId="4F56A74D" w14:textId="77777777" w:rsidR="008C19A5" w:rsidRDefault="008C19A5" w:rsidP="00E567F3">
            <w:pPr>
              <w:tabs>
                <w:tab w:val="left" w:pos="1080"/>
              </w:tabs>
              <w:spacing w:after="0" w:line="240" w:lineRule="auto"/>
              <w:jc w:val="both"/>
              <w:rPr>
                <w:rFonts w:ascii="Times New Roman" w:hAnsi="Times New Roman" w:cs="Times New Roman"/>
                <w:color w:val="185262"/>
                <w:sz w:val="18"/>
                <w:szCs w:val="18"/>
              </w:rPr>
            </w:pPr>
          </w:p>
          <w:p w14:paraId="7898EEFD" w14:textId="75D0338D" w:rsidR="00F27DAA" w:rsidRPr="00867815" w:rsidRDefault="00237B49" w:rsidP="00E567F3">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 xml:space="preserve">N/A at this stage </w:t>
            </w:r>
          </w:p>
        </w:tc>
        <w:tc>
          <w:tcPr>
            <w:tcW w:w="1894" w:type="dxa"/>
          </w:tcPr>
          <w:p w14:paraId="6F6A0F18" w14:textId="77777777" w:rsidR="008C19A5" w:rsidRDefault="008C19A5" w:rsidP="00E567F3">
            <w:pPr>
              <w:tabs>
                <w:tab w:val="left" w:pos="1080"/>
              </w:tabs>
              <w:spacing w:after="0" w:line="240" w:lineRule="auto"/>
              <w:jc w:val="both"/>
              <w:rPr>
                <w:rFonts w:ascii="Times New Roman" w:hAnsi="Times New Roman" w:cs="Times New Roman"/>
                <w:color w:val="185262"/>
                <w:sz w:val="18"/>
                <w:szCs w:val="18"/>
              </w:rPr>
            </w:pPr>
          </w:p>
          <w:p w14:paraId="1E1558D9" w14:textId="4A5D1136" w:rsidR="00F27DAA" w:rsidRPr="00867815" w:rsidRDefault="00237B49" w:rsidP="00E567F3">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 xml:space="preserve">This action has </w:t>
            </w:r>
            <w:proofErr w:type="gramStart"/>
            <w:r>
              <w:rPr>
                <w:rFonts w:ascii="Times New Roman" w:hAnsi="Times New Roman" w:cs="Times New Roman"/>
                <w:color w:val="185262"/>
                <w:sz w:val="18"/>
                <w:szCs w:val="18"/>
              </w:rPr>
              <w:t>not  started</w:t>
            </w:r>
            <w:proofErr w:type="gramEnd"/>
            <w:r>
              <w:rPr>
                <w:rFonts w:ascii="Times New Roman" w:hAnsi="Times New Roman" w:cs="Times New Roman"/>
                <w:color w:val="185262"/>
                <w:sz w:val="18"/>
                <w:szCs w:val="18"/>
              </w:rPr>
              <w:t>.</w:t>
            </w:r>
          </w:p>
        </w:tc>
      </w:tr>
      <w:tr w:rsidR="00F870AE" w:rsidRPr="001D41EA" w14:paraId="77D36EAD" w14:textId="77777777" w:rsidTr="006E7065">
        <w:tc>
          <w:tcPr>
            <w:tcW w:w="10625" w:type="dxa"/>
            <w:gridSpan w:val="5"/>
            <w:shd w:val="clear" w:color="auto" w:fill="EAF6F3"/>
          </w:tcPr>
          <w:p w14:paraId="0E80A1FF" w14:textId="0743D7F4" w:rsidR="00F870AE" w:rsidRPr="00F870AE" w:rsidRDefault="00F870AE" w:rsidP="00F74F6B">
            <w:pPr>
              <w:spacing w:after="0" w:line="240" w:lineRule="auto"/>
              <w:jc w:val="both"/>
              <w:rPr>
                <w:rFonts w:ascii="Times New Roman" w:eastAsia="Calibri" w:hAnsi="Times New Roman" w:cs="Times New Roman"/>
                <w:sz w:val="18"/>
                <w:szCs w:val="18"/>
              </w:rPr>
            </w:pPr>
            <w:r w:rsidRPr="00867815">
              <w:rPr>
                <w:rFonts w:ascii="Times New Roman" w:hAnsi="Times New Roman" w:cs="Times New Roman"/>
                <w:b/>
                <w:color w:val="185262"/>
                <w:sz w:val="18"/>
                <w:szCs w:val="18"/>
              </w:rPr>
              <w:t>Evaluation recommendation 1</w:t>
            </w:r>
            <w:r>
              <w:rPr>
                <w:rFonts w:ascii="Times New Roman" w:hAnsi="Times New Roman" w:cs="Times New Roman"/>
                <w:b/>
                <w:color w:val="185262"/>
                <w:sz w:val="18"/>
                <w:szCs w:val="18"/>
              </w:rPr>
              <w:t>1</w:t>
            </w:r>
            <w:r w:rsidRPr="00867815">
              <w:rPr>
                <w:rFonts w:ascii="Times New Roman" w:hAnsi="Times New Roman" w:cs="Times New Roman"/>
                <w:b/>
                <w:color w:val="185262"/>
                <w:sz w:val="18"/>
                <w:szCs w:val="18"/>
              </w:rPr>
              <w:t>:</w:t>
            </w:r>
            <w:r w:rsidRPr="4C56EC95">
              <w:rPr>
                <w:rFonts w:ascii="Times New Roman" w:eastAsia="Times New Roman" w:hAnsi="Times New Roman" w:cs="Times New Roman"/>
                <w:b/>
                <w:bCs/>
                <w:lang w:eastAsia="sl-SI"/>
              </w:rPr>
              <w:t xml:space="preserve"> </w:t>
            </w:r>
            <w:r w:rsidRPr="009D3E8D">
              <w:rPr>
                <w:rFonts w:ascii="Times New Roman" w:eastAsia="Times New Roman" w:hAnsi="Times New Roman" w:cs="Times New Roman"/>
                <w:sz w:val="18"/>
                <w:szCs w:val="18"/>
                <w:lang w:eastAsia="sl-SI"/>
              </w:rPr>
              <w:t>Increase project’s capacities and enhance project’s delivery on human rights</w:t>
            </w:r>
            <w:r w:rsidRPr="009D3E8D">
              <w:rPr>
                <w:rFonts w:ascii="Times New Roman" w:hAnsi="Times New Roman" w:cs="Times New Roman"/>
                <w:sz w:val="18"/>
                <w:szCs w:val="18"/>
              </w:rPr>
              <w:t>:</w:t>
            </w:r>
            <w:r w:rsidRPr="009D3E8D">
              <w:rPr>
                <w:rFonts w:ascii="Times New Roman" w:hAnsi="Times New Roman" w:cs="Times New Roman"/>
                <w:b/>
                <w:sz w:val="18"/>
                <w:szCs w:val="18"/>
              </w:rPr>
              <w:t xml:space="preserve"> </w:t>
            </w:r>
            <w:r w:rsidRPr="009D3E8D">
              <w:rPr>
                <w:rFonts w:ascii="Times New Roman" w:eastAsia="Calibri" w:hAnsi="Times New Roman" w:cs="Times New Roman"/>
                <w:lang w:eastAsia="sl-SI"/>
              </w:rPr>
              <w:t xml:space="preserve"> </w:t>
            </w:r>
            <w:bookmarkStart w:id="11" w:name="_Hlk88216212"/>
            <w:r w:rsidRPr="009D3E8D">
              <w:rPr>
                <w:rFonts w:ascii="Times New Roman" w:eastAsia="Calibri" w:hAnsi="Times New Roman" w:cs="Times New Roman"/>
              </w:rPr>
              <w:t xml:space="preserve"> </w:t>
            </w:r>
            <w:r w:rsidRPr="009D3E8D">
              <w:rPr>
                <w:rFonts w:ascii="Times New Roman" w:eastAsia="Calibri" w:hAnsi="Times New Roman" w:cs="Times New Roman"/>
                <w:sz w:val="18"/>
                <w:szCs w:val="18"/>
              </w:rPr>
              <w:t xml:space="preserve">The project should better respond to human rights issues, both in the project’s design and delivery. </w:t>
            </w:r>
            <w:bookmarkEnd w:id="11"/>
            <w:r w:rsidRPr="009D3E8D">
              <w:rPr>
                <w:rFonts w:ascii="Times New Roman" w:eastAsia="Calibri" w:hAnsi="Times New Roman" w:cs="Times New Roman"/>
                <w:sz w:val="18"/>
                <w:szCs w:val="18"/>
              </w:rPr>
              <w:t>UNDP should further explore how human rights could be jointly addressed with other partners (e.g., OHCHR, EUAM), the judiciary (e.g., Bar Association, Judicial Training Institutions) and non-governmental organisations. More specifically, some of the areas that could be supported and strengthened seem to be the internal control and oversight mechanisms, cooperation between police and prosecution on detection and prosecution of criminal offences related to violation of human rights (</w:t>
            </w:r>
            <w:proofErr w:type="gramStart"/>
            <w:r w:rsidRPr="009D3E8D">
              <w:rPr>
                <w:rFonts w:ascii="Times New Roman" w:eastAsia="Calibri" w:hAnsi="Times New Roman" w:cs="Times New Roman"/>
                <w:sz w:val="18"/>
                <w:szCs w:val="18"/>
              </w:rPr>
              <w:t>e.g.</w:t>
            </w:r>
            <w:proofErr w:type="gramEnd"/>
            <w:r w:rsidRPr="009D3E8D">
              <w:rPr>
                <w:rFonts w:ascii="Times New Roman" w:eastAsia="Calibri" w:hAnsi="Times New Roman" w:cs="Times New Roman"/>
                <w:sz w:val="18"/>
                <w:szCs w:val="18"/>
              </w:rPr>
              <w:t xml:space="preserve"> elaboration of Memorandums of Understanding, SOPs, capacity building), elaboration of internal oversight procedures, etc. However, a more thorough definition of support in terms of human rights should be further explored by a gap and needs analysis that could serve as a basis for the development of a specific strand of work and elaboration of specific project activities, </w:t>
            </w:r>
            <w:r w:rsidR="00930BE5" w:rsidRPr="009D3E8D">
              <w:rPr>
                <w:rFonts w:ascii="Times New Roman" w:eastAsia="Calibri" w:hAnsi="Times New Roman" w:cs="Times New Roman"/>
                <w:sz w:val="18"/>
                <w:szCs w:val="18"/>
              </w:rPr>
              <w:t>indicators,</w:t>
            </w:r>
            <w:r w:rsidRPr="009D3E8D">
              <w:rPr>
                <w:rFonts w:ascii="Times New Roman" w:eastAsia="Calibri" w:hAnsi="Times New Roman" w:cs="Times New Roman"/>
                <w:sz w:val="18"/>
                <w:szCs w:val="18"/>
              </w:rPr>
              <w:t xml:space="preserve"> and outputs regarding human rights. In line with this, the project should include activities and achievements on human rights issues in the project progress report. If necessary, the project should increase internal capacities to better address human rights. </w:t>
            </w:r>
          </w:p>
        </w:tc>
      </w:tr>
      <w:tr w:rsidR="00F870AE" w:rsidRPr="0007378B" w14:paraId="38438AAF" w14:textId="77777777" w:rsidTr="006E7065">
        <w:tc>
          <w:tcPr>
            <w:tcW w:w="10625" w:type="dxa"/>
            <w:gridSpan w:val="5"/>
            <w:shd w:val="clear" w:color="auto" w:fill="EAF6F3"/>
          </w:tcPr>
          <w:p w14:paraId="173D53F5" w14:textId="77777777" w:rsidR="009D3E8D" w:rsidRPr="009D3E8D" w:rsidRDefault="00F870AE" w:rsidP="00F74F6B">
            <w:pPr>
              <w:tabs>
                <w:tab w:val="left" w:pos="1080"/>
              </w:tabs>
              <w:spacing w:after="0" w:line="240" w:lineRule="auto"/>
              <w:jc w:val="both"/>
              <w:rPr>
                <w:rFonts w:asciiTheme="majorBidi" w:hAnsiTheme="majorBidi" w:cstheme="majorBidi"/>
                <w:sz w:val="18"/>
                <w:szCs w:val="18"/>
              </w:rPr>
            </w:pPr>
            <w:r w:rsidRPr="00867815">
              <w:rPr>
                <w:rFonts w:ascii="Times New Roman" w:hAnsi="Times New Roman" w:cs="Times New Roman"/>
                <w:b/>
                <w:color w:val="185262"/>
                <w:sz w:val="18"/>
                <w:szCs w:val="18"/>
              </w:rPr>
              <w:t>Management response:</w:t>
            </w:r>
            <w:r>
              <w:rPr>
                <w:rFonts w:ascii="Times New Roman" w:hAnsi="Times New Roman" w:cs="Times New Roman"/>
                <w:b/>
                <w:color w:val="185262"/>
                <w:sz w:val="18"/>
                <w:szCs w:val="18"/>
              </w:rPr>
              <w:t xml:space="preserve"> </w:t>
            </w:r>
            <w:r w:rsidRPr="00CF4A97">
              <w:rPr>
                <w:rFonts w:asciiTheme="majorBidi" w:hAnsiTheme="majorBidi" w:cstheme="majorBidi"/>
                <w:color w:val="FF0000"/>
                <w:sz w:val="18"/>
                <w:szCs w:val="18"/>
              </w:rPr>
              <w:t xml:space="preserve"> </w:t>
            </w:r>
            <w:r w:rsidRPr="009D3E8D">
              <w:rPr>
                <w:rFonts w:asciiTheme="majorBidi" w:hAnsiTheme="majorBidi" w:cstheme="majorBidi"/>
                <w:sz w:val="18"/>
                <w:szCs w:val="18"/>
              </w:rPr>
              <w:t>The recommendation is well received.</w:t>
            </w:r>
          </w:p>
          <w:p w14:paraId="7BE26B83" w14:textId="5C463E51" w:rsidR="00F870AE" w:rsidRPr="009D3E8D" w:rsidRDefault="00F870AE" w:rsidP="00F74F6B">
            <w:pPr>
              <w:tabs>
                <w:tab w:val="left" w:pos="1080"/>
              </w:tabs>
              <w:spacing w:after="0" w:line="240" w:lineRule="auto"/>
              <w:jc w:val="both"/>
              <w:rPr>
                <w:rFonts w:asciiTheme="majorBidi" w:hAnsiTheme="majorBidi" w:cstheme="majorBidi"/>
                <w:color w:val="FF0000"/>
                <w:sz w:val="18"/>
                <w:szCs w:val="18"/>
              </w:rPr>
            </w:pPr>
            <w:r w:rsidRPr="009D3E8D">
              <w:rPr>
                <w:rFonts w:asciiTheme="majorBidi" w:hAnsiTheme="majorBidi" w:cstheme="majorBidi"/>
                <w:sz w:val="18"/>
                <w:szCs w:val="18"/>
              </w:rPr>
              <w:t xml:space="preserve">Clarifications under recommendation 4 relevant to human rights aspects therein already address this recommendation. </w:t>
            </w:r>
            <w:r w:rsidR="00930BE5" w:rsidRPr="009D3E8D">
              <w:rPr>
                <w:rFonts w:asciiTheme="majorBidi" w:hAnsiTheme="majorBidi" w:cstheme="majorBidi"/>
                <w:sz w:val="18"/>
                <w:szCs w:val="18"/>
              </w:rPr>
              <w:t>Therefore,</w:t>
            </w:r>
            <w:r w:rsidR="00454B7D" w:rsidRPr="009D3E8D">
              <w:rPr>
                <w:rFonts w:asciiTheme="majorBidi" w:hAnsiTheme="majorBidi" w:cstheme="majorBidi"/>
                <w:sz w:val="18"/>
                <w:szCs w:val="18"/>
              </w:rPr>
              <w:t xml:space="preserve"> no</w:t>
            </w:r>
            <w:r w:rsidRPr="009D3E8D">
              <w:rPr>
                <w:rFonts w:asciiTheme="majorBidi" w:hAnsiTheme="majorBidi" w:cstheme="majorBidi"/>
                <w:sz w:val="18"/>
                <w:szCs w:val="18"/>
              </w:rPr>
              <w:t xml:space="preserve"> further action </w:t>
            </w:r>
            <w:r w:rsidR="00A23F20">
              <w:rPr>
                <w:rFonts w:ascii="Times New Roman" w:hAnsi="Times New Roman" w:cs="Times New Roman"/>
                <w:bCs/>
                <w:sz w:val="18"/>
                <w:szCs w:val="18"/>
              </w:rPr>
              <w:t>is proposed</w:t>
            </w:r>
            <w:r w:rsidR="00A23F20" w:rsidRPr="009D3E8D">
              <w:rPr>
                <w:rFonts w:ascii="Times New Roman" w:hAnsi="Times New Roman" w:cs="Times New Roman"/>
                <w:bCs/>
                <w:sz w:val="18"/>
                <w:szCs w:val="18"/>
              </w:rPr>
              <w:t xml:space="preserve"> </w:t>
            </w:r>
            <w:r w:rsidR="00454B7D" w:rsidRPr="009D3E8D">
              <w:rPr>
                <w:rFonts w:ascii="Times New Roman" w:hAnsi="Times New Roman" w:cs="Times New Roman"/>
                <w:bCs/>
                <w:sz w:val="18"/>
                <w:szCs w:val="18"/>
              </w:rPr>
              <w:t>under this recommendation.</w:t>
            </w:r>
          </w:p>
        </w:tc>
      </w:tr>
    </w:tbl>
    <w:p w14:paraId="6D198BCA" w14:textId="0AA6B01B" w:rsidR="76CF036D" w:rsidRDefault="76CF036D"/>
    <w:tbl>
      <w:tblPr>
        <w:tblpPr w:leftFromText="180" w:rightFromText="180" w:vertAnchor="text" w:tblpX="-725" w:tblpY="31"/>
        <w:tblW w:w="10620"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110"/>
        <w:gridCol w:w="1316"/>
        <w:gridCol w:w="1900"/>
        <w:gridCol w:w="1129"/>
        <w:gridCol w:w="2165"/>
      </w:tblGrid>
      <w:tr w:rsidR="009825C1" w:rsidRPr="00867815" w14:paraId="555690EE" w14:textId="77777777" w:rsidTr="00184E90">
        <w:trPr>
          <w:trHeight w:val="135"/>
        </w:trPr>
        <w:tc>
          <w:tcPr>
            <w:tcW w:w="4110" w:type="dxa"/>
            <w:vMerge w:val="restart"/>
            <w:shd w:val="clear" w:color="auto" w:fill="EAF6F3"/>
            <w:vAlign w:val="center"/>
          </w:tcPr>
          <w:p w14:paraId="2BC9F900" w14:textId="77777777" w:rsidR="009825C1" w:rsidRPr="00867815" w:rsidRDefault="009825C1" w:rsidP="00184E90">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Key action(s)</w:t>
            </w:r>
          </w:p>
        </w:tc>
        <w:tc>
          <w:tcPr>
            <w:tcW w:w="1316" w:type="dxa"/>
            <w:vMerge w:val="restart"/>
            <w:shd w:val="clear" w:color="auto" w:fill="EAF6F3"/>
            <w:vAlign w:val="center"/>
          </w:tcPr>
          <w:p w14:paraId="7E623E5A" w14:textId="77777777" w:rsidR="009825C1" w:rsidRPr="00867815" w:rsidRDefault="009825C1" w:rsidP="00184E90">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Completion date</w:t>
            </w:r>
          </w:p>
        </w:tc>
        <w:tc>
          <w:tcPr>
            <w:tcW w:w="1900" w:type="dxa"/>
            <w:vMerge w:val="restart"/>
            <w:shd w:val="clear" w:color="auto" w:fill="EAF6F3"/>
            <w:vAlign w:val="center"/>
          </w:tcPr>
          <w:p w14:paraId="19FEFC3B" w14:textId="77777777" w:rsidR="009825C1" w:rsidRPr="00867815" w:rsidRDefault="009825C1" w:rsidP="00184E90">
            <w:pPr>
              <w:tabs>
                <w:tab w:val="left" w:pos="1080"/>
              </w:tabs>
              <w:spacing w:after="0" w:line="240" w:lineRule="auto"/>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Responsible unit(s)</w:t>
            </w:r>
          </w:p>
        </w:tc>
        <w:tc>
          <w:tcPr>
            <w:tcW w:w="3294" w:type="dxa"/>
            <w:gridSpan w:val="2"/>
            <w:shd w:val="clear" w:color="auto" w:fill="EAF6F3"/>
          </w:tcPr>
          <w:p w14:paraId="661F2EE2" w14:textId="77777777" w:rsidR="009825C1" w:rsidRPr="00867815" w:rsidRDefault="009825C1" w:rsidP="00184E90">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Tracking*</w:t>
            </w:r>
          </w:p>
        </w:tc>
      </w:tr>
      <w:tr w:rsidR="009825C1" w:rsidRPr="0007378B" w14:paraId="6BACDCBA" w14:textId="77777777" w:rsidTr="00184E90">
        <w:trPr>
          <w:trHeight w:val="135"/>
        </w:trPr>
        <w:tc>
          <w:tcPr>
            <w:tcW w:w="4110" w:type="dxa"/>
            <w:vMerge/>
          </w:tcPr>
          <w:p w14:paraId="7502EBD3" w14:textId="77777777" w:rsidR="009825C1" w:rsidRPr="00867815" w:rsidRDefault="009825C1" w:rsidP="00184E90">
            <w:pPr>
              <w:tabs>
                <w:tab w:val="left" w:pos="1080"/>
              </w:tabs>
              <w:spacing w:after="0" w:line="240" w:lineRule="auto"/>
              <w:jc w:val="both"/>
              <w:rPr>
                <w:rFonts w:ascii="Times New Roman" w:hAnsi="Times New Roman" w:cs="Times New Roman"/>
                <w:color w:val="185262"/>
                <w:sz w:val="18"/>
                <w:szCs w:val="18"/>
              </w:rPr>
            </w:pPr>
          </w:p>
        </w:tc>
        <w:tc>
          <w:tcPr>
            <w:tcW w:w="1316" w:type="dxa"/>
            <w:vMerge/>
          </w:tcPr>
          <w:p w14:paraId="0C1DF70A" w14:textId="77777777" w:rsidR="009825C1" w:rsidRPr="00867815" w:rsidRDefault="009825C1" w:rsidP="00184E90">
            <w:pPr>
              <w:tabs>
                <w:tab w:val="left" w:pos="1080"/>
              </w:tabs>
              <w:spacing w:after="0" w:line="240" w:lineRule="auto"/>
              <w:jc w:val="both"/>
              <w:rPr>
                <w:rFonts w:ascii="Times New Roman" w:hAnsi="Times New Roman" w:cs="Times New Roman"/>
                <w:b/>
                <w:color w:val="185262"/>
                <w:sz w:val="18"/>
                <w:szCs w:val="18"/>
              </w:rPr>
            </w:pPr>
          </w:p>
        </w:tc>
        <w:tc>
          <w:tcPr>
            <w:tcW w:w="1900" w:type="dxa"/>
            <w:vMerge/>
          </w:tcPr>
          <w:p w14:paraId="749AF7FF" w14:textId="77777777" w:rsidR="009825C1" w:rsidRPr="00867815" w:rsidRDefault="009825C1" w:rsidP="00184E90">
            <w:pPr>
              <w:tabs>
                <w:tab w:val="left" w:pos="1080"/>
              </w:tabs>
              <w:spacing w:after="0" w:line="240" w:lineRule="auto"/>
              <w:jc w:val="both"/>
              <w:rPr>
                <w:rFonts w:ascii="Times New Roman" w:hAnsi="Times New Roman" w:cs="Times New Roman"/>
                <w:b/>
                <w:color w:val="185262"/>
                <w:sz w:val="18"/>
                <w:szCs w:val="18"/>
              </w:rPr>
            </w:pPr>
          </w:p>
        </w:tc>
        <w:tc>
          <w:tcPr>
            <w:tcW w:w="1129" w:type="dxa"/>
          </w:tcPr>
          <w:p w14:paraId="7828E8C5" w14:textId="77777777" w:rsidR="009825C1" w:rsidRPr="00867815" w:rsidRDefault="009825C1" w:rsidP="00184E90">
            <w:pPr>
              <w:tabs>
                <w:tab w:val="left" w:pos="1080"/>
              </w:tabs>
              <w:spacing w:after="0" w:line="240" w:lineRule="auto"/>
              <w:jc w:val="both"/>
              <w:rPr>
                <w:rFonts w:ascii="Times New Roman" w:hAnsi="Times New Roman" w:cs="Times New Roman"/>
                <w:b/>
                <w:color w:val="185262"/>
                <w:sz w:val="18"/>
                <w:szCs w:val="18"/>
              </w:rPr>
            </w:pPr>
            <w:r w:rsidRPr="00867815">
              <w:rPr>
                <w:rFonts w:ascii="Times New Roman" w:hAnsi="Times New Roman" w:cs="Times New Roman"/>
                <w:b/>
                <w:color w:val="185262"/>
                <w:sz w:val="18"/>
                <w:szCs w:val="18"/>
              </w:rPr>
              <w:t>Comments</w:t>
            </w:r>
          </w:p>
        </w:tc>
        <w:tc>
          <w:tcPr>
            <w:tcW w:w="2165" w:type="dxa"/>
          </w:tcPr>
          <w:p w14:paraId="5476C693" w14:textId="77777777" w:rsidR="009825C1" w:rsidRPr="0007378B" w:rsidRDefault="009825C1" w:rsidP="00184E90">
            <w:pPr>
              <w:tabs>
                <w:tab w:val="left" w:pos="1080"/>
              </w:tabs>
              <w:spacing w:after="0" w:line="240" w:lineRule="auto"/>
              <w:jc w:val="both"/>
              <w:rPr>
                <w:rFonts w:ascii="Times New Roman" w:eastAsiaTheme="majorEastAsia" w:hAnsi="Times New Roman" w:cs="Times New Roman"/>
                <w:b/>
                <w:color w:val="185262"/>
                <w:sz w:val="18"/>
                <w:szCs w:val="18"/>
              </w:rPr>
            </w:pPr>
            <w:r w:rsidRPr="00867815">
              <w:rPr>
                <w:rFonts w:ascii="Times New Roman" w:hAnsi="Times New Roman" w:cs="Times New Roman"/>
                <w:b/>
                <w:color w:val="185262"/>
                <w:sz w:val="18"/>
                <w:szCs w:val="18"/>
              </w:rPr>
              <w:t>Status</w:t>
            </w:r>
            <w:r>
              <w:rPr>
                <w:rFonts w:ascii="Times New Roman" w:hAnsi="Times New Roman" w:cs="Times New Roman"/>
                <w:b/>
                <w:color w:val="185262"/>
                <w:sz w:val="18"/>
                <w:szCs w:val="18"/>
              </w:rPr>
              <w:t xml:space="preserve"> </w:t>
            </w:r>
            <w:r w:rsidRPr="00867815">
              <w:rPr>
                <w:rFonts w:ascii="Times New Roman" w:hAnsi="Times New Roman" w:cs="Times New Roman"/>
                <w:bCs/>
                <w:i/>
                <w:iCs/>
                <w:color w:val="185262"/>
                <w:sz w:val="18"/>
                <w:szCs w:val="18"/>
              </w:rPr>
              <w:t>(initiated, completed or no due date)</w:t>
            </w:r>
          </w:p>
        </w:tc>
      </w:tr>
      <w:tr w:rsidR="009825C1" w:rsidRPr="00867815" w14:paraId="43274FC9" w14:textId="77777777" w:rsidTr="00184E90">
        <w:tc>
          <w:tcPr>
            <w:tcW w:w="4110" w:type="dxa"/>
          </w:tcPr>
          <w:p w14:paraId="619CB7EA" w14:textId="0C34184D" w:rsidR="009825C1" w:rsidRPr="00867815" w:rsidRDefault="009825C1" w:rsidP="00184E90">
            <w:pPr>
              <w:tabs>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NA</w:t>
            </w:r>
          </w:p>
        </w:tc>
        <w:tc>
          <w:tcPr>
            <w:tcW w:w="1316" w:type="dxa"/>
          </w:tcPr>
          <w:p w14:paraId="54487F06" w14:textId="0133F073" w:rsidR="009825C1" w:rsidRPr="00867815" w:rsidRDefault="009825C1" w:rsidP="00184E90">
            <w:pPr>
              <w:tabs>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NA</w:t>
            </w:r>
          </w:p>
        </w:tc>
        <w:tc>
          <w:tcPr>
            <w:tcW w:w="1900" w:type="dxa"/>
            <w:vAlign w:val="center"/>
          </w:tcPr>
          <w:p w14:paraId="7C3DDC0C" w14:textId="40C98DE4" w:rsidR="009825C1" w:rsidRPr="00867815" w:rsidRDefault="009825C1" w:rsidP="00184E90">
            <w:pPr>
              <w:tabs>
                <w:tab w:val="left" w:pos="1080"/>
              </w:tabs>
              <w:spacing w:after="0" w:line="240" w:lineRule="auto"/>
              <w:rPr>
                <w:rFonts w:ascii="Times New Roman" w:hAnsi="Times New Roman" w:cs="Times New Roman"/>
                <w:sz w:val="18"/>
                <w:szCs w:val="18"/>
              </w:rPr>
            </w:pPr>
            <w:r>
              <w:rPr>
                <w:rFonts w:ascii="Times New Roman" w:hAnsi="Times New Roman" w:cs="Times New Roman"/>
                <w:sz w:val="18"/>
                <w:szCs w:val="18"/>
              </w:rPr>
              <w:t>NA</w:t>
            </w:r>
          </w:p>
        </w:tc>
        <w:tc>
          <w:tcPr>
            <w:tcW w:w="1129" w:type="dxa"/>
          </w:tcPr>
          <w:p w14:paraId="6C2FB483" w14:textId="521212FA" w:rsidR="009825C1" w:rsidRPr="00867815" w:rsidRDefault="009825C1" w:rsidP="00184E90">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NA</w:t>
            </w:r>
          </w:p>
        </w:tc>
        <w:tc>
          <w:tcPr>
            <w:tcW w:w="2165" w:type="dxa"/>
          </w:tcPr>
          <w:p w14:paraId="7D2D050A" w14:textId="2A377206" w:rsidR="009825C1" w:rsidRPr="00867815" w:rsidRDefault="009825C1" w:rsidP="00184E90">
            <w:pPr>
              <w:tabs>
                <w:tab w:val="left" w:pos="1080"/>
              </w:tabs>
              <w:spacing w:after="0" w:line="240" w:lineRule="auto"/>
              <w:jc w:val="both"/>
              <w:rPr>
                <w:rFonts w:ascii="Times New Roman" w:hAnsi="Times New Roman" w:cs="Times New Roman"/>
                <w:color w:val="185262"/>
                <w:sz w:val="18"/>
                <w:szCs w:val="18"/>
              </w:rPr>
            </w:pPr>
            <w:r>
              <w:rPr>
                <w:rFonts w:ascii="Times New Roman" w:hAnsi="Times New Roman" w:cs="Times New Roman"/>
                <w:color w:val="185262"/>
                <w:sz w:val="18"/>
                <w:szCs w:val="18"/>
              </w:rPr>
              <w:t>NA</w:t>
            </w:r>
          </w:p>
        </w:tc>
      </w:tr>
    </w:tbl>
    <w:p w14:paraId="37BEBF9F" w14:textId="77777777" w:rsidR="009825C1" w:rsidRDefault="009825C1"/>
    <w:p w14:paraId="3EBF19E1" w14:textId="2DC2225B" w:rsidR="76CF036D" w:rsidRDefault="76CF036D"/>
    <w:p w14:paraId="3A35C0B9" w14:textId="4518C461" w:rsidR="76CF036D" w:rsidRDefault="76CF036D"/>
    <w:p w14:paraId="3D335A5E" w14:textId="5D4F6DFD" w:rsidR="00F870AE" w:rsidRDefault="00F870AE" w:rsidP="003C7EA1">
      <w:pPr>
        <w:tabs>
          <w:tab w:val="left" w:pos="1080"/>
        </w:tabs>
        <w:spacing w:after="0" w:line="240" w:lineRule="auto"/>
        <w:jc w:val="both"/>
        <w:rPr>
          <w:rFonts w:ascii="Times New Roman" w:hAnsi="Times New Roman" w:cs="Times New Roman"/>
          <w:sz w:val="18"/>
          <w:szCs w:val="18"/>
          <w:lang w:eastAsia="ja-JP"/>
        </w:rPr>
      </w:pPr>
    </w:p>
    <w:p w14:paraId="0E64ADAA" w14:textId="77777777" w:rsidR="00F870AE" w:rsidRDefault="00F870AE" w:rsidP="003C7EA1">
      <w:pPr>
        <w:tabs>
          <w:tab w:val="left" w:pos="1080"/>
        </w:tabs>
        <w:spacing w:after="0" w:line="240" w:lineRule="auto"/>
        <w:jc w:val="both"/>
        <w:rPr>
          <w:rFonts w:ascii="Times New Roman" w:hAnsi="Times New Roman" w:cs="Times New Roman"/>
          <w:sz w:val="18"/>
          <w:szCs w:val="18"/>
          <w:lang w:eastAsia="ja-JP"/>
        </w:rPr>
      </w:pPr>
    </w:p>
    <w:p w14:paraId="5946DC5C" w14:textId="77777777" w:rsidR="00F870AE" w:rsidRDefault="00F870AE" w:rsidP="003C7EA1">
      <w:pPr>
        <w:tabs>
          <w:tab w:val="left" w:pos="1080"/>
        </w:tabs>
        <w:spacing w:after="0" w:line="240" w:lineRule="auto"/>
        <w:jc w:val="both"/>
        <w:rPr>
          <w:rFonts w:ascii="Times New Roman" w:hAnsi="Times New Roman" w:cs="Times New Roman"/>
          <w:sz w:val="18"/>
          <w:szCs w:val="18"/>
          <w:lang w:eastAsia="ja-JP"/>
        </w:rPr>
      </w:pPr>
    </w:p>
    <w:p w14:paraId="796D62A3" w14:textId="4767196A" w:rsidR="00467656" w:rsidRPr="00867815" w:rsidRDefault="00E61BD7" w:rsidP="003C7EA1">
      <w:pPr>
        <w:tabs>
          <w:tab w:val="left" w:pos="1080"/>
        </w:tabs>
        <w:spacing w:after="0" w:line="240" w:lineRule="auto"/>
        <w:jc w:val="both"/>
        <w:rPr>
          <w:rFonts w:ascii="Times New Roman" w:eastAsiaTheme="majorEastAsia" w:hAnsi="Times New Roman" w:cs="Times New Roman"/>
          <w:color w:val="2E74B5" w:themeColor="accent1" w:themeShade="BF"/>
          <w:sz w:val="18"/>
          <w:szCs w:val="18"/>
        </w:rPr>
      </w:pPr>
      <w:r w:rsidRPr="00867815">
        <w:rPr>
          <w:rFonts w:ascii="Times New Roman" w:hAnsi="Times New Roman" w:cs="Times New Roman"/>
          <w:sz w:val="18"/>
          <w:szCs w:val="18"/>
          <w:lang w:eastAsia="ja-JP"/>
        </w:rPr>
        <w:t xml:space="preserve">* </w:t>
      </w:r>
      <w:r w:rsidRPr="00867815">
        <w:rPr>
          <w:rFonts w:ascii="Times New Roman" w:hAnsi="Times New Roman" w:cs="Times New Roman"/>
          <w:sz w:val="18"/>
          <w:szCs w:val="18"/>
        </w:rPr>
        <w:t>Status of implementation is tracked electronically in the ERC database.</w:t>
      </w:r>
    </w:p>
    <w:sectPr w:rsidR="00467656" w:rsidRPr="00867815" w:rsidSect="002222F7">
      <w:footerReference w:type="default" r:id="rId11"/>
      <w:pgSz w:w="11906" w:h="16838"/>
      <w:pgMar w:top="5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4405" w14:textId="77777777" w:rsidR="00E64BBA" w:rsidRDefault="00E64BBA" w:rsidP="00081C54">
      <w:pPr>
        <w:spacing w:after="0" w:line="240" w:lineRule="auto"/>
      </w:pPr>
      <w:r>
        <w:separator/>
      </w:r>
    </w:p>
  </w:endnote>
  <w:endnote w:type="continuationSeparator" w:id="0">
    <w:p w14:paraId="2A01B332" w14:textId="77777777" w:rsidR="00E64BBA" w:rsidRDefault="00E64BBA" w:rsidP="00081C54">
      <w:pPr>
        <w:spacing w:after="0" w:line="240" w:lineRule="auto"/>
      </w:pPr>
      <w:r>
        <w:continuationSeparator/>
      </w:r>
    </w:p>
  </w:endnote>
  <w:endnote w:type="continuationNotice" w:id="1">
    <w:p w14:paraId="3C8DE29C" w14:textId="77777777" w:rsidR="00E64BBA" w:rsidRDefault="00E64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1195039"/>
      <w:docPartObj>
        <w:docPartGallery w:val="Page Numbers (Bottom of Page)"/>
        <w:docPartUnique/>
      </w:docPartObj>
    </w:sdtPr>
    <w:sdtEndPr>
      <w:rPr>
        <w:noProof/>
      </w:rPr>
    </w:sdtEndPr>
    <w:sdtContent>
      <w:p w14:paraId="3566C1FC" w14:textId="4750ACA6" w:rsidR="00467656" w:rsidRPr="007033C3" w:rsidRDefault="00467656">
        <w:pPr>
          <w:pStyle w:val="Footer"/>
          <w:jc w:val="center"/>
          <w:rPr>
            <w:rFonts w:ascii="Times New Roman" w:hAnsi="Times New Roman" w:cs="Times New Roman"/>
            <w:sz w:val="20"/>
            <w:szCs w:val="20"/>
          </w:rPr>
        </w:pPr>
        <w:r w:rsidRPr="007033C3">
          <w:rPr>
            <w:rFonts w:ascii="Times New Roman" w:hAnsi="Times New Roman" w:cs="Times New Roman"/>
            <w:sz w:val="20"/>
            <w:szCs w:val="20"/>
          </w:rPr>
          <w:fldChar w:fldCharType="begin"/>
        </w:r>
        <w:r w:rsidRPr="007033C3">
          <w:rPr>
            <w:rFonts w:ascii="Times New Roman" w:hAnsi="Times New Roman" w:cs="Times New Roman"/>
            <w:sz w:val="20"/>
            <w:szCs w:val="20"/>
          </w:rPr>
          <w:instrText xml:space="preserve"> PAGE   \* MERGEFORMAT </w:instrText>
        </w:r>
        <w:r w:rsidRPr="007033C3">
          <w:rPr>
            <w:rFonts w:ascii="Times New Roman" w:hAnsi="Times New Roman" w:cs="Times New Roman"/>
            <w:sz w:val="20"/>
            <w:szCs w:val="20"/>
          </w:rPr>
          <w:fldChar w:fldCharType="separate"/>
        </w:r>
        <w:r w:rsidRPr="007033C3">
          <w:rPr>
            <w:rFonts w:ascii="Times New Roman" w:hAnsi="Times New Roman" w:cs="Times New Roman"/>
            <w:noProof/>
            <w:sz w:val="20"/>
            <w:szCs w:val="20"/>
          </w:rPr>
          <w:t>2</w:t>
        </w:r>
        <w:r w:rsidRPr="007033C3">
          <w:rPr>
            <w:rFonts w:ascii="Times New Roman" w:hAnsi="Times New Roman" w:cs="Times New Roman"/>
            <w:noProof/>
            <w:sz w:val="20"/>
            <w:szCs w:val="20"/>
          </w:rPr>
          <w:fldChar w:fldCharType="end"/>
        </w:r>
      </w:p>
    </w:sdtContent>
  </w:sdt>
  <w:p w14:paraId="52EE599B" w14:textId="77777777" w:rsidR="00467656" w:rsidRDefault="0046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91AC" w14:textId="77777777" w:rsidR="00E64BBA" w:rsidRDefault="00E64BBA" w:rsidP="00081C54">
      <w:pPr>
        <w:spacing w:after="0" w:line="240" w:lineRule="auto"/>
      </w:pPr>
      <w:r>
        <w:separator/>
      </w:r>
    </w:p>
  </w:footnote>
  <w:footnote w:type="continuationSeparator" w:id="0">
    <w:p w14:paraId="5ED89B44" w14:textId="77777777" w:rsidR="00E64BBA" w:rsidRDefault="00E64BBA" w:rsidP="00081C54">
      <w:pPr>
        <w:spacing w:after="0" w:line="240" w:lineRule="auto"/>
      </w:pPr>
      <w:r>
        <w:continuationSeparator/>
      </w:r>
    </w:p>
  </w:footnote>
  <w:footnote w:type="continuationNotice" w:id="1">
    <w:p w14:paraId="69F507B2" w14:textId="77777777" w:rsidR="00E64BBA" w:rsidRDefault="00E64BBA">
      <w:pPr>
        <w:spacing w:after="0" w:line="240" w:lineRule="auto"/>
      </w:pPr>
    </w:p>
  </w:footnote>
  <w:footnote w:id="2">
    <w:p w14:paraId="210D17C9" w14:textId="77777777" w:rsidR="00F534DB" w:rsidRPr="00FB4DFC" w:rsidRDefault="00F534DB" w:rsidP="00F534DB">
      <w:pPr>
        <w:pStyle w:val="FootnoteText"/>
        <w:rPr>
          <w:rFonts w:asciiTheme="majorBidi" w:hAnsiTheme="majorBidi" w:cstheme="majorBidi"/>
          <w:sz w:val="16"/>
          <w:szCs w:val="16"/>
          <w:lang w:val="sl-SI"/>
        </w:rPr>
      </w:pPr>
      <w:r w:rsidRPr="00FB4DFC">
        <w:rPr>
          <w:rStyle w:val="FootnoteReference"/>
          <w:rFonts w:asciiTheme="majorBidi" w:hAnsiTheme="majorBidi" w:cstheme="majorBidi"/>
        </w:rPr>
        <w:footnoteRef/>
      </w:r>
      <w:r w:rsidRPr="00FB4DFC">
        <w:rPr>
          <w:rFonts w:asciiTheme="majorBidi" w:hAnsiTheme="majorBidi" w:cstheme="majorBidi"/>
          <w:sz w:val="16"/>
          <w:szCs w:val="16"/>
        </w:rPr>
        <w:t xml:space="preserve"> </w:t>
      </w:r>
      <w:r w:rsidRPr="00FB4DFC">
        <w:rPr>
          <w:rFonts w:asciiTheme="majorBidi" w:eastAsia="Times New Roman" w:hAnsiTheme="majorBidi" w:cstheme="majorBidi"/>
          <w:sz w:val="16"/>
          <w:szCs w:val="16"/>
          <w:lang w:eastAsia="sl-SI"/>
        </w:rPr>
        <w:t>For example</w:t>
      </w:r>
      <w:r>
        <w:rPr>
          <w:rFonts w:asciiTheme="majorBidi" w:eastAsia="Times New Roman" w:hAnsiTheme="majorBidi" w:cstheme="majorBidi"/>
          <w:sz w:val="16"/>
          <w:szCs w:val="16"/>
          <w:lang w:eastAsia="sl-SI"/>
        </w:rPr>
        <w:t>,</w:t>
      </w:r>
      <w:r w:rsidRPr="00FB4DFC">
        <w:rPr>
          <w:rFonts w:asciiTheme="majorBidi" w:eastAsia="Times New Roman" w:hAnsiTheme="majorBidi" w:cstheme="majorBidi"/>
          <w:sz w:val="16"/>
          <w:szCs w:val="16"/>
          <w:lang w:eastAsia="sl-SI"/>
        </w:rPr>
        <w:t xml:space="preserve"> the EU-funded Project </w:t>
      </w:r>
      <w:proofErr w:type="spellStart"/>
      <w:r w:rsidRPr="00FB4DFC">
        <w:rPr>
          <w:rFonts w:asciiTheme="majorBidi" w:eastAsia="Times New Roman" w:hAnsiTheme="majorBidi" w:cstheme="majorBidi"/>
          <w:sz w:val="16"/>
          <w:szCs w:val="16"/>
          <w:lang w:eastAsia="sl-SI"/>
        </w:rPr>
        <w:t>Pravo</w:t>
      </w:r>
      <w:proofErr w:type="spellEnd"/>
      <w:r w:rsidRPr="00FB4DFC">
        <w:rPr>
          <w:rFonts w:asciiTheme="majorBidi" w:eastAsia="Times New Roman" w:hAnsiTheme="majorBidi" w:cstheme="majorBidi"/>
          <w:sz w:val="16"/>
          <w:szCs w:val="16"/>
          <w:lang w:eastAsia="sl-SI"/>
        </w:rPr>
        <w:t xml:space="preserve">-Justice pilots 6 Model Courts in Ukraine </w:t>
      </w:r>
      <w:hyperlink r:id="rId1" w:history="1">
        <w:r w:rsidRPr="00FB4DFC">
          <w:rPr>
            <w:rStyle w:val="Hyperlink"/>
            <w:rFonts w:asciiTheme="majorBidi" w:hAnsiTheme="majorBidi" w:cstheme="majorBidi"/>
            <w:sz w:val="16"/>
            <w:szCs w:val="16"/>
          </w:rPr>
          <w:t>https://www.pravojustice.eu/post/implementation-model-court-solutions-mid-term-expert-mission</w:t>
        </w:r>
      </w:hyperlink>
      <w:r w:rsidRPr="00FB4DFC">
        <w:rPr>
          <w:rFonts w:asciiTheme="majorBidi" w:hAnsiTheme="majorBidi" w:cstheme="majorBidi"/>
          <w:sz w:val="16"/>
          <w:szCs w:val="16"/>
        </w:rPr>
        <w:t xml:space="preserve">. </w:t>
      </w:r>
    </w:p>
  </w:footnote>
  <w:footnote w:id="3">
    <w:p w14:paraId="37879547" w14:textId="24A28F68" w:rsidR="00467656" w:rsidRPr="009D3E8D" w:rsidRDefault="00467656">
      <w:pPr>
        <w:pStyle w:val="FootnoteText"/>
        <w:rPr>
          <w:lang w:val="sl-SI"/>
        </w:rPr>
      </w:pPr>
      <w:r w:rsidRPr="00E83361">
        <w:rPr>
          <w:rStyle w:val="FootnoteReference"/>
          <w:rFonts w:asciiTheme="majorBidi" w:hAnsiTheme="majorBidi" w:cstheme="majorBidi"/>
          <w:sz w:val="16"/>
          <w:szCs w:val="16"/>
        </w:rPr>
        <w:footnoteRef/>
      </w:r>
      <w:r w:rsidRPr="009D3E8D">
        <w:rPr>
          <w:rFonts w:asciiTheme="majorBidi" w:hAnsiTheme="majorBidi" w:cstheme="majorBidi"/>
          <w:sz w:val="16"/>
          <w:szCs w:val="16"/>
          <w:lang w:val="sl-SI"/>
        </w:rPr>
        <w:t xml:space="preserve"> </w:t>
      </w:r>
      <w:hyperlink r:id="rId2" w:history="1">
        <w:r w:rsidRPr="009D3E8D">
          <w:rPr>
            <w:rStyle w:val="Hyperlink"/>
            <w:rFonts w:asciiTheme="majorBidi" w:hAnsiTheme="majorBidi" w:cstheme="majorBidi"/>
            <w:sz w:val="16"/>
            <w:szCs w:val="16"/>
            <w:lang w:val="sl-SI"/>
          </w:rPr>
          <w:t>https://unsdg.un.org/resources/guidance-note-human-rights-due-diligence-policy-un-support-non-united-nations-security</w:t>
        </w:r>
      </w:hyperlink>
      <w:r w:rsidRPr="009D3E8D">
        <w:rPr>
          <w:lang w:val="sl-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2NzUyNTY1NzYyN7dQ0lEKTi0uzszPAykwrQUAgqkbliwAAAA="/>
  </w:docVars>
  <w:rsids>
    <w:rsidRoot w:val="00E61BD7"/>
    <w:rsid w:val="000005A0"/>
    <w:rsid w:val="00002404"/>
    <w:rsid w:val="00006346"/>
    <w:rsid w:val="000070F8"/>
    <w:rsid w:val="000076FC"/>
    <w:rsid w:val="00007A6D"/>
    <w:rsid w:val="00010BE1"/>
    <w:rsid w:val="00011EF0"/>
    <w:rsid w:val="00013C8D"/>
    <w:rsid w:val="0001688C"/>
    <w:rsid w:val="0001723A"/>
    <w:rsid w:val="00025685"/>
    <w:rsid w:val="00026FD5"/>
    <w:rsid w:val="00033D2C"/>
    <w:rsid w:val="00036822"/>
    <w:rsid w:val="000372FA"/>
    <w:rsid w:val="00042541"/>
    <w:rsid w:val="00043955"/>
    <w:rsid w:val="00044BF1"/>
    <w:rsid w:val="00052E2F"/>
    <w:rsid w:val="0005382E"/>
    <w:rsid w:val="0005437B"/>
    <w:rsid w:val="00055CE0"/>
    <w:rsid w:val="00055E15"/>
    <w:rsid w:val="000569BF"/>
    <w:rsid w:val="00057746"/>
    <w:rsid w:val="00057CAE"/>
    <w:rsid w:val="0006050D"/>
    <w:rsid w:val="00060621"/>
    <w:rsid w:val="00060759"/>
    <w:rsid w:val="00061C51"/>
    <w:rsid w:val="000646B3"/>
    <w:rsid w:val="00065AA2"/>
    <w:rsid w:val="000700EC"/>
    <w:rsid w:val="000717CB"/>
    <w:rsid w:val="00071AC3"/>
    <w:rsid w:val="0007378B"/>
    <w:rsid w:val="00074BE2"/>
    <w:rsid w:val="00081C54"/>
    <w:rsid w:val="00082A16"/>
    <w:rsid w:val="00082D59"/>
    <w:rsid w:val="000834A1"/>
    <w:rsid w:val="000874C3"/>
    <w:rsid w:val="00097407"/>
    <w:rsid w:val="00097BD3"/>
    <w:rsid w:val="000A19E5"/>
    <w:rsid w:val="000A3F98"/>
    <w:rsid w:val="000A5C53"/>
    <w:rsid w:val="000B17EC"/>
    <w:rsid w:val="000B5B94"/>
    <w:rsid w:val="000B6BEE"/>
    <w:rsid w:val="000C0D33"/>
    <w:rsid w:val="000C1B22"/>
    <w:rsid w:val="000C1B5C"/>
    <w:rsid w:val="000C78BE"/>
    <w:rsid w:val="000D2549"/>
    <w:rsid w:val="000D33A3"/>
    <w:rsid w:val="000D4647"/>
    <w:rsid w:val="000D52F0"/>
    <w:rsid w:val="000D57D2"/>
    <w:rsid w:val="000E150B"/>
    <w:rsid w:val="000E15B4"/>
    <w:rsid w:val="000E1C88"/>
    <w:rsid w:val="000E39FD"/>
    <w:rsid w:val="000E3C40"/>
    <w:rsid w:val="000E53F5"/>
    <w:rsid w:val="000F4DD6"/>
    <w:rsid w:val="0010035F"/>
    <w:rsid w:val="0010052D"/>
    <w:rsid w:val="00106F87"/>
    <w:rsid w:val="00111C90"/>
    <w:rsid w:val="00112294"/>
    <w:rsid w:val="00113E7A"/>
    <w:rsid w:val="00115338"/>
    <w:rsid w:val="001214BD"/>
    <w:rsid w:val="001218ED"/>
    <w:rsid w:val="00125E2B"/>
    <w:rsid w:val="00126647"/>
    <w:rsid w:val="00127671"/>
    <w:rsid w:val="00130C35"/>
    <w:rsid w:val="00131C86"/>
    <w:rsid w:val="00131E56"/>
    <w:rsid w:val="00137E09"/>
    <w:rsid w:val="00143D1D"/>
    <w:rsid w:val="00146449"/>
    <w:rsid w:val="0014737C"/>
    <w:rsid w:val="0015204B"/>
    <w:rsid w:val="0015389F"/>
    <w:rsid w:val="00153EA3"/>
    <w:rsid w:val="00154A32"/>
    <w:rsid w:val="00157686"/>
    <w:rsid w:val="00160A4F"/>
    <w:rsid w:val="0016134C"/>
    <w:rsid w:val="00164DD0"/>
    <w:rsid w:val="00166C0E"/>
    <w:rsid w:val="0017112A"/>
    <w:rsid w:val="00172D77"/>
    <w:rsid w:val="001751EB"/>
    <w:rsid w:val="00175C79"/>
    <w:rsid w:val="00183919"/>
    <w:rsid w:val="00184229"/>
    <w:rsid w:val="001858B1"/>
    <w:rsid w:val="00185C58"/>
    <w:rsid w:val="00186EB4"/>
    <w:rsid w:val="00190AD3"/>
    <w:rsid w:val="001930FF"/>
    <w:rsid w:val="001948A9"/>
    <w:rsid w:val="00195034"/>
    <w:rsid w:val="00195229"/>
    <w:rsid w:val="001963A2"/>
    <w:rsid w:val="001B127C"/>
    <w:rsid w:val="001B3516"/>
    <w:rsid w:val="001B4416"/>
    <w:rsid w:val="001B53D0"/>
    <w:rsid w:val="001B5EA6"/>
    <w:rsid w:val="001B63AB"/>
    <w:rsid w:val="001B6714"/>
    <w:rsid w:val="001B7EAD"/>
    <w:rsid w:val="001C0871"/>
    <w:rsid w:val="001C3F3D"/>
    <w:rsid w:val="001C48E0"/>
    <w:rsid w:val="001D41EA"/>
    <w:rsid w:val="001D5869"/>
    <w:rsid w:val="001D6722"/>
    <w:rsid w:val="001E0BD0"/>
    <w:rsid w:val="001E22F2"/>
    <w:rsid w:val="001E2820"/>
    <w:rsid w:val="001E2821"/>
    <w:rsid w:val="001E2A15"/>
    <w:rsid w:val="001E4409"/>
    <w:rsid w:val="001E6DB6"/>
    <w:rsid w:val="001F12B3"/>
    <w:rsid w:val="001F12F1"/>
    <w:rsid w:val="001F1820"/>
    <w:rsid w:val="001F6A49"/>
    <w:rsid w:val="001F7736"/>
    <w:rsid w:val="001F77E2"/>
    <w:rsid w:val="00207851"/>
    <w:rsid w:val="0021091C"/>
    <w:rsid w:val="00211688"/>
    <w:rsid w:val="00212CE6"/>
    <w:rsid w:val="00212D69"/>
    <w:rsid w:val="0021336F"/>
    <w:rsid w:val="00215A83"/>
    <w:rsid w:val="0021614E"/>
    <w:rsid w:val="002200C2"/>
    <w:rsid w:val="00220A21"/>
    <w:rsid w:val="002222F7"/>
    <w:rsid w:val="00223138"/>
    <w:rsid w:val="00227A4C"/>
    <w:rsid w:val="00231407"/>
    <w:rsid w:val="00231B3B"/>
    <w:rsid w:val="00232C10"/>
    <w:rsid w:val="00233ECD"/>
    <w:rsid w:val="00235013"/>
    <w:rsid w:val="00235993"/>
    <w:rsid w:val="00237B49"/>
    <w:rsid w:val="00237CE0"/>
    <w:rsid w:val="00243B03"/>
    <w:rsid w:val="00244B94"/>
    <w:rsid w:val="00245026"/>
    <w:rsid w:val="00246C37"/>
    <w:rsid w:val="0025050E"/>
    <w:rsid w:val="00251CA6"/>
    <w:rsid w:val="00252DB5"/>
    <w:rsid w:val="0025310B"/>
    <w:rsid w:val="00254403"/>
    <w:rsid w:val="0025603D"/>
    <w:rsid w:val="0026023D"/>
    <w:rsid w:val="00260F65"/>
    <w:rsid w:val="00260F81"/>
    <w:rsid w:val="0026572C"/>
    <w:rsid w:val="00267653"/>
    <w:rsid w:val="002715FF"/>
    <w:rsid w:val="002725B2"/>
    <w:rsid w:val="002750AE"/>
    <w:rsid w:val="00275B35"/>
    <w:rsid w:val="002816E2"/>
    <w:rsid w:val="002914AC"/>
    <w:rsid w:val="00291585"/>
    <w:rsid w:val="00294A5F"/>
    <w:rsid w:val="002956D5"/>
    <w:rsid w:val="002A04E7"/>
    <w:rsid w:val="002A1C42"/>
    <w:rsid w:val="002A2052"/>
    <w:rsid w:val="002A40B3"/>
    <w:rsid w:val="002A5B13"/>
    <w:rsid w:val="002A6E53"/>
    <w:rsid w:val="002B1138"/>
    <w:rsid w:val="002B73DB"/>
    <w:rsid w:val="002C23E9"/>
    <w:rsid w:val="002C3F93"/>
    <w:rsid w:val="002C4AB9"/>
    <w:rsid w:val="002D2882"/>
    <w:rsid w:val="002D2B33"/>
    <w:rsid w:val="002D568F"/>
    <w:rsid w:val="002D600C"/>
    <w:rsid w:val="002E0A56"/>
    <w:rsid w:val="002E1907"/>
    <w:rsid w:val="002E211D"/>
    <w:rsid w:val="002F0E07"/>
    <w:rsid w:val="002F547B"/>
    <w:rsid w:val="003001EF"/>
    <w:rsid w:val="00300204"/>
    <w:rsid w:val="00304124"/>
    <w:rsid w:val="00310BEB"/>
    <w:rsid w:val="003128B8"/>
    <w:rsid w:val="00314BD2"/>
    <w:rsid w:val="003164F6"/>
    <w:rsid w:val="00316784"/>
    <w:rsid w:val="00316E48"/>
    <w:rsid w:val="00317777"/>
    <w:rsid w:val="003207E9"/>
    <w:rsid w:val="00322A92"/>
    <w:rsid w:val="00323712"/>
    <w:rsid w:val="00326A63"/>
    <w:rsid w:val="0033138C"/>
    <w:rsid w:val="00333A9D"/>
    <w:rsid w:val="003346EC"/>
    <w:rsid w:val="00335C00"/>
    <w:rsid w:val="00340FC4"/>
    <w:rsid w:val="00341888"/>
    <w:rsid w:val="0034475F"/>
    <w:rsid w:val="00344E0C"/>
    <w:rsid w:val="003507B4"/>
    <w:rsid w:val="0035120E"/>
    <w:rsid w:val="00353A90"/>
    <w:rsid w:val="0035558C"/>
    <w:rsid w:val="00355F1A"/>
    <w:rsid w:val="00356520"/>
    <w:rsid w:val="003632F2"/>
    <w:rsid w:val="003703F7"/>
    <w:rsid w:val="003710A2"/>
    <w:rsid w:val="003721F6"/>
    <w:rsid w:val="00373644"/>
    <w:rsid w:val="00373A62"/>
    <w:rsid w:val="00375D72"/>
    <w:rsid w:val="00376555"/>
    <w:rsid w:val="003771C3"/>
    <w:rsid w:val="00377432"/>
    <w:rsid w:val="0037797A"/>
    <w:rsid w:val="00382823"/>
    <w:rsid w:val="003829C5"/>
    <w:rsid w:val="00382A86"/>
    <w:rsid w:val="003904A4"/>
    <w:rsid w:val="00390958"/>
    <w:rsid w:val="0039459B"/>
    <w:rsid w:val="00394E28"/>
    <w:rsid w:val="0039525A"/>
    <w:rsid w:val="003A0746"/>
    <w:rsid w:val="003A5BD0"/>
    <w:rsid w:val="003A7925"/>
    <w:rsid w:val="003B2904"/>
    <w:rsid w:val="003B7014"/>
    <w:rsid w:val="003C4523"/>
    <w:rsid w:val="003C5864"/>
    <w:rsid w:val="003C63F4"/>
    <w:rsid w:val="003C6A4C"/>
    <w:rsid w:val="003C7848"/>
    <w:rsid w:val="003C7EA1"/>
    <w:rsid w:val="003D1FB6"/>
    <w:rsid w:val="003D2173"/>
    <w:rsid w:val="003D378F"/>
    <w:rsid w:val="003D4BCE"/>
    <w:rsid w:val="003D54C4"/>
    <w:rsid w:val="003D6B31"/>
    <w:rsid w:val="003E10DC"/>
    <w:rsid w:val="003E4596"/>
    <w:rsid w:val="003E4A12"/>
    <w:rsid w:val="003F0A1B"/>
    <w:rsid w:val="003F1543"/>
    <w:rsid w:val="003F269F"/>
    <w:rsid w:val="003F479A"/>
    <w:rsid w:val="004007FC"/>
    <w:rsid w:val="00400CC7"/>
    <w:rsid w:val="0040106D"/>
    <w:rsid w:val="00402657"/>
    <w:rsid w:val="00402D0A"/>
    <w:rsid w:val="00405368"/>
    <w:rsid w:val="004105FB"/>
    <w:rsid w:val="004120F1"/>
    <w:rsid w:val="004164C6"/>
    <w:rsid w:val="0041749C"/>
    <w:rsid w:val="004177D8"/>
    <w:rsid w:val="00417A1A"/>
    <w:rsid w:val="00420CB5"/>
    <w:rsid w:val="00420DBA"/>
    <w:rsid w:val="0042115B"/>
    <w:rsid w:val="00423AF1"/>
    <w:rsid w:val="00423BED"/>
    <w:rsid w:val="004245A9"/>
    <w:rsid w:val="00424636"/>
    <w:rsid w:val="004275BE"/>
    <w:rsid w:val="00430F91"/>
    <w:rsid w:val="004334AF"/>
    <w:rsid w:val="004411B1"/>
    <w:rsid w:val="00446357"/>
    <w:rsid w:val="00447436"/>
    <w:rsid w:val="00450D44"/>
    <w:rsid w:val="004520CA"/>
    <w:rsid w:val="00452ABB"/>
    <w:rsid w:val="004530D5"/>
    <w:rsid w:val="00453668"/>
    <w:rsid w:val="00454B7D"/>
    <w:rsid w:val="00455066"/>
    <w:rsid w:val="004617B0"/>
    <w:rsid w:val="00462D68"/>
    <w:rsid w:val="004636B8"/>
    <w:rsid w:val="004640AA"/>
    <w:rsid w:val="00464A4B"/>
    <w:rsid w:val="00464DDA"/>
    <w:rsid w:val="00466959"/>
    <w:rsid w:val="00467656"/>
    <w:rsid w:val="0047031A"/>
    <w:rsid w:val="00471F6B"/>
    <w:rsid w:val="00475BF7"/>
    <w:rsid w:val="00476977"/>
    <w:rsid w:val="00480D6F"/>
    <w:rsid w:val="0048201A"/>
    <w:rsid w:val="0048343A"/>
    <w:rsid w:val="00484076"/>
    <w:rsid w:val="00484E0B"/>
    <w:rsid w:val="004859A7"/>
    <w:rsid w:val="004859EE"/>
    <w:rsid w:val="00485D5D"/>
    <w:rsid w:val="00486713"/>
    <w:rsid w:val="00490DDC"/>
    <w:rsid w:val="00493C00"/>
    <w:rsid w:val="00493E01"/>
    <w:rsid w:val="00494ECB"/>
    <w:rsid w:val="00497012"/>
    <w:rsid w:val="00497BBE"/>
    <w:rsid w:val="004A0FAA"/>
    <w:rsid w:val="004A3830"/>
    <w:rsid w:val="004A5A4F"/>
    <w:rsid w:val="004A60A6"/>
    <w:rsid w:val="004A624C"/>
    <w:rsid w:val="004A7B13"/>
    <w:rsid w:val="004A7E44"/>
    <w:rsid w:val="004B035C"/>
    <w:rsid w:val="004B1FF4"/>
    <w:rsid w:val="004B2058"/>
    <w:rsid w:val="004B4CA3"/>
    <w:rsid w:val="004B6EA2"/>
    <w:rsid w:val="004B7A7A"/>
    <w:rsid w:val="004B7E18"/>
    <w:rsid w:val="004C600B"/>
    <w:rsid w:val="004C648C"/>
    <w:rsid w:val="004C7643"/>
    <w:rsid w:val="004D24EC"/>
    <w:rsid w:val="004D2CAE"/>
    <w:rsid w:val="004D5597"/>
    <w:rsid w:val="004D6C6F"/>
    <w:rsid w:val="004D74E2"/>
    <w:rsid w:val="004D7556"/>
    <w:rsid w:val="004E0BCA"/>
    <w:rsid w:val="004E0C85"/>
    <w:rsid w:val="004E1DDE"/>
    <w:rsid w:val="004E352F"/>
    <w:rsid w:val="004E4046"/>
    <w:rsid w:val="004E6727"/>
    <w:rsid w:val="004E6D1C"/>
    <w:rsid w:val="004E7A4C"/>
    <w:rsid w:val="004F0CF0"/>
    <w:rsid w:val="004F1426"/>
    <w:rsid w:val="004F1945"/>
    <w:rsid w:val="004F3622"/>
    <w:rsid w:val="004F3EFF"/>
    <w:rsid w:val="004F566A"/>
    <w:rsid w:val="004F7262"/>
    <w:rsid w:val="004F73AF"/>
    <w:rsid w:val="004F7B39"/>
    <w:rsid w:val="0050297E"/>
    <w:rsid w:val="00505E7A"/>
    <w:rsid w:val="00505EA3"/>
    <w:rsid w:val="00505EAB"/>
    <w:rsid w:val="00507C64"/>
    <w:rsid w:val="00510F50"/>
    <w:rsid w:val="0051229C"/>
    <w:rsid w:val="00512696"/>
    <w:rsid w:val="00512803"/>
    <w:rsid w:val="00512CD8"/>
    <w:rsid w:val="00517998"/>
    <w:rsid w:val="00517DE5"/>
    <w:rsid w:val="00523763"/>
    <w:rsid w:val="00524374"/>
    <w:rsid w:val="005260DB"/>
    <w:rsid w:val="00526A8D"/>
    <w:rsid w:val="00530910"/>
    <w:rsid w:val="00531DAA"/>
    <w:rsid w:val="00532CEF"/>
    <w:rsid w:val="0053434C"/>
    <w:rsid w:val="00534931"/>
    <w:rsid w:val="0053633B"/>
    <w:rsid w:val="0054091C"/>
    <w:rsid w:val="00541A56"/>
    <w:rsid w:val="00543D99"/>
    <w:rsid w:val="00544280"/>
    <w:rsid w:val="00545093"/>
    <w:rsid w:val="00547530"/>
    <w:rsid w:val="0055549C"/>
    <w:rsid w:val="00556B47"/>
    <w:rsid w:val="00556DE7"/>
    <w:rsid w:val="00560B3D"/>
    <w:rsid w:val="00564C9A"/>
    <w:rsid w:val="005657F3"/>
    <w:rsid w:val="00565918"/>
    <w:rsid w:val="00570407"/>
    <w:rsid w:val="005714E0"/>
    <w:rsid w:val="00571517"/>
    <w:rsid w:val="005741BC"/>
    <w:rsid w:val="00574EC9"/>
    <w:rsid w:val="00576761"/>
    <w:rsid w:val="00582BCE"/>
    <w:rsid w:val="00583208"/>
    <w:rsid w:val="00583512"/>
    <w:rsid w:val="00583AB7"/>
    <w:rsid w:val="00584999"/>
    <w:rsid w:val="0058568A"/>
    <w:rsid w:val="00592EB1"/>
    <w:rsid w:val="00592EDB"/>
    <w:rsid w:val="00595104"/>
    <w:rsid w:val="005955D6"/>
    <w:rsid w:val="00596145"/>
    <w:rsid w:val="005A003C"/>
    <w:rsid w:val="005A1BF7"/>
    <w:rsid w:val="005A3303"/>
    <w:rsid w:val="005A4584"/>
    <w:rsid w:val="005A4F6E"/>
    <w:rsid w:val="005A54C6"/>
    <w:rsid w:val="005A5690"/>
    <w:rsid w:val="005A5B93"/>
    <w:rsid w:val="005B18E4"/>
    <w:rsid w:val="005B207E"/>
    <w:rsid w:val="005B3995"/>
    <w:rsid w:val="005B6515"/>
    <w:rsid w:val="005B7161"/>
    <w:rsid w:val="005B7CAB"/>
    <w:rsid w:val="005C2367"/>
    <w:rsid w:val="005C3701"/>
    <w:rsid w:val="005C57D9"/>
    <w:rsid w:val="005D058C"/>
    <w:rsid w:val="005D4A68"/>
    <w:rsid w:val="005D6F7E"/>
    <w:rsid w:val="005E0B5B"/>
    <w:rsid w:val="005E1E47"/>
    <w:rsid w:val="005E2CB9"/>
    <w:rsid w:val="005E2CD1"/>
    <w:rsid w:val="005E438B"/>
    <w:rsid w:val="005E60BC"/>
    <w:rsid w:val="005E6618"/>
    <w:rsid w:val="005E716D"/>
    <w:rsid w:val="005E76EF"/>
    <w:rsid w:val="005F029D"/>
    <w:rsid w:val="005F0E90"/>
    <w:rsid w:val="005F62E2"/>
    <w:rsid w:val="005F6AFB"/>
    <w:rsid w:val="005F707F"/>
    <w:rsid w:val="0060028C"/>
    <w:rsid w:val="00600AAB"/>
    <w:rsid w:val="0060272F"/>
    <w:rsid w:val="00603E0A"/>
    <w:rsid w:val="00615327"/>
    <w:rsid w:val="00616684"/>
    <w:rsid w:val="006223D3"/>
    <w:rsid w:val="00624461"/>
    <w:rsid w:val="006246CE"/>
    <w:rsid w:val="00625637"/>
    <w:rsid w:val="00625BBF"/>
    <w:rsid w:val="00630305"/>
    <w:rsid w:val="006304FC"/>
    <w:rsid w:val="006343C1"/>
    <w:rsid w:val="00635BD6"/>
    <w:rsid w:val="00636C82"/>
    <w:rsid w:val="00637B5B"/>
    <w:rsid w:val="006427A3"/>
    <w:rsid w:val="0064613D"/>
    <w:rsid w:val="00646AB3"/>
    <w:rsid w:val="00654828"/>
    <w:rsid w:val="0066006B"/>
    <w:rsid w:val="00660C64"/>
    <w:rsid w:val="00660E25"/>
    <w:rsid w:val="00664D11"/>
    <w:rsid w:val="00667829"/>
    <w:rsid w:val="00667A41"/>
    <w:rsid w:val="00670BE7"/>
    <w:rsid w:val="00675DF5"/>
    <w:rsid w:val="00682474"/>
    <w:rsid w:val="00686FDA"/>
    <w:rsid w:val="00694DB4"/>
    <w:rsid w:val="00697B51"/>
    <w:rsid w:val="006A1479"/>
    <w:rsid w:val="006A2897"/>
    <w:rsid w:val="006A46D8"/>
    <w:rsid w:val="006A5A50"/>
    <w:rsid w:val="006A617C"/>
    <w:rsid w:val="006A622B"/>
    <w:rsid w:val="006A720D"/>
    <w:rsid w:val="006B1A8E"/>
    <w:rsid w:val="006B2F86"/>
    <w:rsid w:val="006B411C"/>
    <w:rsid w:val="006B47FF"/>
    <w:rsid w:val="006B519A"/>
    <w:rsid w:val="006C0D4E"/>
    <w:rsid w:val="006C34C4"/>
    <w:rsid w:val="006C36C0"/>
    <w:rsid w:val="006C5FC8"/>
    <w:rsid w:val="006D1188"/>
    <w:rsid w:val="006D178D"/>
    <w:rsid w:val="006D1918"/>
    <w:rsid w:val="006D3BC8"/>
    <w:rsid w:val="006E3385"/>
    <w:rsid w:val="006E36B9"/>
    <w:rsid w:val="006E3F3F"/>
    <w:rsid w:val="006E7065"/>
    <w:rsid w:val="006E7315"/>
    <w:rsid w:val="006F1B4E"/>
    <w:rsid w:val="006F28CD"/>
    <w:rsid w:val="006F641A"/>
    <w:rsid w:val="007033C3"/>
    <w:rsid w:val="00704808"/>
    <w:rsid w:val="007063CD"/>
    <w:rsid w:val="007065A5"/>
    <w:rsid w:val="00711DD2"/>
    <w:rsid w:val="00712F6A"/>
    <w:rsid w:val="007136A6"/>
    <w:rsid w:val="00715378"/>
    <w:rsid w:val="00716163"/>
    <w:rsid w:val="00716266"/>
    <w:rsid w:val="0071657E"/>
    <w:rsid w:val="00717A8D"/>
    <w:rsid w:val="00717D06"/>
    <w:rsid w:val="007200BE"/>
    <w:rsid w:val="007214EE"/>
    <w:rsid w:val="007268D5"/>
    <w:rsid w:val="00726E1D"/>
    <w:rsid w:val="00727514"/>
    <w:rsid w:val="0073274D"/>
    <w:rsid w:val="00734051"/>
    <w:rsid w:val="007359CA"/>
    <w:rsid w:val="0073629E"/>
    <w:rsid w:val="007373DE"/>
    <w:rsid w:val="00744B27"/>
    <w:rsid w:val="00744C95"/>
    <w:rsid w:val="00745F7A"/>
    <w:rsid w:val="00746461"/>
    <w:rsid w:val="007464D4"/>
    <w:rsid w:val="00746BBA"/>
    <w:rsid w:val="00747CCF"/>
    <w:rsid w:val="0075220F"/>
    <w:rsid w:val="00753E96"/>
    <w:rsid w:val="00754B16"/>
    <w:rsid w:val="00755E8A"/>
    <w:rsid w:val="00770AA0"/>
    <w:rsid w:val="007731CD"/>
    <w:rsid w:val="0077400C"/>
    <w:rsid w:val="00774145"/>
    <w:rsid w:val="007765FA"/>
    <w:rsid w:val="00777726"/>
    <w:rsid w:val="00780A19"/>
    <w:rsid w:val="00781E14"/>
    <w:rsid w:val="00784C38"/>
    <w:rsid w:val="00785C7F"/>
    <w:rsid w:val="00790448"/>
    <w:rsid w:val="007925F1"/>
    <w:rsid w:val="00794324"/>
    <w:rsid w:val="00796076"/>
    <w:rsid w:val="00796C00"/>
    <w:rsid w:val="00797682"/>
    <w:rsid w:val="007A1FC0"/>
    <w:rsid w:val="007A29B8"/>
    <w:rsid w:val="007A616C"/>
    <w:rsid w:val="007B033B"/>
    <w:rsid w:val="007B182F"/>
    <w:rsid w:val="007B3230"/>
    <w:rsid w:val="007C43EF"/>
    <w:rsid w:val="007C5149"/>
    <w:rsid w:val="007C598D"/>
    <w:rsid w:val="007C5B67"/>
    <w:rsid w:val="007C78C1"/>
    <w:rsid w:val="007D1F2D"/>
    <w:rsid w:val="007D2FA7"/>
    <w:rsid w:val="007D31D8"/>
    <w:rsid w:val="007D3B54"/>
    <w:rsid w:val="007D4713"/>
    <w:rsid w:val="007D47F0"/>
    <w:rsid w:val="007D4BBD"/>
    <w:rsid w:val="007D66A5"/>
    <w:rsid w:val="007D7A42"/>
    <w:rsid w:val="007E1E44"/>
    <w:rsid w:val="007E488F"/>
    <w:rsid w:val="007E53A1"/>
    <w:rsid w:val="007E75AD"/>
    <w:rsid w:val="007F0699"/>
    <w:rsid w:val="007F1591"/>
    <w:rsid w:val="007F1728"/>
    <w:rsid w:val="007F1E76"/>
    <w:rsid w:val="007F2C27"/>
    <w:rsid w:val="007F4827"/>
    <w:rsid w:val="007F71DB"/>
    <w:rsid w:val="007F7F8C"/>
    <w:rsid w:val="00800025"/>
    <w:rsid w:val="00801927"/>
    <w:rsid w:val="008022A3"/>
    <w:rsid w:val="008051CB"/>
    <w:rsid w:val="0080526E"/>
    <w:rsid w:val="00805735"/>
    <w:rsid w:val="00805B39"/>
    <w:rsid w:val="00805CE0"/>
    <w:rsid w:val="008068EF"/>
    <w:rsid w:val="00815909"/>
    <w:rsid w:val="008160E3"/>
    <w:rsid w:val="00820097"/>
    <w:rsid w:val="008206E5"/>
    <w:rsid w:val="00820EAB"/>
    <w:rsid w:val="008241E8"/>
    <w:rsid w:val="0082432D"/>
    <w:rsid w:val="00824E8C"/>
    <w:rsid w:val="00826B12"/>
    <w:rsid w:val="00827DEA"/>
    <w:rsid w:val="00831DAE"/>
    <w:rsid w:val="00831F3A"/>
    <w:rsid w:val="00832CE5"/>
    <w:rsid w:val="0083475D"/>
    <w:rsid w:val="00834F97"/>
    <w:rsid w:val="00835C78"/>
    <w:rsid w:val="008370C9"/>
    <w:rsid w:val="00845E5D"/>
    <w:rsid w:val="00846303"/>
    <w:rsid w:val="00852019"/>
    <w:rsid w:val="00854149"/>
    <w:rsid w:val="00855958"/>
    <w:rsid w:val="00857402"/>
    <w:rsid w:val="008611A5"/>
    <w:rsid w:val="00867815"/>
    <w:rsid w:val="00871C4E"/>
    <w:rsid w:val="00873786"/>
    <w:rsid w:val="00880101"/>
    <w:rsid w:val="00880696"/>
    <w:rsid w:val="008811EE"/>
    <w:rsid w:val="00883139"/>
    <w:rsid w:val="008846EF"/>
    <w:rsid w:val="00887DF2"/>
    <w:rsid w:val="008907C8"/>
    <w:rsid w:val="008927D2"/>
    <w:rsid w:val="00893B73"/>
    <w:rsid w:val="00893C54"/>
    <w:rsid w:val="00894B68"/>
    <w:rsid w:val="008A1235"/>
    <w:rsid w:val="008A2E08"/>
    <w:rsid w:val="008A6AE7"/>
    <w:rsid w:val="008B12B5"/>
    <w:rsid w:val="008B1E95"/>
    <w:rsid w:val="008B424D"/>
    <w:rsid w:val="008B4BB2"/>
    <w:rsid w:val="008B4F11"/>
    <w:rsid w:val="008C03FA"/>
    <w:rsid w:val="008C19A5"/>
    <w:rsid w:val="008C3613"/>
    <w:rsid w:val="008C4D5F"/>
    <w:rsid w:val="008C65DF"/>
    <w:rsid w:val="008D202B"/>
    <w:rsid w:val="008D247A"/>
    <w:rsid w:val="008D55EE"/>
    <w:rsid w:val="008D6BA9"/>
    <w:rsid w:val="008D7A36"/>
    <w:rsid w:val="008D7B6F"/>
    <w:rsid w:val="008E1E88"/>
    <w:rsid w:val="008E4169"/>
    <w:rsid w:val="008E47FB"/>
    <w:rsid w:val="008E5598"/>
    <w:rsid w:val="008E5948"/>
    <w:rsid w:val="008E7B4E"/>
    <w:rsid w:val="008F4581"/>
    <w:rsid w:val="008F5601"/>
    <w:rsid w:val="008F7622"/>
    <w:rsid w:val="00910DE8"/>
    <w:rsid w:val="00911FE5"/>
    <w:rsid w:val="00912687"/>
    <w:rsid w:val="00913922"/>
    <w:rsid w:val="00914FA9"/>
    <w:rsid w:val="0092063F"/>
    <w:rsid w:val="00920883"/>
    <w:rsid w:val="00921F79"/>
    <w:rsid w:val="00925195"/>
    <w:rsid w:val="0092529D"/>
    <w:rsid w:val="00925478"/>
    <w:rsid w:val="00925AA7"/>
    <w:rsid w:val="00925B37"/>
    <w:rsid w:val="00930BE5"/>
    <w:rsid w:val="00935A65"/>
    <w:rsid w:val="009379F8"/>
    <w:rsid w:val="00941642"/>
    <w:rsid w:val="00943485"/>
    <w:rsid w:val="0094383E"/>
    <w:rsid w:val="0094394B"/>
    <w:rsid w:val="00944975"/>
    <w:rsid w:val="009475D4"/>
    <w:rsid w:val="00950EC5"/>
    <w:rsid w:val="00954010"/>
    <w:rsid w:val="00954878"/>
    <w:rsid w:val="0095572C"/>
    <w:rsid w:val="0095796A"/>
    <w:rsid w:val="009610F7"/>
    <w:rsid w:val="009619A1"/>
    <w:rsid w:val="0096307E"/>
    <w:rsid w:val="00963CE1"/>
    <w:rsid w:val="009652F9"/>
    <w:rsid w:val="00971031"/>
    <w:rsid w:val="0097476D"/>
    <w:rsid w:val="00977DB6"/>
    <w:rsid w:val="00980B45"/>
    <w:rsid w:val="009825C1"/>
    <w:rsid w:val="009862C5"/>
    <w:rsid w:val="0098718F"/>
    <w:rsid w:val="009910BB"/>
    <w:rsid w:val="00994FBD"/>
    <w:rsid w:val="00997275"/>
    <w:rsid w:val="009976B4"/>
    <w:rsid w:val="009A0402"/>
    <w:rsid w:val="009A0B23"/>
    <w:rsid w:val="009A0C91"/>
    <w:rsid w:val="009A142C"/>
    <w:rsid w:val="009A1F88"/>
    <w:rsid w:val="009A281B"/>
    <w:rsid w:val="009A281F"/>
    <w:rsid w:val="009A3305"/>
    <w:rsid w:val="009A47F7"/>
    <w:rsid w:val="009A572C"/>
    <w:rsid w:val="009A7DAA"/>
    <w:rsid w:val="009B19B6"/>
    <w:rsid w:val="009B2265"/>
    <w:rsid w:val="009B42C3"/>
    <w:rsid w:val="009B49C0"/>
    <w:rsid w:val="009B5918"/>
    <w:rsid w:val="009C0468"/>
    <w:rsid w:val="009C18CD"/>
    <w:rsid w:val="009C585C"/>
    <w:rsid w:val="009C641A"/>
    <w:rsid w:val="009D1566"/>
    <w:rsid w:val="009D3C57"/>
    <w:rsid w:val="009D3E8D"/>
    <w:rsid w:val="009D5111"/>
    <w:rsid w:val="009E02E6"/>
    <w:rsid w:val="009E1763"/>
    <w:rsid w:val="009E2D30"/>
    <w:rsid w:val="009E3A8B"/>
    <w:rsid w:val="009F00F9"/>
    <w:rsid w:val="009F1733"/>
    <w:rsid w:val="009F27FA"/>
    <w:rsid w:val="009F3BC5"/>
    <w:rsid w:val="00A00E7D"/>
    <w:rsid w:val="00A016D5"/>
    <w:rsid w:val="00A025BF"/>
    <w:rsid w:val="00A03ABF"/>
    <w:rsid w:val="00A03B30"/>
    <w:rsid w:val="00A04282"/>
    <w:rsid w:val="00A11074"/>
    <w:rsid w:val="00A1181D"/>
    <w:rsid w:val="00A11A46"/>
    <w:rsid w:val="00A1288F"/>
    <w:rsid w:val="00A136A1"/>
    <w:rsid w:val="00A1755F"/>
    <w:rsid w:val="00A20005"/>
    <w:rsid w:val="00A2040D"/>
    <w:rsid w:val="00A23C52"/>
    <w:rsid w:val="00A23F20"/>
    <w:rsid w:val="00A25D69"/>
    <w:rsid w:val="00A26C44"/>
    <w:rsid w:val="00A273D3"/>
    <w:rsid w:val="00A3051F"/>
    <w:rsid w:val="00A305F5"/>
    <w:rsid w:val="00A30AA5"/>
    <w:rsid w:val="00A33D1C"/>
    <w:rsid w:val="00A352A5"/>
    <w:rsid w:val="00A35CB2"/>
    <w:rsid w:val="00A37F71"/>
    <w:rsid w:val="00A40671"/>
    <w:rsid w:val="00A41D94"/>
    <w:rsid w:val="00A46467"/>
    <w:rsid w:val="00A4705E"/>
    <w:rsid w:val="00A47513"/>
    <w:rsid w:val="00A53514"/>
    <w:rsid w:val="00A54AE1"/>
    <w:rsid w:val="00A56150"/>
    <w:rsid w:val="00A57F09"/>
    <w:rsid w:val="00A60351"/>
    <w:rsid w:val="00A63D43"/>
    <w:rsid w:val="00A64DB8"/>
    <w:rsid w:val="00A70961"/>
    <w:rsid w:val="00A70C4D"/>
    <w:rsid w:val="00A70F8B"/>
    <w:rsid w:val="00A71913"/>
    <w:rsid w:val="00A730B3"/>
    <w:rsid w:val="00A75773"/>
    <w:rsid w:val="00A765A8"/>
    <w:rsid w:val="00A76C26"/>
    <w:rsid w:val="00A76FFE"/>
    <w:rsid w:val="00A82D87"/>
    <w:rsid w:val="00A837DF"/>
    <w:rsid w:val="00A83D2F"/>
    <w:rsid w:val="00A8475C"/>
    <w:rsid w:val="00A8626A"/>
    <w:rsid w:val="00A915EF"/>
    <w:rsid w:val="00A93DBF"/>
    <w:rsid w:val="00A96C19"/>
    <w:rsid w:val="00A97327"/>
    <w:rsid w:val="00AB551B"/>
    <w:rsid w:val="00AB7ECD"/>
    <w:rsid w:val="00AC21AF"/>
    <w:rsid w:val="00AC2B5A"/>
    <w:rsid w:val="00AC47B4"/>
    <w:rsid w:val="00AC5268"/>
    <w:rsid w:val="00AC53D1"/>
    <w:rsid w:val="00AC5B0C"/>
    <w:rsid w:val="00AC7C38"/>
    <w:rsid w:val="00AD3BBE"/>
    <w:rsid w:val="00AD58C9"/>
    <w:rsid w:val="00AD635D"/>
    <w:rsid w:val="00AD6AD1"/>
    <w:rsid w:val="00AD7145"/>
    <w:rsid w:val="00AD76C1"/>
    <w:rsid w:val="00AE0172"/>
    <w:rsid w:val="00AE0B97"/>
    <w:rsid w:val="00AE26DD"/>
    <w:rsid w:val="00AE2F8E"/>
    <w:rsid w:val="00AE43CD"/>
    <w:rsid w:val="00AE4822"/>
    <w:rsid w:val="00AF070D"/>
    <w:rsid w:val="00AF5917"/>
    <w:rsid w:val="00AF6DE9"/>
    <w:rsid w:val="00B00506"/>
    <w:rsid w:val="00B01844"/>
    <w:rsid w:val="00B01B5F"/>
    <w:rsid w:val="00B03035"/>
    <w:rsid w:val="00B055E4"/>
    <w:rsid w:val="00B06C6C"/>
    <w:rsid w:val="00B12B26"/>
    <w:rsid w:val="00B12BA1"/>
    <w:rsid w:val="00B12BFC"/>
    <w:rsid w:val="00B14101"/>
    <w:rsid w:val="00B161B2"/>
    <w:rsid w:val="00B1763D"/>
    <w:rsid w:val="00B17FE0"/>
    <w:rsid w:val="00B2003D"/>
    <w:rsid w:val="00B20812"/>
    <w:rsid w:val="00B20A60"/>
    <w:rsid w:val="00B23B7F"/>
    <w:rsid w:val="00B23BE9"/>
    <w:rsid w:val="00B272A0"/>
    <w:rsid w:val="00B334A6"/>
    <w:rsid w:val="00B335B7"/>
    <w:rsid w:val="00B3676C"/>
    <w:rsid w:val="00B40AFF"/>
    <w:rsid w:val="00B40BC0"/>
    <w:rsid w:val="00B40BCA"/>
    <w:rsid w:val="00B412AE"/>
    <w:rsid w:val="00B44296"/>
    <w:rsid w:val="00B45712"/>
    <w:rsid w:val="00B45EC7"/>
    <w:rsid w:val="00B46ECC"/>
    <w:rsid w:val="00B54367"/>
    <w:rsid w:val="00B55A74"/>
    <w:rsid w:val="00B60941"/>
    <w:rsid w:val="00B60F6E"/>
    <w:rsid w:val="00B62241"/>
    <w:rsid w:val="00B62BA2"/>
    <w:rsid w:val="00B6361C"/>
    <w:rsid w:val="00B65DDB"/>
    <w:rsid w:val="00B6767F"/>
    <w:rsid w:val="00B67858"/>
    <w:rsid w:val="00B70390"/>
    <w:rsid w:val="00B704F3"/>
    <w:rsid w:val="00B71655"/>
    <w:rsid w:val="00B75254"/>
    <w:rsid w:val="00B82D75"/>
    <w:rsid w:val="00B862A4"/>
    <w:rsid w:val="00B868C7"/>
    <w:rsid w:val="00B86BA0"/>
    <w:rsid w:val="00B87544"/>
    <w:rsid w:val="00B911B5"/>
    <w:rsid w:val="00B91C00"/>
    <w:rsid w:val="00B9278E"/>
    <w:rsid w:val="00B9417E"/>
    <w:rsid w:val="00B956FC"/>
    <w:rsid w:val="00B974E1"/>
    <w:rsid w:val="00BA37F1"/>
    <w:rsid w:val="00BA588B"/>
    <w:rsid w:val="00BA5E97"/>
    <w:rsid w:val="00BA5E9F"/>
    <w:rsid w:val="00BB1127"/>
    <w:rsid w:val="00BB1613"/>
    <w:rsid w:val="00BB20B1"/>
    <w:rsid w:val="00BB350A"/>
    <w:rsid w:val="00BB4767"/>
    <w:rsid w:val="00BB5555"/>
    <w:rsid w:val="00BB59F7"/>
    <w:rsid w:val="00BB71CF"/>
    <w:rsid w:val="00BB7D80"/>
    <w:rsid w:val="00BC5973"/>
    <w:rsid w:val="00BC71AD"/>
    <w:rsid w:val="00BC759C"/>
    <w:rsid w:val="00BD0B6B"/>
    <w:rsid w:val="00BD173D"/>
    <w:rsid w:val="00BD3228"/>
    <w:rsid w:val="00BD6124"/>
    <w:rsid w:val="00BD713A"/>
    <w:rsid w:val="00BD7833"/>
    <w:rsid w:val="00BE1143"/>
    <w:rsid w:val="00BE1279"/>
    <w:rsid w:val="00BE12B4"/>
    <w:rsid w:val="00BE4CC1"/>
    <w:rsid w:val="00BE6FE7"/>
    <w:rsid w:val="00BF139A"/>
    <w:rsid w:val="00BF3192"/>
    <w:rsid w:val="00BF330B"/>
    <w:rsid w:val="00BF3F6A"/>
    <w:rsid w:val="00BF6172"/>
    <w:rsid w:val="00C00408"/>
    <w:rsid w:val="00C0298D"/>
    <w:rsid w:val="00C06FB8"/>
    <w:rsid w:val="00C0747B"/>
    <w:rsid w:val="00C10F65"/>
    <w:rsid w:val="00C11B54"/>
    <w:rsid w:val="00C1417B"/>
    <w:rsid w:val="00C169AF"/>
    <w:rsid w:val="00C17F76"/>
    <w:rsid w:val="00C202BD"/>
    <w:rsid w:val="00C21609"/>
    <w:rsid w:val="00C2519B"/>
    <w:rsid w:val="00C26FDC"/>
    <w:rsid w:val="00C27EE1"/>
    <w:rsid w:val="00C31930"/>
    <w:rsid w:val="00C3689D"/>
    <w:rsid w:val="00C369FF"/>
    <w:rsid w:val="00C37E44"/>
    <w:rsid w:val="00C4092D"/>
    <w:rsid w:val="00C411AE"/>
    <w:rsid w:val="00C45C40"/>
    <w:rsid w:val="00C46380"/>
    <w:rsid w:val="00C513F6"/>
    <w:rsid w:val="00C52BBA"/>
    <w:rsid w:val="00C542DB"/>
    <w:rsid w:val="00C5690F"/>
    <w:rsid w:val="00C57148"/>
    <w:rsid w:val="00C62E69"/>
    <w:rsid w:val="00C648EA"/>
    <w:rsid w:val="00C656F3"/>
    <w:rsid w:val="00C66279"/>
    <w:rsid w:val="00C67940"/>
    <w:rsid w:val="00C7038C"/>
    <w:rsid w:val="00C73AF2"/>
    <w:rsid w:val="00C75622"/>
    <w:rsid w:val="00C80AA8"/>
    <w:rsid w:val="00C81E57"/>
    <w:rsid w:val="00C823F3"/>
    <w:rsid w:val="00C82681"/>
    <w:rsid w:val="00C83EB5"/>
    <w:rsid w:val="00C856DF"/>
    <w:rsid w:val="00C85875"/>
    <w:rsid w:val="00C8600B"/>
    <w:rsid w:val="00C866A2"/>
    <w:rsid w:val="00C86DD6"/>
    <w:rsid w:val="00C91D55"/>
    <w:rsid w:val="00C9279C"/>
    <w:rsid w:val="00C93262"/>
    <w:rsid w:val="00C95023"/>
    <w:rsid w:val="00CA0301"/>
    <w:rsid w:val="00CA124D"/>
    <w:rsid w:val="00CA1836"/>
    <w:rsid w:val="00CA5E6B"/>
    <w:rsid w:val="00CA6910"/>
    <w:rsid w:val="00CB37F4"/>
    <w:rsid w:val="00CB4C98"/>
    <w:rsid w:val="00CB5252"/>
    <w:rsid w:val="00CC08C9"/>
    <w:rsid w:val="00CC10F7"/>
    <w:rsid w:val="00CC2CE5"/>
    <w:rsid w:val="00CC4F57"/>
    <w:rsid w:val="00CC532D"/>
    <w:rsid w:val="00CC5903"/>
    <w:rsid w:val="00CD17B7"/>
    <w:rsid w:val="00CD2714"/>
    <w:rsid w:val="00CD2C7A"/>
    <w:rsid w:val="00CD7DCB"/>
    <w:rsid w:val="00CE1169"/>
    <w:rsid w:val="00CE1A94"/>
    <w:rsid w:val="00CE3D32"/>
    <w:rsid w:val="00CE3F58"/>
    <w:rsid w:val="00CE46ED"/>
    <w:rsid w:val="00CE6AF0"/>
    <w:rsid w:val="00CE7AF6"/>
    <w:rsid w:val="00CF2F1B"/>
    <w:rsid w:val="00CF3787"/>
    <w:rsid w:val="00CF4A97"/>
    <w:rsid w:val="00CF5581"/>
    <w:rsid w:val="00D01544"/>
    <w:rsid w:val="00D03566"/>
    <w:rsid w:val="00D06300"/>
    <w:rsid w:val="00D07529"/>
    <w:rsid w:val="00D104D0"/>
    <w:rsid w:val="00D10725"/>
    <w:rsid w:val="00D1228E"/>
    <w:rsid w:val="00D12639"/>
    <w:rsid w:val="00D206F2"/>
    <w:rsid w:val="00D25BE7"/>
    <w:rsid w:val="00D2746D"/>
    <w:rsid w:val="00D27549"/>
    <w:rsid w:val="00D316A2"/>
    <w:rsid w:val="00D3397D"/>
    <w:rsid w:val="00D33B7D"/>
    <w:rsid w:val="00D435E7"/>
    <w:rsid w:val="00D44C57"/>
    <w:rsid w:val="00D45AEC"/>
    <w:rsid w:val="00D47FC4"/>
    <w:rsid w:val="00D518C4"/>
    <w:rsid w:val="00D526A1"/>
    <w:rsid w:val="00D526CA"/>
    <w:rsid w:val="00D53029"/>
    <w:rsid w:val="00D53FEF"/>
    <w:rsid w:val="00D5413C"/>
    <w:rsid w:val="00D562CB"/>
    <w:rsid w:val="00D57754"/>
    <w:rsid w:val="00D60DDB"/>
    <w:rsid w:val="00D61082"/>
    <w:rsid w:val="00D62994"/>
    <w:rsid w:val="00D63ACE"/>
    <w:rsid w:val="00D63CAB"/>
    <w:rsid w:val="00D67529"/>
    <w:rsid w:val="00D76E6C"/>
    <w:rsid w:val="00D81B04"/>
    <w:rsid w:val="00D832D6"/>
    <w:rsid w:val="00D86532"/>
    <w:rsid w:val="00D86A94"/>
    <w:rsid w:val="00D91C64"/>
    <w:rsid w:val="00D94A45"/>
    <w:rsid w:val="00D963C5"/>
    <w:rsid w:val="00D96D6F"/>
    <w:rsid w:val="00DA362E"/>
    <w:rsid w:val="00DB08F7"/>
    <w:rsid w:val="00DB300B"/>
    <w:rsid w:val="00DB43D1"/>
    <w:rsid w:val="00DB52CE"/>
    <w:rsid w:val="00DB5372"/>
    <w:rsid w:val="00DB7025"/>
    <w:rsid w:val="00DC0438"/>
    <w:rsid w:val="00DC0663"/>
    <w:rsid w:val="00DC0704"/>
    <w:rsid w:val="00DC1E25"/>
    <w:rsid w:val="00DC311D"/>
    <w:rsid w:val="00DC63A3"/>
    <w:rsid w:val="00DC6DD1"/>
    <w:rsid w:val="00DC7A8A"/>
    <w:rsid w:val="00DC7E06"/>
    <w:rsid w:val="00DC7E73"/>
    <w:rsid w:val="00DD23ED"/>
    <w:rsid w:val="00DD4975"/>
    <w:rsid w:val="00DD6EB2"/>
    <w:rsid w:val="00DE063C"/>
    <w:rsid w:val="00DF2DCD"/>
    <w:rsid w:val="00DF2FEE"/>
    <w:rsid w:val="00DF5E8A"/>
    <w:rsid w:val="00DF66CC"/>
    <w:rsid w:val="00E005FD"/>
    <w:rsid w:val="00E00E7D"/>
    <w:rsid w:val="00E05491"/>
    <w:rsid w:val="00E05E41"/>
    <w:rsid w:val="00E06870"/>
    <w:rsid w:val="00E06D2B"/>
    <w:rsid w:val="00E07A21"/>
    <w:rsid w:val="00E10FF7"/>
    <w:rsid w:val="00E12C7C"/>
    <w:rsid w:val="00E1722C"/>
    <w:rsid w:val="00E174B1"/>
    <w:rsid w:val="00E2066B"/>
    <w:rsid w:val="00E20C98"/>
    <w:rsid w:val="00E20E14"/>
    <w:rsid w:val="00E21C25"/>
    <w:rsid w:val="00E21FAA"/>
    <w:rsid w:val="00E25A3E"/>
    <w:rsid w:val="00E25DA3"/>
    <w:rsid w:val="00E25EAE"/>
    <w:rsid w:val="00E309F6"/>
    <w:rsid w:val="00E349B4"/>
    <w:rsid w:val="00E35B50"/>
    <w:rsid w:val="00E40D22"/>
    <w:rsid w:val="00E4101D"/>
    <w:rsid w:val="00E412F5"/>
    <w:rsid w:val="00E459CC"/>
    <w:rsid w:val="00E47AAD"/>
    <w:rsid w:val="00E5362C"/>
    <w:rsid w:val="00E53AB0"/>
    <w:rsid w:val="00E567F3"/>
    <w:rsid w:val="00E570F6"/>
    <w:rsid w:val="00E5782F"/>
    <w:rsid w:val="00E616EC"/>
    <w:rsid w:val="00E6176A"/>
    <w:rsid w:val="00E61BD7"/>
    <w:rsid w:val="00E64320"/>
    <w:rsid w:val="00E64BBA"/>
    <w:rsid w:val="00E64C4A"/>
    <w:rsid w:val="00E665C9"/>
    <w:rsid w:val="00E66775"/>
    <w:rsid w:val="00E70EB2"/>
    <w:rsid w:val="00E74649"/>
    <w:rsid w:val="00E7498F"/>
    <w:rsid w:val="00E83361"/>
    <w:rsid w:val="00E85B7D"/>
    <w:rsid w:val="00E85F72"/>
    <w:rsid w:val="00E86F64"/>
    <w:rsid w:val="00E900A2"/>
    <w:rsid w:val="00E901E6"/>
    <w:rsid w:val="00E90C84"/>
    <w:rsid w:val="00E91139"/>
    <w:rsid w:val="00E92D94"/>
    <w:rsid w:val="00E9371D"/>
    <w:rsid w:val="00EA1594"/>
    <w:rsid w:val="00EA22FE"/>
    <w:rsid w:val="00EA2E23"/>
    <w:rsid w:val="00EA39CC"/>
    <w:rsid w:val="00EA457E"/>
    <w:rsid w:val="00EB1039"/>
    <w:rsid w:val="00EB17A1"/>
    <w:rsid w:val="00EB1F2F"/>
    <w:rsid w:val="00EB2F1B"/>
    <w:rsid w:val="00EB4E5D"/>
    <w:rsid w:val="00EB64F4"/>
    <w:rsid w:val="00EB686C"/>
    <w:rsid w:val="00EB6F76"/>
    <w:rsid w:val="00EB7E1F"/>
    <w:rsid w:val="00EC01F5"/>
    <w:rsid w:val="00EC266E"/>
    <w:rsid w:val="00EC3E58"/>
    <w:rsid w:val="00EC537C"/>
    <w:rsid w:val="00EC5C3B"/>
    <w:rsid w:val="00EC634F"/>
    <w:rsid w:val="00ED0E7E"/>
    <w:rsid w:val="00ED1879"/>
    <w:rsid w:val="00ED2C58"/>
    <w:rsid w:val="00ED3B4A"/>
    <w:rsid w:val="00ED4BC6"/>
    <w:rsid w:val="00ED77BB"/>
    <w:rsid w:val="00EE40DA"/>
    <w:rsid w:val="00EE4700"/>
    <w:rsid w:val="00EE4CDD"/>
    <w:rsid w:val="00EF0B95"/>
    <w:rsid w:val="00EF19D8"/>
    <w:rsid w:val="00EF251D"/>
    <w:rsid w:val="00EF3B96"/>
    <w:rsid w:val="00EF538A"/>
    <w:rsid w:val="00EF6696"/>
    <w:rsid w:val="00F032AC"/>
    <w:rsid w:val="00F03CDD"/>
    <w:rsid w:val="00F07DEA"/>
    <w:rsid w:val="00F105D3"/>
    <w:rsid w:val="00F15701"/>
    <w:rsid w:val="00F1651C"/>
    <w:rsid w:val="00F20AED"/>
    <w:rsid w:val="00F231AD"/>
    <w:rsid w:val="00F270E2"/>
    <w:rsid w:val="00F27DAA"/>
    <w:rsid w:val="00F27FB1"/>
    <w:rsid w:val="00F3146A"/>
    <w:rsid w:val="00F31EC0"/>
    <w:rsid w:val="00F334AB"/>
    <w:rsid w:val="00F441EB"/>
    <w:rsid w:val="00F44702"/>
    <w:rsid w:val="00F44E5D"/>
    <w:rsid w:val="00F502EC"/>
    <w:rsid w:val="00F51485"/>
    <w:rsid w:val="00F534DB"/>
    <w:rsid w:val="00F54E9A"/>
    <w:rsid w:val="00F57C9A"/>
    <w:rsid w:val="00F61F5A"/>
    <w:rsid w:val="00F64481"/>
    <w:rsid w:val="00F64E4F"/>
    <w:rsid w:val="00F67914"/>
    <w:rsid w:val="00F7370A"/>
    <w:rsid w:val="00F74F6B"/>
    <w:rsid w:val="00F75A90"/>
    <w:rsid w:val="00F75ABC"/>
    <w:rsid w:val="00F76ED1"/>
    <w:rsid w:val="00F7751F"/>
    <w:rsid w:val="00F80059"/>
    <w:rsid w:val="00F818D8"/>
    <w:rsid w:val="00F81DCA"/>
    <w:rsid w:val="00F82008"/>
    <w:rsid w:val="00F8553B"/>
    <w:rsid w:val="00F85819"/>
    <w:rsid w:val="00F870AE"/>
    <w:rsid w:val="00F9039A"/>
    <w:rsid w:val="00F91C1B"/>
    <w:rsid w:val="00F920AA"/>
    <w:rsid w:val="00F93746"/>
    <w:rsid w:val="00F947DE"/>
    <w:rsid w:val="00F94F91"/>
    <w:rsid w:val="00FA2B84"/>
    <w:rsid w:val="00FA65C3"/>
    <w:rsid w:val="00FA7B83"/>
    <w:rsid w:val="00FB0274"/>
    <w:rsid w:val="00FB02F4"/>
    <w:rsid w:val="00FB20CB"/>
    <w:rsid w:val="00FB58DC"/>
    <w:rsid w:val="00FB5CB1"/>
    <w:rsid w:val="00FB69EF"/>
    <w:rsid w:val="00FB7724"/>
    <w:rsid w:val="00FC360B"/>
    <w:rsid w:val="00FC36C6"/>
    <w:rsid w:val="00FC47C0"/>
    <w:rsid w:val="00FC5E8B"/>
    <w:rsid w:val="00FC6D0B"/>
    <w:rsid w:val="00FD1349"/>
    <w:rsid w:val="00FD1648"/>
    <w:rsid w:val="00FD248B"/>
    <w:rsid w:val="00FD3705"/>
    <w:rsid w:val="00FD3C3A"/>
    <w:rsid w:val="00FD3CCB"/>
    <w:rsid w:val="00FD3F9C"/>
    <w:rsid w:val="00FD5A2F"/>
    <w:rsid w:val="00FD7708"/>
    <w:rsid w:val="00FD7AB5"/>
    <w:rsid w:val="00FE174E"/>
    <w:rsid w:val="00FE2656"/>
    <w:rsid w:val="00FE51C6"/>
    <w:rsid w:val="00FE62EA"/>
    <w:rsid w:val="00FE76CA"/>
    <w:rsid w:val="00FF236F"/>
    <w:rsid w:val="00FF253E"/>
    <w:rsid w:val="00FF2F59"/>
    <w:rsid w:val="00FF4012"/>
    <w:rsid w:val="024E8512"/>
    <w:rsid w:val="0643CECF"/>
    <w:rsid w:val="073267BE"/>
    <w:rsid w:val="0CD1C856"/>
    <w:rsid w:val="0D7089AC"/>
    <w:rsid w:val="114C3BCD"/>
    <w:rsid w:val="1707CE20"/>
    <w:rsid w:val="188EA211"/>
    <w:rsid w:val="18C27CB8"/>
    <w:rsid w:val="19DB8B0E"/>
    <w:rsid w:val="1B7A6BB2"/>
    <w:rsid w:val="1C4D8CB9"/>
    <w:rsid w:val="1F147A64"/>
    <w:rsid w:val="204FD2B9"/>
    <w:rsid w:val="2076819C"/>
    <w:rsid w:val="20BCB86D"/>
    <w:rsid w:val="2146737A"/>
    <w:rsid w:val="2B9CB93C"/>
    <w:rsid w:val="3023DE5D"/>
    <w:rsid w:val="30CE0C76"/>
    <w:rsid w:val="31267ED9"/>
    <w:rsid w:val="3561893C"/>
    <w:rsid w:val="36C67657"/>
    <w:rsid w:val="37AAC614"/>
    <w:rsid w:val="38A04D3B"/>
    <w:rsid w:val="39ABB8A4"/>
    <w:rsid w:val="3B925F96"/>
    <w:rsid w:val="3CC5BCA3"/>
    <w:rsid w:val="3D713CC3"/>
    <w:rsid w:val="3E9C6B5E"/>
    <w:rsid w:val="42F692FD"/>
    <w:rsid w:val="4529FF43"/>
    <w:rsid w:val="4826E787"/>
    <w:rsid w:val="4E389C3C"/>
    <w:rsid w:val="537CED66"/>
    <w:rsid w:val="58B39F43"/>
    <w:rsid w:val="5E2DB9F5"/>
    <w:rsid w:val="60794859"/>
    <w:rsid w:val="60860438"/>
    <w:rsid w:val="62EF6AF9"/>
    <w:rsid w:val="62F1B8C7"/>
    <w:rsid w:val="63FEB75E"/>
    <w:rsid w:val="68C0A377"/>
    <w:rsid w:val="68C103CC"/>
    <w:rsid w:val="6D8CF578"/>
    <w:rsid w:val="716E6352"/>
    <w:rsid w:val="76CF036D"/>
    <w:rsid w:val="77F83F4F"/>
    <w:rsid w:val="7B743F88"/>
    <w:rsid w:val="7CDC21FB"/>
    <w:rsid w:val="7E98F43E"/>
    <w:rsid w:val="7F4479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976C2"/>
  <w15:chartTrackingRefBased/>
  <w15:docId w15:val="{A7824685-B9AE-45D1-8B21-D722847E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F1"/>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BalloonText">
    <w:name w:val="Balloon Text"/>
    <w:basedOn w:val="Normal"/>
    <w:link w:val="BalloonTextChar"/>
    <w:uiPriority w:val="99"/>
    <w:semiHidden/>
    <w:unhideWhenUsed/>
    <w:rsid w:val="0083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97"/>
    <w:rPr>
      <w:rFonts w:ascii="Segoe UI" w:hAnsi="Segoe UI" w:cs="Segoe UI"/>
      <w:sz w:val="18"/>
      <w:szCs w:val="18"/>
      <w:lang w:val="en-GB"/>
    </w:rPr>
  </w:style>
  <w:style w:type="character" w:styleId="CommentReference">
    <w:name w:val="annotation reference"/>
    <w:basedOn w:val="DefaultParagraphFont"/>
    <w:uiPriority w:val="99"/>
    <w:semiHidden/>
    <w:unhideWhenUsed/>
    <w:rsid w:val="00DB43D1"/>
    <w:rPr>
      <w:sz w:val="16"/>
      <w:szCs w:val="16"/>
    </w:rPr>
  </w:style>
  <w:style w:type="paragraph" w:styleId="CommentText">
    <w:name w:val="annotation text"/>
    <w:basedOn w:val="Normal"/>
    <w:link w:val="CommentTextChar"/>
    <w:uiPriority w:val="99"/>
    <w:unhideWhenUsed/>
    <w:rsid w:val="00DB43D1"/>
    <w:pPr>
      <w:spacing w:line="240" w:lineRule="auto"/>
    </w:pPr>
    <w:rPr>
      <w:sz w:val="20"/>
      <w:szCs w:val="20"/>
    </w:rPr>
  </w:style>
  <w:style w:type="character" w:customStyle="1" w:styleId="CommentTextChar">
    <w:name w:val="Comment Text Char"/>
    <w:basedOn w:val="DefaultParagraphFont"/>
    <w:link w:val="CommentText"/>
    <w:uiPriority w:val="99"/>
    <w:rsid w:val="00DB43D1"/>
    <w:rPr>
      <w:sz w:val="20"/>
      <w:szCs w:val="20"/>
      <w:lang w:val="en-GB"/>
    </w:rPr>
  </w:style>
  <w:style w:type="paragraph" w:styleId="CommentSubject">
    <w:name w:val="annotation subject"/>
    <w:basedOn w:val="CommentText"/>
    <w:next w:val="CommentText"/>
    <w:link w:val="CommentSubjectChar"/>
    <w:uiPriority w:val="99"/>
    <w:semiHidden/>
    <w:unhideWhenUsed/>
    <w:rsid w:val="00DB43D1"/>
    <w:rPr>
      <w:b/>
      <w:bCs/>
    </w:rPr>
  </w:style>
  <w:style w:type="character" w:customStyle="1" w:styleId="CommentSubjectChar">
    <w:name w:val="Comment Subject Char"/>
    <w:basedOn w:val="CommentTextChar"/>
    <w:link w:val="CommentSubject"/>
    <w:uiPriority w:val="99"/>
    <w:semiHidden/>
    <w:rsid w:val="00DB43D1"/>
    <w:rPr>
      <w:b/>
      <w:bCs/>
      <w:sz w:val="20"/>
      <w:szCs w:val="20"/>
      <w:lang w:val="en-GB"/>
    </w:rPr>
  </w:style>
  <w:style w:type="paragraph" w:styleId="ListParagraph">
    <w:name w:val="List Paragraph"/>
    <w:aliases w:val="List Paragraph Char Char Char,Indicator Text,Numbered Para 1,Bullet 1,List Paragraph12,MAIN CONTENT,L"/>
    <w:basedOn w:val="Normal"/>
    <w:uiPriority w:val="34"/>
    <w:qFormat/>
    <w:rsid w:val="00DF2FEE"/>
    <w:pPr>
      <w:ind w:left="720"/>
      <w:contextualSpacing/>
    </w:pPr>
  </w:style>
  <w:style w:type="paragraph" w:styleId="Header">
    <w:name w:val="header"/>
    <w:basedOn w:val="Normal"/>
    <w:link w:val="HeaderChar"/>
    <w:uiPriority w:val="99"/>
    <w:unhideWhenUsed/>
    <w:rsid w:val="00081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C54"/>
    <w:rPr>
      <w:lang w:val="en-GB"/>
    </w:rPr>
  </w:style>
  <w:style w:type="paragraph" w:styleId="Footer">
    <w:name w:val="footer"/>
    <w:basedOn w:val="Normal"/>
    <w:link w:val="FooterChar"/>
    <w:uiPriority w:val="99"/>
    <w:unhideWhenUsed/>
    <w:rsid w:val="00081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C54"/>
    <w:rPr>
      <w:lang w:val="en-GB"/>
    </w:rPr>
  </w:style>
  <w:style w:type="paragraph" w:styleId="Revision">
    <w:name w:val="Revision"/>
    <w:hidden/>
    <w:uiPriority w:val="99"/>
    <w:semiHidden/>
    <w:rsid w:val="00600AAB"/>
    <w:pPr>
      <w:spacing w:after="0" w:line="240" w:lineRule="auto"/>
    </w:pPr>
    <w:rPr>
      <w:lang w:val="en-GB"/>
    </w:rPr>
  </w:style>
  <w:style w:type="table" w:styleId="TableGrid">
    <w:name w:val="Table Grid"/>
    <w:basedOn w:val="TableNormal"/>
    <w:uiPriority w:val="39"/>
    <w:rsid w:val="00A2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ﬂnotentextf,Footnote Text Blue,Geneva 9,Font: Geneva 9,Boston 10,f,Podrozdział,Footnote Text Char Char Char Char Char Char,Tekst przypisu,Footnote Text Char Char Char,Footnote,fn,ft,Footnote Text Char Char"/>
    <w:basedOn w:val="Normal"/>
    <w:link w:val="FootnoteTextChar"/>
    <w:uiPriority w:val="99"/>
    <w:unhideWhenUsed/>
    <w:qFormat/>
    <w:rsid w:val="00C27EE1"/>
    <w:pPr>
      <w:spacing w:after="0" w:line="240" w:lineRule="auto"/>
    </w:pPr>
    <w:rPr>
      <w:sz w:val="20"/>
      <w:szCs w:val="20"/>
    </w:rPr>
  </w:style>
  <w:style w:type="character" w:customStyle="1" w:styleId="FootnoteTextChar">
    <w:name w:val="Footnote Text Char"/>
    <w:aliases w:val="Fußnotentextf Char,Fuﬂnotentextf Char,Footnote Text Blue Char,Geneva 9 Char,Font: Geneva 9 Char,Boston 10 Char,f Char,Podrozdział Char,Footnote Text Char Char Char Char Char Char Char,Tekst przypisu Char,Footnote Char,fn Char,ft Char"/>
    <w:basedOn w:val="DefaultParagraphFont"/>
    <w:link w:val="FootnoteText"/>
    <w:uiPriority w:val="99"/>
    <w:rsid w:val="00C27EE1"/>
    <w:rPr>
      <w:sz w:val="20"/>
      <w:szCs w:val="20"/>
      <w:lang w:val="en-GB"/>
    </w:rPr>
  </w:style>
  <w:style w:type="character" w:styleId="FootnoteReference">
    <w:name w:val="footnote reference"/>
    <w:aliases w:val="16 Point,Superscript 6 Point,Char Char,Ref,de nota al pie,Footnote Reference Superscript,Footnote symbol,BVI fnr,ftref,BVI fnr Char Car Char,ftref Char Car Char,16 Point Char Car Char,Footnote reference number,note TESI,Char Char1"/>
    <w:basedOn w:val="DefaultParagraphFont"/>
    <w:link w:val="BVIfnrCharCar1CarChar"/>
    <w:uiPriority w:val="99"/>
    <w:unhideWhenUsed/>
    <w:qFormat/>
    <w:rsid w:val="00C27EE1"/>
    <w:rPr>
      <w:vertAlign w:val="superscript"/>
    </w:rPr>
  </w:style>
  <w:style w:type="character" w:styleId="Hyperlink">
    <w:name w:val="Hyperlink"/>
    <w:basedOn w:val="DefaultParagraphFont"/>
    <w:uiPriority w:val="99"/>
    <w:unhideWhenUsed/>
    <w:rsid w:val="00E83361"/>
    <w:rPr>
      <w:color w:val="0563C1" w:themeColor="hyperlink"/>
      <w:u w:val="single"/>
    </w:rPr>
  </w:style>
  <w:style w:type="character" w:styleId="UnresolvedMention">
    <w:name w:val="Unresolved Mention"/>
    <w:basedOn w:val="DefaultParagraphFont"/>
    <w:uiPriority w:val="99"/>
    <w:unhideWhenUsed/>
    <w:rsid w:val="00E83361"/>
    <w:rPr>
      <w:color w:val="605E5C"/>
      <w:shd w:val="clear" w:color="auto" w:fill="E1DFDD"/>
    </w:rPr>
  </w:style>
  <w:style w:type="character" w:styleId="Strong">
    <w:name w:val="Strong"/>
    <w:basedOn w:val="DefaultParagraphFont"/>
    <w:uiPriority w:val="22"/>
    <w:qFormat/>
    <w:rsid w:val="008D7A36"/>
    <w:rPr>
      <w:b/>
      <w:bCs/>
    </w:rPr>
  </w:style>
  <w:style w:type="paragraph" w:customStyle="1" w:styleId="BVIfnrCharCar1CarChar">
    <w:name w:val="BVI fnr Char Car1 Car Char"/>
    <w:aliases w:val="BVI fnr Char Car Car Char,ftref Char Car Car Char,BVI fnr Char Car Char Char Car Car Char,ftref Char Car Char Char Car Car Char,BVI fnr Char,BVI fnr1,BVI fnr Car Car"/>
    <w:basedOn w:val="Normal"/>
    <w:next w:val="Normal"/>
    <w:link w:val="FootnoteReference"/>
    <w:uiPriority w:val="99"/>
    <w:rsid w:val="00F534DB"/>
    <w:pPr>
      <w:spacing w:after="0" w:line="240" w:lineRule="exact"/>
    </w:pPr>
    <w:rPr>
      <w:vertAlign w:val="superscript"/>
      <w:lang w:val="en-US"/>
    </w:rPr>
  </w:style>
  <w:style w:type="character" w:styleId="Mention">
    <w:name w:val="Mention"/>
    <w:basedOn w:val="DefaultParagraphFont"/>
    <w:uiPriority w:val="99"/>
    <w:unhideWhenUsed/>
    <w:rsid w:val="007D31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unsdg.un.org/resources/guidance-note-human-rights-due-diligence-policy-un-support-non-united-nations-security" TargetMode="External"/><Relationship Id="rId1" Type="http://schemas.openxmlformats.org/officeDocument/2006/relationships/hyperlink" Target="https://www.pravojustice.eu/post/implementation-model-court-solutions-mid-term-expert-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E2765BC3F03D40BBCF4D8A942E1430" ma:contentTypeVersion="11" ma:contentTypeDescription="Create a new document." ma:contentTypeScope="" ma:versionID="6546ccb8721ab759f24c945bfec2ad90">
  <xsd:schema xmlns:xsd="http://www.w3.org/2001/XMLSchema" xmlns:xs="http://www.w3.org/2001/XMLSchema" xmlns:p="http://schemas.microsoft.com/office/2006/metadata/properties" xmlns:ns3="fb2975a7-41d7-409b-84cc-7b3503a95a02" xmlns:ns4="51902a45-168f-48b7-9bc6-0c4dda548107" targetNamespace="http://schemas.microsoft.com/office/2006/metadata/properties" ma:root="true" ma:fieldsID="6bd6aee3c15f0582a6ce91a39a6e6fd3" ns3:_="" ns4:_="">
    <xsd:import namespace="fb2975a7-41d7-409b-84cc-7b3503a95a02"/>
    <xsd:import namespace="51902a45-168f-48b7-9bc6-0c4dda5481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75a7-41d7-409b-84cc-7b3503a95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02a45-168f-48b7-9bc6-0c4dda5481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C1765-524E-4D11-9232-538E663734E9}">
  <ds:schemaRefs>
    <ds:schemaRef ds:uri="http://schemas.openxmlformats.org/officeDocument/2006/bibliography"/>
  </ds:schemaRefs>
</ds:datastoreItem>
</file>

<file path=customXml/itemProps2.xml><?xml version="1.0" encoding="utf-8"?>
<ds:datastoreItem xmlns:ds="http://schemas.openxmlformats.org/officeDocument/2006/customXml" ds:itemID="{7FD4321B-DAE5-4541-89AE-C33147F2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75a7-41d7-409b-84cc-7b3503a95a02"/>
    <ds:schemaRef ds:uri="51902a45-168f-48b7-9bc6-0c4dda548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E502A-5D0C-4A49-8BB4-A17E53E12F49}">
  <ds:schemaRefs>
    <ds:schemaRef ds:uri="http://schemas.microsoft.com/sharepoint/v3/contenttype/forms"/>
  </ds:schemaRefs>
</ds:datastoreItem>
</file>

<file path=customXml/itemProps4.xml><?xml version="1.0" encoding="utf-8"?>
<ds:datastoreItem xmlns:ds="http://schemas.openxmlformats.org/officeDocument/2006/customXml" ds:itemID="{9F65392F-057E-4B8F-BAC2-B599BED87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Beamie Moses Seiwoh</dc:creator>
  <cp:keywords/>
  <dc:description/>
  <cp:lastModifiedBy>Farooq AlWakeel</cp:lastModifiedBy>
  <cp:revision>7</cp:revision>
  <dcterms:created xsi:type="dcterms:W3CDTF">2022-03-27T09:56:00Z</dcterms:created>
  <dcterms:modified xsi:type="dcterms:W3CDTF">2022-03-28T06:21:00Z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0x010100EDE2765BC3F03D40BBCF4D8A942E1430</vt:lpwstr>
  </property>
</Properties>
</file>