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9E3B" w14:textId="2BAA0DE5" w:rsidR="0096080D" w:rsidRPr="00156A6A" w:rsidRDefault="00467089" w:rsidP="00156A6A">
      <w:pPr>
        <w:pStyle w:val="Heading2"/>
        <w:spacing w:before="0" w:line="240" w:lineRule="auto"/>
        <w:jc w:val="center"/>
        <w:rPr>
          <w:rFonts w:eastAsiaTheme="minorHAnsi" w:cstheme="majorHAnsi"/>
          <w:b/>
          <w:color w:val="auto"/>
        </w:rPr>
      </w:pPr>
      <w:r w:rsidRPr="00156A6A">
        <w:rPr>
          <w:rFonts w:eastAsiaTheme="minorHAnsi" w:cstheme="majorHAnsi"/>
          <w:b/>
          <w:color w:val="auto"/>
        </w:rPr>
        <w:t>Management Response</w:t>
      </w:r>
    </w:p>
    <w:p w14:paraId="406CBB04" w14:textId="77777777" w:rsidR="00A97820" w:rsidRPr="00156A6A" w:rsidRDefault="00A97820" w:rsidP="00A97820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GB"/>
        </w:rPr>
      </w:pPr>
    </w:p>
    <w:p w14:paraId="264F69F0" w14:textId="4D1C49D8" w:rsidR="00A97820" w:rsidRPr="00156A6A" w:rsidRDefault="00A97820" w:rsidP="00A978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Project Title: </w:t>
      </w:r>
      <w:r w:rsidR="00B7031E" w:rsidRPr="00156A6A"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  <w:t>Sixth Operational Phase of the GEF Small Grants Program</w:t>
      </w:r>
    </w:p>
    <w:p w14:paraId="1AA83DC7" w14:textId="77777777" w:rsidR="000222A2" w:rsidRPr="00156A6A" w:rsidRDefault="000222A2" w:rsidP="00076492">
      <w:pPr>
        <w:suppressAutoHyphens/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03BBBCA" w14:textId="316F6CA8" w:rsidR="00076492" w:rsidRPr="00156A6A" w:rsidRDefault="00A97820" w:rsidP="00076492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>UNDP PIMS</w:t>
      </w:r>
      <w:r w:rsidR="002B1E80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ID</w:t>
      </w:r>
      <w:r w:rsidRPr="00156A6A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076492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5730</w:t>
      </w:r>
      <w:r w:rsidR="00076492" w:rsidRPr="00156A6A"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  <w:tab/>
        <w:t xml:space="preserve"> </w:t>
      </w:r>
    </w:p>
    <w:p w14:paraId="42BD499C" w14:textId="7477BA87" w:rsidR="00A97820" w:rsidRPr="00156A6A" w:rsidRDefault="00A97820" w:rsidP="00076492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GEF </w:t>
      </w:r>
      <w:r w:rsidR="002B1E80" w:rsidRPr="00156A6A">
        <w:rPr>
          <w:rFonts w:asciiTheme="majorHAnsi" w:hAnsiTheme="majorHAnsi" w:cstheme="majorHAnsi"/>
          <w:b/>
          <w:bCs/>
          <w:sz w:val="20"/>
          <w:szCs w:val="20"/>
        </w:rPr>
        <w:t>ID</w:t>
      </w:r>
      <w:r w:rsidRPr="00156A6A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076492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9241</w:t>
      </w:r>
    </w:p>
    <w:p w14:paraId="72BDB3BF" w14:textId="48B2B4EF" w:rsidR="00A97820" w:rsidRPr="00156A6A" w:rsidRDefault="00A97820" w:rsidP="00A978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>Terminal Evaluatio</w:t>
      </w:r>
      <w:r w:rsidR="002B1E80" w:rsidRPr="00156A6A"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Completion Date: </w:t>
      </w:r>
      <w:r w:rsidR="00653B65" w:rsidRPr="00156A6A"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  <w:t>January 12</w:t>
      </w:r>
      <w:r w:rsidR="00653B65" w:rsidRPr="00156A6A">
        <w:rPr>
          <w:rFonts w:asciiTheme="majorHAnsi" w:eastAsia="Times New Roman" w:hAnsiTheme="majorHAnsi" w:cstheme="majorHAnsi"/>
          <w:b/>
          <w:bCs/>
          <w:sz w:val="20"/>
          <w:szCs w:val="20"/>
          <w:vertAlign w:val="superscript"/>
          <w:lang w:bidi="en-US"/>
        </w:rPr>
        <w:t>th</w:t>
      </w:r>
      <w:r w:rsidR="00653B65" w:rsidRPr="00156A6A">
        <w:rPr>
          <w:rFonts w:asciiTheme="majorHAnsi" w:eastAsia="Times New Roman" w:hAnsiTheme="majorHAnsi" w:cstheme="majorHAnsi"/>
          <w:b/>
          <w:bCs/>
          <w:sz w:val="20"/>
          <w:szCs w:val="20"/>
          <w:lang w:bidi="en-US"/>
        </w:rPr>
        <w:t>, 2022</w:t>
      </w:r>
    </w:p>
    <w:p w14:paraId="7F20A192" w14:textId="77777777" w:rsidR="00156A6A" w:rsidRDefault="00156A6A" w:rsidP="00A978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2A58A90" w14:textId="7E721E8E" w:rsidR="00A97820" w:rsidRPr="00156A6A" w:rsidRDefault="00A97820" w:rsidP="00A978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Date of Issue of Management Response: </w:t>
      </w:r>
      <w:r w:rsidR="005C52B8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5C52B8" w:rsidRPr="005C52B8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th</w:t>
      </w:r>
      <w:r w:rsidR="005C52B8">
        <w:rPr>
          <w:rFonts w:asciiTheme="majorHAnsi" w:hAnsiTheme="majorHAnsi" w:cstheme="majorHAnsi"/>
          <w:b/>
          <w:bCs/>
          <w:sz w:val="20"/>
          <w:szCs w:val="20"/>
        </w:rPr>
        <w:t xml:space="preserve"> April</w:t>
      </w:r>
      <w:r w:rsidR="00156A6A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2022</w:t>
      </w:r>
    </w:p>
    <w:p w14:paraId="53C1B0F8" w14:textId="77777777" w:rsidR="00A97820" w:rsidRPr="00156A6A" w:rsidRDefault="00A97820" w:rsidP="00A9782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8AF0145" w14:textId="7BE599FE" w:rsidR="00A97820" w:rsidRPr="00156A6A" w:rsidRDefault="00A97820" w:rsidP="00A97820">
      <w:pPr>
        <w:tabs>
          <w:tab w:val="left" w:pos="2880"/>
        </w:tabs>
        <w:spacing w:line="240" w:lineRule="auto"/>
        <w:ind w:left="2880" w:hanging="2880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Prepared by: </w:t>
      </w:r>
      <w:r w:rsidR="00156A6A" w:rsidRPr="00156A6A">
        <w:rPr>
          <w:rFonts w:asciiTheme="majorHAnsi" w:hAnsiTheme="majorHAnsi" w:cstheme="majorHAnsi"/>
          <w:b/>
          <w:bCs/>
          <w:sz w:val="20"/>
          <w:szCs w:val="20"/>
        </w:rPr>
        <w:t>Nancy Chege</w:t>
      </w:r>
      <w:r w:rsidRPr="00156A6A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7CD09279" w14:textId="00F53A08" w:rsidR="00A97820" w:rsidRPr="00156A6A" w:rsidRDefault="00A97820" w:rsidP="00A97820">
      <w:pPr>
        <w:tabs>
          <w:tab w:val="left" w:pos="2880"/>
        </w:tabs>
        <w:spacing w:line="240" w:lineRule="auto"/>
        <w:ind w:left="2880" w:hanging="2880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>Contributors:</w:t>
      </w:r>
      <w:r w:rsidR="00156A6A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Geoffrey Omedo, Evelyn Koech</w:t>
      </w:r>
    </w:p>
    <w:p w14:paraId="0463527A" w14:textId="21E35FD1" w:rsidR="00A97820" w:rsidRPr="00156A6A" w:rsidRDefault="00A97820" w:rsidP="001F2C1B">
      <w:pPr>
        <w:tabs>
          <w:tab w:val="left" w:pos="2880"/>
        </w:tabs>
        <w:spacing w:line="240" w:lineRule="auto"/>
        <w:ind w:left="2880" w:hanging="2880"/>
        <w:rPr>
          <w:rFonts w:asciiTheme="majorHAnsi" w:hAnsiTheme="majorHAnsi" w:cstheme="majorHAnsi"/>
          <w:sz w:val="20"/>
          <w:szCs w:val="20"/>
        </w:rPr>
      </w:pPr>
      <w:r w:rsidRPr="00156A6A">
        <w:rPr>
          <w:rFonts w:asciiTheme="majorHAnsi" w:hAnsiTheme="majorHAnsi" w:cstheme="majorHAnsi"/>
          <w:b/>
          <w:bCs/>
          <w:sz w:val="20"/>
          <w:szCs w:val="20"/>
        </w:rPr>
        <w:t>Cleared by:</w:t>
      </w:r>
      <w:r w:rsidR="00156A6A" w:rsidRPr="00156A6A">
        <w:rPr>
          <w:rFonts w:asciiTheme="majorHAnsi" w:hAnsiTheme="majorHAnsi" w:cstheme="majorHAnsi"/>
          <w:b/>
          <w:bCs/>
          <w:sz w:val="20"/>
          <w:szCs w:val="20"/>
        </w:rPr>
        <w:t xml:space="preserve"> Mandisa Mashologu</w:t>
      </w:r>
      <w:r w:rsidR="00156A6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9"/>
        <w:gridCol w:w="1982"/>
        <w:gridCol w:w="2037"/>
        <w:gridCol w:w="1207"/>
        <w:gridCol w:w="1031"/>
      </w:tblGrid>
      <w:tr w:rsidR="00156A6A" w:rsidRPr="00156A6A" w14:paraId="046A3B4F" w14:textId="77777777" w:rsidTr="00DC77AE">
        <w:trPr>
          <w:trHeight w:val="242"/>
        </w:trPr>
        <w:tc>
          <w:tcPr>
            <w:tcW w:w="9216" w:type="dxa"/>
            <w:gridSpan w:val="5"/>
            <w:shd w:val="clear" w:color="auto" w:fill="F3F3F3"/>
          </w:tcPr>
          <w:p w14:paraId="56532DB7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1. </w:t>
            </w:r>
          </w:p>
          <w:p w14:paraId="715FD48E" w14:textId="7B3D45BE" w:rsidR="00B63AA5" w:rsidRPr="00156A6A" w:rsidRDefault="00B63AA5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Make clear and balance the roles of S</w:t>
            </w:r>
            <w:r w:rsidR="007A03CD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trategic 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P</w:t>
            </w:r>
            <w:r w:rsidR="007A03CD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artner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s</w:t>
            </w:r>
            <w:r w:rsidR="007A03CD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 (SPs)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, </w:t>
            </w:r>
            <w:r w:rsidR="007A03CD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Capacity Development Partners (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CDPs</w:t>
            </w:r>
            <w:r w:rsidR="007A03CD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)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 and consultants.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Small grants project development require support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. This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may be the responsibility of CDPs if hired early in Project implementation or be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an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outsourced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function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. Roles and responsibilities in the field should 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however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be clear as well as the accountability of grantees towards both UNOPS with which contracts are signed and towards SPs/CDPs. Ways to cover part of the SPs staff time should be found. 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 </w:t>
            </w:r>
          </w:p>
        </w:tc>
      </w:tr>
      <w:tr w:rsidR="00156A6A" w:rsidRPr="00156A6A" w14:paraId="00741068" w14:textId="77777777" w:rsidTr="00DC77AE">
        <w:trPr>
          <w:trHeight w:val="210"/>
        </w:trPr>
        <w:tc>
          <w:tcPr>
            <w:tcW w:w="9216" w:type="dxa"/>
            <w:gridSpan w:val="5"/>
            <w:shd w:val="clear" w:color="auto" w:fill="F3F3F3"/>
          </w:tcPr>
          <w:p w14:paraId="7A71F294" w14:textId="4763D1EF" w:rsidR="00A97820" w:rsidRPr="00156A6A" w:rsidRDefault="00A97820" w:rsidP="00DC77AE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response:</w:t>
            </w:r>
            <w:r w:rsidR="00735444" w:rsidRPr="00156A6A"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1"/>
            </w:r>
            <w:r w:rsidR="00AA3C81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222A2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Fully Accept.</w:t>
            </w:r>
            <w:r w:rsidR="000222A2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F2D43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GEF SGP </w:t>
            </w:r>
            <w:r w:rsidR="00927AD5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will discuss </w:t>
            </w:r>
            <w:r w:rsidR="009C7264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roles of </w:t>
            </w:r>
            <w:r w:rsidR="00512E61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strategic partners (</w:t>
            </w:r>
            <w:r w:rsidR="009C7264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SPs</w:t>
            </w:r>
            <w:r w:rsidR="00512E61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="009C7264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512E61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Capacity Development Partners (</w:t>
            </w:r>
            <w:r w:rsidR="009C7264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CDPs</w:t>
            </w:r>
            <w:r w:rsidR="00512E61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="00F122CD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consultants </w:t>
            </w:r>
            <w:r w:rsidR="002403B6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at a</w:t>
            </w:r>
            <w:r w:rsidR="000222A2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="002403B6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NSC meeting</w:t>
            </w:r>
            <w:r w:rsidR="004F1EAC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927AD5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and</w:t>
            </w:r>
            <w:r w:rsidR="004F1EAC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thereafter </w:t>
            </w:r>
            <w:r w:rsidR="00927AD5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develop </w:t>
            </w:r>
            <w:r w:rsidR="00F122CD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their TORs</w:t>
            </w:r>
            <w:r w:rsidR="004A03CC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156A6A" w:rsidRPr="00156A6A" w14:paraId="2045421A" w14:textId="77777777" w:rsidTr="00DC77AE">
        <w:trPr>
          <w:trHeight w:val="135"/>
        </w:trPr>
        <w:tc>
          <w:tcPr>
            <w:tcW w:w="2959" w:type="dxa"/>
            <w:vMerge w:val="restart"/>
            <w:shd w:val="clear" w:color="auto" w:fill="F3F3F3"/>
          </w:tcPr>
          <w:p w14:paraId="7FA603F9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1982" w:type="dxa"/>
            <w:vMerge w:val="restart"/>
            <w:shd w:val="clear" w:color="auto" w:fill="F3F3F3"/>
          </w:tcPr>
          <w:p w14:paraId="1EF36F61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37" w:type="dxa"/>
            <w:vMerge w:val="restart"/>
            <w:shd w:val="clear" w:color="auto" w:fill="F3F3F3"/>
          </w:tcPr>
          <w:p w14:paraId="7C04AE48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38" w:type="dxa"/>
            <w:gridSpan w:val="2"/>
            <w:shd w:val="clear" w:color="auto" w:fill="F3F3F3"/>
          </w:tcPr>
          <w:p w14:paraId="5A9EFC63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  <w:r w:rsidRPr="00156A6A"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2"/>
            </w:r>
          </w:p>
        </w:tc>
      </w:tr>
      <w:tr w:rsidR="00156A6A" w:rsidRPr="00156A6A" w14:paraId="30024C57" w14:textId="77777777" w:rsidTr="00DC77AE">
        <w:trPr>
          <w:trHeight w:val="135"/>
        </w:trPr>
        <w:tc>
          <w:tcPr>
            <w:tcW w:w="2959" w:type="dxa"/>
            <w:vMerge/>
            <w:shd w:val="clear" w:color="auto" w:fill="F3F3F3"/>
          </w:tcPr>
          <w:p w14:paraId="1C0594A6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F3F3F3"/>
          </w:tcPr>
          <w:p w14:paraId="1D24566F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14:paraId="1614A7A9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14:paraId="3170AEE0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031" w:type="dxa"/>
          </w:tcPr>
          <w:p w14:paraId="4AF18EDB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  <w:r w:rsidRPr="00156A6A"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3"/>
            </w:r>
          </w:p>
        </w:tc>
      </w:tr>
      <w:tr w:rsidR="00156A6A" w:rsidRPr="00156A6A" w14:paraId="2501E1C2" w14:textId="77777777" w:rsidTr="00DC77AE">
        <w:tc>
          <w:tcPr>
            <w:tcW w:w="2959" w:type="dxa"/>
          </w:tcPr>
          <w:p w14:paraId="633764D8" w14:textId="3638BD3D" w:rsidR="00B63AA5" w:rsidRPr="00156A6A" w:rsidRDefault="00B63AA5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1.1 </w:t>
            </w:r>
            <w:r w:rsidR="00936A86" w:rsidRPr="00156A6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287B4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evelop </w:t>
            </w:r>
            <w:r w:rsidR="00D26720">
              <w:rPr>
                <w:rFonts w:asciiTheme="majorHAnsi" w:hAnsiTheme="majorHAnsi" w:cstheme="majorHAnsi"/>
                <w:sz w:val="20"/>
                <w:szCs w:val="20"/>
              </w:rPr>
              <w:t xml:space="preserve">clear and </w:t>
            </w:r>
            <w:r w:rsidR="00287B4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comprehensive TORs </w:t>
            </w:r>
            <w:r w:rsidR="00153212" w:rsidRPr="00156A6A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AA0730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="0015321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SP</w:t>
            </w:r>
            <w:r w:rsidR="00AA073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53212" w:rsidRPr="00156A6A">
              <w:rPr>
                <w:rFonts w:asciiTheme="majorHAnsi" w:hAnsiTheme="majorHAnsi" w:cstheme="majorHAnsi"/>
                <w:sz w:val="20"/>
                <w:szCs w:val="20"/>
              </w:rPr>
              <w:t>, CDPs and consultants before Call</w:t>
            </w:r>
            <w:r w:rsidR="00AA073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15321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for Proposals of SPs and CDPs</w:t>
            </w:r>
            <w:r w:rsidR="00AA0730">
              <w:rPr>
                <w:rFonts w:asciiTheme="majorHAnsi" w:hAnsiTheme="majorHAnsi" w:cstheme="majorHAnsi"/>
                <w:sz w:val="20"/>
                <w:szCs w:val="20"/>
              </w:rPr>
              <w:t xml:space="preserve"> are issued</w:t>
            </w:r>
            <w:r w:rsidR="00153212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14:paraId="5F2497FF" w14:textId="7D6C9164" w:rsidR="00B63AA5" w:rsidRPr="00156A6A" w:rsidRDefault="00775FC8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Oct 2022</w:t>
            </w:r>
          </w:p>
        </w:tc>
        <w:tc>
          <w:tcPr>
            <w:tcW w:w="2037" w:type="dxa"/>
          </w:tcPr>
          <w:p w14:paraId="19E7F033" w14:textId="75BB56F4" w:rsidR="00B63AA5" w:rsidRPr="00156A6A" w:rsidRDefault="000222A2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ountry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eam (CPT)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N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ommittee (NSC)</w:t>
            </w:r>
          </w:p>
        </w:tc>
        <w:tc>
          <w:tcPr>
            <w:tcW w:w="1207" w:type="dxa"/>
          </w:tcPr>
          <w:p w14:paraId="71F690D8" w14:textId="44194369" w:rsidR="00B63AA5" w:rsidRPr="00156A6A" w:rsidRDefault="00B63AA5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B1F90C7" w14:textId="553F04F7" w:rsidR="00B63AA5" w:rsidRPr="00156A6A" w:rsidRDefault="001035E6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 initiated. </w:t>
            </w:r>
          </w:p>
        </w:tc>
      </w:tr>
      <w:tr w:rsidR="00B63AA5" w:rsidRPr="00156A6A" w14:paraId="4274897E" w14:textId="77777777" w:rsidTr="00DC77AE">
        <w:tc>
          <w:tcPr>
            <w:tcW w:w="2959" w:type="dxa"/>
          </w:tcPr>
          <w:p w14:paraId="543EA38C" w14:textId="68BD6200" w:rsidR="00B63AA5" w:rsidRPr="00156A6A" w:rsidRDefault="00B63AA5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D2672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Circulate the TORs </w:t>
            </w:r>
            <w:r w:rsidR="001035E6">
              <w:rPr>
                <w:rFonts w:asciiTheme="majorHAnsi" w:hAnsiTheme="majorHAnsi" w:cstheme="majorHAnsi"/>
                <w:sz w:val="20"/>
                <w:szCs w:val="20"/>
              </w:rPr>
              <w:t xml:space="preserve">to the National Steering Committee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>for adoption</w:t>
            </w:r>
          </w:p>
        </w:tc>
        <w:tc>
          <w:tcPr>
            <w:tcW w:w="1982" w:type="dxa"/>
          </w:tcPr>
          <w:p w14:paraId="0215040F" w14:textId="703C5D54" w:rsidR="00B63AA5" w:rsidRPr="00156A6A" w:rsidRDefault="00775FC8" w:rsidP="000222A2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Oct 2022</w:t>
            </w:r>
          </w:p>
        </w:tc>
        <w:tc>
          <w:tcPr>
            <w:tcW w:w="2037" w:type="dxa"/>
          </w:tcPr>
          <w:p w14:paraId="7B4970E3" w14:textId="4A19E908" w:rsidR="00B63AA5" w:rsidRPr="00156A6A" w:rsidRDefault="000222A2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ountry 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rog 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>eam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, N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ational 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teering 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C04CDD" w:rsidRPr="00156A6A">
              <w:rPr>
                <w:rFonts w:asciiTheme="majorHAnsi" w:hAnsiTheme="majorHAnsi" w:cstheme="majorHAnsi"/>
                <w:sz w:val="20"/>
                <w:szCs w:val="20"/>
              </w:rPr>
              <w:t>ommittee (NSC)</w:t>
            </w:r>
          </w:p>
        </w:tc>
        <w:tc>
          <w:tcPr>
            <w:tcW w:w="1207" w:type="dxa"/>
          </w:tcPr>
          <w:p w14:paraId="4B7CB292" w14:textId="77777777" w:rsidR="00B63AA5" w:rsidRPr="00156A6A" w:rsidRDefault="00B63AA5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9DB706C" w14:textId="57BEAB41" w:rsidR="00B63AA5" w:rsidRPr="00156A6A" w:rsidRDefault="001035E6" w:rsidP="00B63AA5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 initiated. </w:t>
            </w:r>
          </w:p>
        </w:tc>
      </w:tr>
    </w:tbl>
    <w:p w14:paraId="373E4ACB" w14:textId="77777777" w:rsidR="00A97820" w:rsidRPr="00156A6A" w:rsidRDefault="00A97820" w:rsidP="00A978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003"/>
        <w:gridCol w:w="2050"/>
        <w:gridCol w:w="1208"/>
        <w:gridCol w:w="984"/>
      </w:tblGrid>
      <w:tr w:rsidR="00156A6A" w:rsidRPr="00156A6A" w14:paraId="79DFA8EF" w14:textId="77777777" w:rsidTr="00DC77AE">
        <w:tc>
          <w:tcPr>
            <w:tcW w:w="9216" w:type="dxa"/>
            <w:gridSpan w:val="5"/>
            <w:shd w:val="clear" w:color="auto" w:fill="F3F3F3"/>
          </w:tcPr>
          <w:p w14:paraId="162812AA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2. </w:t>
            </w:r>
          </w:p>
          <w:p w14:paraId="6BC82FD3" w14:textId="056E6E42" w:rsidR="00B63AA5" w:rsidRPr="00156A6A" w:rsidRDefault="00B63AA5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Develop capacity building training material at central level and share them across land/seascapes and O</w:t>
            </w:r>
            <w:r w:rsidR="00674958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perational 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P</w:t>
            </w:r>
            <w:r w:rsidR="00674958"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>hase</w:t>
            </w: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s.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Developing training material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s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at each landscape and for each OP is a waste of resources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. Hence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training </w:t>
            </w:r>
            <w:r w:rsidR="0016700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materia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l</w:t>
            </w:r>
            <w:r w:rsidR="0016700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s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can be prepared centrally and then adapted 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to suit</w:t>
            </w:r>
            <w:r w:rsidR="0016700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the site specificities and indigenous idioms/languages.</w:t>
            </w:r>
            <w:r w:rsidR="00004584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</w:t>
            </w:r>
            <w:r w:rsidR="00004584" w:rsidRPr="00004584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Planning grants should be available to support grantees to write proposals (eventually limiting </w:t>
            </w:r>
            <w:r w:rsidR="00004584" w:rsidRPr="00004584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lastRenderedPageBreak/>
              <w:t xml:space="preserve">it to those new to SGP and/or the most vulnerable). Ways to fund very small grants for CBOs demonstrating a good project idea without the complex requirement of a full project could 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also </w:t>
            </w:r>
            <w:r w:rsidR="00004584" w:rsidRPr="00004584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be explored. Ways to simplify technical and financial reporting would greatly help grantees</w:t>
            </w:r>
            <w:r w:rsidR="00D952AB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.</w:t>
            </w:r>
          </w:p>
        </w:tc>
      </w:tr>
      <w:tr w:rsidR="00156A6A" w:rsidRPr="00156A6A" w14:paraId="636FA7E8" w14:textId="77777777" w:rsidTr="00DC77AE">
        <w:tc>
          <w:tcPr>
            <w:tcW w:w="9216" w:type="dxa"/>
            <w:gridSpan w:val="5"/>
            <w:shd w:val="clear" w:color="auto" w:fill="F3F3F3"/>
          </w:tcPr>
          <w:p w14:paraId="1460DFA0" w14:textId="1EACE7A7" w:rsidR="00A97820" w:rsidRPr="00156A6A" w:rsidRDefault="00A978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Management response:</w:t>
            </w:r>
            <w:r w:rsidR="002A67A0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222A2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Fully Accept.</w:t>
            </w:r>
            <w:r w:rsidR="000222A2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946FA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674958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ountry </w:t>
            </w:r>
            <w:r w:rsidR="000946FA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674958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rog </w:t>
            </w:r>
            <w:r w:rsidR="000946FA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T</w:t>
            </w:r>
            <w:r w:rsidR="00674958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>eam (CPT)</w:t>
            </w:r>
            <w:r w:rsidR="000946FA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will hire a consultant to</w:t>
            </w:r>
            <w:r w:rsidR="00133162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centrally</w:t>
            </w:r>
            <w:r w:rsidR="000946FA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dev</w:t>
            </w:r>
            <w:r w:rsidR="00133162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elop </w:t>
            </w:r>
            <w:r w:rsidR="00AB5F4F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capacity building training material. The training material will be </w:t>
            </w:r>
            <w:r w:rsidR="00D952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adapted </w:t>
            </w:r>
            <w:r w:rsidR="0016700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and </w:t>
            </w:r>
            <w:r w:rsidR="00AB5F4F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shared </w:t>
            </w:r>
            <w:r w:rsidR="004957A7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across the </w:t>
            </w:r>
            <w:r w:rsidR="00D952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target </w:t>
            </w:r>
            <w:r w:rsidR="004957A7" w:rsidRPr="00156A6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land/seascapes. </w:t>
            </w:r>
            <w:r w:rsidR="00E03DCD">
              <w:rPr>
                <w:rFonts w:asciiTheme="majorHAnsi" w:hAnsiTheme="majorHAnsi" w:cstheme="majorHAnsi"/>
                <w:bCs/>
                <w:sz w:val="20"/>
                <w:szCs w:val="20"/>
              </w:rPr>
              <w:t>The National Steering Committee will discuss ways to support local communities develop proposals including the use of planning grants, as well as options of simplifying the templates</w:t>
            </w:r>
            <w:r w:rsidR="006C5C9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including proposal </w:t>
            </w:r>
            <w:r w:rsidR="00E03DCD">
              <w:rPr>
                <w:rFonts w:asciiTheme="majorHAnsi" w:hAnsiTheme="majorHAnsi" w:cstheme="majorHAnsi"/>
                <w:bCs/>
                <w:sz w:val="20"/>
                <w:szCs w:val="20"/>
              </w:rPr>
              <w:t>template</w:t>
            </w:r>
            <w:r w:rsidR="006C5C9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and reporting tools. </w:t>
            </w:r>
          </w:p>
        </w:tc>
      </w:tr>
      <w:tr w:rsidR="00156A6A" w:rsidRPr="00156A6A" w14:paraId="45C93A6E" w14:textId="77777777" w:rsidTr="00DC77AE">
        <w:trPr>
          <w:trHeight w:val="135"/>
        </w:trPr>
        <w:tc>
          <w:tcPr>
            <w:tcW w:w="2971" w:type="dxa"/>
            <w:vMerge w:val="restart"/>
            <w:shd w:val="clear" w:color="auto" w:fill="F3F3F3"/>
          </w:tcPr>
          <w:p w14:paraId="4D89649E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3" w:type="dxa"/>
            <w:vMerge w:val="restart"/>
            <w:shd w:val="clear" w:color="auto" w:fill="F3F3F3"/>
          </w:tcPr>
          <w:p w14:paraId="2AE5EC79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50" w:type="dxa"/>
            <w:vMerge w:val="restart"/>
            <w:shd w:val="clear" w:color="auto" w:fill="F3F3F3"/>
          </w:tcPr>
          <w:p w14:paraId="51ADA716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192" w:type="dxa"/>
            <w:gridSpan w:val="2"/>
            <w:shd w:val="clear" w:color="auto" w:fill="F3F3F3"/>
          </w:tcPr>
          <w:p w14:paraId="0DEFDBA0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2EA5B8B3" w14:textId="77777777" w:rsidTr="00DC77AE">
        <w:trPr>
          <w:trHeight w:val="135"/>
        </w:trPr>
        <w:tc>
          <w:tcPr>
            <w:tcW w:w="2971" w:type="dxa"/>
            <w:vMerge/>
            <w:shd w:val="clear" w:color="auto" w:fill="F3F3F3"/>
          </w:tcPr>
          <w:p w14:paraId="53D3555E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F3F3F3"/>
          </w:tcPr>
          <w:p w14:paraId="6D7ED4F5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F3F3F3"/>
          </w:tcPr>
          <w:p w14:paraId="35BCA4BB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210858CD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84" w:type="dxa"/>
          </w:tcPr>
          <w:p w14:paraId="58437328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4D3D7CBB" w14:textId="77777777" w:rsidTr="00DC77AE">
        <w:tc>
          <w:tcPr>
            <w:tcW w:w="2971" w:type="dxa"/>
          </w:tcPr>
          <w:p w14:paraId="26AB6579" w14:textId="2BE09335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2.1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>Procure</w:t>
            </w:r>
            <w:r w:rsidR="00916D3F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455C" w:rsidRPr="00156A6A">
              <w:rPr>
                <w:rFonts w:asciiTheme="majorHAnsi" w:hAnsiTheme="majorHAnsi" w:cstheme="majorHAnsi"/>
                <w:sz w:val="20"/>
                <w:szCs w:val="20"/>
              </w:rPr>
              <w:t>consultant to develop</w:t>
            </w:r>
            <w:r w:rsidR="007714CD">
              <w:rPr>
                <w:rFonts w:asciiTheme="majorHAnsi" w:hAnsiTheme="majorHAnsi" w:cstheme="majorHAnsi"/>
                <w:sz w:val="20"/>
                <w:szCs w:val="20"/>
              </w:rPr>
              <w:t xml:space="preserve"> a capacity development strategy followed </w:t>
            </w:r>
            <w:proofErr w:type="gramStart"/>
            <w:r w:rsidR="007714CD">
              <w:rPr>
                <w:rFonts w:asciiTheme="majorHAnsi" w:hAnsiTheme="majorHAnsi" w:cstheme="majorHAnsi"/>
                <w:sz w:val="20"/>
                <w:szCs w:val="20"/>
              </w:rPr>
              <w:t xml:space="preserve">by </w:t>
            </w:r>
            <w:r w:rsidR="00D952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5B14" w:rsidRPr="00156A6A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  <w:proofErr w:type="gramEnd"/>
            <w:r w:rsidR="007D5B14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material</w:t>
            </w:r>
            <w:r w:rsidR="0016700D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D5B14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at central level</w:t>
            </w:r>
            <w:r w:rsidR="00472515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for use </w:t>
            </w:r>
            <w:r w:rsidR="007714CD">
              <w:rPr>
                <w:rFonts w:asciiTheme="majorHAnsi" w:hAnsiTheme="majorHAnsi" w:cstheme="majorHAnsi"/>
                <w:sz w:val="20"/>
                <w:szCs w:val="20"/>
              </w:rPr>
              <w:t xml:space="preserve">and adaptation </w:t>
            </w:r>
            <w:r w:rsidR="00472515" w:rsidRPr="00156A6A">
              <w:rPr>
                <w:rFonts w:asciiTheme="majorHAnsi" w:hAnsiTheme="majorHAnsi" w:cstheme="majorHAnsi"/>
                <w:sz w:val="20"/>
                <w:szCs w:val="20"/>
              </w:rPr>
              <w:t>at the different land/seascapes</w:t>
            </w:r>
          </w:p>
        </w:tc>
        <w:tc>
          <w:tcPr>
            <w:tcW w:w="2003" w:type="dxa"/>
          </w:tcPr>
          <w:p w14:paraId="6792FD48" w14:textId="4A2F9DCB" w:rsidR="00A97820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0A083" w14:textId="4FF54563" w:rsidR="00960598" w:rsidRPr="00156A6A" w:rsidRDefault="00960598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Oct 2022</w:t>
            </w:r>
          </w:p>
        </w:tc>
        <w:tc>
          <w:tcPr>
            <w:tcW w:w="2050" w:type="dxa"/>
          </w:tcPr>
          <w:p w14:paraId="4DFA74FD" w14:textId="35887A96" w:rsidR="00A97820" w:rsidRPr="00156A6A" w:rsidRDefault="00B63AA5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ountry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C04CDD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eam (CPT)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</w:p>
        </w:tc>
        <w:tc>
          <w:tcPr>
            <w:tcW w:w="1208" w:type="dxa"/>
          </w:tcPr>
          <w:p w14:paraId="1C66FEFB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14:paraId="36509A55" w14:textId="111CB4E3" w:rsidR="00A978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</w:t>
            </w:r>
            <w:r w:rsidR="007714C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ted.</w:t>
            </w:r>
          </w:p>
        </w:tc>
      </w:tr>
      <w:tr w:rsidR="00A97820" w:rsidRPr="00156A6A" w14:paraId="708AC980" w14:textId="77777777" w:rsidTr="00DC77AE">
        <w:tc>
          <w:tcPr>
            <w:tcW w:w="2971" w:type="dxa"/>
          </w:tcPr>
          <w:p w14:paraId="4AE6E135" w14:textId="726257B7" w:rsidR="00A97820" w:rsidRPr="00156A6A" w:rsidRDefault="006C5C9F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2.2 NSC to hold discussions on</w:t>
            </w:r>
            <w:r w:rsidR="00D50827">
              <w:rPr>
                <w:rFonts w:asciiTheme="majorHAnsi" w:hAnsiTheme="majorHAnsi" w:cstheme="majorHAnsi"/>
                <w:sz w:val="20"/>
                <w:szCs w:val="20"/>
              </w:rPr>
              <w:t xml:space="preserve"> (i</w:t>
            </w:r>
            <w:proofErr w:type="gramStart"/>
            <w:r w:rsidR="00D50827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options of </w:t>
            </w:r>
            <w:r w:rsidR="00D50827">
              <w:rPr>
                <w:rFonts w:asciiTheme="majorHAnsi" w:hAnsiTheme="majorHAnsi" w:cstheme="majorHAnsi"/>
                <w:sz w:val="20"/>
                <w:szCs w:val="20"/>
              </w:rPr>
              <w:t>using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planning grants to </w:t>
            </w:r>
            <w:r w:rsidR="00D50827">
              <w:rPr>
                <w:rFonts w:asciiTheme="majorHAnsi" w:hAnsiTheme="majorHAnsi" w:cstheme="majorHAnsi"/>
                <w:sz w:val="20"/>
                <w:szCs w:val="20"/>
              </w:rPr>
              <w:t>facilitate proposal development</w:t>
            </w:r>
            <w:r w:rsidR="0096059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D50827">
              <w:rPr>
                <w:rFonts w:asciiTheme="majorHAnsi" w:hAnsiTheme="majorHAnsi" w:cstheme="majorHAnsi"/>
                <w:sz w:val="20"/>
                <w:szCs w:val="20"/>
              </w:rPr>
              <w:t xml:space="preserve"> (ii) simplifying the reporting tools</w:t>
            </w:r>
            <w:r w:rsidR="00960598">
              <w:rPr>
                <w:rFonts w:asciiTheme="majorHAnsi" w:hAnsiTheme="majorHAnsi" w:cstheme="majorHAnsi"/>
                <w:sz w:val="20"/>
                <w:szCs w:val="20"/>
              </w:rPr>
              <w:t xml:space="preserve"> and (iii) funding small project ideas without normal complex project requirements.</w:t>
            </w:r>
          </w:p>
        </w:tc>
        <w:tc>
          <w:tcPr>
            <w:tcW w:w="2003" w:type="dxa"/>
          </w:tcPr>
          <w:p w14:paraId="4FD480B0" w14:textId="7268E474" w:rsidR="00A97820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5A8ED7" w14:textId="2659C013" w:rsidR="00960598" w:rsidRPr="00156A6A" w:rsidRDefault="00960598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Oct 2022</w:t>
            </w:r>
          </w:p>
        </w:tc>
        <w:tc>
          <w:tcPr>
            <w:tcW w:w="2050" w:type="dxa"/>
          </w:tcPr>
          <w:p w14:paraId="2B2686C1" w14:textId="4FD3952C" w:rsidR="00A97820" w:rsidRPr="00156A6A" w:rsidRDefault="006551F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Country Prog Team (CPT), </w:t>
            </w:r>
          </w:p>
        </w:tc>
        <w:tc>
          <w:tcPr>
            <w:tcW w:w="1208" w:type="dxa"/>
          </w:tcPr>
          <w:p w14:paraId="000C59E2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4" w:type="dxa"/>
          </w:tcPr>
          <w:p w14:paraId="74E0D651" w14:textId="1D9A0C97" w:rsidR="00A978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 initiated. </w:t>
            </w:r>
          </w:p>
        </w:tc>
      </w:tr>
    </w:tbl>
    <w:p w14:paraId="64F97C9E" w14:textId="77777777" w:rsidR="00A97820" w:rsidRPr="00156A6A" w:rsidRDefault="00A97820" w:rsidP="00A978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64DB22E4" w14:textId="77777777" w:rsidTr="00DC77AE">
        <w:tc>
          <w:tcPr>
            <w:tcW w:w="9216" w:type="dxa"/>
            <w:gridSpan w:val="5"/>
            <w:shd w:val="clear" w:color="auto" w:fill="F3F3F3"/>
          </w:tcPr>
          <w:p w14:paraId="54AA6B43" w14:textId="77777777" w:rsidR="00B63AA5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Terminal Evaluation recommendation 3.</w:t>
            </w:r>
          </w:p>
          <w:p w14:paraId="522EB4CE" w14:textId="61A00976" w:rsidR="00A97820" w:rsidRPr="00156A6A" w:rsidRDefault="00B63AA5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Undertake an initial capacity assessment at small grant level.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Some grantees </w:t>
            </w:r>
            <w:r w:rsidR="000222A2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can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fast</w:t>
            </w:r>
            <w:r w:rsidR="000222A2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track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implement</w:t>
            </w:r>
            <w:r w:rsidR="000222A2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ation of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activities while other</w:t>
            </w:r>
            <w:r w:rsidR="00BC0EE5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s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are slower and require assistance</w:t>
            </w:r>
            <w:r w:rsidR="0016700D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. A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n initial capacity assessment and early hiring of C</w:t>
            </w:r>
            <w:r w:rsidR="00CD04E1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apacity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D</w:t>
            </w:r>
            <w:r w:rsidR="0067495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evelopment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P</w:t>
            </w:r>
            <w:r w:rsidR="0067495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artner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s</w:t>
            </w:r>
            <w:r w:rsidR="0067495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(CDPs)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would indicate where to provide more initial assistance to ensure everybody works toward a common objective, within limited time and resources.</w:t>
            </w:r>
            <w:r w:rsidR="00A97820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156A6A" w:rsidRPr="00156A6A" w14:paraId="50F11EA1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45D67FC9" w14:textId="78613233" w:rsidR="00A97820" w:rsidRPr="00156A6A" w:rsidRDefault="00A978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50827">
              <w:rPr>
                <w:rFonts w:asciiTheme="majorHAnsi" w:hAnsiTheme="majorHAnsi" w:cstheme="majorHAnsi"/>
                <w:sz w:val="20"/>
                <w:szCs w:val="20"/>
              </w:rPr>
              <w:t xml:space="preserve">Fully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>Accept. C</w:t>
            </w:r>
            <w:r w:rsidR="00105DC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onduct a training needs assessment of the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>CBO’s</w:t>
            </w:r>
            <w:r w:rsidR="00105DC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, to determine the specific </w:t>
            </w:r>
            <w:r w:rsidR="005A2FAA" w:rsidRPr="00156A6A">
              <w:rPr>
                <w:rFonts w:asciiTheme="majorHAnsi" w:hAnsiTheme="majorHAnsi" w:cstheme="majorHAnsi"/>
                <w:sz w:val="20"/>
                <w:szCs w:val="20"/>
              </w:rPr>
              <w:t>technical assistance they require to facilitate project implementation.</w:t>
            </w:r>
          </w:p>
        </w:tc>
      </w:tr>
      <w:tr w:rsidR="00156A6A" w:rsidRPr="00156A6A" w14:paraId="1F57FB38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30F3CF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A06268F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9023E67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620B1F6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78A56EE2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D4D4673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894589B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E18204E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1CB1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05694C" w14:textId="77777777" w:rsidR="00A97820" w:rsidRPr="00156A6A" w:rsidRDefault="00A978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7076FF51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1FA" w14:textId="748871ED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3.1 </w:t>
            </w:r>
            <w:r w:rsidR="00EA0F98" w:rsidRPr="00156A6A">
              <w:rPr>
                <w:rFonts w:asciiTheme="majorHAnsi" w:hAnsiTheme="majorHAnsi" w:cstheme="majorHAnsi"/>
                <w:sz w:val="20"/>
                <w:szCs w:val="20"/>
              </w:rPr>
              <w:t>Award grants to capacity development partners (CDPs) in the early stages of GEF 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06D6" w14:textId="5E9A3886" w:rsidR="00A97820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D36A04" w14:textId="51CDE560" w:rsidR="00960598" w:rsidRPr="00156A6A" w:rsidRDefault="00960598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 – Dec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0195" w14:textId="410C36AE" w:rsidR="00A97820" w:rsidRPr="00156A6A" w:rsidRDefault="00B63AA5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395A36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ountry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395A36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395A36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eam</w:t>
            </w:r>
            <w:r w:rsidR="00905A86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(CPT)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N</w:t>
            </w:r>
            <w:r w:rsidR="0096059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96059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96059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ommittee (NSC)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7AB5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8459D5" w14:textId="279D9219" w:rsidR="00A978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  <w:tr w:rsidR="00A97820" w:rsidRPr="00156A6A" w14:paraId="1523069D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B672" w14:textId="5D8C1892" w:rsidR="00A97820" w:rsidRPr="00156A6A" w:rsidRDefault="00EA0F98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3.2 Conduct a capacity assessment of grantees before 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implementation of projects by grantees commences.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3C57" w14:textId="7CC768A8" w:rsidR="00A97820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BD07B6" w14:textId="73DDA6B3" w:rsidR="00960598" w:rsidRPr="00156A6A" w:rsidRDefault="00960598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Jan – April 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91DB" w14:textId="1C6E441B" w:rsidR="00A97820" w:rsidRPr="00156A6A" w:rsidRDefault="0016700D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</w:t>
            </w:r>
            <w:r w:rsidR="00D508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ountry Prog Team </w:t>
            </w:r>
            <w:r w:rsidR="00905A86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(CPT)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55FF" w14:textId="77777777" w:rsidR="00A97820" w:rsidRPr="00156A6A" w:rsidRDefault="00A978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D16DD" w14:textId="608E3ACB" w:rsidR="00A978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</w:tbl>
    <w:p w14:paraId="199427E1" w14:textId="77777777" w:rsidR="00A97820" w:rsidRPr="00156A6A" w:rsidRDefault="00A97820" w:rsidP="00A978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2ECDE37F" w14:textId="77777777" w:rsidTr="00DC77AE">
        <w:tc>
          <w:tcPr>
            <w:tcW w:w="9216" w:type="dxa"/>
            <w:gridSpan w:val="5"/>
            <w:shd w:val="clear" w:color="auto" w:fill="F3F3F3"/>
          </w:tcPr>
          <w:p w14:paraId="503E0DEE" w14:textId="77777777" w:rsidR="00172B99" w:rsidRPr="00156A6A" w:rsidRDefault="00172B99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4. </w:t>
            </w:r>
          </w:p>
          <w:p w14:paraId="0E4CAE78" w14:textId="7ABD374B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Make Gender Mainstreaming systematic.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Gender mainstreaming requires that not only indicators are disaggregated by gender but that a Project Gender Analysis is made and then articulated at land/seascape level, identifying indicators to be systematically monitored within a strategic framework directly feeding the PRF indicators. </w:t>
            </w:r>
            <w:r w:rsidR="00B70476" w:rsidRPr="00B70476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Assessment of how COVID 19 is differently impacting on women and men could provide indications for strategic actions to ensure the sustainability of benefits received by women, once SGP retires.</w:t>
            </w:r>
          </w:p>
        </w:tc>
      </w:tr>
      <w:tr w:rsidR="00156A6A" w:rsidRPr="00156A6A" w14:paraId="4E43024D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2B9D57EE" w14:textId="116D9009" w:rsidR="00172B99" w:rsidRPr="00156A6A" w:rsidRDefault="00172B99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31B9">
              <w:rPr>
                <w:rFonts w:asciiTheme="majorHAnsi" w:hAnsiTheme="majorHAnsi" w:cstheme="majorHAnsi"/>
                <w:sz w:val="20"/>
                <w:szCs w:val="20"/>
              </w:rPr>
              <w:t xml:space="preserve">Fully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Accept. </w:t>
            </w:r>
            <w:r w:rsidR="00F65CA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A gender analysis has been done </w:t>
            </w:r>
            <w:r w:rsidR="00BC69E9" w:rsidRPr="00156A6A">
              <w:rPr>
                <w:rFonts w:asciiTheme="majorHAnsi" w:hAnsiTheme="majorHAnsi" w:cstheme="majorHAnsi"/>
                <w:sz w:val="20"/>
                <w:szCs w:val="20"/>
              </w:rPr>
              <w:t>for SGP at the national/programme level. A</w:t>
            </w:r>
            <w:r w:rsidR="008F419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gender </w:t>
            </w:r>
            <w:r w:rsidR="006731B9">
              <w:rPr>
                <w:rFonts w:asciiTheme="majorHAnsi" w:hAnsiTheme="majorHAnsi" w:cstheme="majorHAnsi"/>
                <w:sz w:val="20"/>
                <w:szCs w:val="20"/>
              </w:rPr>
              <w:t>consultant will tailor the existing</w:t>
            </w:r>
            <w:r w:rsidR="00EA185F">
              <w:rPr>
                <w:rFonts w:asciiTheme="majorHAnsi" w:hAnsiTheme="majorHAnsi" w:cstheme="majorHAnsi"/>
                <w:sz w:val="20"/>
                <w:szCs w:val="20"/>
              </w:rPr>
              <w:t xml:space="preserve"> gender</w:t>
            </w:r>
            <w:r w:rsidR="006731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C69E9" w:rsidRPr="00156A6A">
              <w:rPr>
                <w:rFonts w:asciiTheme="majorHAnsi" w:hAnsiTheme="majorHAnsi" w:cstheme="majorHAnsi"/>
                <w:sz w:val="20"/>
                <w:szCs w:val="20"/>
              </w:rPr>
              <w:t>analysis</w:t>
            </w:r>
            <w:r w:rsidR="00EA18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C69E9" w:rsidRPr="00156A6A"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r w:rsidR="0014483F">
              <w:rPr>
                <w:rFonts w:asciiTheme="majorHAnsi" w:hAnsiTheme="majorHAnsi" w:cstheme="majorHAnsi"/>
                <w:sz w:val="20"/>
                <w:szCs w:val="20"/>
              </w:rPr>
              <w:t xml:space="preserve"> each</w:t>
            </w:r>
            <w:r w:rsidR="00BC69E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landscape/seascape</w:t>
            </w:r>
            <w:r w:rsidR="0014483F">
              <w:rPr>
                <w:rFonts w:asciiTheme="majorHAnsi" w:hAnsiTheme="majorHAnsi" w:cstheme="majorHAnsi"/>
                <w:sz w:val="20"/>
                <w:szCs w:val="20"/>
              </w:rPr>
              <w:t xml:space="preserve">. The consultant will also assess the impact of COVID 19 on men and women and recommend strategic actions that will enhance sustainability of benefits, particularly for women. </w:t>
            </w:r>
          </w:p>
        </w:tc>
      </w:tr>
      <w:tr w:rsidR="00156A6A" w:rsidRPr="00156A6A" w14:paraId="59CB0A26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BBC30B1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DA4E5A4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A0AC1C9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9B90393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22ED0B38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D513549" w14:textId="77777777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F76176D" w14:textId="77777777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6D6546" w14:textId="77777777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FC81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2DC50B" w14:textId="77777777" w:rsidR="00172B99" w:rsidRPr="00156A6A" w:rsidRDefault="00172B99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7159E1F6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1D1C" w14:textId="4B0070A6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4.1 </w:t>
            </w:r>
            <w:r w:rsidR="000222A2" w:rsidRPr="00156A6A">
              <w:rPr>
                <w:rFonts w:asciiTheme="majorHAnsi" w:hAnsiTheme="majorHAnsi" w:cstheme="majorHAnsi"/>
                <w:sz w:val="20"/>
                <w:szCs w:val="20"/>
              </w:rPr>
              <w:t>Procure a</w:t>
            </w:r>
            <w:r w:rsidR="009310F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consultant that will </w:t>
            </w:r>
            <w:r w:rsidR="003D7452">
              <w:rPr>
                <w:rFonts w:asciiTheme="majorHAnsi" w:hAnsiTheme="majorHAnsi" w:cstheme="majorHAnsi"/>
                <w:sz w:val="20"/>
                <w:szCs w:val="20"/>
              </w:rPr>
              <w:t xml:space="preserve">tailor the existing </w:t>
            </w:r>
            <w:r w:rsidR="006731B9">
              <w:rPr>
                <w:rFonts w:asciiTheme="majorHAnsi" w:hAnsiTheme="majorHAnsi" w:cstheme="majorHAnsi"/>
                <w:sz w:val="20"/>
                <w:szCs w:val="20"/>
              </w:rPr>
              <w:t xml:space="preserve">national level </w:t>
            </w:r>
            <w:r w:rsidR="003D7452">
              <w:rPr>
                <w:rFonts w:asciiTheme="majorHAnsi" w:hAnsiTheme="majorHAnsi" w:cstheme="majorHAnsi"/>
                <w:sz w:val="20"/>
                <w:szCs w:val="20"/>
              </w:rPr>
              <w:t xml:space="preserve">gender analysis </w:t>
            </w:r>
            <w:r w:rsidR="006731B9">
              <w:rPr>
                <w:rFonts w:asciiTheme="majorHAnsi" w:hAnsiTheme="majorHAnsi" w:cstheme="majorHAnsi"/>
                <w:sz w:val="20"/>
                <w:szCs w:val="20"/>
              </w:rPr>
              <w:t xml:space="preserve">to each of the target landscapes and seascapes. </w:t>
            </w:r>
            <w:r w:rsidR="00777EF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Indicators </w:t>
            </w:r>
            <w:r w:rsidR="00972D4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will be disaggregated by gender.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0CE" w14:textId="24215BC9" w:rsidR="00172B99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DBD19" w14:textId="680B79AC" w:rsidR="004F111E" w:rsidRPr="00156A6A" w:rsidRDefault="004F111E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Sept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40B9" w14:textId="64A45796" w:rsidR="00172B99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395A36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ou</w:t>
            </w:r>
            <w:r w:rsidR="00D151F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ntry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D151F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D151F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eam (CPT)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N</w:t>
            </w:r>
            <w:r w:rsidR="00570A8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570A8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570A8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ommittee (NSC)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CE7A" w14:textId="77777777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3CECEC" w14:textId="53D4DD8B" w:rsidR="00172B99" w:rsidRPr="00156A6A" w:rsidRDefault="006731B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initiated.</w:t>
            </w:r>
          </w:p>
        </w:tc>
      </w:tr>
      <w:tr w:rsidR="00172B99" w:rsidRPr="00156A6A" w14:paraId="0D79948C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9E78" w14:textId="10790546" w:rsidR="00172B99" w:rsidRPr="00156A6A" w:rsidRDefault="00570A8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 w:rsidR="006551FC">
              <w:rPr>
                <w:rFonts w:asciiTheme="majorHAnsi" w:hAnsiTheme="majorHAnsi" w:cstheme="majorHAnsi"/>
                <w:sz w:val="20"/>
                <w:szCs w:val="20"/>
              </w:rPr>
              <w:t>2. Consultant</w:t>
            </w:r>
            <w:r w:rsidR="00EA185F">
              <w:rPr>
                <w:rFonts w:asciiTheme="majorHAnsi" w:hAnsiTheme="majorHAnsi" w:cstheme="majorHAnsi"/>
                <w:sz w:val="20"/>
                <w:szCs w:val="20"/>
              </w:rPr>
              <w:t xml:space="preserve"> in 4.1 will assess how COVID 19 has impacted men and women and provide indications for strategic actions to enhance sustainability.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2D62" w14:textId="10AD0635" w:rsidR="00172B99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521E10" w14:textId="3A0E9FA4" w:rsidR="004F111E" w:rsidRPr="00156A6A" w:rsidRDefault="004F111E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Sept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15B0" w14:textId="0FC103B7" w:rsidR="00172B99" w:rsidRPr="00156A6A" w:rsidRDefault="00EA185F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Country Prog Team (CPT), 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ommittee (NSC)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4E3" w14:textId="77777777" w:rsidR="00172B99" w:rsidRPr="00156A6A" w:rsidRDefault="00172B9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94D5C" w14:textId="32C0E804" w:rsidR="00172B99" w:rsidRPr="00156A6A" w:rsidRDefault="00EA185F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</w:tbl>
    <w:p w14:paraId="79B50C5A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293101FF" w14:textId="77777777" w:rsidTr="00DC77AE">
        <w:tc>
          <w:tcPr>
            <w:tcW w:w="9216" w:type="dxa"/>
            <w:gridSpan w:val="5"/>
            <w:shd w:val="clear" w:color="auto" w:fill="F3F3F3"/>
          </w:tcPr>
          <w:p w14:paraId="31A7D022" w14:textId="208BADBD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Terminal Evaluation recommendation 5.</w:t>
            </w:r>
          </w:p>
          <w:p w14:paraId="0DE87083" w14:textId="4FDC4C67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it-IT"/>
              </w:rPr>
              <w:t>Resilience Strategies are living documents</w:t>
            </w:r>
            <w:r w:rsidRPr="00156A6A">
              <w:rPr>
                <w:rFonts w:asciiTheme="majorHAnsi" w:eastAsia="Arial" w:hAnsiTheme="majorHAnsi" w:cstheme="majorHAnsi"/>
                <w:sz w:val="20"/>
                <w:szCs w:val="20"/>
                <w:lang w:eastAsia="it-IT"/>
              </w:rPr>
              <w:t xml:space="preserve">. An update of the adaptive management strategies in the land/seascapes which will continue to be supported in OP7 is required, to account for changes and to define indicators directly feeding the PRF and Core Indicators.  </w:t>
            </w:r>
          </w:p>
        </w:tc>
      </w:tr>
      <w:tr w:rsidR="00156A6A" w:rsidRPr="00156A6A" w14:paraId="51771EB4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58265426" w14:textId="5FF60141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151F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Accept.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8C1727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daptive management </w:t>
            </w:r>
            <w:r w:rsidR="008F3C1A" w:rsidRPr="00156A6A">
              <w:rPr>
                <w:rFonts w:asciiTheme="majorHAnsi" w:hAnsiTheme="majorHAnsi" w:cstheme="majorHAnsi"/>
                <w:sz w:val="20"/>
                <w:szCs w:val="20"/>
              </w:rPr>
              <w:t>strategies for L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>ake</w:t>
            </w:r>
            <w:r w:rsidR="008F3C1A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Bogoria landscape and for Shimoni-Vanga seascape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were developed </w:t>
            </w:r>
            <w:r w:rsidR="00156A6A" w:rsidRPr="00156A6A">
              <w:rPr>
                <w:rFonts w:asciiTheme="majorHAnsi" w:hAnsiTheme="majorHAnsi" w:cstheme="majorHAnsi"/>
                <w:sz w:val="20"/>
                <w:szCs w:val="20"/>
              </w:rPr>
              <w:t>previously but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3C1A" w:rsidRPr="00156A6A">
              <w:rPr>
                <w:rFonts w:asciiTheme="majorHAnsi" w:hAnsiTheme="majorHAnsi" w:cstheme="majorHAnsi"/>
                <w:sz w:val="20"/>
                <w:szCs w:val="20"/>
              </w:rPr>
              <w:t>will be</w:t>
            </w:r>
            <w:r w:rsidR="00D151F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updated</w:t>
            </w:r>
            <w:r w:rsidR="0004619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and enriched to factor in </w:t>
            </w:r>
            <w:r w:rsidR="0016633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the changes that took place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during the </w:t>
            </w:r>
            <w:r w:rsidR="0016633B" w:rsidRPr="00156A6A">
              <w:rPr>
                <w:rFonts w:asciiTheme="majorHAnsi" w:hAnsiTheme="majorHAnsi" w:cstheme="majorHAnsi"/>
                <w:sz w:val="20"/>
                <w:szCs w:val="20"/>
              </w:rPr>
              <w:t>GEF 6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implementation period</w:t>
            </w:r>
            <w:r w:rsidR="002C34C7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156A6A" w:rsidRPr="00156A6A" w14:paraId="178324F5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1E1C49E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D40CA73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A36A95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D3C9092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6A3CCAC4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D2D7E7B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55A065A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9B2AA73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C13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EEDFC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451220" w:rsidRPr="00156A6A" w14:paraId="4B6C71ED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276" w14:textId="56F353B6" w:rsidR="00451220" w:rsidRPr="00156A6A" w:rsidRDefault="00A302A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451220" w:rsidRPr="00156A6A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2C34C7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151F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Strategic Partners will be tasked to </w:t>
            </w:r>
            <w:r w:rsidR="008C1727" w:rsidRPr="00156A6A">
              <w:rPr>
                <w:rFonts w:asciiTheme="majorHAnsi" w:hAnsiTheme="majorHAnsi" w:cstheme="majorHAnsi"/>
                <w:sz w:val="20"/>
                <w:szCs w:val="20"/>
              </w:rPr>
              <w:t>update</w:t>
            </w:r>
            <w:r w:rsidR="00D151F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and enrich</w:t>
            </w:r>
            <w:r w:rsidR="008C1727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86C7F" w:rsidRPr="00156A6A">
              <w:rPr>
                <w:rFonts w:asciiTheme="majorHAnsi" w:hAnsiTheme="majorHAnsi" w:cstheme="majorHAnsi"/>
                <w:sz w:val="20"/>
                <w:szCs w:val="20"/>
              </w:rPr>
              <w:t>adaptive management strate</w:t>
            </w:r>
            <w:r w:rsidR="0079205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gies </w:t>
            </w:r>
            <w:r w:rsidR="0079205B" w:rsidRPr="00156A6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that were developed in GEF 6</w:t>
            </w:r>
            <w:r w:rsidR="00D151F3" w:rsidRPr="00156A6A">
              <w:rPr>
                <w:rFonts w:asciiTheme="majorHAnsi" w:hAnsiTheme="majorHAnsi" w:cstheme="majorHAnsi"/>
                <w:sz w:val="20"/>
                <w:szCs w:val="20"/>
              </w:rPr>
              <w:t>, once they are awarded grants in the early stages of GEF 7</w:t>
            </w:r>
            <w:r w:rsidR="0079205B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9697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98B8" w14:textId="29D38B51" w:rsidR="00451220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D459DD" w14:textId="0C6C1DD2" w:rsidR="004F111E" w:rsidRPr="00156A6A" w:rsidRDefault="004F111E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Oct 2022 – March 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5AAF" w14:textId="2010877D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</w:t>
            </w:r>
            <w:r w:rsidR="00D151F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ountry Prog Team (C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PT</w:t>
            </w:r>
            <w:r w:rsidR="00D151F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N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="00156A6A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Committee (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NSC)</w:t>
            </w:r>
            <w:r w:rsidR="00096976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DEE4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29935" w14:textId="172AA035" w:rsidR="004512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</w:tbl>
    <w:p w14:paraId="419468F8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0C249DB9" w14:textId="77777777" w:rsidTr="00DC77AE">
        <w:tc>
          <w:tcPr>
            <w:tcW w:w="9216" w:type="dxa"/>
            <w:gridSpan w:val="5"/>
            <w:shd w:val="clear" w:color="auto" w:fill="F3F3F3"/>
          </w:tcPr>
          <w:p w14:paraId="0F074268" w14:textId="3F3F2E66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Terminal Evaluation recommendation 6.</w:t>
            </w:r>
          </w:p>
          <w:p w14:paraId="248B395E" w14:textId="4FB73541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Strengthen the M&amp;E System and integrate a dedicated staff on the C</w:t>
            </w:r>
            <w:r w:rsidR="00CD04E1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 xml:space="preserve">ountry 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P</w:t>
            </w:r>
            <w:r w:rsidR="00CD04E1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T</w:t>
            </w:r>
            <w:r w:rsidR="00CD04E1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eam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 xml:space="preserve">.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SGP requires both micro and macro management to ensure follow up at grants level and aggregation of data and information at central level. A dedicated M&amp;E staff is needed as well as an effective M&amp;E system to collect and store data in a systematized way.</w:t>
            </w:r>
            <w:r w:rsidR="00F7665D">
              <w:t xml:space="preserve"> </w:t>
            </w:r>
            <w:r w:rsidR="00F7665D" w:rsidRPr="00F7665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The clear definition of the roles of SPs and CDPs is crucial in this sense. As in other SGP, the sophistication of the system should be appropriate to the objective: i) feeding Core and PRF’s Indicators; and ii) informing adaptive management to optimize resources and identifying the most vulnerable groups; iii) identifying projects which may require further assistance and those which may represent a model for scaling up</w:t>
            </w:r>
            <w:r w:rsidR="00F7665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.</w:t>
            </w:r>
          </w:p>
        </w:tc>
      </w:tr>
      <w:tr w:rsidR="00156A6A" w:rsidRPr="00156A6A" w14:paraId="2D7DC120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73C37C20" w14:textId="5918BAB0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Accept. </w:t>
            </w:r>
            <w:r w:rsidR="00162B49"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ountry </w:t>
            </w:r>
            <w:r w:rsidR="00162B49"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>rog Team (CP</w:t>
            </w:r>
            <w:r w:rsidR="00162B49" w:rsidRPr="00156A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162B4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will develop TORs</w:t>
            </w:r>
            <w:r w:rsidR="004254C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for a M&amp;E staff member to be hired to join the t</w:t>
            </w:r>
            <w:r w:rsidR="007B7F52" w:rsidRPr="00156A6A">
              <w:rPr>
                <w:rFonts w:asciiTheme="majorHAnsi" w:hAnsiTheme="majorHAnsi" w:cstheme="majorHAnsi"/>
                <w:sz w:val="20"/>
                <w:szCs w:val="20"/>
              </w:rPr>
              <w:t>eam</w:t>
            </w:r>
            <w:r w:rsidR="00A831E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 The M&amp;E staff will </w:t>
            </w:r>
            <w:r w:rsidR="00F623E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develop tools for </w:t>
            </w:r>
            <w:r w:rsidR="000B4CC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collection and </w:t>
            </w:r>
            <w:r w:rsidR="00F623EC" w:rsidRPr="00156A6A">
              <w:rPr>
                <w:rFonts w:asciiTheme="majorHAnsi" w:hAnsiTheme="majorHAnsi" w:cstheme="majorHAnsi"/>
                <w:sz w:val="20"/>
                <w:szCs w:val="20"/>
              </w:rPr>
              <w:t>aggregati</w:t>
            </w:r>
            <w:r w:rsidR="000B4CC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on of </w:t>
            </w:r>
            <w:r w:rsidR="00F623EC" w:rsidRPr="00156A6A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  <w:r w:rsidR="006862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6220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and information at central level</w:t>
            </w:r>
            <w:r w:rsidR="000B4CCB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156A6A" w:rsidRPr="00156A6A" w14:paraId="3A6B439F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C66B8DF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CF3175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6A9254D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5208E5F8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2B5B81DC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00DED26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14FA218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70A6403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9325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8B3EE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7308FAF8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AF0" w14:textId="43CFB69A" w:rsidR="00451220" w:rsidRPr="00156A6A" w:rsidRDefault="00A302A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6</w:t>
            </w:r>
            <w:r w:rsidR="00451220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.1 </w:t>
            </w:r>
            <w:r w:rsidR="0016700D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Recruit a project M&amp;E Officer to strengthen the M&amp;E and reporting components of the project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5951" w14:textId="101AD3F2" w:rsidR="00451220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57A71C" w14:textId="75F0A5CA" w:rsidR="004F111E" w:rsidRPr="00156A6A" w:rsidRDefault="004F111E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Sept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A2A2" w14:textId="65917C42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ountry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eam (CPT)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N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ational Steering Committee (N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E2F0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AFF2F8" w14:textId="43AA2FCF" w:rsidR="00451220" w:rsidRPr="00156A6A" w:rsidRDefault="00D5082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  <w:tr w:rsidR="00451220" w:rsidRPr="00156A6A" w14:paraId="624A0F76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4FE" w14:textId="017663BE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980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1C8D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1A06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F38FE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89ECC4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p w14:paraId="104D0155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6012FE24" w14:textId="77777777" w:rsidTr="00DC77AE">
        <w:tc>
          <w:tcPr>
            <w:tcW w:w="9216" w:type="dxa"/>
            <w:gridSpan w:val="5"/>
            <w:shd w:val="clear" w:color="auto" w:fill="F3F3F3"/>
          </w:tcPr>
          <w:p w14:paraId="7538E375" w14:textId="5A7C39D6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</w:t>
            </w:r>
            <w:r w:rsidR="003C2C67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27AE795" w14:textId="1E1D6BF1" w:rsidR="00451220" w:rsidRPr="00156A6A" w:rsidRDefault="003C2C67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 xml:space="preserve">PRF indicators should be aligned with GEF Core Indicators and be realistic.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Targets should be realistic and clear guidelines should be established to report on indicators, especially the greenhouse gases emissions avoided as projects usually have a longer lifetime than that of the single grant and that estimating avoidance or reduction of </w:t>
            </w:r>
            <w:r w:rsidR="00156A6A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greenhouse</w:t>
            </w:r>
            <w:r w:rsidR="00D25E2D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gas</w:t>
            </w:r>
            <w:r w:rsidR="00D25E2D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es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 is </w:t>
            </w:r>
            <w:r w:rsidR="00156A6A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challenging; consultants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 should be hired since project start to establish the correct mechanism.</w:t>
            </w:r>
          </w:p>
        </w:tc>
      </w:tr>
      <w:tr w:rsidR="00156A6A" w:rsidRPr="00156A6A" w14:paraId="20D22ABD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53ACA210" w14:textId="49320172" w:rsidR="00451220" w:rsidRPr="00156A6A" w:rsidRDefault="00451220" w:rsidP="00A72DAF">
            <w:pPr>
              <w:spacing w:before="40"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EE4F8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453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EE4F80">
              <w:rPr>
                <w:rFonts w:asciiTheme="majorHAnsi" w:hAnsiTheme="majorHAnsi" w:cstheme="majorHAnsi"/>
                <w:sz w:val="20"/>
                <w:szCs w:val="20"/>
              </w:rPr>
              <w:t xml:space="preserve">ully 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>Accept.</w:t>
            </w:r>
            <w:r w:rsidR="00B722B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PRF indicators for GEF 7 have </w:t>
            </w:r>
            <w:r w:rsidR="009F4063">
              <w:rPr>
                <w:rFonts w:asciiTheme="majorHAnsi" w:hAnsiTheme="majorHAnsi" w:cstheme="majorHAnsi"/>
                <w:sz w:val="20"/>
                <w:szCs w:val="20"/>
              </w:rPr>
              <w:t xml:space="preserve">already </w:t>
            </w:r>
            <w:r w:rsidR="00B722B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been developed. </w:t>
            </w:r>
            <w:r w:rsidR="00156A6A" w:rsidRPr="00156A6A">
              <w:rPr>
                <w:rFonts w:asciiTheme="majorHAnsi" w:hAnsiTheme="majorHAnsi" w:cstheme="majorHAnsi"/>
                <w:sz w:val="20"/>
                <w:szCs w:val="20"/>
              </w:rPr>
              <w:t>However,</w:t>
            </w:r>
            <w:r w:rsidR="00B722B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a consultant </w:t>
            </w:r>
            <w:r w:rsidR="00336F9F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will be hired at the start of the project </w:t>
            </w:r>
            <w:r w:rsidR="00B722B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4C3FA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better define the </w:t>
            </w:r>
            <w:r w:rsidR="009F4063">
              <w:rPr>
                <w:rFonts w:asciiTheme="majorHAnsi" w:hAnsiTheme="majorHAnsi" w:cstheme="majorHAnsi"/>
                <w:sz w:val="20"/>
                <w:szCs w:val="20"/>
              </w:rPr>
              <w:t xml:space="preserve">approach to monitor and report on </w:t>
            </w:r>
            <w:r w:rsidR="004C3FA3" w:rsidRPr="00156A6A">
              <w:rPr>
                <w:rFonts w:asciiTheme="majorHAnsi" w:hAnsiTheme="majorHAnsi" w:cstheme="majorHAnsi"/>
                <w:sz w:val="20"/>
                <w:szCs w:val="20"/>
              </w:rPr>
              <w:t>targets and indicators</w:t>
            </w:r>
            <w:r w:rsidR="009F4063">
              <w:rPr>
                <w:rFonts w:asciiTheme="majorHAnsi" w:hAnsiTheme="majorHAnsi" w:cstheme="majorHAnsi"/>
                <w:sz w:val="20"/>
                <w:szCs w:val="20"/>
              </w:rPr>
              <w:t xml:space="preserve"> and ensure alignment </w:t>
            </w:r>
            <w:r w:rsidR="00B722BC" w:rsidRPr="00156A6A">
              <w:rPr>
                <w:rFonts w:asciiTheme="majorHAnsi" w:hAnsiTheme="majorHAnsi" w:cstheme="majorHAnsi"/>
                <w:sz w:val="20"/>
                <w:szCs w:val="20"/>
              </w:rPr>
              <w:t>with GEF Core Indicators.</w:t>
            </w:r>
            <w:r w:rsidR="00BC531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SGP will not support projects under the Climate Change Mitigation focal area </w:t>
            </w:r>
            <w:r w:rsidR="00E1447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in GEF 7 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because CCM funds are not </w:t>
            </w:r>
            <w:r w:rsidR="00270306" w:rsidRPr="00156A6A">
              <w:rPr>
                <w:rFonts w:asciiTheme="majorHAnsi" w:hAnsiTheme="majorHAnsi" w:cstheme="majorHAnsi"/>
                <w:sz w:val="20"/>
                <w:szCs w:val="20"/>
              </w:rPr>
              <w:t>available,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only biodiversity and land degradation.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0497C">
              <w:rPr>
                <w:rFonts w:asciiTheme="majorHAnsi" w:hAnsiTheme="majorHAnsi" w:cstheme="majorHAnsi"/>
                <w:sz w:val="20"/>
                <w:szCs w:val="20"/>
              </w:rPr>
              <w:t xml:space="preserve">However,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the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lang w:eastAsia="it-IT" w:bidi="en-US"/>
              </w:rPr>
              <w:t xml:space="preserve">Project will contribute to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283,797 tcO2-e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lang w:eastAsia="it-IT" w:bidi="en-US"/>
              </w:rPr>
              <w:t xml:space="preserve">Expected CO2e (direct)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based on restoration activities. 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lang w:eastAsia="it-IT" w:bidi="en-US"/>
              </w:rPr>
              <w:t>Duration of accounting</w:t>
            </w:r>
            <w:r w:rsidR="00245E83" w:rsidRPr="00A72DAF">
              <w:rPr>
                <w:rFonts w:asciiTheme="majorHAnsi" w:eastAsia="Times New Roman" w:hAnsiTheme="majorHAnsi" w:cstheme="majorHAnsi"/>
                <w:bCs/>
                <w:sz w:val="20"/>
                <w:lang w:eastAsia="it-IT" w:bidi="en-US"/>
              </w:rPr>
              <w:t xml:space="preserve"> </w:t>
            </w:r>
            <w:r w:rsidR="00245E83" w:rsidRPr="00A72D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is</w:t>
            </w:r>
            <w:r w:rsidR="00B0497C" w:rsidRPr="00A72DAF">
              <w:rPr>
                <w:rFonts w:asciiTheme="majorHAnsi" w:eastAsia="Times New Roman" w:hAnsiTheme="majorHAnsi" w:cstheme="majorHAnsi"/>
                <w:bCs/>
                <w:sz w:val="20"/>
                <w:lang w:eastAsia="it-IT" w:bidi="en-US"/>
              </w:rPr>
              <w:t xml:space="preserve"> 20 years</w:t>
            </w:r>
            <w:r w:rsidR="001670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156A6A" w:rsidRPr="00156A6A" w14:paraId="5C49EF47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9BE4FDB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50A4B11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6EEA219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0BCD412C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4998E9D3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6D5CC6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8CD392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E9D785C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1F9C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C9ABC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1F13562A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2117" w14:textId="082BB630" w:rsidR="00451220" w:rsidRPr="00156A6A" w:rsidRDefault="006316A5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7</w:t>
            </w:r>
            <w:r w:rsidR="0045122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.1 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>Hire a consultant at start of project to better define</w:t>
            </w:r>
            <w:r w:rsidR="00FF4105">
              <w:rPr>
                <w:rFonts w:asciiTheme="majorHAnsi" w:hAnsiTheme="majorHAnsi" w:cstheme="majorHAnsi"/>
                <w:sz w:val="20"/>
                <w:szCs w:val="20"/>
              </w:rPr>
              <w:t xml:space="preserve"> the approach and methodology to monitor and report on </w:t>
            </w:r>
            <w:r w:rsidR="0029638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PRF </w:t>
            </w:r>
            <w:r w:rsidR="00085DB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targets and </w:t>
            </w:r>
            <w:r w:rsidR="0029638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indicators </w:t>
            </w:r>
            <w:r w:rsidR="00FF4105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29638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ensure </w:t>
            </w:r>
            <w:r w:rsidR="00FF4105">
              <w:rPr>
                <w:rFonts w:asciiTheme="majorHAnsi" w:hAnsiTheme="majorHAnsi" w:cstheme="majorHAnsi"/>
                <w:sz w:val="20"/>
                <w:szCs w:val="20"/>
              </w:rPr>
              <w:t xml:space="preserve">alignment </w:t>
            </w:r>
            <w:r w:rsidR="0029638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with GEF Core indicators.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A8D1" w14:textId="4C53C2DA" w:rsidR="00451220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71F768" w14:textId="0CAC6402" w:rsidR="004F111E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Oct 2022</w:t>
            </w:r>
          </w:p>
          <w:p w14:paraId="18B5363E" w14:textId="7F4E647C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58D" w14:textId="5EAACEA4" w:rsidR="00451220" w:rsidRPr="00156A6A" w:rsidRDefault="003C2C67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teering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ommittee (NSC)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Country Prog team (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CPT</w:t>
            </w:r>
            <w:r w:rsidR="00085DB8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48CC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17646" w14:textId="2517C114" w:rsidR="00451220" w:rsidRPr="00156A6A" w:rsidRDefault="007714CD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</w:t>
            </w:r>
          </w:p>
        </w:tc>
      </w:tr>
      <w:tr w:rsidR="00451220" w:rsidRPr="00156A6A" w14:paraId="0969CFCB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50F7" w14:textId="26E4283C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E70E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B6F6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E205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85ADD0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0D07D00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p w14:paraId="338B8BDD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1E4F5929" w14:textId="77777777" w:rsidTr="00DC77AE">
        <w:tc>
          <w:tcPr>
            <w:tcW w:w="9216" w:type="dxa"/>
            <w:gridSpan w:val="5"/>
            <w:shd w:val="clear" w:color="auto" w:fill="F3F3F3"/>
          </w:tcPr>
          <w:p w14:paraId="0B815CFA" w14:textId="4EC70567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</w:t>
            </w:r>
            <w:r w:rsidR="005114FD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7CD8A56E" w14:textId="6FC7AD1B" w:rsidR="00451220" w:rsidRPr="00156A6A" w:rsidRDefault="003C2C67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Monitoring co-financing commitment is a key management responsibility.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Data provided show that the key co-financier – WWF – is falling short in its co-financing commitment. Management should carefully monitor that co-financing pledged at approval is effectively honored; this is an ongoing activity, </w:t>
            </w:r>
            <w:r w:rsidR="00156A6A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not to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 be done only at the time of evaluations.</w:t>
            </w:r>
          </w:p>
        </w:tc>
      </w:tr>
      <w:tr w:rsidR="00156A6A" w:rsidRPr="00156A6A" w14:paraId="06AED40C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51C3875" w14:textId="6BEDBF8B" w:rsidR="00451220" w:rsidRPr="00156A6A" w:rsidRDefault="00451220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25E2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Accept. </w:t>
            </w:r>
          </w:p>
        </w:tc>
      </w:tr>
      <w:tr w:rsidR="00156A6A" w:rsidRPr="00156A6A" w14:paraId="5ECABD62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C098747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497B478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AF314DF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7A74681B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595EC0CC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D02FE5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CA2F1F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27E8451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8EA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C5969" w14:textId="77777777" w:rsidR="00451220" w:rsidRPr="00156A6A" w:rsidRDefault="00451220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3B4E23E5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4008" w14:textId="140CB5BC" w:rsidR="00451220" w:rsidRPr="00156A6A" w:rsidRDefault="00033B7A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45122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.1 </w:t>
            </w:r>
            <w:r w:rsidR="008C796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0C16FF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trengthen </w:t>
            </w:r>
            <w:r w:rsidR="00FB7FA8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existing tools </w:t>
            </w:r>
            <w:r w:rsidR="006F4A84" w:rsidRPr="00156A6A">
              <w:rPr>
                <w:rFonts w:asciiTheme="majorHAnsi" w:hAnsiTheme="majorHAnsi" w:cstheme="majorHAnsi"/>
                <w:sz w:val="20"/>
                <w:szCs w:val="20"/>
              </w:rPr>
              <w:t>for continuous capturing</w:t>
            </w:r>
            <w:r w:rsidR="000C16FF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4A84" w:rsidRPr="00156A6A">
              <w:rPr>
                <w:rFonts w:asciiTheme="majorHAnsi" w:hAnsiTheme="majorHAnsi" w:cstheme="majorHAnsi"/>
                <w:sz w:val="20"/>
                <w:szCs w:val="20"/>
              </w:rPr>
              <w:t>co-financing raised by grantees</w:t>
            </w:r>
            <w:r w:rsidR="00090E84">
              <w:rPr>
                <w:rFonts w:asciiTheme="majorHAnsi" w:hAnsiTheme="majorHAnsi" w:cstheme="majorHAnsi"/>
                <w:sz w:val="20"/>
                <w:szCs w:val="20"/>
              </w:rPr>
              <w:t xml:space="preserve">, county governments and other partners. The Country Programme Team with support from the UNDP CO will monitor, conduct regular follow up and report on the co-financing.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384A" w14:textId="1ED796C0" w:rsidR="00451220" w:rsidRPr="00156A6A" w:rsidRDefault="008C7961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Throughout the implementation of</w:t>
            </w:r>
            <w:r w:rsidR="002B407B">
              <w:rPr>
                <w:rFonts w:asciiTheme="majorHAnsi" w:hAnsiTheme="majorHAnsi" w:cstheme="majorHAnsi"/>
                <w:sz w:val="20"/>
                <w:szCs w:val="20"/>
              </w:rPr>
              <w:t xml:space="preserve"> OP7.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505D" w14:textId="54D288DB" w:rsidR="00451220" w:rsidRPr="00156A6A" w:rsidRDefault="00C0562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Country Prog Team (</w:t>
            </w:r>
            <w:r w:rsidR="003C2C67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CPT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  <w:r w:rsidR="003C2C67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="008C7961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UNDP CO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E5B0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F6BFA" w14:textId="25E2FD85" w:rsidR="00451220" w:rsidRPr="00156A6A" w:rsidRDefault="00803D82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initiated.</w:t>
            </w:r>
          </w:p>
        </w:tc>
      </w:tr>
      <w:tr w:rsidR="00451220" w:rsidRPr="00156A6A" w14:paraId="7042277F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C5F" w14:textId="6F6678AF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CCBB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0211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1BE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52827" w14:textId="77777777" w:rsidR="00451220" w:rsidRPr="00156A6A" w:rsidRDefault="0045122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D2625D" w14:textId="77777777" w:rsidR="00451220" w:rsidRPr="00156A6A" w:rsidRDefault="00451220" w:rsidP="00451220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38F0EB3B" w14:textId="77777777" w:rsidTr="00DC77AE">
        <w:tc>
          <w:tcPr>
            <w:tcW w:w="9216" w:type="dxa"/>
            <w:gridSpan w:val="5"/>
            <w:shd w:val="clear" w:color="auto" w:fill="F3F3F3"/>
          </w:tcPr>
          <w:p w14:paraId="006A578D" w14:textId="40791F0E" w:rsidR="004C6FC9" w:rsidRPr="00156A6A" w:rsidRDefault="002C610C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</w:t>
            </w:r>
            <w:r w:rsidR="00033B7A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3F7A01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AAD6463" w14:textId="4BA2CE6B" w:rsidR="002C610C" w:rsidRPr="00156A6A" w:rsidRDefault="0073757B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Design an exit strategy at land/seascape level, together with the S</w:t>
            </w:r>
            <w:r w:rsidR="00C05629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 xml:space="preserve">trategic 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P</w:t>
            </w:r>
            <w:r w:rsidR="00C05629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artner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 w:bidi="en-US"/>
              </w:rPr>
              <w:t>s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. Small grants potentialities for scaling up and replication should be identified at each land/seascape, including in Kaya Forests even if not part of OP7; similarly, small grants experiencing difficulties but replying to felt conservation and/or livelihoods needs should be targeted for additional support. Lesson learnt identified should be incorporated into the strategy for supporting grantees into OP7 or to replicate, upscale projects</w:t>
            </w:r>
            <w:r w:rsidR="00EB4BD3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.</w:t>
            </w:r>
            <w:r w:rsidR="00D72F7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 xml:space="preserve"> </w:t>
            </w:r>
            <w:r w:rsidR="00D72F7F" w:rsidRPr="00D72F7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The upcoming end of project (</w:t>
            </w:r>
            <w:proofErr w:type="spellStart"/>
            <w:r w:rsidR="00D72F7F" w:rsidRPr="00D72F7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EoP</w:t>
            </w:r>
            <w:proofErr w:type="spellEnd"/>
            <w:r w:rsidR="00D72F7F" w:rsidRPr="00D72F7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) OP6 reflection could stimulate a debate on how to make incidence in public policies to strengthen sustainable management and territorial connectivity and coordination; similarly, an analysis of how the RE and EE projects are contributing to the national debate on renewable energy should be done, creating a baseline for discussion and stimulating a dialogue among UNDP and counties governments for further integration of the private sector while respectful of the interest of the rural population</w:t>
            </w:r>
            <w:r w:rsidR="00D72F7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 w:bidi="en-US"/>
              </w:rPr>
              <w:t>.</w:t>
            </w:r>
          </w:p>
        </w:tc>
      </w:tr>
      <w:tr w:rsidR="00156A6A" w:rsidRPr="00156A6A" w14:paraId="0F132F98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0D7CFD6E" w14:textId="04987C41" w:rsidR="002C610C" w:rsidRPr="00156A6A" w:rsidRDefault="002C610C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153D3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Accept. </w:t>
            </w:r>
            <w:r w:rsidR="0037512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9A167D" w:rsidRPr="00156A6A">
              <w:rPr>
                <w:rFonts w:asciiTheme="majorHAnsi" w:hAnsiTheme="majorHAnsi" w:cstheme="majorHAnsi"/>
                <w:sz w:val="20"/>
                <w:szCs w:val="20"/>
              </w:rPr>
              <w:t>n exit strategy for the land/seascape level is important. It shall be developed</w:t>
            </w:r>
            <w:r w:rsidR="008075C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in conjunction with the S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trategic </w:t>
            </w:r>
            <w:r w:rsidR="008075CC"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artner</w:t>
            </w:r>
            <w:r w:rsidR="0037512B">
              <w:rPr>
                <w:rFonts w:asciiTheme="majorHAnsi" w:hAnsiTheme="majorHAnsi" w:cstheme="majorHAnsi"/>
                <w:sz w:val="20"/>
                <w:szCs w:val="20"/>
              </w:rPr>
              <w:t>s.</w:t>
            </w:r>
          </w:p>
        </w:tc>
      </w:tr>
      <w:tr w:rsidR="00156A6A" w:rsidRPr="00156A6A" w14:paraId="24176AB7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158A65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B6B3D07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C110497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63EA06E5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42BA5EA1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165BB0F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6C5FA5A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422289D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C14F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10EF55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48F6C0CA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1CA9" w14:textId="25C43ED6" w:rsidR="002C610C" w:rsidRPr="00156A6A" w:rsidRDefault="00033B7A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2C610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.1 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ounty 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rog 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eam (CPT)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in conjunction with the 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Strategic Partners (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>SPs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543C51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will design an ex</w:t>
            </w:r>
            <w:r w:rsidR="00EB48A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it strategy at land/seascape level and incorporate it </w:t>
            </w:r>
            <w:r w:rsidR="00BA2674" w:rsidRPr="00156A6A">
              <w:rPr>
                <w:rFonts w:asciiTheme="majorHAnsi" w:hAnsiTheme="majorHAnsi" w:cstheme="majorHAnsi"/>
                <w:sz w:val="20"/>
                <w:szCs w:val="20"/>
              </w:rPr>
              <w:t>in the adaptive management strategies</w:t>
            </w:r>
            <w:r w:rsidR="009A167D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479" w14:textId="00F21BD3" w:rsidR="002C610C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D12E87" w14:textId="645B7339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 2022 – March 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AE30" w14:textId="3D1C6450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C05629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ational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C05629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teering Committee (NSC), Country Prog Team (CPT</w:t>
            </w:r>
            <w:r w:rsidR="000875CC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), UNDP CO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3A50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BE7E" w14:textId="05A62768" w:rsidR="002C610C" w:rsidRPr="00156A6A" w:rsidRDefault="00F12950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initiated.</w:t>
            </w:r>
          </w:p>
        </w:tc>
      </w:tr>
      <w:tr w:rsidR="002C610C" w:rsidRPr="00156A6A" w14:paraId="31E83EF4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D721" w14:textId="27993F14" w:rsidR="002C610C" w:rsidRPr="00156A6A" w:rsidRDefault="001551B2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9.2 </w:t>
            </w:r>
            <w:r w:rsidR="00112FC6">
              <w:rPr>
                <w:rFonts w:asciiTheme="majorHAnsi" w:hAnsiTheme="majorHAnsi" w:cstheme="majorHAnsi"/>
                <w:sz w:val="20"/>
                <w:szCs w:val="20"/>
              </w:rPr>
              <w:t xml:space="preserve">Continue </w:t>
            </w:r>
            <w:r w:rsidR="004C7EEC">
              <w:rPr>
                <w:rFonts w:asciiTheme="majorHAnsi" w:hAnsiTheme="majorHAnsi" w:cstheme="majorHAnsi"/>
                <w:sz w:val="20"/>
                <w:szCs w:val="20"/>
              </w:rPr>
              <w:t xml:space="preserve">discussions on how to strengthen sustainable management and territorial connectivity as well as ways to enhance private sector engagement </w:t>
            </w:r>
            <w:r w:rsidR="00112FC6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="004C7EEC">
              <w:rPr>
                <w:rFonts w:asciiTheme="majorHAnsi" w:hAnsiTheme="majorHAnsi" w:cstheme="majorHAnsi"/>
                <w:sz w:val="20"/>
                <w:szCs w:val="20"/>
              </w:rPr>
              <w:t xml:space="preserve"> the first year of OP 7.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4254" w14:textId="425FBCC2" w:rsidR="002C610C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9FED59" w14:textId="3EB57DD6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 2022 – March 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396F" w14:textId="46D24FED" w:rsidR="002C610C" w:rsidRPr="00156A6A" w:rsidRDefault="004C7EE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Steering Committee (NSC), Country Prog Team (CPT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), UNDP CO,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9D0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D9F61" w14:textId="18E6483A" w:rsidR="002C610C" w:rsidRPr="00156A6A" w:rsidRDefault="004C7EE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Initiated</w:t>
            </w:r>
          </w:p>
        </w:tc>
      </w:tr>
    </w:tbl>
    <w:p w14:paraId="27247BD3" w14:textId="77777777" w:rsidR="002C610C" w:rsidRPr="00156A6A" w:rsidRDefault="002C610C" w:rsidP="002C610C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19EBBFF6" w14:textId="77777777" w:rsidTr="00DC77AE">
        <w:tc>
          <w:tcPr>
            <w:tcW w:w="9216" w:type="dxa"/>
            <w:gridSpan w:val="5"/>
            <w:shd w:val="clear" w:color="auto" w:fill="F3F3F3"/>
          </w:tcPr>
          <w:p w14:paraId="3DAF088C" w14:textId="403C071A" w:rsidR="002C610C" w:rsidRPr="00156A6A" w:rsidRDefault="002C610C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Terminal Evaluation recommendation </w:t>
            </w:r>
            <w:r w:rsidR="00B67211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A30500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7EE7B3DA" w14:textId="2160FE5E" w:rsidR="002C610C" w:rsidRPr="00156A6A" w:rsidRDefault="00FF2D0F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 w:bidi="en-US"/>
              </w:rPr>
              <w:t xml:space="preserve">Identify champions at each land/seascape to dynamize other actors/grantees to upscale and/or replicate successful activities and provide alternative livelihoods. 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Actions to provide alternative livelihoods go into the right direction but everywhere there is the request for additional efforts (i.e.</w:t>
            </w:r>
            <w:r w:rsidR="00FC191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,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in Kaya Forests additional targeting of the youth; in Shimoni Vanga, additional awareness and resources to patrol marine sites to reach a larger community spread over vast areas). An enabling environment is being created but more is needed to strengthen capacities, upscale and raise awareness of other members of the communities.</w:t>
            </w:r>
            <w:r w:rsidR="0037512B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 xml:space="preserve"> </w:t>
            </w:r>
            <w:r w:rsidR="0037512B" w:rsidRPr="0037512B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Production needs to be sustained; integration of activities in counties’ development plans secured</w:t>
            </w:r>
            <w:r w:rsidR="0037512B">
              <w:rPr>
                <w:rFonts w:asciiTheme="majorHAnsi" w:eastAsia="Times New Roman" w:hAnsiTheme="majorHAnsi" w:cstheme="majorHAnsi"/>
                <w:sz w:val="20"/>
                <w:szCs w:val="20"/>
                <w:lang w:eastAsia="it-IT" w:bidi="en-US"/>
              </w:rPr>
              <w:t>.</w:t>
            </w:r>
          </w:p>
        </w:tc>
      </w:tr>
      <w:tr w:rsidR="00156A6A" w:rsidRPr="00156A6A" w14:paraId="427BCB2C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04300D53" w14:textId="0E73DDFF" w:rsidR="002C610C" w:rsidRPr="00156A6A" w:rsidRDefault="002C610C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153D3D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Accept. The </w:t>
            </w:r>
            <w:r w:rsidR="004106A2"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253278">
              <w:rPr>
                <w:rFonts w:asciiTheme="majorHAnsi" w:hAnsiTheme="majorHAnsi" w:cstheme="majorHAnsi"/>
                <w:sz w:val="20"/>
                <w:szCs w:val="20"/>
              </w:rPr>
              <w:t xml:space="preserve">ountry </w:t>
            </w:r>
            <w:r w:rsidR="004106A2"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253278">
              <w:rPr>
                <w:rFonts w:asciiTheme="majorHAnsi" w:hAnsiTheme="majorHAnsi" w:cstheme="majorHAnsi"/>
                <w:sz w:val="20"/>
                <w:szCs w:val="20"/>
              </w:rPr>
              <w:t xml:space="preserve">rog </w:t>
            </w:r>
            <w:r w:rsidR="004106A2" w:rsidRPr="00156A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253278">
              <w:rPr>
                <w:rFonts w:asciiTheme="majorHAnsi" w:hAnsiTheme="majorHAnsi" w:cstheme="majorHAnsi"/>
                <w:sz w:val="20"/>
                <w:szCs w:val="20"/>
              </w:rPr>
              <w:t>eam</w:t>
            </w:r>
            <w:r w:rsidR="004106A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will have a discussion with </w:t>
            </w:r>
            <w:r w:rsidR="006B593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NSC to </w:t>
            </w:r>
            <w:r w:rsidR="000C4B22" w:rsidRPr="00156A6A">
              <w:rPr>
                <w:rFonts w:asciiTheme="majorHAnsi" w:hAnsiTheme="majorHAnsi" w:cstheme="majorHAnsi"/>
                <w:sz w:val="20"/>
                <w:szCs w:val="20"/>
              </w:rPr>
              <w:t>propose modalities of identifying local champions as well as facilitating them to support project implementation</w:t>
            </w:r>
            <w:r w:rsidR="00253278">
              <w:rPr>
                <w:rFonts w:asciiTheme="majorHAnsi" w:hAnsiTheme="majorHAnsi" w:cstheme="majorHAnsi"/>
                <w:sz w:val="20"/>
                <w:szCs w:val="20"/>
              </w:rPr>
              <w:t xml:space="preserve"> including in the new landscape</w:t>
            </w:r>
            <w:r w:rsidR="00112FC6">
              <w:rPr>
                <w:rFonts w:asciiTheme="majorHAnsi" w:hAnsiTheme="majorHAnsi" w:cstheme="majorHAnsi"/>
                <w:sz w:val="20"/>
                <w:szCs w:val="20"/>
              </w:rPr>
              <w:t>/seascape</w:t>
            </w:r>
            <w:r w:rsidR="00ED0B2A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156A6A" w:rsidRPr="00156A6A" w14:paraId="51688CDB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22E1C4C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0043C2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B345380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3174302A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174056B3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2F07FFB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F6A9287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68436C9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8C84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99971" w14:textId="77777777" w:rsidR="002C610C" w:rsidRPr="00156A6A" w:rsidRDefault="002C610C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0D1164B0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D1EB" w14:textId="7F25EEB4" w:rsidR="002C610C" w:rsidRPr="00156A6A" w:rsidRDefault="00193421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2C610C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.1 </w:t>
            </w:r>
            <w:r w:rsidR="000C4B22" w:rsidRPr="00156A6A">
              <w:rPr>
                <w:rFonts w:asciiTheme="majorHAnsi" w:hAnsiTheme="majorHAnsi" w:cstheme="majorHAnsi"/>
                <w:sz w:val="20"/>
                <w:szCs w:val="20"/>
              </w:rPr>
              <w:t>Propose the champions idea to the NSC for guidance and follow up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DC84" w14:textId="470BE708" w:rsidR="002C610C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3E363" w14:textId="6C6A3F9D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 – Dec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1D96" w14:textId="4C14CEE2" w:rsidR="002C610C" w:rsidRPr="00156A6A" w:rsidRDefault="00C05629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Steering Committee (</w:t>
            </w:r>
            <w:r w:rsidR="002C610C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NSC</w:t>
            </w: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); Country Prog Team (CPT)</w:t>
            </w:r>
            <w:r w:rsidR="002C610C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E6B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853A11" w14:textId="3B8AEE5B" w:rsidR="002C610C" w:rsidRPr="00156A6A" w:rsidRDefault="007714CD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 </w:t>
            </w:r>
            <w:r w:rsidR="00F12950">
              <w:rPr>
                <w:rFonts w:asciiTheme="majorHAnsi" w:hAnsiTheme="majorHAnsi" w:cstheme="majorHAnsi"/>
                <w:sz w:val="20"/>
                <w:szCs w:val="20"/>
              </w:rPr>
              <w:t>Initiated.</w:t>
            </w:r>
          </w:p>
        </w:tc>
      </w:tr>
      <w:tr w:rsidR="002C610C" w:rsidRPr="00156A6A" w14:paraId="14C812E2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47D" w14:textId="35C1DC96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0438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DF71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B8B6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CDC9B" w14:textId="77777777" w:rsidR="002C610C" w:rsidRPr="00156A6A" w:rsidRDefault="002C610C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CB2C960" w14:textId="77777777" w:rsidR="002C610C" w:rsidRPr="00156A6A" w:rsidRDefault="002C610C" w:rsidP="002C610C">
      <w:pPr>
        <w:tabs>
          <w:tab w:val="left" w:pos="108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002"/>
        <w:gridCol w:w="2044"/>
        <w:gridCol w:w="1207"/>
        <w:gridCol w:w="998"/>
      </w:tblGrid>
      <w:tr w:rsidR="00156A6A" w:rsidRPr="00156A6A" w14:paraId="74E7CB37" w14:textId="77777777" w:rsidTr="00DC77AE">
        <w:tc>
          <w:tcPr>
            <w:tcW w:w="9216" w:type="dxa"/>
            <w:gridSpan w:val="5"/>
            <w:shd w:val="clear" w:color="auto" w:fill="F3F3F3"/>
          </w:tcPr>
          <w:p w14:paraId="2B569D17" w14:textId="10FF7150" w:rsidR="00EB4BD3" w:rsidRPr="00156A6A" w:rsidRDefault="00EB4BD3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Terminal Evaluation recommendation 1</w:t>
            </w:r>
            <w:r w:rsidR="00E025CB"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4D545E9" w14:textId="20938501" w:rsidR="00EB4BD3" w:rsidRPr="00156A6A" w:rsidRDefault="00C126F7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lastRenderedPageBreak/>
              <w:t>Invest in K</w:t>
            </w:r>
            <w:r w:rsidR="000C4B22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nowledge 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M</w:t>
            </w:r>
            <w:r w:rsidR="000C4B22"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>anagement</w:t>
            </w:r>
            <w:r w:rsidRPr="00156A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it-IT"/>
              </w:rPr>
              <w:t xml:space="preserve"> since project start, both at central and small grants level.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Awareness raising on the importance of K</w:t>
            </w:r>
            <w:r w:rsidR="000C4B22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nowledge 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M</w:t>
            </w:r>
            <w:r w:rsidR="000C4B22"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anagement</w:t>
            </w:r>
            <w:r w:rsidRPr="00156A6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 for grantees require to be implemented since inception. The KM expert should join the team early in project implementation; a communication and KM strategy should be soon prepared and adapted during implementation.</w:t>
            </w:r>
            <w:r w:rsidR="00FB464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 </w:t>
            </w:r>
            <w:r w:rsidR="00FB464E" w:rsidRPr="00FB464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An Induction KM Manual is being developed but will only be useful for OP7. Cross-learning exchanges are useful and unfortunately the Project experienced challenges which resulted in many of these activities being cut. Lessons learned and capacity development approaches at the land/seascape level should be consolidated into a capacity development strategy for OP7</w:t>
            </w:r>
            <w:r w:rsidR="00FB464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156A6A" w:rsidRPr="00156A6A" w14:paraId="784D0C49" w14:textId="77777777" w:rsidTr="00DC77AE">
        <w:tc>
          <w:tcPr>
            <w:tcW w:w="921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7B6BF96F" w14:textId="39B07474" w:rsidR="00EB4BD3" w:rsidRPr="00156A6A" w:rsidRDefault="00EB4BD3" w:rsidP="00A72DAF">
            <w:pPr>
              <w:tabs>
                <w:tab w:val="left" w:pos="1080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Management response</w:t>
            </w: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Fully </w:t>
            </w:r>
            <w:r w:rsidR="000C4B2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Accept. </w:t>
            </w:r>
            <w:r w:rsidR="00182690" w:rsidRPr="00156A6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ountry </w:t>
            </w:r>
            <w:r w:rsidR="00182690" w:rsidRPr="00156A6A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rog </w:t>
            </w:r>
            <w:r w:rsidR="00182690" w:rsidRPr="00156A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eam (CPT)</w:t>
            </w:r>
            <w:r w:rsidR="00182690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will</w:t>
            </w:r>
            <w:r w:rsidR="001108D6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invest in KM through hiring a KM officer</w:t>
            </w:r>
            <w:r w:rsidR="00003DC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 The officer will develop a Comms </w:t>
            </w:r>
            <w:r w:rsidR="0012004B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and KM </w:t>
            </w:r>
            <w:r w:rsidR="00003DCB" w:rsidRPr="00156A6A">
              <w:rPr>
                <w:rFonts w:asciiTheme="majorHAnsi" w:hAnsiTheme="majorHAnsi" w:cstheme="majorHAnsi"/>
                <w:sz w:val="20"/>
                <w:szCs w:val="20"/>
              </w:rPr>
              <w:t>strategy</w:t>
            </w:r>
            <w:r w:rsidR="0012004B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C19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56A6A" w:rsidRPr="00156A6A" w14:paraId="3CC5D497" w14:textId="77777777" w:rsidTr="00DC77AE">
        <w:trPr>
          <w:trHeight w:val="135"/>
        </w:trPr>
        <w:tc>
          <w:tcPr>
            <w:tcW w:w="29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EDD3B30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Key action(s)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8348537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Time frame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1E77496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Responsible unit(s)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14:paraId="47705DA8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Tracking</w:t>
            </w:r>
          </w:p>
        </w:tc>
      </w:tr>
      <w:tr w:rsidR="00156A6A" w:rsidRPr="00156A6A" w14:paraId="50FFCEC1" w14:textId="77777777" w:rsidTr="00DC77AE">
        <w:trPr>
          <w:trHeight w:val="135"/>
        </w:trPr>
        <w:tc>
          <w:tcPr>
            <w:tcW w:w="29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C79878A" w14:textId="77777777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D517514" w14:textId="77777777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9053FBB" w14:textId="77777777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BD01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1A190" w14:textId="77777777" w:rsidR="00EB4BD3" w:rsidRPr="00156A6A" w:rsidRDefault="00EB4BD3" w:rsidP="00DC77AE">
            <w:pPr>
              <w:tabs>
                <w:tab w:val="left" w:pos="1080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</w:tr>
      <w:tr w:rsidR="00156A6A" w:rsidRPr="00156A6A" w14:paraId="73807DC9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99DC" w14:textId="0399839C" w:rsidR="00EB4BD3" w:rsidRPr="00156A6A" w:rsidRDefault="006E1484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05629" w:rsidRPr="00156A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4BD3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.1 </w:t>
            </w:r>
            <w:r w:rsidR="00B34772" w:rsidRPr="00156A6A">
              <w:rPr>
                <w:rFonts w:asciiTheme="majorHAnsi" w:hAnsiTheme="majorHAnsi" w:cstheme="majorHAnsi"/>
                <w:sz w:val="20"/>
                <w:szCs w:val="20"/>
              </w:rPr>
              <w:t>Develop TORs for KM and Comms officer. Advertise and identify suitable candidat</w:t>
            </w:r>
            <w:r w:rsidR="00BF2AA1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  <w:r w:rsidR="00B34772"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0A48" w:rsidRPr="00156A6A">
              <w:rPr>
                <w:rFonts w:asciiTheme="majorHAnsi" w:hAnsiTheme="majorHAnsi" w:cstheme="majorHAnsi"/>
                <w:sz w:val="20"/>
                <w:szCs w:val="20"/>
              </w:rPr>
              <w:t>for KM officer w</w:t>
            </w:r>
            <w:r w:rsidR="00803D82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6B0A48" w:rsidRPr="00156A6A">
              <w:rPr>
                <w:rFonts w:asciiTheme="majorHAnsi" w:hAnsiTheme="majorHAnsi" w:cstheme="majorHAnsi"/>
                <w:sz w:val="20"/>
                <w:szCs w:val="20"/>
              </w:rPr>
              <w:t>o will develop a Comms and KM strategy</w:t>
            </w:r>
            <w:r w:rsidR="00B40BBC" w:rsidRPr="00156A6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0EA1" w14:textId="358518F4" w:rsidR="00EB4BD3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3A34EF" w14:textId="3A40C4A7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Dec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8E84" w14:textId="7EE1E52F" w:rsidR="00EB4BD3" w:rsidRPr="00156A6A" w:rsidRDefault="00803D82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Country Prog Team (CPT)</w:t>
            </w:r>
            <w:r w:rsidR="00EB4BD3" w:rsidRPr="00156A6A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2D28" w14:textId="77777777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CE0AC8" w14:textId="10A807B7" w:rsidR="00EB4BD3" w:rsidRPr="00156A6A" w:rsidRDefault="00803D82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initiated.</w:t>
            </w:r>
          </w:p>
        </w:tc>
      </w:tr>
      <w:tr w:rsidR="00EB4BD3" w:rsidRPr="00156A6A" w14:paraId="374F5A8A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6DC6" w14:textId="754822E6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56A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3D82">
              <w:rPr>
                <w:rFonts w:asciiTheme="majorHAnsi" w:hAnsiTheme="majorHAnsi" w:cstheme="majorHAnsi"/>
                <w:sz w:val="20"/>
                <w:szCs w:val="20"/>
              </w:rPr>
              <w:t xml:space="preserve">11.2 Ensure cross-learning exchanges are included in the capacity development </w:t>
            </w:r>
            <w:r w:rsidR="00112FC6">
              <w:rPr>
                <w:rFonts w:asciiTheme="majorHAnsi" w:hAnsiTheme="majorHAnsi" w:cstheme="majorHAnsi"/>
                <w:sz w:val="20"/>
                <w:szCs w:val="20"/>
              </w:rPr>
              <w:t>strategy and</w:t>
            </w:r>
            <w:r w:rsidR="00253278">
              <w:rPr>
                <w:rFonts w:asciiTheme="majorHAnsi" w:hAnsiTheme="majorHAnsi" w:cstheme="majorHAnsi"/>
                <w:sz w:val="20"/>
                <w:szCs w:val="20"/>
              </w:rPr>
              <w:t xml:space="preserve"> implemented</w:t>
            </w:r>
            <w:r w:rsidR="00803D82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23A" w14:textId="052C682E" w:rsidR="00EB4BD3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8E122F" w14:textId="19DE4CD2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Throughout GEF 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52F8" w14:textId="3FFAA22D" w:rsidR="00EB4BD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Country Prog Team</w:t>
            </w:r>
            <w:r w:rsidR="00167AFD">
              <w:rPr>
                <w:rFonts w:asciiTheme="majorHAnsi" w:hAnsiTheme="majorHAnsi" w:cstheme="majorHAnsi"/>
                <w:sz w:val="20"/>
                <w:szCs w:val="20"/>
              </w:rPr>
              <w:t xml:space="preserve"> (CPT)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A8EB" w14:textId="77777777" w:rsidR="00EB4BD3" w:rsidRPr="00156A6A" w:rsidRDefault="00EB4BD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481B63" w14:textId="70D0E16E" w:rsidR="00EB4BD3" w:rsidRPr="00156A6A" w:rsidRDefault="007714CD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initiated.</w:t>
            </w:r>
          </w:p>
        </w:tc>
      </w:tr>
      <w:tr w:rsidR="00112FC6" w:rsidRPr="00156A6A" w14:paraId="06E01F3B" w14:textId="77777777" w:rsidTr="00DC77AE">
        <w:tc>
          <w:tcPr>
            <w:tcW w:w="2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E2B" w14:textId="3C354499" w:rsidR="00112FC6" w:rsidRPr="00156A6A" w:rsidRDefault="00112FC6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11.3 Finalize preparation of the </w:t>
            </w:r>
            <w:r w:rsidRPr="00FB464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Induction KM Manual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 xml:space="preserve">to be utilized in the </w:t>
            </w:r>
            <w:r w:rsidRPr="00FB464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it-IT"/>
              </w:rPr>
              <w:t>OP7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3AA4" w14:textId="3E273D7F" w:rsidR="00112FC6" w:rsidRDefault="00112FC6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82605D" w14:textId="69FCD8A8" w:rsidR="00132423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– Sept 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BCA7" w14:textId="4461E56A" w:rsidR="00112FC6" w:rsidRPr="00156A6A" w:rsidRDefault="00132423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Country Prog Team</w:t>
            </w:r>
            <w:r w:rsidR="00167AFD">
              <w:rPr>
                <w:rFonts w:asciiTheme="majorHAnsi" w:hAnsiTheme="majorHAnsi" w:cstheme="majorHAnsi"/>
                <w:sz w:val="20"/>
                <w:szCs w:val="20"/>
              </w:rPr>
              <w:t xml:space="preserve"> (CPT)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4FF2" w14:textId="77777777" w:rsidR="00112FC6" w:rsidRPr="00156A6A" w:rsidRDefault="00112FC6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0EBBA" w14:textId="00C3D6C0" w:rsidR="00112FC6" w:rsidRDefault="00112FC6" w:rsidP="00DC77AE">
            <w:pPr>
              <w:tabs>
                <w:tab w:val="left" w:pos="10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Initiated </w:t>
            </w:r>
          </w:p>
        </w:tc>
      </w:tr>
    </w:tbl>
    <w:p w14:paraId="6348C4DC" w14:textId="77777777" w:rsidR="00451220" w:rsidRPr="00156A6A" w:rsidRDefault="00451220" w:rsidP="00451220">
      <w:pPr>
        <w:rPr>
          <w:rFonts w:asciiTheme="majorHAnsi" w:hAnsiTheme="majorHAnsi" w:cstheme="majorHAnsi"/>
          <w:sz w:val="20"/>
          <w:szCs w:val="20"/>
        </w:rPr>
      </w:pPr>
    </w:p>
    <w:p w14:paraId="73206D7C" w14:textId="77777777" w:rsidR="00451220" w:rsidRPr="00156A6A" w:rsidRDefault="00451220" w:rsidP="00A97820">
      <w:pPr>
        <w:rPr>
          <w:rFonts w:asciiTheme="majorHAnsi" w:hAnsiTheme="majorHAnsi" w:cstheme="majorHAnsi"/>
          <w:sz w:val="20"/>
          <w:szCs w:val="20"/>
        </w:rPr>
      </w:pPr>
    </w:p>
    <w:p w14:paraId="1ECFC626" w14:textId="77777777" w:rsidR="00707E92" w:rsidRPr="00156A6A" w:rsidRDefault="00707E92">
      <w:pPr>
        <w:rPr>
          <w:rFonts w:asciiTheme="majorHAnsi" w:hAnsiTheme="majorHAnsi" w:cstheme="majorHAnsi"/>
          <w:sz w:val="20"/>
          <w:szCs w:val="20"/>
        </w:rPr>
      </w:pPr>
    </w:p>
    <w:sectPr w:rsidR="00707E92" w:rsidRPr="0015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D07B" w14:textId="77777777" w:rsidR="00296AE6" w:rsidRDefault="00296AE6" w:rsidP="000208B5">
      <w:pPr>
        <w:spacing w:after="0" w:line="240" w:lineRule="auto"/>
      </w:pPr>
      <w:r>
        <w:separator/>
      </w:r>
    </w:p>
  </w:endnote>
  <w:endnote w:type="continuationSeparator" w:id="0">
    <w:p w14:paraId="20182DBA" w14:textId="77777777" w:rsidR="00296AE6" w:rsidRDefault="00296AE6" w:rsidP="0002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1BE" w14:textId="77777777" w:rsidR="00296AE6" w:rsidRDefault="00296AE6" w:rsidP="000208B5">
      <w:pPr>
        <w:spacing w:after="0" w:line="240" w:lineRule="auto"/>
      </w:pPr>
      <w:r>
        <w:separator/>
      </w:r>
    </w:p>
  </w:footnote>
  <w:footnote w:type="continuationSeparator" w:id="0">
    <w:p w14:paraId="2B994483" w14:textId="77777777" w:rsidR="00296AE6" w:rsidRDefault="00296AE6" w:rsidP="000208B5">
      <w:pPr>
        <w:spacing w:after="0" w:line="240" w:lineRule="auto"/>
      </w:pPr>
      <w:r>
        <w:continuationSeparator/>
      </w:r>
    </w:p>
  </w:footnote>
  <w:footnote w:id="1">
    <w:p w14:paraId="62BDBF42" w14:textId="10037812" w:rsidR="00735444" w:rsidRPr="00682E04" w:rsidRDefault="00735444">
      <w:pPr>
        <w:pStyle w:val="FootnoteText"/>
        <w:rPr>
          <w:rFonts w:ascii="Calibri" w:hAnsi="Calibri"/>
          <w:sz w:val="18"/>
          <w:szCs w:val="18"/>
        </w:rPr>
      </w:pPr>
      <w:r w:rsidRPr="00682E04">
        <w:rPr>
          <w:rFonts w:ascii="Calibri" w:hAnsi="Calibri"/>
          <w:sz w:val="18"/>
          <w:szCs w:val="18"/>
          <w:vertAlign w:val="superscript"/>
        </w:rPr>
        <w:footnoteRef/>
      </w:r>
      <w:r w:rsidRPr="00682E04">
        <w:rPr>
          <w:rFonts w:ascii="Calibri" w:hAnsi="Calibri"/>
          <w:sz w:val="18"/>
          <w:szCs w:val="18"/>
          <w:vertAlign w:val="superscript"/>
        </w:rPr>
        <w:t xml:space="preserve"> </w:t>
      </w:r>
      <w:r w:rsidRPr="00682E04">
        <w:rPr>
          <w:rFonts w:ascii="Calibri" w:hAnsi="Calibri"/>
          <w:sz w:val="18"/>
          <w:szCs w:val="18"/>
        </w:rPr>
        <w:t>Select one:  Fully Accept, Partially Accept, Reject</w:t>
      </w:r>
    </w:p>
  </w:footnote>
  <w:footnote w:id="2">
    <w:p w14:paraId="47670F5C" w14:textId="64366036" w:rsidR="00A97820" w:rsidRPr="00060E35" w:rsidRDefault="00A97820" w:rsidP="00A97820">
      <w:pPr>
        <w:pStyle w:val="FootnoteText"/>
        <w:rPr>
          <w:rFonts w:ascii="Garamond" w:hAnsi="Garamond"/>
          <w:sz w:val="18"/>
          <w:szCs w:val="18"/>
        </w:rPr>
      </w:pPr>
      <w:r w:rsidRPr="00682E04">
        <w:rPr>
          <w:sz w:val="18"/>
          <w:szCs w:val="18"/>
          <w:vertAlign w:val="superscript"/>
        </w:rPr>
        <w:footnoteRef/>
      </w:r>
      <w:r w:rsidRPr="00682E04">
        <w:rPr>
          <w:rFonts w:ascii="Calibri" w:hAnsi="Calibri"/>
          <w:vertAlign w:val="superscript"/>
        </w:rPr>
        <w:t xml:space="preserve"> </w:t>
      </w:r>
      <w:r w:rsidR="00FF1A23">
        <w:rPr>
          <w:rFonts w:ascii="Calibri" w:hAnsi="Calibri"/>
          <w:sz w:val="18"/>
          <w:szCs w:val="18"/>
        </w:rPr>
        <w:t>S</w:t>
      </w:r>
      <w:r w:rsidRPr="00DF316C">
        <w:rPr>
          <w:rFonts w:ascii="Calibri" w:hAnsi="Calibri"/>
          <w:sz w:val="18"/>
          <w:szCs w:val="18"/>
        </w:rPr>
        <w:t>tatus of implementation is tracked electronically in the Evaluation Resource Centre</w:t>
      </w:r>
      <w:r w:rsidR="00FF1A23">
        <w:rPr>
          <w:rFonts w:ascii="Calibri" w:hAnsi="Calibri"/>
          <w:sz w:val="18"/>
          <w:szCs w:val="18"/>
        </w:rPr>
        <w:t xml:space="preserve"> </w:t>
      </w:r>
      <w:r w:rsidRPr="00DF316C">
        <w:rPr>
          <w:rFonts w:ascii="Calibri" w:hAnsi="Calibri"/>
          <w:sz w:val="18"/>
          <w:szCs w:val="18"/>
        </w:rPr>
        <w:t>(ERC).</w:t>
      </w:r>
    </w:p>
  </w:footnote>
  <w:footnote w:id="3">
    <w:p w14:paraId="57C507A6" w14:textId="7FFB05B1" w:rsidR="00A97820" w:rsidRPr="00DF316C" w:rsidRDefault="00A97820" w:rsidP="00A978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8"/>
          <w:szCs w:val="18"/>
          <w:vertAlign w:val="superscript"/>
        </w:rPr>
      </w:pPr>
      <w:r w:rsidRPr="00DF316C">
        <w:rPr>
          <w:rStyle w:val="FootnoteReference"/>
          <w:rFonts w:ascii="Calibri" w:hAnsi="Calibri"/>
          <w:sz w:val="18"/>
          <w:szCs w:val="18"/>
        </w:rPr>
        <w:footnoteRef/>
      </w:r>
      <w:r w:rsidRPr="00DF316C">
        <w:rPr>
          <w:rFonts w:ascii="Calibri" w:hAnsi="Calibri"/>
          <w:sz w:val="18"/>
          <w:szCs w:val="18"/>
        </w:rPr>
        <w:t xml:space="preserve"> S</w:t>
      </w:r>
      <w:r w:rsidR="00172B99">
        <w:rPr>
          <w:rFonts w:ascii="Calibri" w:hAnsi="Calibri"/>
          <w:sz w:val="18"/>
          <w:szCs w:val="18"/>
        </w:rPr>
        <w:t xml:space="preserve">elect one: Not initiated, Initiated, </w:t>
      </w:r>
      <w:r w:rsidRPr="00DF316C">
        <w:rPr>
          <w:rFonts w:ascii="Calibri" w:hAnsi="Calibri"/>
          <w:sz w:val="18"/>
          <w:szCs w:val="18"/>
        </w:rPr>
        <w:t xml:space="preserve">Completed, </w:t>
      </w:r>
      <w:r w:rsidR="00172B99">
        <w:rPr>
          <w:rFonts w:ascii="Calibri" w:hAnsi="Calibri"/>
          <w:sz w:val="18"/>
          <w:szCs w:val="18"/>
        </w:rPr>
        <w:t>Completed, No longer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0424"/>
    <w:multiLevelType w:val="hybridMultilevel"/>
    <w:tmpl w:val="017E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508F8"/>
    <w:multiLevelType w:val="hybridMultilevel"/>
    <w:tmpl w:val="88688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0D"/>
    <w:rsid w:val="00003DCB"/>
    <w:rsid w:val="00004584"/>
    <w:rsid w:val="000208B5"/>
    <w:rsid w:val="000222A2"/>
    <w:rsid w:val="00033B7A"/>
    <w:rsid w:val="00046196"/>
    <w:rsid w:val="00076492"/>
    <w:rsid w:val="0008252B"/>
    <w:rsid w:val="00085DB8"/>
    <w:rsid w:val="0008708A"/>
    <w:rsid w:val="000875CC"/>
    <w:rsid w:val="00090E84"/>
    <w:rsid w:val="000946FA"/>
    <w:rsid w:val="00096976"/>
    <w:rsid w:val="000A5B9D"/>
    <w:rsid w:val="000B4CCB"/>
    <w:rsid w:val="000B6D80"/>
    <w:rsid w:val="000C1158"/>
    <w:rsid w:val="000C16FF"/>
    <w:rsid w:val="000C4B22"/>
    <w:rsid w:val="000D7716"/>
    <w:rsid w:val="000E76B3"/>
    <w:rsid w:val="001035E6"/>
    <w:rsid w:val="00105DC8"/>
    <w:rsid w:val="001079A3"/>
    <w:rsid w:val="001108D6"/>
    <w:rsid w:val="00112FC6"/>
    <w:rsid w:val="0012004B"/>
    <w:rsid w:val="00132423"/>
    <w:rsid w:val="00133162"/>
    <w:rsid w:val="0014483F"/>
    <w:rsid w:val="00152D73"/>
    <w:rsid w:val="00153212"/>
    <w:rsid w:val="00153D3D"/>
    <w:rsid w:val="001551B2"/>
    <w:rsid w:val="00156A6A"/>
    <w:rsid w:val="00162B49"/>
    <w:rsid w:val="00163FFF"/>
    <w:rsid w:val="0016633B"/>
    <w:rsid w:val="0016700D"/>
    <w:rsid w:val="00167AFD"/>
    <w:rsid w:val="00172B99"/>
    <w:rsid w:val="00182690"/>
    <w:rsid w:val="00186590"/>
    <w:rsid w:val="00193421"/>
    <w:rsid w:val="0019458F"/>
    <w:rsid w:val="001D7633"/>
    <w:rsid w:val="001F0EFE"/>
    <w:rsid w:val="001F2C1B"/>
    <w:rsid w:val="00203AAE"/>
    <w:rsid w:val="00223572"/>
    <w:rsid w:val="00236FD4"/>
    <w:rsid w:val="002403B6"/>
    <w:rsid w:val="00244C46"/>
    <w:rsid w:val="00245E83"/>
    <w:rsid w:val="00253278"/>
    <w:rsid w:val="002544DE"/>
    <w:rsid w:val="0025455C"/>
    <w:rsid w:val="00263453"/>
    <w:rsid w:val="00270306"/>
    <w:rsid w:val="00271329"/>
    <w:rsid w:val="002739CF"/>
    <w:rsid w:val="002840BA"/>
    <w:rsid w:val="00287B46"/>
    <w:rsid w:val="0029638B"/>
    <w:rsid w:val="00296AE6"/>
    <w:rsid w:val="002A28CF"/>
    <w:rsid w:val="002A67A0"/>
    <w:rsid w:val="002B1E80"/>
    <w:rsid w:val="002B407B"/>
    <w:rsid w:val="002C34C7"/>
    <w:rsid w:val="002C610C"/>
    <w:rsid w:val="00331311"/>
    <w:rsid w:val="00336F9F"/>
    <w:rsid w:val="0037512B"/>
    <w:rsid w:val="0037523B"/>
    <w:rsid w:val="00395A36"/>
    <w:rsid w:val="003A698E"/>
    <w:rsid w:val="003C2C67"/>
    <w:rsid w:val="003D7452"/>
    <w:rsid w:val="003E5B71"/>
    <w:rsid w:val="003F65FA"/>
    <w:rsid w:val="003F7A01"/>
    <w:rsid w:val="004106A2"/>
    <w:rsid w:val="004254CB"/>
    <w:rsid w:val="00446BE4"/>
    <w:rsid w:val="00451220"/>
    <w:rsid w:val="004539EC"/>
    <w:rsid w:val="00467089"/>
    <w:rsid w:val="004700D1"/>
    <w:rsid w:val="00472515"/>
    <w:rsid w:val="0049216E"/>
    <w:rsid w:val="00494037"/>
    <w:rsid w:val="004957A7"/>
    <w:rsid w:val="004A03CC"/>
    <w:rsid w:val="004C3FA3"/>
    <w:rsid w:val="004C66B1"/>
    <w:rsid w:val="004C6FC9"/>
    <w:rsid w:val="004C7EEC"/>
    <w:rsid w:val="004D40F1"/>
    <w:rsid w:val="004D695E"/>
    <w:rsid w:val="004F111E"/>
    <w:rsid w:val="004F1EAC"/>
    <w:rsid w:val="004F2E5B"/>
    <w:rsid w:val="004F451E"/>
    <w:rsid w:val="005056EA"/>
    <w:rsid w:val="005114FD"/>
    <w:rsid w:val="00512E61"/>
    <w:rsid w:val="005422D9"/>
    <w:rsid w:val="00543C51"/>
    <w:rsid w:val="00545FBE"/>
    <w:rsid w:val="00570A8C"/>
    <w:rsid w:val="00570BA5"/>
    <w:rsid w:val="005A2FAA"/>
    <w:rsid w:val="005C52B8"/>
    <w:rsid w:val="005C6058"/>
    <w:rsid w:val="005F0F23"/>
    <w:rsid w:val="006266E6"/>
    <w:rsid w:val="006316A5"/>
    <w:rsid w:val="006348C4"/>
    <w:rsid w:val="00635DEE"/>
    <w:rsid w:val="00643588"/>
    <w:rsid w:val="006450B0"/>
    <w:rsid w:val="00647B26"/>
    <w:rsid w:val="006527DF"/>
    <w:rsid w:val="00653A6C"/>
    <w:rsid w:val="00653B65"/>
    <w:rsid w:val="006551FC"/>
    <w:rsid w:val="006731B9"/>
    <w:rsid w:val="00674958"/>
    <w:rsid w:val="00682E04"/>
    <w:rsid w:val="00684274"/>
    <w:rsid w:val="00686220"/>
    <w:rsid w:val="00696E07"/>
    <w:rsid w:val="006B0A48"/>
    <w:rsid w:val="006B5930"/>
    <w:rsid w:val="006B7F93"/>
    <w:rsid w:val="006C5C9F"/>
    <w:rsid w:val="006E049C"/>
    <w:rsid w:val="006E1484"/>
    <w:rsid w:val="006F4A84"/>
    <w:rsid w:val="006F6835"/>
    <w:rsid w:val="00705A15"/>
    <w:rsid w:val="00707E92"/>
    <w:rsid w:val="0071782C"/>
    <w:rsid w:val="00725D6F"/>
    <w:rsid w:val="00735444"/>
    <w:rsid w:val="0073757B"/>
    <w:rsid w:val="0074638A"/>
    <w:rsid w:val="00752CE1"/>
    <w:rsid w:val="007714CD"/>
    <w:rsid w:val="00775FC8"/>
    <w:rsid w:val="00777EFB"/>
    <w:rsid w:val="0079205B"/>
    <w:rsid w:val="0079376D"/>
    <w:rsid w:val="007A03CD"/>
    <w:rsid w:val="007A3794"/>
    <w:rsid w:val="007B29EE"/>
    <w:rsid w:val="007B7F52"/>
    <w:rsid w:val="007D5B14"/>
    <w:rsid w:val="00803D82"/>
    <w:rsid w:val="008075CC"/>
    <w:rsid w:val="0081206C"/>
    <w:rsid w:val="0082583C"/>
    <w:rsid w:val="0088345F"/>
    <w:rsid w:val="00887DDB"/>
    <w:rsid w:val="00896751"/>
    <w:rsid w:val="008B1234"/>
    <w:rsid w:val="008C1727"/>
    <w:rsid w:val="008C7961"/>
    <w:rsid w:val="008F3C1A"/>
    <w:rsid w:val="008F4199"/>
    <w:rsid w:val="00905A86"/>
    <w:rsid w:val="00916D3F"/>
    <w:rsid w:val="00924DB7"/>
    <w:rsid w:val="00927AD5"/>
    <w:rsid w:val="009310F0"/>
    <w:rsid w:val="00936A86"/>
    <w:rsid w:val="00960598"/>
    <w:rsid w:val="0096080D"/>
    <w:rsid w:val="00972D4B"/>
    <w:rsid w:val="009A167D"/>
    <w:rsid w:val="009B16D1"/>
    <w:rsid w:val="009C31DE"/>
    <w:rsid w:val="009C7264"/>
    <w:rsid w:val="009F2D43"/>
    <w:rsid w:val="009F4063"/>
    <w:rsid w:val="00A24B39"/>
    <w:rsid w:val="00A302A9"/>
    <w:rsid w:val="00A30500"/>
    <w:rsid w:val="00A31DAD"/>
    <w:rsid w:val="00A32479"/>
    <w:rsid w:val="00A527EE"/>
    <w:rsid w:val="00A67E99"/>
    <w:rsid w:val="00A72DAF"/>
    <w:rsid w:val="00A810C1"/>
    <w:rsid w:val="00A831E2"/>
    <w:rsid w:val="00A92AB5"/>
    <w:rsid w:val="00A97820"/>
    <w:rsid w:val="00AA0730"/>
    <w:rsid w:val="00AA3C81"/>
    <w:rsid w:val="00AB5F4F"/>
    <w:rsid w:val="00AD0A34"/>
    <w:rsid w:val="00AD11ED"/>
    <w:rsid w:val="00AF20CE"/>
    <w:rsid w:val="00B0497C"/>
    <w:rsid w:val="00B34772"/>
    <w:rsid w:val="00B40BBC"/>
    <w:rsid w:val="00B63AA5"/>
    <w:rsid w:val="00B67211"/>
    <w:rsid w:val="00B7031E"/>
    <w:rsid w:val="00B70476"/>
    <w:rsid w:val="00B707BC"/>
    <w:rsid w:val="00B722BC"/>
    <w:rsid w:val="00BA2674"/>
    <w:rsid w:val="00BB600E"/>
    <w:rsid w:val="00BC0EE5"/>
    <w:rsid w:val="00BC5310"/>
    <w:rsid w:val="00BC69E9"/>
    <w:rsid w:val="00BD18E7"/>
    <w:rsid w:val="00BF2AA1"/>
    <w:rsid w:val="00C02B39"/>
    <w:rsid w:val="00C04832"/>
    <w:rsid w:val="00C04CDD"/>
    <w:rsid w:val="00C05629"/>
    <w:rsid w:val="00C126F7"/>
    <w:rsid w:val="00C2418D"/>
    <w:rsid w:val="00C651E1"/>
    <w:rsid w:val="00C96677"/>
    <w:rsid w:val="00CC308A"/>
    <w:rsid w:val="00CD04E1"/>
    <w:rsid w:val="00D151F3"/>
    <w:rsid w:val="00D25E2D"/>
    <w:rsid w:val="00D26720"/>
    <w:rsid w:val="00D47D12"/>
    <w:rsid w:val="00D50827"/>
    <w:rsid w:val="00D56513"/>
    <w:rsid w:val="00D64905"/>
    <w:rsid w:val="00D661FB"/>
    <w:rsid w:val="00D72F7F"/>
    <w:rsid w:val="00D86C7F"/>
    <w:rsid w:val="00D952AB"/>
    <w:rsid w:val="00DB3834"/>
    <w:rsid w:val="00DC12E7"/>
    <w:rsid w:val="00DC77AE"/>
    <w:rsid w:val="00DC7EE1"/>
    <w:rsid w:val="00DF1DD5"/>
    <w:rsid w:val="00E025CB"/>
    <w:rsid w:val="00E03DCD"/>
    <w:rsid w:val="00E14476"/>
    <w:rsid w:val="00E25734"/>
    <w:rsid w:val="00E25DBC"/>
    <w:rsid w:val="00E34B4B"/>
    <w:rsid w:val="00E50854"/>
    <w:rsid w:val="00E56CA5"/>
    <w:rsid w:val="00E76B7D"/>
    <w:rsid w:val="00E77323"/>
    <w:rsid w:val="00E85D4A"/>
    <w:rsid w:val="00E8773D"/>
    <w:rsid w:val="00EA0F98"/>
    <w:rsid w:val="00EA185F"/>
    <w:rsid w:val="00EB32AB"/>
    <w:rsid w:val="00EB48A0"/>
    <w:rsid w:val="00EB4BD3"/>
    <w:rsid w:val="00ED0B2A"/>
    <w:rsid w:val="00EE4F80"/>
    <w:rsid w:val="00F122CD"/>
    <w:rsid w:val="00F12950"/>
    <w:rsid w:val="00F275F3"/>
    <w:rsid w:val="00F623EC"/>
    <w:rsid w:val="00F65CAB"/>
    <w:rsid w:val="00F7665D"/>
    <w:rsid w:val="00FA484E"/>
    <w:rsid w:val="00FA5D23"/>
    <w:rsid w:val="00FA63CE"/>
    <w:rsid w:val="00FB464E"/>
    <w:rsid w:val="00FB7FA8"/>
    <w:rsid w:val="00FC0FDE"/>
    <w:rsid w:val="00FC191A"/>
    <w:rsid w:val="00FD32AC"/>
    <w:rsid w:val="00FF1A23"/>
    <w:rsid w:val="00FF2D0F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DB89"/>
  <w15:chartTrackingRefBased/>
  <w15:docId w15:val="{B2C7BAE7-A365-4881-838B-563F7C0C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960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80D"/>
    <w:rPr>
      <w:sz w:val="20"/>
      <w:szCs w:val="20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647B26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basedOn w:val="DefaultParagraphFont"/>
    <w:link w:val="ListParagraph"/>
    <w:uiPriority w:val="34"/>
    <w:qFormat/>
    <w:rsid w:val="00647B26"/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iPriority w:val="99"/>
    <w:unhideWhenUsed/>
    <w:rsid w:val="000208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0208B5"/>
    <w:rPr>
      <w:sz w:val="20"/>
      <w:szCs w:val="20"/>
    </w:rPr>
  </w:style>
  <w:style w:type="character" w:styleId="FootnoteReference">
    <w:name w:val="footnote reference"/>
    <w:aliases w:val="16 Point,Superscript 6 Point,Superscript 6 Point + 11 pt,ftref,fr,Footnote Ref in FtNote,Style 24,o,SUPERS"/>
    <w:basedOn w:val="DefaultParagraphFont"/>
    <w:uiPriority w:val="99"/>
    <w:unhideWhenUsed/>
    <w:rsid w:val="000208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3A6C"/>
    <w:rPr>
      <w:color w:val="0000FF"/>
      <w:u w:val="single"/>
    </w:rPr>
  </w:style>
  <w:style w:type="paragraph" w:customStyle="1" w:styleId="HCh">
    <w:name w:val="_ H _Ch"/>
    <w:basedOn w:val="Normal"/>
    <w:next w:val="Normal"/>
    <w:rsid w:val="00A97820"/>
    <w:pPr>
      <w:keepNext/>
      <w:keepLines/>
      <w:suppressAutoHyphens/>
      <w:spacing w:after="0" w:line="300" w:lineRule="exact"/>
      <w:outlineLvl w:val="0"/>
    </w:pPr>
    <w:rPr>
      <w:rFonts w:ascii="Times New Roman" w:eastAsia="MS Mincho" w:hAnsi="Times New Roman" w:cs="Times New Roman"/>
      <w:b/>
      <w:spacing w:val="-2"/>
      <w:w w:val="103"/>
      <w:kern w:val="14"/>
      <w:sz w:val="28"/>
      <w:szCs w:val="20"/>
      <w:lang w:val="en-GB"/>
    </w:rPr>
  </w:style>
  <w:style w:type="paragraph" w:customStyle="1" w:styleId="SingleTxt">
    <w:name w:val="__Single Txt"/>
    <w:basedOn w:val="Normal"/>
    <w:rsid w:val="00A9782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5E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2D"/>
    <w:rPr>
      <w:b/>
      <w:bCs/>
      <w:sz w:val="20"/>
      <w:szCs w:val="20"/>
    </w:rPr>
  </w:style>
  <w:style w:type="paragraph" w:customStyle="1" w:styleId="Default">
    <w:name w:val="Default"/>
    <w:basedOn w:val="Normal"/>
    <w:rsid w:val="00A527EE"/>
    <w:pPr>
      <w:autoSpaceDE w:val="0"/>
      <w:autoSpaceDN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B04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ne">
    <w:name w:val="None"/>
    <w:qFormat/>
    <w:rsid w:val="00B0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6698D5E5EF49BB70C92D661A2074" ma:contentTypeVersion="14" ma:contentTypeDescription="Create a new document." ma:contentTypeScope="" ma:versionID="bd5d650d0ae420cc0d48fe128d5bbff1">
  <xsd:schema xmlns:xsd="http://www.w3.org/2001/XMLSchema" xmlns:xs="http://www.w3.org/2001/XMLSchema" xmlns:p="http://schemas.microsoft.com/office/2006/metadata/properties" xmlns:ns3="200a9967-79c2-4f32-916b-bf2d048c86ca" xmlns:ns4="1ea23e27-1dd4-44ab-8bd4-d9d73a3ad34f" targetNamespace="http://schemas.microsoft.com/office/2006/metadata/properties" ma:root="true" ma:fieldsID="7a5dfb779724de5f1f718b8cb730b7d0" ns3:_="" ns4:_="">
    <xsd:import namespace="200a9967-79c2-4f32-916b-bf2d048c86ca"/>
    <xsd:import namespace="1ea23e27-1dd4-44ab-8bd4-d9d73a3ad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9967-79c2-4f32-916b-bf2d048c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3e27-1dd4-44ab-8bd4-d9d73a3a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6C2CC-F6C7-4869-ABEF-66BE07B28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CF7DA-9A1B-4E8F-B65D-F29C0E5E9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A95D06-D7B7-4517-B7BF-49539CB49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9967-79c2-4f32-916b-bf2d048c86ca"/>
    <ds:schemaRef ds:uri="1ea23e27-1dd4-44ab-8bd4-d9d73a3ad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9183D-819A-42C3-BAA3-57DAE7BD2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2266</Words>
  <Characters>12917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Arguelles</dc:creator>
  <cp:keywords/>
  <dc:description/>
  <cp:lastModifiedBy>Valerie Munyeti</cp:lastModifiedBy>
  <cp:revision>2</cp:revision>
  <dcterms:created xsi:type="dcterms:W3CDTF">2022-04-17T09:18:00Z</dcterms:created>
  <dcterms:modified xsi:type="dcterms:W3CDTF">2022-04-17T09:18:00Z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0x0101007DAA6698D5E5EF49BB70C92D661A2074</vt:lpwstr>
  </property>
</Properties>
</file>