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1A1" w:rsidRDefault="00024EE1" w:rsidP="00D139C0">
      <w:pPr>
        <w:spacing w:after="240" w:line="312" w:lineRule="auto"/>
        <w:jc w:val="center"/>
        <w:rPr>
          <w:rFonts w:asciiTheme="minorHAnsi" w:eastAsiaTheme="minorEastAsia" w:hAnsiTheme="minorHAnsi" w:cstheme="minorBidi"/>
          <w:b/>
          <w:lang w:val="en-CA" w:eastAsia="zh-CN"/>
        </w:rPr>
      </w:pPr>
      <w:r w:rsidRPr="00024EE1">
        <w:rPr>
          <w:rFonts w:asciiTheme="minorHAnsi" w:eastAsiaTheme="minorEastAsia" w:hAnsiTheme="minorHAnsi" w:cstheme="minorBidi"/>
          <w:b/>
          <w:lang w:val="en-CA" w:eastAsia="zh-CN"/>
        </w:rPr>
        <w:t>Management response to the recommendations of Terminal Evaluation Report-</w:t>
      </w:r>
      <w:r w:rsidR="00D139C0" w:rsidRPr="00D139C0">
        <w:t xml:space="preserve"> </w:t>
      </w:r>
      <w:r w:rsidR="00D139C0" w:rsidRPr="00D139C0">
        <w:rPr>
          <w:rFonts w:asciiTheme="minorHAnsi" w:eastAsiaTheme="minorEastAsia" w:hAnsiTheme="minorHAnsi" w:cstheme="minorBidi"/>
          <w:b/>
          <w:lang w:val="en-CA" w:eastAsia="zh-CN"/>
        </w:rPr>
        <w:t xml:space="preserve">Strengthening the Management Effectiveness of the Sub-system of Wetland Protected Areas for Conservation of Globally Significant Biodiversity </w:t>
      </w:r>
    </w:p>
    <w:p w:rsidR="00165B99" w:rsidRDefault="00024EE1" w:rsidP="001D22BE">
      <w:pPr>
        <w:spacing w:after="240" w:line="312" w:lineRule="auto"/>
        <w:ind w:firstLine="420"/>
        <w:jc w:val="both"/>
        <w:rPr>
          <w:rFonts w:asciiTheme="minorHAnsi" w:eastAsiaTheme="minorEastAsia" w:hAnsiTheme="minorHAnsi" w:cstheme="minorBidi"/>
          <w:lang w:val="en-CA" w:eastAsia="zh-CN"/>
        </w:rPr>
      </w:pPr>
      <w:r>
        <w:rPr>
          <w:rFonts w:asciiTheme="minorHAnsi" w:eastAsiaTheme="minorEastAsia" w:hAnsiTheme="minorHAnsi" w:cstheme="minorBidi"/>
          <w:lang w:val="en-CA" w:eastAsia="zh-CN"/>
        </w:rPr>
        <w:t>T</w:t>
      </w:r>
      <w:r w:rsidRPr="00024EE1">
        <w:rPr>
          <w:rFonts w:asciiTheme="minorHAnsi" w:eastAsiaTheme="minorEastAsia" w:hAnsiTheme="minorHAnsi" w:cstheme="minorBidi"/>
          <w:lang w:val="en-CA" w:eastAsia="zh-CN"/>
        </w:rPr>
        <w:t xml:space="preserve">he project CBPF-MSL: </w:t>
      </w:r>
      <w:r w:rsidR="001D22BE" w:rsidRPr="001D22BE">
        <w:rPr>
          <w:rFonts w:asciiTheme="minorHAnsi" w:eastAsiaTheme="minorEastAsia" w:hAnsiTheme="minorHAnsi" w:cstheme="minorBidi"/>
          <w:lang w:val="en-CA" w:eastAsia="zh-CN"/>
        </w:rPr>
        <w:t>Strengthening the Management Effectiveness of the Sub-system of Wetland Protected Areas for Conservation of Globally Significant Biodiversity</w:t>
      </w:r>
      <w:r w:rsidR="00716E08">
        <w:rPr>
          <w:rFonts w:asciiTheme="minorHAnsi" w:eastAsiaTheme="minorEastAsia" w:hAnsiTheme="minorHAnsi" w:cstheme="minorBidi"/>
          <w:lang w:val="en-CA" w:eastAsia="zh-CN"/>
        </w:rPr>
        <w:t xml:space="preserve"> (NP project)</w:t>
      </w:r>
      <w:r w:rsidR="008D6549">
        <w:rPr>
          <w:rFonts w:asciiTheme="minorHAnsi" w:eastAsiaTheme="minorEastAsia" w:hAnsiTheme="minorHAnsi" w:cstheme="minorBidi"/>
          <w:lang w:val="en-CA" w:eastAsia="zh-CN"/>
        </w:rPr>
        <w:t xml:space="preserve"> </w:t>
      </w:r>
      <w:r>
        <w:rPr>
          <w:rFonts w:asciiTheme="minorHAnsi" w:eastAsiaTheme="minorEastAsia" w:hAnsiTheme="minorHAnsi" w:cstheme="minorBidi"/>
          <w:lang w:val="en-CA" w:eastAsia="zh-CN"/>
        </w:rPr>
        <w:t xml:space="preserve">is </w:t>
      </w:r>
      <w:r w:rsidRPr="00024EE1">
        <w:rPr>
          <w:rFonts w:asciiTheme="minorHAnsi" w:eastAsiaTheme="minorEastAsia" w:hAnsiTheme="minorHAnsi" w:cstheme="minorBidi"/>
          <w:lang w:val="en-CA" w:eastAsia="zh-CN"/>
        </w:rPr>
        <w:t>nearing the end after</w:t>
      </w:r>
      <w:r w:rsidR="00A948A2">
        <w:rPr>
          <w:rFonts w:asciiTheme="minorHAnsi" w:eastAsiaTheme="minorEastAsia" w:hAnsiTheme="minorHAnsi" w:cstheme="minorBidi"/>
          <w:lang w:val="en-CA" w:eastAsia="zh-CN"/>
        </w:rPr>
        <w:t xml:space="preserve"> more than </w:t>
      </w:r>
      <w:r w:rsidRPr="00024EE1">
        <w:rPr>
          <w:rFonts w:asciiTheme="minorHAnsi" w:eastAsiaTheme="minorEastAsia" w:hAnsiTheme="minorHAnsi" w:cstheme="minorBidi"/>
          <w:lang w:val="en-CA" w:eastAsia="zh-CN"/>
        </w:rPr>
        <w:t>five years of smooth implementation</w:t>
      </w:r>
      <w:r>
        <w:rPr>
          <w:rFonts w:asciiTheme="minorHAnsi" w:eastAsiaTheme="minorEastAsia" w:hAnsiTheme="minorHAnsi" w:cstheme="minorBidi"/>
          <w:lang w:val="en-CA" w:eastAsia="zh-CN"/>
        </w:rPr>
        <w:t xml:space="preserve"> with</w:t>
      </w:r>
      <w:r w:rsidRPr="001D22BE">
        <w:rPr>
          <w:rFonts w:asciiTheme="minorHAnsi" w:eastAsiaTheme="minorEastAsia" w:hAnsiTheme="minorHAnsi" w:cstheme="minorBidi"/>
          <w:lang w:val="en-CA" w:eastAsia="zh-CN"/>
        </w:rPr>
        <w:t xml:space="preserve"> </w:t>
      </w:r>
      <w:r w:rsidRPr="00024EE1">
        <w:rPr>
          <w:rFonts w:asciiTheme="minorHAnsi" w:eastAsiaTheme="minorEastAsia" w:hAnsiTheme="minorHAnsi" w:cstheme="minorBidi"/>
          <w:lang w:val="en-CA" w:eastAsia="zh-CN"/>
        </w:rPr>
        <w:t>fruitful results</w:t>
      </w:r>
      <w:r>
        <w:rPr>
          <w:rFonts w:asciiTheme="minorHAnsi" w:eastAsiaTheme="minorEastAsia" w:hAnsiTheme="minorHAnsi" w:cstheme="minorBidi"/>
          <w:lang w:val="en-CA" w:eastAsia="zh-CN"/>
        </w:rPr>
        <w:t xml:space="preserve"> u</w:t>
      </w:r>
      <w:r w:rsidRPr="00024EE1">
        <w:rPr>
          <w:rFonts w:asciiTheme="minorHAnsi" w:eastAsiaTheme="minorEastAsia" w:hAnsiTheme="minorHAnsi" w:cstheme="minorBidi"/>
          <w:lang w:val="en-CA" w:eastAsia="zh-CN"/>
        </w:rPr>
        <w:t xml:space="preserve">nder the </w:t>
      </w:r>
      <w:r>
        <w:rPr>
          <w:rFonts w:asciiTheme="minorHAnsi" w:eastAsiaTheme="minorEastAsia" w:hAnsiTheme="minorHAnsi" w:cstheme="minorBidi"/>
          <w:lang w:val="en-CA" w:eastAsia="zh-CN"/>
        </w:rPr>
        <w:t xml:space="preserve">strong </w:t>
      </w:r>
      <w:r w:rsidRPr="00024EE1">
        <w:rPr>
          <w:rFonts w:asciiTheme="minorHAnsi" w:eastAsiaTheme="minorEastAsia" w:hAnsiTheme="minorHAnsi" w:cstheme="minorBidi"/>
          <w:lang w:val="en-CA" w:eastAsia="zh-CN"/>
        </w:rPr>
        <w:t xml:space="preserve">support of leaders </w:t>
      </w:r>
      <w:r w:rsidR="00623404">
        <w:rPr>
          <w:rFonts w:asciiTheme="minorHAnsi" w:eastAsiaTheme="minorEastAsia" w:hAnsiTheme="minorHAnsi" w:cstheme="minorBidi" w:hint="eastAsia"/>
          <w:lang w:val="en-CA" w:eastAsia="zh-CN"/>
        </w:rPr>
        <w:t>and</w:t>
      </w:r>
      <w:r w:rsidR="00623404">
        <w:rPr>
          <w:rFonts w:asciiTheme="minorHAnsi" w:eastAsiaTheme="minorEastAsia" w:hAnsiTheme="minorHAnsi" w:cstheme="minorBidi"/>
          <w:lang w:val="en-CA" w:eastAsia="zh-CN"/>
        </w:rPr>
        <w:t xml:space="preserve"> stakeholders </w:t>
      </w:r>
      <w:r w:rsidRPr="00024EE1">
        <w:rPr>
          <w:rFonts w:asciiTheme="minorHAnsi" w:eastAsiaTheme="minorEastAsia" w:hAnsiTheme="minorHAnsi" w:cstheme="minorBidi"/>
          <w:lang w:val="en-CA" w:eastAsia="zh-CN"/>
        </w:rPr>
        <w:t xml:space="preserve">at </w:t>
      </w:r>
      <w:r>
        <w:rPr>
          <w:rFonts w:asciiTheme="minorHAnsi" w:eastAsiaTheme="minorEastAsia" w:hAnsiTheme="minorHAnsi" w:cstheme="minorBidi"/>
          <w:lang w:val="en-CA" w:eastAsia="zh-CN"/>
        </w:rPr>
        <w:t xml:space="preserve">different </w:t>
      </w:r>
      <w:r w:rsidRPr="00024EE1">
        <w:rPr>
          <w:rFonts w:asciiTheme="minorHAnsi" w:eastAsiaTheme="minorEastAsia" w:hAnsiTheme="minorHAnsi" w:cstheme="minorBidi"/>
          <w:lang w:val="en-CA" w:eastAsia="zh-CN"/>
        </w:rPr>
        <w:t>levels and through the effort</w:t>
      </w:r>
      <w:r w:rsidR="00DB39B4">
        <w:rPr>
          <w:rFonts w:asciiTheme="minorHAnsi" w:eastAsiaTheme="minorEastAsia" w:hAnsiTheme="minorHAnsi" w:cstheme="minorBidi"/>
          <w:lang w:val="en-CA" w:eastAsia="zh-CN"/>
        </w:rPr>
        <w:t>s</w:t>
      </w:r>
      <w:r>
        <w:rPr>
          <w:rFonts w:asciiTheme="minorHAnsi" w:eastAsiaTheme="minorEastAsia" w:hAnsiTheme="minorHAnsi" w:cstheme="minorBidi"/>
          <w:lang w:val="en-CA" w:eastAsia="zh-CN"/>
        </w:rPr>
        <w:t xml:space="preserve"> made by all </w:t>
      </w:r>
      <w:r w:rsidR="00623404">
        <w:rPr>
          <w:rFonts w:asciiTheme="minorHAnsi" w:eastAsiaTheme="minorEastAsia" w:hAnsiTheme="minorHAnsi" w:cstheme="minorBidi"/>
          <w:lang w:val="en-CA" w:eastAsia="zh-CN"/>
        </w:rPr>
        <w:t>project team members and partners</w:t>
      </w:r>
      <w:r w:rsidRPr="00024EE1">
        <w:rPr>
          <w:rFonts w:asciiTheme="minorHAnsi" w:eastAsiaTheme="minorEastAsia" w:hAnsiTheme="minorHAnsi" w:cstheme="minorBidi"/>
          <w:lang w:val="en-CA" w:eastAsia="zh-CN"/>
        </w:rPr>
        <w:t xml:space="preserve">. </w:t>
      </w:r>
    </w:p>
    <w:p w:rsidR="007E2C92" w:rsidRDefault="00041D8A" w:rsidP="00FA6F5F">
      <w:pPr>
        <w:spacing w:after="240" w:line="312" w:lineRule="auto"/>
        <w:ind w:firstLine="420"/>
        <w:jc w:val="both"/>
        <w:rPr>
          <w:rFonts w:asciiTheme="minorHAnsi" w:eastAsiaTheme="minorEastAsia" w:hAnsiTheme="minorHAnsi" w:cstheme="minorBidi"/>
          <w:lang w:val="en-CA" w:eastAsia="zh-CN"/>
        </w:rPr>
      </w:pPr>
      <w:r w:rsidRPr="001F52C9">
        <w:rPr>
          <w:rFonts w:asciiTheme="minorHAnsi" w:eastAsiaTheme="minorEastAsia" w:hAnsiTheme="minorHAnsi" w:cstheme="minorBidi"/>
          <w:lang w:val="en-CA" w:eastAsia="zh-CN"/>
        </w:rPr>
        <w:t xml:space="preserve">The </w:t>
      </w:r>
      <w:r w:rsidR="001D7C6E" w:rsidRPr="001F52C9">
        <w:rPr>
          <w:rFonts w:asciiTheme="minorHAnsi" w:eastAsiaTheme="minorEastAsia" w:hAnsiTheme="minorHAnsi" w:cstheme="minorBidi"/>
          <w:lang w:val="en-CA" w:eastAsia="zh-CN"/>
        </w:rPr>
        <w:t xml:space="preserve">independent </w:t>
      </w:r>
      <w:r w:rsidRPr="001F52C9">
        <w:rPr>
          <w:rFonts w:asciiTheme="minorHAnsi" w:eastAsiaTheme="minorEastAsia" w:hAnsiTheme="minorHAnsi" w:cstheme="minorBidi"/>
          <w:lang w:val="en-CA" w:eastAsia="zh-CN"/>
        </w:rPr>
        <w:t>Terminal Evaluation (TE)</w:t>
      </w:r>
      <w:r>
        <w:rPr>
          <w:rFonts w:asciiTheme="minorHAnsi" w:eastAsiaTheme="minorEastAsia" w:hAnsiTheme="minorHAnsi" w:cstheme="minorBidi"/>
          <w:lang w:val="en-CA" w:eastAsia="zh-CN"/>
        </w:rPr>
        <w:t xml:space="preserve"> has been</w:t>
      </w:r>
      <w:r w:rsidR="00A06D8C">
        <w:rPr>
          <w:rFonts w:asciiTheme="minorHAnsi" w:eastAsiaTheme="minorEastAsia" w:hAnsiTheme="minorHAnsi" w:cstheme="minorBidi"/>
          <w:lang w:val="en-CA" w:eastAsia="zh-CN"/>
        </w:rPr>
        <w:t xml:space="preserve"> carried out</w:t>
      </w:r>
      <w:r w:rsidR="00A06D8C" w:rsidRPr="00A06D8C">
        <w:rPr>
          <w:rFonts w:asciiTheme="minorHAnsi" w:eastAsiaTheme="minorEastAsia" w:hAnsiTheme="minorHAnsi" w:cstheme="minorBidi"/>
          <w:lang w:val="en-CA" w:eastAsia="zh-CN"/>
        </w:rPr>
        <w:t xml:space="preserve"> </w:t>
      </w:r>
      <w:r w:rsidR="00A06D8C" w:rsidRPr="001F52C9">
        <w:rPr>
          <w:rFonts w:asciiTheme="minorHAnsi" w:eastAsiaTheme="minorEastAsia" w:hAnsiTheme="minorHAnsi" w:cstheme="minorBidi"/>
          <w:lang w:val="en-CA" w:eastAsia="zh-CN"/>
        </w:rPr>
        <w:t xml:space="preserve">during </w:t>
      </w:r>
      <w:r w:rsidR="00BC4D70">
        <w:rPr>
          <w:rFonts w:asciiTheme="minorHAnsi" w:eastAsiaTheme="minorEastAsia" w:hAnsiTheme="minorHAnsi" w:cstheme="minorBidi"/>
          <w:lang w:val="en-CA" w:eastAsia="zh-CN"/>
        </w:rPr>
        <w:t>Apr</w:t>
      </w:r>
      <w:r w:rsidR="000E7508">
        <w:rPr>
          <w:rFonts w:asciiTheme="minorHAnsi" w:eastAsiaTheme="minorEastAsia" w:hAnsiTheme="minorHAnsi" w:cstheme="minorBidi"/>
          <w:lang w:val="en-CA" w:eastAsia="zh-CN"/>
        </w:rPr>
        <w:t xml:space="preserve">. </w:t>
      </w:r>
      <w:r w:rsidR="0032733C">
        <w:rPr>
          <w:rFonts w:asciiTheme="minorHAnsi" w:eastAsiaTheme="minorEastAsia" w:hAnsiTheme="minorHAnsi" w:cstheme="minorBidi"/>
          <w:lang w:val="en-CA" w:eastAsia="zh-CN"/>
        </w:rPr>
        <w:t>8-12</w:t>
      </w:r>
      <w:r w:rsidR="00A06D8C" w:rsidRPr="001F52C9">
        <w:rPr>
          <w:rFonts w:asciiTheme="minorHAnsi" w:eastAsiaTheme="minorEastAsia" w:hAnsiTheme="minorHAnsi" w:cstheme="minorBidi"/>
          <w:lang w:val="en-CA" w:eastAsia="zh-CN"/>
        </w:rPr>
        <w:t>, 201</w:t>
      </w:r>
      <w:r w:rsidR="00BC4D70">
        <w:rPr>
          <w:rFonts w:asciiTheme="minorHAnsi" w:eastAsiaTheme="minorEastAsia" w:hAnsiTheme="minorHAnsi" w:cstheme="minorBidi"/>
          <w:lang w:val="en-CA" w:eastAsia="zh-CN"/>
        </w:rPr>
        <w:t>9</w:t>
      </w:r>
      <w:r w:rsidR="00A06D8C">
        <w:rPr>
          <w:rFonts w:asciiTheme="minorHAnsi" w:eastAsiaTheme="minorEastAsia" w:hAnsiTheme="minorHAnsi" w:cstheme="minorBidi"/>
          <w:lang w:val="en-CA" w:eastAsia="zh-CN"/>
        </w:rPr>
        <w:t xml:space="preserve"> </w:t>
      </w:r>
      <w:r w:rsidR="001D7C6E">
        <w:rPr>
          <w:rFonts w:asciiTheme="minorHAnsi" w:eastAsiaTheme="minorEastAsia" w:hAnsiTheme="minorHAnsi" w:cstheme="minorBidi"/>
          <w:lang w:val="en-CA" w:eastAsia="zh-CN"/>
        </w:rPr>
        <w:t>by a team of</w:t>
      </w:r>
      <w:r w:rsidR="00A06D8C">
        <w:rPr>
          <w:rFonts w:asciiTheme="minorHAnsi" w:eastAsiaTheme="minorEastAsia" w:hAnsiTheme="minorHAnsi" w:cstheme="minorBidi"/>
          <w:lang w:val="en-CA" w:eastAsia="zh-CN"/>
        </w:rPr>
        <w:t xml:space="preserve"> </w:t>
      </w:r>
      <w:r w:rsidR="00623404">
        <w:rPr>
          <w:rFonts w:asciiTheme="minorHAnsi" w:eastAsiaTheme="minorEastAsia" w:hAnsiTheme="minorHAnsi" w:cstheme="minorBidi"/>
          <w:lang w:val="en-CA" w:eastAsia="zh-CN"/>
        </w:rPr>
        <w:t>one</w:t>
      </w:r>
      <w:r w:rsidR="00623404" w:rsidRPr="001D7C6E">
        <w:rPr>
          <w:rFonts w:asciiTheme="minorHAnsi" w:eastAsiaTheme="minorEastAsia" w:hAnsiTheme="minorHAnsi" w:cstheme="minorBidi"/>
          <w:lang w:val="en-CA" w:eastAsia="zh-CN"/>
        </w:rPr>
        <w:t xml:space="preserve"> </w:t>
      </w:r>
      <w:r w:rsidR="00623404" w:rsidRPr="00A06D8C">
        <w:rPr>
          <w:rFonts w:asciiTheme="minorHAnsi" w:eastAsiaTheme="minorEastAsia" w:hAnsiTheme="minorHAnsi" w:cstheme="minorBidi"/>
          <w:lang w:val="en-CA" w:eastAsia="zh-CN"/>
        </w:rPr>
        <w:t>international consultant (</w:t>
      </w:r>
      <w:r w:rsidR="00623404">
        <w:rPr>
          <w:rFonts w:asciiTheme="minorHAnsi" w:eastAsiaTheme="minorEastAsia" w:hAnsiTheme="minorHAnsi" w:cstheme="minorBidi"/>
          <w:lang w:val="en-CA" w:eastAsia="zh-CN"/>
        </w:rPr>
        <w:t xml:space="preserve">Mr. James </w:t>
      </w:r>
      <w:r w:rsidR="00623404" w:rsidRPr="0032733C">
        <w:rPr>
          <w:rFonts w:asciiTheme="minorHAnsi" w:eastAsiaTheme="minorEastAsia" w:hAnsiTheme="minorHAnsi" w:cstheme="minorBidi"/>
          <w:lang w:val="en-CA" w:eastAsia="zh-CN"/>
        </w:rPr>
        <w:t>Lenoci</w:t>
      </w:r>
      <w:r w:rsidR="00623404" w:rsidRPr="00A06D8C">
        <w:rPr>
          <w:rFonts w:asciiTheme="minorHAnsi" w:eastAsiaTheme="minorEastAsia" w:hAnsiTheme="minorHAnsi" w:cstheme="minorBidi"/>
          <w:lang w:val="en-CA" w:eastAsia="zh-CN"/>
        </w:rPr>
        <w:t>)</w:t>
      </w:r>
      <w:r w:rsidR="00623404">
        <w:rPr>
          <w:rFonts w:asciiTheme="minorHAnsi" w:eastAsiaTheme="minorEastAsia" w:hAnsiTheme="minorHAnsi" w:cstheme="minorBidi"/>
          <w:lang w:val="en-CA" w:eastAsia="zh-CN"/>
        </w:rPr>
        <w:t xml:space="preserve"> </w:t>
      </w:r>
      <w:r w:rsidR="00623404">
        <w:rPr>
          <w:rFonts w:asciiTheme="minorHAnsi" w:eastAsiaTheme="minorEastAsia" w:hAnsiTheme="minorHAnsi" w:cstheme="minorBidi" w:hint="eastAsia"/>
          <w:lang w:val="en-CA" w:eastAsia="zh-CN"/>
        </w:rPr>
        <w:t>/</w:t>
      </w:r>
      <w:r w:rsidR="00623404">
        <w:rPr>
          <w:rFonts w:asciiTheme="minorHAnsi" w:eastAsiaTheme="minorEastAsia" w:hAnsiTheme="minorHAnsi" w:cstheme="minorBidi"/>
          <w:lang w:val="en-CA" w:eastAsia="zh-CN"/>
        </w:rPr>
        <w:t>team leader</w:t>
      </w:r>
      <w:r w:rsidR="00623404" w:rsidRPr="00A06D8C">
        <w:rPr>
          <w:rFonts w:asciiTheme="minorHAnsi" w:eastAsiaTheme="minorEastAsia" w:hAnsiTheme="minorHAnsi" w:cstheme="minorBidi"/>
          <w:lang w:val="en-CA" w:eastAsia="zh-CN"/>
        </w:rPr>
        <w:t xml:space="preserve"> </w:t>
      </w:r>
      <w:r w:rsidR="00623404">
        <w:rPr>
          <w:rFonts w:asciiTheme="minorHAnsi" w:eastAsiaTheme="minorEastAsia" w:hAnsiTheme="minorHAnsi" w:cstheme="minorBidi"/>
          <w:lang w:val="en-CA" w:eastAsia="zh-CN"/>
        </w:rPr>
        <w:t xml:space="preserve">and </w:t>
      </w:r>
      <w:r w:rsidR="001D7C6E">
        <w:rPr>
          <w:rFonts w:asciiTheme="minorHAnsi" w:eastAsiaTheme="minorEastAsia" w:hAnsiTheme="minorHAnsi" w:cstheme="minorBidi"/>
          <w:lang w:val="en-CA" w:eastAsia="zh-CN"/>
        </w:rPr>
        <w:t>one</w:t>
      </w:r>
      <w:r w:rsidR="00A06D8C" w:rsidRPr="00A06D8C">
        <w:rPr>
          <w:rFonts w:asciiTheme="minorHAnsi" w:eastAsiaTheme="minorEastAsia" w:hAnsiTheme="minorHAnsi" w:cstheme="minorBidi"/>
          <w:lang w:val="en-CA" w:eastAsia="zh-CN"/>
        </w:rPr>
        <w:t xml:space="preserve"> </w:t>
      </w:r>
      <w:r w:rsidR="001D7C6E" w:rsidRPr="00A06D8C">
        <w:rPr>
          <w:rFonts w:asciiTheme="minorHAnsi" w:eastAsiaTheme="minorEastAsia" w:hAnsiTheme="minorHAnsi" w:cstheme="minorBidi"/>
          <w:lang w:val="en-CA" w:eastAsia="zh-CN"/>
        </w:rPr>
        <w:t xml:space="preserve">national consultant (Dr. </w:t>
      </w:r>
      <w:r w:rsidR="0032733C">
        <w:rPr>
          <w:rFonts w:asciiTheme="minorHAnsi" w:eastAsiaTheme="minorEastAsia" w:hAnsiTheme="minorHAnsi" w:cstheme="minorBidi"/>
          <w:lang w:val="en-CA" w:eastAsia="zh-CN"/>
        </w:rPr>
        <w:t xml:space="preserve">Liu </w:t>
      </w:r>
      <w:proofErr w:type="spellStart"/>
      <w:r w:rsidR="0032733C">
        <w:rPr>
          <w:rFonts w:asciiTheme="minorHAnsi" w:eastAsiaTheme="minorEastAsia" w:hAnsiTheme="minorHAnsi" w:cstheme="minorBidi"/>
          <w:lang w:val="en-CA" w:eastAsia="zh-CN"/>
        </w:rPr>
        <w:t>Shuo</w:t>
      </w:r>
      <w:proofErr w:type="spellEnd"/>
      <w:r w:rsidR="001D7C6E" w:rsidRPr="00A06D8C">
        <w:rPr>
          <w:rFonts w:asciiTheme="minorHAnsi" w:eastAsiaTheme="minorEastAsia" w:hAnsiTheme="minorHAnsi" w:cstheme="minorBidi"/>
          <w:lang w:val="en-CA" w:eastAsia="zh-CN"/>
        </w:rPr>
        <w:t>)</w:t>
      </w:r>
      <w:r w:rsidR="00BF3A07">
        <w:rPr>
          <w:rFonts w:asciiTheme="minorHAnsi" w:eastAsiaTheme="minorEastAsia" w:hAnsiTheme="minorHAnsi" w:cstheme="minorBidi"/>
          <w:lang w:val="en-CA" w:eastAsia="zh-CN"/>
        </w:rPr>
        <w:t xml:space="preserve"> </w:t>
      </w:r>
      <w:r w:rsidR="001D7C6E">
        <w:rPr>
          <w:rFonts w:asciiTheme="minorHAnsi" w:eastAsiaTheme="minorEastAsia" w:hAnsiTheme="minorHAnsi" w:cstheme="minorBidi"/>
          <w:lang w:val="en-CA" w:eastAsia="zh-CN"/>
        </w:rPr>
        <w:t>t</w:t>
      </w:r>
      <w:r w:rsidR="00EF43EE">
        <w:rPr>
          <w:rFonts w:asciiTheme="minorHAnsi" w:eastAsiaTheme="minorEastAsia" w:hAnsiTheme="minorHAnsi" w:cstheme="minorBidi"/>
          <w:lang w:val="en-CA" w:eastAsia="zh-CN"/>
        </w:rPr>
        <w:t xml:space="preserve">o review the project </w:t>
      </w:r>
      <w:r w:rsidR="00623404">
        <w:rPr>
          <w:rFonts w:asciiTheme="minorHAnsi" w:eastAsiaTheme="minorEastAsia" w:hAnsiTheme="minorHAnsi" w:cstheme="minorBidi"/>
          <w:lang w:val="en-CA" w:eastAsia="zh-CN"/>
        </w:rPr>
        <w:t xml:space="preserve">design and implementation </w:t>
      </w:r>
      <w:r w:rsidR="00EF43EE" w:rsidRPr="001F52C9">
        <w:rPr>
          <w:rFonts w:asciiTheme="minorHAnsi" w:eastAsiaTheme="minorEastAsia" w:hAnsiTheme="minorHAnsi" w:cstheme="minorBidi"/>
          <w:lang w:val="en-CA" w:eastAsia="zh-CN"/>
        </w:rPr>
        <w:t>in accordance with GEF guidelines</w:t>
      </w:r>
      <w:r w:rsidR="00A06D8C" w:rsidRPr="00A06D8C">
        <w:rPr>
          <w:rFonts w:asciiTheme="minorHAnsi" w:eastAsiaTheme="minorEastAsia" w:hAnsiTheme="minorHAnsi" w:cstheme="minorBidi"/>
          <w:lang w:val="en-CA" w:eastAsia="zh-CN"/>
        </w:rPr>
        <w:t>.</w:t>
      </w:r>
      <w:r w:rsidR="00F52C7A">
        <w:rPr>
          <w:rFonts w:asciiTheme="minorHAnsi" w:eastAsiaTheme="minorEastAsia" w:hAnsiTheme="minorHAnsi" w:cstheme="minorBidi"/>
          <w:lang w:val="en-CA" w:eastAsia="zh-CN"/>
        </w:rPr>
        <w:t xml:space="preserve"> </w:t>
      </w:r>
    </w:p>
    <w:p w:rsidR="00176DDA" w:rsidRDefault="008024D7" w:rsidP="00FA6F5F">
      <w:pPr>
        <w:spacing w:after="240" w:line="312" w:lineRule="auto"/>
        <w:ind w:firstLine="420"/>
        <w:jc w:val="both"/>
        <w:rPr>
          <w:rFonts w:asciiTheme="minorHAnsi" w:eastAsiaTheme="minorEastAsia" w:hAnsiTheme="minorHAnsi" w:cstheme="minorBidi"/>
          <w:lang w:val="en-CA" w:eastAsia="zh-CN"/>
        </w:rPr>
      </w:pPr>
      <w:r>
        <w:rPr>
          <w:rFonts w:asciiTheme="minorHAnsi" w:eastAsiaTheme="minorEastAsia" w:hAnsiTheme="minorHAnsi" w:cstheme="minorBidi"/>
          <w:lang w:val="en-CA" w:eastAsia="zh-CN"/>
        </w:rPr>
        <w:t xml:space="preserve">The TE </w:t>
      </w:r>
      <w:r w:rsidR="00BA6E40">
        <w:rPr>
          <w:rFonts w:asciiTheme="minorHAnsi" w:eastAsiaTheme="minorEastAsia" w:hAnsiTheme="minorHAnsi" w:cstheme="minorBidi"/>
          <w:lang w:val="en-CA" w:eastAsia="zh-CN"/>
        </w:rPr>
        <w:t xml:space="preserve">was an evidence-based </w:t>
      </w:r>
      <w:r w:rsidR="00BA6E40" w:rsidRPr="00CC00F5">
        <w:rPr>
          <w:rFonts w:asciiTheme="minorHAnsi" w:eastAsiaTheme="minorEastAsia" w:hAnsiTheme="minorHAnsi" w:cstheme="minorBidi"/>
          <w:lang w:val="en-CA" w:eastAsia="zh-CN"/>
        </w:rPr>
        <w:t>assessment</w:t>
      </w:r>
      <w:r w:rsidR="00BA6E40" w:rsidRPr="00BA6E40">
        <w:rPr>
          <w:rFonts w:asciiTheme="minorHAnsi" w:eastAsiaTheme="minorEastAsia" w:hAnsiTheme="minorHAnsi" w:cstheme="minorBidi"/>
          <w:lang w:val="en-CA" w:eastAsia="zh-CN"/>
        </w:rPr>
        <w:t xml:space="preserve"> </w:t>
      </w:r>
      <w:r w:rsidR="00BA6E40" w:rsidRPr="00CC00F5">
        <w:rPr>
          <w:rFonts w:asciiTheme="minorHAnsi" w:eastAsiaTheme="minorEastAsia" w:hAnsiTheme="minorHAnsi" w:cstheme="minorBidi"/>
          <w:lang w:val="en-CA" w:eastAsia="zh-CN"/>
        </w:rPr>
        <w:t>from</w:t>
      </w:r>
      <w:r w:rsidR="003C79CC">
        <w:rPr>
          <w:rFonts w:asciiTheme="minorHAnsi" w:eastAsiaTheme="minorEastAsia" w:hAnsiTheme="minorHAnsi" w:cstheme="minorBidi"/>
          <w:lang w:val="en-CA" w:eastAsia="zh-CN"/>
        </w:rPr>
        <w:t xml:space="preserve"> </w:t>
      </w:r>
      <w:r w:rsidR="00D03306">
        <w:rPr>
          <w:rFonts w:asciiTheme="minorHAnsi" w:eastAsiaTheme="minorEastAsia" w:hAnsiTheme="minorHAnsi" w:cstheme="minorBidi"/>
          <w:lang w:val="en-CA" w:eastAsia="zh-CN"/>
        </w:rPr>
        <w:t xml:space="preserve">the aspects of </w:t>
      </w:r>
      <w:r w:rsidRPr="001F52C9">
        <w:rPr>
          <w:rFonts w:asciiTheme="minorHAnsi" w:eastAsiaTheme="minorEastAsia" w:hAnsiTheme="minorHAnsi" w:cstheme="minorBidi"/>
          <w:lang w:val="en-CA" w:eastAsia="zh-CN"/>
        </w:rPr>
        <w:t>achieving expected project outcomes; the relevance, effectiveness, efficiency and timeliness of project implementation; the issues requiring decisions and actions; and the lessons learned about project design, implementation and manag</w:t>
      </w:r>
      <w:r w:rsidR="00305C88">
        <w:rPr>
          <w:rFonts w:asciiTheme="minorHAnsi" w:eastAsiaTheme="minorEastAsia" w:hAnsiTheme="minorHAnsi" w:cstheme="minorBidi"/>
          <w:lang w:val="en-CA" w:eastAsia="zh-CN"/>
        </w:rPr>
        <w:t xml:space="preserve">ement. The TE mission occurred </w:t>
      </w:r>
      <w:r w:rsidRPr="001F52C9">
        <w:rPr>
          <w:rFonts w:asciiTheme="minorHAnsi" w:eastAsiaTheme="minorEastAsia" w:hAnsiTheme="minorHAnsi" w:cstheme="minorBidi"/>
          <w:lang w:val="en-CA" w:eastAsia="zh-CN"/>
        </w:rPr>
        <w:t xml:space="preserve">interviews and group discussions with </w:t>
      </w:r>
      <w:r w:rsidR="0015142E">
        <w:rPr>
          <w:rFonts w:asciiTheme="minorHAnsi" w:eastAsiaTheme="minorEastAsia" w:hAnsiTheme="minorHAnsi" w:cstheme="minorBidi"/>
          <w:lang w:val="en-CA" w:eastAsia="zh-CN"/>
        </w:rPr>
        <w:t>25</w:t>
      </w:r>
      <w:r w:rsidRPr="001F52C9">
        <w:rPr>
          <w:rFonts w:asciiTheme="minorHAnsi" w:eastAsiaTheme="minorEastAsia" w:hAnsiTheme="minorHAnsi" w:cstheme="minorBidi"/>
          <w:lang w:val="en-CA" w:eastAsia="zh-CN"/>
        </w:rPr>
        <w:t xml:space="preserve"> </w:t>
      </w:r>
      <w:r w:rsidR="007A1E92">
        <w:rPr>
          <w:rFonts w:asciiTheme="minorHAnsi" w:eastAsiaTheme="minorEastAsia" w:hAnsiTheme="minorHAnsi" w:cstheme="minorBidi"/>
          <w:lang w:val="en-CA" w:eastAsia="zh-CN"/>
        </w:rPr>
        <w:t xml:space="preserve">involved </w:t>
      </w:r>
      <w:r w:rsidR="007A1E92" w:rsidRPr="001F52C9">
        <w:rPr>
          <w:rFonts w:asciiTheme="minorHAnsi" w:eastAsiaTheme="minorEastAsia" w:hAnsiTheme="minorHAnsi" w:cstheme="minorBidi"/>
          <w:lang w:val="en-CA" w:eastAsia="zh-CN"/>
        </w:rPr>
        <w:t>stakeholders</w:t>
      </w:r>
      <w:r w:rsidR="007A1E92">
        <w:rPr>
          <w:rFonts w:asciiTheme="minorHAnsi" w:eastAsiaTheme="minorEastAsia" w:hAnsiTheme="minorHAnsi" w:cstheme="minorBidi"/>
          <w:lang w:val="en-CA" w:eastAsia="zh-CN"/>
        </w:rPr>
        <w:t xml:space="preserve"> including government officials, service providers, PMUs and PMOs, etc. </w:t>
      </w:r>
      <w:r w:rsidR="00383F09">
        <w:rPr>
          <w:rFonts w:asciiTheme="minorHAnsi" w:eastAsiaTheme="minorEastAsia" w:hAnsiTheme="minorHAnsi" w:cstheme="minorBidi"/>
          <w:lang w:val="en-CA" w:eastAsia="zh-CN"/>
        </w:rPr>
        <w:t xml:space="preserve"> </w:t>
      </w:r>
    </w:p>
    <w:p w:rsidR="007E2C92" w:rsidRDefault="00CC00F5" w:rsidP="00024EE1">
      <w:pPr>
        <w:spacing w:after="240" w:line="312" w:lineRule="auto"/>
        <w:ind w:firstLine="420"/>
        <w:jc w:val="both"/>
        <w:rPr>
          <w:rFonts w:asciiTheme="minorHAnsi" w:eastAsiaTheme="minorEastAsia" w:hAnsiTheme="minorHAnsi" w:cstheme="minorBidi"/>
          <w:lang w:val="en-CA" w:eastAsia="zh-CN"/>
        </w:rPr>
      </w:pPr>
      <w:r w:rsidRPr="00CC00F5">
        <w:rPr>
          <w:rFonts w:asciiTheme="minorHAnsi" w:eastAsiaTheme="minorEastAsia" w:hAnsiTheme="minorHAnsi" w:cstheme="minorBidi"/>
          <w:lang w:val="en-CA" w:eastAsia="zh-CN"/>
        </w:rPr>
        <w:t xml:space="preserve">The </w:t>
      </w:r>
      <w:r w:rsidR="008813B0">
        <w:rPr>
          <w:rFonts w:asciiTheme="minorHAnsi" w:eastAsiaTheme="minorEastAsia" w:hAnsiTheme="minorHAnsi" w:cstheme="minorBidi"/>
          <w:lang w:val="en-CA" w:eastAsia="zh-CN"/>
        </w:rPr>
        <w:t xml:space="preserve">first </w:t>
      </w:r>
      <w:r w:rsidRPr="00CC00F5">
        <w:rPr>
          <w:rFonts w:asciiTheme="minorHAnsi" w:eastAsiaTheme="minorEastAsia" w:hAnsiTheme="minorHAnsi" w:cstheme="minorBidi"/>
          <w:lang w:val="en-CA" w:eastAsia="zh-CN"/>
        </w:rPr>
        <w:t xml:space="preserve">draft </w:t>
      </w:r>
      <w:r w:rsidR="00C16A0D">
        <w:rPr>
          <w:rFonts w:asciiTheme="minorHAnsi" w:eastAsiaTheme="minorEastAsia" w:hAnsiTheme="minorHAnsi" w:cstheme="minorBidi"/>
          <w:lang w:val="en-CA" w:eastAsia="zh-CN"/>
        </w:rPr>
        <w:t>TE</w:t>
      </w:r>
      <w:r w:rsidRPr="00CC00F5">
        <w:rPr>
          <w:rFonts w:asciiTheme="minorHAnsi" w:eastAsiaTheme="minorEastAsia" w:hAnsiTheme="minorHAnsi" w:cstheme="minorBidi"/>
          <w:lang w:val="en-CA" w:eastAsia="zh-CN"/>
        </w:rPr>
        <w:t xml:space="preserve"> report was received and circu</w:t>
      </w:r>
      <w:bookmarkStart w:id="0" w:name="_GoBack"/>
      <w:bookmarkEnd w:id="0"/>
      <w:r w:rsidRPr="00CC00F5">
        <w:rPr>
          <w:rFonts w:asciiTheme="minorHAnsi" w:eastAsiaTheme="minorEastAsia" w:hAnsiTheme="minorHAnsi" w:cstheme="minorBidi"/>
          <w:lang w:val="en-CA" w:eastAsia="zh-CN"/>
        </w:rPr>
        <w:t xml:space="preserve">lated for comments from UNDP, CTA, and PMO </w:t>
      </w:r>
      <w:r w:rsidR="00C42A53">
        <w:rPr>
          <w:rFonts w:asciiTheme="minorHAnsi" w:eastAsiaTheme="minorEastAsia" w:hAnsiTheme="minorHAnsi" w:cstheme="minorBidi"/>
          <w:lang w:val="en-CA" w:eastAsia="zh-CN"/>
        </w:rPr>
        <w:t>o</w:t>
      </w:r>
      <w:r w:rsidR="00C42A53" w:rsidRPr="00CC00F5">
        <w:rPr>
          <w:rFonts w:asciiTheme="minorHAnsi" w:eastAsiaTheme="minorEastAsia" w:hAnsiTheme="minorHAnsi" w:cstheme="minorBidi"/>
          <w:lang w:val="en-CA" w:eastAsia="zh-CN"/>
        </w:rPr>
        <w:t>n</w:t>
      </w:r>
      <w:r w:rsidR="00C42A53">
        <w:rPr>
          <w:rFonts w:asciiTheme="minorHAnsi" w:eastAsiaTheme="minorEastAsia" w:hAnsiTheme="minorHAnsi" w:cstheme="minorBidi"/>
          <w:lang w:val="en-CA" w:eastAsia="zh-CN"/>
        </w:rPr>
        <w:t xml:space="preserve"> </w:t>
      </w:r>
      <w:r w:rsidR="008813B0">
        <w:rPr>
          <w:rFonts w:asciiTheme="minorHAnsi" w:eastAsiaTheme="minorEastAsia" w:hAnsiTheme="minorHAnsi" w:cstheme="minorBidi"/>
          <w:lang w:val="en-CA" w:eastAsia="zh-CN"/>
        </w:rPr>
        <w:t>22</w:t>
      </w:r>
      <w:r w:rsidR="00C42A53">
        <w:rPr>
          <w:rFonts w:asciiTheme="minorHAnsi" w:eastAsiaTheme="minorEastAsia" w:hAnsiTheme="minorHAnsi" w:cstheme="minorBidi"/>
          <w:lang w:val="en-CA" w:eastAsia="zh-CN"/>
        </w:rPr>
        <w:t xml:space="preserve"> </w:t>
      </w:r>
      <w:r w:rsidR="008813B0">
        <w:rPr>
          <w:rFonts w:asciiTheme="minorHAnsi" w:eastAsiaTheme="minorEastAsia" w:hAnsiTheme="minorHAnsi" w:cstheme="minorBidi"/>
          <w:lang w:val="en-CA" w:eastAsia="zh-CN"/>
        </w:rPr>
        <w:t>May</w:t>
      </w:r>
      <w:r w:rsidRPr="00CC00F5">
        <w:rPr>
          <w:rFonts w:asciiTheme="minorHAnsi" w:eastAsiaTheme="minorEastAsia" w:hAnsiTheme="minorHAnsi" w:cstheme="minorBidi"/>
          <w:lang w:val="en-CA" w:eastAsia="zh-CN"/>
        </w:rPr>
        <w:t xml:space="preserve">, which were compiled and sent back to the </w:t>
      </w:r>
      <w:r w:rsidR="00333DA4">
        <w:rPr>
          <w:rFonts w:asciiTheme="minorHAnsi" w:eastAsiaTheme="minorEastAsia" w:hAnsiTheme="minorHAnsi" w:cstheme="minorBidi"/>
          <w:lang w:val="en-CA" w:eastAsia="zh-CN"/>
        </w:rPr>
        <w:t>TE</w:t>
      </w:r>
      <w:r w:rsidRPr="00CC00F5">
        <w:rPr>
          <w:rFonts w:asciiTheme="minorHAnsi" w:eastAsiaTheme="minorEastAsia" w:hAnsiTheme="minorHAnsi" w:cstheme="minorBidi"/>
          <w:lang w:val="en-CA" w:eastAsia="zh-CN"/>
        </w:rPr>
        <w:t xml:space="preserve"> team. PMO received the final version of the </w:t>
      </w:r>
      <w:r w:rsidR="00333DA4">
        <w:rPr>
          <w:rFonts w:asciiTheme="minorHAnsi" w:eastAsiaTheme="minorEastAsia" w:hAnsiTheme="minorHAnsi" w:cstheme="minorBidi"/>
          <w:lang w:val="en-CA" w:eastAsia="zh-CN"/>
        </w:rPr>
        <w:t>TE</w:t>
      </w:r>
      <w:r w:rsidRPr="00CC00F5">
        <w:rPr>
          <w:rFonts w:asciiTheme="minorHAnsi" w:eastAsiaTheme="minorEastAsia" w:hAnsiTheme="minorHAnsi" w:cstheme="minorBidi"/>
          <w:lang w:val="en-CA" w:eastAsia="zh-CN"/>
        </w:rPr>
        <w:t xml:space="preserve"> report </w:t>
      </w:r>
      <w:r w:rsidRPr="001F6F96">
        <w:rPr>
          <w:rFonts w:asciiTheme="minorHAnsi" w:eastAsiaTheme="minorEastAsia" w:hAnsiTheme="minorHAnsi" w:cstheme="minorBidi"/>
          <w:lang w:val="en-CA" w:eastAsia="zh-CN"/>
        </w:rPr>
        <w:t xml:space="preserve">on </w:t>
      </w:r>
      <w:r w:rsidR="000D5947" w:rsidRPr="001F6F96">
        <w:rPr>
          <w:rFonts w:asciiTheme="minorHAnsi" w:eastAsiaTheme="minorEastAsia" w:hAnsiTheme="minorHAnsi" w:cstheme="minorBidi"/>
          <w:lang w:val="en-CA" w:eastAsia="zh-CN"/>
        </w:rPr>
        <w:t>2</w:t>
      </w:r>
      <w:r w:rsidR="00A51FE1" w:rsidRPr="001F6F96">
        <w:rPr>
          <w:rFonts w:asciiTheme="minorHAnsi" w:eastAsiaTheme="minorEastAsia" w:hAnsiTheme="minorHAnsi" w:cstheme="minorBidi"/>
          <w:lang w:val="en-CA" w:eastAsia="zh-CN"/>
        </w:rPr>
        <w:t>6</w:t>
      </w:r>
      <w:r w:rsidR="00C42A53" w:rsidRPr="001F6F96">
        <w:rPr>
          <w:rFonts w:asciiTheme="minorHAnsi" w:eastAsiaTheme="minorEastAsia" w:hAnsiTheme="minorHAnsi" w:cstheme="minorBidi"/>
          <w:lang w:val="en-CA" w:eastAsia="zh-CN"/>
        </w:rPr>
        <w:t xml:space="preserve"> </w:t>
      </w:r>
      <w:r w:rsidR="008813B0" w:rsidRPr="001F6F96">
        <w:rPr>
          <w:rFonts w:asciiTheme="minorHAnsi" w:eastAsiaTheme="minorEastAsia" w:hAnsiTheme="minorHAnsi" w:cstheme="minorBidi"/>
          <w:lang w:val="en-CA" w:eastAsia="zh-CN"/>
        </w:rPr>
        <w:t>June</w:t>
      </w:r>
      <w:r w:rsidRPr="00CC00F5">
        <w:rPr>
          <w:rFonts w:asciiTheme="minorHAnsi" w:eastAsiaTheme="minorEastAsia" w:hAnsiTheme="minorHAnsi" w:cstheme="minorBidi"/>
          <w:lang w:val="en-CA" w:eastAsia="zh-CN"/>
        </w:rPr>
        <w:t xml:space="preserve"> 201</w:t>
      </w:r>
      <w:r w:rsidR="008813B0">
        <w:rPr>
          <w:rFonts w:asciiTheme="minorHAnsi" w:eastAsiaTheme="minorEastAsia" w:hAnsiTheme="minorHAnsi" w:cstheme="minorBidi"/>
          <w:lang w:val="en-CA" w:eastAsia="zh-CN"/>
        </w:rPr>
        <w:t>9</w:t>
      </w:r>
      <w:r w:rsidRPr="00CC00F5">
        <w:rPr>
          <w:rFonts w:asciiTheme="minorHAnsi" w:eastAsiaTheme="minorEastAsia" w:hAnsiTheme="minorHAnsi" w:cstheme="minorBidi"/>
          <w:lang w:val="en-CA" w:eastAsia="zh-CN"/>
        </w:rPr>
        <w:t>.</w:t>
      </w:r>
    </w:p>
    <w:p w:rsidR="007F3D03" w:rsidRPr="007F3D03" w:rsidRDefault="00F01D6F" w:rsidP="00F01D6F">
      <w:pPr>
        <w:spacing w:after="240" w:line="312" w:lineRule="auto"/>
        <w:ind w:firstLine="420"/>
        <w:jc w:val="both"/>
        <w:rPr>
          <w:rFonts w:asciiTheme="minorHAnsi" w:eastAsiaTheme="minorEastAsia" w:hAnsiTheme="minorHAnsi" w:cstheme="minorBidi"/>
          <w:lang w:val="en-CA" w:eastAsia="zh-CN"/>
        </w:rPr>
      </w:pPr>
      <w:r w:rsidRPr="00F01D6F">
        <w:rPr>
          <w:rFonts w:asciiTheme="minorHAnsi" w:eastAsiaTheme="minorEastAsia" w:hAnsiTheme="minorHAnsi" w:cstheme="minorBidi"/>
          <w:lang w:val="en-CA" w:eastAsia="zh-CN"/>
        </w:rPr>
        <w:t xml:space="preserve">The </w:t>
      </w:r>
      <w:r>
        <w:rPr>
          <w:rFonts w:asciiTheme="minorHAnsi" w:eastAsiaTheme="minorEastAsia" w:hAnsiTheme="minorHAnsi" w:cstheme="minorBidi"/>
          <w:lang w:val="en-CA" w:eastAsia="zh-CN"/>
        </w:rPr>
        <w:t xml:space="preserve">TE </w:t>
      </w:r>
      <w:r w:rsidRPr="00F01D6F">
        <w:rPr>
          <w:rFonts w:asciiTheme="minorHAnsi" w:eastAsiaTheme="minorEastAsia" w:hAnsiTheme="minorHAnsi" w:cstheme="minorBidi"/>
          <w:lang w:val="en-CA" w:eastAsia="zh-CN"/>
        </w:rPr>
        <w:t xml:space="preserve">concluded that the project has made satisfactory progress towards outcomes. The overall rating applied for the Project is </w:t>
      </w:r>
      <w:r w:rsidR="00623404">
        <w:rPr>
          <w:rFonts w:asciiTheme="minorHAnsi" w:eastAsiaTheme="minorEastAsia" w:hAnsiTheme="minorHAnsi" w:cstheme="minorBidi"/>
          <w:lang w:val="en-CA" w:eastAsia="zh-CN"/>
        </w:rPr>
        <w:t>“</w:t>
      </w:r>
      <w:r w:rsidRPr="00F01D6F">
        <w:rPr>
          <w:rFonts w:asciiTheme="minorHAnsi" w:eastAsiaTheme="minorEastAsia" w:hAnsiTheme="minorHAnsi" w:cstheme="minorBidi"/>
          <w:lang w:val="en-CA" w:eastAsia="zh-CN"/>
        </w:rPr>
        <w:t>satisfactory</w:t>
      </w:r>
      <w:r w:rsidR="00623404">
        <w:rPr>
          <w:rFonts w:asciiTheme="minorHAnsi" w:eastAsiaTheme="minorEastAsia" w:hAnsiTheme="minorHAnsi" w:cstheme="minorBidi"/>
          <w:lang w:val="en-CA" w:eastAsia="zh-CN"/>
        </w:rPr>
        <w:t>”</w:t>
      </w:r>
      <w:r w:rsidRPr="00F01D6F">
        <w:rPr>
          <w:rFonts w:asciiTheme="minorHAnsi" w:eastAsiaTheme="minorEastAsia" w:hAnsiTheme="minorHAnsi" w:cstheme="minorBidi"/>
          <w:lang w:val="en-CA" w:eastAsia="zh-CN"/>
        </w:rPr>
        <w:t xml:space="preserve"> as evidenced by the achievements</w:t>
      </w:r>
      <w:r w:rsidR="007A7AA0">
        <w:rPr>
          <w:rFonts w:asciiTheme="minorHAnsi" w:eastAsiaTheme="minorEastAsia" w:hAnsiTheme="minorHAnsi" w:cstheme="minorBidi"/>
          <w:lang w:val="en-CA" w:eastAsia="zh-CN"/>
        </w:rPr>
        <w:t>.</w:t>
      </w:r>
      <w:r w:rsidRPr="00F01D6F">
        <w:rPr>
          <w:rFonts w:asciiTheme="minorHAnsi" w:eastAsiaTheme="minorEastAsia" w:hAnsiTheme="minorHAnsi" w:cstheme="minorBidi"/>
          <w:lang w:val="en-CA" w:eastAsia="zh-CN"/>
        </w:rPr>
        <w:t xml:space="preserve"> The </w:t>
      </w:r>
      <w:r w:rsidR="007A7AA0">
        <w:rPr>
          <w:rFonts w:asciiTheme="minorHAnsi" w:eastAsiaTheme="minorEastAsia" w:hAnsiTheme="minorHAnsi" w:cstheme="minorBidi"/>
          <w:lang w:val="en-CA" w:eastAsia="zh-CN"/>
        </w:rPr>
        <w:t xml:space="preserve">TE </w:t>
      </w:r>
      <w:r w:rsidRPr="00F01D6F">
        <w:rPr>
          <w:rFonts w:asciiTheme="minorHAnsi" w:eastAsiaTheme="minorEastAsia" w:hAnsiTheme="minorHAnsi" w:cstheme="minorBidi"/>
          <w:lang w:val="en-CA" w:eastAsia="zh-CN"/>
        </w:rPr>
        <w:t xml:space="preserve">report included </w:t>
      </w:r>
      <w:r w:rsidR="00DF6F9D">
        <w:rPr>
          <w:rFonts w:asciiTheme="minorHAnsi" w:eastAsiaTheme="minorEastAsia" w:hAnsiTheme="minorHAnsi" w:cstheme="minorBidi"/>
          <w:lang w:val="en-CA" w:eastAsia="zh-CN"/>
        </w:rPr>
        <w:t>6</w:t>
      </w:r>
      <w:r w:rsidRPr="00F01D6F">
        <w:rPr>
          <w:rFonts w:asciiTheme="minorHAnsi" w:eastAsiaTheme="minorEastAsia" w:hAnsiTheme="minorHAnsi" w:cstheme="minorBidi"/>
          <w:lang w:val="en-CA" w:eastAsia="zh-CN"/>
        </w:rPr>
        <w:t xml:space="preserve"> recommendations to support improving project effectiveness and enhance the likelihood that project results will be sustain</w:t>
      </w:r>
      <w:r w:rsidR="00623404">
        <w:rPr>
          <w:rFonts w:asciiTheme="minorHAnsi" w:eastAsiaTheme="minorEastAsia" w:hAnsiTheme="minorHAnsi" w:cstheme="minorBidi"/>
          <w:lang w:val="en-CA" w:eastAsia="zh-CN"/>
        </w:rPr>
        <w:t>able</w:t>
      </w:r>
      <w:r w:rsidRPr="00F01D6F">
        <w:rPr>
          <w:rFonts w:asciiTheme="minorHAnsi" w:eastAsiaTheme="minorEastAsia" w:hAnsiTheme="minorHAnsi" w:cstheme="minorBidi"/>
          <w:lang w:val="en-CA" w:eastAsia="zh-CN"/>
        </w:rPr>
        <w:t xml:space="preserve"> after GEF funding ceases.</w:t>
      </w:r>
      <w:r w:rsidR="007A7AA0">
        <w:rPr>
          <w:rFonts w:asciiTheme="minorHAnsi" w:eastAsiaTheme="minorEastAsia" w:hAnsiTheme="minorHAnsi" w:cstheme="minorBidi"/>
          <w:lang w:val="en-CA" w:eastAsia="zh-CN"/>
        </w:rPr>
        <w:t xml:space="preserve"> </w:t>
      </w:r>
      <w:proofErr w:type="gramStart"/>
      <w:r w:rsidR="00D0046F" w:rsidRPr="00D0046F">
        <w:rPr>
          <w:rFonts w:asciiTheme="minorHAnsi" w:eastAsiaTheme="minorEastAsia" w:hAnsiTheme="minorHAnsi" w:cstheme="minorBidi"/>
          <w:lang w:val="en-CA" w:eastAsia="zh-CN"/>
        </w:rPr>
        <w:t>All of</w:t>
      </w:r>
      <w:proofErr w:type="gramEnd"/>
      <w:r w:rsidR="00D0046F" w:rsidRPr="00D0046F">
        <w:rPr>
          <w:rFonts w:asciiTheme="minorHAnsi" w:eastAsiaTheme="minorEastAsia" w:hAnsiTheme="minorHAnsi" w:cstheme="minorBidi"/>
          <w:lang w:val="en-CA" w:eastAsia="zh-CN"/>
        </w:rPr>
        <w:t xml:space="preserve"> the </w:t>
      </w:r>
      <w:r w:rsidR="00DF6F9D">
        <w:rPr>
          <w:rFonts w:asciiTheme="minorHAnsi" w:eastAsiaTheme="minorEastAsia" w:hAnsiTheme="minorHAnsi" w:cstheme="minorBidi"/>
          <w:lang w:val="en-CA" w:eastAsia="zh-CN"/>
        </w:rPr>
        <w:t>6</w:t>
      </w:r>
      <w:r w:rsidR="00D0046F" w:rsidRPr="00D0046F">
        <w:rPr>
          <w:rFonts w:asciiTheme="minorHAnsi" w:eastAsiaTheme="minorEastAsia" w:hAnsiTheme="minorHAnsi" w:cstheme="minorBidi"/>
          <w:lang w:val="en-CA" w:eastAsia="zh-CN"/>
        </w:rPr>
        <w:t xml:space="preserve"> </w:t>
      </w:r>
      <w:r w:rsidR="00D0046F">
        <w:rPr>
          <w:rFonts w:asciiTheme="minorHAnsi" w:eastAsiaTheme="minorEastAsia" w:hAnsiTheme="minorHAnsi" w:cstheme="minorBidi"/>
          <w:lang w:val="en-CA" w:eastAsia="zh-CN"/>
        </w:rPr>
        <w:t>TE</w:t>
      </w:r>
      <w:r w:rsidR="00D0046F" w:rsidRPr="00D0046F">
        <w:rPr>
          <w:rFonts w:asciiTheme="minorHAnsi" w:eastAsiaTheme="minorEastAsia" w:hAnsiTheme="minorHAnsi" w:cstheme="minorBidi"/>
          <w:lang w:val="en-CA" w:eastAsia="zh-CN"/>
        </w:rPr>
        <w:t xml:space="preserve"> recommendations are essentially agreed or supported by the PMO. The full responses </w:t>
      </w:r>
      <w:r w:rsidR="00D0046F">
        <w:rPr>
          <w:rFonts w:asciiTheme="minorHAnsi" w:eastAsiaTheme="minorEastAsia" w:hAnsiTheme="minorHAnsi" w:cstheme="minorBidi"/>
          <w:lang w:val="en-CA" w:eastAsia="zh-CN"/>
        </w:rPr>
        <w:t>to the specific recommendations</w:t>
      </w:r>
      <w:r w:rsidR="00D0046F" w:rsidRPr="00D0046F">
        <w:rPr>
          <w:rFonts w:asciiTheme="minorHAnsi" w:eastAsiaTheme="minorEastAsia" w:hAnsiTheme="minorHAnsi" w:cstheme="minorBidi"/>
          <w:lang w:val="en-CA" w:eastAsia="zh-CN"/>
        </w:rPr>
        <w:t xml:space="preserve"> are in</w:t>
      </w:r>
      <w:r w:rsidR="007A7AA0">
        <w:rPr>
          <w:rFonts w:asciiTheme="minorHAnsi" w:eastAsiaTheme="minorEastAsia" w:hAnsiTheme="minorHAnsi" w:cstheme="minorBidi"/>
          <w:lang w:val="en-CA" w:eastAsia="zh-CN"/>
        </w:rPr>
        <w:t xml:space="preserve"> the table below</w:t>
      </w:r>
      <w:r w:rsidR="00D0046F" w:rsidRPr="00D0046F">
        <w:rPr>
          <w:rFonts w:asciiTheme="minorHAnsi" w:eastAsiaTheme="minorEastAsia" w:hAnsiTheme="minorHAnsi" w:cstheme="minorBidi"/>
          <w:lang w:val="en-CA" w:eastAsia="zh-CN"/>
        </w:rPr>
        <w:t>.</w:t>
      </w:r>
      <w:r w:rsidR="00D0046F">
        <w:rPr>
          <w:rFonts w:asciiTheme="minorHAnsi" w:eastAsiaTheme="minorEastAsia" w:hAnsiTheme="minorHAnsi" w:cstheme="minorBidi"/>
          <w:lang w:val="en-CA" w:eastAsia="zh-CN"/>
        </w:rPr>
        <w:t xml:space="preserve"> </w:t>
      </w:r>
    </w:p>
    <w:p w:rsidR="007F3D03" w:rsidRPr="007F3D03" w:rsidRDefault="007F3D03" w:rsidP="00D17481">
      <w:pPr>
        <w:spacing w:after="240" w:line="312" w:lineRule="auto"/>
        <w:jc w:val="both"/>
        <w:rPr>
          <w:rFonts w:asciiTheme="minorHAnsi" w:eastAsiaTheme="minorEastAsia" w:hAnsiTheme="minorHAnsi" w:cstheme="minorBidi"/>
          <w:lang w:val="en-CA" w:eastAsia="zh-CN"/>
        </w:rPr>
      </w:pPr>
    </w:p>
    <w:p w:rsidR="00D17481" w:rsidRDefault="00D17481" w:rsidP="00D17481">
      <w:pPr>
        <w:spacing w:after="240" w:line="312" w:lineRule="auto"/>
        <w:jc w:val="both"/>
        <w:rPr>
          <w:rFonts w:asciiTheme="minorHAnsi" w:eastAsiaTheme="minorEastAsia" w:hAnsiTheme="minorHAnsi" w:cstheme="minorBidi"/>
          <w:lang w:eastAsia="zh-CN"/>
        </w:rPr>
        <w:sectPr w:rsidR="00D17481" w:rsidSect="00831B62">
          <w:pgSz w:w="11906" w:h="16838"/>
          <w:pgMar w:top="1440" w:right="1800" w:bottom="1440" w:left="1800" w:header="851" w:footer="992" w:gutter="0"/>
          <w:cols w:space="425"/>
          <w:docGrid w:type="lines" w:linePitch="312"/>
        </w:sectPr>
      </w:pPr>
    </w:p>
    <w:tbl>
      <w:tblPr>
        <w:tblStyle w:val="1"/>
        <w:tblW w:w="14312" w:type="dxa"/>
        <w:jc w:val="center"/>
        <w:tblLayout w:type="fixed"/>
        <w:tblLook w:val="04A0" w:firstRow="1" w:lastRow="0" w:firstColumn="1" w:lastColumn="0" w:noHBand="0" w:noVBand="1"/>
      </w:tblPr>
      <w:tblGrid>
        <w:gridCol w:w="562"/>
        <w:gridCol w:w="4678"/>
        <w:gridCol w:w="1418"/>
        <w:gridCol w:w="1842"/>
        <w:gridCol w:w="5812"/>
      </w:tblGrid>
      <w:tr w:rsidR="00326BB2" w:rsidRPr="00326BB2" w:rsidTr="003F6C5A">
        <w:trPr>
          <w:tblHeader/>
          <w:jc w:val="center"/>
        </w:trPr>
        <w:tc>
          <w:tcPr>
            <w:tcW w:w="562" w:type="dxa"/>
            <w:shd w:val="clear" w:color="auto" w:fill="EEECE1"/>
            <w:vAlign w:val="center"/>
          </w:tcPr>
          <w:p w:rsidR="00695417" w:rsidRPr="00326BB2" w:rsidRDefault="00695417" w:rsidP="00695417">
            <w:pPr>
              <w:spacing w:before="40" w:after="40"/>
              <w:jc w:val="center"/>
              <w:rPr>
                <w:rFonts w:ascii="Calibri" w:eastAsia="宋体" w:hAnsi="Calibri" w:cs="Calibri"/>
                <w:b/>
                <w:sz w:val="21"/>
                <w:szCs w:val="21"/>
              </w:rPr>
            </w:pPr>
            <w:r w:rsidRPr="00326BB2">
              <w:rPr>
                <w:rFonts w:ascii="Calibri" w:eastAsia="宋体" w:hAnsi="Calibri" w:cs="Calibri"/>
                <w:b/>
                <w:sz w:val="21"/>
                <w:szCs w:val="21"/>
              </w:rPr>
              <w:lastRenderedPageBreak/>
              <w:t>No.</w:t>
            </w:r>
          </w:p>
        </w:tc>
        <w:tc>
          <w:tcPr>
            <w:tcW w:w="4678" w:type="dxa"/>
            <w:shd w:val="clear" w:color="auto" w:fill="EEECE1"/>
            <w:vAlign w:val="center"/>
          </w:tcPr>
          <w:p w:rsidR="00695417" w:rsidRPr="00326BB2" w:rsidRDefault="00695417" w:rsidP="00FD0A50">
            <w:pPr>
              <w:spacing w:before="40" w:after="40"/>
              <w:jc w:val="center"/>
              <w:rPr>
                <w:rFonts w:ascii="Calibri" w:eastAsia="宋体" w:hAnsi="Calibri" w:cs="Calibri"/>
                <w:b/>
                <w:sz w:val="21"/>
                <w:szCs w:val="21"/>
              </w:rPr>
            </w:pPr>
            <w:r w:rsidRPr="00326BB2">
              <w:rPr>
                <w:rFonts w:ascii="Calibri" w:eastAsia="宋体" w:hAnsi="Calibri" w:cs="Calibri"/>
                <w:b/>
                <w:sz w:val="21"/>
                <w:szCs w:val="21"/>
              </w:rPr>
              <w:t>Recommendation</w:t>
            </w:r>
          </w:p>
        </w:tc>
        <w:tc>
          <w:tcPr>
            <w:tcW w:w="1418" w:type="dxa"/>
            <w:shd w:val="clear" w:color="auto" w:fill="EEECE1"/>
            <w:vAlign w:val="center"/>
          </w:tcPr>
          <w:p w:rsidR="00695417" w:rsidRPr="00326BB2" w:rsidRDefault="00695417" w:rsidP="00695417">
            <w:pPr>
              <w:spacing w:before="40" w:after="40"/>
              <w:jc w:val="center"/>
              <w:rPr>
                <w:rFonts w:ascii="Calibri" w:eastAsia="宋体" w:hAnsi="Calibri" w:cs="Calibri"/>
                <w:b/>
                <w:sz w:val="21"/>
                <w:szCs w:val="21"/>
              </w:rPr>
            </w:pPr>
            <w:r w:rsidRPr="00326BB2">
              <w:rPr>
                <w:rFonts w:ascii="Calibri" w:eastAsia="宋体" w:hAnsi="Calibri" w:cs="Calibri"/>
                <w:b/>
                <w:sz w:val="21"/>
                <w:szCs w:val="21"/>
              </w:rPr>
              <w:t>Responsible Entities</w:t>
            </w:r>
          </w:p>
        </w:tc>
        <w:tc>
          <w:tcPr>
            <w:tcW w:w="1842" w:type="dxa"/>
            <w:shd w:val="clear" w:color="auto" w:fill="EEECE1"/>
            <w:vAlign w:val="center"/>
          </w:tcPr>
          <w:p w:rsidR="00695417" w:rsidRPr="00326BB2" w:rsidRDefault="00695417" w:rsidP="00695417">
            <w:pPr>
              <w:spacing w:before="40" w:after="40"/>
              <w:jc w:val="center"/>
              <w:rPr>
                <w:rFonts w:ascii="Calibri" w:eastAsia="宋体" w:hAnsi="Calibri" w:cs="Calibri"/>
                <w:b/>
                <w:sz w:val="21"/>
                <w:szCs w:val="21"/>
              </w:rPr>
            </w:pPr>
            <w:r w:rsidRPr="00326BB2">
              <w:rPr>
                <w:rFonts w:ascii="Calibri" w:eastAsia="宋体" w:hAnsi="Calibri" w:cs="Calibri"/>
                <w:b/>
                <w:sz w:val="21"/>
                <w:szCs w:val="21"/>
              </w:rPr>
              <w:t>Timeframe</w:t>
            </w:r>
          </w:p>
        </w:tc>
        <w:tc>
          <w:tcPr>
            <w:tcW w:w="5812" w:type="dxa"/>
            <w:shd w:val="clear" w:color="auto" w:fill="EEECE1"/>
          </w:tcPr>
          <w:p w:rsidR="000A1683" w:rsidRPr="00326BB2" w:rsidRDefault="000A1683" w:rsidP="000A1683">
            <w:pPr>
              <w:spacing w:before="40" w:after="40"/>
              <w:jc w:val="center"/>
              <w:rPr>
                <w:rFonts w:ascii="Calibri" w:eastAsia="宋体" w:hAnsi="Calibri" w:cs="Calibri"/>
                <w:b/>
                <w:sz w:val="21"/>
                <w:szCs w:val="21"/>
              </w:rPr>
            </w:pPr>
          </w:p>
          <w:p w:rsidR="000A1683" w:rsidRPr="00326BB2" w:rsidRDefault="000A1683" w:rsidP="000A1683">
            <w:pPr>
              <w:spacing w:before="40" w:after="40"/>
              <w:jc w:val="center"/>
              <w:rPr>
                <w:rFonts w:ascii="Calibri" w:eastAsia="宋体" w:hAnsi="Calibri" w:cs="Calibri"/>
                <w:b/>
                <w:sz w:val="21"/>
                <w:szCs w:val="21"/>
              </w:rPr>
            </w:pPr>
            <w:r w:rsidRPr="00326BB2">
              <w:rPr>
                <w:rFonts w:ascii="Calibri" w:eastAsia="宋体" w:hAnsi="Calibri" w:cs="Calibri" w:hint="eastAsia"/>
                <w:b/>
                <w:sz w:val="21"/>
                <w:szCs w:val="21"/>
              </w:rPr>
              <w:t>R</w:t>
            </w:r>
            <w:r w:rsidRPr="00326BB2">
              <w:rPr>
                <w:rFonts w:ascii="Calibri" w:eastAsia="宋体" w:hAnsi="Calibri" w:cs="Calibri"/>
                <w:b/>
                <w:sz w:val="21"/>
                <w:szCs w:val="21"/>
              </w:rPr>
              <w:t>esponse</w:t>
            </w:r>
          </w:p>
        </w:tc>
      </w:tr>
      <w:tr w:rsidR="00695417" w:rsidRPr="00326BB2" w:rsidTr="003F6C5A">
        <w:trPr>
          <w:jc w:val="center"/>
        </w:trPr>
        <w:tc>
          <w:tcPr>
            <w:tcW w:w="8500" w:type="dxa"/>
            <w:gridSpan w:val="4"/>
            <w:shd w:val="clear" w:color="auto" w:fill="auto"/>
            <w:vAlign w:val="center"/>
          </w:tcPr>
          <w:p w:rsidR="00695417" w:rsidRPr="00326BB2" w:rsidRDefault="00695417" w:rsidP="00695417">
            <w:pPr>
              <w:spacing w:before="40" w:after="40"/>
              <w:jc w:val="both"/>
              <w:rPr>
                <w:rFonts w:ascii="Calibri" w:eastAsia="宋体" w:hAnsi="Calibri" w:cs="Calibri"/>
                <w:b/>
                <w:sz w:val="21"/>
                <w:szCs w:val="21"/>
              </w:rPr>
            </w:pPr>
            <w:r w:rsidRPr="00326BB2">
              <w:rPr>
                <w:rFonts w:ascii="Calibri" w:eastAsia="宋体" w:hAnsi="Calibri" w:cs="Calibri"/>
                <w:b/>
                <w:sz w:val="21"/>
                <w:szCs w:val="21"/>
              </w:rPr>
              <w:t xml:space="preserve">Corrective actions for the design, implementation, monitoring and evaluation of the project </w:t>
            </w:r>
          </w:p>
        </w:tc>
        <w:tc>
          <w:tcPr>
            <w:tcW w:w="5812" w:type="dxa"/>
          </w:tcPr>
          <w:p w:rsidR="00695417" w:rsidRPr="00326BB2" w:rsidRDefault="00695417" w:rsidP="00695417">
            <w:pPr>
              <w:spacing w:before="40" w:after="40"/>
              <w:jc w:val="both"/>
              <w:rPr>
                <w:rFonts w:ascii="Calibri" w:eastAsia="宋体" w:hAnsi="Calibri" w:cs="Calibri"/>
                <w:b/>
                <w:sz w:val="21"/>
                <w:szCs w:val="21"/>
              </w:rPr>
            </w:pPr>
          </w:p>
        </w:tc>
      </w:tr>
      <w:tr w:rsidR="00326BB2" w:rsidRPr="00326BB2" w:rsidTr="003F6C5A">
        <w:trPr>
          <w:jc w:val="center"/>
        </w:trPr>
        <w:tc>
          <w:tcPr>
            <w:tcW w:w="562" w:type="dxa"/>
            <w:vAlign w:val="center"/>
          </w:tcPr>
          <w:p w:rsidR="00695417" w:rsidRPr="00326BB2" w:rsidRDefault="00695417" w:rsidP="00695417">
            <w:pPr>
              <w:numPr>
                <w:ilvl w:val="0"/>
                <w:numId w:val="1"/>
              </w:numPr>
              <w:spacing w:before="40" w:after="40"/>
              <w:jc w:val="both"/>
              <w:rPr>
                <w:rFonts w:ascii="Calibri" w:hAnsi="Calibri" w:cs="Calibri"/>
                <w:sz w:val="21"/>
                <w:szCs w:val="21"/>
              </w:rPr>
            </w:pPr>
          </w:p>
        </w:tc>
        <w:tc>
          <w:tcPr>
            <w:tcW w:w="4678" w:type="dxa"/>
            <w:vAlign w:val="center"/>
          </w:tcPr>
          <w:p w:rsidR="00695417" w:rsidRPr="00326BB2" w:rsidRDefault="00695417" w:rsidP="00695417">
            <w:pPr>
              <w:overflowPunct w:val="0"/>
              <w:autoSpaceDE w:val="0"/>
              <w:autoSpaceDN w:val="0"/>
              <w:adjustRightInd w:val="0"/>
              <w:spacing w:before="40" w:after="40"/>
              <w:jc w:val="both"/>
              <w:textAlignment w:val="baseline"/>
              <w:rPr>
                <w:rFonts w:ascii="Calibri" w:hAnsi="Calibri" w:cs="Calibri"/>
                <w:sz w:val="21"/>
                <w:szCs w:val="21"/>
              </w:rPr>
            </w:pPr>
            <w:r w:rsidRPr="00326BB2">
              <w:rPr>
                <w:rFonts w:ascii="Calibri" w:hAnsi="Calibri" w:cs="Calibri"/>
                <w:b/>
                <w:sz w:val="21"/>
                <w:szCs w:val="21"/>
              </w:rPr>
              <w:t>Prepare a sustainability strategy and action plan</w:t>
            </w:r>
            <w:r w:rsidRPr="00326BB2">
              <w:rPr>
                <w:rFonts w:ascii="Calibri" w:hAnsi="Calibri" w:cs="Calibri"/>
                <w:sz w:val="21"/>
                <w:szCs w:val="21"/>
              </w:rPr>
              <w:t>. A sustainability strategy and action plan should be developed to guide enabling stakeholders in ensuring project results are sustained after GEF funding ceases. The strategy and action plan should be based on the project theory of change, e.g., focusing on the assumptions and impact drivers for achieving long-term impacts. The plan should outline the actions requiring follow-up after project closure, assigning roles and responsibilities and identifying timeframes.</w:t>
            </w:r>
          </w:p>
        </w:tc>
        <w:tc>
          <w:tcPr>
            <w:tcW w:w="1418" w:type="dxa"/>
            <w:vAlign w:val="center"/>
          </w:tcPr>
          <w:p w:rsidR="00695417" w:rsidRPr="00326BB2" w:rsidRDefault="00695417" w:rsidP="00695417">
            <w:pPr>
              <w:spacing w:before="40" w:after="40"/>
              <w:jc w:val="center"/>
              <w:rPr>
                <w:rFonts w:ascii="Calibri" w:eastAsia="宋体" w:hAnsi="Calibri" w:cs="Calibri"/>
                <w:b/>
                <w:sz w:val="21"/>
                <w:szCs w:val="21"/>
              </w:rPr>
            </w:pPr>
            <w:proofErr w:type="gramStart"/>
            <w:r w:rsidRPr="00326BB2">
              <w:rPr>
                <w:rFonts w:ascii="Calibri" w:eastAsia="宋体" w:hAnsi="Calibri" w:cs="Calibri"/>
                <w:b/>
                <w:sz w:val="21"/>
                <w:szCs w:val="21"/>
              </w:rPr>
              <w:t>PMO</w:t>
            </w:r>
            <w:r w:rsidR="00037BAC" w:rsidRPr="00326BB2">
              <w:rPr>
                <w:rFonts w:ascii="Calibri" w:eastAsia="宋体" w:hAnsi="Calibri" w:cs="Calibri"/>
                <w:b/>
                <w:sz w:val="21"/>
                <w:szCs w:val="21"/>
              </w:rPr>
              <w:t>,CTA</w:t>
            </w:r>
            <w:proofErr w:type="gramEnd"/>
          </w:p>
        </w:tc>
        <w:tc>
          <w:tcPr>
            <w:tcW w:w="1842" w:type="dxa"/>
            <w:vAlign w:val="center"/>
          </w:tcPr>
          <w:p w:rsidR="00695417" w:rsidRPr="00326BB2" w:rsidRDefault="00695417" w:rsidP="00EF747B">
            <w:pPr>
              <w:spacing w:before="40" w:after="40"/>
              <w:rPr>
                <w:rFonts w:ascii="Calibri" w:eastAsia="宋体" w:hAnsi="Calibri" w:cs="Calibri"/>
                <w:sz w:val="21"/>
                <w:szCs w:val="21"/>
              </w:rPr>
            </w:pPr>
            <w:r w:rsidRPr="00326BB2">
              <w:rPr>
                <w:rFonts w:ascii="Calibri" w:eastAsia="宋体" w:hAnsi="Calibri" w:cs="Calibri"/>
                <w:sz w:val="21"/>
                <w:szCs w:val="21"/>
              </w:rPr>
              <w:t>Before project closure</w:t>
            </w:r>
          </w:p>
        </w:tc>
        <w:tc>
          <w:tcPr>
            <w:tcW w:w="5812" w:type="dxa"/>
          </w:tcPr>
          <w:p w:rsidR="00695417" w:rsidRPr="00326BB2" w:rsidRDefault="0098391C" w:rsidP="00AC366D">
            <w:pPr>
              <w:spacing w:before="40" w:after="40"/>
              <w:rPr>
                <w:rFonts w:ascii="Calibri" w:eastAsia="宋体" w:hAnsi="Calibri" w:cs="Calibri"/>
                <w:sz w:val="21"/>
                <w:szCs w:val="21"/>
                <w:lang w:eastAsia="zh-CN"/>
              </w:rPr>
            </w:pPr>
            <w:r w:rsidRPr="00326BB2">
              <w:rPr>
                <w:rFonts w:ascii="Calibri" w:eastAsia="宋体" w:hAnsi="Calibri" w:cs="Calibri" w:hint="eastAsia"/>
                <w:sz w:val="21"/>
                <w:szCs w:val="21"/>
                <w:lang w:eastAsia="zh-CN"/>
              </w:rPr>
              <w:t>A</w:t>
            </w:r>
            <w:r w:rsidRPr="00326BB2">
              <w:rPr>
                <w:rFonts w:ascii="Calibri" w:eastAsia="宋体" w:hAnsi="Calibri" w:cs="Calibri"/>
                <w:sz w:val="21"/>
                <w:szCs w:val="21"/>
                <w:lang w:eastAsia="zh-CN"/>
              </w:rPr>
              <w:t>greed</w:t>
            </w:r>
            <w:r w:rsidR="0099712B">
              <w:rPr>
                <w:rFonts w:ascii="Calibri" w:eastAsia="宋体" w:hAnsi="Calibri" w:cs="Calibri"/>
                <w:sz w:val="21"/>
                <w:szCs w:val="21"/>
                <w:lang w:eastAsia="zh-CN"/>
              </w:rPr>
              <w:t>.</w:t>
            </w:r>
            <w:r w:rsidRPr="00326BB2">
              <w:rPr>
                <w:rFonts w:ascii="Calibri" w:eastAsia="宋体" w:hAnsi="Calibri" w:cs="Calibri"/>
                <w:sz w:val="21"/>
                <w:szCs w:val="21"/>
                <w:lang w:eastAsia="zh-CN"/>
              </w:rPr>
              <w:t xml:space="preserve"> </w:t>
            </w:r>
            <w:r w:rsidR="009D4613" w:rsidRPr="00326BB2">
              <w:rPr>
                <w:rFonts w:ascii="Calibri" w:eastAsia="宋体" w:hAnsi="Calibri" w:cs="Calibri"/>
                <w:sz w:val="21"/>
                <w:szCs w:val="21"/>
                <w:lang w:eastAsia="zh-CN"/>
              </w:rPr>
              <w:t>A sustainability strategy and action plan</w:t>
            </w:r>
            <w:r w:rsidR="0044718B" w:rsidRPr="00326BB2">
              <w:rPr>
                <w:rFonts w:ascii="Calibri" w:eastAsia="宋体" w:hAnsi="Calibri" w:cs="Calibri"/>
                <w:sz w:val="21"/>
                <w:szCs w:val="21"/>
                <w:lang w:eastAsia="zh-CN"/>
              </w:rPr>
              <w:t xml:space="preserve"> will be developed soon together with CTA to ensure </w:t>
            </w:r>
            <w:r w:rsidR="00AC366D" w:rsidRPr="00326BB2">
              <w:rPr>
                <w:rFonts w:ascii="Calibri" w:eastAsia="宋体" w:hAnsi="Calibri" w:cs="Calibri"/>
                <w:sz w:val="21"/>
                <w:szCs w:val="21"/>
                <w:lang w:eastAsia="zh-CN"/>
              </w:rPr>
              <w:t xml:space="preserve">the project </w:t>
            </w:r>
            <w:r w:rsidR="00DD1F5B" w:rsidRPr="00326BB2">
              <w:rPr>
                <w:rFonts w:ascii="Calibri" w:eastAsia="宋体" w:hAnsi="Calibri" w:cs="Calibri"/>
                <w:sz w:val="21"/>
                <w:szCs w:val="21"/>
                <w:lang w:eastAsia="zh-CN"/>
              </w:rPr>
              <w:t>to achieve not only a wrapping</w:t>
            </w:r>
            <w:r w:rsidR="00623404">
              <w:rPr>
                <w:rFonts w:ascii="Calibri" w:eastAsia="宋体" w:hAnsi="Calibri" w:cs="Calibri"/>
                <w:sz w:val="21"/>
                <w:szCs w:val="21"/>
                <w:lang w:eastAsia="zh-CN"/>
              </w:rPr>
              <w:t>-</w:t>
            </w:r>
            <w:r w:rsidR="00DD1F5B" w:rsidRPr="00326BB2">
              <w:rPr>
                <w:rFonts w:ascii="Calibri" w:eastAsia="宋体" w:hAnsi="Calibri" w:cs="Calibri"/>
                <w:sz w:val="21"/>
                <w:szCs w:val="21"/>
                <w:lang w:eastAsia="zh-CN"/>
              </w:rPr>
              <w:t>up of all projected outcomes and outputs of the national project but a thoroughgoing assessment and summarization of the overall CBPF-MSL programmatic approach thus enhancing impacts and the visibility of results of the CBPF-MSL programmatic approach as a whole as o</w:t>
            </w:r>
            <w:r w:rsidR="00AC366D" w:rsidRPr="00326BB2">
              <w:rPr>
                <w:rFonts w:ascii="Calibri" w:eastAsia="宋体" w:hAnsi="Calibri" w:cs="Calibri"/>
                <w:sz w:val="21"/>
                <w:szCs w:val="21"/>
                <w:lang w:eastAsia="zh-CN"/>
              </w:rPr>
              <w:t xml:space="preserve">utlined in the project document, and guarantee the sustainability from mainstreaming, environmental, social, institutional and financial </w:t>
            </w:r>
            <w:r w:rsidR="00623404" w:rsidRPr="00326BB2">
              <w:rPr>
                <w:rFonts w:ascii="Calibri" w:eastAsia="宋体" w:hAnsi="Calibri" w:cs="Calibri"/>
                <w:sz w:val="21"/>
                <w:szCs w:val="21"/>
                <w:lang w:eastAsia="zh-CN"/>
              </w:rPr>
              <w:t xml:space="preserve">aspects </w:t>
            </w:r>
            <w:r w:rsidR="00AC366D" w:rsidRPr="00326BB2">
              <w:rPr>
                <w:rFonts w:ascii="Calibri" w:eastAsia="宋体" w:hAnsi="Calibri" w:cs="Calibri"/>
                <w:sz w:val="21"/>
                <w:szCs w:val="21"/>
                <w:lang w:eastAsia="zh-CN"/>
              </w:rPr>
              <w:t xml:space="preserve">after </w:t>
            </w:r>
            <w:r w:rsidR="00623404">
              <w:rPr>
                <w:rFonts w:ascii="Calibri" w:eastAsia="宋体" w:hAnsi="Calibri" w:cs="Calibri"/>
                <w:sz w:val="21"/>
                <w:szCs w:val="21"/>
                <w:lang w:eastAsia="zh-CN"/>
              </w:rPr>
              <w:t xml:space="preserve">closure of </w:t>
            </w:r>
            <w:r w:rsidR="00AC366D" w:rsidRPr="00326BB2">
              <w:rPr>
                <w:rFonts w:ascii="Calibri" w:eastAsia="宋体" w:hAnsi="Calibri" w:cs="Calibri"/>
                <w:sz w:val="21"/>
                <w:szCs w:val="21"/>
                <w:lang w:eastAsia="zh-CN"/>
              </w:rPr>
              <w:t>GEF</w:t>
            </w:r>
            <w:r w:rsidR="00623404">
              <w:rPr>
                <w:rFonts w:ascii="Calibri" w:eastAsia="宋体" w:hAnsi="Calibri" w:cs="Calibri"/>
                <w:sz w:val="21"/>
                <w:szCs w:val="21"/>
                <w:lang w:eastAsia="zh-CN"/>
              </w:rPr>
              <w:t xml:space="preserve"> </w:t>
            </w:r>
            <w:r w:rsidR="00623404" w:rsidRPr="00326BB2">
              <w:rPr>
                <w:rFonts w:ascii="Calibri" w:eastAsia="宋体" w:hAnsi="Calibri" w:cs="Calibri"/>
                <w:sz w:val="21"/>
                <w:szCs w:val="21"/>
                <w:lang w:eastAsia="zh-CN"/>
              </w:rPr>
              <w:t>CBPF-MSL</w:t>
            </w:r>
            <w:r w:rsidR="00AC366D" w:rsidRPr="00326BB2">
              <w:rPr>
                <w:rFonts w:ascii="Calibri" w:eastAsia="宋体" w:hAnsi="Calibri" w:cs="Calibri"/>
                <w:sz w:val="21"/>
                <w:szCs w:val="21"/>
                <w:lang w:eastAsia="zh-CN"/>
              </w:rPr>
              <w:t xml:space="preserve"> </w:t>
            </w:r>
            <w:proofErr w:type="spellStart"/>
            <w:r w:rsidR="00C42A53">
              <w:rPr>
                <w:rFonts w:ascii="Calibri" w:eastAsia="宋体" w:hAnsi="Calibri" w:cs="Calibri"/>
                <w:sz w:val="21"/>
                <w:szCs w:val="21"/>
                <w:lang w:eastAsia="zh-CN"/>
              </w:rPr>
              <w:t>programme</w:t>
            </w:r>
            <w:proofErr w:type="spellEnd"/>
            <w:r w:rsidR="00AC366D" w:rsidRPr="00326BB2">
              <w:rPr>
                <w:rFonts w:ascii="Calibri" w:eastAsia="宋体" w:hAnsi="Calibri" w:cs="Calibri"/>
                <w:sz w:val="21"/>
                <w:szCs w:val="21"/>
                <w:lang w:eastAsia="zh-CN"/>
              </w:rPr>
              <w:t>.</w:t>
            </w:r>
          </w:p>
        </w:tc>
      </w:tr>
      <w:tr w:rsidR="00326BB2" w:rsidRPr="00326BB2" w:rsidTr="003F6C5A">
        <w:trPr>
          <w:jc w:val="center"/>
        </w:trPr>
        <w:tc>
          <w:tcPr>
            <w:tcW w:w="562" w:type="dxa"/>
            <w:vAlign w:val="center"/>
          </w:tcPr>
          <w:p w:rsidR="00695417" w:rsidRPr="00326BB2" w:rsidRDefault="00695417" w:rsidP="00695417">
            <w:pPr>
              <w:numPr>
                <w:ilvl w:val="0"/>
                <w:numId w:val="1"/>
              </w:numPr>
              <w:spacing w:before="40" w:after="40"/>
              <w:jc w:val="both"/>
              <w:rPr>
                <w:rFonts w:ascii="Calibri" w:hAnsi="Calibri" w:cs="Calibri"/>
                <w:sz w:val="21"/>
                <w:szCs w:val="21"/>
              </w:rPr>
            </w:pPr>
          </w:p>
        </w:tc>
        <w:tc>
          <w:tcPr>
            <w:tcW w:w="4678" w:type="dxa"/>
            <w:vAlign w:val="center"/>
          </w:tcPr>
          <w:p w:rsidR="00695417" w:rsidRPr="00326BB2" w:rsidRDefault="00695417" w:rsidP="00695417">
            <w:pPr>
              <w:overflowPunct w:val="0"/>
              <w:autoSpaceDE w:val="0"/>
              <w:autoSpaceDN w:val="0"/>
              <w:adjustRightInd w:val="0"/>
              <w:spacing w:before="40" w:after="40"/>
              <w:jc w:val="both"/>
              <w:textAlignment w:val="baseline"/>
              <w:rPr>
                <w:rFonts w:ascii="Calibri" w:hAnsi="Calibri" w:cs="Calibri"/>
                <w:b/>
                <w:sz w:val="21"/>
                <w:szCs w:val="21"/>
              </w:rPr>
            </w:pPr>
            <w:r w:rsidRPr="00326BB2">
              <w:rPr>
                <w:rFonts w:ascii="Calibri" w:hAnsi="Calibri" w:cs="Calibri"/>
                <w:b/>
                <w:sz w:val="21"/>
                <w:szCs w:val="21"/>
              </w:rPr>
              <w:t xml:space="preserve">Reassess the GEF-5 BD-1 tracking tools, including the Financial Sustainability Scorecard and summary of METT scores. </w:t>
            </w:r>
            <w:r w:rsidRPr="00326BB2">
              <w:rPr>
                <w:rFonts w:ascii="Calibri" w:hAnsi="Calibri" w:cs="Calibri"/>
                <w:sz w:val="21"/>
                <w:szCs w:val="21"/>
              </w:rPr>
              <w:t>The inconsistencies in the Financial Sustainability Scorecard should be resolved, and the METT scores for the 42 wetland nature reserves should be quality reviewed and the reporting updated.</w:t>
            </w:r>
          </w:p>
        </w:tc>
        <w:tc>
          <w:tcPr>
            <w:tcW w:w="1418" w:type="dxa"/>
            <w:vAlign w:val="center"/>
          </w:tcPr>
          <w:p w:rsidR="00695417" w:rsidRPr="00326BB2" w:rsidRDefault="00695417" w:rsidP="00695417">
            <w:pPr>
              <w:spacing w:before="40" w:after="40"/>
              <w:jc w:val="center"/>
              <w:rPr>
                <w:rFonts w:ascii="Calibri" w:eastAsia="宋体" w:hAnsi="Calibri" w:cs="Calibri"/>
                <w:b/>
                <w:sz w:val="21"/>
                <w:szCs w:val="21"/>
              </w:rPr>
            </w:pPr>
            <w:r w:rsidRPr="00326BB2">
              <w:rPr>
                <w:rFonts w:ascii="Calibri" w:eastAsia="宋体" w:hAnsi="Calibri" w:cs="Calibri"/>
                <w:b/>
                <w:sz w:val="21"/>
                <w:szCs w:val="21"/>
              </w:rPr>
              <w:t>PMO</w:t>
            </w:r>
          </w:p>
        </w:tc>
        <w:tc>
          <w:tcPr>
            <w:tcW w:w="1842" w:type="dxa"/>
            <w:vAlign w:val="center"/>
          </w:tcPr>
          <w:p w:rsidR="00695417" w:rsidRPr="00326BB2" w:rsidRDefault="00695417" w:rsidP="00EF747B">
            <w:pPr>
              <w:spacing w:before="40" w:after="40"/>
              <w:rPr>
                <w:rFonts w:ascii="Calibri" w:eastAsia="宋体" w:hAnsi="Calibri" w:cs="Calibri"/>
                <w:sz w:val="21"/>
                <w:szCs w:val="21"/>
              </w:rPr>
            </w:pPr>
            <w:r w:rsidRPr="00326BB2">
              <w:rPr>
                <w:rFonts w:ascii="Calibri" w:eastAsia="宋体" w:hAnsi="Calibri" w:cs="Calibri"/>
                <w:sz w:val="21"/>
                <w:szCs w:val="21"/>
              </w:rPr>
              <w:t>Before project closure</w:t>
            </w:r>
          </w:p>
        </w:tc>
        <w:tc>
          <w:tcPr>
            <w:tcW w:w="5812" w:type="dxa"/>
          </w:tcPr>
          <w:p w:rsidR="00695417" w:rsidRPr="00326BB2" w:rsidRDefault="00E231E9" w:rsidP="00FC2729">
            <w:pPr>
              <w:spacing w:before="40" w:after="40"/>
              <w:rPr>
                <w:rFonts w:ascii="Calibri" w:eastAsia="宋体" w:hAnsi="Calibri" w:cs="Calibri"/>
                <w:sz w:val="21"/>
                <w:szCs w:val="21"/>
                <w:lang w:eastAsia="zh-CN"/>
              </w:rPr>
            </w:pPr>
            <w:r w:rsidRPr="00326BB2">
              <w:rPr>
                <w:rFonts w:ascii="Calibri" w:eastAsia="宋体" w:hAnsi="Calibri" w:cs="Calibri"/>
                <w:sz w:val="21"/>
                <w:szCs w:val="21"/>
                <w:lang w:eastAsia="zh-CN"/>
              </w:rPr>
              <w:t>Agreed</w:t>
            </w:r>
            <w:r w:rsidR="0099712B">
              <w:rPr>
                <w:rFonts w:ascii="Calibri" w:eastAsia="宋体" w:hAnsi="Calibri" w:cs="Calibri"/>
                <w:sz w:val="21"/>
                <w:szCs w:val="21"/>
                <w:lang w:eastAsia="zh-CN"/>
              </w:rPr>
              <w:t xml:space="preserve">. PMO </w:t>
            </w:r>
            <w:r w:rsidR="00E57AE0" w:rsidRPr="00326BB2">
              <w:rPr>
                <w:rFonts w:ascii="Calibri" w:eastAsia="宋体" w:hAnsi="Calibri" w:cs="Calibri"/>
                <w:sz w:val="21"/>
                <w:szCs w:val="21"/>
                <w:lang w:eastAsia="zh-CN"/>
              </w:rPr>
              <w:t xml:space="preserve">will work together with the METT consultant and colleagues from provincial projects to </w:t>
            </w:r>
            <w:r w:rsidR="00B16EF4" w:rsidRPr="00326BB2">
              <w:rPr>
                <w:rFonts w:ascii="Calibri" w:eastAsia="宋体" w:hAnsi="Calibri" w:cs="Calibri"/>
                <w:sz w:val="21"/>
                <w:szCs w:val="21"/>
                <w:lang w:eastAsia="zh-CN"/>
              </w:rPr>
              <w:t xml:space="preserve">quality </w:t>
            </w:r>
            <w:r w:rsidR="00E57AE0" w:rsidRPr="00326BB2">
              <w:rPr>
                <w:rFonts w:ascii="Calibri" w:eastAsia="宋体" w:hAnsi="Calibri" w:cs="Calibri"/>
                <w:sz w:val="21"/>
                <w:szCs w:val="21"/>
                <w:lang w:eastAsia="zh-CN"/>
              </w:rPr>
              <w:t xml:space="preserve">review the METT including the Financial Sustainability Scorecard and </w:t>
            </w:r>
            <w:r w:rsidR="00B16EF4" w:rsidRPr="00326BB2">
              <w:rPr>
                <w:rFonts w:ascii="Calibri" w:eastAsia="宋体" w:hAnsi="Calibri" w:cs="Calibri"/>
                <w:sz w:val="21"/>
                <w:szCs w:val="21"/>
                <w:lang w:eastAsia="zh-CN"/>
              </w:rPr>
              <w:t xml:space="preserve">score </w:t>
            </w:r>
            <w:r w:rsidR="00E57AE0" w:rsidRPr="00326BB2">
              <w:rPr>
                <w:rFonts w:ascii="Calibri" w:eastAsia="宋体" w:hAnsi="Calibri" w:cs="Calibri"/>
                <w:sz w:val="21"/>
                <w:szCs w:val="21"/>
                <w:lang w:eastAsia="zh-CN"/>
              </w:rPr>
              <w:t>summary</w:t>
            </w:r>
            <w:r w:rsidR="00B16EF4" w:rsidRPr="00326BB2">
              <w:rPr>
                <w:rFonts w:ascii="Calibri" w:eastAsia="宋体" w:hAnsi="Calibri" w:cs="Calibri"/>
                <w:sz w:val="21"/>
                <w:szCs w:val="21"/>
                <w:lang w:eastAsia="zh-CN"/>
              </w:rPr>
              <w:t xml:space="preserve"> and the METT scores for </w:t>
            </w:r>
            <w:r w:rsidR="001B1A6F" w:rsidRPr="00326BB2">
              <w:rPr>
                <w:rFonts w:ascii="Calibri" w:eastAsia="宋体" w:hAnsi="Calibri" w:cs="Calibri"/>
                <w:sz w:val="21"/>
                <w:szCs w:val="21"/>
                <w:lang w:eastAsia="zh-CN"/>
              </w:rPr>
              <w:t>the involved</w:t>
            </w:r>
            <w:r w:rsidR="00B16EF4" w:rsidRPr="00326BB2">
              <w:rPr>
                <w:rFonts w:ascii="Calibri" w:eastAsia="宋体" w:hAnsi="Calibri" w:cs="Calibri"/>
                <w:sz w:val="21"/>
                <w:szCs w:val="21"/>
                <w:lang w:eastAsia="zh-CN"/>
              </w:rPr>
              <w:t xml:space="preserve"> 38 PAs (excluding </w:t>
            </w:r>
            <w:r w:rsidR="0099712B">
              <w:rPr>
                <w:rFonts w:ascii="Calibri" w:eastAsia="宋体" w:hAnsi="Calibri" w:cs="Calibri"/>
                <w:sz w:val="21"/>
                <w:szCs w:val="21"/>
                <w:lang w:eastAsia="zh-CN"/>
              </w:rPr>
              <w:t xml:space="preserve">4 PAs in </w:t>
            </w:r>
            <w:r w:rsidR="00B16EF4" w:rsidRPr="00326BB2">
              <w:rPr>
                <w:rFonts w:ascii="Calibri" w:eastAsia="宋体" w:hAnsi="Calibri" w:cs="Calibri"/>
                <w:sz w:val="21"/>
                <w:szCs w:val="21"/>
                <w:lang w:eastAsia="zh-CN"/>
              </w:rPr>
              <w:t>Jiangxi</w:t>
            </w:r>
            <w:r w:rsidR="0099712B">
              <w:rPr>
                <w:rFonts w:ascii="Calibri" w:eastAsia="宋体" w:hAnsi="Calibri" w:cs="Calibri"/>
                <w:sz w:val="21"/>
                <w:szCs w:val="21"/>
                <w:lang w:eastAsia="zh-CN"/>
              </w:rPr>
              <w:t xml:space="preserve"> Province, as FAO-GEF Jiangxi Project is still in the implementation phase</w:t>
            </w:r>
            <w:r w:rsidR="00B16EF4" w:rsidRPr="00326BB2">
              <w:rPr>
                <w:rFonts w:ascii="Calibri" w:eastAsia="宋体" w:hAnsi="Calibri" w:cs="Calibri"/>
                <w:sz w:val="21"/>
                <w:szCs w:val="21"/>
                <w:lang w:eastAsia="zh-CN"/>
              </w:rPr>
              <w:t xml:space="preserve">) </w:t>
            </w:r>
            <w:r w:rsidR="001B1A6F" w:rsidRPr="00326BB2">
              <w:rPr>
                <w:rFonts w:ascii="Calibri" w:eastAsia="宋体" w:hAnsi="Calibri" w:cs="Calibri"/>
                <w:sz w:val="21"/>
                <w:szCs w:val="21"/>
                <w:lang w:eastAsia="zh-CN"/>
              </w:rPr>
              <w:t xml:space="preserve">will be updated and the inconsistencies in the Financial Sustainability Scorecard also will be solved. </w:t>
            </w:r>
          </w:p>
        </w:tc>
      </w:tr>
      <w:tr w:rsidR="00326BB2" w:rsidRPr="00326BB2" w:rsidTr="003F6C5A">
        <w:trPr>
          <w:jc w:val="center"/>
        </w:trPr>
        <w:tc>
          <w:tcPr>
            <w:tcW w:w="562" w:type="dxa"/>
            <w:vAlign w:val="center"/>
          </w:tcPr>
          <w:p w:rsidR="00695417" w:rsidRPr="00326BB2" w:rsidRDefault="00695417" w:rsidP="00695417">
            <w:pPr>
              <w:numPr>
                <w:ilvl w:val="0"/>
                <w:numId w:val="1"/>
              </w:numPr>
              <w:spacing w:before="40" w:after="40"/>
              <w:jc w:val="both"/>
              <w:rPr>
                <w:rFonts w:ascii="Calibri" w:hAnsi="Calibri" w:cs="Calibri"/>
                <w:sz w:val="21"/>
                <w:szCs w:val="21"/>
              </w:rPr>
            </w:pPr>
          </w:p>
        </w:tc>
        <w:tc>
          <w:tcPr>
            <w:tcW w:w="4678" w:type="dxa"/>
            <w:vAlign w:val="center"/>
          </w:tcPr>
          <w:p w:rsidR="00695417" w:rsidRPr="00326BB2" w:rsidRDefault="00695417" w:rsidP="00695417">
            <w:pPr>
              <w:overflowPunct w:val="0"/>
              <w:autoSpaceDE w:val="0"/>
              <w:autoSpaceDN w:val="0"/>
              <w:adjustRightInd w:val="0"/>
              <w:spacing w:before="40" w:after="40"/>
              <w:jc w:val="both"/>
              <w:textAlignment w:val="baseline"/>
              <w:rPr>
                <w:rFonts w:ascii="Calibri" w:hAnsi="Calibri" w:cs="Calibri"/>
                <w:b/>
                <w:sz w:val="21"/>
                <w:szCs w:val="21"/>
              </w:rPr>
            </w:pPr>
            <w:r w:rsidRPr="00326BB2">
              <w:rPr>
                <w:rFonts w:ascii="Calibri" w:hAnsi="Calibri" w:cs="Calibri"/>
                <w:b/>
                <w:sz w:val="21"/>
                <w:szCs w:val="21"/>
              </w:rPr>
              <w:t xml:space="preserve">Prepare and disseminated a knowledge product summarizing the results of overseas learning exchanges. </w:t>
            </w:r>
            <w:r w:rsidRPr="00326BB2">
              <w:rPr>
                <w:rFonts w:ascii="Calibri" w:hAnsi="Calibri" w:cs="Calibri"/>
                <w:sz w:val="21"/>
                <w:szCs w:val="21"/>
              </w:rPr>
              <w:t xml:space="preserve">The international best practices and </w:t>
            </w:r>
            <w:r w:rsidRPr="00326BB2">
              <w:rPr>
                <w:rFonts w:ascii="Calibri" w:hAnsi="Calibri" w:cs="Calibri"/>
                <w:sz w:val="21"/>
                <w:szCs w:val="21"/>
              </w:rPr>
              <w:lastRenderedPageBreak/>
              <w:t>approaches shared during the overseas learning exchanges have not been documented. A knowledge product should be prepared and disseminated among national and provincial PA agencies and shared with project development and implementation teams of other GEF-financed projects and programs in China.</w:t>
            </w:r>
          </w:p>
        </w:tc>
        <w:tc>
          <w:tcPr>
            <w:tcW w:w="1418" w:type="dxa"/>
            <w:vAlign w:val="center"/>
          </w:tcPr>
          <w:p w:rsidR="00695417" w:rsidRPr="00326BB2" w:rsidRDefault="00695417" w:rsidP="00695417">
            <w:pPr>
              <w:spacing w:before="40" w:after="40"/>
              <w:jc w:val="center"/>
              <w:rPr>
                <w:rFonts w:ascii="Calibri" w:eastAsia="宋体" w:hAnsi="Calibri" w:cs="Calibri"/>
                <w:b/>
                <w:sz w:val="21"/>
                <w:szCs w:val="21"/>
              </w:rPr>
            </w:pPr>
            <w:proofErr w:type="gramStart"/>
            <w:r w:rsidRPr="00326BB2">
              <w:rPr>
                <w:rFonts w:ascii="Calibri" w:eastAsia="宋体" w:hAnsi="Calibri" w:cs="Calibri"/>
                <w:b/>
                <w:sz w:val="21"/>
                <w:szCs w:val="21"/>
              </w:rPr>
              <w:lastRenderedPageBreak/>
              <w:t>PMO</w:t>
            </w:r>
            <w:r w:rsidR="00037BAC" w:rsidRPr="00326BB2">
              <w:rPr>
                <w:rFonts w:ascii="Calibri" w:eastAsia="宋体" w:hAnsi="Calibri" w:cs="Calibri"/>
                <w:b/>
                <w:sz w:val="21"/>
                <w:szCs w:val="21"/>
              </w:rPr>
              <w:t>,CTA</w:t>
            </w:r>
            <w:proofErr w:type="gramEnd"/>
          </w:p>
        </w:tc>
        <w:tc>
          <w:tcPr>
            <w:tcW w:w="1842" w:type="dxa"/>
            <w:vAlign w:val="center"/>
          </w:tcPr>
          <w:p w:rsidR="00695417" w:rsidRPr="00326BB2" w:rsidRDefault="00695417" w:rsidP="00EF747B">
            <w:pPr>
              <w:spacing w:before="40" w:after="40"/>
              <w:rPr>
                <w:rFonts w:ascii="Calibri" w:eastAsia="宋体" w:hAnsi="Calibri" w:cs="Calibri"/>
                <w:sz w:val="21"/>
                <w:szCs w:val="21"/>
              </w:rPr>
            </w:pPr>
            <w:r w:rsidRPr="00326BB2">
              <w:rPr>
                <w:rFonts w:ascii="Calibri" w:eastAsia="宋体" w:hAnsi="Calibri" w:cs="Calibri"/>
                <w:sz w:val="21"/>
                <w:szCs w:val="21"/>
              </w:rPr>
              <w:t>Before project closure</w:t>
            </w:r>
          </w:p>
        </w:tc>
        <w:tc>
          <w:tcPr>
            <w:tcW w:w="5812" w:type="dxa"/>
          </w:tcPr>
          <w:p w:rsidR="00695417" w:rsidRPr="00326BB2" w:rsidRDefault="0099712B" w:rsidP="00037BAC">
            <w:pPr>
              <w:spacing w:before="40" w:after="40"/>
              <w:rPr>
                <w:rFonts w:ascii="Calibri" w:eastAsia="宋体" w:hAnsi="Calibri" w:cs="Calibri"/>
                <w:sz w:val="21"/>
                <w:szCs w:val="21"/>
                <w:lang w:eastAsia="zh-CN"/>
              </w:rPr>
            </w:pPr>
            <w:r>
              <w:rPr>
                <w:rFonts w:ascii="Calibri" w:eastAsia="宋体" w:hAnsi="Calibri" w:cs="Calibri"/>
                <w:sz w:val="21"/>
                <w:szCs w:val="21"/>
                <w:lang w:eastAsia="zh-CN"/>
              </w:rPr>
              <w:t>A</w:t>
            </w:r>
            <w:r w:rsidR="00FF04EA" w:rsidRPr="00326BB2">
              <w:rPr>
                <w:rFonts w:ascii="Calibri" w:eastAsia="宋体" w:hAnsi="Calibri" w:cs="Calibri"/>
                <w:sz w:val="21"/>
                <w:szCs w:val="21"/>
                <w:lang w:eastAsia="zh-CN"/>
              </w:rPr>
              <w:t>greed</w:t>
            </w:r>
            <w:r>
              <w:rPr>
                <w:rFonts w:ascii="Calibri" w:eastAsia="宋体" w:hAnsi="Calibri" w:cs="Calibri"/>
                <w:sz w:val="21"/>
                <w:szCs w:val="21"/>
                <w:lang w:eastAsia="zh-CN"/>
              </w:rPr>
              <w:t>. A</w:t>
            </w:r>
            <w:r w:rsidR="00FF04EA" w:rsidRPr="00326BB2">
              <w:rPr>
                <w:rFonts w:ascii="Calibri" w:eastAsia="宋体" w:hAnsi="Calibri" w:cs="Calibri"/>
                <w:sz w:val="21"/>
                <w:szCs w:val="21"/>
                <w:lang w:eastAsia="zh-CN"/>
              </w:rPr>
              <w:t>ll the international best practices and approaches shared during the overseas learning</w:t>
            </w:r>
            <w:r w:rsidR="00596EAF" w:rsidRPr="00326BB2">
              <w:rPr>
                <w:rFonts w:ascii="Calibri" w:eastAsia="宋体" w:hAnsi="Calibri" w:cs="Calibri"/>
                <w:sz w:val="21"/>
                <w:szCs w:val="21"/>
                <w:lang w:eastAsia="zh-CN"/>
              </w:rPr>
              <w:t xml:space="preserve"> exchanges have been documented in one report</w:t>
            </w:r>
            <w:r w:rsidR="00037BAC" w:rsidRPr="00326BB2">
              <w:rPr>
                <w:rFonts w:ascii="Calibri" w:eastAsia="宋体" w:hAnsi="Calibri" w:cs="Calibri"/>
                <w:sz w:val="21"/>
                <w:szCs w:val="21"/>
                <w:lang w:eastAsia="zh-CN"/>
              </w:rPr>
              <w:t xml:space="preserve">, but these best practices have not </w:t>
            </w:r>
            <w:r w:rsidR="00037BAC" w:rsidRPr="00326BB2">
              <w:rPr>
                <w:rFonts w:ascii="Calibri" w:eastAsia="宋体" w:hAnsi="Calibri" w:cs="Calibri"/>
                <w:sz w:val="21"/>
                <w:szCs w:val="21"/>
                <w:lang w:eastAsia="zh-CN"/>
              </w:rPr>
              <w:lastRenderedPageBreak/>
              <w:t xml:space="preserve">been fully refined and shared with provincial projects. Before our project closure, PMO will work together with CTA </w:t>
            </w:r>
            <w:r>
              <w:rPr>
                <w:rFonts w:ascii="Calibri" w:eastAsia="宋体" w:hAnsi="Calibri" w:cs="Calibri"/>
                <w:sz w:val="21"/>
                <w:szCs w:val="21"/>
                <w:lang w:eastAsia="zh-CN"/>
              </w:rPr>
              <w:t xml:space="preserve">and service providers </w:t>
            </w:r>
            <w:r w:rsidR="00037BAC" w:rsidRPr="00326BB2">
              <w:rPr>
                <w:rFonts w:ascii="Calibri" w:eastAsia="宋体" w:hAnsi="Calibri" w:cs="Calibri"/>
                <w:sz w:val="21"/>
                <w:szCs w:val="21"/>
                <w:lang w:eastAsia="zh-CN"/>
              </w:rPr>
              <w:t>to refine those best</w:t>
            </w:r>
            <w:r w:rsidR="00037BAC" w:rsidRPr="00326BB2">
              <w:rPr>
                <w:sz w:val="21"/>
                <w:szCs w:val="21"/>
              </w:rPr>
              <w:t xml:space="preserve"> </w:t>
            </w:r>
            <w:r w:rsidR="00037BAC" w:rsidRPr="00326BB2">
              <w:rPr>
                <w:rFonts w:ascii="Calibri" w:eastAsia="宋体" w:hAnsi="Calibri" w:cs="Calibri"/>
                <w:sz w:val="21"/>
                <w:szCs w:val="21"/>
                <w:lang w:eastAsia="zh-CN"/>
              </w:rPr>
              <w:t xml:space="preserve">practices and approaches to prepare a knowledge product </w:t>
            </w:r>
            <w:r>
              <w:rPr>
                <w:rFonts w:ascii="Calibri" w:eastAsia="宋体" w:hAnsi="Calibri" w:cs="Calibri"/>
                <w:sz w:val="21"/>
                <w:szCs w:val="21"/>
                <w:lang w:eastAsia="zh-CN"/>
              </w:rPr>
              <w:t xml:space="preserve">and </w:t>
            </w:r>
            <w:r w:rsidR="00037BAC" w:rsidRPr="00326BB2">
              <w:rPr>
                <w:rFonts w:ascii="Calibri" w:eastAsia="宋体" w:hAnsi="Calibri" w:cs="Calibri"/>
                <w:sz w:val="21"/>
                <w:szCs w:val="21"/>
                <w:lang w:eastAsia="zh-CN"/>
              </w:rPr>
              <w:t xml:space="preserve">disseminate among the involved stakeholders of overall CBPF-MSL </w:t>
            </w:r>
            <w:proofErr w:type="spellStart"/>
            <w:r w:rsidR="00981C5C">
              <w:rPr>
                <w:rFonts w:ascii="Calibri" w:eastAsia="宋体" w:hAnsi="Calibri" w:cs="Calibri" w:hint="eastAsia"/>
                <w:sz w:val="21"/>
                <w:szCs w:val="21"/>
                <w:lang w:eastAsia="zh-CN"/>
              </w:rPr>
              <w:t>P</w:t>
            </w:r>
            <w:r w:rsidR="00037BAC" w:rsidRPr="00326BB2">
              <w:rPr>
                <w:rFonts w:ascii="Calibri" w:eastAsia="宋体" w:hAnsi="Calibri" w:cs="Calibri"/>
                <w:sz w:val="21"/>
                <w:szCs w:val="21"/>
                <w:lang w:eastAsia="zh-CN"/>
              </w:rPr>
              <w:t>rogramme</w:t>
            </w:r>
            <w:proofErr w:type="spellEnd"/>
            <w:r w:rsidR="00037BAC" w:rsidRPr="00326BB2">
              <w:rPr>
                <w:rFonts w:ascii="Calibri" w:eastAsia="宋体" w:hAnsi="Calibri" w:cs="Calibri"/>
                <w:sz w:val="21"/>
                <w:szCs w:val="21"/>
                <w:lang w:eastAsia="zh-CN"/>
              </w:rPr>
              <w:t xml:space="preserve"> and other GEF-financed projects and programs in China as well. </w:t>
            </w:r>
            <w:r w:rsidR="00596EAF" w:rsidRPr="00326BB2">
              <w:rPr>
                <w:rFonts w:ascii="Calibri" w:eastAsia="宋体" w:hAnsi="Calibri" w:cs="Calibri"/>
                <w:sz w:val="21"/>
                <w:szCs w:val="21"/>
                <w:lang w:eastAsia="zh-CN"/>
              </w:rPr>
              <w:t xml:space="preserve"> </w:t>
            </w:r>
          </w:p>
        </w:tc>
      </w:tr>
      <w:tr w:rsidR="00695417" w:rsidRPr="00326BB2" w:rsidTr="003F6C5A">
        <w:trPr>
          <w:jc w:val="center"/>
        </w:trPr>
        <w:tc>
          <w:tcPr>
            <w:tcW w:w="8500" w:type="dxa"/>
            <w:gridSpan w:val="4"/>
            <w:vAlign w:val="center"/>
          </w:tcPr>
          <w:p w:rsidR="00695417" w:rsidRPr="00326BB2" w:rsidRDefault="00695417" w:rsidP="00695417">
            <w:pPr>
              <w:spacing w:before="40" w:after="40"/>
              <w:jc w:val="both"/>
              <w:rPr>
                <w:rFonts w:ascii="Calibri" w:eastAsia="宋体" w:hAnsi="Calibri" w:cs="Calibri"/>
                <w:b/>
                <w:sz w:val="21"/>
                <w:szCs w:val="21"/>
              </w:rPr>
            </w:pPr>
            <w:r w:rsidRPr="00326BB2">
              <w:rPr>
                <w:rFonts w:ascii="Calibri" w:eastAsia="宋体" w:hAnsi="Calibri" w:cs="Calibri"/>
                <w:b/>
                <w:sz w:val="21"/>
                <w:szCs w:val="21"/>
              </w:rPr>
              <w:lastRenderedPageBreak/>
              <w:t>Actions to follow up or reinforce initial benefits from the project</w:t>
            </w:r>
          </w:p>
        </w:tc>
        <w:tc>
          <w:tcPr>
            <w:tcW w:w="5812" w:type="dxa"/>
          </w:tcPr>
          <w:p w:rsidR="00695417" w:rsidRPr="00326BB2" w:rsidRDefault="00695417" w:rsidP="00695417">
            <w:pPr>
              <w:spacing w:before="40" w:after="40"/>
              <w:jc w:val="both"/>
              <w:rPr>
                <w:rFonts w:ascii="Calibri" w:eastAsia="宋体" w:hAnsi="Calibri" w:cs="Calibri"/>
                <w:b/>
                <w:sz w:val="21"/>
                <w:szCs w:val="21"/>
              </w:rPr>
            </w:pPr>
          </w:p>
        </w:tc>
      </w:tr>
      <w:tr w:rsidR="00326BB2" w:rsidRPr="00326BB2" w:rsidTr="003F6C5A">
        <w:trPr>
          <w:jc w:val="center"/>
        </w:trPr>
        <w:tc>
          <w:tcPr>
            <w:tcW w:w="562" w:type="dxa"/>
            <w:vAlign w:val="center"/>
          </w:tcPr>
          <w:p w:rsidR="00695417" w:rsidRPr="00326BB2" w:rsidRDefault="00695417" w:rsidP="00695417">
            <w:pPr>
              <w:numPr>
                <w:ilvl w:val="0"/>
                <w:numId w:val="1"/>
              </w:numPr>
              <w:spacing w:before="40" w:after="40"/>
              <w:jc w:val="both"/>
              <w:rPr>
                <w:rFonts w:ascii="Calibri" w:hAnsi="Calibri" w:cs="Calibri"/>
                <w:sz w:val="21"/>
                <w:szCs w:val="21"/>
              </w:rPr>
            </w:pPr>
          </w:p>
        </w:tc>
        <w:tc>
          <w:tcPr>
            <w:tcW w:w="4678" w:type="dxa"/>
            <w:vAlign w:val="center"/>
          </w:tcPr>
          <w:p w:rsidR="00695417" w:rsidRPr="00326BB2" w:rsidRDefault="00695417" w:rsidP="00695417">
            <w:pPr>
              <w:overflowPunct w:val="0"/>
              <w:autoSpaceDE w:val="0"/>
              <w:autoSpaceDN w:val="0"/>
              <w:adjustRightInd w:val="0"/>
              <w:spacing w:before="40" w:after="40"/>
              <w:jc w:val="both"/>
              <w:textAlignment w:val="baseline"/>
              <w:rPr>
                <w:rFonts w:ascii="Calibri" w:hAnsi="Calibri" w:cs="Calibri"/>
                <w:sz w:val="21"/>
                <w:szCs w:val="21"/>
              </w:rPr>
            </w:pPr>
            <w:r w:rsidRPr="00326BB2">
              <w:rPr>
                <w:rFonts w:ascii="Calibri" w:hAnsi="Calibri" w:cs="Calibri"/>
                <w:b/>
                <w:sz w:val="21"/>
                <w:szCs w:val="21"/>
              </w:rPr>
              <w:t xml:space="preserve">Apply the METT (or similar tool) to wetland parks. </w:t>
            </w:r>
            <w:r w:rsidRPr="00326BB2">
              <w:rPr>
                <w:rFonts w:ascii="Calibri" w:hAnsi="Calibri" w:cs="Calibri"/>
                <w:sz w:val="21"/>
                <w:szCs w:val="21"/>
              </w:rPr>
              <w:t>Wetland parks make up a large proportion of the newly established wetland PA’s; however, METT assessments were not carried out for these types of PA’s under the project.</w:t>
            </w:r>
            <w:r w:rsidRPr="00326BB2">
              <w:rPr>
                <w:rFonts w:ascii="Calibri" w:hAnsi="Calibri" w:cs="Calibri"/>
                <w:b/>
                <w:sz w:val="21"/>
                <w:szCs w:val="21"/>
              </w:rPr>
              <w:t xml:space="preserve"> </w:t>
            </w:r>
          </w:p>
        </w:tc>
        <w:tc>
          <w:tcPr>
            <w:tcW w:w="1418" w:type="dxa"/>
            <w:vAlign w:val="center"/>
          </w:tcPr>
          <w:p w:rsidR="00695417" w:rsidRPr="00326BB2" w:rsidRDefault="00695417" w:rsidP="00695417">
            <w:pPr>
              <w:spacing w:before="40" w:after="40"/>
              <w:jc w:val="center"/>
              <w:rPr>
                <w:rFonts w:ascii="Calibri" w:eastAsia="宋体" w:hAnsi="Calibri" w:cs="Calibri"/>
                <w:b/>
                <w:sz w:val="21"/>
                <w:szCs w:val="21"/>
              </w:rPr>
            </w:pPr>
            <w:r w:rsidRPr="00326BB2">
              <w:rPr>
                <w:rFonts w:ascii="Calibri" w:eastAsia="宋体" w:hAnsi="Calibri" w:cs="Calibri"/>
                <w:b/>
                <w:sz w:val="21"/>
                <w:szCs w:val="21"/>
              </w:rPr>
              <w:t>DWM</w:t>
            </w:r>
          </w:p>
        </w:tc>
        <w:tc>
          <w:tcPr>
            <w:tcW w:w="1842" w:type="dxa"/>
            <w:vAlign w:val="center"/>
          </w:tcPr>
          <w:p w:rsidR="00695417" w:rsidRPr="00326BB2" w:rsidRDefault="00695417" w:rsidP="00EF747B">
            <w:pPr>
              <w:spacing w:before="40" w:after="40"/>
              <w:rPr>
                <w:rFonts w:ascii="Calibri" w:eastAsia="宋体" w:hAnsi="Calibri" w:cs="Calibri"/>
                <w:sz w:val="21"/>
                <w:szCs w:val="21"/>
              </w:rPr>
            </w:pPr>
            <w:r w:rsidRPr="00326BB2">
              <w:rPr>
                <w:rFonts w:ascii="Calibri" w:eastAsia="宋体" w:hAnsi="Calibri" w:cs="Calibri"/>
                <w:sz w:val="21"/>
                <w:szCs w:val="21"/>
              </w:rPr>
              <w:t>Within 1-2 years</w:t>
            </w:r>
          </w:p>
        </w:tc>
        <w:tc>
          <w:tcPr>
            <w:tcW w:w="5812" w:type="dxa"/>
          </w:tcPr>
          <w:p w:rsidR="00695417" w:rsidRPr="00326BB2" w:rsidRDefault="00904BD8" w:rsidP="00323F6A">
            <w:pPr>
              <w:spacing w:before="40" w:after="40"/>
              <w:rPr>
                <w:rFonts w:ascii="Calibri" w:eastAsia="宋体" w:hAnsi="Calibri" w:cs="Calibri"/>
                <w:sz w:val="21"/>
                <w:szCs w:val="21"/>
                <w:lang w:eastAsia="zh-CN"/>
              </w:rPr>
            </w:pPr>
            <w:r w:rsidRPr="00326BB2">
              <w:rPr>
                <w:rFonts w:ascii="Calibri" w:eastAsia="宋体" w:hAnsi="Calibri" w:cs="Calibri"/>
                <w:sz w:val="21"/>
                <w:szCs w:val="21"/>
                <w:lang w:eastAsia="zh-CN"/>
              </w:rPr>
              <w:t>Agreed</w:t>
            </w:r>
            <w:r w:rsidR="0099712B">
              <w:rPr>
                <w:rFonts w:ascii="Calibri" w:eastAsia="宋体" w:hAnsi="Calibri" w:cs="Calibri"/>
                <w:sz w:val="21"/>
                <w:szCs w:val="21"/>
                <w:lang w:eastAsia="zh-CN"/>
              </w:rPr>
              <w:t>. T</w:t>
            </w:r>
            <w:r w:rsidR="0097538D" w:rsidRPr="00326BB2">
              <w:rPr>
                <w:rFonts w:ascii="Calibri" w:eastAsia="宋体" w:hAnsi="Calibri" w:cs="Calibri"/>
                <w:sz w:val="21"/>
                <w:szCs w:val="21"/>
                <w:lang w:eastAsia="zh-CN"/>
              </w:rPr>
              <w:t>he TE report have been submitt</w:t>
            </w:r>
            <w:r w:rsidR="00323F6A" w:rsidRPr="00326BB2">
              <w:rPr>
                <w:rFonts w:ascii="Calibri" w:eastAsia="宋体" w:hAnsi="Calibri" w:cs="Calibri"/>
                <w:sz w:val="21"/>
                <w:szCs w:val="21"/>
                <w:lang w:eastAsia="zh-CN"/>
              </w:rPr>
              <w:t>ed to D</w:t>
            </w:r>
            <w:r w:rsidR="009E2043">
              <w:rPr>
                <w:rFonts w:ascii="Calibri" w:eastAsia="宋体" w:hAnsi="Calibri" w:cs="Calibri"/>
                <w:sz w:val="21"/>
                <w:szCs w:val="21"/>
                <w:lang w:eastAsia="zh-CN"/>
              </w:rPr>
              <w:t xml:space="preserve">epartment of </w:t>
            </w:r>
            <w:r w:rsidR="00323F6A" w:rsidRPr="00326BB2">
              <w:rPr>
                <w:rFonts w:ascii="Calibri" w:eastAsia="宋体" w:hAnsi="Calibri" w:cs="Calibri"/>
                <w:sz w:val="21"/>
                <w:szCs w:val="21"/>
                <w:lang w:eastAsia="zh-CN"/>
              </w:rPr>
              <w:t>W</w:t>
            </w:r>
            <w:r w:rsidR="009E2043">
              <w:rPr>
                <w:rFonts w:ascii="Calibri" w:eastAsia="宋体" w:hAnsi="Calibri" w:cs="Calibri"/>
                <w:sz w:val="21"/>
                <w:szCs w:val="21"/>
                <w:lang w:eastAsia="zh-CN"/>
              </w:rPr>
              <w:t xml:space="preserve">etland </w:t>
            </w:r>
            <w:r w:rsidR="00323F6A" w:rsidRPr="00326BB2">
              <w:rPr>
                <w:rFonts w:ascii="Calibri" w:eastAsia="宋体" w:hAnsi="Calibri" w:cs="Calibri"/>
                <w:sz w:val="21"/>
                <w:szCs w:val="21"/>
                <w:lang w:eastAsia="zh-CN"/>
              </w:rPr>
              <w:t>M</w:t>
            </w:r>
            <w:r w:rsidR="009E2043">
              <w:rPr>
                <w:rFonts w:ascii="Calibri" w:eastAsia="宋体" w:hAnsi="Calibri" w:cs="Calibri"/>
                <w:sz w:val="21"/>
                <w:szCs w:val="21"/>
                <w:lang w:eastAsia="zh-CN"/>
              </w:rPr>
              <w:t>anagement(DWM) of NFGA</w:t>
            </w:r>
            <w:r w:rsidR="00323F6A" w:rsidRPr="00326BB2">
              <w:rPr>
                <w:rFonts w:ascii="Calibri" w:eastAsia="宋体" w:hAnsi="Calibri" w:cs="Calibri"/>
                <w:sz w:val="21"/>
                <w:szCs w:val="21"/>
                <w:lang w:eastAsia="zh-CN"/>
              </w:rPr>
              <w:t xml:space="preserve"> timely after receipt, </w:t>
            </w:r>
            <w:r w:rsidR="0097538D" w:rsidRPr="00326BB2">
              <w:rPr>
                <w:rFonts w:ascii="Calibri" w:eastAsia="宋体" w:hAnsi="Calibri" w:cs="Calibri"/>
                <w:sz w:val="21"/>
                <w:szCs w:val="21"/>
                <w:lang w:eastAsia="zh-CN"/>
              </w:rPr>
              <w:t xml:space="preserve">Mr. Bao </w:t>
            </w:r>
            <w:proofErr w:type="spellStart"/>
            <w:r w:rsidR="0097538D" w:rsidRPr="00326BB2">
              <w:rPr>
                <w:rFonts w:ascii="Calibri" w:eastAsia="宋体" w:hAnsi="Calibri" w:cs="Calibri"/>
                <w:sz w:val="21"/>
                <w:szCs w:val="21"/>
                <w:lang w:eastAsia="zh-CN"/>
              </w:rPr>
              <w:t>Daming</w:t>
            </w:r>
            <w:proofErr w:type="spellEnd"/>
            <w:r w:rsidR="0097538D" w:rsidRPr="00326BB2">
              <w:rPr>
                <w:rFonts w:ascii="Calibri" w:eastAsia="宋体" w:hAnsi="Calibri" w:cs="Calibri"/>
                <w:sz w:val="21"/>
                <w:szCs w:val="21"/>
                <w:lang w:eastAsia="zh-CN"/>
              </w:rPr>
              <w:t xml:space="preserve">, </w:t>
            </w:r>
            <w:r w:rsidR="009E2043">
              <w:rPr>
                <w:rFonts w:ascii="Calibri" w:eastAsia="宋体" w:hAnsi="Calibri" w:cs="Calibri"/>
                <w:sz w:val="21"/>
                <w:szCs w:val="21"/>
                <w:lang w:eastAsia="zh-CN"/>
              </w:rPr>
              <w:t>D</w:t>
            </w:r>
            <w:r w:rsidR="0097538D" w:rsidRPr="00326BB2">
              <w:rPr>
                <w:rFonts w:ascii="Calibri" w:eastAsia="宋体" w:hAnsi="Calibri" w:cs="Calibri"/>
                <w:sz w:val="21"/>
                <w:szCs w:val="21"/>
                <w:lang w:eastAsia="zh-CN"/>
              </w:rPr>
              <w:t xml:space="preserve">eputy </w:t>
            </w:r>
            <w:r w:rsidR="009E2043">
              <w:rPr>
                <w:rFonts w:ascii="Calibri" w:eastAsia="宋体" w:hAnsi="Calibri" w:cs="Calibri"/>
                <w:sz w:val="21"/>
                <w:szCs w:val="21"/>
                <w:lang w:eastAsia="zh-CN"/>
              </w:rPr>
              <w:t>D</w:t>
            </w:r>
            <w:r w:rsidR="0097538D" w:rsidRPr="00326BB2">
              <w:rPr>
                <w:rFonts w:ascii="Calibri" w:eastAsia="宋体" w:hAnsi="Calibri" w:cs="Calibri"/>
                <w:sz w:val="21"/>
                <w:szCs w:val="21"/>
                <w:lang w:eastAsia="zh-CN"/>
              </w:rPr>
              <w:t xml:space="preserve">irector </w:t>
            </w:r>
            <w:r w:rsidR="009E2043">
              <w:rPr>
                <w:rFonts w:ascii="Calibri" w:eastAsia="宋体" w:hAnsi="Calibri" w:cs="Calibri"/>
                <w:sz w:val="21"/>
                <w:szCs w:val="21"/>
                <w:lang w:eastAsia="zh-CN"/>
              </w:rPr>
              <w:t>G</w:t>
            </w:r>
            <w:r w:rsidR="009E2043" w:rsidRPr="00326BB2">
              <w:rPr>
                <w:rFonts w:ascii="Calibri" w:eastAsia="宋体" w:hAnsi="Calibri" w:cs="Calibri"/>
                <w:sz w:val="21"/>
                <w:szCs w:val="21"/>
                <w:lang w:eastAsia="zh-CN"/>
              </w:rPr>
              <w:t xml:space="preserve">eneral </w:t>
            </w:r>
            <w:r w:rsidR="0097538D" w:rsidRPr="00326BB2">
              <w:rPr>
                <w:rFonts w:ascii="Calibri" w:eastAsia="宋体" w:hAnsi="Calibri" w:cs="Calibri"/>
                <w:sz w:val="21"/>
                <w:szCs w:val="21"/>
                <w:lang w:eastAsia="zh-CN"/>
              </w:rPr>
              <w:t>said DWM will make full use of the valuable experience</w:t>
            </w:r>
            <w:r w:rsidR="009E2043">
              <w:rPr>
                <w:rFonts w:ascii="Calibri" w:eastAsia="宋体" w:hAnsi="Calibri" w:cs="Calibri"/>
                <w:sz w:val="21"/>
                <w:szCs w:val="21"/>
                <w:lang w:eastAsia="zh-CN"/>
              </w:rPr>
              <w:t>s and best practices</w:t>
            </w:r>
            <w:r w:rsidR="0097538D" w:rsidRPr="00326BB2">
              <w:rPr>
                <w:rFonts w:ascii="Calibri" w:eastAsia="宋体" w:hAnsi="Calibri" w:cs="Calibri"/>
                <w:sz w:val="21"/>
                <w:szCs w:val="21"/>
                <w:lang w:eastAsia="zh-CN"/>
              </w:rPr>
              <w:t xml:space="preserve"> gained from the implementation of the project over five years and </w:t>
            </w:r>
            <w:r w:rsidR="00B62806" w:rsidRPr="00326BB2">
              <w:rPr>
                <w:rFonts w:ascii="Calibri" w:eastAsia="宋体" w:hAnsi="Calibri" w:cs="Calibri"/>
                <w:sz w:val="21"/>
                <w:szCs w:val="21"/>
                <w:lang w:eastAsia="zh-CN"/>
              </w:rPr>
              <w:t>combine with the current situation of wetland PAs,</w:t>
            </w:r>
            <w:r w:rsidR="009E2043">
              <w:rPr>
                <w:rFonts w:ascii="Calibri" w:eastAsia="宋体" w:hAnsi="Calibri" w:cs="Calibri"/>
                <w:sz w:val="21"/>
                <w:szCs w:val="21"/>
                <w:lang w:eastAsia="zh-CN"/>
              </w:rPr>
              <w:t xml:space="preserve"> </w:t>
            </w:r>
            <w:r w:rsidR="009E2043">
              <w:rPr>
                <w:rFonts w:ascii="Calibri" w:eastAsia="宋体" w:hAnsi="Calibri" w:cs="Calibri" w:hint="eastAsia"/>
                <w:sz w:val="21"/>
                <w:szCs w:val="21"/>
                <w:lang w:eastAsia="zh-CN"/>
              </w:rPr>
              <w:t>In</w:t>
            </w:r>
            <w:r w:rsidR="009E2043">
              <w:rPr>
                <w:rFonts w:ascii="Calibri" w:eastAsia="宋体" w:hAnsi="Calibri" w:cs="Calibri"/>
                <w:sz w:val="21"/>
                <w:szCs w:val="21"/>
                <w:lang w:eastAsia="zh-CN"/>
              </w:rPr>
              <w:t xml:space="preserve">cluding the nature reserves and wetland parks, </w:t>
            </w:r>
            <w:r w:rsidR="00B62806" w:rsidRPr="00326BB2">
              <w:rPr>
                <w:rFonts w:ascii="Calibri" w:eastAsia="宋体" w:hAnsi="Calibri" w:cs="Calibri"/>
                <w:sz w:val="21"/>
                <w:szCs w:val="21"/>
                <w:lang w:eastAsia="zh-CN"/>
              </w:rPr>
              <w:t xml:space="preserve"> the part of METT adapt to be used for wetland PAs in China will be refined and Integrated into</w:t>
            </w:r>
            <w:r w:rsidR="00323F6A" w:rsidRPr="00326BB2">
              <w:rPr>
                <w:rFonts w:ascii="Calibri" w:eastAsia="宋体" w:hAnsi="Calibri" w:cs="Calibri"/>
                <w:sz w:val="21"/>
                <w:szCs w:val="21"/>
                <w:lang w:eastAsia="zh-CN"/>
              </w:rPr>
              <w:t xml:space="preserve"> the M&amp;E tool to extend nationwide through the trainings and workshops.</w:t>
            </w:r>
            <w:r w:rsidR="009E2043">
              <w:rPr>
                <w:rFonts w:ascii="Calibri" w:eastAsia="宋体" w:hAnsi="Calibri" w:cs="Calibri"/>
                <w:sz w:val="21"/>
                <w:szCs w:val="21"/>
                <w:lang w:eastAsia="zh-CN"/>
              </w:rPr>
              <w:t xml:space="preserve"> Furthermore, the Ramsar-METT which was facilitated by Ramsar Convention Secretariat will be applied to all Ramsar </w:t>
            </w:r>
            <w:r w:rsidR="009E2043">
              <w:rPr>
                <w:rFonts w:ascii="Calibri" w:eastAsia="宋体" w:hAnsi="Calibri" w:cs="Calibri" w:hint="eastAsia"/>
                <w:sz w:val="21"/>
                <w:szCs w:val="21"/>
                <w:lang w:eastAsia="zh-CN"/>
              </w:rPr>
              <w:t>Sit</w:t>
            </w:r>
            <w:r w:rsidR="009E2043">
              <w:rPr>
                <w:rFonts w:ascii="Calibri" w:eastAsia="宋体" w:hAnsi="Calibri" w:cs="Calibri"/>
                <w:sz w:val="21"/>
                <w:szCs w:val="21"/>
                <w:lang w:eastAsia="zh-CN"/>
              </w:rPr>
              <w:t>es in China.</w:t>
            </w:r>
          </w:p>
        </w:tc>
      </w:tr>
      <w:tr w:rsidR="00326BB2" w:rsidRPr="00326BB2" w:rsidTr="003F6C5A">
        <w:trPr>
          <w:jc w:val="center"/>
        </w:trPr>
        <w:tc>
          <w:tcPr>
            <w:tcW w:w="562" w:type="dxa"/>
            <w:vAlign w:val="center"/>
          </w:tcPr>
          <w:p w:rsidR="00695417" w:rsidRPr="00326BB2" w:rsidRDefault="00695417" w:rsidP="00695417">
            <w:pPr>
              <w:numPr>
                <w:ilvl w:val="0"/>
                <w:numId w:val="1"/>
              </w:numPr>
              <w:spacing w:before="40" w:after="40"/>
              <w:jc w:val="both"/>
              <w:rPr>
                <w:rFonts w:ascii="Calibri" w:hAnsi="Calibri" w:cs="Calibri"/>
                <w:sz w:val="21"/>
                <w:szCs w:val="21"/>
              </w:rPr>
            </w:pPr>
          </w:p>
        </w:tc>
        <w:tc>
          <w:tcPr>
            <w:tcW w:w="4678" w:type="dxa"/>
            <w:vAlign w:val="center"/>
          </w:tcPr>
          <w:p w:rsidR="00695417" w:rsidRPr="00326BB2" w:rsidRDefault="00695417" w:rsidP="00695417">
            <w:pPr>
              <w:overflowPunct w:val="0"/>
              <w:autoSpaceDE w:val="0"/>
              <w:autoSpaceDN w:val="0"/>
              <w:adjustRightInd w:val="0"/>
              <w:spacing w:before="40" w:after="40"/>
              <w:jc w:val="both"/>
              <w:textAlignment w:val="baseline"/>
              <w:rPr>
                <w:rFonts w:ascii="Calibri" w:hAnsi="Calibri" w:cs="Calibri"/>
                <w:b/>
                <w:sz w:val="21"/>
                <w:szCs w:val="21"/>
              </w:rPr>
            </w:pPr>
            <w:r w:rsidRPr="00326BB2">
              <w:rPr>
                <w:rFonts w:ascii="Calibri" w:hAnsi="Calibri" w:cs="Calibri"/>
                <w:b/>
                <w:sz w:val="21"/>
                <w:szCs w:val="21"/>
              </w:rPr>
              <w:t xml:space="preserve">Finalize a standard procedure for assessing wetlands coverage. </w:t>
            </w:r>
            <w:r w:rsidRPr="00326BB2">
              <w:rPr>
                <w:rFonts w:ascii="Calibri" w:hAnsi="Calibri" w:cs="Calibri"/>
                <w:sz w:val="21"/>
                <w:szCs w:val="21"/>
              </w:rPr>
              <w:t xml:space="preserve">Building upon the pilot </w:t>
            </w:r>
            <w:r w:rsidRPr="00326BB2">
              <w:rPr>
                <w:rFonts w:ascii="Calibri" w:hAnsi="Calibri" w:cs="Calibri"/>
                <w:sz w:val="21"/>
                <w:szCs w:val="21"/>
              </w:rPr>
              <w:lastRenderedPageBreak/>
              <w:t>demonstration of dynamic monitoring implemented on the project, it is important to finalize a standard procedure for assessing wetlands coverage in each province.</w:t>
            </w:r>
          </w:p>
        </w:tc>
        <w:tc>
          <w:tcPr>
            <w:tcW w:w="1418" w:type="dxa"/>
            <w:vAlign w:val="center"/>
          </w:tcPr>
          <w:p w:rsidR="00695417" w:rsidRPr="00326BB2" w:rsidRDefault="00C70A14" w:rsidP="00C70A14">
            <w:pPr>
              <w:spacing w:before="40" w:after="40"/>
              <w:jc w:val="center"/>
              <w:rPr>
                <w:rFonts w:ascii="Calibri" w:eastAsia="宋体" w:hAnsi="Calibri" w:cs="Calibri"/>
                <w:sz w:val="21"/>
                <w:szCs w:val="21"/>
              </w:rPr>
            </w:pPr>
            <w:r w:rsidRPr="00326BB2">
              <w:rPr>
                <w:rFonts w:ascii="Calibri" w:eastAsia="宋体" w:hAnsi="Calibri" w:cs="Calibri"/>
                <w:sz w:val="21"/>
                <w:szCs w:val="21"/>
              </w:rPr>
              <w:lastRenderedPageBreak/>
              <w:t>DWM/</w:t>
            </w:r>
            <w:r w:rsidR="00695417" w:rsidRPr="00326BB2">
              <w:rPr>
                <w:rFonts w:ascii="Calibri" w:eastAsia="宋体" w:hAnsi="Calibri" w:cs="Calibri"/>
                <w:b/>
                <w:sz w:val="21"/>
                <w:szCs w:val="21"/>
              </w:rPr>
              <w:t>NFGA</w:t>
            </w:r>
            <w:r w:rsidR="00695417" w:rsidRPr="00326BB2">
              <w:rPr>
                <w:rFonts w:ascii="Calibri" w:eastAsia="宋体" w:hAnsi="Calibri" w:cs="Calibri"/>
                <w:sz w:val="21"/>
                <w:szCs w:val="21"/>
              </w:rPr>
              <w:t xml:space="preserve">, </w:t>
            </w:r>
            <w:r w:rsidRPr="00326BB2">
              <w:rPr>
                <w:rFonts w:ascii="Calibri" w:eastAsia="宋体" w:hAnsi="Calibri" w:cs="Calibri"/>
                <w:sz w:val="21"/>
                <w:szCs w:val="21"/>
              </w:rPr>
              <w:t>MN</w:t>
            </w:r>
            <w:r w:rsidR="00B40FEC" w:rsidRPr="00326BB2">
              <w:rPr>
                <w:rFonts w:ascii="Calibri" w:eastAsia="宋体" w:hAnsi="Calibri" w:cs="Calibri"/>
                <w:sz w:val="21"/>
                <w:szCs w:val="21"/>
              </w:rPr>
              <w:t>R</w:t>
            </w:r>
          </w:p>
        </w:tc>
        <w:tc>
          <w:tcPr>
            <w:tcW w:w="1842" w:type="dxa"/>
            <w:vAlign w:val="center"/>
          </w:tcPr>
          <w:p w:rsidR="00695417" w:rsidRPr="00326BB2" w:rsidRDefault="00695417" w:rsidP="00EF747B">
            <w:pPr>
              <w:spacing w:before="40" w:after="40"/>
              <w:rPr>
                <w:rFonts w:ascii="Calibri" w:eastAsia="宋体" w:hAnsi="Calibri" w:cs="Calibri"/>
                <w:sz w:val="21"/>
                <w:szCs w:val="21"/>
              </w:rPr>
            </w:pPr>
            <w:r w:rsidRPr="00326BB2">
              <w:rPr>
                <w:rFonts w:ascii="Calibri" w:eastAsia="宋体" w:hAnsi="Calibri" w:cs="Calibri"/>
                <w:sz w:val="21"/>
                <w:szCs w:val="21"/>
              </w:rPr>
              <w:t>Within 1-2 years</w:t>
            </w:r>
          </w:p>
        </w:tc>
        <w:tc>
          <w:tcPr>
            <w:tcW w:w="5812" w:type="dxa"/>
          </w:tcPr>
          <w:p w:rsidR="00695417" w:rsidRPr="00326BB2" w:rsidRDefault="00E3535F" w:rsidP="001D232C">
            <w:pPr>
              <w:spacing w:before="40" w:after="40"/>
              <w:rPr>
                <w:rFonts w:ascii="Calibri" w:eastAsia="宋体" w:hAnsi="Calibri" w:cs="Calibri"/>
                <w:sz w:val="21"/>
                <w:szCs w:val="21"/>
                <w:lang w:eastAsia="zh-CN"/>
              </w:rPr>
            </w:pPr>
            <w:r w:rsidRPr="00326BB2">
              <w:rPr>
                <w:rFonts w:ascii="Calibri" w:eastAsia="宋体" w:hAnsi="Calibri" w:cs="Calibri" w:hint="eastAsia"/>
                <w:sz w:val="21"/>
                <w:szCs w:val="21"/>
                <w:lang w:eastAsia="zh-CN"/>
              </w:rPr>
              <w:t>A</w:t>
            </w:r>
            <w:r w:rsidRPr="00326BB2">
              <w:rPr>
                <w:rFonts w:ascii="Calibri" w:eastAsia="宋体" w:hAnsi="Calibri" w:cs="Calibri"/>
                <w:sz w:val="21"/>
                <w:szCs w:val="21"/>
                <w:lang w:eastAsia="zh-CN"/>
              </w:rPr>
              <w:t>greed</w:t>
            </w:r>
            <w:r w:rsidR="00A7539E">
              <w:rPr>
                <w:rFonts w:ascii="Calibri" w:eastAsia="宋体" w:hAnsi="Calibri" w:cs="Calibri" w:hint="eastAsia"/>
                <w:sz w:val="21"/>
                <w:szCs w:val="21"/>
                <w:lang w:eastAsia="zh-CN"/>
              </w:rPr>
              <w:t>.</w:t>
            </w:r>
            <w:r w:rsidRPr="00326BB2">
              <w:rPr>
                <w:rFonts w:ascii="Calibri" w:eastAsia="宋体" w:hAnsi="Calibri" w:cs="Calibri"/>
                <w:sz w:val="21"/>
                <w:szCs w:val="21"/>
                <w:lang w:eastAsia="zh-CN"/>
              </w:rPr>
              <w:t xml:space="preserve"> </w:t>
            </w:r>
            <w:r w:rsidR="00A7539E">
              <w:rPr>
                <w:rFonts w:ascii="Calibri" w:eastAsia="宋体" w:hAnsi="Calibri" w:cs="Calibri"/>
                <w:sz w:val="21"/>
                <w:szCs w:val="21"/>
                <w:lang w:eastAsia="zh-CN"/>
              </w:rPr>
              <w:t>T</w:t>
            </w:r>
            <w:r w:rsidRPr="00326BB2">
              <w:rPr>
                <w:rFonts w:ascii="Calibri" w:eastAsia="宋体" w:hAnsi="Calibri" w:cs="Calibri"/>
                <w:sz w:val="21"/>
                <w:szCs w:val="21"/>
                <w:lang w:eastAsia="zh-CN"/>
              </w:rPr>
              <w:t xml:space="preserve">he successful pilot demonstration of dynamic monitoring implemented on the project have been extended to </w:t>
            </w:r>
            <w:r w:rsidRPr="00326BB2">
              <w:rPr>
                <w:rFonts w:ascii="Calibri" w:eastAsia="宋体" w:hAnsi="Calibri" w:cs="Calibri"/>
                <w:sz w:val="21"/>
                <w:szCs w:val="21"/>
                <w:lang w:eastAsia="zh-CN"/>
              </w:rPr>
              <w:lastRenderedPageBreak/>
              <w:t>other provinces by DWM, and also has been used for the third national land survey</w:t>
            </w:r>
            <w:r w:rsidR="006D26AE" w:rsidRPr="00326BB2">
              <w:rPr>
                <w:rFonts w:ascii="Calibri" w:eastAsia="宋体" w:hAnsi="Calibri" w:cs="Calibri"/>
                <w:sz w:val="21"/>
                <w:szCs w:val="21"/>
                <w:lang w:eastAsia="zh-CN"/>
              </w:rPr>
              <w:t xml:space="preserve"> organized by M</w:t>
            </w:r>
            <w:r w:rsidR="00A7539E">
              <w:rPr>
                <w:rFonts w:ascii="Calibri" w:eastAsia="宋体" w:hAnsi="Calibri" w:cs="Calibri"/>
                <w:sz w:val="21"/>
                <w:szCs w:val="21"/>
                <w:lang w:eastAsia="zh-CN"/>
              </w:rPr>
              <w:t xml:space="preserve">inistry of </w:t>
            </w:r>
            <w:r w:rsidR="006D26AE" w:rsidRPr="00326BB2">
              <w:rPr>
                <w:rFonts w:ascii="Calibri" w:eastAsia="宋体" w:hAnsi="Calibri" w:cs="Calibri"/>
                <w:sz w:val="21"/>
                <w:szCs w:val="21"/>
                <w:lang w:eastAsia="zh-CN"/>
              </w:rPr>
              <w:t>N</w:t>
            </w:r>
            <w:r w:rsidR="00A7539E">
              <w:rPr>
                <w:rFonts w:ascii="Calibri" w:eastAsia="宋体" w:hAnsi="Calibri" w:cs="Calibri"/>
                <w:sz w:val="21"/>
                <w:szCs w:val="21"/>
                <w:lang w:eastAsia="zh-CN"/>
              </w:rPr>
              <w:t xml:space="preserve">atural </w:t>
            </w:r>
            <w:r w:rsidR="006D26AE" w:rsidRPr="00326BB2">
              <w:rPr>
                <w:rFonts w:ascii="Calibri" w:eastAsia="宋体" w:hAnsi="Calibri" w:cs="Calibri"/>
                <w:sz w:val="21"/>
                <w:szCs w:val="21"/>
                <w:lang w:eastAsia="zh-CN"/>
              </w:rPr>
              <w:t>R</w:t>
            </w:r>
            <w:r w:rsidR="00A7539E">
              <w:rPr>
                <w:rFonts w:ascii="Calibri" w:eastAsia="宋体" w:hAnsi="Calibri" w:cs="Calibri"/>
                <w:sz w:val="21"/>
                <w:szCs w:val="21"/>
                <w:lang w:eastAsia="zh-CN"/>
              </w:rPr>
              <w:t xml:space="preserve">esources </w:t>
            </w:r>
            <w:r w:rsidRPr="00326BB2">
              <w:rPr>
                <w:rFonts w:ascii="Calibri" w:eastAsia="宋体" w:hAnsi="Calibri" w:cs="Calibri"/>
                <w:sz w:val="21"/>
                <w:szCs w:val="21"/>
                <w:lang w:eastAsia="zh-CN"/>
              </w:rPr>
              <w:t>(</w:t>
            </w:r>
            <w:r w:rsidR="00A7539E">
              <w:rPr>
                <w:rFonts w:ascii="Calibri" w:eastAsia="宋体" w:hAnsi="Calibri" w:cs="Calibri"/>
                <w:sz w:val="21"/>
                <w:szCs w:val="21"/>
                <w:lang w:eastAsia="zh-CN"/>
              </w:rPr>
              <w:t>“</w:t>
            </w:r>
            <w:r w:rsidRPr="00326BB2">
              <w:rPr>
                <w:rFonts w:ascii="Calibri" w:eastAsia="宋体" w:hAnsi="Calibri" w:cs="Calibri"/>
                <w:sz w:val="21"/>
                <w:szCs w:val="21"/>
                <w:lang w:eastAsia="zh-CN"/>
              </w:rPr>
              <w:t>wetland</w:t>
            </w:r>
            <w:r w:rsidR="00A7539E">
              <w:rPr>
                <w:rFonts w:ascii="Calibri" w:eastAsia="宋体" w:hAnsi="Calibri" w:cs="Calibri"/>
                <w:sz w:val="21"/>
                <w:szCs w:val="21"/>
                <w:lang w:eastAsia="zh-CN"/>
              </w:rPr>
              <w:t>” type</w:t>
            </w:r>
            <w:r w:rsidRPr="00326BB2">
              <w:rPr>
                <w:rFonts w:ascii="Calibri" w:eastAsia="宋体" w:hAnsi="Calibri" w:cs="Calibri"/>
                <w:sz w:val="21"/>
                <w:szCs w:val="21"/>
                <w:lang w:eastAsia="zh-CN"/>
              </w:rPr>
              <w:t xml:space="preserve"> </w:t>
            </w:r>
            <w:r w:rsidR="00A7539E">
              <w:rPr>
                <w:rFonts w:ascii="Calibri" w:eastAsia="宋体" w:hAnsi="Calibri" w:cs="Calibri"/>
                <w:sz w:val="21"/>
                <w:szCs w:val="21"/>
                <w:lang w:eastAsia="zh-CN"/>
              </w:rPr>
              <w:t>in updated land use category</w:t>
            </w:r>
            <w:r w:rsidRPr="00326BB2">
              <w:rPr>
                <w:rFonts w:ascii="Calibri" w:eastAsia="宋体" w:hAnsi="Calibri" w:cs="Calibri"/>
                <w:sz w:val="21"/>
                <w:szCs w:val="21"/>
                <w:lang w:eastAsia="zh-CN"/>
              </w:rPr>
              <w:t>)</w:t>
            </w:r>
            <w:r w:rsidR="00665F26" w:rsidRPr="00326BB2">
              <w:rPr>
                <w:rFonts w:ascii="Calibri" w:eastAsia="宋体" w:hAnsi="Calibri" w:cs="Calibri"/>
                <w:sz w:val="21"/>
                <w:szCs w:val="21"/>
                <w:lang w:eastAsia="zh-CN"/>
              </w:rPr>
              <w:t xml:space="preserve">, this is very important </w:t>
            </w:r>
            <w:r w:rsidR="001D232C" w:rsidRPr="00326BB2">
              <w:rPr>
                <w:rFonts w:ascii="Calibri" w:eastAsia="宋体" w:hAnsi="Calibri" w:cs="Calibri"/>
                <w:sz w:val="21"/>
                <w:szCs w:val="21"/>
                <w:lang w:eastAsia="zh-CN"/>
              </w:rPr>
              <w:t xml:space="preserve">reference </w:t>
            </w:r>
            <w:r w:rsidR="00665F26" w:rsidRPr="00326BB2">
              <w:rPr>
                <w:rFonts w:ascii="Calibri" w:eastAsia="宋体" w:hAnsi="Calibri" w:cs="Calibri"/>
                <w:sz w:val="21"/>
                <w:szCs w:val="21"/>
                <w:lang w:eastAsia="zh-CN"/>
              </w:rPr>
              <w:t xml:space="preserve">for DWM to use to </w:t>
            </w:r>
            <w:r w:rsidR="001D232C" w:rsidRPr="00326BB2">
              <w:rPr>
                <w:rFonts w:ascii="Calibri" w:eastAsia="宋体" w:hAnsi="Calibri" w:cs="Calibri"/>
                <w:sz w:val="21"/>
                <w:szCs w:val="21"/>
                <w:lang w:eastAsia="zh-CN"/>
              </w:rPr>
              <w:t>make a standard procedure for assessing wetlands coverage.</w:t>
            </w:r>
            <w:r w:rsidRPr="00326BB2">
              <w:rPr>
                <w:rFonts w:ascii="Calibri" w:eastAsia="宋体" w:hAnsi="Calibri" w:cs="Calibri"/>
                <w:sz w:val="21"/>
                <w:szCs w:val="21"/>
                <w:lang w:eastAsia="zh-CN"/>
              </w:rPr>
              <w:t xml:space="preserve"> </w:t>
            </w:r>
          </w:p>
        </w:tc>
      </w:tr>
      <w:tr w:rsidR="00695417" w:rsidRPr="00326BB2" w:rsidTr="003F6C5A">
        <w:trPr>
          <w:jc w:val="center"/>
        </w:trPr>
        <w:tc>
          <w:tcPr>
            <w:tcW w:w="8500" w:type="dxa"/>
            <w:gridSpan w:val="4"/>
            <w:shd w:val="clear" w:color="auto" w:fill="auto"/>
            <w:vAlign w:val="center"/>
          </w:tcPr>
          <w:p w:rsidR="00695417" w:rsidRPr="00326BB2" w:rsidRDefault="00695417" w:rsidP="00EF747B">
            <w:pPr>
              <w:spacing w:before="40" w:after="40"/>
              <w:rPr>
                <w:rFonts w:ascii="Calibri" w:eastAsia="宋体" w:hAnsi="Calibri" w:cs="Calibri"/>
                <w:b/>
                <w:sz w:val="21"/>
                <w:szCs w:val="21"/>
              </w:rPr>
            </w:pPr>
            <w:r w:rsidRPr="00326BB2">
              <w:rPr>
                <w:rFonts w:ascii="Calibri" w:eastAsia="宋体" w:hAnsi="Calibri" w:cs="Calibri"/>
                <w:b/>
                <w:sz w:val="21"/>
                <w:szCs w:val="21"/>
              </w:rPr>
              <w:lastRenderedPageBreak/>
              <w:t>Proposals for future directions underlining main objectives</w:t>
            </w:r>
          </w:p>
        </w:tc>
        <w:tc>
          <w:tcPr>
            <w:tcW w:w="5812" w:type="dxa"/>
          </w:tcPr>
          <w:p w:rsidR="00695417" w:rsidRPr="00326BB2" w:rsidRDefault="00695417" w:rsidP="00695417">
            <w:pPr>
              <w:spacing w:before="40" w:after="40"/>
              <w:jc w:val="both"/>
              <w:rPr>
                <w:rFonts w:ascii="Calibri" w:eastAsia="宋体" w:hAnsi="Calibri" w:cs="Calibri"/>
                <w:b/>
                <w:sz w:val="21"/>
                <w:szCs w:val="21"/>
              </w:rPr>
            </w:pPr>
          </w:p>
        </w:tc>
      </w:tr>
      <w:tr w:rsidR="00326BB2" w:rsidRPr="00326BB2" w:rsidTr="003F6C5A">
        <w:trPr>
          <w:jc w:val="center"/>
        </w:trPr>
        <w:tc>
          <w:tcPr>
            <w:tcW w:w="562" w:type="dxa"/>
            <w:vAlign w:val="center"/>
          </w:tcPr>
          <w:p w:rsidR="00695417" w:rsidRPr="00326BB2" w:rsidRDefault="00695417" w:rsidP="00695417">
            <w:pPr>
              <w:numPr>
                <w:ilvl w:val="0"/>
                <w:numId w:val="1"/>
              </w:numPr>
              <w:spacing w:before="40" w:after="40"/>
              <w:jc w:val="both"/>
              <w:rPr>
                <w:rFonts w:ascii="Calibri" w:hAnsi="Calibri" w:cs="Calibri"/>
                <w:sz w:val="21"/>
                <w:szCs w:val="21"/>
              </w:rPr>
            </w:pPr>
          </w:p>
        </w:tc>
        <w:tc>
          <w:tcPr>
            <w:tcW w:w="4678" w:type="dxa"/>
            <w:vAlign w:val="center"/>
          </w:tcPr>
          <w:p w:rsidR="00695417" w:rsidRPr="00326BB2" w:rsidRDefault="00695417" w:rsidP="00695417">
            <w:pPr>
              <w:spacing w:before="40" w:after="40"/>
              <w:jc w:val="both"/>
              <w:rPr>
                <w:rFonts w:ascii="Calibri" w:eastAsia="宋体" w:hAnsi="Calibri" w:cs="Calibri"/>
                <w:sz w:val="21"/>
                <w:szCs w:val="21"/>
              </w:rPr>
            </w:pPr>
            <w:r w:rsidRPr="00326BB2">
              <w:rPr>
                <w:rFonts w:ascii="Calibri" w:eastAsia="宋体" w:hAnsi="Calibri" w:cs="Calibri"/>
                <w:b/>
                <w:sz w:val="21"/>
                <w:szCs w:val="21"/>
              </w:rPr>
              <w:t>Carry out a national level assessment of the wetland PA sub-system and develop an expansion strategy</w:t>
            </w:r>
            <w:r w:rsidRPr="00326BB2">
              <w:rPr>
                <w:rFonts w:ascii="Calibri" w:eastAsia="宋体" w:hAnsi="Calibri" w:cs="Calibri"/>
                <w:sz w:val="21"/>
                <w:szCs w:val="21"/>
              </w:rPr>
              <w:t>. Much of the expansion of the wetland PA sub-system has been through establishment of wetland parks, and it is uncertain how these parks are contributing towards objectives associated with biodiversity conservation and protection of ecological functions and services. The national level assessment should be used in the development of a national wetland PA sub-system expansion strategy.</w:t>
            </w:r>
          </w:p>
        </w:tc>
        <w:tc>
          <w:tcPr>
            <w:tcW w:w="1418" w:type="dxa"/>
            <w:vAlign w:val="center"/>
          </w:tcPr>
          <w:p w:rsidR="00695417" w:rsidRPr="00326BB2" w:rsidRDefault="00695417" w:rsidP="00B37569">
            <w:pPr>
              <w:spacing w:before="40" w:after="40"/>
              <w:jc w:val="center"/>
              <w:rPr>
                <w:rFonts w:ascii="Calibri" w:eastAsia="宋体" w:hAnsi="Calibri" w:cs="Calibri"/>
                <w:sz w:val="21"/>
                <w:szCs w:val="21"/>
              </w:rPr>
            </w:pPr>
            <w:r w:rsidRPr="00326BB2">
              <w:rPr>
                <w:rFonts w:ascii="Calibri" w:eastAsia="宋体" w:hAnsi="Calibri" w:cs="Calibri"/>
                <w:b/>
                <w:sz w:val="21"/>
                <w:szCs w:val="21"/>
              </w:rPr>
              <w:t>NFGA</w:t>
            </w:r>
          </w:p>
        </w:tc>
        <w:tc>
          <w:tcPr>
            <w:tcW w:w="1842" w:type="dxa"/>
            <w:vAlign w:val="center"/>
          </w:tcPr>
          <w:p w:rsidR="00695417" w:rsidRPr="00326BB2" w:rsidRDefault="00695417" w:rsidP="00EF747B">
            <w:pPr>
              <w:spacing w:before="40" w:after="40"/>
              <w:rPr>
                <w:rFonts w:ascii="Calibri" w:eastAsia="宋体" w:hAnsi="Calibri" w:cs="Calibri"/>
                <w:sz w:val="21"/>
                <w:szCs w:val="21"/>
              </w:rPr>
            </w:pPr>
            <w:r w:rsidRPr="00326BB2">
              <w:rPr>
                <w:rFonts w:ascii="Calibri" w:eastAsia="宋体" w:hAnsi="Calibri" w:cs="Calibri"/>
                <w:sz w:val="21"/>
                <w:szCs w:val="21"/>
              </w:rPr>
              <w:t>Within 5 years</w:t>
            </w:r>
          </w:p>
        </w:tc>
        <w:tc>
          <w:tcPr>
            <w:tcW w:w="5812" w:type="dxa"/>
          </w:tcPr>
          <w:p w:rsidR="00E46598" w:rsidRPr="00326BB2" w:rsidRDefault="00122BF7" w:rsidP="00E46598">
            <w:pPr>
              <w:spacing w:before="40" w:after="40"/>
              <w:rPr>
                <w:rFonts w:ascii="Calibri" w:eastAsia="宋体" w:hAnsi="Calibri" w:cs="Calibri"/>
                <w:sz w:val="21"/>
                <w:szCs w:val="21"/>
                <w:lang w:eastAsia="zh-CN"/>
              </w:rPr>
            </w:pPr>
            <w:r w:rsidRPr="00326BB2">
              <w:rPr>
                <w:rFonts w:ascii="Calibri" w:eastAsia="宋体" w:hAnsi="Calibri" w:cs="Calibri"/>
                <w:sz w:val="21"/>
                <w:szCs w:val="21"/>
                <w:lang w:eastAsia="zh-CN"/>
              </w:rPr>
              <w:t>Agreed</w:t>
            </w:r>
            <w:r w:rsidR="00A7539E">
              <w:rPr>
                <w:rFonts w:ascii="Calibri" w:eastAsia="宋体" w:hAnsi="Calibri" w:cs="Calibri"/>
                <w:sz w:val="21"/>
                <w:szCs w:val="21"/>
                <w:lang w:eastAsia="zh-CN"/>
              </w:rPr>
              <w:t xml:space="preserve">. </w:t>
            </w:r>
            <w:r w:rsidR="00E46598" w:rsidRPr="00326BB2">
              <w:rPr>
                <w:rFonts w:ascii="Calibri" w:eastAsia="宋体" w:hAnsi="Calibri" w:cs="Calibri"/>
                <w:sz w:val="21"/>
                <w:szCs w:val="21"/>
                <w:lang w:eastAsia="zh-CN"/>
              </w:rPr>
              <w:t xml:space="preserve">The National Forestry and Grassland Administration formally established in 2018 </w:t>
            </w:r>
            <w:r w:rsidR="00A7539E">
              <w:rPr>
                <w:rFonts w:ascii="Calibri" w:eastAsia="宋体" w:hAnsi="Calibri" w:cs="Calibri"/>
                <w:sz w:val="21"/>
                <w:szCs w:val="21"/>
                <w:lang w:eastAsia="zh-CN"/>
              </w:rPr>
              <w:t xml:space="preserve">during </w:t>
            </w:r>
            <w:r w:rsidR="00E46598" w:rsidRPr="00326BB2">
              <w:rPr>
                <w:rFonts w:ascii="Calibri" w:eastAsia="宋体" w:hAnsi="Calibri" w:cs="Calibri"/>
                <w:sz w:val="21"/>
                <w:szCs w:val="21"/>
                <w:lang w:eastAsia="zh-CN"/>
              </w:rPr>
              <w:t xml:space="preserve">the </w:t>
            </w:r>
            <w:r w:rsidR="00A7539E">
              <w:rPr>
                <w:rFonts w:ascii="Calibri" w:eastAsia="宋体" w:hAnsi="Calibri" w:cs="Calibri"/>
                <w:sz w:val="21"/>
                <w:szCs w:val="21"/>
                <w:lang w:eastAsia="zh-CN"/>
              </w:rPr>
              <w:t xml:space="preserve">national </w:t>
            </w:r>
            <w:r w:rsidR="00E46598" w:rsidRPr="00326BB2">
              <w:rPr>
                <w:rFonts w:ascii="Calibri" w:eastAsia="宋体" w:hAnsi="Calibri" w:cs="Calibri"/>
                <w:sz w:val="21"/>
                <w:szCs w:val="21"/>
                <w:lang w:eastAsia="zh-CN"/>
              </w:rPr>
              <w:t>institutional reform and the main responsibility is earnestly intensify the protection of the ecosystem, carry out important ecosystem protection and restoration projects, strengthen the overall coordination of the supervision and management of forest, grassland and wetlands, vigorously promote land greening and safeguard the national ecological security. The establishment of a protected area system with a focus on national parks will be accelerated. All kinds of protected areas will be conscientiously sorted out, standardized and integrated in a united way, and a consistent, standardized and efficient national park system will be set up with Chinese characteristics.</w:t>
            </w:r>
          </w:p>
          <w:p w:rsidR="00695417" w:rsidRPr="00326BB2" w:rsidRDefault="00E46598" w:rsidP="00E46598">
            <w:pPr>
              <w:spacing w:before="40" w:after="40"/>
              <w:rPr>
                <w:rFonts w:ascii="Calibri" w:eastAsia="宋体" w:hAnsi="Calibri" w:cs="Calibri"/>
                <w:sz w:val="21"/>
                <w:szCs w:val="21"/>
                <w:lang w:eastAsia="zh-CN"/>
              </w:rPr>
            </w:pPr>
            <w:r w:rsidRPr="00326BB2">
              <w:rPr>
                <w:rFonts w:ascii="Calibri" w:eastAsia="宋体" w:hAnsi="Calibri" w:cs="Calibri"/>
                <w:sz w:val="21"/>
                <w:szCs w:val="21"/>
                <w:lang w:eastAsia="zh-CN"/>
              </w:rPr>
              <w:t xml:space="preserve">And responsible for the supervision and management of all kinds of protected areas. To draw up plans and related national standards for different protected areas. To </w:t>
            </w:r>
            <w:proofErr w:type="gramStart"/>
            <w:r w:rsidRPr="00326BB2">
              <w:rPr>
                <w:rFonts w:ascii="Calibri" w:eastAsia="宋体" w:hAnsi="Calibri" w:cs="Calibri"/>
                <w:sz w:val="21"/>
                <w:szCs w:val="21"/>
                <w:lang w:eastAsia="zh-CN"/>
              </w:rPr>
              <w:t>be in charge of</w:t>
            </w:r>
            <w:proofErr w:type="gramEnd"/>
            <w:r w:rsidRPr="00326BB2">
              <w:rPr>
                <w:rFonts w:ascii="Calibri" w:eastAsia="宋体" w:hAnsi="Calibri" w:cs="Calibri"/>
                <w:sz w:val="21"/>
                <w:szCs w:val="21"/>
                <w:lang w:eastAsia="zh-CN"/>
              </w:rPr>
              <w:t xml:space="preserve"> the </w:t>
            </w:r>
            <w:r w:rsidRPr="00326BB2">
              <w:rPr>
                <w:rFonts w:ascii="Calibri" w:eastAsia="宋体" w:hAnsi="Calibri" w:cs="Calibri"/>
                <w:sz w:val="21"/>
                <w:szCs w:val="21"/>
                <w:lang w:eastAsia="zh-CN"/>
              </w:rPr>
              <w:lastRenderedPageBreak/>
              <w:t>establishment, plan and construction and concession of national parks. To be responsible for the asset management of the natural resource of protected areas such as national parks where the central government directly exercises their ownership, and for the national land use. To put forth review and proposal and submit for approval according to stipulated procedure for new establishment or adjustment of national-level protected areas. To organize and appraise the applications for the World Natural Heritage, and appraise, jointly with other organizations concerned, the applications for both the World Natural Heritage and World Cultural Heritage. To be responsible for the related work of biodiversity conservation.</w:t>
            </w:r>
          </w:p>
          <w:p w:rsidR="005732B0" w:rsidRPr="00326BB2" w:rsidRDefault="005732B0" w:rsidP="005F3542">
            <w:pPr>
              <w:spacing w:before="40" w:after="40"/>
              <w:rPr>
                <w:rFonts w:ascii="Calibri" w:eastAsia="宋体" w:hAnsi="Calibri" w:cs="Calibri"/>
                <w:sz w:val="21"/>
                <w:szCs w:val="21"/>
                <w:lang w:eastAsia="zh-CN"/>
              </w:rPr>
            </w:pPr>
            <w:r w:rsidRPr="00326BB2">
              <w:rPr>
                <w:rFonts w:ascii="Calibri" w:eastAsia="宋体" w:hAnsi="Calibri" w:cs="Calibri"/>
                <w:sz w:val="21"/>
                <w:szCs w:val="21"/>
                <w:lang w:eastAsia="zh-CN"/>
              </w:rPr>
              <w:t>Currently, China has about 11,800 PAs of various types, accounting for 18% of the country's land area. In the coming years, NFGA will focus on analyzing conservation gaps and integrating various protected areas to</w:t>
            </w:r>
            <w:r w:rsidR="0058050C" w:rsidRPr="00326BB2">
              <w:rPr>
                <w:rFonts w:ascii="Calibri" w:eastAsia="宋体" w:hAnsi="Calibri" w:cs="Calibri"/>
                <w:sz w:val="21"/>
                <w:szCs w:val="21"/>
                <w:lang w:eastAsia="zh-CN"/>
              </w:rPr>
              <w:t xml:space="preserve"> develop an expansion strategy</w:t>
            </w:r>
            <w:r w:rsidR="00CB7D3F" w:rsidRPr="00326BB2">
              <w:rPr>
                <w:rFonts w:ascii="Calibri" w:eastAsia="宋体" w:hAnsi="Calibri" w:cs="Calibri"/>
                <w:sz w:val="21"/>
                <w:szCs w:val="21"/>
                <w:lang w:eastAsia="zh-CN"/>
              </w:rPr>
              <w:t xml:space="preserve"> and the ecological functions and services of different types PAs will be assessed, including wetland PA sub-system.</w:t>
            </w:r>
            <w:r w:rsidR="005F3542" w:rsidRPr="00326BB2">
              <w:rPr>
                <w:rFonts w:ascii="Calibri" w:eastAsia="宋体" w:hAnsi="Calibri" w:cs="Calibri"/>
                <w:sz w:val="21"/>
                <w:szCs w:val="21"/>
                <w:lang w:eastAsia="zh-CN"/>
              </w:rPr>
              <w:t xml:space="preserve"> The national level assessment will </w:t>
            </w:r>
            <w:r w:rsidR="0057309D">
              <w:rPr>
                <w:rFonts w:ascii="Calibri" w:eastAsia="宋体" w:hAnsi="Calibri" w:cs="Calibri"/>
                <w:sz w:val="21"/>
                <w:szCs w:val="21"/>
                <w:lang w:eastAsia="zh-CN"/>
              </w:rPr>
              <w:t xml:space="preserve">also </w:t>
            </w:r>
            <w:r w:rsidR="000B7D9D">
              <w:rPr>
                <w:rFonts w:ascii="Calibri" w:eastAsia="宋体" w:hAnsi="Calibri" w:cs="Calibri"/>
                <w:sz w:val="21"/>
                <w:szCs w:val="21"/>
                <w:lang w:eastAsia="zh-CN"/>
              </w:rPr>
              <w:t>contribute</w:t>
            </w:r>
            <w:r w:rsidR="005F3542" w:rsidRPr="00326BB2">
              <w:rPr>
                <w:rFonts w:ascii="Calibri" w:eastAsia="宋体" w:hAnsi="Calibri" w:cs="Calibri"/>
                <w:sz w:val="21"/>
                <w:szCs w:val="21"/>
                <w:lang w:eastAsia="zh-CN"/>
              </w:rPr>
              <w:t xml:space="preserve"> </w:t>
            </w:r>
            <w:r w:rsidR="0057309D">
              <w:rPr>
                <w:rFonts w:ascii="Calibri" w:eastAsia="宋体" w:hAnsi="Calibri" w:cs="Calibri"/>
                <w:sz w:val="21"/>
                <w:szCs w:val="21"/>
                <w:lang w:eastAsia="zh-CN"/>
              </w:rPr>
              <w:t>to the</w:t>
            </w:r>
            <w:r w:rsidR="005F3542" w:rsidRPr="00326BB2">
              <w:rPr>
                <w:rFonts w:ascii="Calibri" w:eastAsia="宋体" w:hAnsi="Calibri" w:cs="Calibri"/>
                <w:sz w:val="21"/>
                <w:szCs w:val="21"/>
                <w:lang w:eastAsia="zh-CN"/>
              </w:rPr>
              <w:t xml:space="preserve"> development of a national wetland PA sub-system expansion strategy. </w:t>
            </w:r>
          </w:p>
        </w:tc>
      </w:tr>
    </w:tbl>
    <w:p w:rsidR="000A1BF4" w:rsidRPr="005639C0" w:rsidRDefault="000A1BF4" w:rsidP="006C4FE3">
      <w:pPr>
        <w:tabs>
          <w:tab w:val="left" w:pos="284"/>
          <w:tab w:val="left" w:pos="567"/>
          <w:tab w:val="left" w:pos="851"/>
          <w:tab w:val="left" w:pos="1701"/>
          <w:tab w:val="left" w:pos="2835"/>
          <w:tab w:val="right" w:leader="dot" w:pos="8505"/>
        </w:tabs>
        <w:spacing w:after="240" w:line="312" w:lineRule="auto"/>
        <w:jc w:val="both"/>
        <w:rPr>
          <w:lang w:eastAsia="zh-CN"/>
        </w:rPr>
      </w:pPr>
    </w:p>
    <w:sectPr w:rsidR="000A1BF4" w:rsidRPr="005639C0" w:rsidSect="00D17481">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56F" w:rsidRDefault="00FE756F" w:rsidP="00026E9A">
      <w:r>
        <w:separator/>
      </w:r>
    </w:p>
  </w:endnote>
  <w:endnote w:type="continuationSeparator" w:id="0">
    <w:p w:rsidR="00FE756F" w:rsidRDefault="00FE756F" w:rsidP="0002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56F" w:rsidRDefault="00FE756F" w:rsidP="00026E9A">
      <w:r>
        <w:separator/>
      </w:r>
    </w:p>
  </w:footnote>
  <w:footnote w:type="continuationSeparator" w:id="0">
    <w:p w:rsidR="00FE756F" w:rsidRDefault="00FE756F" w:rsidP="00026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16E6"/>
    <w:multiLevelType w:val="hybridMultilevel"/>
    <w:tmpl w:val="EBB66D5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9A"/>
    <w:rsid w:val="00002332"/>
    <w:rsid w:val="00002C37"/>
    <w:rsid w:val="0000481D"/>
    <w:rsid w:val="00015E1B"/>
    <w:rsid w:val="00017E6D"/>
    <w:rsid w:val="00024EE1"/>
    <w:rsid w:val="00026E9A"/>
    <w:rsid w:val="00035BF0"/>
    <w:rsid w:val="00037BAC"/>
    <w:rsid w:val="00041D8A"/>
    <w:rsid w:val="00042168"/>
    <w:rsid w:val="00053864"/>
    <w:rsid w:val="00066DED"/>
    <w:rsid w:val="00077F3B"/>
    <w:rsid w:val="000927D8"/>
    <w:rsid w:val="000A1683"/>
    <w:rsid w:val="000A1BF4"/>
    <w:rsid w:val="000B7440"/>
    <w:rsid w:val="000B7D9D"/>
    <w:rsid w:val="000C3C9E"/>
    <w:rsid w:val="000C3CE9"/>
    <w:rsid w:val="000D4060"/>
    <w:rsid w:val="000D5947"/>
    <w:rsid w:val="000D721A"/>
    <w:rsid w:val="000E084B"/>
    <w:rsid w:val="000E7508"/>
    <w:rsid w:val="000F7150"/>
    <w:rsid w:val="00110FFF"/>
    <w:rsid w:val="00122BF7"/>
    <w:rsid w:val="00125620"/>
    <w:rsid w:val="001426DD"/>
    <w:rsid w:val="0015142E"/>
    <w:rsid w:val="00161004"/>
    <w:rsid w:val="001621D7"/>
    <w:rsid w:val="001628FB"/>
    <w:rsid w:val="00165B99"/>
    <w:rsid w:val="00173F41"/>
    <w:rsid w:val="00176DDA"/>
    <w:rsid w:val="001773A1"/>
    <w:rsid w:val="0018571A"/>
    <w:rsid w:val="0019093F"/>
    <w:rsid w:val="001A1DD9"/>
    <w:rsid w:val="001B1A6F"/>
    <w:rsid w:val="001D22BE"/>
    <w:rsid w:val="001D232C"/>
    <w:rsid w:val="001D7C6E"/>
    <w:rsid w:val="001E1F29"/>
    <w:rsid w:val="001F52C9"/>
    <w:rsid w:val="001F6F96"/>
    <w:rsid w:val="00200DEF"/>
    <w:rsid w:val="00216039"/>
    <w:rsid w:val="00224B79"/>
    <w:rsid w:val="002342E4"/>
    <w:rsid w:val="002407BE"/>
    <w:rsid w:val="0029474F"/>
    <w:rsid w:val="002B2039"/>
    <w:rsid w:val="002C0C29"/>
    <w:rsid w:val="002C51A1"/>
    <w:rsid w:val="002F4E6C"/>
    <w:rsid w:val="00302089"/>
    <w:rsid w:val="0030510D"/>
    <w:rsid w:val="00305C88"/>
    <w:rsid w:val="003102FE"/>
    <w:rsid w:val="00323F6A"/>
    <w:rsid w:val="00326BB2"/>
    <w:rsid w:val="0032733C"/>
    <w:rsid w:val="00333DA4"/>
    <w:rsid w:val="00353C98"/>
    <w:rsid w:val="003541E0"/>
    <w:rsid w:val="00357DAB"/>
    <w:rsid w:val="003603C5"/>
    <w:rsid w:val="00372BD7"/>
    <w:rsid w:val="00373245"/>
    <w:rsid w:val="00373D9D"/>
    <w:rsid w:val="0038328D"/>
    <w:rsid w:val="00383F09"/>
    <w:rsid w:val="003920EB"/>
    <w:rsid w:val="003B192C"/>
    <w:rsid w:val="003C1E39"/>
    <w:rsid w:val="003C79CC"/>
    <w:rsid w:val="003F6C5A"/>
    <w:rsid w:val="00424AA2"/>
    <w:rsid w:val="00441978"/>
    <w:rsid w:val="0044718B"/>
    <w:rsid w:val="00474516"/>
    <w:rsid w:val="00484F15"/>
    <w:rsid w:val="00497979"/>
    <w:rsid w:val="004C4B10"/>
    <w:rsid w:val="004C4EFE"/>
    <w:rsid w:val="004D0FC2"/>
    <w:rsid w:val="004E4C68"/>
    <w:rsid w:val="0050492D"/>
    <w:rsid w:val="00507BDC"/>
    <w:rsid w:val="005179FD"/>
    <w:rsid w:val="0053464F"/>
    <w:rsid w:val="00534E0D"/>
    <w:rsid w:val="00541218"/>
    <w:rsid w:val="0054352C"/>
    <w:rsid w:val="005639C0"/>
    <w:rsid w:val="00563C14"/>
    <w:rsid w:val="0057309D"/>
    <w:rsid w:val="005732B0"/>
    <w:rsid w:val="0058050C"/>
    <w:rsid w:val="005874B3"/>
    <w:rsid w:val="00590DC2"/>
    <w:rsid w:val="00594F65"/>
    <w:rsid w:val="0059619F"/>
    <w:rsid w:val="00596EAF"/>
    <w:rsid w:val="005B689A"/>
    <w:rsid w:val="005C6878"/>
    <w:rsid w:val="005D1F15"/>
    <w:rsid w:val="005D7FE6"/>
    <w:rsid w:val="005F3505"/>
    <w:rsid w:val="005F3542"/>
    <w:rsid w:val="0061609D"/>
    <w:rsid w:val="00623404"/>
    <w:rsid w:val="00625FC7"/>
    <w:rsid w:val="00634699"/>
    <w:rsid w:val="00634D3B"/>
    <w:rsid w:val="0064406F"/>
    <w:rsid w:val="00656631"/>
    <w:rsid w:val="00665F26"/>
    <w:rsid w:val="00676BB3"/>
    <w:rsid w:val="00683EDD"/>
    <w:rsid w:val="00690D7A"/>
    <w:rsid w:val="00695417"/>
    <w:rsid w:val="006C4FE3"/>
    <w:rsid w:val="006D26AE"/>
    <w:rsid w:val="006E035D"/>
    <w:rsid w:val="006E177B"/>
    <w:rsid w:val="006E1CEB"/>
    <w:rsid w:val="006E28D2"/>
    <w:rsid w:val="00706576"/>
    <w:rsid w:val="0071020D"/>
    <w:rsid w:val="00711C05"/>
    <w:rsid w:val="00716E08"/>
    <w:rsid w:val="00740583"/>
    <w:rsid w:val="00750F6C"/>
    <w:rsid w:val="00760CE2"/>
    <w:rsid w:val="00761978"/>
    <w:rsid w:val="0076393B"/>
    <w:rsid w:val="007715D8"/>
    <w:rsid w:val="00775DC2"/>
    <w:rsid w:val="0077759B"/>
    <w:rsid w:val="007879EE"/>
    <w:rsid w:val="00794287"/>
    <w:rsid w:val="007969C5"/>
    <w:rsid w:val="007A1E92"/>
    <w:rsid w:val="007A7AA0"/>
    <w:rsid w:val="007C0C2D"/>
    <w:rsid w:val="007C15E6"/>
    <w:rsid w:val="007C4AE5"/>
    <w:rsid w:val="007C573C"/>
    <w:rsid w:val="007E1213"/>
    <w:rsid w:val="007E2C92"/>
    <w:rsid w:val="007F0405"/>
    <w:rsid w:val="007F2B2E"/>
    <w:rsid w:val="007F3D03"/>
    <w:rsid w:val="008024D7"/>
    <w:rsid w:val="0081606D"/>
    <w:rsid w:val="00825041"/>
    <w:rsid w:val="00825DDC"/>
    <w:rsid w:val="00831B62"/>
    <w:rsid w:val="00835456"/>
    <w:rsid w:val="00836CC3"/>
    <w:rsid w:val="00853E1E"/>
    <w:rsid w:val="008813B0"/>
    <w:rsid w:val="00891FAA"/>
    <w:rsid w:val="008B5EDA"/>
    <w:rsid w:val="008B5FE5"/>
    <w:rsid w:val="008B6418"/>
    <w:rsid w:val="008D6549"/>
    <w:rsid w:val="00904BD8"/>
    <w:rsid w:val="00914D5D"/>
    <w:rsid w:val="00922F4F"/>
    <w:rsid w:val="00943182"/>
    <w:rsid w:val="00943BA7"/>
    <w:rsid w:val="009730FB"/>
    <w:rsid w:val="0097538D"/>
    <w:rsid w:val="00981C5C"/>
    <w:rsid w:val="0098391C"/>
    <w:rsid w:val="00984470"/>
    <w:rsid w:val="00987F0F"/>
    <w:rsid w:val="0099712B"/>
    <w:rsid w:val="0099762E"/>
    <w:rsid w:val="009A12CA"/>
    <w:rsid w:val="009A6E22"/>
    <w:rsid w:val="009B23E5"/>
    <w:rsid w:val="009B307B"/>
    <w:rsid w:val="009B6380"/>
    <w:rsid w:val="009D4613"/>
    <w:rsid w:val="009E125B"/>
    <w:rsid w:val="009E2043"/>
    <w:rsid w:val="009F248D"/>
    <w:rsid w:val="00A03DD8"/>
    <w:rsid w:val="00A066D1"/>
    <w:rsid w:val="00A06D8C"/>
    <w:rsid w:val="00A15BF0"/>
    <w:rsid w:val="00A22709"/>
    <w:rsid w:val="00A242F7"/>
    <w:rsid w:val="00A270B9"/>
    <w:rsid w:val="00A40985"/>
    <w:rsid w:val="00A45D45"/>
    <w:rsid w:val="00A45DA3"/>
    <w:rsid w:val="00A51FE1"/>
    <w:rsid w:val="00A54384"/>
    <w:rsid w:val="00A71458"/>
    <w:rsid w:val="00A7539E"/>
    <w:rsid w:val="00A81A8C"/>
    <w:rsid w:val="00A91EB3"/>
    <w:rsid w:val="00A948A2"/>
    <w:rsid w:val="00AA07F5"/>
    <w:rsid w:val="00AA601F"/>
    <w:rsid w:val="00AB681D"/>
    <w:rsid w:val="00AC366D"/>
    <w:rsid w:val="00AD108B"/>
    <w:rsid w:val="00AD3474"/>
    <w:rsid w:val="00AF6C9C"/>
    <w:rsid w:val="00B0144B"/>
    <w:rsid w:val="00B16979"/>
    <w:rsid w:val="00B16EF4"/>
    <w:rsid w:val="00B263D8"/>
    <w:rsid w:val="00B37569"/>
    <w:rsid w:val="00B40FEC"/>
    <w:rsid w:val="00B52932"/>
    <w:rsid w:val="00B62806"/>
    <w:rsid w:val="00B75405"/>
    <w:rsid w:val="00BA6E40"/>
    <w:rsid w:val="00BB319D"/>
    <w:rsid w:val="00BB7949"/>
    <w:rsid w:val="00BC2C59"/>
    <w:rsid w:val="00BC47D0"/>
    <w:rsid w:val="00BC4D70"/>
    <w:rsid w:val="00BF3A07"/>
    <w:rsid w:val="00BF456D"/>
    <w:rsid w:val="00C01789"/>
    <w:rsid w:val="00C025F7"/>
    <w:rsid w:val="00C03409"/>
    <w:rsid w:val="00C16A0D"/>
    <w:rsid w:val="00C30890"/>
    <w:rsid w:val="00C33DE2"/>
    <w:rsid w:val="00C35A1A"/>
    <w:rsid w:val="00C41E0B"/>
    <w:rsid w:val="00C42A53"/>
    <w:rsid w:val="00C46EEB"/>
    <w:rsid w:val="00C503E8"/>
    <w:rsid w:val="00C67371"/>
    <w:rsid w:val="00C70A14"/>
    <w:rsid w:val="00C82D0B"/>
    <w:rsid w:val="00CA0E9B"/>
    <w:rsid w:val="00CA36D9"/>
    <w:rsid w:val="00CA4753"/>
    <w:rsid w:val="00CA62F6"/>
    <w:rsid w:val="00CA7C5B"/>
    <w:rsid w:val="00CB5B9B"/>
    <w:rsid w:val="00CB7D3F"/>
    <w:rsid w:val="00CC00F5"/>
    <w:rsid w:val="00CC045B"/>
    <w:rsid w:val="00CC7089"/>
    <w:rsid w:val="00CE4193"/>
    <w:rsid w:val="00CF438A"/>
    <w:rsid w:val="00D0046F"/>
    <w:rsid w:val="00D03306"/>
    <w:rsid w:val="00D0794E"/>
    <w:rsid w:val="00D10601"/>
    <w:rsid w:val="00D139C0"/>
    <w:rsid w:val="00D15BC3"/>
    <w:rsid w:val="00D17481"/>
    <w:rsid w:val="00D25C01"/>
    <w:rsid w:val="00D303CA"/>
    <w:rsid w:val="00D61BC4"/>
    <w:rsid w:val="00D77653"/>
    <w:rsid w:val="00D87C22"/>
    <w:rsid w:val="00DA240A"/>
    <w:rsid w:val="00DB39B4"/>
    <w:rsid w:val="00DD1F5B"/>
    <w:rsid w:val="00DE445C"/>
    <w:rsid w:val="00DF6F9D"/>
    <w:rsid w:val="00E0319C"/>
    <w:rsid w:val="00E20016"/>
    <w:rsid w:val="00E20A92"/>
    <w:rsid w:val="00E231E9"/>
    <w:rsid w:val="00E3535F"/>
    <w:rsid w:val="00E45083"/>
    <w:rsid w:val="00E46598"/>
    <w:rsid w:val="00E57AE0"/>
    <w:rsid w:val="00E6220C"/>
    <w:rsid w:val="00E66A45"/>
    <w:rsid w:val="00E701EB"/>
    <w:rsid w:val="00E77D73"/>
    <w:rsid w:val="00E82131"/>
    <w:rsid w:val="00EA1C3F"/>
    <w:rsid w:val="00EA4A03"/>
    <w:rsid w:val="00EB6707"/>
    <w:rsid w:val="00EB673A"/>
    <w:rsid w:val="00EC070D"/>
    <w:rsid w:val="00EC40D9"/>
    <w:rsid w:val="00EC55C7"/>
    <w:rsid w:val="00EF412E"/>
    <w:rsid w:val="00EF414E"/>
    <w:rsid w:val="00EF43EE"/>
    <w:rsid w:val="00EF621A"/>
    <w:rsid w:val="00EF6C71"/>
    <w:rsid w:val="00EF747B"/>
    <w:rsid w:val="00F01D6F"/>
    <w:rsid w:val="00F030E5"/>
    <w:rsid w:val="00F04FB6"/>
    <w:rsid w:val="00F05A2F"/>
    <w:rsid w:val="00F22BCF"/>
    <w:rsid w:val="00F325C5"/>
    <w:rsid w:val="00F50042"/>
    <w:rsid w:val="00F52C7A"/>
    <w:rsid w:val="00F53060"/>
    <w:rsid w:val="00F70450"/>
    <w:rsid w:val="00F80CB4"/>
    <w:rsid w:val="00F81554"/>
    <w:rsid w:val="00F8597D"/>
    <w:rsid w:val="00F949D6"/>
    <w:rsid w:val="00FA6F5F"/>
    <w:rsid w:val="00FC2729"/>
    <w:rsid w:val="00FD0A50"/>
    <w:rsid w:val="00FD236F"/>
    <w:rsid w:val="00FD6EB9"/>
    <w:rsid w:val="00FE1306"/>
    <w:rsid w:val="00FE40CB"/>
    <w:rsid w:val="00FE756F"/>
    <w:rsid w:val="00FE76BC"/>
    <w:rsid w:val="00FF04EA"/>
    <w:rsid w:val="00FF2D66"/>
    <w:rsid w:val="00FF7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739CF1-600D-4034-A8E8-3468AFDE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E9A"/>
    <w:rPr>
      <w:rFonts w:ascii="Times New Roman" w:eastAsia="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HeaderChar">
    <w:name w:val="Header Char"/>
    <w:basedOn w:val="DefaultParagraphFont"/>
    <w:link w:val="Header"/>
    <w:uiPriority w:val="99"/>
    <w:rsid w:val="00026E9A"/>
    <w:rPr>
      <w:sz w:val="18"/>
      <w:szCs w:val="18"/>
    </w:rPr>
  </w:style>
  <w:style w:type="paragraph" w:styleId="Footer">
    <w:name w:val="footer"/>
    <w:basedOn w:val="Normal"/>
    <w:link w:val="FooterChar"/>
    <w:uiPriority w:val="99"/>
    <w:unhideWhenUsed/>
    <w:rsid w:val="00026E9A"/>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FooterChar">
    <w:name w:val="Footer Char"/>
    <w:basedOn w:val="DefaultParagraphFont"/>
    <w:link w:val="Footer"/>
    <w:uiPriority w:val="99"/>
    <w:rsid w:val="00026E9A"/>
    <w:rPr>
      <w:sz w:val="18"/>
      <w:szCs w:val="18"/>
    </w:rPr>
  </w:style>
  <w:style w:type="paragraph" w:styleId="BalloonText">
    <w:name w:val="Balloon Text"/>
    <w:basedOn w:val="Normal"/>
    <w:link w:val="BalloonTextChar"/>
    <w:uiPriority w:val="99"/>
    <w:semiHidden/>
    <w:unhideWhenUsed/>
    <w:rsid w:val="00C46EEB"/>
    <w:rPr>
      <w:sz w:val="18"/>
      <w:szCs w:val="18"/>
    </w:rPr>
  </w:style>
  <w:style w:type="character" w:customStyle="1" w:styleId="BalloonTextChar">
    <w:name w:val="Balloon Text Char"/>
    <w:basedOn w:val="DefaultParagraphFont"/>
    <w:link w:val="BalloonText"/>
    <w:uiPriority w:val="99"/>
    <w:semiHidden/>
    <w:rsid w:val="00C46EEB"/>
    <w:rPr>
      <w:rFonts w:ascii="Times New Roman" w:eastAsia="Times New Roman" w:hAnsi="Times New Roman" w:cs="Times New Roman"/>
      <w:kern w:val="0"/>
      <w:sz w:val="18"/>
      <w:szCs w:val="18"/>
      <w:lang w:eastAsia="en-US"/>
    </w:rPr>
  </w:style>
  <w:style w:type="table" w:customStyle="1" w:styleId="1">
    <w:name w:val="网格型1"/>
    <w:basedOn w:val="TableNormal"/>
    <w:next w:val="TableGrid"/>
    <w:uiPriority w:val="39"/>
    <w:qFormat/>
    <w:rsid w:val="00695417"/>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F61B-C4EF-4362-831B-0742A12C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me.support.cn</cp:lastModifiedBy>
  <cp:revision>3</cp:revision>
  <dcterms:created xsi:type="dcterms:W3CDTF">2019-07-02T06:44:00Z</dcterms:created>
  <dcterms:modified xsi:type="dcterms:W3CDTF">2019-07-26T03:47:00Z</dcterms:modified>
</cp:coreProperties>
</file>