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8F62F" w14:textId="337FB57A" w:rsidR="00E0111E" w:rsidRDefault="0050102F">
      <w:pPr>
        <w:rPr>
          <w:lang w:val="en-US"/>
        </w:rPr>
      </w:pPr>
      <w:r w:rsidRPr="0050102F">
        <w:rPr>
          <w:lang w:val="en-US"/>
        </w:rPr>
        <w:t xml:space="preserve">Management Response </w:t>
      </w:r>
      <w:r w:rsidR="00E0111E" w:rsidRPr="0050102F">
        <w:rPr>
          <w:lang w:val="en-US"/>
        </w:rPr>
        <w:t>to TE recommendations</w:t>
      </w:r>
    </w:p>
    <w:p w14:paraId="696B163A" w14:textId="579B5181" w:rsidR="0050102F" w:rsidRPr="00AE090F" w:rsidRDefault="00AE090F">
      <w:pPr>
        <w:rPr>
          <w:b/>
          <w:bCs/>
          <w:lang w:val="en-US"/>
        </w:rPr>
      </w:pPr>
      <w:r w:rsidRPr="00AE090F">
        <w:rPr>
          <w:b/>
          <w:bCs/>
          <w:lang w:val="en-US"/>
        </w:rPr>
        <w:t xml:space="preserve">Government </w:t>
      </w:r>
    </w:p>
    <w:tbl>
      <w:tblPr>
        <w:tblStyle w:val="TableGrid"/>
        <w:tblW w:w="12469" w:type="dxa"/>
        <w:shd w:val="clear" w:color="auto" w:fill="FFFFFF" w:themeFill="background1"/>
        <w:tblLook w:val="04A0" w:firstRow="1" w:lastRow="0" w:firstColumn="1" w:lastColumn="0" w:noHBand="0" w:noVBand="1"/>
      </w:tblPr>
      <w:tblGrid>
        <w:gridCol w:w="7489"/>
        <w:gridCol w:w="1318"/>
        <w:gridCol w:w="1270"/>
        <w:gridCol w:w="1202"/>
        <w:gridCol w:w="1190"/>
      </w:tblGrid>
      <w:tr w:rsidR="00224415" w:rsidRPr="000926A6" w14:paraId="2D7BD165" w14:textId="1BDED1E9" w:rsidTr="00285FF5">
        <w:trPr>
          <w:trHeight w:val="372"/>
        </w:trPr>
        <w:tc>
          <w:tcPr>
            <w:tcW w:w="7489" w:type="dxa"/>
            <w:vMerge w:val="restart"/>
            <w:shd w:val="clear" w:color="auto" w:fill="FFFFFF" w:themeFill="background1"/>
          </w:tcPr>
          <w:p w14:paraId="46A4FF65" w14:textId="3434555A" w:rsidR="0050102F" w:rsidRPr="000926A6" w:rsidRDefault="0050102F" w:rsidP="006C6080">
            <w:pPr>
              <w:jc w:val="center"/>
              <w:rPr>
                <w:rFonts w:cs="Times New Roman"/>
                <w:b/>
                <w:sz w:val="20"/>
                <w:szCs w:val="20"/>
              </w:rPr>
            </w:pPr>
            <w:r w:rsidRPr="000926A6">
              <w:rPr>
                <w:rFonts w:cs="Times New Roman"/>
                <w:b/>
                <w:sz w:val="20"/>
                <w:szCs w:val="20"/>
              </w:rPr>
              <w:t xml:space="preserve">Recommendation for </w:t>
            </w:r>
            <w:r w:rsidR="004F1479">
              <w:rPr>
                <w:rFonts w:cs="Times New Roman"/>
                <w:b/>
                <w:sz w:val="20"/>
                <w:szCs w:val="20"/>
              </w:rPr>
              <w:t xml:space="preserve">Government </w:t>
            </w:r>
          </w:p>
        </w:tc>
        <w:tc>
          <w:tcPr>
            <w:tcW w:w="1318" w:type="dxa"/>
            <w:vMerge w:val="restart"/>
            <w:shd w:val="clear" w:color="auto" w:fill="FFFFFF" w:themeFill="background1"/>
          </w:tcPr>
          <w:p w14:paraId="42E6A740" w14:textId="6C50F912" w:rsidR="0050102F" w:rsidRPr="000926A6" w:rsidRDefault="00C41394" w:rsidP="006C6080">
            <w:pPr>
              <w:jc w:val="center"/>
              <w:rPr>
                <w:rFonts w:cs="Times New Roman"/>
                <w:b/>
                <w:sz w:val="20"/>
                <w:szCs w:val="20"/>
              </w:rPr>
            </w:pPr>
            <w:r w:rsidRPr="000926A6">
              <w:rPr>
                <w:rFonts w:cs="Times New Roman"/>
                <w:b/>
                <w:sz w:val="20"/>
                <w:szCs w:val="20"/>
              </w:rPr>
              <w:t>Responsible Parties</w:t>
            </w:r>
          </w:p>
        </w:tc>
        <w:tc>
          <w:tcPr>
            <w:tcW w:w="1270" w:type="dxa"/>
            <w:vMerge w:val="restart"/>
            <w:shd w:val="clear" w:color="auto" w:fill="FFFFFF" w:themeFill="background1"/>
          </w:tcPr>
          <w:p w14:paraId="25AB08C2" w14:textId="6EBE284D" w:rsidR="0050102F" w:rsidRPr="000926A6" w:rsidRDefault="0050102F" w:rsidP="006C6080">
            <w:pPr>
              <w:jc w:val="center"/>
              <w:rPr>
                <w:rFonts w:cs="Times New Roman"/>
                <w:b/>
                <w:sz w:val="20"/>
                <w:szCs w:val="20"/>
              </w:rPr>
            </w:pPr>
            <w:r w:rsidRPr="000926A6">
              <w:rPr>
                <w:rFonts w:cs="Times New Roman"/>
                <w:b/>
                <w:sz w:val="20"/>
                <w:szCs w:val="20"/>
              </w:rPr>
              <w:t>Time</w:t>
            </w:r>
            <w:r w:rsidR="00C41394" w:rsidRPr="000926A6">
              <w:rPr>
                <w:rFonts w:cs="Times New Roman"/>
                <w:b/>
                <w:sz w:val="20"/>
                <w:szCs w:val="20"/>
              </w:rPr>
              <w:t>frame</w:t>
            </w:r>
          </w:p>
        </w:tc>
        <w:tc>
          <w:tcPr>
            <w:tcW w:w="2392" w:type="dxa"/>
            <w:gridSpan w:val="2"/>
            <w:shd w:val="clear" w:color="auto" w:fill="FFFFFF" w:themeFill="background1"/>
          </w:tcPr>
          <w:p w14:paraId="4E27A68B" w14:textId="570E107B" w:rsidR="0050102F" w:rsidRPr="000926A6" w:rsidRDefault="0050102F" w:rsidP="006C6080">
            <w:pPr>
              <w:jc w:val="center"/>
              <w:rPr>
                <w:rFonts w:cs="Times New Roman"/>
                <w:b/>
                <w:sz w:val="20"/>
                <w:szCs w:val="20"/>
              </w:rPr>
            </w:pPr>
            <w:r w:rsidRPr="000926A6">
              <w:rPr>
                <w:rFonts w:cs="Times New Roman"/>
                <w:b/>
                <w:sz w:val="20"/>
                <w:szCs w:val="20"/>
              </w:rPr>
              <w:t xml:space="preserve">Tracking </w:t>
            </w:r>
          </w:p>
        </w:tc>
      </w:tr>
      <w:tr w:rsidR="00285FF5" w:rsidRPr="000926A6" w14:paraId="0318C5A8" w14:textId="77777777" w:rsidTr="00285FF5">
        <w:trPr>
          <w:trHeight w:val="547"/>
        </w:trPr>
        <w:tc>
          <w:tcPr>
            <w:tcW w:w="7489" w:type="dxa"/>
            <w:vMerge/>
            <w:shd w:val="clear" w:color="auto" w:fill="FFFFFF" w:themeFill="background1"/>
          </w:tcPr>
          <w:p w14:paraId="546207D7" w14:textId="77777777" w:rsidR="0050102F" w:rsidRPr="000926A6" w:rsidRDefault="0050102F" w:rsidP="006C6080">
            <w:pPr>
              <w:jc w:val="center"/>
              <w:rPr>
                <w:rFonts w:cs="Times New Roman"/>
                <w:b/>
                <w:sz w:val="20"/>
                <w:szCs w:val="20"/>
              </w:rPr>
            </w:pPr>
          </w:p>
        </w:tc>
        <w:tc>
          <w:tcPr>
            <w:tcW w:w="1318" w:type="dxa"/>
            <w:vMerge/>
            <w:shd w:val="clear" w:color="auto" w:fill="FFFFFF" w:themeFill="background1"/>
          </w:tcPr>
          <w:p w14:paraId="4FD3A064" w14:textId="77777777" w:rsidR="0050102F" w:rsidRPr="000926A6" w:rsidRDefault="0050102F" w:rsidP="006C6080">
            <w:pPr>
              <w:jc w:val="center"/>
              <w:rPr>
                <w:rFonts w:cs="Times New Roman"/>
                <w:b/>
                <w:sz w:val="20"/>
                <w:szCs w:val="20"/>
              </w:rPr>
            </w:pPr>
          </w:p>
        </w:tc>
        <w:tc>
          <w:tcPr>
            <w:tcW w:w="1270" w:type="dxa"/>
            <w:vMerge/>
            <w:shd w:val="clear" w:color="auto" w:fill="FFFFFF" w:themeFill="background1"/>
          </w:tcPr>
          <w:p w14:paraId="04BCFBA4" w14:textId="77777777" w:rsidR="0050102F" w:rsidRPr="000926A6" w:rsidRDefault="0050102F" w:rsidP="006C6080">
            <w:pPr>
              <w:jc w:val="center"/>
              <w:rPr>
                <w:rFonts w:cs="Times New Roman"/>
                <w:b/>
                <w:sz w:val="20"/>
                <w:szCs w:val="20"/>
              </w:rPr>
            </w:pPr>
          </w:p>
        </w:tc>
        <w:tc>
          <w:tcPr>
            <w:tcW w:w="1202" w:type="dxa"/>
            <w:shd w:val="clear" w:color="auto" w:fill="FFFFFF" w:themeFill="background1"/>
          </w:tcPr>
          <w:p w14:paraId="577F0DC2" w14:textId="42CF5062" w:rsidR="0050102F" w:rsidRPr="000926A6" w:rsidRDefault="0050102F" w:rsidP="006C6080">
            <w:pPr>
              <w:jc w:val="center"/>
              <w:rPr>
                <w:rFonts w:cs="Times New Roman"/>
                <w:b/>
                <w:sz w:val="20"/>
                <w:szCs w:val="20"/>
              </w:rPr>
            </w:pPr>
            <w:r w:rsidRPr="000926A6">
              <w:rPr>
                <w:rFonts w:cs="Times New Roman"/>
                <w:b/>
                <w:sz w:val="20"/>
                <w:szCs w:val="20"/>
              </w:rPr>
              <w:t xml:space="preserve">Comments </w:t>
            </w:r>
          </w:p>
        </w:tc>
        <w:tc>
          <w:tcPr>
            <w:tcW w:w="1190" w:type="dxa"/>
            <w:shd w:val="clear" w:color="auto" w:fill="FFFFFF" w:themeFill="background1"/>
          </w:tcPr>
          <w:p w14:paraId="610E77DA" w14:textId="27E694AE" w:rsidR="0050102F" w:rsidRPr="000926A6" w:rsidRDefault="0050102F" w:rsidP="006C6080">
            <w:pPr>
              <w:jc w:val="center"/>
              <w:rPr>
                <w:rFonts w:cs="Times New Roman"/>
                <w:b/>
                <w:sz w:val="20"/>
                <w:szCs w:val="20"/>
              </w:rPr>
            </w:pPr>
            <w:r w:rsidRPr="000926A6">
              <w:rPr>
                <w:rFonts w:cs="Times New Roman"/>
                <w:b/>
                <w:sz w:val="20"/>
                <w:szCs w:val="20"/>
              </w:rPr>
              <w:t xml:space="preserve">Status </w:t>
            </w:r>
          </w:p>
        </w:tc>
      </w:tr>
      <w:tr w:rsidR="00285FF5" w:rsidRPr="000926A6" w14:paraId="44D746F0" w14:textId="622D0699" w:rsidTr="00285FF5">
        <w:tc>
          <w:tcPr>
            <w:tcW w:w="7489" w:type="dxa"/>
            <w:shd w:val="clear" w:color="auto" w:fill="FFFFFF" w:themeFill="background1"/>
          </w:tcPr>
          <w:p w14:paraId="7ABE3847" w14:textId="77777777" w:rsidR="00E41876" w:rsidRPr="000926A6" w:rsidRDefault="00ED47D9" w:rsidP="00115B3E">
            <w:pPr>
              <w:rPr>
                <w:rFonts w:cs="Times New Roman"/>
                <w:b/>
                <w:sz w:val="20"/>
                <w:szCs w:val="20"/>
              </w:rPr>
            </w:pPr>
            <w:r w:rsidRPr="000926A6">
              <w:rPr>
                <w:rFonts w:cs="Times New Roman"/>
                <w:b/>
                <w:sz w:val="20"/>
                <w:szCs w:val="20"/>
              </w:rPr>
              <w:t xml:space="preserve">Recommendation </w:t>
            </w:r>
            <w:r w:rsidR="00115B3E" w:rsidRPr="000926A6">
              <w:rPr>
                <w:rFonts w:cs="Times New Roman"/>
                <w:b/>
                <w:sz w:val="20"/>
                <w:szCs w:val="20"/>
              </w:rPr>
              <w:t>1</w:t>
            </w:r>
            <w:r w:rsidR="00612EB9" w:rsidRPr="000926A6">
              <w:rPr>
                <w:rFonts w:cs="Times New Roman"/>
                <w:b/>
                <w:sz w:val="20"/>
                <w:szCs w:val="20"/>
              </w:rPr>
              <w:t xml:space="preserve">: </w:t>
            </w:r>
          </w:p>
          <w:p w14:paraId="2B69CD41" w14:textId="31608106" w:rsidR="00115B3E" w:rsidRPr="000926A6" w:rsidRDefault="00612EB9" w:rsidP="00E41876">
            <w:pPr>
              <w:pStyle w:val="ListParagraph"/>
              <w:numPr>
                <w:ilvl w:val="0"/>
                <w:numId w:val="4"/>
              </w:numPr>
              <w:rPr>
                <w:sz w:val="20"/>
                <w:szCs w:val="20"/>
              </w:rPr>
            </w:pPr>
            <w:r w:rsidRPr="000926A6">
              <w:rPr>
                <w:b/>
                <w:bCs/>
                <w:sz w:val="20"/>
                <w:szCs w:val="20"/>
              </w:rPr>
              <w:t>Development and approval of PC-1</w:t>
            </w:r>
            <w:r w:rsidRPr="000926A6">
              <w:rPr>
                <w:sz w:val="20"/>
                <w:szCs w:val="20"/>
              </w:rPr>
              <w:t xml:space="preserve">: One of the main reasons of delays in GGEB project was the development and approval of PC-1. The process should start at the early stages of the </w:t>
            </w:r>
            <w:proofErr w:type="spellStart"/>
            <w:r w:rsidRPr="000926A6">
              <w:rPr>
                <w:sz w:val="20"/>
                <w:szCs w:val="20"/>
              </w:rPr>
              <w:t>ProDoc</w:t>
            </w:r>
            <w:proofErr w:type="spellEnd"/>
            <w:r w:rsidRPr="000926A6">
              <w:rPr>
                <w:sz w:val="20"/>
                <w:szCs w:val="20"/>
              </w:rPr>
              <w:t xml:space="preserve"> development and approval.</w:t>
            </w:r>
          </w:p>
          <w:p w14:paraId="188CE37B" w14:textId="46ADADA5" w:rsidR="00612EB9" w:rsidRPr="000926A6" w:rsidRDefault="00E41876" w:rsidP="00E41876">
            <w:pPr>
              <w:pStyle w:val="ListParagraph"/>
              <w:numPr>
                <w:ilvl w:val="0"/>
                <w:numId w:val="4"/>
              </w:numPr>
              <w:rPr>
                <w:sz w:val="20"/>
                <w:szCs w:val="20"/>
              </w:rPr>
            </w:pPr>
            <w:r w:rsidRPr="000926A6">
              <w:rPr>
                <w:b/>
                <w:bCs/>
                <w:sz w:val="20"/>
                <w:szCs w:val="20"/>
              </w:rPr>
              <w:t>Action:</w:t>
            </w:r>
            <w:r w:rsidRPr="000926A6">
              <w:rPr>
                <w:sz w:val="20"/>
                <w:szCs w:val="20"/>
              </w:rPr>
              <w:t xml:space="preserve"> For future GEF funded projects, the IP/MoCC should consider and resolve such issues at PIF/project formulation stage</w:t>
            </w:r>
          </w:p>
          <w:p w14:paraId="0E807575" w14:textId="0FEB7207" w:rsidR="00115B3E" w:rsidRPr="000926A6" w:rsidRDefault="00115B3E" w:rsidP="00115B3E">
            <w:pPr>
              <w:rPr>
                <w:rFonts w:cs="Times New Roman"/>
                <w:b/>
                <w:bCs/>
                <w:sz w:val="20"/>
                <w:szCs w:val="20"/>
              </w:rPr>
            </w:pPr>
            <w:r w:rsidRPr="000926A6">
              <w:rPr>
                <w:rFonts w:cs="Times New Roman"/>
                <w:b/>
                <w:bCs/>
                <w:sz w:val="20"/>
                <w:szCs w:val="20"/>
              </w:rPr>
              <w:t>Management Response:</w:t>
            </w:r>
          </w:p>
          <w:p w14:paraId="56823D46" w14:textId="51689E4D" w:rsidR="00E41876" w:rsidRPr="00B12AD0" w:rsidRDefault="00B12AD0" w:rsidP="009113B5">
            <w:pPr>
              <w:shd w:val="clear" w:color="auto" w:fill="FFFFFF" w:themeFill="background1"/>
              <w:rPr>
                <w:rFonts w:cs="Times New Roman"/>
                <w:sz w:val="20"/>
                <w:szCs w:val="20"/>
              </w:rPr>
            </w:pPr>
            <w:r>
              <w:rPr>
                <w:rFonts w:cs="Times New Roman"/>
                <w:sz w:val="20"/>
                <w:szCs w:val="20"/>
              </w:rPr>
              <w:t>UNDP will share the Terminal Evaluation report along with recommendations with MoCC/IP for consideration.</w:t>
            </w:r>
          </w:p>
          <w:p w14:paraId="021CDE25" w14:textId="2BCF35BF" w:rsidR="00115B3E" w:rsidRPr="000926A6" w:rsidRDefault="00115B3E" w:rsidP="00ED47D9">
            <w:pPr>
              <w:rPr>
                <w:rFonts w:cs="Times New Roman"/>
                <w:sz w:val="20"/>
                <w:szCs w:val="20"/>
              </w:rPr>
            </w:pPr>
          </w:p>
        </w:tc>
        <w:tc>
          <w:tcPr>
            <w:tcW w:w="1318" w:type="dxa"/>
            <w:shd w:val="clear" w:color="auto" w:fill="FFFFFF" w:themeFill="background1"/>
          </w:tcPr>
          <w:p w14:paraId="2882EBBD" w14:textId="0218D59E" w:rsidR="00115B3E" w:rsidRPr="000926A6" w:rsidRDefault="00E41876" w:rsidP="00115B3E">
            <w:pPr>
              <w:rPr>
                <w:rFonts w:cs="Times New Roman"/>
                <w:sz w:val="20"/>
                <w:szCs w:val="20"/>
              </w:rPr>
            </w:pPr>
            <w:r w:rsidRPr="000926A6">
              <w:rPr>
                <w:rFonts w:cs="Times New Roman"/>
                <w:sz w:val="20"/>
                <w:szCs w:val="20"/>
              </w:rPr>
              <w:t>MoCC</w:t>
            </w:r>
          </w:p>
        </w:tc>
        <w:tc>
          <w:tcPr>
            <w:tcW w:w="1270" w:type="dxa"/>
            <w:shd w:val="clear" w:color="auto" w:fill="FFFFFF" w:themeFill="background1"/>
          </w:tcPr>
          <w:p w14:paraId="5CF88370" w14:textId="0642D77E" w:rsidR="00115B3E" w:rsidRPr="000926A6" w:rsidRDefault="00E41876" w:rsidP="00ED47D9">
            <w:pPr>
              <w:rPr>
                <w:rFonts w:cs="Times New Roman"/>
                <w:sz w:val="20"/>
                <w:szCs w:val="20"/>
              </w:rPr>
            </w:pPr>
            <w:r w:rsidRPr="000926A6">
              <w:rPr>
                <w:sz w:val="20"/>
                <w:szCs w:val="20"/>
              </w:rPr>
              <w:t>Mar 2022</w:t>
            </w:r>
          </w:p>
        </w:tc>
        <w:tc>
          <w:tcPr>
            <w:tcW w:w="1202" w:type="dxa"/>
            <w:shd w:val="clear" w:color="auto" w:fill="FFFFFF" w:themeFill="background1"/>
          </w:tcPr>
          <w:p w14:paraId="44BCC636" w14:textId="3D05887C" w:rsidR="00115B3E" w:rsidRPr="000926A6" w:rsidRDefault="00115B3E" w:rsidP="00115B3E">
            <w:pPr>
              <w:rPr>
                <w:rFonts w:cs="Times New Roman"/>
                <w:sz w:val="20"/>
                <w:szCs w:val="20"/>
              </w:rPr>
            </w:pPr>
          </w:p>
        </w:tc>
        <w:tc>
          <w:tcPr>
            <w:tcW w:w="1190" w:type="dxa"/>
            <w:shd w:val="clear" w:color="auto" w:fill="FFFFFF" w:themeFill="background1"/>
          </w:tcPr>
          <w:p w14:paraId="74630F32" w14:textId="1CC17546" w:rsidR="00115B3E" w:rsidRPr="000926A6" w:rsidRDefault="00115B3E" w:rsidP="00ED47D9">
            <w:pPr>
              <w:rPr>
                <w:rFonts w:cs="Times New Roman"/>
                <w:sz w:val="20"/>
                <w:szCs w:val="20"/>
              </w:rPr>
            </w:pPr>
          </w:p>
        </w:tc>
      </w:tr>
      <w:tr w:rsidR="001C275D" w:rsidRPr="000926A6" w14:paraId="2B062E0A" w14:textId="174AD56C" w:rsidTr="00285FF5">
        <w:tc>
          <w:tcPr>
            <w:tcW w:w="7489" w:type="dxa"/>
            <w:shd w:val="clear" w:color="auto" w:fill="FFFFFF" w:themeFill="background1"/>
          </w:tcPr>
          <w:p w14:paraId="2DD4A272" w14:textId="1394C42C" w:rsidR="001C275D" w:rsidRPr="000926A6" w:rsidRDefault="001C275D" w:rsidP="001C275D">
            <w:pPr>
              <w:rPr>
                <w:rFonts w:cs="Times New Roman"/>
                <w:b/>
                <w:sz w:val="20"/>
                <w:szCs w:val="20"/>
              </w:rPr>
            </w:pPr>
            <w:r w:rsidRPr="000926A6">
              <w:rPr>
                <w:rFonts w:cs="Times New Roman"/>
                <w:b/>
                <w:sz w:val="20"/>
                <w:szCs w:val="20"/>
              </w:rPr>
              <w:t>Recommendation 2:</w:t>
            </w:r>
          </w:p>
          <w:p w14:paraId="4D368D9F" w14:textId="4FE799AA" w:rsidR="001C275D" w:rsidRPr="000926A6" w:rsidRDefault="001C275D" w:rsidP="001C275D">
            <w:pPr>
              <w:pStyle w:val="ListParagraph"/>
              <w:numPr>
                <w:ilvl w:val="0"/>
                <w:numId w:val="5"/>
              </w:numPr>
              <w:rPr>
                <w:rFonts w:cs="Times New Roman"/>
                <w:sz w:val="20"/>
                <w:szCs w:val="20"/>
              </w:rPr>
            </w:pPr>
            <w:r w:rsidRPr="000926A6">
              <w:rPr>
                <w:b/>
                <w:bCs/>
                <w:sz w:val="20"/>
                <w:szCs w:val="20"/>
              </w:rPr>
              <w:t xml:space="preserve">Frequent changes of NPDs and project co-signatory: </w:t>
            </w:r>
            <w:r w:rsidRPr="000926A6">
              <w:rPr>
                <w:sz w:val="20"/>
                <w:szCs w:val="20"/>
              </w:rPr>
              <w:t xml:space="preserve">As recommended in the inception report and the addendum to </w:t>
            </w:r>
            <w:proofErr w:type="spellStart"/>
            <w:r w:rsidRPr="000926A6">
              <w:rPr>
                <w:sz w:val="20"/>
                <w:szCs w:val="20"/>
              </w:rPr>
              <w:t>ProDoc</w:t>
            </w:r>
            <w:proofErr w:type="spellEnd"/>
            <w:r w:rsidRPr="000926A6">
              <w:rPr>
                <w:sz w:val="20"/>
                <w:szCs w:val="20"/>
              </w:rPr>
              <w:t xml:space="preserve"> concerned technical heads of wings/ units/ attached departments of the MoCC should be nominated as the technical focal points/Co-NPDs and co-signatory of the project to fill the gaps. The NPD will be responsible for the overall supervision while the technical heads/ focal points will supervise the management, </w:t>
            </w:r>
            <w:proofErr w:type="gramStart"/>
            <w:r w:rsidRPr="000926A6">
              <w:rPr>
                <w:sz w:val="20"/>
                <w:szCs w:val="20"/>
              </w:rPr>
              <w:t>implementation</w:t>
            </w:r>
            <w:proofErr w:type="gramEnd"/>
            <w:r w:rsidRPr="000926A6">
              <w:rPr>
                <w:sz w:val="20"/>
                <w:szCs w:val="20"/>
              </w:rPr>
              <w:t xml:space="preserve"> and technical aspects of the projects.</w:t>
            </w:r>
          </w:p>
          <w:p w14:paraId="24F47CB2" w14:textId="77777777" w:rsidR="001C275D" w:rsidRPr="000926A6" w:rsidRDefault="001C275D" w:rsidP="001C275D">
            <w:pPr>
              <w:pStyle w:val="ListParagraph"/>
              <w:numPr>
                <w:ilvl w:val="0"/>
                <w:numId w:val="5"/>
              </w:numPr>
              <w:rPr>
                <w:sz w:val="20"/>
                <w:szCs w:val="20"/>
              </w:rPr>
            </w:pPr>
            <w:r w:rsidRPr="000926A6">
              <w:rPr>
                <w:b/>
                <w:bCs/>
                <w:sz w:val="20"/>
                <w:szCs w:val="20"/>
              </w:rPr>
              <w:t>Action:</w:t>
            </w:r>
            <w:r w:rsidRPr="000926A6">
              <w:rPr>
                <w:rFonts w:cs="Times New Roman"/>
                <w:sz w:val="20"/>
                <w:szCs w:val="20"/>
              </w:rPr>
              <w:t xml:space="preserve"> </w:t>
            </w:r>
            <w:r w:rsidRPr="000926A6">
              <w:rPr>
                <w:sz w:val="20"/>
                <w:szCs w:val="20"/>
              </w:rPr>
              <w:t>For future GEF funded UNDP projects, the Implementing Partner (IP)/MoCC to consider appointing technical heads of relevant Wing/Unit/ Department as NPD/Deputy NPD in compliance with UNDP NIM guideline and use applicable government regulations/internal controls/processes for smooth implementation of projects.</w:t>
            </w:r>
          </w:p>
          <w:p w14:paraId="37BF052C" w14:textId="1890F048" w:rsidR="001C275D" w:rsidRDefault="001C275D" w:rsidP="001C275D">
            <w:pPr>
              <w:rPr>
                <w:rFonts w:cs="Times New Roman"/>
                <w:b/>
                <w:bCs/>
                <w:sz w:val="20"/>
                <w:szCs w:val="20"/>
              </w:rPr>
            </w:pPr>
            <w:r w:rsidRPr="000926A6">
              <w:rPr>
                <w:rFonts w:cs="Times New Roman"/>
                <w:b/>
                <w:bCs/>
                <w:sz w:val="20"/>
                <w:szCs w:val="20"/>
              </w:rPr>
              <w:t>Management Response:</w:t>
            </w:r>
          </w:p>
          <w:p w14:paraId="160C9B62" w14:textId="380C776D" w:rsidR="00B12AD0" w:rsidRPr="00B12AD0" w:rsidRDefault="00B12AD0" w:rsidP="009113B5">
            <w:pPr>
              <w:shd w:val="clear" w:color="auto" w:fill="FFFFFF" w:themeFill="background1"/>
              <w:rPr>
                <w:rFonts w:cs="Times New Roman"/>
                <w:sz w:val="20"/>
                <w:szCs w:val="20"/>
              </w:rPr>
            </w:pPr>
            <w:r>
              <w:rPr>
                <w:rFonts w:cs="Times New Roman"/>
                <w:sz w:val="20"/>
                <w:szCs w:val="20"/>
              </w:rPr>
              <w:t>UNDP agrees with this recommendation and will share the Terminal Evaluation report along with recommendations with MoCC/IP for consideration.</w:t>
            </w:r>
          </w:p>
          <w:p w14:paraId="11C94A92" w14:textId="7A02C549" w:rsidR="001C275D" w:rsidRPr="000926A6" w:rsidRDefault="001C275D" w:rsidP="001C275D">
            <w:pPr>
              <w:rPr>
                <w:rFonts w:cs="Times New Roman"/>
                <w:sz w:val="20"/>
                <w:szCs w:val="20"/>
              </w:rPr>
            </w:pPr>
          </w:p>
        </w:tc>
        <w:tc>
          <w:tcPr>
            <w:tcW w:w="1318" w:type="dxa"/>
            <w:shd w:val="clear" w:color="auto" w:fill="FFFFFF" w:themeFill="background1"/>
          </w:tcPr>
          <w:p w14:paraId="723E6D4C" w14:textId="0E448406" w:rsidR="001C275D" w:rsidRPr="000926A6" w:rsidRDefault="001C275D" w:rsidP="001C275D">
            <w:pPr>
              <w:rPr>
                <w:rFonts w:cs="Times New Roman"/>
                <w:sz w:val="20"/>
                <w:szCs w:val="20"/>
              </w:rPr>
            </w:pPr>
            <w:r w:rsidRPr="003C3EFA">
              <w:rPr>
                <w:sz w:val="20"/>
                <w:szCs w:val="20"/>
              </w:rPr>
              <w:t xml:space="preserve">MoCC </w:t>
            </w:r>
          </w:p>
        </w:tc>
        <w:tc>
          <w:tcPr>
            <w:tcW w:w="1270" w:type="dxa"/>
            <w:shd w:val="clear" w:color="auto" w:fill="FFFFFF" w:themeFill="background1"/>
          </w:tcPr>
          <w:p w14:paraId="5FF3E788" w14:textId="75899D3D" w:rsidR="001C275D" w:rsidRPr="000926A6" w:rsidRDefault="001C275D" w:rsidP="001C275D">
            <w:pPr>
              <w:rPr>
                <w:rFonts w:cs="Times New Roman"/>
                <w:sz w:val="20"/>
                <w:szCs w:val="20"/>
              </w:rPr>
            </w:pPr>
            <w:r w:rsidRPr="002F7DA5">
              <w:rPr>
                <w:sz w:val="20"/>
                <w:szCs w:val="20"/>
              </w:rPr>
              <w:t>Mar</w:t>
            </w:r>
            <w:r>
              <w:rPr>
                <w:sz w:val="20"/>
                <w:szCs w:val="20"/>
              </w:rPr>
              <w:t xml:space="preserve"> </w:t>
            </w:r>
            <w:r w:rsidRPr="002F7DA5">
              <w:rPr>
                <w:sz w:val="20"/>
                <w:szCs w:val="20"/>
              </w:rPr>
              <w:t>2022</w:t>
            </w:r>
          </w:p>
        </w:tc>
        <w:tc>
          <w:tcPr>
            <w:tcW w:w="1202" w:type="dxa"/>
            <w:shd w:val="clear" w:color="auto" w:fill="FFFFFF" w:themeFill="background1"/>
          </w:tcPr>
          <w:p w14:paraId="2E35FF07" w14:textId="0F2F9EC2" w:rsidR="001C275D" w:rsidRPr="000926A6" w:rsidRDefault="001C275D" w:rsidP="001C275D">
            <w:pPr>
              <w:rPr>
                <w:rFonts w:cs="Times New Roman"/>
                <w:sz w:val="20"/>
                <w:szCs w:val="20"/>
              </w:rPr>
            </w:pPr>
          </w:p>
        </w:tc>
        <w:tc>
          <w:tcPr>
            <w:tcW w:w="1190" w:type="dxa"/>
            <w:shd w:val="clear" w:color="auto" w:fill="FFFFFF" w:themeFill="background1"/>
          </w:tcPr>
          <w:p w14:paraId="2CEA4536" w14:textId="30EA34CC" w:rsidR="001C275D" w:rsidRPr="000926A6" w:rsidRDefault="001C275D" w:rsidP="001C275D">
            <w:pPr>
              <w:rPr>
                <w:rFonts w:cs="Times New Roman"/>
                <w:sz w:val="20"/>
                <w:szCs w:val="20"/>
              </w:rPr>
            </w:pPr>
          </w:p>
        </w:tc>
      </w:tr>
      <w:tr w:rsidR="004F1479" w:rsidRPr="000926A6" w14:paraId="71A90475" w14:textId="326DEC34" w:rsidTr="00285FF5">
        <w:tc>
          <w:tcPr>
            <w:tcW w:w="7489" w:type="dxa"/>
            <w:shd w:val="clear" w:color="auto" w:fill="FFFFFF" w:themeFill="background1"/>
          </w:tcPr>
          <w:p w14:paraId="5F36656B" w14:textId="77777777" w:rsidR="004F1479" w:rsidRDefault="004F1479" w:rsidP="004F1479">
            <w:pPr>
              <w:rPr>
                <w:rFonts w:cs="Times New Roman"/>
                <w:b/>
                <w:sz w:val="20"/>
                <w:szCs w:val="20"/>
              </w:rPr>
            </w:pPr>
            <w:r w:rsidRPr="000926A6">
              <w:rPr>
                <w:rFonts w:cs="Times New Roman"/>
                <w:b/>
                <w:sz w:val="20"/>
                <w:szCs w:val="20"/>
              </w:rPr>
              <w:t>Recommendation 3</w:t>
            </w:r>
            <w:r>
              <w:rPr>
                <w:rFonts w:cs="Times New Roman"/>
                <w:b/>
                <w:sz w:val="20"/>
                <w:szCs w:val="20"/>
              </w:rPr>
              <w:t xml:space="preserve">: </w:t>
            </w:r>
          </w:p>
          <w:p w14:paraId="4B6D1D2D" w14:textId="6AD01DFA" w:rsidR="004F1479" w:rsidRPr="00790E71" w:rsidRDefault="004F1479" w:rsidP="004F1479">
            <w:pPr>
              <w:pStyle w:val="ListParagraph"/>
              <w:numPr>
                <w:ilvl w:val="0"/>
                <w:numId w:val="6"/>
              </w:numPr>
              <w:rPr>
                <w:rFonts w:cs="Times New Roman"/>
                <w:sz w:val="20"/>
                <w:szCs w:val="20"/>
              </w:rPr>
            </w:pPr>
            <w:r w:rsidRPr="00790E71">
              <w:rPr>
                <w:b/>
                <w:bCs/>
                <w:sz w:val="20"/>
                <w:szCs w:val="20"/>
              </w:rPr>
              <w:lastRenderedPageBreak/>
              <w:t xml:space="preserve">High turnover of focal points of the federal and provincial IPs: </w:t>
            </w:r>
            <w:r w:rsidRPr="00790E71">
              <w:rPr>
                <w:sz w:val="20"/>
                <w:szCs w:val="20"/>
              </w:rPr>
              <w:t>A good lesson regarding meeting the gaps due to high turnover of the focal points in provinces was to identify the alternate focal points (second in-charge in the office). These arrangements need to be adopted in future projects as well.</w:t>
            </w:r>
          </w:p>
          <w:p w14:paraId="4D1AEABE" w14:textId="144BF38C" w:rsidR="004F1479" w:rsidRPr="00790E71" w:rsidRDefault="004F1479" w:rsidP="004F1479">
            <w:pPr>
              <w:pStyle w:val="ListParagraph"/>
              <w:numPr>
                <w:ilvl w:val="0"/>
                <w:numId w:val="6"/>
              </w:numPr>
              <w:rPr>
                <w:rFonts w:cs="Times New Roman"/>
                <w:sz w:val="20"/>
                <w:szCs w:val="20"/>
              </w:rPr>
            </w:pPr>
            <w:r w:rsidRPr="00D546B2">
              <w:rPr>
                <w:rFonts w:cs="Times New Roman"/>
                <w:b/>
                <w:bCs/>
                <w:sz w:val="20"/>
                <w:szCs w:val="20"/>
              </w:rPr>
              <w:t>Action</w:t>
            </w:r>
            <w:r>
              <w:rPr>
                <w:rFonts w:cs="Times New Roman"/>
                <w:sz w:val="20"/>
                <w:szCs w:val="20"/>
              </w:rPr>
              <w:t xml:space="preserve">: </w:t>
            </w:r>
            <w:r w:rsidRPr="003C3EFA">
              <w:rPr>
                <w:sz w:val="20"/>
                <w:szCs w:val="20"/>
              </w:rPr>
              <w:t>For future GEF funded UNDP projects, the IP/MoCC and provincial IPs to consider the good practice adopted by the provinces to cover gaps.</w:t>
            </w:r>
          </w:p>
          <w:p w14:paraId="34051AD2" w14:textId="77777777" w:rsidR="004F1479" w:rsidRPr="000926A6" w:rsidRDefault="004F1479" w:rsidP="004F1479">
            <w:pPr>
              <w:rPr>
                <w:rFonts w:cs="Times New Roman"/>
                <w:sz w:val="20"/>
                <w:szCs w:val="20"/>
              </w:rPr>
            </w:pPr>
          </w:p>
          <w:p w14:paraId="42E2AB1A" w14:textId="01B024A2" w:rsidR="004F1479" w:rsidRDefault="004F1479" w:rsidP="004F1479">
            <w:pPr>
              <w:rPr>
                <w:rFonts w:cs="Times New Roman"/>
                <w:b/>
                <w:bCs/>
                <w:sz w:val="20"/>
                <w:szCs w:val="20"/>
              </w:rPr>
            </w:pPr>
            <w:r w:rsidRPr="000926A6">
              <w:rPr>
                <w:rFonts w:cs="Times New Roman"/>
                <w:b/>
                <w:bCs/>
                <w:sz w:val="20"/>
                <w:szCs w:val="20"/>
              </w:rPr>
              <w:t>Management Response:</w:t>
            </w:r>
          </w:p>
          <w:p w14:paraId="469E6726" w14:textId="77777777" w:rsidR="00B12AD0" w:rsidRPr="00B12AD0" w:rsidRDefault="00B12AD0" w:rsidP="009113B5">
            <w:pPr>
              <w:shd w:val="clear" w:color="auto" w:fill="FFFFFF" w:themeFill="background1"/>
              <w:rPr>
                <w:rFonts w:cs="Times New Roman"/>
                <w:sz w:val="20"/>
                <w:szCs w:val="20"/>
              </w:rPr>
            </w:pPr>
            <w:r>
              <w:rPr>
                <w:rFonts w:cs="Times New Roman"/>
                <w:sz w:val="20"/>
                <w:szCs w:val="20"/>
              </w:rPr>
              <w:t>UNDP agrees with this recommendation and will share the Terminal Evaluation report along with recommendations with MoCC/IP for consideration.</w:t>
            </w:r>
          </w:p>
          <w:p w14:paraId="2721031C" w14:textId="2EBC0CF8" w:rsidR="004F1479" w:rsidRPr="000926A6" w:rsidRDefault="004F1479" w:rsidP="004F1479">
            <w:pPr>
              <w:rPr>
                <w:rFonts w:cs="Times New Roman"/>
                <w:sz w:val="20"/>
                <w:szCs w:val="20"/>
              </w:rPr>
            </w:pPr>
          </w:p>
        </w:tc>
        <w:tc>
          <w:tcPr>
            <w:tcW w:w="1318" w:type="dxa"/>
            <w:shd w:val="clear" w:color="auto" w:fill="FFFFFF" w:themeFill="background1"/>
          </w:tcPr>
          <w:p w14:paraId="4C1AC7EB" w14:textId="4D00DC7B" w:rsidR="004F1479" w:rsidRPr="000926A6" w:rsidRDefault="004F1479" w:rsidP="004F1479">
            <w:pPr>
              <w:rPr>
                <w:rFonts w:cs="Times New Roman"/>
                <w:sz w:val="20"/>
                <w:szCs w:val="20"/>
              </w:rPr>
            </w:pPr>
            <w:r>
              <w:rPr>
                <w:sz w:val="20"/>
                <w:szCs w:val="20"/>
              </w:rPr>
              <w:lastRenderedPageBreak/>
              <w:t>MoCC</w:t>
            </w:r>
          </w:p>
        </w:tc>
        <w:tc>
          <w:tcPr>
            <w:tcW w:w="1270" w:type="dxa"/>
            <w:shd w:val="clear" w:color="auto" w:fill="FFFFFF" w:themeFill="background1"/>
          </w:tcPr>
          <w:p w14:paraId="1D80CF9A" w14:textId="35172816" w:rsidR="004F1479" w:rsidRPr="000926A6" w:rsidRDefault="004F1479" w:rsidP="004F1479">
            <w:pPr>
              <w:rPr>
                <w:rFonts w:cs="Times New Roman"/>
                <w:sz w:val="20"/>
                <w:szCs w:val="20"/>
              </w:rPr>
            </w:pPr>
            <w:r w:rsidRPr="002F7DA5">
              <w:rPr>
                <w:sz w:val="20"/>
                <w:szCs w:val="20"/>
              </w:rPr>
              <w:t>Mar 2022</w:t>
            </w:r>
          </w:p>
        </w:tc>
        <w:tc>
          <w:tcPr>
            <w:tcW w:w="1202" w:type="dxa"/>
            <w:shd w:val="clear" w:color="auto" w:fill="FFFFFF" w:themeFill="background1"/>
          </w:tcPr>
          <w:p w14:paraId="50F72BAC" w14:textId="4659572F" w:rsidR="004F1479" w:rsidRPr="000926A6" w:rsidRDefault="004F1479" w:rsidP="004F1479">
            <w:pPr>
              <w:rPr>
                <w:rFonts w:cs="Times New Roman"/>
                <w:sz w:val="20"/>
                <w:szCs w:val="20"/>
              </w:rPr>
            </w:pPr>
          </w:p>
        </w:tc>
        <w:tc>
          <w:tcPr>
            <w:tcW w:w="1190" w:type="dxa"/>
            <w:shd w:val="clear" w:color="auto" w:fill="FFFFFF" w:themeFill="background1"/>
          </w:tcPr>
          <w:p w14:paraId="3E0B5A96" w14:textId="7E4B8451" w:rsidR="004F1479" w:rsidRPr="000926A6" w:rsidRDefault="004F1479" w:rsidP="004F1479">
            <w:pPr>
              <w:rPr>
                <w:rFonts w:cs="Times New Roman"/>
                <w:sz w:val="20"/>
                <w:szCs w:val="20"/>
              </w:rPr>
            </w:pPr>
          </w:p>
        </w:tc>
      </w:tr>
      <w:tr w:rsidR="004F1479" w:rsidRPr="000926A6" w14:paraId="19568B96" w14:textId="549F0236" w:rsidTr="00285FF5">
        <w:tc>
          <w:tcPr>
            <w:tcW w:w="7489" w:type="dxa"/>
            <w:shd w:val="clear" w:color="auto" w:fill="FFFFFF" w:themeFill="background1"/>
          </w:tcPr>
          <w:p w14:paraId="0CCAE2DC" w14:textId="11B1EA01" w:rsidR="004F1479" w:rsidRPr="000926A6" w:rsidRDefault="004F1479" w:rsidP="004F1479">
            <w:pPr>
              <w:rPr>
                <w:rFonts w:cs="Times New Roman"/>
                <w:sz w:val="20"/>
                <w:szCs w:val="20"/>
              </w:rPr>
            </w:pPr>
            <w:r w:rsidRPr="000926A6">
              <w:rPr>
                <w:rFonts w:cs="Times New Roman"/>
                <w:b/>
                <w:sz w:val="20"/>
                <w:szCs w:val="20"/>
              </w:rPr>
              <w:t>Recommendation 4</w:t>
            </w:r>
          </w:p>
          <w:p w14:paraId="69B95E23" w14:textId="77777777" w:rsidR="004F1479" w:rsidRPr="00D66392" w:rsidRDefault="004F1479" w:rsidP="004F1479">
            <w:pPr>
              <w:pStyle w:val="ListParagraph"/>
              <w:numPr>
                <w:ilvl w:val="0"/>
                <w:numId w:val="7"/>
              </w:numPr>
              <w:rPr>
                <w:rFonts w:cs="Times New Roman"/>
                <w:b/>
                <w:bCs/>
                <w:sz w:val="20"/>
                <w:szCs w:val="20"/>
              </w:rPr>
            </w:pPr>
            <w:proofErr w:type="spellStart"/>
            <w:r w:rsidRPr="00D546B2">
              <w:rPr>
                <w:b/>
                <w:bCs/>
                <w:sz w:val="20"/>
                <w:szCs w:val="20"/>
              </w:rPr>
              <w:t>MoCC’s</w:t>
            </w:r>
            <w:proofErr w:type="spellEnd"/>
            <w:r w:rsidRPr="00D546B2">
              <w:rPr>
                <w:b/>
                <w:bCs/>
                <w:sz w:val="20"/>
                <w:szCs w:val="20"/>
              </w:rPr>
              <w:t xml:space="preserve"> supervision: </w:t>
            </w:r>
            <w:r w:rsidRPr="00D546B2">
              <w:rPr>
                <w:sz w:val="20"/>
                <w:szCs w:val="20"/>
              </w:rPr>
              <w:t>Close liaison of the NPD and project team to ensure implementation of the planned activities. The NPD should have clear plan of action to ensure effective oversight and monitoring of the project activities (especially when there is no M&amp;E position in projects).</w:t>
            </w:r>
          </w:p>
          <w:p w14:paraId="075D4F31" w14:textId="77777777" w:rsidR="004F1479" w:rsidRPr="00D66392" w:rsidRDefault="004F1479" w:rsidP="004F1479">
            <w:pPr>
              <w:pStyle w:val="ListParagraph"/>
              <w:numPr>
                <w:ilvl w:val="0"/>
                <w:numId w:val="7"/>
              </w:numPr>
              <w:rPr>
                <w:rFonts w:cs="Times New Roman"/>
                <w:b/>
                <w:bCs/>
                <w:sz w:val="20"/>
                <w:szCs w:val="20"/>
              </w:rPr>
            </w:pPr>
            <w:r w:rsidRPr="00D66392">
              <w:rPr>
                <w:rFonts w:cs="Times New Roman"/>
                <w:b/>
                <w:bCs/>
                <w:sz w:val="20"/>
                <w:szCs w:val="20"/>
              </w:rPr>
              <w:t xml:space="preserve">Action: </w:t>
            </w:r>
            <w:proofErr w:type="spellStart"/>
            <w:r w:rsidRPr="00D66392">
              <w:rPr>
                <w:rFonts w:cs="Times New Roman"/>
                <w:sz w:val="20"/>
                <w:szCs w:val="20"/>
              </w:rPr>
              <w:t>i</w:t>
            </w:r>
            <w:proofErr w:type="spellEnd"/>
            <w:r w:rsidRPr="00D66392">
              <w:rPr>
                <w:rFonts w:cs="Times New Roman"/>
                <w:sz w:val="20"/>
                <w:szCs w:val="20"/>
              </w:rPr>
              <w:t>)</w:t>
            </w:r>
            <w:r w:rsidRPr="00D66392">
              <w:rPr>
                <w:rFonts w:cs="Times New Roman"/>
                <w:b/>
                <w:bCs/>
                <w:sz w:val="20"/>
                <w:szCs w:val="20"/>
              </w:rPr>
              <w:t xml:space="preserve">. </w:t>
            </w:r>
            <w:r w:rsidRPr="00D66392">
              <w:rPr>
                <w:sz w:val="20"/>
                <w:szCs w:val="20"/>
              </w:rPr>
              <w:t xml:space="preserve">In future GEF projects the NPDs should have clear plan of action regarding supervision and monitoring of projects activities based. ii). Findings of the NPDs supervisory/ monitoring visits and meetings should also be reflected in the APRs.  </w:t>
            </w:r>
          </w:p>
          <w:p w14:paraId="5E6DC04D" w14:textId="77777777" w:rsidR="004F1479" w:rsidRPr="000926A6" w:rsidRDefault="004F1479" w:rsidP="004F1479">
            <w:pPr>
              <w:rPr>
                <w:rFonts w:cs="Times New Roman"/>
                <w:sz w:val="20"/>
                <w:szCs w:val="20"/>
              </w:rPr>
            </w:pPr>
          </w:p>
          <w:p w14:paraId="33773486" w14:textId="63A281BE" w:rsidR="004F1479" w:rsidRDefault="004F1479" w:rsidP="004F1479">
            <w:pPr>
              <w:rPr>
                <w:rFonts w:cs="Times New Roman"/>
                <w:b/>
                <w:bCs/>
                <w:sz w:val="20"/>
                <w:szCs w:val="20"/>
              </w:rPr>
            </w:pPr>
            <w:r w:rsidRPr="000926A6">
              <w:rPr>
                <w:rFonts w:cs="Times New Roman"/>
                <w:b/>
                <w:bCs/>
                <w:sz w:val="20"/>
                <w:szCs w:val="20"/>
              </w:rPr>
              <w:t>Management Response:</w:t>
            </w:r>
          </w:p>
          <w:p w14:paraId="45E7FDD6" w14:textId="7001DD32" w:rsidR="00B12AD0" w:rsidRPr="00B12AD0" w:rsidRDefault="00B12AD0" w:rsidP="009113B5">
            <w:pPr>
              <w:shd w:val="clear" w:color="auto" w:fill="FFFFFF" w:themeFill="background1"/>
              <w:rPr>
                <w:rFonts w:cs="Times New Roman"/>
                <w:sz w:val="20"/>
                <w:szCs w:val="20"/>
              </w:rPr>
            </w:pPr>
            <w:r>
              <w:rPr>
                <w:rFonts w:cs="Times New Roman"/>
                <w:sz w:val="20"/>
                <w:szCs w:val="20"/>
              </w:rPr>
              <w:t>UNDP will share the Terminal Evaluation report along with recommendations with MoCC/IP for consideration.</w:t>
            </w:r>
          </w:p>
          <w:p w14:paraId="7C1D0193" w14:textId="78E077DD" w:rsidR="004F1479" w:rsidRPr="000926A6" w:rsidRDefault="004F1479" w:rsidP="004F1479">
            <w:pPr>
              <w:rPr>
                <w:rFonts w:cs="Times New Roman"/>
                <w:sz w:val="20"/>
                <w:szCs w:val="20"/>
              </w:rPr>
            </w:pPr>
          </w:p>
        </w:tc>
        <w:tc>
          <w:tcPr>
            <w:tcW w:w="1318" w:type="dxa"/>
            <w:shd w:val="clear" w:color="auto" w:fill="FFFFFF" w:themeFill="background1"/>
          </w:tcPr>
          <w:p w14:paraId="7FD25504" w14:textId="7E41A3F5" w:rsidR="004F1479" w:rsidRPr="000926A6" w:rsidRDefault="004F1479" w:rsidP="004F1479">
            <w:pPr>
              <w:rPr>
                <w:rFonts w:cs="Times New Roman"/>
                <w:sz w:val="20"/>
                <w:szCs w:val="20"/>
              </w:rPr>
            </w:pPr>
            <w:r>
              <w:rPr>
                <w:sz w:val="20"/>
                <w:szCs w:val="20"/>
              </w:rPr>
              <w:t>MoCC</w:t>
            </w:r>
          </w:p>
        </w:tc>
        <w:tc>
          <w:tcPr>
            <w:tcW w:w="1270" w:type="dxa"/>
            <w:shd w:val="clear" w:color="auto" w:fill="FFFFFF" w:themeFill="background1"/>
          </w:tcPr>
          <w:p w14:paraId="23EB6A37" w14:textId="373BD8ED" w:rsidR="004F1479" w:rsidRPr="000926A6" w:rsidRDefault="004F1479" w:rsidP="004F1479">
            <w:pPr>
              <w:rPr>
                <w:rFonts w:cs="Times New Roman"/>
                <w:sz w:val="20"/>
                <w:szCs w:val="20"/>
              </w:rPr>
            </w:pPr>
            <w:r w:rsidRPr="002F7DA5">
              <w:rPr>
                <w:sz w:val="20"/>
                <w:szCs w:val="20"/>
              </w:rPr>
              <w:t>Mar 2022</w:t>
            </w:r>
          </w:p>
        </w:tc>
        <w:tc>
          <w:tcPr>
            <w:tcW w:w="1202" w:type="dxa"/>
            <w:shd w:val="clear" w:color="auto" w:fill="FFFFFF" w:themeFill="background1"/>
          </w:tcPr>
          <w:p w14:paraId="3092403E" w14:textId="1359378D" w:rsidR="004F1479" w:rsidRPr="000926A6" w:rsidRDefault="004F1479" w:rsidP="004F1479">
            <w:pPr>
              <w:rPr>
                <w:rFonts w:cs="Times New Roman"/>
                <w:sz w:val="20"/>
                <w:szCs w:val="20"/>
              </w:rPr>
            </w:pPr>
          </w:p>
        </w:tc>
        <w:tc>
          <w:tcPr>
            <w:tcW w:w="1190" w:type="dxa"/>
            <w:shd w:val="clear" w:color="auto" w:fill="FFFFFF" w:themeFill="background1"/>
          </w:tcPr>
          <w:p w14:paraId="7324A3A9" w14:textId="60B4C535" w:rsidR="004F1479" w:rsidRPr="000926A6" w:rsidRDefault="004F1479" w:rsidP="004F1479">
            <w:pPr>
              <w:rPr>
                <w:rFonts w:cs="Times New Roman"/>
                <w:sz w:val="20"/>
                <w:szCs w:val="20"/>
              </w:rPr>
            </w:pPr>
          </w:p>
        </w:tc>
      </w:tr>
      <w:tr w:rsidR="00652E35" w:rsidRPr="000926A6" w14:paraId="0E54EC33" w14:textId="5FA786A0" w:rsidTr="00285FF5">
        <w:tc>
          <w:tcPr>
            <w:tcW w:w="7489" w:type="dxa"/>
            <w:shd w:val="clear" w:color="auto" w:fill="FFFFFF" w:themeFill="background1"/>
          </w:tcPr>
          <w:p w14:paraId="167524AE" w14:textId="77777777" w:rsidR="00652E35" w:rsidRDefault="00652E35" w:rsidP="00652E35">
            <w:pPr>
              <w:rPr>
                <w:b/>
                <w:bCs/>
                <w:sz w:val="20"/>
                <w:szCs w:val="20"/>
              </w:rPr>
            </w:pPr>
            <w:r>
              <w:rPr>
                <w:b/>
                <w:bCs/>
                <w:sz w:val="20"/>
                <w:szCs w:val="20"/>
              </w:rPr>
              <w:t xml:space="preserve">Recommendation 5: </w:t>
            </w:r>
          </w:p>
          <w:p w14:paraId="270CDDD6" w14:textId="77777777" w:rsidR="00652E35" w:rsidRPr="00926A45" w:rsidRDefault="00652E35" w:rsidP="00652E35">
            <w:pPr>
              <w:pStyle w:val="ListParagraph"/>
              <w:numPr>
                <w:ilvl w:val="0"/>
                <w:numId w:val="10"/>
              </w:numPr>
              <w:rPr>
                <w:rFonts w:cs="Times New Roman"/>
                <w:sz w:val="21"/>
                <w:szCs w:val="21"/>
              </w:rPr>
            </w:pPr>
            <w:r w:rsidRPr="00926A45">
              <w:rPr>
                <w:b/>
                <w:bCs/>
                <w:sz w:val="20"/>
                <w:szCs w:val="20"/>
              </w:rPr>
              <w:t xml:space="preserve">Changes in the project management and implementation strategy without proper approval: </w:t>
            </w:r>
            <w:r w:rsidRPr="00926A45">
              <w:rPr>
                <w:sz w:val="20"/>
                <w:szCs w:val="20"/>
              </w:rPr>
              <w:t>Some changes like non establishment of the implementation committees at provincial level and non-engagement of the provincial coordinators and their IT staff are neither documented nor any approval of competent forums/ authorities were provided by the project management. Such changes need to be properly approved from concerned forum and properly documented as well as explained in the APRs.</w:t>
            </w:r>
          </w:p>
          <w:p w14:paraId="33A71E2E" w14:textId="6E40C843" w:rsidR="00652E35" w:rsidRPr="00C038D7" w:rsidRDefault="00652E35" w:rsidP="00652E35">
            <w:pPr>
              <w:pStyle w:val="ListParagraph"/>
              <w:numPr>
                <w:ilvl w:val="0"/>
                <w:numId w:val="10"/>
              </w:numPr>
              <w:rPr>
                <w:rFonts w:cs="Times New Roman"/>
                <w:sz w:val="21"/>
                <w:szCs w:val="21"/>
              </w:rPr>
            </w:pPr>
            <w:r>
              <w:rPr>
                <w:b/>
                <w:bCs/>
                <w:sz w:val="20"/>
                <w:szCs w:val="20"/>
              </w:rPr>
              <w:t>Action:</w:t>
            </w:r>
            <w:r>
              <w:rPr>
                <w:rFonts w:cs="Times New Roman"/>
                <w:sz w:val="21"/>
                <w:szCs w:val="21"/>
              </w:rPr>
              <w:t xml:space="preserve"> </w:t>
            </w:r>
            <w:r w:rsidRPr="00F87C32">
              <w:rPr>
                <w:sz w:val="20"/>
                <w:szCs w:val="20"/>
              </w:rPr>
              <w:t xml:space="preserve">For the future GEF-funded UNDP projects, approval for any changes in the organizational/project coordination structure to be discussed and approved </w:t>
            </w:r>
            <w:r w:rsidRPr="00F87C32">
              <w:rPr>
                <w:sz w:val="20"/>
                <w:szCs w:val="20"/>
              </w:rPr>
              <w:lastRenderedPageBreak/>
              <w:t>in the Project Board meetings</w:t>
            </w:r>
            <w:r>
              <w:rPr>
                <w:sz w:val="20"/>
                <w:szCs w:val="20"/>
              </w:rPr>
              <w:t>. Moreover, such changes should be reflected in the AWPs and APRs.</w:t>
            </w:r>
          </w:p>
          <w:p w14:paraId="464F9911" w14:textId="77777777" w:rsidR="00C038D7" w:rsidRPr="00926A45" w:rsidRDefault="00C038D7" w:rsidP="00652E35">
            <w:pPr>
              <w:pStyle w:val="ListParagraph"/>
              <w:numPr>
                <w:ilvl w:val="0"/>
                <w:numId w:val="10"/>
              </w:numPr>
              <w:rPr>
                <w:rFonts w:cs="Times New Roman"/>
                <w:sz w:val="21"/>
                <w:szCs w:val="21"/>
              </w:rPr>
            </w:pPr>
          </w:p>
          <w:p w14:paraId="2D3D9078" w14:textId="77777777" w:rsidR="00652E35" w:rsidRPr="00926A45" w:rsidRDefault="00652E35" w:rsidP="00652E35">
            <w:pPr>
              <w:rPr>
                <w:rFonts w:cs="Times New Roman"/>
                <w:b/>
                <w:bCs/>
                <w:sz w:val="21"/>
                <w:szCs w:val="21"/>
              </w:rPr>
            </w:pPr>
            <w:r w:rsidRPr="00926A45">
              <w:rPr>
                <w:rFonts w:cs="Times New Roman"/>
                <w:b/>
                <w:bCs/>
                <w:sz w:val="21"/>
                <w:szCs w:val="21"/>
              </w:rPr>
              <w:t xml:space="preserve">Management response: </w:t>
            </w:r>
          </w:p>
          <w:p w14:paraId="0C52D4DF" w14:textId="77777777" w:rsidR="009113B5" w:rsidRPr="009113B5" w:rsidRDefault="009113B5" w:rsidP="009113B5">
            <w:pPr>
              <w:shd w:val="clear" w:color="auto" w:fill="FFFFFF" w:themeFill="background1"/>
              <w:rPr>
                <w:rFonts w:cs="Times New Roman"/>
                <w:sz w:val="20"/>
                <w:szCs w:val="20"/>
              </w:rPr>
            </w:pPr>
            <w:r w:rsidRPr="009113B5">
              <w:rPr>
                <w:rFonts w:cs="Times New Roman"/>
                <w:sz w:val="20"/>
                <w:szCs w:val="20"/>
              </w:rPr>
              <w:t>UNDP agrees with this recommendation and will share the Terminal Evaluation report along with recommendations with for consideration of IP/MoCC.</w:t>
            </w:r>
          </w:p>
          <w:p w14:paraId="2835B789" w14:textId="4E831721" w:rsidR="00652E35" w:rsidRPr="000926A6" w:rsidRDefault="00652E35" w:rsidP="00652E35">
            <w:pPr>
              <w:rPr>
                <w:rFonts w:cs="Times New Roman"/>
                <w:sz w:val="20"/>
                <w:szCs w:val="20"/>
              </w:rPr>
            </w:pPr>
          </w:p>
        </w:tc>
        <w:tc>
          <w:tcPr>
            <w:tcW w:w="1318" w:type="dxa"/>
            <w:shd w:val="clear" w:color="auto" w:fill="FFFFFF" w:themeFill="background1"/>
          </w:tcPr>
          <w:p w14:paraId="2A7CC62D" w14:textId="7232FDE1" w:rsidR="00652E35" w:rsidRPr="000926A6" w:rsidRDefault="00652E35" w:rsidP="00652E35">
            <w:pPr>
              <w:rPr>
                <w:rFonts w:cs="Times New Roman"/>
                <w:sz w:val="20"/>
                <w:szCs w:val="20"/>
              </w:rPr>
            </w:pPr>
            <w:r w:rsidRPr="00926A45">
              <w:rPr>
                <w:rFonts w:cs="Times New Roman"/>
                <w:sz w:val="21"/>
                <w:szCs w:val="21"/>
              </w:rPr>
              <w:lastRenderedPageBreak/>
              <w:t xml:space="preserve">MoCC (NPC GGEB Project) </w:t>
            </w:r>
          </w:p>
        </w:tc>
        <w:tc>
          <w:tcPr>
            <w:tcW w:w="1270" w:type="dxa"/>
            <w:shd w:val="clear" w:color="auto" w:fill="FFFFFF" w:themeFill="background1"/>
          </w:tcPr>
          <w:p w14:paraId="0FCB890A" w14:textId="2942A404" w:rsidR="00652E35" w:rsidRPr="000926A6" w:rsidRDefault="00652E35" w:rsidP="00652E35">
            <w:pPr>
              <w:rPr>
                <w:rFonts w:cs="Times New Roman"/>
                <w:sz w:val="20"/>
                <w:szCs w:val="20"/>
              </w:rPr>
            </w:pPr>
            <w:r w:rsidRPr="00926A45">
              <w:rPr>
                <w:rFonts w:cs="Times New Roman"/>
                <w:sz w:val="21"/>
                <w:szCs w:val="21"/>
              </w:rPr>
              <w:t>Mar 2022</w:t>
            </w:r>
          </w:p>
        </w:tc>
        <w:tc>
          <w:tcPr>
            <w:tcW w:w="1202" w:type="dxa"/>
            <w:shd w:val="clear" w:color="auto" w:fill="FFFFFF" w:themeFill="background1"/>
          </w:tcPr>
          <w:p w14:paraId="3E9595A3" w14:textId="2E6BF727" w:rsidR="00652E35" w:rsidRPr="000926A6" w:rsidRDefault="00652E35" w:rsidP="00652E35">
            <w:pPr>
              <w:rPr>
                <w:rFonts w:cs="Times New Roman"/>
                <w:sz w:val="20"/>
                <w:szCs w:val="20"/>
              </w:rPr>
            </w:pPr>
          </w:p>
        </w:tc>
        <w:tc>
          <w:tcPr>
            <w:tcW w:w="1190" w:type="dxa"/>
            <w:shd w:val="clear" w:color="auto" w:fill="FFFFFF" w:themeFill="background1"/>
          </w:tcPr>
          <w:p w14:paraId="38E48842" w14:textId="7EF56F67" w:rsidR="00652E35" w:rsidRPr="000926A6" w:rsidRDefault="00652E35" w:rsidP="00652E35">
            <w:pPr>
              <w:rPr>
                <w:rFonts w:cs="Times New Roman"/>
                <w:sz w:val="20"/>
                <w:szCs w:val="20"/>
              </w:rPr>
            </w:pPr>
          </w:p>
        </w:tc>
      </w:tr>
      <w:tr w:rsidR="00652E35" w:rsidRPr="000926A6" w14:paraId="2C4E5C75" w14:textId="324C278A" w:rsidTr="00285FF5">
        <w:tc>
          <w:tcPr>
            <w:tcW w:w="7489" w:type="dxa"/>
            <w:shd w:val="clear" w:color="auto" w:fill="FFFFFF" w:themeFill="background1"/>
          </w:tcPr>
          <w:p w14:paraId="7C9AE9EB" w14:textId="77777777" w:rsidR="00652E35" w:rsidRPr="009113B5" w:rsidRDefault="00652E35" w:rsidP="00652E35">
            <w:pPr>
              <w:rPr>
                <w:b/>
                <w:bCs/>
                <w:sz w:val="20"/>
                <w:szCs w:val="20"/>
              </w:rPr>
            </w:pPr>
            <w:r w:rsidRPr="009113B5">
              <w:rPr>
                <w:b/>
                <w:bCs/>
                <w:sz w:val="20"/>
                <w:szCs w:val="20"/>
              </w:rPr>
              <w:t xml:space="preserve">Recommendation 6: </w:t>
            </w:r>
          </w:p>
          <w:p w14:paraId="5E0CCC9D" w14:textId="77777777" w:rsidR="00652E35" w:rsidRPr="009113B5" w:rsidRDefault="00652E35" w:rsidP="00652E35">
            <w:pPr>
              <w:pStyle w:val="ListParagraph"/>
              <w:numPr>
                <w:ilvl w:val="0"/>
                <w:numId w:val="11"/>
              </w:numPr>
              <w:rPr>
                <w:b/>
                <w:bCs/>
                <w:sz w:val="20"/>
                <w:szCs w:val="20"/>
              </w:rPr>
            </w:pPr>
            <w:r w:rsidRPr="009113B5">
              <w:rPr>
                <w:b/>
                <w:bCs/>
                <w:sz w:val="20"/>
                <w:szCs w:val="20"/>
              </w:rPr>
              <w:t>Completion of remining planned activities and tasks</w:t>
            </w:r>
            <w:r w:rsidRPr="009113B5">
              <w:rPr>
                <w:sz w:val="20"/>
                <w:szCs w:val="20"/>
              </w:rPr>
              <w:t>: Some activities are reported by the project management as in progress. Project management should ensure completion of the planned activities and tasks.</w:t>
            </w:r>
          </w:p>
          <w:p w14:paraId="2C1280C6" w14:textId="77777777" w:rsidR="00652E35" w:rsidRPr="009113B5" w:rsidRDefault="00652E35" w:rsidP="00652E35">
            <w:pPr>
              <w:pStyle w:val="ListParagraph"/>
              <w:numPr>
                <w:ilvl w:val="0"/>
                <w:numId w:val="11"/>
              </w:numPr>
              <w:rPr>
                <w:b/>
                <w:bCs/>
                <w:sz w:val="20"/>
                <w:szCs w:val="20"/>
              </w:rPr>
            </w:pPr>
            <w:r w:rsidRPr="009113B5">
              <w:rPr>
                <w:b/>
                <w:bCs/>
                <w:sz w:val="20"/>
                <w:szCs w:val="20"/>
              </w:rPr>
              <w:t>Actions:</w:t>
            </w:r>
            <w:r w:rsidRPr="009113B5">
              <w:rPr>
                <w:sz w:val="20"/>
                <w:szCs w:val="20"/>
              </w:rPr>
              <w:t xml:space="preserve"> </w:t>
            </w:r>
            <w:proofErr w:type="spellStart"/>
            <w:r w:rsidRPr="009113B5">
              <w:rPr>
                <w:sz w:val="20"/>
                <w:szCs w:val="20"/>
              </w:rPr>
              <w:t>i</w:t>
            </w:r>
            <w:proofErr w:type="spellEnd"/>
            <w:r w:rsidRPr="009113B5">
              <w:rPr>
                <w:sz w:val="20"/>
                <w:szCs w:val="20"/>
              </w:rPr>
              <w:t>). EMIS establishment and operationalization at Pak EPA; ii). Finalization and publication of SOE report (ICT level); iii). Finalization and dissemination of awareness material. Pak EPA should be briefed and guided to upload and share the awareness material on its website; iv). Develop and share QC/ QA protocols; v). Finalize and share the four background/ review papers related to UNCBD, UNFCCC, UNCCD and NDCs revision with the focal persons.</w:t>
            </w:r>
          </w:p>
          <w:p w14:paraId="5CE2E852" w14:textId="77777777" w:rsidR="00652E35" w:rsidRPr="009113B5" w:rsidRDefault="00652E35" w:rsidP="00652E35"/>
          <w:p w14:paraId="07F77B11" w14:textId="77777777" w:rsidR="00652E35" w:rsidRPr="009113B5" w:rsidRDefault="00652E35" w:rsidP="00652E35">
            <w:pPr>
              <w:rPr>
                <w:b/>
                <w:bCs/>
                <w:sz w:val="20"/>
                <w:szCs w:val="20"/>
              </w:rPr>
            </w:pPr>
          </w:p>
          <w:p w14:paraId="3C38F685" w14:textId="77777777" w:rsidR="00652E35" w:rsidRPr="009113B5" w:rsidRDefault="00652E35" w:rsidP="00652E35">
            <w:pPr>
              <w:rPr>
                <w:rFonts w:cs="Times New Roman"/>
                <w:b/>
                <w:bCs/>
                <w:sz w:val="20"/>
                <w:szCs w:val="20"/>
              </w:rPr>
            </w:pPr>
            <w:r w:rsidRPr="009113B5">
              <w:rPr>
                <w:rFonts w:cs="Times New Roman"/>
                <w:b/>
                <w:bCs/>
                <w:sz w:val="20"/>
                <w:szCs w:val="20"/>
              </w:rPr>
              <w:t xml:space="preserve">Management response: </w:t>
            </w:r>
          </w:p>
          <w:p w14:paraId="6CCF05A9" w14:textId="5AEE4894" w:rsidR="00C038D7" w:rsidRPr="009113B5" w:rsidRDefault="00C038D7" w:rsidP="009113B5">
            <w:pPr>
              <w:shd w:val="clear" w:color="auto" w:fill="FFFFFF" w:themeFill="background1"/>
              <w:rPr>
                <w:rFonts w:cs="Times New Roman"/>
                <w:sz w:val="20"/>
                <w:szCs w:val="20"/>
              </w:rPr>
            </w:pPr>
            <w:r w:rsidRPr="009113B5">
              <w:rPr>
                <w:rFonts w:cs="Times New Roman"/>
                <w:sz w:val="20"/>
                <w:szCs w:val="20"/>
              </w:rPr>
              <w:t>UNDP agrees with this recommendation and will share the Terminal Evaluation report along with recommendations with for consideration of IP/MoCC.</w:t>
            </w:r>
          </w:p>
          <w:p w14:paraId="6AF61067" w14:textId="76AFFC36" w:rsidR="00C038D7" w:rsidRPr="009113B5" w:rsidRDefault="00C038D7" w:rsidP="00652E35">
            <w:pPr>
              <w:rPr>
                <w:rFonts w:cs="Times New Roman"/>
                <w:sz w:val="20"/>
                <w:szCs w:val="20"/>
              </w:rPr>
            </w:pPr>
          </w:p>
        </w:tc>
        <w:tc>
          <w:tcPr>
            <w:tcW w:w="1318" w:type="dxa"/>
            <w:shd w:val="clear" w:color="auto" w:fill="FFFFFF" w:themeFill="background1"/>
          </w:tcPr>
          <w:p w14:paraId="7CE0423D" w14:textId="705620C2" w:rsidR="00652E35" w:rsidRPr="000926A6" w:rsidRDefault="00652E35" w:rsidP="00652E35">
            <w:pPr>
              <w:rPr>
                <w:rFonts w:cs="Times New Roman"/>
                <w:sz w:val="20"/>
                <w:szCs w:val="20"/>
              </w:rPr>
            </w:pPr>
            <w:r>
              <w:rPr>
                <w:sz w:val="20"/>
                <w:szCs w:val="20"/>
              </w:rPr>
              <w:t>MoCC (</w:t>
            </w:r>
            <w:r w:rsidRPr="00A7090B">
              <w:rPr>
                <w:sz w:val="20"/>
                <w:szCs w:val="20"/>
              </w:rPr>
              <w:t>N</w:t>
            </w:r>
            <w:r>
              <w:rPr>
                <w:sz w:val="20"/>
                <w:szCs w:val="20"/>
              </w:rPr>
              <w:t>PC</w:t>
            </w:r>
            <w:r w:rsidRPr="00A7090B">
              <w:rPr>
                <w:sz w:val="20"/>
                <w:szCs w:val="20"/>
              </w:rPr>
              <w:t xml:space="preserve"> GGEB Project</w:t>
            </w:r>
            <w:r>
              <w:rPr>
                <w:sz w:val="20"/>
                <w:szCs w:val="20"/>
              </w:rPr>
              <w:t>)</w:t>
            </w:r>
          </w:p>
        </w:tc>
        <w:tc>
          <w:tcPr>
            <w:tcW w:w="1270" w:type="dxa"/>
            <w:shd w:val="clear" w:color="auto" w:fill="FFFFFF" w:themeFill="background1"/>
          </w:tcPr>
          <w:p w14:paraId="17261DB5" w14:textId="3333A784" w:rsidR="00652E35" w:rsidRPr="000926A6" w:rsidRDefault="00652E35" w:rsidP="00652E35">
            <w:pPr>
              <w:rPr>
                <w:rFonts w:cs="Times New Roman"/>
                <w:sz w:val="20"/>
                <w:szCs w:val="20"/>
              </w:rPr>
            </w:pPr>
            <w:r w:rsidRPr="002F7DA5">
              <w:rPr>
                <w:sz w:val="20"/>
                <w:szCs w:val="20"/>
              </w:rPr>
              <w:t>Feb-Mar 2022</w:t>
            </w:r>
          </w:p>
        </w:tc>
        <w:tc>
          <w:tcPr>
            <w:tcW w:w="1202" w:type="dxa"/>
            <w:shd w:val="clear" w:color="auto" w:fill="FFFFFF" w:themeFill="background1"/>
          </w:tcPr>
          <w:p w14:paraId="07266300" w14:textId="5D4CDA18" w:rsidR="00652E35" w:rsidRPr="000926A6" w:rsidRDefault="00652E35" w:rsidP="00652E35">
            <w:pPr>
              <w:rPr>
                <w:rFonts w:cs="Times New Roman"/>
                <w:sz w:val="20"/>
                <w:szCs w:val="20"/>
              </w:rPr>
            </w:pPr>
          </w:p>
        </w:tc>
        <w:tc>
          <w:tcPr>
            <w:tcW w:w="1190" w:type="dxa"/>
            <w:shd w:val="clear" w:color="auto" w:fill="FFFFFF" w:themeFill="background1"/>
          </w:tcPr>
          <w:p w14:paraId="2E95B1A0" w14:textId="6857B2DE" w:rsidR="00652E35" w:rsidRPr="000926A6" w:rsidRDefault="00652E35" w:rsidP="00652E35">
            <w:pPr>
              <w:rPr>
                <w:rFonts w:cs="Times New Roman"/>
                <w:sz w:val="20"/>
                <w:szCs w:val="20"/>
              </w:rPr>
            </w:pPr>
          </w:p>
        </w:tc>
      </w:tr>
      <w:tr w:rsidR="00652E35" w:rsidRPr="000926A6" w14:paraId="0A4F3A79" w14:textId="3FCC0E75" w:rsidTr="00285FF5">
        <w:tc>
          <w:tcPr>
            <w:tcW w:w="7489" w:type="dxa"/>
            <w:shd w:val="clear" w:color="auto" w:fill="FFFFFF" w:themeFill="background1"/>
          </w:tcPr>
          <w:p w14:paraId="5FAE424D" w14:textId="77777777" w:rsidR="00652E35" w:rsidRDefault="00652E35" w:rsidP="00652E35">
            <w:pPr>
              <w:rPr>
                <w:b/>
                <w:bCs/>
                <w:sz w:val="20"/>
                <w:szCs w:val="20"/>
              </w:rPr>
            </w:pPr>
            <w:r>
              <w:rPr>
                <w:b/>
                <w:bCs/>
                <w:sz w:val="20"/>
                <w:szCs w:val="20"/>
              </w:rPr>
              <w:t>Recommendation 7:</w:t>
            </w:r>
          </w:p>
          <w:p w14:paraId="3B326B86" w14:textId="77777777" w:rsidR="00652E35" w:rsidRPr="00652E35" w:rsidRDefault="00652E35" w:rsidP="00652E35">
            <w:pPr>
              <w:pStyle w:val="ListParagraph"/>
              <w:numPr>
                <w:ilvl w:val="0"/>
                <w:numId w:val="14"/>
              </w:numPr>
              <w:rPr>
                <w:sz w:val="20"/>
                <w:szCs w:val="20"/>
              </w:rPr>
            </w:pPr>
            <w:r w:rsidRPr="00652E35">
              <w:rPr>
                <w:b/>
                <w:bCs/>
                <w:sz w:val="20"/>
                <w:szCs w:val="20"/>
              </w:rPr>
              <w:t xml:space="preserve">Written commitment from the implementing partners about adoption of the GGEB recommended frameworks and tools for data collection: </w:t>
            </w:r>
            <w:r w:rsidRPr="00652E35">
              <w:rPr>
                <w:sz w:val="20"/>
                <w:szCs w:val="20"/>
              </w:rPr>
              <w:t xml:space="preserve">Formal </w:t>
            </w:r>
            <w:proofErr w:type="spellStart"/>
            <w:r w:rsidRPr="00652E35">
              <w:rPr>
                <w:sz w:val="20"/>
                <w:szCs w:val="20"/>
              </w:rPr>
              <w:t>MoUs</w:t>
            </w:r>
            <w:proofErr w:type="spellEnd"/>
            <w:r w:rsidRPr="00652E35">
              <w:rPr>
                <w:sz w:val="20"/>
                <w:szCs w:val="20"/>
              </w:rPr>
              <w:t xml:space="preserve"> with IPs and line departments could not be signed. There is risk to adoption of the GGEB frameworks and smooth data sharing. In such situation the IPs should give their written commitments. Some activities could not be conducted as per the </w:t>
            </w:r>
            <w:proofErr w:type="spellStart"/>
            <w:r w:rsidRPr="00652E35">
              <w:rPr>
                <w:sz w:val="20"/>
                <w:szCs w:val="20"/>
              </w:rPr>
              <w:t>ProDoc</w:t>
            </w:r>
            <w:proofErr w:type="spellEnd"/>
            <w:r w:rsidRPr="00652E35">
              <w:rPr>
                <w:sz w:val="20"/>
                <w:szCs w:val="20"/>
              </w:rPr>
              <w:t xml:space="preserve"> concept such as benchmarking of the SOE reports mainly due to delays in implementation. There is need for proper guidance of the Pak EPA to complete this process. </w:t>
            </w:r>
          </w:p>
          <w:p w14:paraId="1853CE92" w14:textId="77777777" w:rsidR="00652E35" w:rsidRPr="00652E35" w:rsidRDefault="00652E35" w:rsidP="00652E35">
            <w:pPr>
              <w:pStyle w:val="ListParagraph"/>
              <w:numPr>
                <w:ilvl w:val="0"/>
                <w:numId w:val="14"/>
              </w:numPr>
              <w:rPr>
                <w:sz w:val="20"/>
                <w:szCs w:val="20"/>
              </w:rPr>
            </w:pPr>
            <w:r w:rsidRPr="00652E35">
              <w:rPr>
                <w:b/>
                <w:bCs/>
                <w:sz w:val="20"/>
                <w:szCs w:val="20"/>
              </w:rPr>
              <w:t>Action:</w:t>
            </w:r>
            <w:r>
              <w:rPr>
                <w:sz w:val="20"/>
                <w:szCs w:val="20"/>
              </w:rPr>
              <w:t xml:space="preserve"> </w:t>
            </w:r>
            <w:r w:rsidRPr="00652E35">
              <w:rPr>
                <w:sz w:val="20"/>
                <w:szCs w:val="20"/>
              </w:rPr>
              <w:t xml:space="preserve">The NPD/ MoCC should write a letter to federal and provincial IPs (PBS, Pak EPA, Provincial P&amp;Ds and Provincial EPAs) for adoption of the GGEB recommended frameworks and tools for data collection as well as regular data sharing. </w:t>
            </w:r>
          </w:p>
          <w:p w14:paraId="553DB4B7" w14:textId="20D03834" w:rsidR="00652E35" w:rsidRPr="000926A6" w:rsidRDefault="00652E35" w:rsidP="00652E35">
            <w:pPr>
              <w:rPr>
                <w:rFonts w:cs="Times New Roman"/>
                <w:sz w:val="20"/>
                <w:szCs w:val="20"/>
              </w:rPr>
            </w:pPr>
          </w:p>
        </w:tc>
        <w:tc>
          <w:tcPr>
            <w:tcW w:w="1318" w:type="dxa"/>
            <w:shd w:val="clear" w:color="auto" w:fill="FFFFFF" w:themeFill="background1"/>
          </w:tcPr>
          <w:p w14:paraId="3E49115C" w14:textId="6228772D" w:rsidR="00652E35" w:rsidRPr="000926A6" w:rsidRDefault="00652E35" w:rsidP="00652E35">
            <w:pPr>
              <w:rPr>
                <w:rFonts w:cs="Times New Roman"/>
                <w:sz w:val="20"/>
                <w:szCs w:val="20"/>
              </w:rPr>
            </w:pPr>
            <w:r>
              <w:rPr>
                <w:sz w:val="20"/>
                <w:szCs w:val="20"/>
              </w:rPr>
              <w:lastRenderedPageBreak/>
              <w:t>MoCC (</w:t>
            </w:r>
            <w:r w:rsidRPr="00A7090B">
              <w:rPr>
                <w:sz w:val="20"/>
                <w:szCs w:val="20"/>
              </w:rPr>
              <w:t>NPD GGEB Project</w:t>
            </w:r>
            <w:r>
              <w:rPr>
                <w:sz w:val="20"/>
                <w:szCs w:val="20"/>
              </w:rPr>
              <w:t>)</w:t>
            </w:r>
          </w:p>
        </w:tc>
        <w:tc>
          <w:tcPr>
            <w:tcW w:w="1270" w:type="dxa"/>
            <w:shd w:val="clear" w:color="auto" w:fill="FFFFFF" w:themeFill="background1"/>
          </w:tcPr>
          <w:p w14:paraId="71EF7458" w14:textId="4570E5C5" w:rsidR="00652E35" w:rsidRPr="000926A6" w:rsidRDefault="00652E35" w:rsidP="00652E35">
            <w:pPr>
              <w:rPr>
                <w:rFonts w:cs="Times New Roman"/>
                <w:sz w:val="20"/>
                <w:szCs w:val="20"/>
              </w:rPr>
            </w:pPr>
            <w:r w:rsidRPr="002F7DA5">
              <w:rPr>
                <w:sz w:val="20"/>
                <w:szCs w:val="20"/>
              </w:rPr>
              <w:t>Feb-Mar 2022</w:t>
            </w:r>
          </w:p>
        </w:tc>
        <w:tc>
          <w:tcPr>
            <w:tcW w:w="1202" w:type="dxa"/>
            <w:shd w:val="clear" w:color="auto" w:fill="FFFFFF" w:themeFill="background1"/>
          </w:tcPr>
          <w:p w14:paraId="743ADA22" w14:textId="0775DAEC" w:rsidR="00652E35" w:rsidRPr="000926A6" w:rsidRDefault="00652E35" w:rsidP="00652E35">
            <w:pPr>
              <w:rPr>
                <w:rFonts w:cs="Times New Roman"/>
                <w:sz w:val="20"/>
                <w:szCs w:val="20"/>
              </w:rPr>
            </w:pPr>
          </w:p>
        </w:tc>
        <w:tc>
          <w:tcPr>
            <w:tcW w:w="1190" w:type="dxa"/>
            <w:shd w:val="clear" w:color="auto" w:fill="FFFFFF" w:themeFill="background1"/>
          </w:tcPr>
          <w:p w14:paraId="12537559" w14:textId="4F5C5544" w:rsidR="00652E35" w:rsidRPr="000926A6" w:rsidRDefault="00652E35" w:rsidP="00652E35">
            <w:pPr>
              <w:rPr>
                <w:rFonts w:cs="Times New Roman"/>
                <w:sz w:val="20"/>
                <w:szCs w:val="20"/>
              </w:rPr>
            </w:pPr>
          </w:p>
        </w:tc>
      </w:tr>
      <w:tr w:rsidR="00652E35" w:rsidRPr="000926A6" w14:paraId="38BBF99E" w14:textId="77777777" w:rsidTr="00285FF5">
        <w:tc>
          <w:tcPr>
            <w:tcW w:w="7489" w:type="dxa"/>
            <w:shd w:val="clear" w:color="auto" w:fill="FFFFFF" w:themeFill="background1"/>
          </w:tcPr>
          <w:p w14:paraId="172B8A0A" w14:textId="77777777" w:rsidR="00652E35" w:rsidRPr="00652E35" w:rsidRDefault="00652E35" w:rsidP="00652E35">
            <w:pPr>
              <w:rPr>
                <w:rFonts w:cs="Times New Roman"/>
                <w:b/>
                <w:bCs/>
                <w:sz w:val="21"/>
                <w:szCs w:val="21"/>
              </w:rPr>
            </w:pPr>
            <w:r w:rsidRPr="00652E35">
              <w:rPr>
                <w:rFonts w:cs="Times New Roman"/>
                <w:b/>
                <w:bCs/>
                <w:sz w:val="21"/>
                <w:szCs w:val="21"/>
              </w:rPr>
              <w:t>Recommendation 8:</w:t>
            </w:r>
          </w:p>
          <w:p w14:paraId="7C5B6271" w14:textId="77777777" w:rsidR="00652E35" w:rsidRPr="00652E35" w:rsidRDefault="00652E35" w:rsidP="00652E35">
            <w:pPr>
              <w:pStyle w:val="ListParagraph"/>
              <w:numPr>
                <w:ilvl w:val="0"/>
                <w:numId w:val="15"/>
              </w:numPr>
              <w:rPr>
                <w:rFonts w:cs="Times New Roman"/>
                <w:sz w:val="21"/>
                <w:szCs w:val="21"/>
              </w:rPr>
            </w:pPr>
            <w:r w:rsidRPr="00652E35">
              <w:rPr>
                <w:b/>
                <w:bCs/>
                <w:sz w:val="20"/>
                <w:szCs w:val="20"/>
              </w:rPr>
              <w:t>Improvement of EMIS system (server):</w:t>
            </w:r>
            <w:r w:rsidRPr="00652E35">
              <w:rPr>
                <w:sz w:val="20"/>
                <w:szCs w:val="20"/>
              </w:rPr>
              <w:t xml:space="preserve"> The IT consultant recommended the cloud-based server instead of the in-premises server to avoid unnecessary operation, </w:t>
            </w:r>
            <w:proofErr w:type="gramStart"/>
            <w:r w:rsidRPr="00652E35">
              <w:rPr>
                <w:sz w:val="20"/>
                <w:szCs w:val="20"/>
              </w:rPr>
              <w:t>maintenance</w:t>
            </w:r>
            <w:proofErr w:type="gramEnd"/>
            <w:r w:rsidRPr="00652E35">
              <w:rPr>
                <w:sz w:val="20"/>
                <w:szCs w:val="20"/>
              </w:rPr>
              <w:t xml:space="preserve"> and data security issues. Pak EPA may consider this option in future.</w:t>
            </w:r>
          </w:p>
          <w:p w14:paraId="58DC8DD3" w14:textId="77777777" w:rsidR="00652E35" w:rsidRPr="00652E35" w:rsidRDefault="00652E35" w:rsidP="00652E35">
            <w:pPr>
              <w:pStyle w:val="ListParagraph"/>
              <w:numPr>
                <w:ilvl w:val="0"/>
                <w:numId w:val="15"/>
              </w:numPr>
              <w:rPr>
                <w:rFonts w:cs="Times New Roman"/>
                <w:sz w:val="21"/>
                <w:szCs w:val="21"/>
              </w:rPr>
            </w:pPr>
            <w:r>
              <w:rPr>
                <w:b/>
                <w:bCs/>
                <w:sz w:val="20"/>
                <w:szCs w:val="20"/>
              </w:rPr>
              <w:t>Action:</w:t>
            </w:r>
            <w:r>
              <w:rPr>
                <w:rFonts w:cs="Times New Roman"/>
                <w:sz w:val="21"/>
                <w:szCs w:val="21"/>
              </w:rPr>
              <w:t xml:space="preserve"> </w:t>
            </w:r>
            <w:r w:rsidRPr="00D04DB8">
              <w:rPr>
                <w:sz w:val="20"/>
                <w:szCs w:val="20"/>
              </w:rPr>
              <w:t>The NPD should send a letter to Pak EPA to consider the option of cloud-based server for the EMIS under the new PLAN project.</w:t>
            </w:r>
          </w:p>
          <w:p w14:paraId="2039AC66" w14:textId="77777777" w:rsidR="00652E35" w:rsidRDefault="00652E35" w:rsidP="00652E35">
            <w:pPr>
              <w:rPr>
                <w:rFonts w:cs="Times New Roman"/>
                <w:sz w:val="21"/>
                <w:szCs w:val="21"/>
              </w:rPr>
            </w:pPr>
          </w:p>
          <w:p w14:paraId="64CC2E67" w14:textId="0E2C8B73" w:rsidR="00C038D7" w:rsidRPr="00330CF2" w:rsidRDefault="006C3754" w:rsidP="00C038D7">
            <w:pPr>
              <w:rPr>
                <w:rFonts w:cs="Times New Roman"/>
                <w:b/>
                <w:bCs/>
                <w:sz w:val="20"/>
                <w:szCs w:val="20"/>
              </w:rPr>
            </w:pPr>
            <w:r>
              <w:rPr>
                <w:rFonts w:cs="Times New Roman"/>
                <w:b/>
                <w:bCs/>
                <w:sz w:val="20"/>
                <w:szCs w:val="20"/>
              </w:rPr>
              <w:t>M</w:t>
            </w:r>
            <w:r w:rsidR="00C038D7" w:rsidRPr="00330CF2">
              <w:rPr>
                <w:rFonts w:cs="Times New Roman"/>
                <w:b/>
                <w:bCs/>
                <w:sz w:val="20"/>
                <w:szCs w:val="20"/>
              </w:rPr>
              <w:t xml:space="preserve">anagement response: </w:t>
            </w:r>
          </w:p>
          <w:p w14:paraId="081D2087" w14:textId="77777777" w:rsidR="00C038D7" w:rsidRPr="00B12AD0" w:rsidRDefault="00C038D7" w:rsidP="009113B5">
            <w:pPr>
              <w:shd w:val="clear" w:color="auto" w:fill="FFFFFF" w:themeFill="background1"/>
              <w:rPr>
                <w:rFonts w:cs="Times New Roman"/>
                <w:sz w:val="20"/>
                <w:szCs w:val="20"/>
              </w:rPr>
            </w:pPr>
            <w:r>
              <w:rPr>
                <w:rFonts w:cs="Times New Roman"/>
                <w:sz w:val="20"/>
                <w:szCs w:val="20"/>
              </w:rPr>
              <w:t>UNDP agrees with this recommendation and will share the Terminal Evaluation report along with recommendations with for consideration of IP/MoCC.</w:t>
            </w:r>
          </w:p>
          <w:p w14:paraId="5378CE3D" w14:textId="77777777" w:rsidR="00652E35" w:rsidRDefault="00652E35" w:rsidP="00652E35">
            <w:pPr>
              <w:rPr>
                <w:rFonts w:cs="Times New Roman"/>
                <w:b/>
                <w:bCs/>
                <w:sz w:val="21"/>
                <w:szCs w:val="21"/>
              </w:rPr>
            </w:pPr>
          </w:p>
          <w:p w14:paraId="34085DBF" w14:textId="77777777" w:rsidR="00652E35" w:rsidRPr="000926A6" w:rsidRDefault="00652E35" w:rsidP="00652E35">
            <w:pPr>
              <w:rPr>
                <w:rFonts w:cs="Times New Roman"/>
                <w:sz w:val="20"/>
                <w:szCs w:val="20"/>
              </w:rPr>
            </w:pPr>
          </w:p>
        </w:tc>
        <w:tc>
          <w:tcPr>
            <w:tcW w:w="1318" w:type="dxa"/>
            <w:shd w:val="clear" w:color="auto" w:fill="FFFFFF" w:themeFill="background1"/>
          </w:tcPr>
          <w:p w14:paraId="4001254E" w14:textId="5C8CD546" w:rsidR="00652E35" w:rsidRPr="000926A6" w:rsidRDefault="00652E35" w:rsidP="00652E35">
            <w:pPr>
              <w:rPr>
                <w:rFonts w:cs="Times New Roman"/>
                <w:sz w:val="20"/>
                <w:szCs w:val="20"/>
              </w:rPr>
            </w:pPr>
            <w:r w:rsidRPr="004924E5">
              <w:rPr>
                <w:sz w:val="20"/>
                <w:szCs w:val="20"/>
              </w:rPr>
              <w:t>MOCC/ NPD</w:t>
            </w:r>
          </w:p>
        </w:tc>
        <w:tc>
          <w:tcPr>
            <w:tcW w:w="1270" w:type="dxa"/>
            <w:shd w:val="clear" w:color="auto" w:fill="FFFFFF" w:themeFill="background1"/>
          </w:tcPr>
          <w:p w14:paraId="0700EEAA" w14:textId="21DEB37A" w:rsidR="00652E35" w:rsidRPr="000926A6" w:rsidRDefault="00652E35" w:rsidP="00652E35">
            <w:pPr>
              <w:rPr>
                <w:rFonts w:cs="Times New Roman"/>
                <w:sz w:val="20"/>
                <w:szCs w:val="20"/>
              </w:rPr>
            </w:pPr>
            <w:r w:rsidRPr="002F7DA5">
              <w:rPr>
                <w:sz w:val="20"/>
                <w:szCs w:val="20"/>
              </w:rPr>
              <w:t>Feb-Mar 2022</w:t>
            </w:r>
          </w:p>
        </w:tc>
        <w:tc>
          <w:tcPr>
            <w:tcW w:w="1202" w:type="dxa"/>
            <w:shd w:val="clear" w:color="auto" w:fill="FFFFFF" w:themeFill="background1"/>
          </w:tcPr>
          <w:p w14:paraId="49D0B49E" w14:textId="77777777" w:rsidR="00652E35" w:rsidRPr="000926A6" w:rsidRDefault="00652E35" w:rsidP="00652E35">
            <w:pPr>
              <w:rPr>
                <w:rFonts w:cs="Times New Roman"/>
                <w:sz w:val="20"/>
                <w:szCs w:val="20"/>
              </w:rPr>
            </w:pPr>
          </w:p>
        </w:tc>
        <w:tc>
          <w:tcPr>
            <w:tcW w:w="1190" w:type="dxa"/>
            <w:shd w:val="clear" w:color="auto" w:fill="FFFFFF" w:themeFill="background1"/>
          </w:tcPr>
          <w:p w14:paraId="66ADE877" w14:textId="77777777" w:rsidR="00652E35" w:rsidRPr="000926A6" w:rsidRDefault="00652E35" w:rsidP="00652E35">
            <w:pPr>
              <w:rPr>
                <w:rFonts w:cs="Times New Roman"/>
                <w:sz w:val="20"/>
                <w:szCs w:val="20"/>
              </w:rPr>
            </w:pPr>
          </w:p>
        </w:tc>
      </w:tr>
    </w:tbl>
    <w:p w14:paraId="67D04AC4" w14:textId="3AC204F1" w:rsidR="0050102F" w:rsidRDefault="0050102F">
      <w:pPr>
        <w:rPr>
          <w:lang w:val="en-US"/>
        </w:rPr>
      </w:pPr>
    </w:p>
    <w:p w14:paraId="2732EC8D" w14:textId="357DE742" w:rsidR="00C41394" w:rsidRPr="00AE090F" w:rsidRDefault="00AE090F">
      <w:pPr>
        <w:rPr>
          <w:b/>
          <w:bCs/>
          <w:lang w:val="en-US"/>
        </w:rPr>
      </w:pPr>
      <w:r w:rsidRPr="00AE090F">
        <w:rPr>
          <w:b/>
          <w:bCs/>
          <w:lang w:val="en-US"/>
        </w:rPr>
        <w:t>UNDP</w:t>
      </w:r>
    </w:p>
    <w:tbl>
      <w:tblPr>
        <w:tblStyle w:val="TableGrid"/>
        <w:tblW w:w="12328" w:type="dxa"/>
        <w:tblLook w:val="04A0" w:firstRow="1" w:lastRow="0" w:firstColumn="1" w:lastColumn="0" w:noHBand="0" w:noVBand="1"/>
      </w:tblPr>
      <w:tblGrid>
        <w:gridCol w:w="7313"/>
        <w:gridCol w:w="1318"/>
        <w:gridCol w:w="1170"/>
        <w:gridCol w:w="1292"/>
        <w:gridCol w:w="1235"/>
      </w:tblGrid>
      <w:tr w:rsidR="009938B4" w:rsidRPr="00E751BC" w14:paraId="0F9F1561" w14:textId="78B1E127" w:rsidTr="00ED47D9">
        <w:trPr>
          <w:trHeight w:val="387"/>
        </w:trPr>
        <w:tc>
          <w:tcPr>
            <w:tcW w:w="7313" w:type="dxa"/>
            <w:vMerge w:val="restart"/>
            <w:shd w:val="clear" w:color="auto" w:fill="F2F2F2" w:themeFill="background1" w:themeFillShade="F2"/>
          </w:tcPr>
          <w:p w14:paraId="38DAEEFE" w14:textId="2D8DFCC0" w:rsidR="009938B4" w:rsidRPr="00E751BC" w:rsidRDefault="009938B4" w:rsidP="00AF7995">
            <w:pPr>
              <w:jc w:val="center"/>
              <w:rPr>
                <w:rFonts w:cs="Times New Roman"/>
                <w:b/>
                <w:sz w:val="21"/>
                <w:szCs w:val="21"/>
              </w:rPr>
            </w:pPr>
            <w:r w:rsidRPr="00E751BC">
              <w:rPr>
                <w:rFonts w:cs="Times New Roman"/>
                <w:b/>
                <w:sz w:val="21"/>
                <w:szCs w:val="21"/>
              </w:rPr>
              <w:t>Recommendation</w:t>
            </w:r>
            <w:r>
              <w:rPr>
                <w:rFonts w:cs="Times New Roman"/>
                <w:b/>
                <w:sz w:val="21"/>
                <w:szCs w:val="21"/>
              </w:rPr>
              <w:t xml:space="preserve"> for </w:t>
            </w:r>
            <w:r w:rsidR="004F1479">
              <w:rPr>
                <w:rFonts w:cs="Times New Roman"/>
                <w:b/>
                <w:sz w:val="21"/>
                <w:szCs w:val="21"/>
              </w:rPr>
              <w:t>UNDP</w:t>
            </w:r>
          </w:p>
        </w:tc>
        <w:tc>
          <w:tcPr>
            <w:tcW w:w="1318" w:type="dxa"/>
            <w:vMerge w:val="restart"/>
            <w:shd w:val="clear" w:color="auto" w:fill="FFFFFF" w:themeFill="background1"/>
          </w:tcPr>
          <w:p w14:paraId="420F5E3D" w14:textId="47F7590F" w:rsidR="009938B4" w:rsidRPr="00E751BC" w:rsidRDefault="001273ED" w:rsidP="00AF7995">
            <w:pPr>
              <w:jc w:val="center"/>
              <w:rPr>
                <w:rFonts w:cs="Times New Roman"/>
                <w:b/>
                <w:sz w:val="21"/>
                <w:szCs w:val="21"/>
              </w:rPr>
            </w:pPr>
            <w:r>
              <w:rPr>
                <w:rFonts w:cs="Times New Roman"/>
                <w:b/>
              </w:rPr>
              <w:t>Responsible Parties</w:t>
            </w:r>
          </w:p>
        </w:tc>
        <w:tc>
          <w:tcPr>
            <w:tcW w:w="1170" w:type="dxa"/>
            <w:vMerge w:val="restart"/>
            <w:shd w:val="clear" w:color="auto" w:fill="FFFFFF" w:themeFill="background1"/>
          </w:tcPr>
          <w:p w14:paraId="629F2D70" w14:textId="4615D7B7" w:rsidR="009938B4" w:rsidRPr="00E751BC" w:rsidRDefault="009938B4" w:rsidP="00AF7995">
            <w:pPr>
              <w:jc w:val="center"/>
              <w:rPr>
                <w:rFonts w:cs="Times New Roman"/>
                <w:b/>
                <w:sz w:val="21"/>
                <w:szCs w:val="21"/>
              </w:rPr>
            </w:pPr>
            <w:r w:rsidRPr="00E751BC">
              <w:rPr>
                <w:rFonts w:cs="Times New Roman"/>
                <w:b/>
                <w:sz w:val="21"/>
                <w:szCs w:val="21"/>
              </w:rPr>
              <w:t>Time</w:t>
            </w:r>
            <w:r w:rsidR="001273ED">
              <w:rPr>
                <w:rFonts w:cs="Times New Roman"/>
                <w:b/>
                <w:sz w:val="21"/>
                <w:szCs w:val="21"/>
              </w:rPr>
              <w:t xml:space="preserve">frame </w:t>
            </w:r>
          </w:p>
        </w:tc>
        <w:tc>
          <w:tcPr>
            <w:tcW w:w="2527" w:type="dxa"/>
            <w:gridSpan w:val="2"/>
            <w:shd w:val="clear" w:color="auto" w:fill="FFFFFF" w:themeFill="background1"/>
          </w:tcPr>
          <w:p w14:paraId="5B17846F" w14:textId="2CFA2B34" w:rsidR="009938B4" w:rsidRPr="00E751BC" w:rsidRDefault="009938B4" w:rsidP="00AF7995">
            <w:pPr>
              <w:jc w:val="center"/>
            </w:pPr>
            <w:r>
              <w:rPr>
                <w:rFonts w:cs="Times New Roman"/>
                <w:b/>
              </w:rPr>
              <w:t>Tracking</w:t>
            </w:r>
          </w:p>
        </w:tc>
      </w:tr>
      <w:tr w:rsidR="009938B4" w:rsidRPr="00E751BC" w14:paraId="431192DA" w14:textId="77777777" w:rsidTr="00ED47D9">
        <w:trPr>
          <w:trHeight w:val="407"/>
        </w:trPr>
        <w:tc>
          <w:tcPr>
            <w:tcW w:w="7313" w:type="dxa"/>
            <w:vMerge/>
            <w:shd w:val="clear" w:color="auto" w:fill="F2F2F2" w:themeFill="background1" w:themeFillShade="F2"/>
          </w:tcPr>
          <w:p w14:paraId="014C34CF" w14:textId="77777777" w:rsidR="009938B4" w:rsidRPr="00E751BC" w:rsidRDefault="009938B4" w:rsidP="00AF7995">
            <w:pPr>
              <w:jc w:val="center"/>
              <w:rPr>
                <w:rFonts w:cs="Times New Roman"/>
                <w:b/>
                <w:sz w:val="21"/>
                <w:szCs w:val="21"/>
              </w:rPr>
            </w:pPr>
          </w:p>
        </w:tc>
        <w:tc>
          <w:tcPr>
            <w:tcW w:w="1318" w:type="dxa"/>
            <w:vMerge/>
            <w:shd w:val="clear" w:color="auto" w:fill="FFFFFF" w:themeFill="background1"/>
          </w:tcPr>
          <w:p w14:paraId="6392AC09" w14:textId="77777777" w:rsidR="009938B4" w:rsidRPr="00E751BC" w:rsidRDefault="009938B4" w:rsidP="00AF7995">
            <w:pPr>
              <w:jc w:val="center"/>
              <w:rPr>
                <w:rFonts w:cs="Times New Roman"/>
                <w:b/>
                <w:sz w:val="21"/>
                <w:szCs w:val="21"/>
              </w:rPr>
            </w:pPr>
          </w:p>
        </w:tc>
        <w:tc>
          <w:tcPr>
            <w:tcW w:w="1170" w:type="dxa"/>
            <w:vMerge/>
            <w:shd w:val="clear" w:color="auto" w:fill="FFFFFF" w:themeFill="background1"/>
          </w:tcPr>
          <w:p w14:paraId="0CDEB003" w14:textId="77777777" w:rsidR="009938B4" w:rsidRPr="00E751BC" w:rsidRDefault="009938B4" w:rsidP="00AF7995">
            <w:pPr>
              <w:jc w:val="center"/>
              <w:rPr>
                <w:rFonts w:cs="Times New Roman"/>
                <w:b/>
                <w:sz w:val="21"/>
                <w:szCs w:val="21"/>
              </w:rPr>
            </w:pPr>
          </w:p>
        </w:tc>
        <w:tc>
          <w:tcPr>
            <w:tcW w:w="1292" w:type="dxa"/>
            <w:shd w:val="clear" w:color="auto" w:fill="FFFFFF" w:themeFill="background1"/>
          </w:tcPr>
          <w:p w14:paraId="561320C1" w14:textId="1642B01B" w:rsidR="009938B4" w:rsidRDefault="009938B4" w:rsidP="00AF7995">
            <w:pPr>
              <w:rPr>
                <w:rFonts w:cs="Times New Roman"/>
                <w:b/>
              </w:rPr>
            </w:pPr>
            <w:r>
              <w:rPr>
                <w:rFonts w:cs="Times New Roman"/>
                <w:b/>
              </w:rPr>
              <w:t>Comments</w:t>
            </w:r>
          </w:p>
        </w:tc>
        <w:tc>
          <w:tcPr>
            <w:tcW w:w="1235" w:type="dxa"/>
            <w:shd w:val="clear" w:color="auto" w:fill="FFFFFF" w:themeFill="background1"/>
          </w:tcPr>
          <w:p w14:paraId="36DC78C3" w14:textId="407B0E09" w:rsidR="009938B4" w:rsidRPr="00E751BC" w:rsidRDefault="009938B4" w:rsidP="00AF7995">
            <w:r>
              <w:rPr>
                <w:rFonts w:cs="Times New Roman"/>
                <w:b/>
              </w:rPr>
              <w:t>Status</w:t>
            </w:r>
          </w:p>
        </w:tc>
      </w:tr>
      <w:tr w:rsidR="009938B4" w:rsidRPr="008B763F" w14:paraId="23753738" w14:textId="375A5C0C" w:rsidTr="00AE090F">
        <w:tc>
          <w:tcPr>
            <w:tcW w:w="7313" w:type="dxa"/>
          </w:tcPr>
          <w:p w14:paraId="2573346F" w14:textId="77777777" w:rsidR="00AE090F" w:rsidRPr="00CF038D" w:rsidRDefault="00AE090F" w:rsidP="00AE090F">
            <w:pPr>
              <w:rPr>
                <w:rFonts w:cs="Times New Roman"/>
                <w:sz w:val="20"/>
                <w:szCs w:val="20"/>
              </w:rPr>
            </w:pPr>
            <w:r w:rsidRPr="000926A6">
              <w:rPr>
                <w:rFonts w:cs="Times New Roman"/>
                <w:b/>
                <w:sz w:val="20"/>
                <w:szCs w:val="20"/>
              </w:rPr>
              <w:t>Recommendation 4</w:t>
            </w:r>
          </w:p>
          <w:p w14:paraId="4331E50B" w14:textId="77777777" w:rsidR="009938B4" w:rsidRPr="00CF038D" w:rsidRDefault="004F1479" w:rsidP="00CF038D">
            <w:pPr>
              <w:pStyle w:val="ListParagraph"/>
              <w:numPr>
                <w:ilvl w:val="0"/>
                <w:numId w:val="9"/>
              </w:numPr>
              <w:rPr>
                <w:rFonts w:cs="Times New Roman"/>
                <w:sz w:val="21"/>
                <w:szCs w:val="21"/>
              </w:rPr>
            </w:pPr>
            <w:proofErr w:type="spellStart"/>
            <w:r w:rsidRPr="00CF038D">
              <w:rPr>
                <w:b/>
                <w:bCs/>
                <w:sz w:val="20"/>
                <w:szCs w:val="20"/>
              </w:rPr>
              <w:t>MoCC’s</w:t>
            </w:r>
            <w:proofErr w:type="spellEnd"/>
            <w:r w:rsidRPr="00CF038D">
              <w:rPr>
                <w:b/>
                <w:bCs/>
                <w:sz w:val="20"/>
                <w:szCs w:val="20"/>
              </w:rPr>
              <w:t xml:space="preserve"> supervision: </w:t>
            </w:r>
            <w:r w:rsidRPr="00CF038D">
              <w:rPr>
                <w:sz w:val="20"/>
                <w:szCs w:val="20"/>
              </w:rPr>
              <w:t>Close liaison of the NPD and project team to ensure implementation of the planned activities. The NPD should have clear plan of action to ensure effective oversight and monitoring of the project activities (especially when there is no M&amp;E position in projects).</w:t>
            </w:r>
          </w:p>
          <w:p w14:paraId="31505E99" w14:textId="77777777" w:rsidR="00CF038D" w:rsidRPr="00CF038D" w:rsidRDefault="00CF038D" w:rsidP="00CF038D">
            <w:pPr>
              <w:pStyle w:val="ListParagraph"/>
              <w:numPr>
                <w:ilvl w:val="0"/>
                <w:numId w:val="9"/>
              </w:numPr>
              <w:rPr>
                <w:rFonts w:cs="Times New Roman"/>
                <w:sz w:val="21"/>
                <w:szCs w:val="21"/>
              </w:rPr>
            </w:pPr>
            <w:r>
              <w:rPr>
                <w:b/>
                <w:bCs/>
                <w:sz w:val="20"/>
                <w:szCs w:val="20"/>
              </w:rPr>
              <w:t>Action:</w:t>
            </w:r>
            <w:r>
              <w:rPr>
                <w:rFonts w:cs="Times New Roman"/>
                <w:sz w:val="21"/>
                <w:szCs w:val="21"/>
              </w:rPr>
              <w:t xml:space="preserve"> </w:t>
            </w:r>
            <w:r>
              <w:rPr>
                <w:sz w:val="20"/>
                <w:szCs w:val="20"/>
              </w:rPr>
              <w:t>Future projects should have M&amp;E positions.</w:t>
            </w:r>
          </w:p>
          <w:p w14:paraId="47BF0453" w14:textId="77777777" w:rsidR="00CF038D" w:rsidRDefault="00CF038D" w:rsidP="00CF038D">
            <w:pPr>
              <w:rPr>
                <w:rFonts w:cs="Times New Roman"/>
                <w:sz w:val="21"/>
                <w:szCs w:val="21"/>
              </w:rPr>
            </w:pPr>
          </w:p>
          <w:p w14:paraId="09349131" w14:textId="77777777" w:rsidR="00CF038D" w:rsidRPr="00CF038D" w:rsidRDefault="00CF038D" w:rsidP="00CF038D">
            <w:pPr>
              <w:rPr>
                <w:rFonts w:cs="Times New Roman"/>
                <w:b/>
                <w:bCs/>
                <w:sz w:val="21"/>
                <w:szCs w:val="21"/>
              </w:rPr>
            </w:pPr>
            <w:r w:rsidRPr="00CF038D">
              <w:rPr>
                <w:rFonts w:cs="Times New Roman"/>
                <w:b/>
                <w:bCs/>
                <w:sz w:val="21"/>
                <w:szCs w:val="21"/>
              </w:rPr>
              <w:t xml:space="preserve">Management response: </w:t>
            </w:r>
          </w:p>
          <w:p w14:paraId="6503EF18" w14:textId="44AFFEDC" w:rsidR="00CF038D" w:rsidRPr="00CF038D" w:rsidRDefault="009113B5" w:rsidP="00CF038D">
            <w:pPr>
              <w:rPr>
                <w:rFonts w:cs="Times New Roman"/>
                <w:sz w:val="21"/>
                <w:szCs w:val="21"/>
              </w:rPr>
            </w:pPr>
            <w:r>
              <w:rPr>
                <w:rFonts w:cs="Times New Roman"/>
                <w:sz w:val="21"/>
                <w:szCs w:val="21"/>
              </w:rPr>
              <w:t>In practice, the project organograms do incorporate relevant positions including M&amp;E officers/assistants. However, t</w:t>
            </w:r>
            <w:r w:rsidR="00C038D7">
              <w:rPr>
                <w:rFonts w:cs="Times New Roman"/>
                <w:sz w:val="21"/>
                <w:szCs w:val="21"/>
              </w:rPr>
              <w:t>his recommendation is noted</w:t>
            </w:r>
            <w:r>
              <w:rPr>
                <w:rFonts w:cs="Times New Roman"/>
                <w:sz w:val="21"/>
                <w:szCs w:val="21"/>
              </w:rPr>
              <w:t>,</w:t>
            </w:r>
            <w:r w:rsidR="00C038D7">
              <w:rPr>
                <w:rFonts w:cs="Times New Roman"/>
                <w:sz w:val="21"/>
                <w:szCs w:val="21"/>
              </w:rPr>
              <w:t xml:space="preserve"> UNDP will </w:t>
            </w:r>
            <w:r>
              <w:rPr>
                <w:rFonts w:cs="Times New Roman"/>
                <w:sz w:val="21"/>
                <w:szCs w:val="21"/>
              </w:rPr>
              <w:t xml:space="preserve">consider it in its </w:t>
            </w:r>
            <w:r w:rsidR="00C038D7">
              <w:rPr>
                <w:rFonts w:cs="Times New Roman"/>
                <w:sz w:val="21"/>
                <w:szCs w:val="21"/>
              </w:rPr>
              <w:t>upcoming projects</w:t>
            </w:r>
            <w:r>
              <w:rPr>
                <w:rFonts w:cs="Times New Roman"/>
                <w:sz w:val="21"/>
                <w:szCs w:val="21"/>
              </w:rPr>
              <w:t>.</w:t>
            </w:r>
          </w:p>
        </w:tc>
        <w:tc>
          <w:tcPr>
            <w:tcW w:w="1318" w:type="dxa"/>
            <w:shd w:val="clear" w:color="auto" w:fill="auto"/>
          </w:tcPr>
          <w:p w14:paraId="62F86926" w14:textId="65FD9DE0" w:rsidR="009938B4" w:rsidRPr="00AE090F" w:rsidRDefault="00CF038D" w:rsidP="00AF7995">
            <w:pPr>
              <w:rPr>
                <w:rFonts w:cs="Times New Roman"/>
                <w:sz w:val="21"/>
                <w:szCs w:val="21"/>
              </w:rPr>
            </w:pPr>
            <w:r w:rsidRPr="00AE090F">
              <w:rPr>
                <w:rFonts w:cs="Times New Roman"/>
                <w:sz w:val="21"/>
                <w:szCs w:val="21"/>
              </w:rPr>
              <w:t>UNDP ECCU</w:t>
            </w:r>
          </w:p>
        </w:tc>
        <w:tc>
          <w:tcPr>
            <w:tcW w:w="1170" w:type="dxa"/>
            <w:shd w:val="clear" w:color="auto" w:fill="auto"/>
          </w:tcPr>
          <w:p w14:paraId="6EE6B330" w14:textId="0DA91BB9" w:rsidR="009938B4" w:rsidRPr="00AE090F" w:rsidRDefault="00CF038D" w:rsidP="00AF7995">
            <w:pPr>
              <w:rPr>
                <w:rFonts w:cs="Times New Roman"/>
                <w:sz w:val="21"/>
                <w:szCs w:val="21"/>
              </w:rPr>
            </w:pPr>
            <w:r w:rsidRPr="00AE090F">
              <w:rPr>
                <w:rFonts w:cs="Times New Roman"/>
                <w:sz w:val="21"/>
                <w:szCs w:val="21"/>
              </w:rPr>
              <w:t>Mar 2022</w:t>
            </w:r>
          </w:p>
        </w:tc>
        <w:tc>
          <w:tcPr>
            <w:tcW w:w="1292" w:type="dxa"/>
          </w:tcPr>
          <w:p w14:paraId="2089FA86" w14:textId="71BC81BC" w:rsidR="009938B4" w:rsidRPr="008B763F" w:rsidRDefault="009938B4" w:rsidP="00AF7995"/>
        </w:tc>
        <w:tc>
          <w:tcPr>
            <w:tcW w:w="1235" w:type="dxa"/>
          </w:tcPr>
          <w:p w14:paraId="685CA910" w14:textId="125776F3" w:rsidR="009938B4" w:rsidRPr="008B763F" w:rsidRDefault="009938B4" w:rsidP="00AF7995"/>
        </w:tc>
      </w:tr>
      <w:tr w:rsidR="00AE090F" w:rsidRPr="008B763F" w14:paraId="0A5DBD7C" w14:textId="37B5D6BC" w:rsidTr="00ED47D9">
        <w:tc>
          <w:tcPr>
            <w:tcW w:w="7313" w:type="dxa"/>
          </w:tcPr>
          <w:p w14:paraId="4FAF3F1F" w14:textId="7A8FA611" w:rsidR="00AE090F" w:rsidRPr="00CF038D" w:rsidRDefault="00AE090F" w:rsidP="00AE090F">
            <w:pPr>
              <w:rPr>
                <w:rFonts w:cs="Times New Roman"/>
                <w:sz w:val="20"/>
                <w:szCs w:val="20"/>
              </w:rPr>
            </w:pPr>
            <w:r w:rsidRPr="000926A6">
              <w:rPr>
                <w:rFonts w:cs="Times New Roman"/>
                <w:b/>
                <w:sz w:val="20"/>
                <w:szCs w:val="20"/>
              </w:rPr>
              <w:t xml:space="preserve">Recommendation </w:t>
            </w:r>
            <w:r>
              <w:rPr>
                <w:rFonts w:cs="Times New Roman"/>
                <w:b/>
                <w:sz w:val="20"/>
                <w:szCs w:val="20"/>
              </w:rPr>
              <w:t>9</w:t>
            </w:r>
          </w:p>
          <w:p w14:paraId="7E132ACF" w14:textId="2E4CCC64" w:rsidR="00AE090F" w:rsidRPr="00AE090F" w:rsidRDefault="00AE090F" w:rsidP="00AE090F">
            <w:pPr>
              <w:pStyle w:val="ListParagraph"/>
              <w:numPr>
                <w:ilvl w:val="0"/>
                <w:numId w:val="16"/>
              </w:numPr>
              <w:rPr>
                <w:sz w:val="20"/>
                <w:szCs w:val="20"/>
              </w:rPr>
            </w:pPr>
            <w:proofErr w:type="spellStart"/>
            <w:r w:rsidRPr="00AE090F">
              <w:rPr>
                <w:b/>
                <w:bCs/>
                <w:sz w:val="20"/>
                <w:szCs w:val="20"/>
              </w:rPr>
              <w:t>GoP’s</w:t>
            </w:r>
            <w:proofErr w:type="spellEnd"/>
            <w:r w:rsidRPr="00AE090F">
              <w:rPr>
                <w:b/>
                <w:bCs/>
                <w:sz w:val="20"/>
                <w:szCs w:val="20"/>
              </w:rPr>
              <w:t xml:space="preserve"> co-financing commitment: </w:t>
            </w:r>
            <w:r w:rsidRPr="00AE090F">
              <w:rPr>
                <w:sz w:val="20"/>
                <w:szCs w:val="20"/>
              </w:rPr>
              <w:t xml:space="preserve">In-kind co-financing commitment of GoP remained satisfactory (105%). However, cash co-financing commitment could </w:t>
            </w:r>
            <w:r w:rsidRPr="00AE090F">
              <w:rPr>
                <w:sz w:val="20"/>
                <w:szCs w:val="20"/>
              </w:rPr>
              <w:lastRenderedPageBreak/>
              <w:t xml:space="preserve">not be fulfilled. UNDP CO should closely and regularly monitor the status of co-financing, by holding review meetings both with the project team, NPD, MoCC and IPs.   </w:t>
            </w:r>
          </w:p>
          <w:p w14:paraId="6265F40C" w14:textId="77777777" w:rsidR="00AE090F" w:rsidRPr="00AE090F" w:rsidRDefault="00AE090F" w:rsidP="00AE090F">
            <w:pPr>
              <w:pStyle w:val="ListParagraph"/>
              <w:numPr>
                <w:ilvl w:val="0"/>
                <w:numId w:val="16"/>
              </w:numPr>
              <w:rPr>
                <w:rFonts w:cs="Times New Roman"/>
                <w:sz w:val="21"/>
                <w:szCs w:val="21"/>
              </w:rPr>
            </w:pPr>
            <w:r>
              <w:rPr>
                <w:sz w:val="20"/>
                <w:szCs w:val="20"/>
              </w:rPr>
              <w:t xml:space="preserve">Action: </w:t>
            </w:r>
            <w:r w:rsidRPr="00AE090F">
              <w:rPr>
                <w:sz w:val="20"/>
                <w:szCs w:val="20"/>
              </w:rPr>
              <w:t>In order to ensure that the GoP complies with its co-financing commitments UNDP CO should develop a clear strategy/ plan of action to closely monitor and follow up on the status of co-financing (in future GEF funded projects)</w:t>
            </w:r>
          </w:p>
          <w:p w14:paraId="1E85D020" w14:textId="77777777" w:rsidR="00AE090F" w:rsidRPr="00AE090F" w:rsidRDefault="00AE090F" w:rsidP="00AE090F">
            <w:pPr>
              <w:rPr>
                <w:rFonts w:cs="Times New Roman"/>
                <w:b/>
                <w:bCs/>
                <w:sz w:val="21"/>
                <w:szCs w:val="21"/>
              </w:rPr>
            </w:pPr>
            <w:r w:rsidRPr="00AE090F">
              <w:rPr>
                <w:rFonts w:cs="Times New Roman"/>
                <w:b/>
                <w:bCs/>
                <w:sz w:val="21"/>
                <w:szCs w:val="21"/>
              </w:rPr>
              <w:t xml:space="preserve">Management response: </w:t>
            </w:r>
          </w:p>
          <w:p w14:paraId="44D765DB" w14:textId="58286505" w:rsidR="00AE090F" w:rsidRDefault="006C3754" w:rsidP="00AE090F">
            <w:pPr>
              <w:rPr>
                <w:rFonts w:cs="Times New Roman"/>
                <w:sz w:val="21"/>
                <w:szCs w:val="21"/>
              </w:rPr>
            </w:pPr>
            <w:r>
              <w:rPr>
                <w:rFonts w:cs="Times New Roman"/>
                <w:sz w:val="21"/>
                <w:szCs w:val="21"/>
              </w:rPr>
              <w:t xml:space="preserve">UNDP usually follows up with Govt. co-financing contribution on annual basis and updates are regularly reflected and shared in </w:t>
            </w:r>
            <w:r w:rsidR="002B3CF7">
              <w:rPr>
                <w:rFonts w:cs="Times New Roman"/>
                <w:sz w:val="21"/>
                <w:szCs w:val="21"/>
              </w:rPr>
              <w:t>progress implementation review (PIRs) of VF projects. UNDP will continue its practice of monitoring the Govt co-financing during PIRs.</w:t>
            </w:r>
          </w:p>
          <w:p w14:paraId="62D41FB5" w14:textId="0DA317DE" w:rsidR="00AE090F" w:rsidRPr="00AE090F" w:rsidRDefault="00AE090F" w:rsidP="00AE090F">
            <w:pPr>
              <w:rPr>
                <w:rFonts w:cs="Times New Roman"/>
                <w:sz w:val="21"/>
                <w:szCs w:val="21"/>
              </w:rPr>
            </w:pPr>
          </w:p>
        </w:tc>
        <w:tc>
          <w:tcPr>
            <w:tcW w:w="1318" w:type="dxa"/>
          </w:tcPr>
          <w:p w14:paraId="7ED13DB7" w14:textId="33A29A3B" w:rsidR="00AE090F" w:rsidRPr="00926A45" w:rsidRDefault="00AE090F" w:rsidP="00AE090F">
            <w:pPr>
              <w:rPr>
                <w:rFonts w:cs="Times New Roman"/>
                <w:sz w:val="21"/>
                <w:szCs w:val="21"/>
              </w:rPr>
            </w:pPr>
            <w:r w:rsidRPr="004924E5">
              <w:rPr>
                <w:sz w:val="20"/>
                <w:szCs w:val="20"/>
              </w:rPr>
              <w:lastRenderedPageBreak/>
              <w:t xml:space="preserve">UNDP-CO </w:t>
            </w:r>
          </w:p>
        </w:tc>
        <w:tc>
          <w:tcPr>
            <w:tcW w:w="1170" w:type="dxa"/>
          </w:tcPr>
          <w:p w14:paraId="05618CA8" w14:textId="00038E72" w:rsidR="00AE090F" w:rsidRPr="00926A45" w:rsidRDefault="00AE090F" w:rsidP="00AE090F">
            <w:pPr>
              <w:rPr>
                <w:rFonts w:cs="Times New Roman"/>
                <w:sz w:val="21"/>
                <w:szCs w:val="21"/>
              </w:rPr>
            </w:pPr>
            <w:r w:rsidRPr="002F7DA5">
              <w:rPr>
                <w:sz w:val="20"/>
                <w:szCs w:val="20"/>
              </w:rPr>
              <w:t>Feb</w:t>
            </w:r>
            <w:r>
              <w:rPr>
                <w:sz w:val="20"/>
                <w:szCs w:val="20"/>
              </w:rPr>
              <w:t>-Mar</w:t>
            </w:r>
            <w:r w:rsidRPr="002F7DA5">
              <w:rPr>
                <w:sz w:val="20"/>
                <w:szCs w:val="20"/>
              </w:rPr>
              <w:t xml:space="preserve"> 2022</w:t>
            </w:r>
          </w:p>
        </w:tc>
        <w:tc>
          <w:tcPr>
            <w:tcW w:w="1292" w:type="dxa"/>
          </w:tcPr>
          <w:p w14:paraId="55FBABC8" w14:textId="49744C5B" w:rsidR="00AE090F" w:rsidRPr="008B763F" w:rsidRDefault="00AE090F" w:rsidP="00AE090F"/>
        </w:tc>
        <w:tc>
          <w:tcPr>
            <w:tcW w:w="1235" w:type="dxa"/>
          </w:tcPr>
          <w:p w14:paraId="32FA0E6B" w14:textId="77777777" w:rsidR="00AE090F" w:rsidRPr="008B763F" w:rsidRDefault="00AE090F" w:rsidP="00AE090F"/>
        </w:tc>
      </w:tr>
    </w:tbl>
    <w:p w14:paraId="143BCC70" w14:textId="0201C7D9" w:rsidR="00C41394" w:rsidRDefault="00C41394" w:rsidP="00C41394">
      <w:pPr>
        <w:rPr>
          <w:rFonts w:cs="Times New Roman"/>
        </w:rPr>
      </w:pPr>
    </w:p>
    <w:p w14:paraId="2D74273B" w14:textId="65020354" w:rsidR="00C41394" w:rsidRPr="00285FF5" w:rsidRDefault="00C41394">
      <w:pPr>
        <w:rPr>
          <w:rFonts w:cs="Times New Roman"/>
        </w:rPr>
      </w:pPr>
    </w:p>
    <w:sectPr w:rsidR="00C41394" w:rsidRPr="00285FF5" w:rsidSect="0050102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12A55" w14:textId="77777777" w:rsidR="0013626C" w:rsidRDefault="0013626C" w:rsidP="0050102F">
      <w:pPr>
        <w:spacing w:after="0" w:line="240" w:lineRule="auto"/>
      </w:pPr>
      <w:r>
        <w:separator/>
      </w:r>
    </w:p>
  </w:endnote>
  <w:endnote w:type="continuationSeparator" w:id="0">
    <w:p w14:paraId="1406655F" w14:textId="77777777" w:rsidR="0013626C" w:rsidRDefault="0013626C" w:rsidP="0050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2A7BC" w14:textId="77777777" w:rsidR="0013626C" w:rsidRDefault="0013626C" w:rsidP="0050102F">
      <w:pPr>
        <w:spacing w:after="0" w:line="240" w:lineRule="auto"/>
      </w:pPr>
      <w:r>
        <w:separator/>
      </w:r>
    </w:p>
  </w:footnote>
  <w:footnote w:type="continuationSeparator" w:id="0">
    <w:p w14:paraId="3462D890" w14:textId="77777777" w:rsidR="0013626C" w:rsidRDefault="0013626C" w:rsidP="00501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F0C"/>
    <w:multiLevelType w:val="hybridMultilevel"/>
    <w:tmpl w:val="E5D48AF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0234EC2"/>
    <w:multiLevelType w:val="hybridMultilevel"/>
    <w:tmpl w:val="60EEF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16766"/>
    <w:multiLevelType w:val="hybridMultilevel"/>
    <w:tmpl w:val="F2904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A3C74"/>
    <w:multiLevelType w:val="hybridMultilevel"/>
    <w:tmpl w:val="C7A46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E4406"/>
    <w:multiLevelType w:val="hybridMultilevel"/>
    <w:tmpl w:val="8FEE171E"/>
    <w:lvl w:ilvl="0" w:tplc="F2065D8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58D46A0"/>
    <w:multiLevelType w:val="hybridMultilevel"/>
    <w:tmpl w:val="DD78D9AA"/>
    <w:lvl w:ilvl="0" w:tplc="DC3C8ED4">
      <w:start w:val="2"/>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B4A4FDD"/>
    <w:multiLevelType w:val="hybridMultilevel"/>
    <w:tmpl w:val="275C4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2F0C46"/>
    <w:multiLevelType w:val="hybridMultilevel"/>
    <w:tmpl w:val="4614F7CE"/>
    <w:lvl w:ilvl="0" w:tplc="0809000F">
      <w:start w:val="1"/>
      <w:numFmt w:val="decimal"/>
      <w:lvlText w:val="%1."/>
      <w:lvlJc w:val="left"/>
      <w:pPr>
        <w:ind w:left="426" w:hanging="360"/>
      </w:pPr>
    </w:lvl>
    <w:lvl w:ilvl="1" w:tplc="08090019">
      <w:start w:val="1"/>
      <w:numFmt w:val="lowerLetter"/>
      <w:lvlText w:val="%2."/>
      <w:lvlJc w:val="left"/>
      <w:pPr>
        <w:ind w:left="1146" w:hanging="360"/>
      </w:pPr>
    </w:lvl>
    <w:lvl w:ilvl="2" w:tplc="0809001B">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8" w15:restartNumberingAfterBreak="0">
    <w:nsid w:val="3DD41CAD"/>
    <w:multiLevelType w:val="hybridMultilevel"/>
    <w:tmpl w:val="93E42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835F3F"/>
    <w:multiLevelType w:val="hybridMultilevel"/>
    <w:tmpl w:val="D94A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6A5DAF"/>
    <w:multiLevelType w:val="hybridMultilevel"/>
    <w:tmpl w:val="18142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66D05"/>
    <w:multiLevelType w:val="hybridMultilevel"/>
    <w:tmpl w:val="1CD8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191040"/>
    <w:multiLevelType w:val="hybridMultilevel"/>
    <w:tmpl w:val="3B70C442"/>
    <w:lvl w:ilvl="0" w:tplc="FFFFFFFF">
      <w:start w:val="1"/>
      <w:numFmt w:val="lowerRoman"/>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67D6419C"/>
    <w:multiLevelType w:val="hybridMultilevel"/>
    <w:tmpl w:val="8E06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A35258"/>
    <w:multiLevelType w:val="hybridMultilevel"/>
    <w:tmpl w:val="6EAC381A"/>
    <w:lvl w:ilvl="0" w:tplc="4136183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7DF1618E"/>
    <w:multiLevelType w:val="hybridMultilevel"/>
    <w:tmpl w:val="8E1E7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6065037">
    <w:abstractNumId w:val="4"/>
  </w:num>
  <w:num w:numId="2" w16cid:durableId="1766805012">
    <w:abstractNumId w:val="5"/>
  </w:num>
  <w:num w:numId="3" w16cid:durableId="2071154724">
    <w:abstractNumId w:val="14"/>
  </w:num>
  <w:num w:numId="4" w16cid:durableId="173345744">
    <w:abstractNumId w:val="10"/>
  </w:num>
  <w:num w:numId="5" w16cid:durableId="1718385901">
    <w:abstractNumId w:val="9"/>
  </w:num>
  <w:num w:numId="6" w16cid:durableId="2101750191">
    <w:abstractNumId w:val="13"/>
  </w:num>
  <w:num w:numId="7" w16cid:durableId="1007291475">
    <w:abstractNumId w:val="2"/>
  </w:num>
  <w:num w:numId="8" w16cid:durableId="686713859">
    <w:abstractNumId w:val="7"/>
  </w:num>
  <w:num w:numId="9" w16cid:durableId="1766850634">
    <w:abstractNumId w:val="8"/>
  </w:num>
  <w:num w:numId="10" w16cid:durableId="594092451">
    <w:abstractNumId w:val="3"/>
  </w:num>
  <w:num w:numId="11" w16cid:durableId="756755650">
    <w:abstractNumId w:val="6"/>
  </w:num>
  <w:num w:numId="12" w16cid:durableId="1242372635">
    <w:abstractNumId w:val="12"/>
  </w:num>
  <w:num w:numId="13" w16cid:durableId="383870568">
    <w:abstractNumId w:val="0"/>
  </w:num>
  <w:num w:numId="14" w16cid:durableId="1456755944">
    <w:abstractNumId w:val="15"/>
  </w:num>
  <w:num w:numId="15" w16cid:durableId="1168986807">
    <w:abstractNumId w:val="1"/>
  </w:num>
  <w:num w:numId="16" w16cid:durableId="6376078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02F"/>
    <w:rsid w:val="00043067"/>
    <w:rsid w:val="0005010D"/>
    <w:rsid w:val="00054946"/>
    <w:rsid w:val="000926A6"/>
    <w:rsid w:val="00115B3E"/>
    <w:rsid w:val="001273ED"/>
    <w:rsid w:val="0013626C"/>
    <w:rsid w:val="001866F9"/>
    <w:rsid w:val="001B361D"/>
    <w:rsid w:val="001B4DBB"/>
    <w:rsid w:val="001C275D"/>
    <w:rsid w:val="001D3664"/>
    <w:rsid w:val="0020684E"/>
    <w:rsid w:val="00224415"/>
    <w:rsid w:val="00270676"/>
    <w:rsid w:val="00285FF5"/>
    <w:rsid w:val="002B3CF7"/>
    <w:rsid w:val="0032556B"/>
    <w:rsid w:val="00330CF2"/>
    <w:rsid w:val="00333F27"/>
    <w:rsid w:val="00391A80"/>
    <w:rsid w:val="003D79CC"/>
    <w:rsid w:val="004377A5"/>
    <w:rsid w:val="00440FE3"/>
    <w:rsid w:val="004C5E4C"/>
    <w:rsid w:val="004F1479"/>
    <w:rsid w:val="0050102F"/>
    <w:rsid w:val="005A2E77"/>
    <w:rsid w:val="005F0724"/>
    <w:rsid w:val="00610AA6"/>
    <w:rsid w:val="00612EB9"/>
    <w:rsid w:val="00652E35"/>
    <w:rsid w:val="00672457"/>
    <w:rsid w:val="006C3754"/>
    <w:rsid w:val="006E7195"/>
    <w:rsid w:val="00721B1E"/>
    <w:rsid w:val="00770EFA"/>
    <w:rsid w:val="00771FC9"/>
    <w:rsid w:val="00790E71"/>
    <w:rsid w:val="007A63A5"/>
    <w:rsid w:val="007D2AEA"/>
    <w:rsid w:val="0080174F"/>
    <w:rsid w:val="008351A8"/>
    <w:rsid w:val="00857F6F"/>
    <w:rsid w:val="009113B5"/>
    <w:rsid w:val="00926A45"/>
    <w:rsid w:val="009524B6"/>
    <w:rsid w:val="009865DC"/>
    <w:rsid w:val="009938B4"/>
    <w:rsid w:val="009B744C"/>
    <w:rsid w:val="009F4237"/>
    <w:rsid w:val="00AB031A"/>
    <w:rsid w:val="00AE090F"/>
    <w:rsid w:val="00AF7995"/>
    <w:rsid w:val="00B108FE"/>
    <w:rsid w:val="00B12AD0"/>
    <w:rsid w:val="00B64B37"/>
    <w:rsid w:val="00B7728B"/>
    <w:rsid w:val="00B81493"/>
    <w:rsid w:val="00BE5FAB"/>
    <w:rsid w:val="00BE7A73"/>
    <w:rsid w:val="00BF5B49"/>
    <w:rsid w:val="00C038D7"/>
    <w:rsid w:val="00C41394"/>
    <w:rsid w:val="00C6505B"/>
    <w:rsid w:val="00C85251"/>
    <w:rsid w:val="00CE3C71"/>
    <w:rsid w:val="00CF038D"/>
    <w:rsid w:val="00D22F48"/>
    <w:rsid w:val="00D546B2"/>
    <w:rsid w:val="00D66392"/>
    <w:rsid w:val="00D70B0D"/>
    <w:rsid w:val="00D74182"/>
    <w:rsid w:val="00DB2CFF"/>
    <w:rsid w:val="00E0111E"/>
    <w:rsid w:val="00E04FE0"/>
    <w:rsid w:val="00E06C8F"/>
    <w:rsid w:val="00E41876"/>
    <w:rsid w:val="00EA3D3B"/>
    <w:rsid w:val="00EB0DA6"/>
    <w:rsid w:val="00ED47D9"/>
    <w:rsid w:val="00F36666"/>
    <w:rsid w:val="00F57624"/>
    <w:rsid w:val="00FA7A1D"/>
    <w:rsid w:val="00FB4BB1"/>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F783"/>
  <w15:chartTrackingRefBased/>
  <w15:docId w15:val="{901438C5-23C6-429B-B965-113C51EF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102F"/>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otnote Text,Footnote,ft, Char Char Char Char,single space,footnote text,Fußnote,ADB Char Char,ADB Char Char Char,ADB Char Char Char Char Char Char Char,ADB Char Char Char Char Char,FOOTNOTES,fn,DNV-FT"/>
    <w:basedOn w:val="Normal"/>
    <w:link w:val="FootnoteTextChar"/>
    <w:uiPriority w:val="99"/>
    <w:unhideWhenUsed/>
    <w:rsid w:val="0050102F"/>
    <w:pPr>
      <w:spacing w:after="0" w:line="240" w:lineRule="auto"/>
    </w:pPr>
    <w:rPr>
      <w:rFonts w:ascii="Times New Roman" w:eastAsiaTheme="minorEastAsia" w:hAnsi="Times New Roman"/>
      <w:sz w:val="20"/>
      <w:szCs w:val="20"/>
      <w:lang w:val="en-US" w:eastAsia="zh-CN"/>
    </w:rPr>
  </w:style>
  <w:style w:type="character" w:customStyle="1" w:styleId="FootnoteTextChar">
    <w:name w:val="Footnote Text Char"/>
    <w:aliases w:val="Geneva 9 Char,Font: Geneva 9 Char,Boston 10 Char,f Char,otnote Text Char,Footnote Char,ft Char, Char Char Char Char Char,single space Char,footnote text Char,Fußnote Char,ADB Char Char Char1,ADB Char Char Char Char,FOOTNOTES Char"/>
    <w:basedOn w:val="DefaultParagraphFont"/>
    <w:link w:val="FootnoteText"/>
    <w:uiPriority w:val="99"/>
    <w:rsid w:val="0050102F"/>
    <w:rPr>
      <w:rFonts w:ascii="Times New Roman" w:eastAsiaTheme="minorEastAsia" w:hAnsi="Times New Roman"/>
      <w:sz w:val="20"/>
      <w:szCs w:val="20"/>
      <w:lang w:val="en-US" w:eastAsia="zh-CN"/>
    </w:rPr>
  </w:style>
  <w:style w:type="character" w:styleId="FootnoteReference">
    <w:name w:val="footnote reference"/>
    <w:aliases w:val="16 Point,Superscript 6 Point,Superscript 6 Point + 11 pt,ftref, BVI fnr,BVI fnr, BVI fnr Car Car,BVI fnr Car, BVI fnr Car Car Car Car,Footnote text,BVI fnr Car Car,BVI fnr Car Car Car Car,fr,Odwołanie przypisu,Footnote symbol,Ref,Re,o"/>
    <w:basedOn w:val="DefaultParagraphFont"/>
    <w:uiPriority w:val="99"/>
    <w:unhideWhenUsed/>
    <w:rsid w:val="0050102F"/>
    <w:rPr>
      <w:vertAlign w:val="superscript"/>
    </w:rPr>
  </w:style>
  <w:style w:type="paragraph" w:styleId="ListParagraph">
    <w:name w:val="List Paragraph"/>
    <w:basedOn w:val="Normal"/>
    <w:link w:val="ListParagraphChar"/>
    <w:uiPriority w:val="34"/>
    <w:qFormat/>
    <w:rsid w:val="0050102F"/>
    <w:pPr>
      <w:ind w:left="720"/>
      <w:contextualSpacing/>
    </w:pPr>
  </w:style>
  <w:style w:type="character" w:styleId="CommentReference">
    <w:name w:val="annotation reference"/>
    <w:basedOn w:val="DefaultParagraphFont"/>
    <w:uiPriority w:val="99"/>
    <w:semiHidden/>
    <w:unhideWhenUsed/>
    <w:rsid w:val="00857F6F"/>
    <w:rPr>
      <w:sz w:val="16"/>
      <w:szCs w:val="16"/>
    </w:rPr>
  </w:style>
  <w:style w:type="paragraph" w:styleId="CommentText">
    <w:name w:val="annotation text"/>
    <w:basedOn w:val="Normal"/>
    <w:link w:val="CommentTextChar"/>
    <w:uiPriority w:val="99"/>
    <w:semiHidden/>
    <w:unhideWhenUsed/>
    <w:rsid w:val="00857F6F"/>
    <w:pPr>
      <w:spacing w:line="240" w:lineRule="auto"/>
    </w:pPr>
    <w:rPr>
      <w:sz w:val="20"/>
      <w:szCs w:val="20"/>
    </w:rPr>
  </w:style>
  <w:style w:type="character" w:customStyle="1" w:styleId="CommentTextChar">
    <w:name w:val="Comment Text Char"/>
    <w:basedOn w:val="DefaultParagraphFont"/>
    <w:link w:val="CommentText"/>
    <w:uiPriority w:val="99"/>
    <w:semiHidden/>
    <w:rsid w:val="00857F6F"/>
    <w:rPr>
      <w:sz w:val="20"/>
      <w:szCs w:val="20"/>
    </w:rPr>
  </w:style>
  <w:style w:type="paragraph" w:styleId="CommentSubject">
    <w:name w:val="annotation subject"/>
    <w:basedOn w:val="CommentText"/>
    <w:next w:val="CommentText"/>
    <w:link w:val="CommentSubjectChar"/>
    <w:uiPriority w:val="99"/>
    <w:semiHidden/>
    <w:unhideWhenUsed/>
    <w:rsid w:val="00857F6F"/>
    <w:rPr>
      <w:b/>
      <w:bCs/>
    </w:rPr>
  </w:style>
  <w:style w:type="character" w:customStyle="1" w:styleId="CommentSubjectChar">
    <w:name w:val="Comment Subject Char"/>
    <w:basedOn w:val="CommentTextChar"/>
    <w:link w:val="CommentSubject"/>
    <w:uiPriority w:val="99"/>
    <w:semiHidden/>
    <w:rsid w:val="00857F6F"/>
    <w:rPr>
      <w:b/>
      <w:bCs/>
      <w:sz w:val="20"/>
      <w:szCs w:val="20"/>
    </w:rPr>
  </w:style>
  <w:style w:type="character" w:customStyle="1" w:styleId="ListParagraphChar">
    <w:name w:val="List Paragraph Char"/>
    <w:link w:val="ListParagraph"/>
    <w:uiPriority w:val="34"/>
    <w:rsid w:val="00D66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dc:creator>
  <cp:keywords/>
  <dc:description/>
  <cp:lastModifiedBy>Nisa </cp:lastModifiedBy>
  <cp:revision>2</cp:revision>
  <dcterms:created xsi:type="dcterms:W3CDTF">2022-05-09T10:22:00Z</dcterms:created>
  <dcterms:modified xsi:type="dcterms:W3CDTF">2022-05-09T10:22:00Z</dcterms:modified>
</cp:coreProperties>
</file>