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3BBC" w14:textId="02F08C74" w:rsidR="00065CE6" w:rsidRPr="00065CE6" w:rsidRDefault="00065CE6" w:rsidP="00D70A79">
      <w:pPr>
        <w:pStyle w:val="HCh"/>
        <w:jc w:val="center"/>
        <w:rPr>
          <w:rFonts w:asciiTheme="minorHAnsi" w:hAnsiTheme="minorHAnsi" w:cstheme="minorHAnsi"/>
        </w:rPr>
      </w:pPr>
      <w:r w:rsidRPr="00065CE6">
        <w:rPr>
          <w:rFonts w:asciiTheme="minorHAnsi" w:hAnsiTheme="minorHAnsi" w:cstheme="minorHAnsi"/>
        </w:rPr>
        <w:t>Independent Country Programme Evaluation</w:t>
      </w:r>
      <w:r w:rsidR="00C26706">
        <w:rPr>
          <w:rFonts w:asciiTheme="minorHAnsi" w:hAnsiTheme="minorHAnsi" w:cstheme="minorHAnsi"/>
        </w:rPr>
        <w:t xml:space="preserve">: </w:t>
      </w:r>
      <w:r w:rsidR="00D70A79">
        <w:rPr>
          <w:rFonts w:asciiTheme="minorHAnsi" w:hAnsiTheme="minorHAnsi" w:cstheme="minorHAnsi"/>
        </w:rPr>
        <w:t xml:space="preserve">UNDP </w:t>
      </w:r>
      <w:r w:rsidR="00BC3A2F">
        <w:rPr>
          <w:rFonts w:asciiTheme="minorHAnsi" w:hAnsiTheme="minorHAnsi" w:cstheme="minorHAnsi"/>
        </w:rPr>
        <w:t>Kenya</w:t>
      </w:r>
    </w:p>
    <w:p w14:paraId="7ACD439B" w14:textId="77777777" w:rsidR="00D70A79" w:rsidRDefault="00D70A79" w:rsidP="00D70A79">
      <w:pPr>
        <w:pStyle w:val="HCh"/>
        <w:jc w:val="center"/>
        <w:rPr>
          <w:rFonts w:asciiTheme="minorHAnsi" w:hAnsiTheme="minorHAnsi" w:cstheme="minorHAnsi"/>
        </w:rPr>
      </w:pPr>
    </w:p>
    <w:p w14:paraId="2FA786DF" w14:textId="56ECEDCD" w:rsidR="004B66B9" w:rsidRPr="00BF5598" w:rsidRDefault="001A7106" w:rsidP="00D70A79">
      <w:pPr>
        <w:pStyle w:val="HCh"/>
        <w:jc w:val="center"/>
        <w:rPr>
          <w:rFonts w:asciiTheme="minorHAnsi" w:hAnsiTheme="minorHAnsi" w:cstheme="minorHAnsi"/>
          <w:u w:val="single"/>
        </w:rPr>
      </w:pPr>
      <w:r w:rsidRPr="00BF5598">
        <w:rPr>
          <w:rFonts w:asciiTheme="minorHAnsi" w:hAnsiTheme="minorHAnsi" w:cstheme="minorHAnsi"/>
          <w:u w:val="single"/>
        </w:rPr>
        <w:t>UNDP</w:t>
      </w:r>
      <w:r w:rsidR="004B66B9" w:rsidRPr="00BF5598">
        <w:rPr>
          <w:rFonts w:asciiTheme="minorHAnsi" w:hAnsiTheme="minorHAnsi" w:cstheme="minorHAnsi"/>
          <w:u w:val="single"/>
        </w:rPr>
        <w:t xml:space="preserve"> </w:t>
      </w:r>
      <w:r w:rsidRPr="00BF5598">
        <w:rPr>
          <w:rFonts w:asciiTheme="minorHAnsi" w:hAnsiTheme="minorHAnsi" w:cstheme="minorHAnsi"/>
          <w:u w:val="single"/>
        </w:rPr>
        <w:t>M</w:t>
      </w:r>
      <w:r w:rsidR="004B66B9" w:rsidRPr="00BF5598">
        <w:rPr>
          <w:rFonts w:asciiTheme="minorHAnsi" w:hAnsiTheme="minorHAnsi" w:cstheme="minorHAnsi"/>
          <w:u w:val="single"/>
        </w:rPr>
        <w:t xml:space="preserve">anagement </w:t>
      </w:r>
      <w:r w:rsidRPr="00BF5598">
        <w:rPr>
          <w:rFonts w:asciiTheme="minorHAnsi" w:hAnsiTheme="minorHAnsi" w:cstheme="minorHAnsi"/>
          <w:u w:val="single"/>
        </w:rPr>
        <w:t>R</w:t>
      </w:r>
      <w:r w:rsidR="004B66B9" w:rsidRPr="00BF5598">
        <w:rPr>
          <w:rFonts w:asciiTheme="minorHAnsi" w:hAnsiTheme="minorHAnsi" w:cstheme="minorHAnsi"/>
          <w:u w:val="single"/>
        </w:rPr>
        <w:t>esponse</w:t>
      </w:r>
      <w:r w:rsidR="00641FCA">
        <w:rPr>
          <w:rFonts w:asciiTheme="minorHAnsi" w:hAnsiTheme="minorHAnsi" w:cstheme="minorHAnsi"/>
          <w:u w:val="single"/>
        </w:rPr>
        <w:t xml:space="preserve"> –</w:t>
      </w:r>
      <w:r w:rsidR="00B81DD6">
        <w:rPr>
          <w:rFonts w:asciiTheme="minorHAnsi" w:hAnsiTheme="minorHAnsi" w:cstheme="minorHAnsi"/>
          <w:u w:val="single"/>
        </w:rPr>
        <w:t xml:space="preserve"> March 2022 </w:t>
      </w:r>
    </w:p>
    <w:p w14:paraId="48EDF2B3" w14:textId="77777777" w:rsidR="00AE3FD8" w:rsidRDefault="00AE3FD8" w:rsidP="00AE3FD8">
      <w:pPr>
        <w:rPr>
          <w:lang w:val="en-GB"/>
        </w:rPr>
      </w:pPr>
    </w:p>
    <w:p w14:paraId="688FF419" w14:textId="77777777" w:rsidR="001A7106" w:rsidRPr="00065CE6" w:rsidRDefault="001A7106" w:rsidP="004B66B9">
      <w:pPr>
        <w:tabs>
          <w:tab w:val="left" w:pos="1080"/>
        </w:tabs>
        <w:rPr>
          <w:rFonts w:asciiTheme="minorHAnsi" w:hAnsiTheme="minorHAnsi" w:cstheme="minorHAnsi"/>
          <w:sz w:val="20"/>
          <w:szCs w:val="20"/>
        </w:rPr>
      </w:pPr>
    </w:p>
    <w:tbl>
      <w:tblPr>
        <w:tblW w:w="14339" w:type="dxa"/>
        <w:tblInd w:w="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00"/>
        <w:gridCol w:w="1350"/>
        <w:gridCol w:w="1260"/>
        <w:gridCol w:w="5940"/>
        <w:gridCol w:w="1278"/>
        <w:gridCol w:w="11"/>
      </w:tblGrid>
      <w:tr w:rsidR="004B66B9" w:rsidRPr="00305C2B" w14:paraId="002BDE28" w14:textId="77777777" w:rsidTr="00A7763E">
        <w:tc>
          <w:tcPr>
            <w:tcW w:w="14339" w:type="dxa"/>
            <w:gridSpan w:val="6"/>
            <w:shd w:val="clear" w:color="auto" w:fill="CCFFFF"/>
          </w:tcPr>
          <w:p w14:paraId="31422FA7" w14:textId="5907D6A7" w:rsidR="00913BF0" w:rsidRPr="00305C2B" w:rsidRDefault="00913BF0" w:rsidP="00E07351">
            <w:pPr>
              <w:pStyle w:val="paragraph"/>
              <w:tabs>
                <w:tab w:val="left" w:pos="567"/>
              </w:tabs>
              <w:spacing w:before="0" w:beforeAutospacing="0" w:after="0" w:afterAutospacing="0" w:line="276" w:lineRule="auto"/>
              <w:jc w:val="both"/>
              <w:textAlignment w:val="baseline"/>
              <w:rPr>
                <w:rFonts w:asciiTheme="minorHAnsi" w:hAnsiTheme="minorHAnsi" w:cstheme="minorHAnsi"/>
                <w:b/>
                <w:sz w:val="20"/>
                <w:szCs w:val="20"/>
                <w:lang w:val="en-US"/>
              </w:rPr>
            </w:pPr>
            <w:r w:rsidRPr="00305C2B">
              <w:rPr>
                <w:rFonts w:asciiTheme="minorHAnsi" w:hAnsiTheme="minorHAnsi" w:cstheme="minorHAnsi"/>
                <w:b/>
                <w:sz w:val="20"/>
                <w:szCs w:val="20"/>
                <w:lang w:val="en-US"/>
              </w:rPr>
              <w:t>Recommendation 1</w:t>
            </w:r>
            <w:r w:rsidR="00E57FB5" w:rsidRPr="00305C2B">
              <w:rPr>
                <w:rFonts w:asciiTheme="minorHAnsi" w:hAnsiTheme="minorHAnsi" w:cstheme="minorHAnsi"/>
                <w:b/>
                <w:sz w:val="20"/>
                <w:szCs w:val="20"/>
                <w:lang w:val="en-US"/>
              </w:rPr>
              <w:t>.</w:t>
            </w:r>
            <w:r w:rsidR="00B01D4E" w:rsidRPr="00305C2B">
              <w:rPr>
                <w:rFonts w:asciiTheme="minorHAnsi" w:hAnsiTheme="minorHAnsi" w:cstheme="minorHAnsi"/>
                <w:sz w:val="20"/>
                <w:szCs w:val="20"/>
              </w:rPr>
              <w:t xml:space="preserve"> </w:t>
            </w:r>
            <w:r w:rsidR="006A0EAC" w:rsidRPr="00305C2B">
              <w:rPr>
                <w:rFonts w:asciiTheme="minorHAnsi" w:hAnsiTheme="minorHAnsi" w:cstheme="minorHAnsi"/>
                <w:b/>
                <w:sz w:val="20"/>
                <w:szCs w:val="20"/>
                <w:lang w:val="en-US"/>
              </w:rPr>
              <w:t>UNDP’s devolution programme will remain relevant and should maintain its overall focus while making adjustments to strengthen the training components for county officials, the data collection and analysis capacities and improved monitoring and communication of results.</w:t>
            </w:r>
          </w:p>
          <w:p w14:paraId="5744A99D" w14:textId="54C5545C" w:rsidR="0021286B" w:rsidRPr="00305C2B" w:rsidRDefault="0021286B" w:rsidP="00E07351">
            <w:pPr>
              <w:pStyle w:val="paragraph"/>
              <w:tabs>
                <w:tab w:val="left" w:pos="567"/>
              </w:tabs>
              <w:spacing w:before="0" w:beforeAutospacing="0" w:after="0" w:afterAutospacing="0" w:line="276" w:lineRule="auto"/>
              <w:jc w:val="both"/>
              <w:textAlignment w:val="baseline"/>
              <w:rPr>
                <w:rFonts w:asciiTheme="minorHAnsi" w:hAnsiTheme="minorHAnsi" w:cstheme="minorHAnsi"/>
                <w:sz w:val="20"/>
                <w:szCs w:val="20"/>
              </w:rPr>
            </w:pPr>
          </w:p>
        </w:tc>
      </w:tr>
      <w:tr w:rsidR="004B66B9" w:rsidRPr="00305C2B" w14:paraId="4DD4A90F" w14:textId="77777777" w:rsidTr="00A7763E">
        <w:tc>
          <w:tcPr>
            <w:tcW w:w="14339" w:type="dxa"/>
            <w:gridSpan w:val="6"/>
            <w:shd w:val="clear" w:color="auto" w:fill="auto"/>
          </w:tcPr>
          <w:p w14:paraId="2DF64A26" w14:textId="15793D32" w:rsidR="004B66B9" w:rsidRPr="00305C2B" w:rsidRDefault="004B66B9" w:rsidP="00EA5555">
            <w:pPr>
              <w:tabs>
                <w:tab w:val="left" w:pos="1080"/>
              </w:tabs>
              <w:jc w:val="both"/>
              <w:rPr>
                <w:rFonts w:asciiTheme="minorHAnsi" w:hAnsiTheme="minorHAnsi" w:cstheme="minorHAnsi"/>
                <w:b/>
                <w:sz w:val="20"/>
                <w:szCs w:val="20"/>
              </w:rPr>
            </w:pPr>
            <w:r w:rsidRPr="00305C2B">
              <w:rPr>
                <w:rFonts w:asciiTheme="minorHAnsi" w:hAnsiTheme="minorHAnsi" w:cstheme="minorHAnsi"/>
                <w:b/>
                <w:sz w:val="20"/>
                <w:szCs w:val="20"/>
              </w:rPr>
              <w:t>Management response:</w:t>
            </w:r>
            <w:r w:rsidR="00FA2E55" w:rsidRPr="00305C2B">
              <w:rPr>
                <w:rFonts w:asciiTheme="minorHAnsi" w:hAnsiTheme="minorHAnsi" w:cstheme="minorHAnsi"/>
                <w:b/>
                <w:sz w:val="20"/>
                <w:szCs w:val="20"/>
              </w:rPr>
              <w:t xml:space="preserve"> </w:t>
            </w:r>
            <w:r w:rsidR="008422E7" w:rsidRPr="00305C2B">
              <w:rPr>
                <w:rFonts w:asciiTheme="minorHAnsi" w:hAnsiTheme="minorHAnsi" w:cstheme="minorHAnsi"/>
                <w:b/>
                <w:sz w:val="20"/>
                <w:szCs w:val="20"/>
              </w:rPr>
              <w:t>Fully Accept</w:t>
            </w:r>
          </w:p>
          <w:p w14:paraId="5C874E53" w14:textId="77777777" w:rsidR="00FA2E55" w:rsidRPr="00305C2B" w:rsidRDefault="00FA2E55" w:rsidP="00EA5555">
            <w:pPr>
              <w:tabs>
                <w:tab w:val="left" w:pos="1080"/>
              </w:tabs>
              <w:jc w:val="both"/>
              <w:rPr>
                <w:rFonts w:asciiTheme="minorHAnsi" w:hAnsiTheme="minorHAnsi" w:cstheme="minorHAnsi"/>
                <w:sz w:val="20"/>
                <w:szCs w:val="20"/>
              </w:rPr>
            </w:pPr>
          </w:p>
        </w:tc>
      </w:tr>
      <w:tr w:rsidR="00A7763E" w:rsidRPr="00305C2B" w14:paraId="62390E9D" w14:textId="77777777" w:rsidTr="00C517BE">
        <w:trPr>
          <w:gridAfter w:val="1"/>
          <w:wAfter w:w="11" w:type="dxa"/>
          <w:trHeight w:val="135"/>
        </w:trPr>
        <w:tc>
          <w:tcPr>
            <w:tcW w:w="4500" w:type="dxa"/>
            <w:vMerge w:val="restart"/>
            <w:shd w:val="clear" w:color="auto" w:fill="CCFFFF"/>
          </w:tcPr>
          <w:p w14:paraId="7266754B" w14:textId="77777777" w:rsidR="004B66B9" w:rsidRPr="00305C2B" w:rsidRDefault="004B66B9" w:rsidP="00EA5555">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5FAEBE12" w14:textId="77777777" w:rsidR="004B66B9" w:rsidRPr="00305C2B" w:rsidRDefault="00AE3FD8" w:rsidP="00EA5555">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4DBEB43F" w14:textId="77777777" w:rsidR="004B66B9" w:rsidRPr="00305C2B" w:rsidRDefault="004B66B9" w:rsidP="00EA5555">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2815AA75" w14:textId="77777777" w:rsidR="004B66B9" w:rsidRPr="00305C2B" w:rsidRDefault="004B66B9" w:rsidP="00EA5555">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A7763E" w:rsidRPr="00305C2B" w14:paraId="4525680C" w14:textId="77777777" w:rsidTr="00C517BE">
        <w:trPr>
          <w:gridAfter w:val="1"/>
          <w:wAfter w:w="11" w:type="dxa"/>
          <w:trHeight w:val="135"/>
        </w:trPr>
        <w:tc>
          <w:tcPr>
            <w:tcW w:w="4500" w:type="dxa"/>
            <w:vMerge/>
            <w:shd w:val="clear" w:color="auto" w:fill="F3F3F3"/>
          </w:tcPr>
          <w:p w14:paraId="41F27B25" w14:textId="77777777" w:rsidR="004B66B9" w:rsidRPr="00305C2B" w:rsidRDefault="004B66B9" w:rsidP="00EA5555">
            <w:pPr>
              <w:tabs>
                <w:tab w:val="left" w:pos="1080"/>
              </w:tabs>
              <w:rPr>
                <w:rFonts w:asciiTheme="minorHAnsi" w:hAnsiTheme="minorHAnsi" w:cstheme="minorHAnsi"/>
                <w:sz w:val="20"/>
                <w:szCs w:val="20"/>
              </w:rPr>
            </w:pPr>
          </w:p>
        </w:tc>
        <w:tc>
          <w:tcPr>
            <w:tcW w:w="1350" w:type="dxa"/>
            <w:vMerge/>
            <w:shd w:val="clear" w:color="auto" w:fill="F3F3F3"/>
          </w:tcPr>
          <w:p w14:paraId="0E6B19AE" w14:textId="77777777" w:rsidR="004B66B9" w:rsidRPr="00305C2B" w:rsidRDefault="004B66B9" w:rsidP="00EA5555">
            <w:pPr>
              <w:tabs>
                <w:tab w:val="left" w:pos="1080"/>
              </w:tabs>
              <w:rPr>
                <w:rFonts w:asciiTheme="minorHAnsi" w:hAnsiTheme="minorHAnsi" w:cstheme="minorHAnsi"/>
                <w:b/>
                <w:sz w:val="20"/>
                <w:szCs w:val="20"/>
              </w:rPr>
            </w:pPr>
          </w:p>
        </w:tc>
        <w:tc>
          <w:tcPr>
            <w:tcW w:w="1260" w:type="dxa"/>
            <w:vMerge/>
            <w:shd w:val="clear" w:color="auto" w:fill="F3F3F3"/>
          </w:tcPr>
          <w:p w14:paraId="3DC4D684" w14:textId="77777777" w:rsidR="004B66B9" w:rsidRPr="00305C2B" w:rsidRDefault="004B66B9" w:rsidP="00EA5555">
            <w:pPr>
              <w:tabs>
                <w:tab w:val="left" w:pos="1080"/>
              </w:tabs>
              <w:rPr>
                <w:rFonts w:asciiTheme="minorHAnsi" w:hAnsiTheme="minorHAnsi" w:cstheme="minorHAnsi"/>
                <w:b/>
                <w:sz w:val="20"/>
                <w:szCs w:val="20"/>
              </w:rPr>
            </w:pPr>
          </w:p>
        </w:tc>
        <w:tc>
          <w:tcPr>
            <w:tcW w:w="5940" w:type="dxa"/>
          </w:tcPr>
          <w:p w14:paraId="43666988" w14:textId="77777777" w:rsidR="004B66B9" w:rsidRPr="00305C2B" w:rsidRDefault="004B66B9" w:rsidP="00EA5555">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4AEB6F9B" w14:textId="77777777" w:rsidR="004B66B9" w:rsidRPr="00305C2B" w:rsidRDefault="004B66B9" w:rsidP="00DA08FD">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Status</w:t>
            </w:r>
            <w:r w:rsidR="00AE3FD8" w:rsidRPr="00305C2B">
              <w:rPr>
                <w:rFonts w:asciiTheme="minorHAnsi" w:hAnsiTheme="minorHAnsi" w:cstheme="minorHAnsi"/>
                <w:b/>
                <w:sz w:val="20"/>
                <w:szCs w:val="20"/>
              </w:rPr>
              <w:t xml:space="preserve"> (Initiated, Completed or No due date)</w:t>
            </w:r>
          </w:p>
        </w:tc>
      </w:tr>
      <w:tr w:rsidR="00A7763E" w:rsidRPr="00305C2B" w14:paraId="73FFFCF5" w14:textId="77777777" w:rsidTr="00C517BE">
        <w:trPr>
          <w:gridAfter w:val="1"/>
          <w:wAfter w:w="11" w:type="dxa"/>
        </w:trPr>
        <w:tc>
          <w:tcPr>
            <w:tcW w:w="4500" w:type="dxa"/>
          </w:tcPr>
          <w:p w14:paraId="377E2869" w14:textId="001BF7F8" w:rsidR="00833A04" w:rsidRPr="00305C2B" w:rsidRDefault="00305C2B" w:rsidP="00305C2B">
            <w:pPr>
              <w:pStyle w:val="ListParagraph"/>
              <w:ind w:left="0"/>
              <w:rPr>
                <w:rFonts w:asciiTheme="minorHAnsi" w:hAnsiTheme="minorHAnsi" w:cstheme="minorHAnsi"/>
              </w:rPr>
            </w:pPr>
            <w:r w:rsidRPr="00305C2B">
              <w:rPr>
                <w:rFonts w:asciiTheme="minorHAnsi" w:hAnsiTheme="minorHAnsi" w:cstheme="minorHAnsi"/>
              </w:rPr>
              <w:t xml:space="preserve">1.1 </w:t>
            </w:r>
            <w:r w:rsidR="00B81DD6">
              <w:rPr>
                <w:rFonts w:asciiTheme="minorHAnsi" w:hAnsiTheme="minorHAnsi" w:cstheme="minorHAnsi"/>
              </w:rPr>
              <w:t>The country office</w:t>
            </w:r>
            <w:r w:rsidR="00833A04" w:rsidRPr="00305C2B">
              <w:rPr>
                <w:rFonts w:asciiTheme="minorHAnsi" w:hAnsiTheme="minorHAnsi" w:cstheme="minorHAnsi"/>
              </w:rPr>
              <w:t xml:space="preserve"> will </w:t>
            </w:r>
            <w:r w:rsidR="007B7014" w:rsidRPr="00305C2B">
              <w:rPr>
                <w:rFonts w:asciiTheme="minorHAnsi" w:hAnsiTheme="minorHAnsi" w:cstheme="minorHAnsi"/>
              </w:rPr>
              <w:t xml:space="preserve">further </w:t>
            </w:r>
            <w:r w:rsidR="00833A04" w:rsidRPr="00305C2B">
              <w:rPr>
                <w:rFonts w:asciiTheme="minorHAnsi" w:hAnsiTheme="minorHAnsi" w:cstheme="minorHAnsi"/>
              </w:rPr>
              <w:t xml:space="preserve">assess the overall progress of the joint devolution programme including training activities and engagement with counties  as part of the planned Mid Term </w:t>
            </w:r>
            <w:r w:rsidR="007B7014" w:rsidRPr="00305C2B">
              <w:rPr>
                <w:rFonts w:asciiTheme="minorHAnsi" w:hAnsiTheme="minorHAnsi" w:cstheme="minorHAnsi"/>
              </w:rPr>
              <w:t>Evaluation.</w:t>
            </w:r>
            <w:r w:rsidR="00833A04" w:rsidRPr="00305C2B">
              <w:rPr>
                <w:rFonts w:asciiTheme="minorHAnsi" w:hAnsiTheme="minorHAnsi" w:cstheme="minorHAnsi"/>
              </w:rPr>
              <w:t xml:space="preserve">  Lessons learnt and recommendations will inform ongoing training activities on financial management, M&amp;E, CIDPs with a greater focus on the permanent staff of county administrations to ensure continuity and limit the loss of institutional memory. </w:t>
            </w:r>
          </w:p>
          <w:p w14:paraId="47156CED" w14:textId="7DE11DFB" w:rsidR="00A7763E" w:rsidRPr="00305C2B" w:rsidRDefault="00A7763E" w:rsidP="00A7763E">
            <w:pPr>
              <w:tabs>
                <w:tab w:val="left" w:pos="1080"/>
              </w:tabs>
              <w:rPr>
                <w:rFonts w:asciiTheme="minorHAnsi" w:hAnsiTheme="minorHAnsi" w:cstheme="minorHAnsi"/>
                <w:sz w:val="20"/>
                <w:szCs w:val="20"/>
              </w:rPr>
            </w:pPr>
          </w:p>
        </w:tc>
        <w:tc>
          <w:tcPr>
            <w:tcW w:w="1350" w:type="dxa"/>
          </w:tcPr>
          <w:p w14:paraId="1C008E66" w14:textId="2F0E79C8" w:rsidR="00A7763E" w:rsidRPr="00305C2B" w:rsidRDefault="00833A04" w:rsidP="00A7763E">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June 2022 </w:t>
            </w:r>
          </w:p>
        </w:tc>
        <w:tc>
          <w:tcPr>
            <w:tcW w:w="1260" w:type="dxa"/>
          </w:tcPr>
          <w:p w14:paraId="5C63B1C6" w14:textId="6AC888FD" w:rsidR="00A7763E" w:rsidRPr="00305C2B" w:rsidRDefault="00A7763E" w:rsidP="00A7763E">
            <w:pPr>
              <w:tabs>
                <w:tab w:val="left" w:pos="1080"/>
              </w:tabs>
              <w:rPr>
                <w:rFonts w:asciiTheme="minorHAnsi" w:hAnsiTheme="minorHAnsi" w:cstheme="minorHAnsi"/>
                <w:sz w:val="20"/>
                <w:szCs w:val="20"/>
              </w:rPr>
            </w:pPr>
            <w:r w:rsidRPr="00305C2B">
              <w:rPr>
                <w:rFonts w:asciiTheme="minorHAnsi" w:hAnsiTheme="minorHAnsi" w:cstheme="minorHAnsi"/>
                <w:sz w:val="20"/>
                <w:szCs w:val="20"/>
              </w:rPr>
              <w:t>Devolution</w:t>
            </w:r>
            <w:r w:rsidR="00B81DD6">
              <w:rPr>
                <w:rFonts w:asciiTheme="minorHAnsi" w:hAnsiTheme="minorHAnsi" w:cstheme="minorHAnsi"/>
                <w:sz w:val="20"/>
                <w:szCs w:val="20"/>
              </w:rPr>
              <w:t xml:space="preserve"> Project</w:t>
            </w:r>
            <w:r w:rsidRPr="00305C2B">
              <w:rPr>
                <w:rFonts w:asciiTheme="minorHAnsi" w:hAnsiTheme="minorHAnsi" w:cstheme="minorHAnsi"/>
                <w:sz w:val="20"/>
                <w:szCs w:val="20"/>
              </w:rPr>
              <w:t xml:space="preserve"> Team</w:t>
            </w:r>
            <w:r w:rsidR="00B81DD6">
              <w:rPr>
                <w:rFonts w:asciiTheme="minorHAnsi" w:hAnsiTheme="minorHAnsi" w:cstheme="minorHAnsi"/>
                <w:sz w:val="20"/>
                <w:szCs w:val="20"/>
              </w:rPr>
              <w:t>/GIG</w:t>
            </w:r>
          </w:p>
        </w:tc>
        <w:tc>
          <w:tcPr>
            <w:tcW w:w="5940" w:type="dxa"/>
          </w:tcPr>
          <w:p w14:paraId="5FD5AC57" w14:textId="6B7F5845" w:rsidR="005E3920" w:rsidRPr="00305C2B" w:rsidRDefault="00A7763E" w:rsidP="00A7763E">
            <w:pPr>
              <w:tabs>
                <w:tab w:val="left" w:pos="1080"/>
              </w:tabs>
              <w:rPr>
                <w:rFonts w:asciiTheme="minorHAnsi" w:hAnsiTheme="minorHAnsi" w:cstheme="minorHAnsi"/>
                <w:sz w:val="20"/>
                <w:szCs w:val="20"/>
              </w:rPr>
            </w:pPr>
            <w:r w:rsidRPr="00305C2B">
              <w:rPr>
                <w:rFonts w:asciiTheme="minorHAnsi" w:hAnsiTheme="minorHAnsi" w:cstheme="minorHAnsi"/>
                <w:sz w:val="20"/>
                <w:szCs w:val="20"/>
              </w:rPr>
              <w:t>Th</w:t>
            </w:r>
            <w:r w:rsidR="007B7014" w:rsidRPr="00305C2B">
              <w:rPr>
                <w:rFonts w:asciiTheme="minorHAnsi" w:hAnsiTheme="minorHAnsi" w:cstheme="minorHAnsi"/>
                <w:sz w:val="20"/>
                <w:szCs w:val="20"/>
              </w:rPr>
              <w:t>e procurement process for the MTE consultan</w:t>
            </w:r>
            <w:r w:rsidR="007F6E52">
              <w:rPr>
                <w:rFonts w:asciiTheme="minorHAnsi" w:hAnsiTheme="minorHAnsi" w:cstheme="minorHAnsi"/>
                <w:sz w:val="20"/>
                <w:szCs w:val="20"/>
              </w:rPr>
              <w:t xml:space="preserve">cy </w:t>
            </w:r>
            <w:r w:rsidR="007B7014" w:rsidRPr="00305C2B">
              <w:rPr>
                <w:rFonts w:asciiTheme="minorHAnsi" w:hAnsiTheme="minorHAnsi" w:cstheme="minorHAnsi"/>
                <w:sz w:val="20"/>
                <w:szCs w:val="20"/>
              </w:rPr>
              <w:t>has commenced</w:t>
            </w:r>
            <w:r w:rsidR="001679A8">
              <w:rPr>
                <w:rFonts w:asciiTheme="minorHAnsi" w:hAnsiTheme="minorHAnsi" w:cstheme="minorHAnsi"/>
                <w:sz w:val="20"/>
                <w:szCs w:val="20"/>
              </w:rPr>
              <w:t xml:space="preserve"> for completion by June 2022. </w:t>
            </w:r>
          </w:p>
          <w:p w14:paraId="1D874F22" w14:textId="77777777" w:rsidR="005E3920" w:rsidRPr="00305C2B" w:rsidRDefault="005E3920" w:rsidP="00A7763E">
            <w:pPr>
              <w:tabs>
                <w:tab w:val="left" w:pos="1080"/>
              </w:tabs>
              <w:rPr>
                <w:rFonts w:asciiTheme="minorHAnsi" w:hAnsiTheme="minorHAnsi" w:cstheme="minorHAnsi"/>
                <w:sz w:val="20"/>
                <w:szCs w:val="20"/>
              </w:rPr>
            </w:pPr>
          </w:p>
          <w:p w14:paraId="77A7E725" w14:textId="6AF385A5" w:rsidR="00A7763E" w:rsidRPr="00305C2B" w:rsidRDefault="00A7763E" w:rsidP="00A7763E">
            <w:pPr>
              <w:tabs>
                <w:tab w:val="left" w:pos="1080"/>
              </w:tabs>
              <w:rPr>
                <w:rFonts w:asciiTheme="minorHAnsi" w:hAnsiTheme="minorHAnsi" w:cstheme="minorHAnsi"/>
                <w:sz w:val="20"/>
                <w:szCs w:val="20"/>
              </w:rPr>
            </w:pPr>
          </w:p>
        </w:tc>
        <w:tc>
          <w:tcPr>
            <w:tcW w:w="1278" w:type="dxa"/>
          </w:tcPr>
          <w:p w14:paraId="7F5B7E0F" w14:textId="0CBA29FD" w:rsidR="00A7763E" w:rsidRPr="00305C2B" w:rsidRDefault="00A7763E" w:rsidP="00A7763E">
            <w:pPr>
              <w:tabs>
                <w:tab w:val="left" w:pos="1080"/>
              </w:tabs>
              <w:rPr>
                <w:rFonts w:asciiTheme="minorHAnsi" w:hAnsiTheme="minorHAnsi" w:cstheme="minorHAnsi"/>
                <w:sz w:val="20"/>
                <w:szCs w:val="20"/>
              </w:rPr>
            </w:pPr>
            <w:r w:rsidRPr="00305C2B">
              <w:rPr>
                <w:rFonts w:asciiTheme="minorHAnsi" w:hAnsiTheme="minorHAnsi" w:cstheme="minorHAnsi"/>
                <w:sz w:val="20"/>
                <w:szCs w:val="20"/>
              </w:rPr>
              <w:t>Initiated</w:t>
            </w:r>
          </w:p>
        </w:tc>
      </w:tr>
      <w:tr w:rsidR="00A7763E" w:rsidRPr="00305C2B" w14:paraId="72D8435E" w14:textId="77777777" w:rsidTr="00A7763E">
        <w:tblPrEx>
          <w:tblBorders>
            <w:insideH w:val="single" w:sz="4" w:space="0" w:color="auto"/>
            <w:insideV w:val="single" w:sz="4" w:space="0" w:color="auto"/>
          </w:tblBorders>
        </w:tblPrEx>
        <w:tc>
          <w:tcPr>
            <w:tcW w:w="14339" w:type="dxa"/>
            <w:gridSpan w:val="6"/>
            <w:shd w:val="clear" w:color="auto" w:fill="CCFFFF"/>
          </w:tcPr>
          <w:p w14:paraId="420D12F1" w14:textId="08576ACF" w:rsidR="00A7763E" w:rsidRPr="00305C2B" w:rsidRDefault="00A7763E" w:rsidP="00A7763E">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Recommendation 2. UNDP should further consolidate and strengthen synergies in its work in peace and security, elections and human rights and the rule of law, where it has had </w:t>
            </w:r>
            <w:r w:rsidR="00644E2E" w:rsidRPr="00305C2B">
              <w:rPr>
                <w:rFonts w:asciiTheme="minorHAnsi" w:hAnsiTheme="minorHAnsi" w:cstheme="minorHAnsi"/>
                <w:b/>
                <w:sz w:val="20"/>
                <w:szCs w:val="20"/>
              </w:rPr>
              <w:t xml:space="preserve">a </w:t>
            </w:r>
            <w:r w:rsidRPr="00305C2B">
              <w:rPr>
                <w:rFonts w:asciiTheme="minorHAnsi" w:hAnsiTheme="minorHAnsi" w:cstheme="minorHAnsi"/>
                <w:b/>
                <w:sz w:val="20"/>
                <w:szCs w:val="20"/>
              </w:rPr>
              <w:t>real impact and is currently well established.</w:t>
            </w:r>
          </w:p>
          <w:p w14:paraId="784E6727" w14:textId="0782DAB5" w:rsidR="00A7763E" w:rsidRPr="00305C2B" w:rsidRDefault="00A7763E" w:rsidP="00A7763E">
            <w:pPr>
              <w:tabs>
                <w:tab w:val="left" w:pos="1080"/>
              </w:tabs>
              <w:rPr>
                <w:rFonts w:asciiTheme="minorHAnsi" w:hAnsiTheme="minorHAnsi" w:cstheme="minorHAnsi"/>
                <w:sz w:val="20"/>
                <w:szCs w:val="20"/>
              </w:rPr>
            </w:pPr>
          </w:p>
        </w:tc>
      </w:tr>
      <w:tr w:rsidR="00A7763E" w:rsidRPr="00305C2B" w14:paraId="729F0E4A" w14:textId="77777777" w:rsidTr="00A7763E">
        <w:tblPrEx>
          <w:tblBorders>
            <w:insideH w:val="single" w:sz="4" w:space="0" w:color="auto"/>
            <w:insideV w:val="single" w:sz="4" w:space="0" w:color="auto"/>
          </w:tblBorders>
        </w:tblPrEx>
        <w:tc>
          <w:tcPr>
            <w:tcW w:w="14339" w:type="dxa"/>
            <w:gridSpan w:val="6"/>
            <w:shd w:val="clear" w:color="auto" w:fill="auto"/>
          </w:tcPr>
          <w:p w14:paraId="6D9D6542" w14:textId="3D0ABA14" w:rsidR="00A7763E" w:rsidRPr="00305C2B" w:rsidRDefault="00A7763E" w:rsidP="00A7763E">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Management response:</w:t>
            </w:r>
            <w:r w:rsidR="00AF1FCD" w:rsidRPr="00305C2B">
              <w:rPr>
                <w:rFonts w:asciiTheme="minorHAnsi" w:hAnsiTheme="minorHAnsi" w:cstheme="minorHAnsi"/>
                <w:b/>
                <w:sz w:val="20"/>
                <w:szCs w:val="20"/>
              </w:rPr>
              <w:t xml:space="preserve"> Fully Accept</w:t>
            </w:r>
          </w:p>
          <w:p w14:paraId="4A427569" w14:textId="77777777" w:rsidR="00A7763E" w:rsidRPr="00305C2B" w:rsidRDefault="00A7763E" w:rsidP="00A7763E">
            <w:pPr>
              <w:tabs>
                <w:tab w:val="left" w:pos="1080"/>
              </w:tabs>
              <w:rPr>
                <w:rFonts w:asciiTheme="minorHAnsi" w:hAnsiTheme="minorHAnsi" w:cstheme="minorHAnsi"/>
                <w:b/>
                <w:sz w:val="20"/>
                <w:szCs w:val="20"/>
              </w:rPr>
            </w:pPr>
          </w:p>
        </w:tc>
      </w:tr>
      <w:tr w:rsidR="00A7763E" w:rsidRPr="00305C2B" w14:paraId="230F9B90"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5AF42238" w14:textId="77777777" w:rsidR="00A7763E" w:rsidRPr="00305C2B" w:rsidRDefault="00A7763E" w:rsidP="00A7763E">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62D1A990" w14:textId="77777777" w:rsidR="00A7763E" w:rsidRPr="00305C2B" w:rsidRDefault="00A7763E" w:rsidP="00A7763E">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2062F6BF" w14:textId="77777777" w:rsidR="00A7763E" w:rsidRPr="00305C2B" w:rsidRDefault="00A7763E" w:rsidP="00A7763E">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0FA0B36A" w14:textId="77777777" w:rsidR="00A7763E" w:rsidRPr="00305C2B" w:rsidRDefault="00A7763E" w:rsidP="00A7763E">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A7763E" w:rsidRPr="00305C2B" w14:paraId="0447D9ED"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28CFA3AD" w14:textId="77777777" w:rsidR="00A7763E" w:rsidRPr="00305C2B" w:rsidRDefault="00A7763E" w:rsidP="00A7763E">
            <w:pPr>
              <w:tabs>
                <w:tab w:val="left" w:pos="1080"/>
              </w:tabs>
              <w:rPr>
                <w:rFonts w:asciiTheme="minorHAnsi" w:hAnsiTheme="minorHAnsi" w:cstheme="minorHAnsi"/>
                <w:sz w:val="20"/>
                <w:szCs w:val="20"/>
              </w:rPr>
            </w:pPr>
          </w:p>
        </w:tc>
        <w:tc>
          <w:tcPr>
            <w:tcW w:w="1350" w:type="dxa"/>
            <w:vMerge/>
            <w:shd w:val="clear" w:color="auto" w:fill="F3F3F3"/>
          </w:tcPr>
          <w:p w14:paraId="40C6FED0" w14:textId="77777777" w:rsidR="00A7763E" w:rsidRPr="00305C2B" w:rsidRDefault="00A7763E" w:rsidP="00A7763E">
            <w:pPr>
              <w:tabs>
                <w:tab w:val="left" w:pos="1080"/>
              </w:tabs>
              <w:rPr>
                <w:rFonts w:asciiTheme="minorHAnsi" w:hAnsiTheme="minorHAnsi" w:cstheme="minorHAnsi"/>
                <w:b/>
                <w:sz w:val="20"/>
                <w:szCs w:val="20"/>
              </w:rPr>
            </w:pPr>
          </w:p>
        </w:tc>
        <w:tc>
          <w:tcPr>
            <w:tcW w:w="1260" w:type="dxa"/>
            <w:vMerge/>
            <w:shd w:val="clear" w:color="auto" w:fill="F3F3F3"/>
          </w:tcPr>
          <w:p w14:paraId="2D2A38AC" w14:textId="77777777" w:rsidR="00A7763E" w:rsidRPr="00305C2B" w:rsidRDefault="00A7763E" w:rsidP="00A7763E">
            <w:pPr>
              <w:tabs>
                <w:tab w:val="left" w:pos="1080"/>
              </w:tabs>
              <w:rPr>
                <w:rFonts w:asciiTheme="minorHAnsi" w:hAnsiTheme="minorHAnsi" w:cstheme="minorHAnsi"/>
                <w:b/>
                <w:sz w:val="20"/>
                <w:szCs w:val="20"/>
              </w:rPr>
            </w:pPr>
          </w:p>
        </w:tc>
        <w:tc>
          <w:tcPr>
            <w:tcW w:w="5940" w:type="dxa"/>
          </w:tcPr>
          <w:p w14:paraId="47CCE06C" w14:textId="77777777" w:rsidR="00A7763E" w:rsidRPr="00305C2B" w:rsidRDefault="00A7763E" w:rsidP="00A7763E">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19CA6315" w14:textId="7B5D81FA" w:rsidR="00A7763E" w:rsidRPr="00305C2B" w:rsidRDefault="00A7763E" w:rsidP="00A7763E">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Status </w:t>
            </w:r>
          </w:p>
        </w:tc>
      </w:tr>
      <w:tr w:rsidR="00EF7F43" w:rsidRPr="00305C2B" w14:paraId="7BD81481" w14:textId="77777777" w:rsidTr="00C517BE">
        <w:tblPrEx>
          <w:tblBorders>
            <w:insideH w:val="single" w:sz="4" w:space="0" w:color="auto"/>
            <w:insideV w:val="single" w:sz="4" w:space="0" w:color="auto"/>
          </w:tblBorders>
        </w:tblPrEx>
        <w:trPr>
          <w:gridAfter w:val="1"/>
          <w:wAfter w:w="11" w:type="dxa"/>
        </w:trPr>
        <w:tc>
          <w:tcPr>
            <w:tcW w:w="4500" w:type="dxa"/>
          </w:tcPr>
          <w:p w14:paraId="1BFD2FDD" w14:textId="3AEFA353" w:rsidR="00EF7F43" w:rsidRDefault="00EF7F43" w:rsidP="00FC0AA8">
            <w:pPr>
              <w:pStyle w:val="xmsonormal"/>
              <w:rPr>
                <w:sz w:val="20"/>
                <w:szCs w:val="20"/>
              </w:rPr>
            </w:pPr>
            <w:r w:rsidRPr="00305C2B">
              <w:rPr>
                <w:rFonts w:asciiTheme="minorHAnsi" w:hAnsiTheme="minorHAnsi" w:cstheme="minorHAnsi"/>
                <w:sz w:val="20"/>
                <w:szCs w:val="20"/>
              </w:rPr>
              <w:t>2.1</w:t>
            </w:r>
            <w:r w:rsidR="00531359" w:rsidRPr="00305C2B">
              <w:rPr>
                <w:rFonts w:asciiTheme="minorHAnsi" w:hAnsiTheme="minorHAnsi" w:cstheme="minorHAnsi"/>
                <w:sz w:val="20"/>
                <w:szCs w:val="20"/>
              </w:rPr>
              <w:t xml:space="preserve"> </w:t>
            </w:r>
            <w:r w:rsidR="00FC0AA8" w:rsidRPr="00FC0AA8">
              <w:rPr>
                <w:sz w:val="20"/>
                <w:szCs w:val="20"/>
              </w:rPr>
              <w:t xml:space="preserve">To further consolidate and strengthen synergies in in its governance, peace and security pillar, the </w:t>
            </w:r>
            <w:r w:rsidR="001679A8">
              <w:rPr>
                <w:sz w:val="20"/>
                <w:szCs w:val="20"/>
              </w:rPr>
              <w:t>c</w:t>
            </w:r>
            <w:r w:rsidR="00FC0AA8" w:rsidRPr="00FC0AA8">
              <w:rPr>
                <w:sz w:val="20"/>
                <w:szCs w:val="20"/>
              </w:rPr>
              <w:t xml:space="preserve">ountry </w:t>
            </w:r>
            <w:r w:rsidR="001679A8">
              <w:rPr>
                <w:sz w:val="20"/>
                <w:szCs w:val="20"/>
              </w:rPr>
              <w:t>o</w:t>
            </w:r>
            <w:r w:rsidR="00FC0AA8" w:rsidRPr="00FC0AA8">
              <w:rPr>
                <w:sz w:val="20"/>
                <w:szCs w:val="20"/>
              </w:rPr>
              <w:t xml:space="preserve">ffice will enhance </w:t>
            </w:r>
            <w:r w:rsidR="006840CF">
              <w:rPr>
                <w:sz w:val="20"/>
                <w:szCs w:val="20"/>
              </w:rPr>
              <w:t xml:space="preserve">the </w:t>
            </w:r>
            <w:r w:rsidR="00FC0AA8" w:rsidRPr="00FC0AA8">
              <w:rPr>
                <w:sz w:val="20"/>
                <w:szCs w:val="20"/>
              </w:rPr>
              <w:t xml:space="preserve">use of the portfolio approach in its programming under the new CPD </w:t>
            </w:r>
            <w:r w:rsidR="00B77735">
              <w:rPr>
                <w:sz w:val="20"/>
                <w:szCs w:val="20"/>
              </w:rPr>
              <w:t xml:space="preserve">2022-2026 </w:t>
            </w:r>
            <w:r w:rsidR="00FC0AA8" w:rsidRPr="00FC0AA8">
              <w:rPr>
                <w:sz w:val="20"/>
                <w:szCs w:val="20"/>
              </w:rPr>
              <w:t xml:space="preserve">while exploiting existing opportunities for collaboration and joint programming with other </w:t>
            </w:r>
            <w:r w:rsidR="00FC0AA8" w:rsidRPr="00FC0AA8">
              <w:rPr>
                <w:sz w:val="20"/>
                <w:szCs w:val="20"/>
              </w:rPr>
              <w:lastRenderedPageBreak/>
              <w:t xml:space="preserve">UN </w:t>
            </w:r>
            <w:r w:rsidR="00B77735">
              <w:rPr>
                <w:sz w:val="20"/>
                <w:szCs w:val="20"/>
              </w:rPr>
              <w:t xml:space="preserve">agencies </w:t>
            </w:r>
            <w:r w:rsidR="00FC0AA8" w:rsidRPr="00FC0AA8">
              <w:rPr>
                <w:sz w:val="20"/>
                <w:szCs w:val="20"/>
              </w:rPr>
              <w:t>working in the governance and peace sector.</w:t>
            </w:r>
          </w:p>
          <w:p w14:paraId="537FFC8A" w14:textId="00140B2B" w:rsidR="001C31FD" w:rsidRPr="00FC0AA8" w:rsidRDefault="001C31FD" w:rsidP="00FC0AA8">
            <w:pPr>
              <w:pStyle w:val="xmsonormal"/>
              <w:rPr>
                <w:rFonts w:asciiTheme="minorHAnsi" w:hAnsiTheme="minorHAnsi" w:cstheme="minorHAnsi"/>
                <w:sz w:val="20"/>
                <w:szCs w:val="20"/>
              </w:rPr>
            </w:pPr>
          </w:p>
        </w:tc>
        <w:tc>
          <w:tcPr>
            <w:tcW w:w="1350" w:type="dxa"/>
          </w:tcPr>
          <w:p w14:paraId="700810BF" w14:textId="51F680E6" w:rsidR="00EF7F43" w:rsidRPr="00305C2B" w:rsidRDefault="00FC0AA8" w:rsidP="00EF7F43">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Dec</w:t>
            </w:r>
            <w:r w:rsidR="00EF7F43" w:rsidRPr="00305C2B">
              <w:rPr>
                <w:rFonts w:asciiTheme="minorHAnsi" w:hAnsiTheme="minorHAnsi" w:cstheme="minorHAnsi"/>
                <w:sz w:val="20"/>
                <w:szCs w:val="20"/>
              </w:rPr>
              <w:t xml:space="preserve"> 2022</w:t>
            </w:r>
          </w:p>
        </w:tc>
        <w:tc>
          <w:tcPr>
            <w:tcW w:w="1260" w:type="dxa"/>
          </w:tcPr>
          <w:p w14:paraId="00776EB2" w14:textId="160AF5AF" w:rsidR="00EF7F43" w:rsidRPr="00305C2B" w:rsidRDefault="00EF7F43" w:rsidP="00EF7F43">
            <w:pPr>
              <w:tabs>
                <w:tab w:val="left" w:pos="1080"/>
              </w:tabs>
              <w:rPr>
                <w:rFonts w:asciiTheme="minorHAnsi" w:hAnsiTheme="minorHAnsi" w:cstheme="minorHAnsi"/>
                <w:sz w:val="20"/>
                <w:szCs w:val="20"/>
              </w:rPr>
            </w:pPr>
            <w:r w:rsidRPr="00305C2B">
              <w:rPr>
                <w:rFonts w:asciiTheme="minorHAnsi" w:hAnsiTheme="minorHAnsi" w:cstheme="minorHAnsi"/>
                <w:sz w:val="20"/>
                <w:szCs w:val="20"/>
              </w:rPr>
              <w:t>GIG</w:t>
            </w:r>
          </w:p>
        </w:tc>
        <w:tc>
          <w:tcPr>
            <w:tcW w:w="5940" w:type="dxa"/>
          </w:tcPr>
          <w:p w14:paraId="4434C28B" w14:textId="4E6DFA9E" w:rsidR="00FC0AA8" w:rsidRPr="00FC0AA8" w:rsidRDefault="00FC0AA8" w:rsidP="00FC0AA8">
            <w:pPr>
              <w:pStyle w:val="xmsonormal"/>
              <w:rPr>
                <w:sz w:val="20"/>
                <w:szCs w:val="20"/>
              </w:rPr>
            </w:pPr>
            <w:r w:rsidRPr="00FC0AA8">
              <w:rPr>
                <w:sz w:val="20"/>
                <w:szCs w:val="20"/>
              </w:rPr>
              <w:t xml:space="preserve">Tracking </w:t>
            </w:r>
            <w:r w:rsidR="006840CF">
              <w:rPr>
                <w:sz w:val="20"/>
                <w:szCs w:val="20"/>
              </w:rPr>
              <w:t xml:space="preserve">of this more integrated approach will be undertaken </w:t>
            </w:r>
            <w:r w:rsidRPr="00FC0AA8">
              <w:rPr>
                <w:sz w:val="20"/>
                <w:szCs w:val="20"/>
              </w:rPr>
              <w:t>through annual reporting, programme reviews</w:t>
            </w:r>
            <w:r w:rsidR="00B77735">
              <w:rPr>
                <w:sz w:val="20"/>
                <w:szCs w:val="20"/>
              </w:rPr>
              <w:t xml:space="preserve">, the new </w:t>
            </w:r>
            <w:r w:rsidRPr="00FC0AA8">
              <w:rPr>
                <w:sz w:val="20"/>
                <w:szCs w:val="20"/>
              </w:rPr>
              <w:t xml:space="preserve">CPD </w:t>
            </w:r>
            <w:r w:rsidR="00B77735">
              <w:rPr>
                <w:sz w:val="20"/>
                <w:szCs w:val="20"/>
              </w:rPr>
              <w:t xml:space="preserve">2022-2026 </w:t>
            </w:r>
            <w:r w:rsidRPr="00FC0AA8">
              <w:rPr>
                <w:sz w:val="20"/>
                <w:szCs w:val="20"/>
              </w:rPr>
              <w:t>Roll-out</w:t>
            </w:r>
            <w:r w:rsidR="00B77735">
              <w:rPr>
                <w:sz w:val="20"/>
                <w:szCs w:val="20"/>
              </w:rPr>
              <w:t xml:space="preserve"> and the </w:t>
            </w:r>
            <w:r w:rsidRPr="00FC0AA8">
              <w:rPr>
                <w:sz w:val="20"/>
                <w:szCs w:val="20"/>
              </w:rPr>
              <w:t>CO R</w:t>
            </w:r>
            <w:r w:rsidR="00B77735">
              <w:rPr>
                <w:sz w:val="20"/>
                <w:szCs w:val="20"/>
              </w:rPr>
              <w:t>ESET 2.0</w:t>
            </w:r>
            <w:r w:rsidRPr="00FC0AA8">
              <w:rPr>
                <w:sz w:val="20"/>
                <w:szCs w:val="20"/>
              </w:rPr>
              <w:t xml:space="preserve"> </w:t>
            </w:r>
            <w:r w:rsidR="00B77735">
              <w:rPr>
                <w:sz w:val="20"/>
                <w:szCs w:val="20"/>
              </w:rPr>
              <w:t xml:space="preserve">Cluster </w:t>
            </w:r>
            <w:r w:rsidRPr="00FC0AA8">
              <w:rPr>
                <w:sz w:val="20"/>
                <w:szCs w:val="20"/>
              </w:rPr>
              <w:t>meetings</w:t>
            </w:r>
            <w:r w:rsidR="0045722D">
              <w:rPr>
                <w:sz w:val="20"/>
                <w:szCs w:val="20"/>
              </w:rPr>
              <w:t>.</w:t>
            </w:r>
          </w:p>
          <w:p w14:paraId="00DE4729" w14:textId="6896D203" w:rsidR="00EF7F43" w:rsidRPr="00305C2B" w:rsidRDefault="00EF7F43" w:rsidP="00EF7F43">
            <w:pPr>
              <w:tabs>
                <w:tab w:val="left" w:pos="1080"/>
              </w:tabs>
              <w:rPr>
                <w:rFonts w:asciiTheme="minorHAnsi" w:hAnsiTheme="minorHAnsi" w:cstheme="minorHAnsi"/>
                <w:sz w:val="20"/>
                <w:szCs w:val="20"/>
              </w:rPr>
            </w:pPr>
          </w:p>
        </w:tc>
        <w:tc>
          <w:tcPr>
            <w:tcW w:w="1278" w:type="dxa"/>
          </w:tcPr>
          <w:p w14:paraId="6A5C8E9D" w14:textId="45C48A0C" w:rsidR="00EF7F43" w:rsidRPr="00305C2B" w:rsidRDefault="00C531D7" w:rsidP="00EF7F43">
            <w:pPr>
              <w:tabs>
                <w:tab w:val="left" w:pos="1080"/>
              </w:tabs>
              <w:rPr>
                <w:rFonts w:asciiTheme="minorHAnsi" w:hAnsiTheme="minorHAnsi" w:cstheme="minorHAnsi"/>
                <w:sz w:val="20"/>
                <w:szCs w:val="20"/>
              </w:rPr>
            </w:pPr>
            <w:r>
              <w:rPr>
                <w:rFonts w:asciiTheme="minorHAnsi" w:hAnsiTheme="minorHAnsi" w:cstheme="minorHAnsi"/>
                <w:sz w:val="20"/>
                <w:szCs w:val="20"/>
              </w:rPr>
              <w:t>Initiated</w:t>
            </w:r>
          </w:p>
        </w:tc>
      </w:tr>
      <w:tr w:rsidR="00CC6911" w:rsidRPr="00305C2B" w14:paraId="260DA0E1" w14:textId="77777777" w:rsidTr="00A7763E">
        <w:tblPrEx>
          <w:tblBorders>
            <w:insideH w:val="single" w:sz="4" w:space="0" w:color="auto"/>
            <w:insideV w:val="single" w:sz="4" w:space="0" w:color="auto"/>
          </w:tblBorders>
        </w:tblPrEx>
        <w:tc>
          <w:tcPr>
            <w:tcW w:w="14339" w:type="dxa"/>
            <w:gridSpan w:val="6"/>
            <w:shd w:val="clear" w:color="auto" w:fill="CCFFFF"/>
          </w:tcPr>
          <w:p w14:paraId="2E551222" w14:textId="71A35A04"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Recommendation 3. UNDP should redesign its inclusive growth portfolio based on the lessons of the previous implementation cycle. The new CPD should maintain its objectives to promote sustainable youth employment with significant changes to the implementation of its business development activities at </w:t>
            </w:r>
            <w:r w:rsidR="004279EE" w:rsidRPr="00305C2B">
              <w:rPr>
                <w:rFonts w:asciiTheme="minorHAnsi" w:hAnsiTheme="minorHAnsi" w:cstheme="minorHAnsi"/>
                <w:b/>
                <w:sz w:val="20"/>
                <w:szCs w:val="20"/>
              </w:rPr>
              <w:t xml:space="preserve">the </w:t>
            </w:r>
            <w:r w:rsidRPr="00305C2B">
              <w:rPr>
                <w:rFonts w:asciiTheme="minorHAnsi" w:hAnsiTheme="minorHAnsi" w:cstheme="minorHAnsi"/>
                <w:b/>
                <w:sz w:val="20"/>
                <w:szCs w:val="20"/>
              </w:rPr>
              <w:t>county level. There should be greater attention to analysing labour market needs, clearer provisions for institutionali</w:t>
            </w:r>
            <w:r w:rsidR="00B75961" w:rsidRPr="00305C2B">
              <w:rPr>
                <w:rFonts w:asciiTheme="minorHAnsi" w:hAnsiTheme="minorHAnsi" w:cstheme="minorHAnsi"/>
                <w:b/>
                <w:sz w:val="20"/>
                <w:szCs w:val="20"/>
              </w:rPr>
              <w:t>s</w:t>
            </w:r>
            <w:r w:rsidRPr="00305C2B">
              <w:rPr>
                <w:rFonts w:asciiTheme="minorHAnsi" w:hAnsiTheme="minorHAnsi" w:cstheme="minorHAnsi"/>
                <w:b/>
                <w:sz w:val="20"/>
                <w:szCs w:val="20"/>
              </w:rPr>
              <w:t>ation and sustainability of results, closer follow up with partners and improved monitoring. The programme should also seek synergies with other areas of work</w:t>
            </w:r>
            <w:r w:rsidR="004279EE" w:rsidRPr="00305C2B">
              <w:rPr>
                <w:rFonts w:asciiTheme="minorHAnsi" w:hAnsiTheme="minorHAnsi" w:cstheme="minorHAnsi"/>
                <w:b/>
                <w:sz w:val="20"/>
                <w:szCs w:val="20"/>
              </w:rPr>
              <w:t>,</w:t>
            </w:r>
            <w:r w:rsidRPr="00305C2B">
              <w:rPr>
                <w:rFonts w:asciiTheme="minorHAnsi" w:hAnsiTheme="minorHAnsi" w:cstheme="minorHAnsi"/>
                <w:b/>
                <w:sz w:val="20"/>
                <w:szCs w:val="20"/>
              </w:rPr>
              <w:t xml:space="preserve"> such as the Accelerator Labs.</w:t>
            </w:r>
          </w:p>
          <w:p w14:paraId="1018E4C9" w14:textId="33D5DB91" w:rsidR="00CC6911" w:rsidRPr="00305C2B" w:rsidRDefault="00CC6911" w:rsidP="00CC6911">
            <w:pPr>
              <w:tabs>
                <w:tab w:val="left" w:pos="1080"/>
              </w:tabs>
              <w:rPr>
                <w:rFonts w:asciiTheme="minorHAnsi" w:hAnsiTheme="minorHAnsi" w:cstheme="minorHAnsi"/>
                <w:sz w:val="20"/>
                <w:szCs w:val="20"/>
              </w:rPr>
            </w:pPr>
          </w:p>
        </w:tc>
      </w:tr>
      <w:tr w:rsidR="00CC6911" w:rsidRPr="00305C2B" w14:paraId="75D63505" w14:textId="77777777" w:rsidTr="00A7763E">
        <w:tblPrEx>
          <w:tblBorders>
            <w:insideH w:val="single" w:sz="4" w:space="0" w:color="auto"/>
            <w:insideV w:val="single" w:sz="4" w:space="0" w:color="auto"/>
          </w:tblBorders>
        </w:tblPrEx>
        <w:tc>
          <w:tcPr>
            <w:tcW w:w="14339" w:type="dxa"/>
            <w:gridSpan w:val="6"/>
            <w:shd w:val="clear" w:color="auto" w:fill="auto"/>
          </w:tcPr>
          <w:p w14:paraId="73E19181" w14:textId="522F0FA3"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Management response: Fully Accept.</w:t>
            </w:r>
          </w:p>
          <w:p w14:paraId="2F9803CA" w14:textId="77777777" w:rsidR="00CC6911" w:rsidRPr="00305C2B" w:rsidRDefault="00CC6911" w:rsidP="00CC6911">
            <w:pPr>
              <w:tabs>
                <w:tab w:val="left" w:pos="1080"/>
              </w:tabs>
              <w:rPr>
                <w:rFonts w:asciiTheme="minorHAnsi" w:hAnsiTheme="minorHAnsi" w:cstheme="minorHAnsi"/>
                <w:b/>
                <w:sz w:val="20"/>
                <w:szCs w:val="20"/>
              </w:rPr>
            </w:pPr>
          </w:p>
        </w:tc>
      </w:tr>
      <w:tr w:rsidR="00CC6911" w:rsidRPr="00305C2B" w14:paraId="187075AE"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35BCFC73"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2E2D9687"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25F48F36"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3226E01D"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6D93D889"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2D5F5015" w14:textId="77777777" w:rsidR="00CC6911" w:rsidRPr="00305C2B" w:rsidRDefault="00CC6911" w:rsidP="00CC6911">
            <w:pPr>
              <w:tabs>
                <w:tab w:val="left" w:pos="1080"/>
              </w:tabs>
              <w:rPr>
                <w:rFonts w:asciiTheme="minorHAnsi" w:hAnsiTheme="minorHAnsi" w:cstheme="minorHAnsi"/>
                <w:sz w:val="20"/>
                <w:szCs w:val="20"/>
              </w:rPr>
            </w:pPr>
          </w:p>
        </w:tc>
        <w:tc>
          <w:tcPr>
            <w:tcW w:w="1350" w:type="dxa"/>
            <w:vMerge/>
            <w:shd w:val="clear" w:color="auto" w:fill="F3F3F3"/>
          </w:tcPr>
          <w:p w14:paraId="3C8FEE20" w14:textId="77777777" w:rsidR="00CC6911" w:rsidRPr="00305C2B" w:rsidRDefault="00CC6911" w:rsidP="00CC6911">
            <w:pPr>
              <w:tabs>
                <w:tab w:val="left" w:pos="1080"/>
              </w:tabs>
              <w:rPr>
                <w:rFonts w:asciiTheme="minorHAnsi" w:hAnsiTheme="minorHAnsi" w:cstheme="minorHAnsi"/>
                <w:b/>
                <w:sz w:val="20"/>
                <w:szCs w:val="20"/>
              </w:rPr>
            </w:pPr>
          </w:p>
        </w:tc>
        <w:tc>
          <w:tcPr>
            <w:tcW w:w="1260" w:type="dxa"/>
            <w:vMerge/>
            <w:shd w:val="clear" w:color="auto" w:fill="F3F3F3"/>
          </w:tcPr>
          <w:p w14:paraId="78AF19D0" w14:textId="77777777" w:rsidR="00CC6911" w:rsidRPr="00305C2B" w:rsidRDefault="00CC6911" w:rsidP="00CC6911">
            <w:pPr>
              <w:tabs>
                <w:tab w:val="left" w:pos="1080"/>
              </w:tabs>
              <w:rPr>
                <w:rFonts w:asciiTheme="minorHAnsi" w:hAnsiTheme="minorHAnsi" w:cstheme="minorHAnsi"/>
                <w:b/>
                <w:sz w:val="20"/>
                <w:szCs w:val="20"/>
              </w:rPr>
            </w:pPr>
          </w:p>
        </w:tc>
        <w:tc>
          <w:tcPr>
            <w:tcW w:w="5940" w:type="dxa"/>
          </w:tcPr>
          <w:p w14:paraId="707E38BF"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3553DEB7" w14:textId="72F53756"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Status</w:t>
            </w:r>
          </w:p>
        </w:tc>
      </w:tr>
      <w:tr w:rsidR="00CC6911" w:rsidRPr="00305C2B" w14:paraId="4DBD4237" w14:textId="77777777" w:rsidTr="00C517BE">
        <w:tblPrEx>
          <w:tblBorders>
            <w:insideH w:val="single" w:sz="4" w:space="0" w:color="auto"/>
            <w:insideV w:val="single" w:sz="4" w:space="0" w:color="auto"/>
          </w:tblBorders>
        </w:tblPrEx>
        <w:trPr>
          <w:gridAfter w:val="1"/>
          <w:wAfter w:w="11" w:type="dxa"/>
        </w:trPr>
        <w:tc>
          <w:tcPr>
            <w:tcW w:w="4500" w:type="dxa"/>
          </w:tcPr>
          <w:p w14:paraId="2A168DDB" w14:textId="7E09BDFB" w:rsidR="00BF2450" w:rsidRDefault="00CC6911" w:rsidP="00CC6911">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3.1 </w:t>
            </w:r>
            <w:r w:rsidR="00D044E2">
              <w:rPr>
                <w:rFonts w:asciiTheme="minorHAnsi" w:hAnsiTheme="minorHAnsi" w:cstheme="minorHAnsi"/>
                <w:sz w:val="20"/>
                <w:szCs w:val="20"/>
              </w:rPr>
              <w:t>T</w:t>
            </w:r>
            <w:r w:rsidR="00451E26">
              <w:rPr>
                <w:rFonts w:asciiTheme="minorHAnsi" w:hAnsiTheme="minorHAnsi" w:cstheme="minorHAnsi"/>
                <w:sz w:val="20"/>
                <w:szCs w:val="20"/>
              </w:rPr>
              <w:t>he</w:t>
            </w:r>
            <w:r w:rsidR="00D044E2">
              <w:rPr>
                <w:rFonts w:asciiTheme="minorHAnsi" w:hAnsiTheme="minorHAnsi" w:cstheme="minorHAnsi"/>
                <w:sz w:val="20"/>
                <w:szCs w:val="20"/>
              </w:rPr>
              <w:t xml:space="preserve"> </w:t>
            </w:r>
            <w:r w:rsidR="00B81DD6">
              <w:rPr>
                <w:rFonts w:asciiTheme="minorHAnsi" w:hAnsiTheme="minorHAnsi" w:cstheme="minorHAnsi"/>
                <w:sz w:val="20"/>
                <w:szCs w:val="20"/>
              </w:rPr>
              <w:t>c</w:t>
            </w:r>
            <w:r w:rsidR="00D044E2">
              <w:rPr>
                <w:rFonts w:asciiTheme="minorHAnsi" w:hAnsiTheme="minorHAnsi" w:cstheme="minorHAnsi"/>
                <w:sz w:val="20"/>
                <w:szCs w:val="20"/>
              </w:rPr>
              <w:t xml:space="preserve">ountry </w:t>
            </w:r>
            <w:r w:rsidR="00B81DD6">
              <w:rPr>
                <w:rFonts w:asciiTheme="minorHAnsi" w:hAnsiTheme="minorHAnsi" w:cstheme="minorHAnsi"/>
                <w:sz w:val="20"/>
                <w:szCs w:val="20"/>
              </w:rPr>
              <w:t>o</w:t>
            </w:r>
            <w:r w:rsidR="00D044E2">
              <w:rPr>
                <w:rFonts w:asciiTheme="minorHAnsi" w:hAnsiTheme="minorHAnsi" w:cstheme="minorHAnsi"/>
                <w:sz w:val="20"/>
                <w:szCs w:val="20"/>
              </w:rPr>
              <w:t xml:space="preserve">ffice </w:t>
            </w:r>
            <w:r w:rsidR="00401E6E">
              <w:rPr>
                <w:rFonts w:asciiTheme="minorHAnsi" w:hAnsiTheme="minorHAnsi" w:cstheme="minorHAnsi"/>
                <w:sz w:val="20"/>
                <w:szCs w:val="20"/>
              </w:rPr>
              <w:t xml:space="preserve">has </w:t>
            </w:r>
            <w:r w:rsidR="00D04353">
              <w:rPr>
                <w:rFonts w:asciiTheme="minorHAnsi" w:hAnsiTheme="minorHAnsi" w:cstheme="minorHAnsi"/>
                <w:sz w:val="20"/>
                <w:szCs w:val="20"/>
              </w:rPr>
              <w:t xml:space="preserve">strengthened </w:t>
            </w:r>
            <w:r w:rsidR="00BE7823">
              <w:rPr>
                <w:rFonts w:asciiTheme="minorHAnsi" w:hAnsiTheme="minorHAnsi" w:cstheme="minorHAnsi"/>
                <w:sz w:val="20"/>
                <w:szCs w:val="20"/>
              </w:rPr>
              <w:t>its support for youth</w:t>
            </w:r>
            <w:r w:rsidR="00B55E68">
              <w:rPr>
                <w:rFonts w:asciiTheme="minorHAnsi" w:hAnsiTheme="minorHAnsi" w:cstheme="minorHAnsi"/>
                <w:sz w:val="20"/>
                <w:szCs w:val="20"/>
              </w:rPr>
              <w:t xml:space="preserve"> led business</w:t>
            </w:r>
            <w:r w:rsidR="00F11430">
              <w:rPr>
                <w:rFonts w:asciiTheme="minorHAnsi" w:hAnsiTheme="minorHAnsi" w:cstheme="minorHAnsi"/>
                <w:sz w:val="20"/>
                <w:szCs w:val="20"/>
              </w:rPr>
              <w:t>es</w:t>
            </w:r>
            <w:r w:rsidR="00B55E68">
              <w:rPr>
                <w:rFonts w:asciiTheme="minorHAnsi" w:hAnsiTheme="minorHAnsi" w:cstheme="minorHAnsi"/>
                <w:sz w:val="20"/>
                <w:szCs w:val="20"/>
              </w:rPr>
              <w:t xml:space="preserve"> </w:t>
            </w:r>
            <w:r w:rsidR="006723BC">
              <w:rPr>
                <w:rFonts w:asciiTheme="minorHAnsi" w:hAnsiTheme="minorHAnsi" w:cstheme="minorHAnsi"/>
                <w:sz w:val="20"/>
                <w:szCs w:val="20"/>
              </w:rPr>
              <w:t xml:space="preserve"> </w:t>
            </w:r>
            <w:r w:rsidR="00106C66">
              <w:rPr>
                <w:rFonts w:asciiTheme="minorHAnsi" w:hAnsiTheme="minorHAnsi" w:cstheme="minorHAnsi"/>
                <w:sz w:val="20"/>
                <w:szCs w:val="20"/>
              </w:rPr>
              <w:t xml:space="preserve">in the forestry and agro forestry sectors </w:t>
            </w:r>
            <w:r w:rsidR="006723BC">
              <w:rPr>
                <w:rFonts w:asciiTheme="minorHAnsi" w:hAnsiTheme="minorHAnsi" w:cstheme="minorHAnsi"/>
                <w:sz w:val="20"/>
                <w:szCs w:val="20"/>
              </w:rPr>
              <w:t>through its G</w:t>
            </w:r>
            <w:r w:rsidR="00620D13">
              <w:rPr>
                <w:rFonts w:asciiTheme="minorHAnsi" w:hAnsiTheme="minorHAnsi" w:cstheme="minorHAnsi"/>
                <w:sz w:val="20"/>
                <w:szCs w:val="20"/>
              </w:rPr>
              <w:t>reen E</w:t>
            </w:r>
            <w:r w:rsidR="00BF1D40">
              <w:rPr>
                <w:rFonts w:asciiTheme="minorHAnsi" w:hAnsiTheme="minorHAnsi" w:cstheme="minorHAnsi"/>
                <w:sz w:val="20"/>
                <w:szCs w:val="20"/>
              </w:rPr>
              <w:t>conomy Youth Activation Programme (GReYAP)</w:t>
            </w:r>
            <w:r w:rsidR="00106C66">
              <w:rPr>
                <w:rFonts w:asciiTheme="minorHAnsi" w:hAnsiTheme="minorHAnsi" w:cstheme="minorHAnsi"/>
                <w:sz w:val="20"/>
                <w:szCs w:val="20"/>
              </w:rPr>
              <w:t>.</w:t>
            </w:r>
            <w:r w:rsidR="00B34A5B">
              <w:rPr>
                <w:rFonts w:asciiTheme="minorHAnsi" w:hAnsiTheme="minorHAnsi" w:cstheme="minorHAnsi"/>
                <w:sz w:val="20"/>
                <w:szCs w:val="20"/>
              </w:rPr>
              <w:t xml:space="preserve"> </w:t>
            </w:r>
            <w:r w:rsidR="0059260B">
              <w:rPr>
                <w:rFonts w:asciiTheme="minorHAnsi" w:hAnsiTheme="minorHAnsi" w:cstheme="minorHAnsi"/>
                <w:sz w:val="20"/>
                <w:szCs w:val="20"/>
              </w:rPr>
              <w:t xml:space="preserve"> Further, the </w:t>
            </w:r>
            <w:r w:rsidR="0037301F">
              <w:rPr>
                <w:rFonts w:asciiTheme="minorHAnsi" w:hAnsiTheme="minorHAnsi" w:cstheme="minorHAnsi"/>
                <w:sz w:val="20"/>
                <w:szCs w:val="20"/>
              </w:rPr>
              <w:t xml:space="preserve">country office </w:t>
            </w:r>
            <w:r w:rsidR="0059260B">
              <w:rPr>
                <w:rFonts w:asciiTheme="minorHAnsi" w:hAnsiTheme="minorHAnsi" w:cstheme="minorHAnsi"/>
                <w:sz w:val="20"/>
                <w:szCs w:val="20"/>
              </w:rPr>
              <w:t xml:space="preserve">has maintained its focus on </w:t>
            </w:r>
            <w:r w:rsidR="003B6EF3">
              <w:rPr>
                <w:rFonts w:asciiTheme="minorHAnsi" w:hAnsiTheme="minorHAnsi" w:cstheme="minorHAnsi"/>
                <w:sz w:val="20"/>
                <w:szCs w:val="20"/>
              </w:rPr>
              <w:t xml:space="preserve">strengthening </w:t>
            </w:r>
            <w:r w:rsidR="0059260B">
              <w:rPr>
                <w:rFonts w:asciiTheme="minorHAnsi" w:hAnsiTheme="minorHAnsi" w:cstheme="minorHAnsi"/>
                <w:sz w:val="20"/>
                <w:szCs w:val="20"/>
              </w:rPr>
              <w:t>youth employment</w:t>
            </w:r>
            <w:r w:rsidR="0089633B">
              <w:rPr>
                <w:rFonts w:asciiTheme="minorHAnsi" w:hAnsiTheme="minorHAnsi" w:cstheme="minorHAnsi"/>
                <w:sz w:val="20"/>
                <w:szCs w:val="20"/>
              </w:rPr>
              <w:t xml:space="preserve"> and strengthening collaboration with the Acc Lab </w:t>
            </w:r>
            <w:r w:rsidR="00B81DD6">
              <w:rPr>
                <w:rFonts w:asciiTheme="minorHAnsi" w:hAnsiTheme="minorHAnsi" w:cstheme="minorHAnsi"/>
                <w:sz w:val="20"/>
                <w:szCs w:val="20"/>
              </w:rPr>
              <w:t>as well as better institutionalizing the country office Youth Sounding Board</w:t>
            </w:r>
            <w:r w:rsidR="00B77735">
              <w:rPr>
                <w:rFonts w:asciiTheme="minorHAnsi" w:hAnsiTheme="minorHAnsi" w:cstheme="minorHAnsi"/>
                <w:sz w:val="20"/>
                <w:szCs w:val="20"/>
              </w:rPr>
              <w:t xml:space="preserve"> </w:t>
            </w:r>
            <w:r w:rsidR="00B81DD6">
              <w:rPr>
                <w:rFonts w:asciiTheme="minorHAnsi" w:hAnsiTheme="minorHAnsi" w:cstheme="minorHAnsi"/>
                <w:sz w:val="20"/>
                <w:szCs w:val="20"/>
              </w:rPr>
              <w:t>as part of its new CPD 2022-2026</w:t>
            </w:r>
            <w:r w:rsidR="0089633B">
              <w:rPr>
                <w:rFonts w:asciiTheme="minorHAnsi" w:hAnsiTheme="minorHAnsi" w:cstheme="minorHAnsi"/>
                <w:sz w:val="20"/>
                <w:szCs w:val="20"/>
              </w:rPr>
              <w:t>.</w:t>
            </w:r>
          </w:p>
          <w:p w14:paraId="25DA7AA0" w14:textId="77777777" w:rsidR="00BF2450" w:rsidRDefault="00BF2450" w:rsidP="00CC6911">
            <w:pPr>
              <w:tabs>
                <w:tab w:val="left" w:pos="1080"/>
              </w:tabs>
              <w:rPr>
                <w:rFonts w:asciiTheme="minorHAnsi" w:hAnsiTheme="minorHAnsi" w:cstheme="minorHAnsi"/>
                <w:sz w:val="20"/>
                <w:szCs w:val="20"/>
              </w:rPr>
            </w:pPr>
          </w:p>
          <w:p w14:paraId="78C28EEF" w14:textId="77777777" w:rsidR="00BF2450" w:rsidRDefault="00BF2450" w:rsidP="00CC6911">
            <w:pPr>
              <w:tabs>
                <w:tab w:val="left" w:pos="1080"/>
              </w:tabs>
              <w:rPr>
                <w:rFonts w:asciiTheme="minorHAnsi" w:hAnsiTheme="minorHAnsi" w:cstheme="minorHAnsi"/>
                <w:sz w:val="20"/>
                <w:szCs w:val="20"/>
              </w:rPr>
            </w:pPr>
          </w:p>
          <w:p w14:paraId="20DA441E" w14:textId="77777777" w:rsidR="00BF2450" w:rsidRDefault="00BF2450" w:rsidP="00CC6911">
            <w:pPr>
              <w:tabs>
                <w:tab w:val="left" w:pos="1080"/>
              </w:tabs>
              <w:rPr>
                <w:rFonts w:asciiTheme="minorHAnsi" w:hAnsiTheme="minorHAnsi" w:cstheme="minorHAnsi"/>
                <w:sz w:val="20"/>
                <w:szCs w:val="20"/>
              </w:rPr>
            </w:pPr>
          </w:p>
          <w:p w14:paraId="5BE6F99A" w14:textId="4AD9C12A" w:rsidR="0028440F" w:rsidRPr="00305C2B" w:rsidRDefault="0028440F" w:rsidP="00692E21">
            <w:pPr>
              <w:tabs>
                <w:tab w:val="left" w:pos="1080"/>
              </w:tabs>
              <w:rPr>
                <w:rFonts w:asciiTheme="minorHAnsi" w:hAnsiTheme="minorHAnsi" w:cstheme="minorHAnsi"/>
                <w:sz w:val="20"/>
                <w:szCs w:val="20"/>
              </w:rPr>
            </w:pPr>
          </w:p>
        </w:tc>
        <w:tc>
          <w:tcPr>
            <w:tcW w:w="1350" w:type="dxa"/>
          </w:tcPr>
          <w:p w14:paraId="47027045" w14:textId="42058231" w:rsidR="00CC6911" w:rsidRPr="00305C2B" w:rsidRDefault="00B94D72" w:rsidP="00CC6911">
            <w:pPr>
              <w:tabs>
                <w:tab w:val="left" w:pos="1080"/>
              </w:tabs>
              <w:rPr>
                <w:rFonts w:asciiTheme="minorHAnsi" w:hAnsiTheme="minorHAnsi" w:cstheme="minorHAnsi"/>
                <w:sz w:val="20"/>
                <w:szCs w:val="20"/>
              </w:rPr>
            </w:pPr>
            <w:r>
              <w:rPr>
                <w:rFonts w:asciiTheme="minorHAnsi" w:hAnsiTheme="minorHAnsi" w:cstheme="minorHAnsi"/>
                <w:sz w:val="20"/>
                <w:szCs w:val="20"/>
              </w:rPr>
              <w:t>June</w:t>
            </w:r>
            <w:r w:rsidR="00CC6911" w:rsidRPr="00305C2B">
              <w:rPr>
                <w:rFonts w:asciiTheme="minorHAnsi" w:hAnsiTheme="minorHAnsi" w:cstheme="minorHAnsi"/>
                <w:sz w:val="20"/>
                <w:szCs w:val="20"/>
              </w:rPr>
              <w:t xml:space="preserve"> 202</w:t>
            </w:r>
            <w:r>
              <w:rPr>
                <w:rFonts w:asciiTheme="minorHAnsi" w:hAnsiTheme="minorHAnsi" w:cstheme="minorHAnsi"/>
                <w:sz w:val="20"/>
                <w:szCs w:val="20"/>
              </w:rPr>
              <w:t>2</w:t>
            </w:r>
          </w:p>
        </w:tc>
        <w:tc>
          <w:tcPr>
            <w:tcW w:w="1260" w:type="dxa"/>
          </w:tcPr>
          <w:p w14:paraId="4399F36A" w14:textId="5156DE3A" w:rsidR="00CC6911" w:rsidRPr="00305C2B" w:rsidRDefault="00B77735" w:rsidP="00CC6911">
            <w:pPr>
              <w:tabs>
                <w:tab w:val="left" w:pos="1080"/>
              </w:tabs>
              <w:rPr>
                <w:rFonts w:asciiTheme="minorHAnsi" w:hAnsiTheme="minorHAnsi" w:cstheme="minorHAnsi"/>
                <w:sz w:val="20"/>
                <w:szCs w:val="20"/>
              </w:rPr>
            </w:pPr>
            <w:r>
              <w:rPr>
                <w:rFonts w:asciiTheme="minorHAnsi" w:hAnsiTheme="minorHAnsi" w:cstheme="minorHAnsi"/>
                <w:sz w:val="20"/>
                <w:szCs w:val="20"/>
              </w:rPr>
              <w:t>GIG/SPAU and the Acc Lab</w:t>
            </w:r>
          </w:p>
        </w:tc>
        <w:tc>
          <w:tcPr>
            <w:tcW w:w="5940" w:type="dxa"/>
          </w:tcPr>
          <w:p w14:paraId="7AD743DE" w14:textId="79807C09" w:rsidR="007C0189" w:rsidRPr="007C0189" w:rsidRDefault="007C0189" w:rsidP="007C0189">
            <w:pPr>
              <w:pStyle w:val="CommentText"/>
              <w:rPr>
                <w:rFonts w:asciiTheme="minorHAnsi" w:hAnsiTheme="minorHAnsi" w:cstheme="minorHAnsi"/>
              </w:rPr>
            </w:pPr>
            <w:r w:rsidRPr="007C0189">
              <w:rPr>
                <w:rFonts w:asciiTheme="minorHAnsi" w:hAnsiTheme="minorHAnsi" w:cstheme="minorHAnsi"/>
              </w:rPr>
              <w:t>In September 2020 UNDP conducted a review of the Biashara centres and developed a Market development approach to BDS delivery which emphas</w:t>
            </w:r>
            <w:r w:rsidR="00B81DD6">
              <w:rPr>
                <w:rFonts w:asciiTheme="minorHAnsi" w:hAnsiTheme="minorHAnsi" w:cstheme="minorHAnsi"/>
              </w:rPr>
              <w:t>izes</w:t>
            </w:r>
            <w:r w:rsidRPr="007C0189">
              <w:rPr>
                <w:rFonts w:asciiTheme="minorHAnsi" w:hAnsiTheme="minorHAnsi" w:cstheme="minorHAnsi"/>
              </w:rPr>
              <w:t xml:space="preserve"> the business to business and partnership with business association</w:t>
            </w:r>
            <w:r w:rsidR="00B81DD6">
              <w:rPr>
                <w:rFonts w:asciiTheme="minorHAnsi" w:hAnsiTheme="minorHAnsi" w:cstheme="minorHAnsi"/>
              </w:rPr>
              <w:t>s</w:t>
            </w:r>
            <w:r w:rsidRPr="007C0189">
              <w:rPr>
                <w:rFonts w:asciiTheme="minorHAnsi" w:hAnsiTheme="minorHAnsi" w:cstheme="minorHAnsi"/>
              </w:rPr>
              <w:t xml:space="preserve">, cooperatives and </w:t>
            </w:r>
            <w:r w:rsidR="00B81DD6" w:rsidRPr="007C0189">
              <w:rPr>
                <w:rFonts w:asciiTheme="minorHAnsi" w:hAnsiTheme="minorHAnsi" w:cstheme="minorHAnsi"/>
              </w:rPr>
              <w:t>suppliers</w:t>
            </w:r>
            <w:r w:rsidRPr="007C0189">
              <w:rPr>
                <w:rFonts w:asciiTheme="minorHAnsi" w:hAnsiTheme="minorHAnsi" w:cstheme="minorHAnsi"/>
              </w:rPr>
              <w:t xml:space="preserve">.  Further, through the project Green Economy Youth Activation Programme (GrEYAP) developed in December 2020, the CO is implementing innovative mechanisms for BDS delivery anchored in key institutions such as Kenya Forestry Research </w:t>
            </w:r>
            <w:r w:rsidR="00B81DD6" w:rsidRPr="007C0189">
              <w:rPr>
                <w:rFonts w:asciiTheme="minorHAnsi" w:hAnsiTheme="minorHAnsi" w:cstheme="minorHAnsi"/>
              </w:rPr>
              <w:t>Institute</w:t>
            </w:r>
            <w:r w:rsidRPr="007C0189">
              <w:rPr>
                <w:rFonts w:asciiTheme="minorHAnsi" w:hAnsiTheme="minorHAnsi" w:cstheme="minorHAnsi"/>
              </w:rPr>
              <w:t xml:space="preserve">, Kenya Institute of Business Training, among others, GrEYAP also include anticipated intervention to develop the Green jobs strategy and action plan in </w:t>
            </w:r>
            <w:r w:rsidR="00B81DD6" w:rsidRPr="007C0189">
              <w:rPr>
                <w:rFonts w:asciiTheme="minorHAnsi" w:hAnsiTheme="minorHAnsi" w:cstheme="minorHAnsi"/>
              </w:rPr>
              <w:t>partnership</w:t>
            </w:r>
            <w:r w:rsidRPr="007C0189">
              <w:rPr>
                <w:rFonts w:asciiTheme="minorHAnsi" w:hAnsiTheme="minorHAnsi" w:cstheme="minorHAnsi"/>
              </w:rPr>
              <w:t xml:space="preserve"> with the </w:t>
            </w:r>
            <w:r>
              <w:rPr>
                <w:rFonts w:asciiTheme="minorHAnsi" w:hAnsiTheme="minorHAnsi" w:cstheme="minorHAnsi"/>
              </w:rPr>
              <w:t>M</w:t>
            </w:r>
            <w:r w:rsidRPr="007C0189">
              <w:rPr>
                <w:rFonts w:asciiTheme="minorHAnsi" w:hAnsiTheme="minorHAnsi" w:cstheme="minorHAnsi"/>
              </w:rPr>
              <w:t xml:space="preserve">inistry of </w:t>
            </w:r>
            <w:r>
              <w:rPr>
                <w:rFonts w:asciiTheme="minorHAnsi" w:hAnsiTheme="minorHAnsi" w:cstheme="minorHAnsi"/>
              </w:rPr>
              <w:t>L</w:t>
            </w:r>
            <w:r w:rsidRPr="007C0189">
              <w:rPr>
                <w:rFonts w:asciiTheme="minorHAnsi" w:hAnsiTheme="minorHAnsi" w:cstheme="minorHAnsi"/>
              </w:rPr>
              <w:t xml:space="preserve">abour.  </w:t>
            </w:r>
          </w:p>
          <w:p w14:paraId="783A5782" w14:textId="77777777" w:rsidR="007C0189" w:rsidRDefault="007C0189" w:rsidP="00CC6911">
            <w:pPr>
              <w:tabs>
                <w:tab w:val="left" w:pos="1080"/>
              </w:tabs>
              <w:rPr>
                <w:rFonts w:asciiTheme="minorHAnsi" w:hAnsiTheme="minorHAnsi" w:cstheme="minorHAnsi"/>
                <w:sz w:val="20"/>
                <w:szCs w:val="20"/>
              </w:rPr>
            </w:pPr>
          </w:p>
          <w:p w14:paraId="041BF603" w14:textId="16D73B91" w:rsidR="00CC6911" w:rsidRPr="00305C2B" w:rsidRDefault="001119B0" w:rsidP="00CC6911">
            <w:pPr>
              <w:tabs>
                <w:tab w:val="left" w:pos="1080"/>
              </w:tabs>
              <w:rPr>
                <w:rFonts w:asciiTheme="minorHAnsi" w:hAnsiTheme="minorHAnsi" w:cstheme="minorHAnsi"/>
                <w:sz w:val="20"/>
                <w:szCs w:val="20"/>
              </w:rPr>
            </w:pPr>
            <w:r>
              <w:rPr>
                <w:rFonts w:asciiTheme="minorHAnsi" w:hAnsiTheme="minorHAnsi" w:cstheme="minorHAnsi"/>
                <w:sz w:val="20"/>
                <w:szCs w:val="20"/>
                <w:shd w:val="clear" w:color="auto" w:fill="FFFFFF" w:themeFill="background1"/>
              </w:rPr>
              <w:t xml:space="preserve">The </w:t>
            </w:r>
            <w:r w:rsidRPr="00305C2B">
              <w:rPr>
                <w:rFonts w:asciiTheme="minorHAnsi" w:hAnsiTheme="minorHAnsi" w:cstheme="minorHAnsi"/>
                <w:sz w:val="20"/>
                <w:szCs w:val="20"/>
                <w:shd w:val="clear" w:color="auto" w:fill="FFFFFF" w:themeFill="background1"/>
              </w:rPr>
              <w:t>IG</w:t>
            </w:r>
            <w:r>
              <w:rPr>
                <w:rFonts w:asciiTheme="minorHAnsi" w:hAnsiTheme="minorHAnsi" w:cstheme="minorHAnsi"/>
                <w:sz w:val="20"/>
                <w:szCs w:val="20"/>
                <w:shd w:val="clear" w:color="auto" w:fill="FFFFFF" w:themeFill="background1"/>
              </w:rPr>
              <w:t xml:space="preserve"> </w:t>
            </w:r>
            <w:r w:rsidR="008E5045">
              <w:rPr>
                <w:rFonts w:asciiTheme="minorHAnsi" w:hAnsiTheme="minorHAnsi" w:cstheme="minorHAnsi"/>
                <w:sz w:val="20"/>
                <w:szCs w:val="20"/>
                <w:shd w:val="clear" w:color="auto" w:fill="FFFFFF" w:themeFill="background1"/>
              </w:rPr>
              <w:t xml:space="preserve">pillar is </w:t>
            </w:r>
            <w:r w:rsidR="00B81DD6">
              <w:rPr>
                <w:rFonts w:asciiTheme="minorHAnsi" w:hAnsiTheme="minorHAnsi" w:cstheme="minorHAnsi"/>
                <w:sz w:val="20"/>
                <w:szCs w:val="20"/>
                <w:shd w:val="clear" w:color="auto" w:fill="FFFFFF" w:themeFill="background1"/>
              </w:rPr>
              <w:t>building</w:t>
            </w:r>
            <w:r w:rsidR="008E5045">
              <w:rPr>
                <w:rFonts w:asciiTheme="minorHAnsi" w:hAnsiTheme="minorHAnsi" w:cstheme="minorHAnsi"/>
                <w:sz w:val="20"/>
                <w:szCs w:val="20"/>
                <w:shd w:val="clear" w:color="auto" w:fill="FFFFFF" w:themeFill="background1"/>
              </w:rPr>
              <w:t xml:space="preserve"> </w:t>
            </w:r>
            <w:r w:rsidRPr="00305C2B">
              <w:rPr>
                <w:rFonts w:asciiTheme="minorHAnsi" w:hAnsiTheme="minorHAnsi" w:cstheme="minorHAnsi"/>
                <w:sz w:val="20"/>
                <w:szCs w:val="20"/>
                <w:shd w:val="clear" w:color="auto" w:fill="FFFFFF" w:themeFill="background1"/>
              </w:rPr>
              <w:t>on the 2020 Acc Lab/MSEA MSME Impact Assessment Report findings that focused on the environment and needs for MSMEs to adopt digital technology. Interventions such as the development of an e-commerce platform for MSMEs and digital capacity building of MSMEs ongoing</w:t>
            </w:r>
            <w:r w:rsidR="00706A20">
              <w:rPr>
                <w:rFonts w:asciiTheme="minorHAnsi" w:hAnsiTheme="minorHAnsi" w:cstheme="minorHAnsi"/>
                <w:sz w:val="20"/>
                <w:szCs w:val="20"/>
                <w:shd w:val="clear" w:color="auto" w:fill="FFFFFF" w:themeFill="background1"/>
              </w:rPr>
              <w:t xml:space="preserve">. </w:t>
            </w:r>
          </w:p>
        </w:tc>
        <w:tc>
          <w:tcPr>
            <w:tcW w:w="1278" w:type="dxa"/>
          </w:tcPr>
          <w:p w14:paraId="3FB99606" w14:textId="21612B9B" w:rsidR="00CC6911" w:rsidRPr="00305C2B" w:rsidRDefault="00BF2450" w:rsidP="00CC6911">
            <w:pPr>
              <w:tabs>
                <w:tab w:val="left" w:pos="1080"/>
              </w:tabs>
              <w:rPr>
                <w:rFonts w:asciiTheme="minorHAnsi" w:hAnsiTheme="minorHAnsi" w:cstheme="minorHAnsi"/>
                <w:sz w:val="20"/>
                <w:szCs w:val="20"/>
              </w:rPr>
            </w:pPr>
            <w:r>
              <w:rPr>
                <w:rFonts w:asciiTheme="minorHAnsi" w:hAnsiTheme="minorHAnsi" w:cstheme="minorHAnsi"/>
                <w:sz w:val="20"/>
                <w:szCs w:val="20"/>
              </w:rPr>
              <w:t>Initiated</w:t>
            </w:r>
          </w:p>
        </w:tc>
      </w:tr>
      <w:tr w:rsidR="008075D6" w:rsidRPr="00305C2B" w14:paraId="4193E4FA" w14:textId="77777777" w:rsidTr="00C517BE">
        <w:tblPrEx>
          <w:tblBorders>
            <w:insideH w:val="single" w:sz="4" w:space="0" w:color="auto"/>
            <w:insideV w:val="single" w:sz="4" w:space="0" w:color="auto"/>
          </w:tblBorders>
        </w:tblPrEx>
        <w:trPr>
          <w:gridAfter w:val="1"/>
          <w:wAfter w:w="11" w:type="dxa"/>
        </w:trPr>
        <w:tc>
          <w:tcPr>
            <w:tcW w:w="4500" w:type="dxa"/>
          </w:tcPr>
          <w:p w14:paraId="21D68D17" w14:textId="59E83FB6" w:rsidR="008075D6" w:rsidRPr="00305C2B" w:rsidRDefault="008075D6" w:rsidP="0061749E">
            <w:pPr>
              <w:tabs>
                <w:tab w:val="left" w:pos="1080"/>
              </w:tabs>
              <w:rPr>
                <w:rFonts w:asciiTheme="minorHAnsi" w:hAnsiTheme="minorHAnsi" w:cstheme="minorHAnsi"/>
                <w:sz w:val="20"/>
                <w:szCs w:val="20"/>
              </w:rPr>
            </w:pPr>
            <w:r>
              <w:rPr>
                <w:rFonts w:asciiTheme="minorHAnsi" w:hAnsiTheme="minorHAnsi" w:cstheme="minorHAnsi"/>
                <w:sz w:val="20"/>
                <w:szCs w:val="20"/>
              </w:rPr>
              <w:t>3</w:t>
            </w:r>
            <w:r w:rsidRPr="00305C2B">
              <w:rPr>
                <w:rFonts w:asciiTheme="minorHAnsi" w:hAnsiTheme="minorHAnsi" w:cstheme="minorHAnsi"/>
                <w:sz w:val="20"/>
                <w:szCs w:val="20"/>
              </w:rPr>
              <w:t>.</w:t>
            </w:r>
            <w:r>
              <w:rPr>
                <w:rFonts w:asciiTheme="minorHAnsi" w:hAnsiTheme="minorHAnsi" w:cstheme="minorHAnsi"/>
                <w:sz w:val="20"/>
                <w:szCs w:val="20"/>
              </w:rPr>
              <w:t xml:space="preserve">2 </w:t>
            </w:r>
            <w:r w:rsidR="001961DA">
              <w:rPr>
                <w:rFonts w:asciiTheme="minorHAnsi" w:hAnsiTheme="minorHAnsi" w:cstheme="minorHAnsi"/>
                <w:sz w:val="20"/>
                <w:szCs w:val="20"/>
              </w:rPr>
              <w:t xml:space="preserve">The country office will enhance its </w:t>
            </w:r>
            <w:r w:rsidRPr="00305C2B">
              <w:rPr>
                <w:rFonts w:asciiTheme="minorHAnsi" w:hAnsiTheme="minorHAnsi" w:cstheme="minorHAnsi"/>
                <w:sz w:val="20"/>
                <w:szCs w:val="20"/>
              </w:rPr>
              <w:t>Acc Lab’s efforts in mapping and developing the innovation ecosystem for startup growth and maturity</w:t>
            </w:r>
            <w:r w:rsidR="001961DA">
              <w:rPr>
                <w:rFonts w:asciiTheme="minorHAnsi" w:hAnsiTheme="minorHAnsi" w:cstheme="minorHAnsi"/>
                <w:sz w:val="20"/>
                <w:szCs w:val="20"/>
              </w:rPr>
              <w:t xml:space="preserve"> in collabo</w:t>
            </w:r>
            <w:r w:rsidR="000F31D1">
              <w:rPr>
                <w:rFonts w:asciiTheme="minorHAnsi" w:hAnsiTheme="minorHAnsi" w:cstheme="minorHAnsi"/>
                <w:sz w:val="20"/>
                <w:szCs w:val="20"/>
              </w:rPr>
              <w:t xml:space="preserve">ration with UN sister agencies. </w:t>
            </w:r>
          </w:p>
        </w:tc>
        <w:tc>
          <w:tcPr>
            <w:tcW w:w="1350" w:type="dxa"/>
          </w:tcPr>
          <w:p w14:paraId="3EEF7C5A" w14:textId="77777777" w:rsidR="008075D6" w:rsidRPr="00305C2B" w:rsidDel="00BA6647" w:rsidRDefault="008075D6" w:rsidP="0061749E">
            <w:pPr>
              <w:tabs>
                <w:tab w:val="left" w:pos="1080"/>
              </w:tabs>
              <w:rPr>
                <w:rFonts w:asciiTheme="minorHAnsi" w:hAnsiTheme="minorHAnsi" w:cstheme="minorHAnsi"/>
                <w:sz w:val="20"/>
                <w:szCs w:val="20"/>
              </w:rPr>
            </w:pPr>
            <w:r w:rsidRPr="00305C2B">
              <w:rPr>
                <w:rFonts w:asciiTheme="minorHAnsi" w:hAnsiTheme="minorHAnsi" w:cstheme="minorHAnsi"/>
                <w:sz w:val="20"/>
                <w:szCs w:val="20"/>
              </w:rPr>
              <w:t>Dec 2022</w:t>
            </w:r>
          </w:p>
        </w:tc>
        <w:tc>
          <w:tcPr>
            <w:tcW w:w="1260" w:type="dxa"/>
          </w:tcPr>
          <w:p w14:paraId="0482701A" w14:textId="77777777" w:rsidR="008075D6" w:rsidRPr="00305C2B" w:rsidDel="00BA6647" w:rsidRDefault="008075D6" w:rsidP="0061749E">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Acc Lab </w:t>
            </w:r>
          </w:p>
        </w:tc>
        <w:tc>
          <w:tcPr>
            <w:tcW w:w="5940" w:type="dxa"/>
          </w:tcPr>
          <w:p w14:paraId="1B133C09" w14:textId="54AA1067" w:rsidR="008075D6" w:rsidRPr="00305C2B" w:rsidRDefault="008075D6" w:rsidP="0061749E">
            <w:pPr>
              <w:tabs>
                <w:tab w:val="left" w:pos="1080"/>
              </w:tabs>
              <w:rPr>
                <w:rFonts w:asciiTheme="minorHAnsi" w:hAnsiTheme="minorHAnsi" w:cstheme="minorHAnsi"/>
                <w:sz w:val="20"/>
                <w:szCs w:val="20"/>
              </w:rPr>
            </w:pPr>
            <w:r w:rsidRPr="00305C2B">
              <w:rPr>
                <w:rFonts w:asciiTheme="minorHAnsi" w:hAnsiTheme="minorHAnsi" w:cstheme="minorHAnsi"/>
                <w:sz w:val="20"/>
                <w:szCs w:val="20"/>
              </w:rPr>
              <w:t>Acc Lab and partners such as Konza Technopolis and Association of Countrywide Innovation Hubs are currently mapping the innovation ecosystem to identify areas of possible collaboration and engagement by stakeholders and the SDG Accelerator Lab that will see</w:t>
            </w:r>
            <w:r w:rsidR="000A67CC">
              <w:rPr>
                <w:rFonts w:asciiTheme="minorHAnsi" w:hAnsiTheme="minorHAnsi" w:cstheme="minorHAnsi"/>
                <w:sz w:val="20"/>
                <w:szCs w:val="20"/>
              </w:rPr>
              <w:t>k</w:t>
            </w:r>
            <w:r w:rsidRPr="00305C2B">
              <w:rPr>
                <w:rFonts w:asciiTheme="minorHAnsi" w:hAnsiTheme="minorHAnsi" w:cstheme="minorHAnsi"/>
                <w:sz w:val="20"/>
                <w:szCs w:val="20"/>
              </w:rPr>
              <w:t xml:space="preserve"> the growth and development of local startups. </w:t>
            </w:r>
          </w:p>
        </w:tc>
        <w:tc>
          <w:tcPr>
            <w:tcW w:w="1278" w:type="dxa"/>
          </w:tcPr>
          <w:p w14:paraId="4BF2EDA6" w14:textId="77777777" w:rsidR="008075D6" w:rsidRPr="00305C2B" w:rsidRDefault="008075D6" w:rsidP="0061749E">
            <w:pPr>
              <w:tabs>
                <w:tab w:val="left" w:pos="1080"/>
              </w:tabs>
              <w:rPr>
                <w:rFonts w:asciiTheme="minorHAnsi" w:hAnsiTheme="minorHAnsi" w:cstheme="minorHAnsi"/>
                <w:sz w:val="20"/>
                <w:szCs w:val="20"/>
              </w:rPr>
            </w:pPr>
            <w:r w:rsidRPr="00305C2B">
              <w:rPr>
                <w:rFonts w:asciiTheme="minorHAnsi" w:hAnsiTheme="minorHAnsi" w:cstheme="minorHAnsi"/>
                <w:sz w:val="20"/>
                <w:szCs w:val="20"/>
              </w:rPr>
              <w:t>Initiated</w:t>
            </w:r>
          </w:p>
        </w:tc>
      </w:tr>
      <w:tr w:rsidR="00CC6911" w:rsidRPr="00305C2B" w14:paraId="38FF929A" w14:textId="77777777" w:rsidTr="00A7763E">
        <w:tblPrEx>
          <w:tblBorders>
            <w:insideH w:val="single" w:sz="4" w:space="0" w:color="auto"/>
            <w:insideV w:val="single" w:sz="4" w:space="0" w:color="auto"/>
          </w:tblBorders>
        </w:tblPrEx>
        <w:tc>
          <w:tcPr>
            <w:tcW w:w="14339" w:type="dxa"/>
            <w:gridSpan w:val="6"/>
            <w:shd w:val="clear" w:color="auto" w:fill="CCFFFF"/>
          </w:tcPr>
          <w:p w14:paraId="11DBAEA2" w14:textId="77777777" w:rsidR="00CC6911" w:rsidRPr="00305C2B" w:rsidRDefault="00CC6911" w:rsidP="00CC6911">
            <w:pPr>
              <w:tabs>
                <w:tab w:val="left" w:pos="1080"/>
              </w:tabs>
              <w:rPr>
                <w:rFonts w:asciiTheme="minorHAnsi" w:hAnsiTheme="minorHAnsi" w:cstheme="minorHAnsi"/>
                <w:b/>
                <w:sz w:val="20"/>
                <w:szCs w:val="20"/>
              </w:rPr>
            </w:pPr>
          </w:p>
          <w:p w14:paraId="2F7F0592" w14:textId="2185FFC2"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Recommendation 4. UNDP should retain and build on its leadership in the environment area by strengthening its procurement of technical expertise and being more focused and targeted in its downstream activities. Successful approaches such as the community engagement and landscape/seascape approach should be replicated.</w:t>
            </w:r>
          </w:p>
          <w:p w14:paraId="1DD2BF3F" w14:textId="43A1C13C" w:rsidR="00CC6911" w:rsidRPr="00305C2B" w:rsidRDefault="00CC6911" w:rsidP="00CC6911">
            <w:pPr>
              <w:tabs>
                <w:tab w:val="left" w:pos="1080"/>
              </w:tabs>
              <w:rPr>
                <w:rFonts w:asciiTheme="minorHAnsi" w:hAnsiTheme="minorHAnsi" w:cstheme="minorHAnsi"/>
                <w:sz w:val="20"/>
                <w:szCs w:val="20"/>
              </w:rPr>
            </w:pPr>
          </w:p>
        </w:tc>
      </w:tr>
      <w:tr w:rsidR="00CC6911" w:rsidRPr="00305C2B" w14:paraId="714986D4" w14:textId="77777777" w:rsidTr="00A7763E">
        <w:tblPrEx>
          <w:tblBorders>
            <w:insideH w:val="single" w:sz="4" w:space="0" w:color="auto"/>
            <w:insideV w:val="single" w:sz="4" w:space="0" w:color="auto"/>
          </w:tblBorders>
        </w:tblPrEx>
        <w:tc>
          <w:tcPr>
            <w:tcW w:w="14339" w:type="dxa"/>
            <w:gridSpan w:val="6"/>
            <w:shd w:val="clear" w:color="auto" w:fill="auto"/>
          </w:tcPr>
          <w:p w14:paraId="3FA7F90F" w14:textId="70E7C891"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Management response: </w:t>
            </w:r>
            <w:r w:rsidR="00AE3408" w:rsidRPr="00305C2B">
              <w:rPr>
                <w:rFonts w:asciiTheme="minorHAnsi" w:hAnsiTheme="minorHAnsi" w:cstheme="minorHAnsi"/>
                <w:b/>
                <w:sz w:val="20"/>
                <w:szCs w:val="20"/>
              </w:rPr>
              <w:t>Fully accept</w:t>
            </w:r>
          </w:p>
          <w:p w14:paraId="2A0A897F" w14:textId="77777777" w:rsidR="00CC6911" w:rsidRPr="00305C2B" w:rsidRDefault="00CC6911" w:rsidP="00CC6911">
            <w:pPr>
              <w:tabs>
                <w:tab w:val="left" w:pos="1080"/>
              </w:tabs>
              <w:rPr>
                <w:rFonts w:asciiTheme="minorHAnsi" w:hAnsiTheme="minorHAnsi" w:cstheme="minorHAnsi"/>
                <w:b/>
                <w:sz w:val="20"/>
                <w:szCs w:val="20"/>
              </w:rPr>
            </w:pPr>
          </w:p>
        </w:tc>
      </w:tr>
      <w:tr w:rsidR="00CC6911" w:rsidRPr="00305C2B" w14:paraId="7D0553C9"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2CC66DF9"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5375C624"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683F475D"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5EA1B764"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7D19025E"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506C4BC4" w14:textId="77777777" w:rsidR="00CC6911" w:rsidRPr="00305C2B" w:rsidRDefault="00CC6911" w:rsidP="00CC6911">
            <w:pPr>
              <w:tabs>
                <w:tab w:val="left" w:pos="1080"/>
              </w:tabs>
              <w:rPr>
                <w:rFonts w:asciiTheme="minorHAnsi" w:hAnsiTheme="minorHAnsi" w:cstheme="minorHAnsi"/>
                <w:sz w:val="20"/>
                <w:szCs w:val="20"/>
              </w:rPr>
            </w:pPr>
          </w:p>
        </w:tc>
        <w:tc>
          <w:tcPr>
            <w:tcW w:w="1350" w:type="dxa"/>
            <w:vMerge/>
            <w:shd w:val="clear" w:color="auto" w:fill="F3F3F3"/>
          </w:tcPr>
          <w:p w14:paraId="65A380E2" w14:textId="77777777" w:rsidR="00CC6911" w:rsidRPr="00305C2B" w:rsidRDefault="00CC6911" w:rsidP="00CC6911">
            <w:pPr>
              <w:tabs>
                <w:tab w:val="left" w:pos="1080"/>
              </w:tabs>
              <w:rPr>
                <w:rFonts w:asciiTheme="minorHAnsi" w:hAnsiTheme="minorHAnsi" w:cstheme="minorHAnsi"/>
                <w:b/>
                <w:sz w:val="20"/>
                <w:szCs w:val="20"/>
              </w:rPr>
            </w:pPr>
          </w:p>
        </w:tc>
        <w:tc>
          <w:tcPr>
            <w:tcW w:w="1260" w:type="dxa"/>
            <w:vMerge/>
            <w:shd w:val="clear" w:color="auto" w:fill="F3F3F3"/>
          </w:tcPr>
          <w:p w14:paraId="4C944068" w14:textId="77777777" w:rsidR="00CC6911" w:rsidRPr="00305C2B" w:rsidRDefault="00CC6911" w:rsidP="00CC6911">
            <w:pPr>
              <w:tabs>
                <w:tab w:val="left" w:pos="1080"/>
              </w:tabs>
              <w:rPr>
                <w:rFonts w:asciiTheme="minorHAnsi" w:hAnsiTheme="minorHAnsi" w:cstheme="minorHAnsi"/>
                <w:b/>
                <w:sz w:val="20"/>
                <w:szCs w:val="20"/>
              </w:rPr>
            </w:pPr>
          </w:p>
        </w:tc>
        <w:tc>
          <w:tcPr>
            <w:tcW w:w="5940" w:type="dxa"/>
          </w:tcPr>
          <w:p w14:paraId="6E77BB9B" w14:textId="77777777" w:rsidR="00CC6911" w:rsidRPr="00305C2B" w:rsidRDefault="00CC6911" w:rsidP="00CC6911">
            <w:pPr>
              <w:tabs>
                <w:tab w:val="left" w:pos="1080"/>
              </w:tabs>
              <w:jc w:val="center"/>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026523BF" w14:textId="43F595E3"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Status </w:t>
            </w:r>
          </w:p>
        </w:tc>
      </w:tr>
      <w:tr w:rsidR="008631C9" w:rsidRPr="00305C2B" w14:paraId="1F3749C6" w14:textId="77777777" w:rsidTr="00C517BE">
        <w:tblPrEx>
          <w:tblBorders>
            <w:insideH w:val="single" w:sz="4" w:space="0" w:color="auto"/>
            <w:insideV w:val="single" w:sz="4" w:space="0" w:color="auto"/>
          </w:tblBorders>
        </w:tblPrEx>
        <w:trPr>
          <w:gridAfter w:val="1"/>
          <w:wAfter w:w="11" w:type="dxa"/>
        </w:trPr>
        <w:tc>
          <w:tcPr>
            <w:tcW w:w="4500" w:type="dxa"/>
          </w:tcPr>
          <w:p w14:paraId="008C678A" w14:textId="0AB35CDF" w:rsidR="008631C9" w:rsidRPr="00305C2B" w:rsidRDefault="008631C9" w:rsidP="008631C9">
            <w:pPr>
              <w:tabs>
                <w:tab w:val="left" w:pos="1080"/>
              </w:tabs>
              <w:rPr>
                <w:rFonts w:asciiTheme="minorHAnsi" w:hAnsiTheme="minorHAnsi" w:cstheme="minorHAnsi"/>
                <w:sz w:val="20"/>
                <w:szCs w:val="20"/>
              </w:rPr>
            </w:pPr>
            <w:r w:rsidRPr="00305C2B">
              <w:rPr>
                <w:rFonts w:asciiTheme="minorHAnsi" w:hAnsiTheme="minorHAnsi" w:cstheme="minorHAnsi"/>
                <w:sz w:val="20"/>
                <w:szCs w:val="20"/>
              </w:rPr>
              <w:lastRenderedPageBreak/>
              <w:t>4.</w:t>
            </w:r>
            <w:r w:rsidR="00126A67">
              <w:rPr>
                <w:rFonts w:asciiTheme="minorHAnsi" w:hAnsiTheme="minorHAnsi" w:cstheme="minorHAnsi"/>
                <w:sz w:val="20"/>
                <w:szCs w:val="20"/>
              </w:rPr>
              <w:t>1</w:t>
            </w:r>
            <w:r w:rsidRPr="00305C2B">
              <w:rPr>
                <w:rFonts w:asciiTheme="minorHAnsi" w:hAnsiTheme="minorHAnsi" w:cstheme="minorHAnsi"/>
                <w:sz w:val="20"/>
                <w:szCs w:val="20"/>
              </w:rPr>
              <w:t xml:space="preserve"> Undertake extensive community engagements and the landscape/seascape approach as part of the GEF-SGP programme</w:t>
            </w:r>
          </w:p>
        </w:tc>
        <w:tc>
          <w:tcPr>
            <w:tcW w:w="1350" w:type="dxa"/>
          </w:tcPr>
          <w:p w14:paraId="256CD84D" w14:textId="04BF7778" w:rsidR="008631C9" w:rsidRPr="00305C2B" w:rsidDel="00BA6647" w:rsidRDefault="008631C9" w:rsidP="008631C9">
            <w:pPr>
              <w:tabs>
                <w:tab w:val="left" w:pos="1080"/>
              </w:tabs>
              <w:rPr>
                <w:rFonts w:asciiTheme="minorHAnsi" w:hAnsiTheme="minorHAnsi" w:cstheme="minorHAnsi"/>
                <w:sz w:val="20"/>
                <w:szCs w:val="20"/>
              </w:rPr>
            </w:pPr>
            <w:r w:rsidRPr="00305C2B">
              <w:rPr>
                <w:rFonts w:asciiTheme="minorHAnsi" w:hAnsiTheme="minorHAnsi" w:cstheme="minorHAnsi"/>
                <w:sz w:val="20"/>
                <w:szCs w:val="20"/>
              </w:rPr>
              <w:t>Dec 2022</w:t>
            </w:r>
          </w:p>
        </w:tc>
        <w:tc>
          <w:tcPr>
            <w:tcW w:w="1260" w:type="dxa"/>
          </w:tcPr>
          <w:p w14:paraId="5BB2BA2B" w14:textId="0A5A5CFD" w:rsidR="008631C9" w:rsidRPr="00305C2B" w:rsidDel="00BA6647" w:rsidRDefault="008631C9" w:rsidP="008631C9">
            <w:pPr>
              <w:tabs>
                <w:tab w:val="left" w:pos="1080"/>
              </w:tabs>
              <w:rPr>
                <w:rFonts w:asciiTheme="minorHAnsi" w:hAnsiTheme="minorHAnsi" w:cstheme="minorHAnsi"/>
                <w:sz w:val="20"/>
                <w:szCs w:val="20"/>
              </w:rPr>
            </w:pPr>
            <w:r w:rsidRPr="00305C2B">
              <w:rPr>
                <w:rFonts w:asciiTheme="minorHAnsi" w:hAnsiTheme="minorHAnsi" w:cstheme="minorHAnsi"/>
                <w:sz w:val="20"/>
                <w:szCs w:val="20"/>
              </w:rPr>
              <w:t>ERU</w:t>
            </w:r>
          </w:p>
        </w:tc>
        <w:tc>
          <w:tcPr>
            <w:tcW w:w="5940" w:type="dxa"/>
          </w:tcPr>
          <w:p w14:paraId="729CF1CD" w14:textId="35477136" w:rsidR="008631C9" w:rsidRPr="00305C2B" w:rsidRDefault="00EB5329" w:rsidP="008631C9">
            <w:pPr>
              <w:tabs>
                <w:tab w:val="left" w:pos="1080"/>
              </w:tabs>
              <w:rPr>
                <w:rFonts w:asciiTheme="minorHAnsi" w:hAnsiTheme="minorHAnsi" w:cstheme="minorHAnsi"/>
                <w:sz w:val="20"/>
                <w:szCs w:val="20"/>
              </w:rPr>
            </w:pPr>
            <w:r w:rsidRPr="00305C2B">
              <w:rPr>
                <w:rFonts w:asciiTheme="minorHAnsi" w:hAnsiTheme="minorHAnsi" w:cstheme="minorHAnsi"/>
                <w:sz w:val="20"/>
                <w:szCs w:val="20"/>
              </w:rPr>
              <w:t>This action is already initiated through t</w:t>
            </w:r>
            <w:r w:rsidR="00224372" w:rsidRPr="00305C2B">
              <w:rPr>
                <w:rFonts w:asciiTheme="minorHAnsi" w:hAnsiTheme="minorHAnsi" w:cstheme="minorHAnsi"/>
                <w:sz w:val="20"/>
                <w:szCs w:val="20"/>
              </w:rPr>
              <w:t xml:space="preserve">he </w:t>
            </w:r>
            <w:r w:rsidR="00B77735">
              <w:rPr>
                <w:rFonts w:asciiTheme="minorHAnsi" w:hAnsiTheme="minorHAnsi" w:cstheme="minorHAnsi"/>
                <w:sz w:val="20"/>
                <w:szCs w:val="20"/>
              </w:rPr>
              <w:t xml:space="preserve">approved </w:t>
            </w:r>
            <w:r w:rsidR="00224372" w:rsidRPr="00305C2B">
              <w:rPr>
                <w:rFonts w:asciiTheme="minorHAnsi" w:hAnsiTheme="minorHAnsi" w:cstheme="minorHAnsi"/>
                <w:sz w:val="20"/>
                <w:szCs w:val="20"/>
              </w:rPr>
              <w:t>7</w:t>
            </w:r>
            <w:r w:rsidR="00224372" w:rsidRPr="00305C2B">
              <w:rPr>
                <w:rFonts w:asciiTheme="minorHAnsi" w:hAnsiTheme="minorHAnsi" w:cstheme="minorHAnsi"/>
                <w:sz w:val="20"/>
                <w:szCs w:val="20"/>
                <w:vertAlign w:val="superscript"/>
              </w:rPr>
              <w:t>th</w:t>
            </w:r>
            <w:r w:rsidR="00224372" w:rsidRPr="00305C2B">
              <w:rPr>
                <w:rFonts w:asciiTheme="minorHAnsi" w:hAnsiTheme="minorHAnsi" w:cstheme="minorHAnsi"/>
                <w:sz w:val="20"/>
                <w:szCs w:val="20"/>
              </w:rPr>
              <w:t xml:space="preserve"> phase of GEF</w:t>
            </w:r>
            <w:r w:rsidR="00B77735">
              <w:rPr>
                <w:rFonts w:asciiTheme="minorHAnsi" w:hAnsiTheme="minorHAnsi" w:cstheme="minorHAnsi"/>
                <w:sz w:val="20"/>
                <w:szCs w:val="20"/>
              </w:rPr>
              <w:t>-</w:t>
            </w:r>
            <w:r w:rsidR="00224372" w:rsidRPr="00305C2B">
              <w:rPr>
                <w:rFonts w:asciiTheme="minorHAnsi" w:hAnsiTheme="minorHAnsi" w:cstheme="minorHAnsi"/>
                <w:sz w:val="20"/>
                <w:szCs w:val="20"/>
              </w:rPr>
              <w:t xml:space="preserve">SGP, which is due to start in Q1 of 2022, </w:t>
            </w:r>
            <w:r w:rsidR="00B77735">
              <w:rPr>
                <w:rFonts w:asciiTheme="minorHAnsi" w:hAnsiTheme="minorHAnsi" w:cstheme="minorHAnsi"/>
                <w:sz w:val="20"/>
                <w:szCs w:val="20"/>
              </w:rPr>
              <w:t xml:space="preserve">and </w:t>
            </w:r>
            <w:r w:rsidR="00224372" w:rsidRPr="00305C2B">
              <w:rPr>
                <w:rFonts w:asciiTheme="minorHAnsi" w:hAnsiTheme="minorHAnsi" w:cstheme="minorHAnsi"/>
                <w:sz w:val="20"/>
                <w:szCs w:val="20"/>
              </w:rPr>
              <w:t>will build on lessons learned and best practices of the landscape/seascape approach which was initiated in the 6</w:t>
            </w:r>
            <w:r w:rsidR="00224372" w:rsidRPr="00305C2B">
              <w:rPr>
                <w:rFonts w:asciiTheme="minorHAnsi" w:hAnsiTheme="minorHAnsi" w:cstheme="minorHAnsi"/>
                <w:sz w:val="20"/>
                <w:szCs w:val="20"/>
                <w:vertAlign w:val="superscript"/>
              </w:rPr>
              <w:t>th</w:t>
            </w:r>
            <w:r w:rsidR="00224372" w:rsidRPr="00305C2B">
              <w:rPr>
                <w:rFonts w:asciiTheme="minorHAnsi" w:hAnsiTheme="minorHAnsi" w:cstheme="minorHAnsi"/>
                <w:sz w:val="20"/>
                <w:szCs w:val="20"/>
              </w:rPr>
              <w:t xml:space="preserve"> phase of GEF.</w:t>
            </w:r>
            <w:r w:rsidR="00387522" w:rsidRPr="00305C2B">
              <w:rPr>
                <w:rFonts w:asciiTheme="minorHAnsi" w:hAnsiTheme="minorHAnsi" w:cstheme="minorHAnsi"/>
                <w:sz w:val="20"/>
                <w:szCs w:val="20"/>
              </w:rPr>
              <w:t xml:space="preserve"> The Project Document awaits </w:t>
            </w:r>
            <w:r w:rsidR="00B77735">
              <w:rPr>
                <w:rFonts w:asciiTheme="minorHAnsi" w:hAnsiTheme="minorHAnsi" w:cstheme="minorHAnsi"/>
                <w:sz w:val="20"/>
                <w:szCs w:val="20"/>
              </w:rPr>
              <w:t xml:space="preserve">finalize signature </w:t>
            </w:r>
            <w:r w:rsidR="00387522" w:rsidRPr="00305C2B">
              <w:rPr>
                <w:rFonts w:asciiTheme="minorHAnsi" w:hAnsiTheme="minorHAnsi" w:cstheme="minorHAnsi"/>
                <w:sz w:val="20"/>
                <w:szCs w:val="20"/>
              </w:rPr>
              <w:t xml:space="preserve">by the </w:t>
            </w:r>
            <w:r w:rsidR="00B77735">
              <w:rPr>
                <w:rFonts w:asciiTheme="minorHAnsi" w:hAnsiTheme="minorHAnsi" w:cstheme="minorHAnsi"/>
                <w:sz w:val="20"/>
                <w:szCs w:val="20"/>
              </w:rPr>
              <w:t xml:space="preserve">National </w:t>
            </w:r>
            <w:r w:rsidR="00387522" w:rsidRPr="00305C2B">
              <w:rPr>
                <w:rFonts w:asciiTheme="minorHAnsi" w:hAnsiTheme="minorHAnsi" w:cstheme="minorHAnsi"/>
                <w:sz w:val="20"/>
                <w:szCs w:val="20"/>
              </w:rPr>
              <w:t>Treasury.</w:t>
            </w:r>
          </w:p>
        </w:tc>
        <w:tc>
          <w:tcPr>
            <w:tcW w:w="1278" w:type="dxa"/>
          </w:tcPr>
          <w:p w14:paraId="09F53678" w14:textId="4ADFC83A" w:rsidR="008631C9" w:rsidRPr="00305C2B" w:rsidRDefault="008631C9" w:rsidP="008631C9">
            <w:pPr>
              <w:tabs>
                <w:tab w:val="left" w:pos="1080"/>
              </w:tabs>
              <w:rPr>
                <w:rFonts w:asciiTheme="minorHAnsi" w:hAnsiTheme="minorHAnsi" w:cstheme="minorHAnsi"/>
                <w:sz w:val="20"/>
                <w:szCs w:val="20"/>
              </w:rPr>
            </w:pPr>
            <w:r w:rsidRPr="00305C2B">
              <w:rPr>
                <w:rFonts w:asciiTheme="minorHAnsi" w:hAnsiTheme="minorHAnsi" w:cstheme="minorHAnsi"/>
                <w:sz w:val="20"/>
                <w:szCs w:val="20"/>
              </w:rPr>
              <w:t>Initiated</w:t>
            </w:r>
          </w:p>
        </w:tc>
      </w:tr>
      <w:tr w:rsidR="00CC6911" w:rsidRPr="00305C2B" w14:paraId="63E5400E" w14:textId="77777777" w:rsidTr="00A7763E">
        <w:tblPrEx>
          <w:tblBorders>
            <w:insideH w:val="single" w:sz="4" w:space="0" w:color="auto"/>
            <w:insideV w:val="single" w:sz="4" w:space="0" w:color="auto"/>
          </w:tblBorders>
        </w:tblPrEx>
        <w:tc>
          <w:tcPr>
            <w:tcW w:w="14339" w:type="dxa"/>
            <w:gridSpan w:val="6"/>
            <w:shd w:val="clear" w:color="auto" w:fill="CCFFFF"/>
          </w:tcPr>
          <w:p w14:paraId="7A98E391" w14:textId="77777777" w:rsidR="00CC6911" w:rsidRPr="00305C2B" w:rsidRDefault="00CC6911" w:rsidP="00CC6911">
            <w:pPr>
              <w:tabs>
                <w:tab w:val="left" w:pos="1080"/>
              </w:tabs>
              <w:rPr>
                <w:rFonts w:asciiTheme="minorHAnsi" w:hAnsiTheme="minorHAnsi" w:cstheme="minorHAnsi"/>
                <w:b/>
                <w:sz w:val="20"/>
                <w:szCs w:val="20"/>
              </w:rPr>
            </w:pPr>
          </w:p>
          <w:p w14:paraId="72FF9222" w14:textId="7537A589"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Recommendation 5. Youth should feature more prominently in the new CPD, with a dedicated approach and an articulated program theory, in view of its critical importance in several dimensions of the country’s development agenda. UNDP can draw from previous programme experience in addressing youth inclusion and employment in the peace and security and inclusive growth portfolios to conceptuali</w:t>
            </w:r>
            <w:r w:rsidR="00B75961" w:rsidRPr="00305C2B">
              <w:rPr>
                <w:rFonts w:asciiTheme="minorHAnsi" w:hAnsiTheme="minorHAnsi" w:cstheme="minorHAnsi"/>
                <w:b/>
                <w:sz w:val="20"/>
                <w:szCs w:val="20"/>
              </w:rPr>
              <w:t>s</w:t>
            </w:r>
            <w:r w:rsidRPr="00305C2B">
              <w:rPr>
                <w:rFonts w:asciiTheme="minorHAnsi" w:hAnsiTheme="minorHAnsi" w:cstheme="minorHAnsi"/>
                <w:b/>
                <w:sz w:val="20"/>
                <w:szCs w:val="20"/>
              </w:rPr>
              <w:t>e its future approach.</w:t>
            </w:r>
          </w:p>
          <w:p w14:paraId="48EA69AF" w14:textId="30060BCD" w:rsidR="00CC6911" w:rsidRPr="00305C2B" w:rsidRDefault="00CC6911" w:rsidP="00CC6911">
            <w:pPr>
              <w:tabs>
                <w:tab w:val="left" w:pos="1080"/>
              </w:tabs>
              <w:rPr>
                <w:rFonts w:asciiTheme="minorHAnsi" w:hAnsiTheme="minorHAnsi" w:cstheme="minorHAnsi"/>
                <w:sz w:val="20"/>
                <w:szCs w:val="20"/>
              </w:rPr>
            </w:pPr>
          </w:p>
        </w:tc>
      </w:tr>
      <w:tr w:rsidR="00CC6911" w:rsidRPr="00305C2B" w14:paraId="25801A6E" w14:textId="77777777" w:rsidTr="00A7763E">
        <w:tblPrEx>
          <w:tblBorders>
            <w:insideH w:val="single" w:sz="4" w:space="0" w:color="auto"/>
            <w:insideV w:val="single" w:sz="4" w:space="0" w:color="auto"/>
          </w:tblBorders>
        </w:tblPrEx>
        <w:tc>
          <w:tcPr>
            <w:tcW w:w="14339" w:type="dxa"/>
            <w:gridSpan w:val="6"/>
            <w:shd w:val="clear" w:color="auto" w:fill="auto"/>
          </w:tcPr>
          <w:p w14:paraId="6CD73EFC" w14:textId="347ACCA5"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 xml:space="preserve">Management response: </w:t>
            </w:r>
            <w:r w:rsidR="00AE3408" w:rsidRPr="00305C2B">
              <w:rPr>
                <w:rFonts w:asciiTheme="minorHAnsi" w:hAnsiTheme="minorHAnsi" w:cstheme="minorHAnsi"/>
                <w:b/>
                <w:sz w:val="20"/>
                <w:szCs w:val="20"/>
              </w:rPr>
              <w:t>Fully accept.</w:t>
            </w:r>
          </w:p>
          <w:p w14:paraId="18984AF3" w14:textId="77777777" w:rsidR="00CC6911" w:rsidRPr="00305C2B" w:rsidRDefault="00CC6911" w:rsidP="00CC6911">
            <w:pPr>
              <w:tabs>
                <w:tab w:val="left" w:pos="1080"/>
              </w:tabs>
              <w:ind w:left="360"/>
              <w:rPr>
                <w:rFonts w:asciiTheme="minorHAnsi" w:hAnsiTheme="minorHAnsi" w:cstheme="minorHAnsi"/>
                <w:b/>
                <w:sz w:val="20"/>
                <w:szCs w:val="20"/>
              </w:rPr>
            </w:pPr>
          </w:p>
        </w:tc>
      </w:tr>
      <w:tr w:rsidR="00CC6911" w:rsidRPr="00305C2B" w14:paraId="19108173"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3E82B2BF"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3710197C" w14:textId="77777777" w:rsidR="00CC6911" w:rsidRPr="00305C2B" w:rsidRDefault="00CC6911" w:rsidP="00E330D6">
            <w:pPr>
              <w:tabs>
                <w:tab w:val="left" w:pos="1080"/>
              </w:tabs>
              <w:ind w:left="360" w:hanging="193"/>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7FAE8A8D"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660641A0"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445EE259"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2942E8F4" w14:textId="77777777" w:rsidR="00CC6911" w:rsidRPr="00305C2B" w:rsidRDefault="00CC6911" w:rsidP="00CC6911">
            <w:pPr>
              <w:tabs>
                <w:tab w:val="left" w:pos="1080"/>
              </w:tabs>
              <w:ind w:left="360"/>
              <w:rPr>
                <w:rFonts w:asciiTheme="minorHAnsi" w:hAnsiTheme="minorHAnsi" w:cstheme="minorHAnsi"/>
                <w:sz w:val="20"/>
                <w:szCs w:val="20"/>
              </w:rPr>
            </w:pPr>
          </w:p>
        </w:tc>
        <w:tc>
          <w:tcPr>
            <w:tcW w:w="1350" w:type="dxa"/>
            <w:vMerge/>
            <w:shd w:val="clear" w:color="auto" w:fill="F3F3F3"/>
          </w:tcPr>
          <w:p w14:paraId="06EF99C2" w14:textId="77777777" w:rsidR="00CC6911" w:rsidRPr="00305C2B" w:rsidRDefault="00CC6911" w:rsidP="00CC6911">
            <w:pPr>
              <w:tabs>
                <w:tab w:val="left" w:pos="1080"/>
              </w:tabs>
              <w:ind w:left="360"/>
              <w:rPr>
                <w:rFonts w:asciiTheme="minorHAnsi" w:hAnsiTheme="minorHAnsi" w:cstheme="minorHAnsi"/>
                <w:b/>
                <w:sz w:val="20"/>
                <w:szCs w:val="20"/>
              </w:rPr>
            </w:pPr>
          </w:p>
        </w:tc>
        <w:tc>
          <w:tcPr>
            <w:tcW w:w="1260" w:type="dxa"/>
            <w:vMerge/>
            <w:shd w:val="clear" w:color="auto" w:fill="F3F3F3"/>
          </w:tcPr>
          <w:p w14:paraId="30EA5509" w14:textId="77777777" w:rsidR="00CC6911" w:rsidRPr="00305C2B" w:rsidRDefault="00CC6911" w:rsidP="00CC6911">
            <w:pPr>
              <w:tabs>
                <w:tab w:val="left" w:pos="1080"/>
              </w:tabs>
              <w:ind w:left="360"/>
              <w:rPr>
                <w:rFonts w:asciiTheme="minorHAnsi" w:hAnsiTheme="minorHAnsi" w:cstheme="minorHAnsi"/>
                <w:b/>
                <w:sz w:val="20"/>
                <w:szCs w:val="20"/>
              </w:rPr>
            </w:pPr>
          </w:p>
        </w:tc>
        <w:tc>
          <w:tcPr>
            <w:tcW w:w="5940" w:type="dxa"/>
          </w:tcPr>
          <w:p w14:paraId="28CCFE88"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5B4D6D17" w14:textId="1A82B574"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Status</w:t>
            </w:r>
          </w:p>
        </w:tc>
      </w:tr>
      <w:tr w:rsidR="003577C8" w:rsidRPr="00305C2B" w14:paraId="77C81C09" w14:textId="77777777" w:rsidTr="00C517BE">
        <w:tblPrEx>
          <w:tblBorders>
            <w:insideH w:val="single" w:sz="4" w:space="0" w:color="auto"/>
            <w:insideV w:val="single" w:sz="4" w:space="0" w:color="auto"/>
          </w:tblBorders>
        </w:tblPrEx>
        <w:trPr>
          <w:gridAfter w:val="1"/>
          <w:wAfter w:w="11" w:type="dxa"/>
        </w:trPr>
        <w:tc>
          <w:tcPr>
            <w:tcW w:w="4500" w:type="dxa"/>
          </w:tcPr>
          <w:p w14:paraId="63BE3D21" w14:textId="1711045A" w:rsidR="00692E21" w:rsidRPr="00305C2B" w:rsidRDefault="003577C8" w:rsidP="002C2117">
            <w:pPr>
              <w:tabs>
                <w:tab w:val="left" w:pos="1080"/>
              </w:tabs>
              <w:rPr>
                <w:rFonts w:asciiTheme="minorHAnsi" w:hAnsiTheme="minorHAnsi" w:cstheme="minorHAnsi"/>
                <w:sz w:val="20"/>
                <w:szCs w:val="20"/>
              </w:rPr>
            </w:pPr>
            <w:r>
              <w:rPr>
                <w:rFonts w:asciiTheme="minorHAnsi" w:hAnsiTheme="minorHAnsi" w:cstheme="minorHAnsi"/>
                <w:sz w:val="20"/>
                <w:szCs w:val="20"/>
              </w:rPr>
              <w:t>5</w:t>
            </w:r>
            <w:r w:rsidRPr="00305C2B">
              <w:rPr>
                <w:rFonts w:asciiTheme="minorHAnsi" w:hAnsiTheme="minorHAnsi" w:cstheme="minorHAnsi"/>
                <w:sz w:val="20"/>
                <w:szCs w:val="20"/>
              </w:rPr>
              <w:t xml:space="preserve">.1 </w:t>
            </w:r>
            <w:r w:rsidR="00D10830">
              <w:rPr>
                <w:rFonts w:asciiTheme="minorHAnsi" w:hAnsiTheme="minorHAnsi" w:cstheme="minorHAnsi"/>
                <w:sz w:val="20"/>
                <w:szCs w:val="20"/>
              </w:rPr>
              <w:t xml:space="preserve">UN Kenya’s Sustainable Development Cooperation Framework (UNSDCF) </w:t>
            </w:r>
            <w:r w:rsidR="00FD3F66">
              <w:rPr>
                <w:rFonts w:asciiTheme="minorHAnsi" w:hAnsiTheme="minorHAnsi" w:cstheme="minorHAnsi"/>
                <w:sz w:val="20"/>
                <w:szCs w:val="20"/>
              </w:rPr>
              <w:t>for 2022-2026</w:t>
            </w:r>
            <w:r w:rsidR="0091386E">
              <w:rPr>
                <w:rFonts w:asciiTheme="minorHAnsi" w:hAnsiTheme="minorHAnsi" w:cstheme="minorHAnsi"/>
                <w:sz w:val="20"/>
                <w:szCs w:val="20"/>
              </w:rPr>
              <w:t xml:space="preserve"> </w:t>
            </w:r>
            <w:r w:rsidR="00D10830">
              <w:rPr>
                <w:rFonts w:asciiTheme="minorHAnsi" w:hAnsiTheme="minorHAnsi" w:cstheme="minorHAnsi"/>
                <w:sz w:val="20"/>
                <w:szCs w:val="20"/>
              </w:rPr>
              <w:t xml:space="preserve"> </w:t>
            </w:r>
            <w:r w:rsidR="00FC12C1">
              <w:rPr>
                <w:rFonts w:asciiTheme="minorHAnsi" w:hAnsiTheme="minorHAnsi" w:cstheme="minorHAnsi"/>
                <w:sz w:val="20"/>
                <w:szCs w:val="20"/>
              </w:rPr>
              <w:t xml:space="preserve">has </w:t>
            </w:r>
            <w:r w:rsidR="00B81DD6">
              <w:rPr>
                <w:rFonts w:asciiTheme="minorHAnsi" w:hAnsiTheme="minorHAnsi" w:cstheme="minorHAnsi"/>
                <w:sz w:val="20"/>
                <w:szCs w:val="20"/>
              </w:rPr>
              <w:t>prominently</w:t>
            </w:r>
            <w:r w:rsidR="00FC12C1">
              <w:rPr>
                <w:rFonts w:asciiTheme="minorHAnsi" w:hAnsiTheme="minorHAnsi" w:cstheme="minorHAnsi"/>
                <w:sz w:val="20"/>
                <w:szCs w:val="20"/>
              </w:rPr>
              <w:t xml:space="preserve"> located youth as a key focus, partner and beneficiary of the CF</w:t>
            </w:r>
            <w:r w:rsidR="00FD3F66">
              <w:rPr>
                <w:rFonts w:asciiTheme="minorHAnsi" w:hAnsiTheme="minorHAnsi" w:cstheme="minorHAnsi"/>
                <w:sz w:val="20"/>
                <w:szCs w:val="20"/>
              </w:rPr>
              <w:t xml:space="preserve"> over the next four years. </w:t>
            </w:r>
            <w:r w:rsidR="00095D21">
              <w:rPr>
                <w:rFonts w:asciiTheme="minorHAnsi" w:hAnsiTheme="minorHAnsi" w:cstheme="minorHAnsi"/>
                <w:sz w:val="20"/>
                <w:szCs w:val="20"/>
              </w:rPr>
              <w:t>Similarly</w:t>
            </w:r>
            <w:r w:rsidR="00FD3F66">
              <w:rPr>
                <w:rFonts w:asciiTheme="minorHAnsi" w:hAnsiTheme="minorHAnsi" w:cstheme="minorHAnsi"/>
                <w:sz w:val="20"/>
                <w:szCs w:val="20"/>
              </w:rPr>
              <w:t>,</w:t>
            </w:r>
            <w:r w:rsidR="00275278">
              <w:rPr>
                <w:rFonts w:asciiTheme="minorHAnsi" w:hAnsiTheme="minorHAnsi" w:cstheme="minorHAnsi"/>
                <w:sz w:val="20"/>
                <w:szCs w:val="20"/>
              </w:rPr>
              <w:t xml:space="preserve"> </w:t>
            </w:r>
            <w:r w:rsidR="000521FD">
              <w:rPr>
                <w:rFonts w:asciiTheme="minorHAnsi" w:hAnsiTheme="minorHAnsi" w:cstheme="minorHAnsi"/>
                <w:sz w:val="20"/>
                <w:szCs w:val="20"/>
              </w:rPr>
              <w:t xml:space="preserve">the </w:t>
            </w:r>
            <w:r w:rsidR="00FD3F66">
              <w:rPr>
                <w:rFonts w:asciiTheme="minorHAnsi" w:hAnsiTheme="minorHAnsi" w:cstheme="minorHAnsi"/>
                <w:sz w:val="20"/>
                <w:szCs w:val="20"/>
              </w:rPr>
              <w:t xml:space="preserve"> draft CPD </w:t>
            </w:r>
            <w:r w:rsidR="00902B43">
              <w:rPr>
                <w:rFonts w:asciiTheme="minorHAnsi" w:hAnsiTheme="minorHAnsi" w:cstheme="minorHAnsi"/>
                <w:sz w:val="20"/>
                <w:szCs w:val="20"/>
              </w:rPr>
              <w:t xml:space="preserve">is </w:t>
            </w:r>
            <w:r w:rsidR="00FD3F66">
              <w:rPr>
                <w:rFonts w:asciiTheme="minorHAnsi" w:hAnsiTheme="minorHAnsi" w:cstheme="minorHAnsi"/>
                <w:sz w:val="20"/>
                <w:szCs w:val="20"/>
              </w:rPr>
              <w:t>nested within the</w:t>
            </w:r>
            <w:r w:rsidR="0091386E">
              <w:rPr>
                <w:rFonts w:asciiTheme="minorHAnsi" w:hAnsiTheme="minorHAnsi" w:cstheme="minorHAnsi"/>
                <w:sz w:val="20"/>
                <w:szCs w:val="20"/>
              </w:rPr>
              <w:t xml:space="preserve"> Cooperation Framework and aligned to the UNDP Corporate Strateg</w:t>
            </w:r>
            <w:r w:rsidR="00B77735">
              <w:rPr>
                <w:rFonts w:asciiTheme="minorHAnsi" w:hAnsiTheme="minorHAnsi" w:cstheme="minorHAnsi"/>
                <w:sz w:val="20"/>
                <w:szCs w:val="20"/>
              </w:rPr>
              <w:t>ic Plan and UNDP Offer in Africa. T</w:t>
            </w:r>
            <w:r>
              <w:rPr>
                <w:rFonts w:asciiTheme="minorHAnsi" w:hAnsiTheme="minorHAnsi" w:cstheme="minorHAnsi"/>
                <w:sz w:val="20"/>
                <w:szCs w:val="20"/>
              </w:rPr>
              <w:t xml:space="preserve">he </w:t>
            </w:r>
            <w:r w:rsidR="00B77735">
              <w:rPr>
                <w:rFonts w:asciiTheme="minorHAnsi" w:hAnsiTheme="minorHAnsi" w:cstheme="minorHAnsi"/>
                <w:sz w:val="20"/>
                <w:szCs w:val="20"/>
              </w:rPr>
              <w:t>country office</w:t>
            </w:r>
            <w:r>
              <w:rPr>
                <w:rFonts w:asciiTheme="minorHAnsi" w:hAnsiTheme="minorHAnsi" w:cstheme="minorHAnsi"/>
                <w:sz w:val="20"/>
                <w:szCs w:val="20"/>
              </w:rPr>
              <w:t xml:space="preserve"> has </w:t>
            </w:r>
            <w:r w:rsidRPr="00305C2B">
              <w:rPr>
                <w:rFonts w:asciiTheme="minorHAnsi" w:hAnsiTheme="minorHAnsi" w:cstheme="minorHAnsi"/>
                <w:sz w:val="20"/>
                <w:szCs w:val="20"/>
              </w:rPr>
              <w:t xml:space="preserve">anchored innovation as a driver for </w:t>
            </w:r>
            <w:r>
              <w:rPr>
                <w:rFonts w:asciiTheme="minorHAnsi" w:hAnsiTheme="minorHAnsi" w:cstheme="minorHAnsi"/>
                <w:sz w:val="20"/>
                <w:szCs w:val="20"/>
              </w:rPr>
              <w:t>you</w:t>
            </w:r>
            <w:r w:rsidRPr="00305C2B">
              <w:rPr>
                <w:rFonts w:asciiTheme="minorHAnsi" w:hAnsiTheme="minorHAnsi" w:cstheme="minorHAnsi"/>
                <w:sz w:val="20"/>
                <w:szCs w:val="20"/>
              </w:rPr>
              <w:t>th employment</w:t>
            </w:r>
            <w:r w:rsidR="000521FD">
              <w:rPr>
                <w:rFonts w:asciiTheme="minorHAnsi" w:hAnsiTheme="minorHAnsi" w:cstheme="minorHAnsi"/>
                <w:sz w:val="20"/>
                <w:szCs w:val="20"/>
              </w:rPr>
              <w:t xml:space="preserve"> in</w:t>
            </w:r>
            <w:r>
              <w:rPr>
                <w:rFonts w:asciiTheme="minorHAnsi" w:hAnsiTheme="minorHAnsi" w:cstheme="minorHAnsi"/>
                <w:sz w:val="20"/>
                <w:szCs w:val="20"/>
              </w:rPr>
              <w:t xml:space="preserve"> its new CPD </w:t>
            </w:r>
            <w:r w:rsidRPr="00305C2B">
              <w:rPr>
                <w:rFonts w:asciiTheme="minorHAnsi" w:hAnsiTheme="minorHAnsi" w:cstheme="minorHAnsi"/>
                <w:sz w:val="20"/>
                <w:szCs w:val="20"/>
              </w:rPr>
              <w:t>2022-2026</w:t>
            </w:r>
            <w:r w:rsidR="00B77735">
              <w:rPr>
                <w:rFonts w:asciiTheme="minorHAnsi" w:hAnsiTheme="minorHAnsi" w:cstheme="minorHAnsi"/>
                <w:sz w:val="20"/>
                <w:szCs w:val="20"/>
              </w:rPr>
              <w:t xml:space="preserve"> which is to be presented to the June 2022 Executive Board.</w:t>
            </w:r>
          </w:p>
        </w:tc>
        <w:tc>
          <w:tcPr>
            <w:tcW w:w="1350" w:type="dxa"/>
          </w:tcPr>
          <w:p w14:paraId="143C16FF" w14:textId="3F20C0D8" w:rsidR="003577C8" w:rsidRPr="00305C2B" w:rsidRDefault="00AD6669" w:rsidP="0061749E">
            <w:pPr>
              <w:tabs>
                <w:tab w:val="left" w:pos="1080"/>
              </w:tabs>
              <w:rPr>
                <w:rFonts w:asciiTheme="minorHAnsi" w:hAnsiTheme="minorHAnsi" w:cstheme="minorHAnsi"/>
                <w:sz w:val="20"/>
                <w:szCs w:val="20"/>
              </w:rPr>
            </w:pPr>
            <w:r>
              <w:rPr>
                <w:rFonts w:asciiTheme="minorHAnsi" w:hAnsiTheme="minorHAnsi" w:cstheme="minorHAnsi"/>
                <w:sz w:val="20"/>
                <w:szCs w:val="20"/>
              </w:rPr>
              <w:t xml:space="preserve">September </w:t>
            </w:r>
            <w:r w:rsidR="003577C8" w:rsidRPr="00305C2B">
              <w:rPr>
                <w:rFonts w:asciiTheme="minorHAnsi" w:hAnsiTheme="minorHAnsi" w:cstheme="minorHAnsi"/>
                <w:sz w:val="20"/>
                <w:szCs w:val="20"/>
              </w:rPr>
              <w:t>202</w:t>
            </w:r>
            <w:r w:rsidR="003577C8">
              <w:rPr>
                <w:rFonts w:asciiTheme="minorHAnsi" w:hAnsiTheme="minorHAnsi" w:cstheme="minorHAnsi"/>
                <w:sz w:val="20"/>
                <w:szCs w:val="20"/>
              </w:rPr>
              <w:t>2</w:t>
            </w:r>
          </w:p>
        </w:tc>
        <w:tc>
          <w:tcPr>
            <w:tcW w:w="1260" w:type="dxa"/>
          </w:tcPr>
          <w:p w14:paraId="604AFFB7" w14:textId="60AC8911" w:rsidR="003577C8" w:rsidRPr="00305C2B" w:rsidRDefault="00B77735" w:rsidP="0061749E">
            <w:pPr>
              <w:tabs>
                <w:tab w:val="left" w:pos="1080"/>
              </w:tabs>
              <w:rPr>
                <w:rFonts w:asciiTheme="minorHAnsi" w:hAnsiTheme="minorHAnsi" w:cstheme="minorHAnsi"/>
                <w:sz w:val="20"/>
                <w:szCs w:val="20"/>
              </w:rPr>
            </w:pPr>
            <w:r>
              <w:rPr>
                <w:rFonts w:asciiTheme="minorHAnsi" w:hAnsiTheme="minorHAnsi" w:cstheme="minorHAnsi"/>
                <w:sz w:val="20"/>
                <w:szCs w:val="20"/>
              </w:rPr>
              <w:t xml:space="preserve">GIG, Acc Lab </w:t>
            </w:r>
            <w:r w:rsidR="00B81DD6">
              <w:rPr>
                <w:rFonts w:asciiTheme="minorHAnsi" w:hAnsiTheme="minorHAnsi" w:cstheme="minorHAnsi"/>
                <w:sz w:val="20"/>
                <w:szCs w:val="20"/>
              </w:rPr>
              <w:t>and</w:t>
            </w:r>
            <w:r>
              <w:rPr>
                <w:rFonts w:asciiTheme="minorHAnsi" w:hAnsiTheme="minorHAnsi" w:cstheme="minorHAnsi"/>
                <w:sz w:val="20"/>
                <w:szCs w:val="20"/>
              </w:rPr>
              <w:t xml:space="preserve"> SPAU.</w:t>
            </w:r>
          </w:p>
        </w:tc>
        <w:tc>
          <w:tcPr>
            <w:tcW w:w="5940" w:type="dxa"/>
          </w:tcPr>
          <w:p w14:paraId="030FED22" w14:textId="4467953A" w:rsidR="00B77735" w:rsidRDefault="003577C8" w:rsidP="0061749E">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The draft CPD </w:t>
            </w:r>
            <w:r w:rsidR="00B77735">
              <w:rPr>
                <w:rFonts w:asciiTheme="minorHAnsi" w:hAnsiTheme="minorHAnsi" w:cstheme="minorHAnsi"/>
                <w:sz w:val="20"/>
                <w:szCs w:val="20"/>
              </w:rPr>
              <w:t xml:space="preserve">2022-2026 </w:t>
            </w:r>
            <w:r>
              <w:rPr>
                <w:rFonts w:asciiTheme="minorHAnsi" w:hAnsiTheme="minorHAnsi" w:cstheme="minorHAnsi"/>
                <w:sz w:val="20"/>
                <w:szCs w:val="20"/>
              </w:rPr>
              <w:t xml:space="preserve">has been </w:t>
            </w:r>
            <w:r w:rsidR="00B77735">
              <w:rPr>
                <w:rFonts w:asciiTheme="minorHAnsi" w:hAnsiTheme="minorHAnsi" w:cstheme="minorHAnsi"/>
                <w:sz w:val="20"/>
                <w:szCs w:val="20"/>
              </w:rPr>
              <w:t xml:space="preserve">developed through an </w:t>
            </w:r>
            <w:r w:rsidR="00B81DD6">
              <w:rPr>
                <w:rFonts w:asciiTheme="minorHAnsi" w:hAnsiTheme="minorHAnsi" w:cstheme="minorHAnsi"/>
                <w:sz w:val="20"/>
                <w:szCs w:val="20"/>
              </w:rPr>
              <w:t>extensive</w:t>
            </w:r>
            <w:r w:rsidR="00B77735">
              <w:rPr>
                <w:rFonts w:asciiTheme="minorHAnsi" w:hAnsiTheme="minorHAnsi" w:cstheme="minorHAnsi"/>
                <w:sz w:val="20"/>
                <w:szCs w:val="20"/>
              </w:rPr>
              <w:t xml:space="preserve"> consultation process and HQ review</w:t>
            </w:r>
            <w:r w:rsidR="00902B43">
              <w:rPr>
                <w:rFonts w:asciiTheme="minorHAnsi" w:hAnsiTheme="minorHAnsi" w:cstheme="minorHAnsi"/>
                <w:sz w:val="20"/>
                <w:szCs w:val="20"/>
              </w:rPr>
              <w:t xml:space="preserve">.  </w:t>
            </w:r>
            <w:r w:rsidR="00B77735">
              <w:rPr>
                <w:rFonts w:asciiTheme="minorHAnsi" w:hAnsiTheme="minorHAnsi" w:cstheme="minorHAnsi"/>
                <w:sz w:val="20"/>
                <w:szCs w:val="20"/>
              </w:rPr>
              <w:t xml:space="preserve">It is currently posted on the EB website for member state review in preparation for submission to the June 2022 Executive Board. </w:t>
            </w:r>
          </w:p>
          <w:p w14:paraId="3840E978" w14:textId="70CF64D3" w:rsidR="003577C8" w:rsidRPr="00305C2B" w:rsidRDefault="003577C8" w:rsidP="0061749E">
            <w:pPr>
              <w:tabs>
                <w:tab w:val="left" w:pos="1080"/>
              </w:tabs>
              <w:rPr>
                <w:rFonts w:asciiTheme="minorHAnsi" w:hAnsiTheme="minorHAnsi" w:cstheme="minorHAnsi"/>
                <w:sz w:val="20"/>
                <w:szCs w:val="20"/>
              </w:rPr>
            </w:pPr>
          </w:p>
        </w:tc>
        <w:tc>
          <w:tcPr>
            <w:tcW w:w="1278" w:type="dxa"/>
          </w:tcPr>
          <w:p w14:paraId="2D498034" w14:textId="77777777" w:rsidR="003577C8" w:rsidRPr="00305C2B" w:rsidRDefault="003577C8" w:rsidP="0061749E">
            <w:pPr>
              <w:tabs>
                <w:tab w:val="left" w:pos="1080"/>
              </w:tabs>
              <w:rPr>
                <w:rFonts w:asciiTheme="minorHAnsi" w:hAnsiTheme="minorHAnsi" w:cstheme="minorHAnsi"/>
                <w:sz w:val="20"/>
                <w:szCs w:val="20"/>
              </w:rPr>
            </w:pPr>
            <w:r>
              <w:rPr>
                <w:rFonts w:asciiTheme="minorHAnsi" w:hAnsiTheme="minorHAnsi" w:cstheme="minorHAnsi"/>
                <w:sz w:val="20"/>
                <w:szCs w:val="20"/>
              </w:rPr>
              <w:t>Initiated</w:t>
            </w:r>
          </w:p>
        </w:tc>
      </w:tr>
      <w:tr w:rsidR="00CC6911" w:rsidRPr="00305C2B" w14:paraId="7A6C6CDC" w14:textId="77777777" w:rsidTr="00A7763E">
        <w:tblPrEx>
          <w:tblBorders>
            <w:insideH w:val="single" w:sz="4" w:space="0" w:color="auto"/>
            <w:insideV w:val="single" w:sz="4" w:space="0" w:color="auto"/>
          </w:tblBorders>
        </w:tblPrEx>
        <w:tc>
          <w:tcPr>
            <w:tcW w:w="14339" w:type="dxa"/>
            <w:gridSpan w:val="6"/>
            <w:shd w:val="clear" w:color="auto" w:fill="CCFFFF"/>
          </w:tcPr>
          <w:p w14:paraId="17976683" w14:textId="1A508A72" w:rsidR="00CC6911" w:rsidRPr="00305C2B" w:rsidRDefault="00CC6911" w:rsidP="00CC6911">
            <w:pPr>
              <w:tabs>
                <w:tab w:val="left" w:pos="1080"/>
              </w:tabs>
              <w:rPr>
                <w:rFonts w:asciiTheme="minorHAnsi" w:hAnsiTheme="minorHAnsi" w:cstheme="minorHAnsi"/>
                <w:b/>
                <w:sz w:val="20"/>
                <w:szCs w:val="20"/>
              </w:rPr>
            </w:pPr>
            <w:bookmarkStart w:id="0" w:name="_Hlk93580325"/>
            <w:r w:rsidRPr="00305C2B">
              <w:rPr>
                <w:rFonts w:asciiTheme="minorHAnsi" w:hAnsiTheme="minorHAnsi" w:cstheme="minorHAnsi"/>
                <w:b/>
                <w:sz w:val="20"/>
                <w:szCs w:val="20"/>
              </w:rPr>
              <w:t>Recommendation 6. The results chain and theory of change of the new CPD need to be designed to clearly track UNDP’s contributions to national and UNSDCF objectives. The CO’s monitoring system needs upgrading to centrally compile and better organi</w:t>
            </w:r>
            <w:r w:rsidR="00B75961" w:rsidRPr="00305C2B">
              <w:rPr>
                <w:rFonts w:asciiTheme="minorHAnsi" w:hAnsiTheme="minorHAnsi" w:cstheme="minorHAnsi"/>
                <w:b/>
                <w:sz w:val="20"/>
                <w:szCs w:val="20"/>
              </w:rPr>
              <w:t>s</w:t>
            </w:r>
            <w:r w:rsidRPr="00305C2B">
              <w:rPr>
                <w:rFonts w:asciiTheme="minorHAnsi" w:hAnsiTheme="minorHAnsi" w:cstheme="minorHAnsi"/>
                <w:b/>
                <w:sz w:val="20"/>
                <w:szCs w:val="20"/>
              </w:rPr>
              <w:t>e data for decision making, accountability and knowledge management.</w:t>
            </w:r>
          </w:p>
          <w:p w14:paraId="01F04AA6" w14:textId="3363D2B6" w:rsidR="00CC6911" w:rsidRPr="00305C2B" w:rsidRDefault="00CC6911" w:rsidP="00CC6911">
            <w:pPr>
              <w:tabs>
                <w:tab w:val="left" w:pos="1080"/>
              </w:tabs>
              <w:rPr>
                <w:rFonts w:asciiTheme="minorHAnsi" w:hAnsiTheme="minorHAnsi" w:cstheme="minorHAnsi"/>
                <w:sz w:val="20"/>
                <w:szCs w:val="20"/>
              </w:rPr>
            </w:pPr>
          </w:p>
        </w:tc>
      </w:tr>
      <w:tr w:rsidR="00CC6911" w:rsidRPr="00305C2B" w14:paraId="6520F8AC" w14:textId="77777777" w:rsidTr="00A7763E">
        <w:tblPrEx>
          <w:tblBorders>
            <w:insideH w:val="single" w:sz="4" w:space="0" w:color="auto"/>
            <w:insideV w:val="single" w:sz="4" w:space="0" w:color="auto"/>
          </w:tblBorders>
        </w:tblPrEx>
        <w:tc>
          <w:tcPr>
            <w:tcW w:w="14339" w:type="dxa"/>
            <w:gridSpan w:val="6"/>
            <w:shd w:val="clear" w:color="auto" w:fill="CCFFFF"/>
          </w:tcPr>
          <w:p w14:paraId="2C993AB9" w14:textId="3E80ADD2" w:rsidR="00CC6911" w:rsidRPr="00305C2B" w:rsidRDefault="00CC6911" w:rsidP="00E74CCA">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Management response:</w:t>
            </w:r>
            <w:r w:rsidR="00E74CCA" w:rsidRPr="00305C2B">
              <w:rPr>
                <w:rFonts w:asciiTheme="minorHAnsi" w:hAnsiTheme="minorHAnsi" w:cstheme="minorHAnsi"/>
                <w:b/>
                <w:sz w:val="20"/>
                <w:szCs w:val="20"/>
              </w:rPr>
              <w:t xml:space="preserve"> Fully accept</w:t>
            </w:r>
          </w:p>
          <w:p w14:paraId="0D6E8CEC" w14:textId="77777777" w:rsidR="00CC6911" w:rsidRPr="00305C2B" w:rsidRDefault="00CC6911" w:rsidP="00CC6911">
            <w:pPr>
              <w:tabs>
                <w:tab w:val="left" w:pos="1080"/>
              </w:tabs>
              <w:ind w:left="360"/>
              <w:rPr>
                <w:rFonts w:asciiTheme="minorHAnsi" w:hAnsiTheme="minorHAnsi" w:cstheme="minorHAnsi"/>
                <w:b/>
                <w:sz w:val="20"/>
                <w:szCs w:val="20"/>
              </w:rPr>
            </w:pPr>
          </w:p>
        </w:tc>
      </w:tr>
      <w:tr w:rsidR="00CC6911" w:rsidRPr="00305C2B" w14:paraId="60E0148D"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3CF0CE81"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7D2EF38A" w14:textId="77777777" w:rsidR="00CC6911" w:rsidRPr="00305C2B" w:rsidRDefault="00CC6911" w:rsidP="00890585">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0D41FCAE" w14:textId="77777777" w:rsidR="00CC6911" w:rsidRPr="00305C2B" w:rsidRDefault="00CC6911" w:rsidP="00890585">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37876951"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2D52AE83"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0F81540B" w14:textId="77777777" w:rsidR="00CC6911" w:rsidRPr="00305C2B" w:rsidRDefault="00CC6911" w:rsidP="00CC6911">
            <w:pPr>
              <w:tabs>
                <w:tab w:val="left" w:pos="1080"/>
              </w:tabs>
              <w:ind w:left="360"/>
              <w:rPr>
                <w:rFonts w:asciiTheme="minorHAnsi" w:hAnsiTheme="minorHAnsi" w:cstheme="minorHAnsi"/>
                <w:sz w:val="20"/>
                <w:szCs w:val="20"/>
              </w:rPr>
            </w:pPr>
          </w:p>
        </w:tc>
        <w:tc>
          <w:tcPr>
            <w:tcW w:w="1350" w:type="dxa"/>
            <w:vMerge/>
            <w:shd w:val="clear" w:color="auto" w:fill="F3F3F3"/>
          </w:tcPr>
          <w:p w14:paraId="6F81F645" w14:textId="77777777" w:rsidR="00CC6911" w:rsidRPr="00305C2B" w:rsidRDefault="00CC6911" w:rsidP="00CC6911">
            <w:pPr>
              <w:tabs>
                <w:tab w:val="left" w:pos="1080"/>
              </w:tabs>
              <w:ind w:left="360"/>
              <w:rPr>
                <w:rFonts w:asciiTheme="minorHAnsi" w:hAnsiTheme="minorHAnsi" w:cstheme="minorHAnsi"/>
                <w:b/>
                <w:sz w:val="20"/>
                <w:szCs w:val="20"/>
              </w:rPr>
            </w:pPr>
          </w:p>
        </w:tc>
        <w:tc>
          <w:tcPr>
            <w:tcW w:w="1260" w:type="dxa"/>
            <w:vMerge/>
            <w:shd w:val="clear" w:color="auto" w:fill="F3F3F3"/>
          </w:tcPr>
          <w:p w14:paraId="67D1B1D2" w14:textId="77777777" w:rsidR="00CC6911" w:rsidRPr="00305C2B" w:rsidRDefault="00CC6911" w:rsidP="00CC6911">
            <w:pPr>
              <w:tabs>
                <w:tab w:val="left" w:pos="1080"/>
              </w:tabs>
              <w:ind w:left="360"/>
              <w:rPr>
                <w:rFonts w:asciiTheme="minorHAnsi" w:hAnsiTheme="minorHAnsi" w:cstheme="minorHAnsi"/>
                <w:b/>
                <w:sz w:val="20"/>
                <w:szCs w:val="20"/>
              </w:rPr>
            </w:pPr>
          </w:p>
        </w:tc>
        <w:tc>
          <w:tcPr>
            <w:tcW w:w="5940" w:type="dxa"/>
          </w:tcPr>
          <w:p w14:paraId="729FAFC2"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7326A9F2" w14:textId="3EFFE50D" w:rsidR="00CC6911" w:rsidRPr="00305C2B" w:rsidRDefault="00CC6911" w:rsidP="00CC6911">
            <w:pPr>
              <w:rPr>
                <w:rFonts w:asciiTheme="minorHAnsi" w:hAnsiTheme="minorHAnsi" w:cstheme="minorHAnsi"/>
                <w:b/>
                <w:sz w:val="20"/>
                <w:szCs w:val="20"/>
              </w:rPr>
            </w:pPr>
            <w:r w:rsidRPr="00305C2B">
              <w:rPr>
                <w:rFonts w:asciiTheme="minorHAnsi" w:hAnsiTheme="minorHAnsi" w:cstheme="minorHAnsi"/>
                <w:b/>
                <w:sz w:val="20"/>
                <w:szCs w:val="20"/>
              </w:rPr>
              <w:t>Status</w:t>
            </w:r>
          </w:p>
        </w:tc>
      </w:tr>
      <w:tr w:rsidR="00CC6911" w:rsidRPr="00305C2B" w14:paraId="6D203A33" w14:textId="77777777" w:rsidTr="00C517BE">
        <w:tblPrEx>
          <w:tblBorders>
            <w:insideH w:val="single" w:sz="4" w:space="0" w:color="auto"/>
            <w:insideV w:val="single" w:sz="4" w:space="0" w:color="auto"/>
          </w:tblBorders>
        </w:tblPrEx>
        <w:trPr>
          <w:gridAfter w:val="1"/>
          <w:wAfter w:w="11" w:type="dxa"/>
        </w:trPr>
        <w:tc>
          <w:tcPr>
            <w:tcW w:w="4500" w:type="dxa"/>
          </w:tcPr>
          <w:p w14:paraId="57FDAC55" w14:textId="299BF5B6" w:rsidR="00CC6911" w:rsidRPr="00305C2B" w:rsidRDefault="00CC6911" w:rsidP="00603CFA">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6.1 </w:t>
            </w:r>
            <w:r w:rsidR="00B85482">
              <w:rPr>
                <w:rFonts w:asciiTheme="minorHAnsi" w:hAnsiTheme="minorHAnsi" w:cstheme="minorHAnsi"/>
                <w:sz w:val="20"/>
                <w:szCs w:val="20"/>
              </w:rPr>
              <w:t>The country office will d</w:t>
            </w:r>
            <w:r w:rsidR="007938ED" w:rsidRPr="00305C2B">
              <w:rPr>
                <w:rFonts w:asciiTheme="minorHAnsi" w:hAnsiTheme="minorHAnsi" w:cstheme="minorHAnsi"/>
                <w:sz w:val="20"/>
                <w:szCs w:val="20"/>
              </w:rPr>
              <w:t xml:space="preserve">evelop </w:t>
            </w:r>
            <w:r w:rsidR="00764687" w:rsidRPr="00305C2B">
              <w:rPr>
                <w:rFonts w:asciiTheme="minorHAnsi" w:hAnsiTheme="minorHAnsi" w:cstheme="minorHAnsi"/>
                <w:sz w:val="20"/>
                <w:szCs w:val="20"/>
              </w:rPr>
              <w:t>a</w:t>
            </w:r>
            <w:r w:rsidR="001C2E3F" w:rsidRPr="00305C2B">
              <w:rPr>
                <w:rFonts w:asciiTheme="minorHAnsi" w:hAnsiTheme="minorHAnsi" w:cstheme="minorHAnsi"/>
                <w:sz w:val="20"/>
                <w:szCs w:val="20"/>
              </w:rPr>
              <w:t xml:space="preserve"> results chain and theory of change </w:t>
            </w:r>
            <w:r w:rsidR="009604DA" w:rsidRPr="00305C2B">
              <w:rPr>
                <w:rFonts w:asciiTheme="minorHAnsi" w:hAnsiTheme="minorHAnsi" w:cstheme="minorHAnsi"/>
                <w:sz w:val="20"/>
                <w:szCs w:val="20"/>
              </w:rPr>
              <w:t>for</w:t>
            </w:r>
            <w:r w:rsidR="001C2E3F" w:rsidRPr="00305C2B">
              <w:rPr>
                <w:rFonts w:asciiTheme="minorHAnsi" w:hAnsiTheme="minorHAnsi" w:cstheme="minorHAnsi"/>
                <w:sz w:val="20"/>
                <w:szCs w:val="20"/>
              </w:rPr>
              <w:t xml:space="preserve"> the new CPD</w:t>
            </w:r>
            <w:r w:rsidR="000368A0" w:rsidRPr="00305C2B">
              <w:rPr>
                <w:rFonts w:asciiTheme="minorHAnsi" w:hAnsiTheme="minorHAnsi" w:cstheme="minorHAnsi"/>
                <w:sz w:val="20"/>
                <w:szCs w:val="20"/>
              </w:rPr>
              <w:t xml:space="preserve"> that is aligned to </w:t>
            </w:r>
            <w:r w:rsidR="00B77735">
              <w:rPr>
                <w:rFonts w:asciiTheme="minorHAnsi" w:hAnsiTheme="minorHAnsi" w:cstheme="minorHAnsi"/>
                <w:sz w:val="20"/>
                <w:szCs w:val="20"/>
              </w:rPr>
              <w:t xml:space="preserve">the </w:t>
            </w:r>
            <w:r w:rsidR="000368A0" w:rsidRPr="00305C2B">
              <w:rPr>
                <w:rFonts w:asciiTheme="minorHAnsi" w:hAnsiTheme="minorHAnsi" w:cstheme="minorHAnsi"/>
                <w:sz w:val="20"/>
                <w:szCs w:val="20"/>
              </w:rPr>
              <w:t>UNS</w:t>
            </w:r>
            <w:r w:rsidR="00B85482">
              <w:rPr>
                <w:rFonts w:asciiTheme="minorHAnsi" w:hAnsiTheme="minorHAnsi" w:cstheme="minorHAnsi"/>
                <w:sz w:val="20"/>
                <w:szCs w:val="20"/>
              </w:rPr>
              <w:t>D</w:t>
            </w:r>
            <w:r w:rsidR="000368A0" w:rsidRPr="00305C2B">
              <w:rPr>
                <w:rFonts w:asciiTheme="minorHAnsi" w:hAnsiTheme="minorHAnsi" w:cstheme="minorHAnsi"/>
                <w:sz w:val="20"/>
                <w:szCs w:val="20"/>
              </w:rPr>
              <w:t xml:space="preserve">CF </w:t>
            </w:r>
            <w:r w:rsidR="00B77735">
              <w:rPr>
                <w:rFonts w:asciiTheme="minorHAnsi" w:hAnsiTheme="minorHAnsi" w:cstheme="minorHAnsi"/>
                <w:sz w:val="20"/>
                <w:szCs w:val="20"/>
              </w:rPr>
              <w:t xml:space="preserve">2022-2026 </w:t>
            </w:r>
            <w:r w:rsidR="000368A0" w:rsidRPr="00305C2B">
              <w:rPr>
                <w:rFonts w:asciiTheme="minorHAnsi" w:hAnsiTheme="minorHAnsi" w:cstheme="minorHAnsi"/>
                <w:sz w:val="20"/>
                <w:szCs w:val="20"/>
              </w:rPr>
              <w:t>objectives and national priorities</w:t>
            </w:r>
          </w:p>
        </w:tc>
        <w:tc>
          <w:tcPr>
            <w:tcW w:w="1350" w:type="dxa"/>
          </w:tcPr>
          <w:p w14:paraId="39C9236D" w14:textId="031ACC20" w:rsidR="00CC6911" w:rsidRPr="00305C2B" w:rsidRDefault="001D587D" w:rsidP="00890585">
            <w:pPr>
              <w:tabs>
                <w:tab w:val="left" w:pos="1080"/>
              </w:tabs>
              <w:rPr>
                <w:rFonts w:asciiTheme="minorHAnsi" w:hAnsiTheme="minorHAnsi" w:cstheme="minorHAnsi"/>
                <w:sz w:val="20"/>
                <w:szCs w:val="20"/>
              </w:rPr>
            </w:pPr>
            <w:r>
              <w:rPr>
                <w:rFonts w:asciiTheme="minorHAnsi" w:hAnsiTheme="minorHAnsi" w:cstheme="minorHAnsi"/>
                <w:sz w:val="20"/>
                <w:szCs w:val="20"/>
              </w:rPr>
              <w:t>March</w:t>
            </w:r>
            <w:r w:rsidR="00890585" w:rsidRPr="00305C2B">
              <w:rPr>
                <w:rFonts w:asciiTheme="minorHAnsi" w:hAnsiTheme="minorHAnsi" w:cstheme="minorHAnsi"/>
                <w:sz w:val="20"/>
                <w:szCs w:val="20"/>
              </w:rPr>
              <w:t xml:space="preserve"> 2022</w:t>
            </w:r>
          </w:p>
        </w:tc>
        <w:tc>
          <w:tcPr>
            <w:tcW w:w="1260" w:type="dxa"/>
          </w:tcPr>
          <w:p w14:paraId="7460F1AC" w14:textId="4F3CD6D4" w:rsidR="00CC6911" w:rsidRPr="00305C2B" w:rsidRDefault="001D587D" w:rsidP="00890585">
            <w:pPr>
              <w:tabs>
                <w:tab w:val="left" w:pos="1080"/>
              </w:tabs>
              <w:rPr>
                <w:rFonts w:asciiTheme="minorHAnsi" w:hAnsiTheme="minorHAnsi" w:cstheme="minorHAnsi"/>
                <w:sz w:val="20"/>
                <w:szCs w:val="20"/>
              </w:rPr>
            </w:pPr>
            <w:r>
              <w:rPr>
                <w:rFonts w:asciiTheme="minorHAnsi" w:hAnsiTheme="minorHAnsi" w:cstheme="minorHAnsi"/>
                <w:sz w:val="20"/>
                <w:szCs w:val="20"/>
              </w:rPr>
              <w:t>CPD Taskforce /</w:t>
            </w:r>
            <w:r w:rsidR="00890585" w:rsidRPr="00305C2B">
              <w:rPr>
                <w:rFonts w:asciiTheme="minorHAnsi" w:hAnsiTheme="minorHAnsi" w:cstheme="minorHAnsi"/>
                <w:sz w:val="20"/>
                <w:szCs w:val="20"/>
              </w:rPr>
              <w:t>SMT</w:t>
            </w:r>
          </w:p>
        </w:tc>
        <w:tc>
          <w:tcPr>
            <w:tcW w:w="5940" w:type="dxa"/>
          </w:tcPr>
          <w:p w14:paraId="5320F0D0" w14:textId="1303B515" w:rsidR="00890585" w:rsidRPr="00305C2B" w:rsidRDefault="004000AD" w:rsidP="00890585">
            <w:pPr>
              <w:autoSpaceDE w:val="0"/>
              <w:autoSpaceDN w:val="0"/>
              <w:adjustRightInd w:val="0"/>
              <w:rPr>
                <w:rFonts w:asciiTheme="minorHAnsi" w:hAnsiTheme="minorHAnsi" w:cstheme="minorHAnsi"/>
                <w:sz w:val="20"/>
                <w:szCs w:val="20"/>
              </w:rPr>
            </w:pPr>
            <w:r w:rsidRPr="00305C2B">
              <w:rPr>
                <w:rFonts w:asciiTheme="minorHAnsi" w:eastAsiaTheme="minorHAnsi" w:hAnsiTheme="minorHAnsi" w:cstheme="minorHAnsi"/>
                <w:sz w:val="20"/>
                <w:szCs w:val="20"/>
              </w:rPr>
              <w:t>The c</w:t>
            </w:r>
            <w:r w:rsidR="006C1624" w:rsidRPr="00305C2B">
              <w:rPr>
                <w:rFonts w:asciiTheme="minorHAnsi" w:eastAsiaTheme="minorHAnsi" w:hAnsiTheme="minorHAnsi" w:cstheme="minorHAnsi"/>
                <w:sz w:val="20"/>
                <w:szCs w:val="20"/>
              </w:rPr>
              <w:t xml:space="preserve">ountry office </w:t>
            </w:r>
            <w:r w:rsidR="001C6E4D" w:rsidRPr="00305C2B">
              <w:rPr>
                <w:rFonts w:asciiTheme="minorHAnsi" w:eastAsiaTheme="minorHAnsi" w:hAnsiTheme="minorHAnsi" w:cstheme="minorHAnsi"/>
                <w:sz w:val="20"/>
                <w:szCs w:val="20"/>
              </w:rPr>
              <w:t xml:space="preserve">has </w:t>
            </w:r>
            <w:r w:rsidR="006C1624" w:rsidRPr="00305C2B">
              <w:rPr>
                <w:rFonts w:asciiTheme="minorHAnsi" w:eastAsiaTheme="minorHAnsi" w:hAnsiTheme="minorHAnsi" w:cstheme="minorHAnsi"/>
                <w:sz w:val="20"/>
                <w:szCs w:val="20"/>
              </w:rPr>
              <w:t>developed a</w:t>
            </w:r>
            <w:r w:rsidR="00CD542F" w:rsidRPr="00305C2B">
              <w:rPr>
                <w:rFonts w:asciiTheme="minorHAnsi" w:eastAsiaTheme="minorHAnsi" w:hAnsiTheme="minorHAnsi" w:cstheme="minorHAnsi"/>
                <w:sz w:val="20"/>
                <w:szCs w:val="20"/>
              </w:rPr>
              <w:t xml:space="preserve"> theory of change</w:t>
            </w:r>
            <w:r w:rsidR="00B77735">
              <w:rPr>
                <w:rFonts w:asciiTheme="minorHAnsi" w:eastAsiaTheme="minorHAnsi" w:hAnsiTheme="minorHAnsi" w:cstheme="minorHAnsi"/>
                <w:sz w:val="20"/>
                <w:szCs w:val="20"/>
              </w:rPr>
              <w:t xml:space="preserve"> </w:t>
            </w:r>
            <w:r w:rsidR="001C2E3F" w:rsidRPr="00305C2B">
              <w:rPr>
                <w:rFonts w:asciiTheme="minorHAnsi" w:eastAsiaTheme="minorHAnsi" w:hAnsiTheme="minorHAnsi" w:cstheme="minorHAnsi"/>
                <w:sz w:val="20"/>
                <w:szCs w:val="20"/>
              </w:rPr>
              <w:t>and the results chain</w:t>
            </w:r>
            <w:r w:rsidR="006C1624" w:rsidRPr="00305C2B">
              <w:rPr>
                <w:rFonts w:asciiTheme="minorHAnsi" w:eastAsiaTheme="minorHAnsi" w:hAnsiTheme="minorHAnsi" w:cstheme="minorHAnsi"/>
                <w:sz w:val="20"/>
                <w:szCs w:val="20"/>
              </w:rPr>
              <w:t xml:space="preserve"> for the 2022-2026</w:t>
            </w:r>
            <w:r w:rsidR="00CD542F" w:rsidRPr="00305C2B">
              <w:rPr>
                <w:rFonts w:asciiTheme="minorHAnsi" w:eastAsiaTheme="minorHAnsi" w:hAnsiTheme="minorHAnsi" w:cstheme="minorHAnsi"/>
                <w:sz w:val="20"/>
                <w:szCs w:val="20"/>
              </w:rPr>
              <w:t xml:space="preserve"> </w:t>
            </w:r>
            <w:r w:rsidR="006C1624" w:rsidRPr="00305C2B">
              <w:rPr>
                <w:rFonts w:asciiTheme="minorHAnsi" w:eastAsiaTheme="minorHAnsi" w:hAnsiTheme="minorHAnsi" w:cstheme="minorHAnsi"/>
                <w:sz w:val="20"/>
                <w:szCs w:val="20"/>
              </w:rPr>
              <w:t xml:space="preserve">CPD </w:t>
            </w:r>
            <w:r w:rsidR="001C6E4D" w:rsidRPr="00305C2B">
              <w:rPr>
                <w:rFonts w:asciiTheme="minorHAnsi" w:eastAsiaTheme="minorHAnsi" w:hAnsiTheme="minorHAnsi" w:cstheme="minorHAnsi"/>
                <w:sz w:val="20"/>
                <w:szCs w:val="20"/>
              </w:rPr>
              <w:t xml:space="preserve">that is aligned with the </w:t>
            </w:r>
            <w:r w:rsidR="006C1624" w:rsidRPr="00305C2B">
              <w:rPr>
                <w:rFonts w:asciiTheme="minorHAnsi" w:eastAsiaTheme="minorHAnsi" w:hAnsiTheme="minorHAnsi" w:cstheme="minorHAnsi"/>
                <w:sz w:val="20"/>
                <w:szCs w:val="20"/>
              </w:rPr>
              <w:t>2022-2026 UNSDCF</w:t>
            </w:r>
            <w:r w:rsidR="000C4F3C" w:rsidRPr="00305C2B">
              <w:rPr>
                <w:rFonts w:asciiTheme="minorHAnsi" w:eastAsiaTheme="minorHAnsi" w:hAnsiTheme="minorHAnsi" w:cstheme="minorHAnsi"/>
                <w:sz w:val="20"/>
                <w:szCs w:val="20"/>
              </w:rPr>
              <w:t xml:space="preserve"> and the national</w:t>
            </w:r>
            <w:r w:rsidR="001A2EE0" w:rsidRPr="00305C2B">
              <w:rPr>
                <w:rFonts w:asciiTheme="minorHAnsi" w:eastAsiaTheme="minorHAnsi" w:hAnsiTheme="minorHAnsi" w:cstheme="minorHAnsi"/>
                <w:sz w:val="20"/>
                <w:szCs w:val="20"/>
              </w:rPr>
              <w:t xml:space="preserve"> priorities</w:t>
            </w:r>
            <w:r w:rsidR="006C1624" w:rsidRPr="00305C2B">
              <w:rPr>
                <w:rFonts w:asciiTheme="minorHAnsi" w:eastAsiaTheme="minorHAnsi" w:hAnsiTheme="minorHAnsi" w:cstheme="minorHAnsi"/>
                <w:sz w:val="20"/>
                <w:szCs w:val="20"/>
              </w:rPr>
              <w:t>. Th</w:t>
            </w:r>
            <w:r w:rsidR="008D0C08" w:rsidRPr="00305C2B">
              <w:rPr>
                <w:rFonts w:asciiTheme="minorHAnsi" w:eastAsiaTheme="minorHAnsi" w:hAnsiTheme="minorHAnsi" w:cstheme="minorHAnsi"/>
                <w:sz w:val="20"/>
                <w:szCs w:val="20"/>
              </w:rPr>
              <w:t xml:space="preserve">e </w:t>
            </w:r>
            <w:r w:rsidR="007D3727" w:rsidRPr="00305C2B">
              <w:rPr>
                <w:rFonts w:asciiTheme="minorHAnsi" w:eastAsiaTheme="minorHAnsi" w:hAnsiTheme="minorHAnsi" w:cstheme="minorHAnsi"/>
                <w:sz w:val="20"/>
                <w:szCs w:val="20"/>
              </w:rPr>
              <w:t xml:space="preserve">result chain will be used to track UNDP’s contributions </w:t>
            </w:r>
            <w:r w:rsidR="00427A4C" w:rsidRPr="00305C2B">
              <w:rPr>
                <w:rFonts w:asciiTheme="minorHAnsi" w:eastAsiaTheme="minorHAnsi" w:hAnsiTheme="minorHAnsi" w:cstheme="minorHAnsi"/>
                <w:sz w:val="20"/>
                <w:szCs w:val="20"/>
              </w:rPr>
              <w:t>and will be the</w:t>
            </w:r>
            <w:r w:rsidR="006C1624" w:rsidRPr="00305C2B">
              <w:rPr>
                <w:rFonts w:asciiTheme="minorHAnsi" w:eastAsiaTheme="minorHAnsi" w:hAnsiTheme="minorHAnsi" w:cstheme="minorHAnsi"/>
                <w:sz w:val="20"/>
                <w:szCs w:val="20"/>
              </w:rPr>
              <w:t xml:space="preserve"> basis for </w:t>
            </w:r>
            <w:r w:rsidR="00890585" w:rsidRPr="00305C2B">
              <w:rPr>
                <w:rFonts w:asciiTheme="minorHAnsi" w:eastAsiaTheme="minorHAnsi" w:hAnsiTheme="minorHAnsi" w:cstheme="minorHAnsi"/>
                <w:sz w:val="20"/>
                <w:szCs w:val="20"/>
              </w:rPr>
              <w:t xml:space="preserve">tracking </w:t>
            </w:r>
            <w:r w:rsidR="006C1624" w:rsidRPr="00305C2B">
              <w:rPr>
                <w:rFonts w:asciiTheme="minorHAnsi" w:eastAsiaTheme="minorHAnsi" w:hAnsiTheme="minorHAnsi" w:cstheme="minorHAnsi"/>
                <w:sz w:val="20"/>
                <w:szCs w:val="20"/>
              </w:rPr>
              <w:t>programme</w:t>
            </w:r>
            <w:r w:rsidR="00890585" w:rsidRPr="00305C2B">
              <w:rPr>
                <w:rFonts w:asciiTheme="minorHAnsi" w:eastAsiaTheme="minorHAnsi" w:hAnsiTheme="minorHAnsi" w:cstheme="minorHAnsi"/>
                <w:sz w:val="20"/>
                <w:szCs w:val="20"/>
              </w:rPr>
              <w:t xml:space="preserve"> </w:t>
            </w:r>
            <w:r w:rsidR="006C1624" w:rsidRPr="00305C2B">
              <w:rPr>
                <w:rFonts w:asciiTheme="minorHAnsi" w:eastAsiaTheme="minorHAnsi" w:hAnsiTheme="minorHAnsi" w:cstheme="minorHAnsi"/>
                <w:sz w:val="20"/>
                <w:szCs w:val="20"/>
              </w:rPr>
              <w:t>implementation, monitoring</w:t>
            </w:r>
            <w:r w:rsidR="00890585" w:rsidRPr="00305C2B">
              <w:rPr>
                <w:rFonts w:asciiTheme="minorHAnsi" w:eastAsiaTheme="minorHAnsi" w:hAnsiTheme="minorHAnsi" w:cstheme="minorHAnsi"/>
                <w:sz w:val="20"/>
                <w:szCs w:val="20"/>
              </w:rPr>
              <w:t xml:space="preserve"> </w:t>
            </w:r>
            <w:r w:rsidR="006C1624" w:rsidRPr="00305C2B">
              <w:rPr>
                <w:rFonts w:asciiTheme="minorHAnsi" w:eastAsiaTheme="minorHAnsi" w:hAnsiTheme="minorHAnsi" w:cstheme="minorHAnsi"/>
                <w:sz w:val="20"/>
                <w:szCs w:val="20"/>
              </w:rPr>
              <w:t xml:space="preserve">and </w:t>
            </w:r>
            <w:r w:rsidR="00890585" w:rsidRPr="00305C2B">
              <w:rPr>
                <w:rFonts w:asciiTheme="minorHAnsi" w:eastAsiaTheme="minorHAnsi" w:hAnsiTheme="minorHAnsi" w:cstheme="minorHAnsi"/>
                <w:sz w:val="20"/>
                <w:szCs w:val="20"/>
              </w:rPr>
              <w:t>re</w:t>
            </w:r>
            <w:r w:rsidR="006C1624" w:rsidRPr="00305C2B">
              <w:rPr>
                <w:rFonts w:asciiTheme="minorHAnsi" w:eastAsiaTheme="minorHAnsi" w:hAnsiTheme="minorHAnsi" w:cstheme="minorHAnsi"/>
                <w:sz w:val="20"/>
                <w:szCs w:val="20"/>
              </w:rPr>
              <w:t>porting</w:t>
            </w:r>
            <w:r w:rsidR="00890585" w:rsidRPr="00305C2B">
              <w:rPr>
                <w:rFonts w:asciiTheme="minorHAnsi" w:eastAsiaTheme="minorHAnsi" w:hAnsiTheme="minorHAnsi" w:cstheme="minorHAnsi"/>
                <w:sz w:val="20"/>
                <w:szCs w:val="20"/>
              </w:rPr>
              <w:t>.</w:t>
            </w:r>
          </w:p>
          <w:p w14:paraId="462454F6" w14:textId="4EFCAF26" w:rsidR="00CC6911" w:rsidRPr="00305C2B" w:rsidRDefault="00CC6911" w:rsidP="006C1624">
            <w:pPr>
              <w:tabs>
                <w:tab w:val="left" w:pos="1080"/>
              </w:tabs>
              <w:ind w:left="360"/>
              <w:rPr>
                <w:rFonts w:asciiTheme="minorHAnsi" w:hAnsiTheme="minorHAnsi" w:cstheme="minorHAnsi"/>
                <w:sz w:val="20"/>
                <w:szCs w:val="20"/>
              </w:rPr>
            </w:pPr>
          </w:p>
        </w:tc>
        <w:tc>
          <w:tcPr>
            <w:tcW w:w="1278" w:type="dxa"/>
          </w:tcPr>
          <w:p w14:paraId="7ADC3668" w14:textId="60A2C3B7" w:rsidR="00CC6911" w:rsidRPr="00305C2B" w:rsidRDefault="001C2E3F" w:rsidP="001C2E3F">
            <w:pPr>
              <w:tabs>
                <w:tab w:val="left" w:pos="1080"/>
              </w:tabs>
              <w:rPr>
                <w:rFonts w:asciiTheme="minorHAnsi" w:hAnsiTheme="minorHAnsi" w:cstheme="minorHAnsi"/>
                <w:sz w:val="20"/>
                <w:szCs w:val="20"/>
              </w:rPr>
            </w:pPr>
            <w:r w:rsidRPr="00305C2B">
              <w:rPr>
                <w:rFonts w:asciiTheme="minorHAnsi" w:hAnsiTheme="minorHAnsi" w:cstheme="minorHAnsi"/>
                <w:sz w:val="20"/>
                <w:szCs w:val="20"/>
              </w:rPr>
              <w:t>Completed</w:t>
            </w:r>
          </w:p>
        </w:tc>
      </w:tr>
      <w:tr w:rsidR="00CC6911" w:rsidRPr="00305C2B" w14:paraId="4F4885DB" w14:textId="77777777" w:rsidTr="00C517BE">
        <w:tblPrEx>
          <w:tblBorders>
            <w:insideH w:val="single" w:sz="4" w:space="0" w:color="auto"/>
            <w:insideV w:val="single" w:sz="4" w:space="0" w:color="auto"/>
          </w:tblBorders>
        </w:tblPrEx>
        <w:trPr>
          <w:gridAfter w:val="1"/>
          <w:wAfter w:w="11" w:type="dxa"/>
        </w:trPr>
        <w:tc>
          <w:tcPr>
            <w:tcW w:w="4500" w:type="dxa"/>
          </w:tcPr>
          <w:p w14:paraId="0865B1A3" w14:textId="21C9E881" w:rsidR="00CC6911" w:rsidRPr="00305C2B" w:rsidRDefault="00CC6911" w:rsidP="00890585">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6.2 </w:t>
            </w:r>
            <w:r w:rsidR="00D25FC0" w:rsidRPr="00305C2B">
              <w:rPr>
                <w:rFonts w:asciiTheme="minorHAnsi" w:hAnsiTheme="minorHAnsi" w:cstheme="minorHAnsi"/>
                <w:sz w:val="20"/>
                <w:szCs w:val="20"/>
              </w:rPr>
              <w:t xml:space="preserve">The </w:t>
            </w:r>
            <w:r w:rsidR="00B81DD6">
              <w:rPr>
                <w:rFonts w:asciiTheme="minorHAnsi" w:hAnsiTheme="minorHAnsi" w:cstheme="minorHAnsi"/>
                <w:sz w:val="20"/>
                <w:szCs w:val="20"/>
              </w:rPr>
              <w:t xml:space="preserve">country office </w:t>
            </w:r>
            <w:r w:rsidR="007938ED" w:rsidRPr="00305C2B">
              <w:rPr>
                <w:rFonts w:asciiTheme="minorHAnsi" w:hAnsiTheme="minorHAnsi" w:cstheme="minorHAnsi"/>
                <w:sz w:val="20"/>
                <w:szCs w:val="20"/>
              </w:rPr>
              <w:t xml:space="preserve">will </w:t>
            </w:r>
            <w:r w:rsidR="0090730F">
              <w:rPr>
                <w:rFonts w:asciiTheme="minorHAnsi" w:hAnsiTheme="minorHAnsi" w:cstheme="minorHAnsi"/>
                <w:sz w:val="20"/>
                <w:szCs w:val="20"/>
              </w:rPr>
              <w:t xml:space="preserve">streamline its </w:t>
            </w:r>
            <w:r w:rsidR="007938ED" w:rsidRPr="00305C2B">
              <w:rPr>
                <w:rFonts w:asciiTheme="minorHAnsi" w:hAnsiTheme="minorHAnsi" w:cstheme="minorHAnsi"/>
                <w:sz w:val="20"/>
                <w:szCs w:val="20"/>
              </w:rPr>
              <w:t xml:space="preserve">M&amp;E coordination structures internally and externally to support better data collection, data verification, </w:t>
            </w:r>
            <w:r w:rsidR="007938ED" w:rsidRPr="00305C2B">
              <w:rPr>
                <w:rFonts w:asciiTheme="minorHAnsi" w:hAnsiTheme="minorHAnsi" w:cstheme="minorHAnsi"/>
                <w:sz w:val="20"/>
                <w:szCs w:val="20"/>
              </w:rPr>
              <w:lastRenderedPageBreak/>
              <w:t>results monitoring and reporting</w:t>
            </w:r>
            <w:r w:rsidR="00031DCB" w:rsidRPr="00305C2B">
              <w:rPr>
                <w:rFonts w:asciiTheme="minorHAnsi" w:hAnsiTheme="minorHAnsi" w:cstheme="minorHAnsi"/>
                <w:sz w:val="20"/>
                <w:szCs w:val="20"/>
              </w:rPr>
              <w:t xml:space="preserve">, </w:t>
            </w:r>
            <w:r w:rsidR="00131FC0" w:rsidRPr="00305C2B">
              <w:rPr>
                <w:rFonts w:asciiTheme="minorHAnsi" w:hAnsiTheme="minorHAnsi" w:cstheme="minorHAnsi"/>
                <w:sz w:val="20"/>
                <w:szCs w:val="20"/>
              </w:rPr>
              <w:t>knowledge management and accountability</w:t>
            </w:r>
            <w:r w:rsidR="00B81DD6">
              <w:rPr>
                <w:rFonts w:asciiTheme="minorHAnsi" w:hAnsiTheme="minorHAnsi" w:cstheme="minorHAnsi"/>
                <w:sz w:val="20"/>
                <w:szCs w:val="20"/>
              </w:rPr>
              <w:t>.</w:t>
            </w:r>
          </w:p>
        </w:tc>
        <w:tc>
          <w:tcPr>
            <w:tcW w:w="1350" w:type="dxa"/>
          </w:tcPr>
          <w:p w14:paraId="405C7E7A" w14:textId="5B98FA75" w:rsidR="00CC6911" w:rsidRPr="00305C2B" w:rsidRDefault="00890585" w:rsidP="00890585">
            <w:pPr>
              <w:tabs>
                <w:tab w:val="left" w:pos="1080"/>
              </w:tabs>
              <w:rPr>
                <w:rFonts w:asciiTheme="minorHAnsi" w:hAnsiTheme="minorHAnsi" w:cstheme="minorHAnsi"/>
                <w:sz w:val="20"/>
                <w:szCs w:val="20"/>
              </w:rPr>
            </w:pPr>
            <w:r w:rsidRPr="00305C2B">
              <w:rPr>
                <w:rFonts w:asciiTheme="minorHAnsi" w:hAnsiTheme="minorHAnsi" w:cstheme="minorHAnsi"/>
                <w:sz w:val="20"/>
                <w:szCs w:val="20"/>
              </w:rPr>
              <w:lastRenderedPageBreak/>
              <w:t>Dec 2022</w:t>
            </w:r>
          </w:p>
        </w:tc>
        <w:tc>
          <w:tcPr>
            <w:tcW w:w="1260" w:type="dxa"/>
          </w:tcPr>
          <w:p w14:paraId="376CD401" w14:textId="79084EDF" w:rsidR="00CC6911" w:rsidRPr="00305C2B" w:rsidRDefault="00402F3B" w:rsidP="00402F3B">
            <w:pPr>
              <w:tabs>
                <w:tab w:val="left" w:pos="1080"/>
              </w:tabs>
              <w:rPr>
                <w:rFonts w:asciiTheme="minorHAnsi" w:hAnsiTheme="minorHAnsi" w:cstheme="minorHAnsi"/>
                <w:sz w:val="20"/>
                <w:szCs w:val="20"/>
              </w:rPr>
            </w:pPr>
            <w:r w:rsidRPr="00305C2B">
              <w:rPr>
                <w:rFonts w:asciiTheme="minorHAnsi" w:hAnsiTheme="minorHAnsi" w:cstheme="minorHAnsi"/>
                <w:sz w:val="20"/>
                <w:szCs w:val="20"/>
              </w:rPr>
              <w:t>PMSU</w:t>
            </w:r>
            <w:r w:rsidR="00B81DD6">
              <w:rPr>
                <w:rFonts w:asciiTheme="minorHAnsi" w:hAnsiTheme="minorHAnsi" w:cstheme="minorHAnsi"/>
                <w:sz w:val="20"/>
                <w:szCs w:val="20"/>
              </w:rPr>
              <w:t xml:space="preserve">/CRE and OE Clusters </w:t>
            </w:r>
          </w:p>
        </w:tc>
        <w:tc>
          <w:tcPr>
            <w:tcW w:w="5940" w:type="dxa"/>
          </w:tcPr>
          <w:p w14:paraId="53481F7D" w14:textId="14862463" w:rsidR="00CC6911" w:rsidRDefault="00062507" w:rsidP="00847638">
            <w:pPr>
              <w:spacing w:line="259" w:lineRule="auto"/>
              <w:contextualSpacing/>
              <w:jc w:val="both"/>
              <w:rPr>
                <w:rFonts w:asciiTheme="minorHAnsi" w:hAnsiTheme="minorHAnsi" w:cstheme="minorHAnsi"/>
                <w:sz w:val="20"/>
                <w:szCs w:val="20"/>
              </w:rPr>
            </w:pPr>
            <w:r w:rsidRPr="00305C2B">
              <w:rPr>
                <w:rFonts w:asciiTheme="minorHAnsi" w:eastAsiaTheme="minorHAnsi" w:hAnsiTheme="minorHAnsi" w:cstheme="minorHAnsi"/>
                <w:sz w:val="20"/>
                <w:szCs w:val="20"/>
              </w:rPr>
              <w:t xml:space="preserve">Internally, a </w:t>
            </w:r>
            <w:r w:rsidR="00B81DD6">
              <w:rPr>
                <w:rFonts w:asciiTheme="minorHAnsi" w:eastAsiaTheme="minorHAnsi" w:hAnsiTheme="minorHAnsi" w:cstheme="minorHAnsi"/>
                <w:sz w:val="20"/>
                <w:szCs w:val="20"/>
              </w:rPr>
              <w:t xml:space="preserve">country office </w:t>
            </w:r>
            <w:r w:rsidRPr="00305C2B">
              <w:rPr>
                <w:rFonts w:asciiTheme="minorHAnsi" w:eastAsiaTheme="minorHAnsi" w:hAnsiTheme="minorHAnsi" w:cstheme="minorHAnsi"/>
                <w:sz w:val="20"/>
                <w:szCs w:val="20"/>
              </w:rPr>
              <w:t xml:space="preserve">M&amp;E hub will be </w:t>
            </w:r>
            <w:r w:rsidR="00B81DD6" w:rsidRPr="00305C2B">
              <w:rPr>
                <w:rFonts w:asciiTheme="minorHAnsi" w:eastAsiaTheme="minorHAnsi" w:hAnsiTheme="minorHAnsi" w:cstheme="minorHAnsi"/>
                <w:sz w:val="20"/>
                <w:szCs w:val="20"/>
              </w:rPr>
              <w:t>formalized</w:t>
            </w:r>
            <w:r w:rsidRPr="00305C2B">
              <w:rPr>
                <w:rFonts w:asciiTheme="minorHAnsi" w:eastAsiaTheme="minorHAnsi" w:hAnsiTheme="minorHAnsi" w:cstheme="minorHAnsi"/>
                <w:sz w:val="20"/>
                <w:szCs w:val="20"/>
              </w:rPr>
              <w:t xml:space="preserve"> to</w:t>
            </w:r>
            <w:r w:rsidR="000D502F" w:rsidRPr="00305C2B">
              <w:rPr>
                <w:rFonts w:asciiTheme="minorHAnsi" w:eastAsiaTheme="minorHAnsi" w:hAnsiTheme="minorHAnsi" w:cstheme="minorHAnsi"/>
                <w:sz w:val="20"/>
                <w:szCs w:val="20"/>
              </w:rPr>
              <w:t xml:space="preserve"> f</w:t>
            </w:r>
            <w:r w:rsidRPr="00305C2B">
              <w:rPr>
                <w:rFonts w:asciiTheme="minorHAnsi" w:eastAsiaTheme="minorHAnsi" w:hAnsiTheme="minorHAnsi" w:cstheme="minorHAnsi"/>
                <w:sz w:val="20"/>
                <w:szCs w:val="20"/>
              </w:rPr>
              <w:t>acilitate constant monitoring</w:t>
            </w:r>
            <w:r w:rsidR="00B45B9E" w:rsidRPr="00305C2B">
              <w:rPr>
                <w:rFonts w:asciiTheme="minorHAnsi" w:eastAsiaTheme="minorHAnsi" w:hAnsiTheme="minorHAnsi" w:cstheme="minorHAnsi"/>
                <w:sz w:val="20"/>
                <w:szCs w:val="20"/>
              </w:rPr>
              <w:t xml:space="preserve"> and reporting on the progress on</w:t>
            </w:r>
            <w:r w:rsidR="00545C9E" w:rsidRPr="00305C2B">
              <w:rPr>
                <w:rFonts w:asciiTheme="minorHAnsi" w:eastAsiaTheme="minorHAnsi" w:hAnsiTheme="minorHAnsi" w:cstheme="minorHAnsi"/>
                <w:sz w:val="20"/>
                <w:szCs w:val="20"/>
              </w:rPr>
              <w:t xml:space="preserve"> </w:t>
            </w:r>
            <w:r w:rsidR="00B81DD6">
              <w:rPr>
                <w:rFonts w:asciiTheme="minorHAnsi" w:eastAsiaTheme="minorHAnsi" w:hAnsiTheme="minorHAnsi" w:cstheme="minorHAnsi"/>
                <w:sz w:val="20"/>
                <w:szCs w:val="20"/>
              </w:rPr>
              <w:t xml:space="preserve">the </w:t>
            </w:r>
            <w:r w:rsidRPr="00305C2B">
              <w:rPr>
                <w:rFonts w:asciiTheme="minorHAnsi" w:eastAsiaTheme="minorHAnsi" w:hAnsiTheme="minorHAnsi" w:cstheme="minorHAnsi"/>
                <w:sz w:val="20"/>
                <w:szCs w:val="20"/>
              </w:rPr>
              <w:t>CPD</w:t>
            </w:r>
            <w:r w:rsidR="00545C9E" w:rsidRPr="00305C2B">
              <w:rPr>
                <w:rFonts w:asciiTheme="minorHAnsi" w:eastAsiaTheme="minorHAnsi" w:hAnsiTheme="minorHAnsi" w:cstheme="minorHAnsi"/>
                <w:sz w:val="20"/>
                <w:szCs w:val="20"/>
              </w:rPr>
              <w:t xml:space="preserve"> IRRF. </w:t>
            </w:r>
            <w:r w:rsidR="002F5DEE" w:rsidRPr="00305C2B">
              <w:rPr>
                <w:rFonts w:asciiTheme="minorHAnsi" w:eastAsiaTheme="minorHAnsi" w:hAnsiTheme="minorHAnsi" w:cstheme="minorHAnsi"/>
                <w:sz w:val="20"/>
                <w:szCs w:val="20"/>
              </w:rPr>
              <w:t xml:space="preserve">Externally, </w:t>
            </w:r>
            <w:r w:rsidR="002477B0" w:rsidRPr="00305C2B">
              <w:rPr>
                <w:rFonts w:asciiTheme="minorHAnsi" w:hAnsiTheme="minorHAnsi" w:cstheme="minorHAnsi"/>
                <w:sz w:val="20"/>
                <w:szCs w:val="20"/>
              </w:rPr>
              <w:t>j</w:t>
            </w:r>
            <w:r w:rsidR="00843318" w:rsidRPr="00305C2B">
              <w:rPr>
                <w:rFonts w:asciiTheme="minorHAnsi" w:hAnsiTheme="minorHAnsi" w:cstheme="minorHAnsi"/>
                <w:sz w:val="20"/>
                <w:szCs w:val="20"/>
              </w:rPr>
              <w:t>oint</w:t>
            </w:r>
            <w:r w:rsidR="004F4C9C" w:rsidRPr="00305C2B">
              <w:rPr>
                <w:rFonts w:asciiTheme="minorHAnsi" w:hAnsiTheme="minorHAnsi" w:cstheme="minorHAnsi"/>
                <w:sz w:val="20"/>
                <w:szCs w:val="20"/>
              </w:rPr>
              <w:t xml:space="preserve"> programming</w:t>
            </w:r>
            <w:r w:rsidR="002477B0" w:rsidRPr="00305C2B">
              <w:rPr>
                <w:rFonts w:asciiTheme="minorHAnsi" w:hAnsiTheme="minorHAnsi" w:cstheme="minorHAnsi"/>
                <w:sz w:val="20"/>
                <w:szCs w:val="20"/>
              </w:rPr>
              <w:t xml:space="preserve"> with other </w:t>
            </w:r>
            <w:r w:rsidR="00843318" w:rsidRPr="00305C2B">
              <w:rPr>
                <w:rFonts w:asciiTheme="minorHAnsi" w:hAnsiTheme="minorHAnsi" w:cstheme="minorHAnsi"/>
                <w:sz w:val="20"/>
                <w:szCs w:val="20"/>
              </w:rPr>
              <w:t xml:space="preserve">agencies will be </w:t>
            </w:r>
            <w:r w:rsidR="00B81DD6" w:rsidRPr="00305C2B">
              <w:rPr>
                <w:rFonts w:asciiTheme="minorHAnsi" w:hAnsiTheme="minorHAnsi" w:cstheme="minorHAnsi"/>
                <w:sz w:val="20"/>
                <w:szCs w:val="20"/>
              </w:rPr>
              <w:t>prioritized</w:t>
            </w:r>
            <w:r w:rsidR="00843318" w:rsidRPr="00305C2B">
              <w:rPr>
                <w:rFonts w:asciiTheme="minorHAnsi" w:hAnsiTheme="minorHAnsi" w:cstheme="minorHAnsi"/>
                <w:sz w:val="20"/>
                <w:szCs w:val="20"/>
              </w:rPr>
              <w:t xml:space="preserve"> </w:t>
            </w:r>
            <w:r w:rsidR="004F4C9C" w:rsidRPr="00305C2B">
              <w:rPr>
                <w:rFonts w:asciiTheme="minorHAnsi" w:hAnsiTheme="minorHAnsi" w:cstheme="minorHAnsi"/>
                <w:sz w:val="20"/>
                <w:szCs w:val="20"/>
              </w:rPr>
              <w:t xml:space="preserve">to </w:t>
            </w:r>
            <w:r w:rsidR="00843318" w:rsidRPr="00305C2B">
              <w:rPr>
                <w:rFonts w:asciiTheme="minorHAnsi" w:hAnsiTheme="minorHAnsi" w:cstheme="minorHAnsi"/>
                <w:sz w:val="20"/>
                <w:szCs w:val="20"/>
              </w:rPr>
              <w:lastRenderedPageBreak/>
              <w:t>strengthen data collection and verification,</w:t>
            </w:r>
            <w:r w:rsidR="000D502F" w:rsidRPr="00305C2B">
              <w:rPr>
                <w:rFonts w:asciiTheme="minorHAnsi" w:hAnsiTheme="minorHAnsi" w:cstheme="minorHAnsi"/>
                <w:sz w:val="20"/>
                <w:szCs w:val="20"/>
              </w:rPr>
              <w:t xml:space="preserve"> </w:t>
            </w:r>
            <w:r w:rsidR="00843318" w:rsidRPr="00305C2B">
              <w:rPr>
                <w:rFonts w:asciiTheme="minorHAnsi" w:hAnsiTheme="minorHAnsi" w:cstheme="minorHAnsi"/>
                <w:sz w:val="20"/>
                <w:szCs w:val="20"/>
              </w:rPr>
              <w:t>annual outcome level performance reviews with government and national partners and use the data to inform polic</w:t>
            </w:r>
            <w:r w:rsidR="000D5B7E" w:rsidRPr="00305C2B">
              <w:rPr>
                <w:rFonts w:asciiTheme="minorHAnsi" w:hAnsiTheme="minorHAnsi" w:cstheme="minorHAnsi"/>
                <w:sz w:val="20"/>
                <w:szCs w:val="20"/>
              </w:rPr>
              <w:t xml:space="preserve">y, </w:t>
            </w:r>
            <w:r w:rsidR="00843318" w:rsidRPr="00305C2B">
              <w:rPr>
                <w:rFonts w:asciiTheme="minorHAnsi" w:hAnsiTheme="minorHAnsi" w:cstheme="minorHAnsi"/>
                <w:sz w:val="20"/>
                <w:szCs w:val="20"/>
              </w:rPr>
              <w:t>strategic decisions</w:t>
            </w:r>
            <w:r w:rsidR="000D5B7E" w:rsidRPr="00305C2B">
              <w:rPr>
                <w:rFonts w:asciiTheme="minorHAnsi" w:hAnsiTheme="minorHAnsi" w:cstheme="minorHAnsi"/>
                <w:sz w:val="20"/>
                <w:szCs w:val="20"/>
              </w:rPr>
              <w:t>, accountability and knowledge management.</w:t>
            </w:r>
          </w:p>
          <w:p w14:paraId="650E015A" w14:textId="34343E55" w:rsidR="00C517BE" w:rsidRPr="00305C2B" w:rsidRDefault="00C517BE" w:rsidP="00847638">
            <w:pPr>
              <w:spacing w:line="259" w:lineRule="auto"/>
              <w:contextualSpacing/>
              <w:jc w:val="both"/>
              <w:rPr>
                <w:rFonts w:asciiTheme="minorHAnsi" w:hAnsiTheme="minorHAnsi" w:cstheme="minorHAnsi"/>
                <w:sz w:val="20"/>
                <w:szCs w:val="20"/>
              </w:rPr>
            </w:pPr>
          </w:p>
        </w:tc>
        <w:tc>
          <w:tcPr>
            <w:tcW w:w="1278" w:type="dxa"/>
          </w:tcPr>
          <w:p w14:paraId="6556D57A" w14:textId="42B6F70F" w:rsidR="00CC6911" w:rsidRPr="00305C2B" w:rsidRDefault="00160482" w:rsidP="00402F3B">
            <w:pPr>
              <w:tabs>
                <w:tab w:val="left" w:pos="1080"/>
              </w:tabs>
              <w:rPr>
                <w:rFonts w:asciiTheme="minorHAnsi" w:hAnsiTheme="minorHAnsi" w:cstheme="minorHAnsi"/>
                <w:sz w:val="20"/>
                <w:szCs w:val="20"/>
              </w:rPr>
            </w:pPr>
            <w:r w:rsidRPr="00305C2B">
              <w:rPr>
                <w:rFonts w:asciiTheme="minorHAnsi" w:hAnsiTheme="minorHAnsi" w:cstheme="minorHAnsi"/>
                <w:sz w:val="20"/>
                <w:szCs w:val="20"/>
              </w:rPr>
              <w:lastRenderedPageBreak/>
              <w:t>I</w:t>
            </w:r>
            <w:r w:rsidR="00402F3B" w:rsidRPr="00305C2B">
              <w:rPr>
                <w:rFonts w:asciiTheme="minorHAnsi" w:hAnsiTheme="minorHAnsi" w:cstheme="minorHAnsi"/>
                <w:sz w:val="20"/>
                <w:szCs w:val="20"/>
              </w:rPr>
              <w:t>nitiated</w:t>
            </w:r>
          </w:p>
        </w:tc>
      </w:tr>
      <w:tr w:rsidR="00CC6911" w:rsidRPr="00305C2B" w14:paraId="2C02C5B4" w14:textId="77777777" w:rsidTr="00A7763E">
        <w:tblPrEx>
          <w:tblBorders>
            <w:insideH w:val="single" w:sz="4" w:space="0" w:color="auto"/>
            <w:insideV w:val="single" w:sz="4" w:space="0" w:color="auto"/>
          </w:tblBorders>
        </w:tblPrEx>
        <w:tc>
          <w:tcPr>
            <w:tcW w:w="14339" w:type="dxa"/>
            <w:gridSpan w:val="6"/>
            <w:shd w:val="clear" w:color="auto" w:fill="CCFFFF"/>
          </w:tcPr>
          <w:p w14:paraId="2A8C421D" w14:textId="77777777" w:rsidR="00CC6911" w:rsidRPr="00305C2B" w:rsidRDefault="00CC6911" w:rsidP="00CC6911">
            <w:pPr>
              <w:tabs>
                <w:tab w:val="left" w:pos="1080"/>
              </w:tabs>
              <w:ind w:left="360"/>
              <w:rPr>
                <w:rFonts w:asciiTheme="minorHAnsi" w:hAnsiTheme="minorHAnsi" w:cstheme="minorHAnsi"/>
                <w:b/>
                <w:sz w:val="20"/>
                <w:szCs w:val="20"/>
              </w:rPr>
            </w:pPr>
          </w:p>
          <w:p w14:paraId="0B687AB1" w14:textId="2BC86B8A"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Recommendation 7. UNDP should set more realistic resource mobili</w:t>
            </w:r>
            <w:r w:rsidR="00B75961" w:rsidRPr="00305C2B">
              <w:rPr>
                <w:rFonts w:asciiTheme="minorHAnsi" w:hAnsiTheme="minorHAnsi" w:cstheme="minorHAnsi"/>
                <w:b/>
                <w:sz w:val="20"/>
                <w:szCs w:val="20"/>
              </w:rPr>
              <w:t>s</w:t>
            </w:r>
            <w:r w:rsidRPr="00305C2B">
              <w:rPr>
                <w:rFonts w:asciiTheme="minorHAnsi" w:hAnsiTheme="minorHAnsi" w:cstheme="minorHAnsi"/>
                <w:b/>
                <w:sz w:val="20"/>
                <w:szCs w:val="20"/>
              </w:rPr>
              <w:t>ation targets and establish contingency plans which document how project activities are scaled down or redesigned in cases of resource shortfalls. Projects should also improve their approach to budgeting and disbursement.</w:t>
            </w:r>
          </w:p>
          <w:p w14:paraId="61D10D94" w14:textId="1082F7C8" w:rsidR="00CC6911" w:rsidRPr="00305C2B" w:rsidRDefault="00CC6911" w:rsidP="00CC6911">
            <w:pPr>
              <w:tabs>
                <w:tab w:val="left" w:pos="1080"/>
              </w:tabs>
              <w:rPr>
                <w:rFonts w:asciiTheme="minorHAnsi" w:hAnsiTheme="minorHAnsi" w:cstheme="minorHAnsi"/>
                <w:sz w:val="20"/>
                <w:szCs w:val="20"/>
              </w:rPr>
            </w:pPr>
          </w:p>
        </w:tc>
      </w:tr>
      <w:tr w:rsidR="00CC6911" w:rsidRPr="00305C2B" w14:paraId="3CBA646B" w14:textId="77777777" w:rsidTr="00A7763E">
        <w:tblPrEx>
          <w:tblBorders>
            <w:insideH w:val="single" w:sz="4" w:space="0" w:color="auto"/>
            <w:insideV w:val="single" w:sz="4" w:space="0" w:color="auto"/>
          </w:tblBorders>
        </w:tblPrEx>
        <w:tc>
          <w:tcPr>
            <w:tcW w:w="14339" w:type="dxa"/>
            <w:gridSpan w:val="6"/>
            <w:shd w:val="clear" w:color="auto" w:fill="CCFFFF"/>
          </w:tcPr>
          <w:p w14:paraId="71895623" w14:textId="71561A0E" w:rsidR="00CC6911" w:rsidRPr="00305C2B" w:rsidRDefault="00CC6911" w:rsidP="00E74CCA">
            <w:pPr>
              <w:rPr>
                <w:rFonts w:asciiTheme="minorHAnsi" w:hAnsiTheme="minorHAnsi" w:cstheme="minorHAnsi"/>
                <w:b/>
                <w:sz w:val="20"/>
                <w:szCs w:val="20"/>
              </w:rPr>
            </w:pPr>
            <w:r w:rsidRPr="00305C2B">
              <w:rPr>
                <w:rFonts w:asciiTheme="minorHAnsi" w:hAnsiTheme="minorHAnsi" w:cstheme="minorHAnsi"/>
                <w:b/>
                <w:sz w:val="20"/>
                <w:szCs w:val="20"/>
              </w:rPr>
              <w:t xml:space="preserve">Management response: Fully Accept. </w:t>
            </w:r>
          </w:p>
        </w:tc>
      </w:tr>
      <w:tr w:rsidR="00CC6911" w:rsidRPr="00305C2B" w14:paraId="1E9A46FC"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55AB2ADF"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22988A3A" w14:textId="77777777" w:rsidR="00CC6911" w:rsidRPr="00305C2B" w:rsidRDefault="00CC6911" w:rsidP="00E330D6">
            <w:pPr>
              <w:tabs>
                <w:tab w:val="left" w:pos="1080"/>
              </w:tabs>
              <w:ind w:left="347" w:hanging="180"/>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50FB850C"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5C2BFD1E"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692A8E83"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1FA1F848" w14:textId="77777777" w:rsidR="00CC6911" w:rsidRPr="00305C2B" w:rsidRDefault="00CC6911" w:rsidP="00CC6911">
            <w:pPr>
              <w:tabs>
                <w:tab w:val="left" w:pos="1080"/>
              </w:tabs>
              <w:ind w:left="360"/>
              <w:rPr>
                <w:rFonts w:asciiTheme="minorHAnsi" w:hAnsiTheme="minorHAnsi" w:cstheme="minorHAnsi"/>
                <w:sz w:val="20"/>
                <w:szCs w:val="20"/>
              </w:rPr>
            </w:pPr>
          </w:p>
        </w:tc>
        <w:tc>
          <w:tcPr>
            <w:tcW w:w="1350" w:type="dxa"/>
            <w:vMerge/>
            <w:shd w:val="clear" w:color="auto" w:fill="F3F3F3"/>
          </w:tcPr>
          <w:p w14:paraId="23BEA79E" w14:textId="77777777" w:rsidR="00CC6911" w:rsidRPr="00305C2B" w:rsidRDefault="00CC6911" w:rsidP="00CC6911">
            <w:pPr>
              <w:tabs>
                <w:tab w:val="left" w:pos="1080"/>
              </w:tabs>
              <w:ind w:left="360"/>
              <w:rPr>
                <w:rFonts w:asciiTheme="minorHAnsi" w:hAnsiTheme="minorHAnsi" w:cstheme="minorHAnsi"/>
                <w:b/>
                <w:sz w:val="20"/>
                <w:szCs w:val="20"/>
              </w:rPr>
            </w:pPr>
          </w:p>
        </w:tc>
        <w:tc>
          <w:tcPr>
            <w:tcW w:w="1260" w:type="dxa"/>
            <w:vMerge/>
            <w:shd w:val="clear" w:color="auto" w:fill="F3F3F3"/>
          </w:tcPr>
          <w:p w14:paraId="64311A7C" w14:textId="77777777" w:rsidR="00CC6911" w:rsidRPr="00305C2B" w:rsidRDefault="00CC6911" w:rsidP="00CC6911">
            <w:pPr>
              <w:tabs>
                <w:tab w:val="left" w:pos="1080"/>
              </w:tabs>
              <w:ind w:left="360"/>
              <w:rPr>
                <w:rFonts w:asciiTheme="minorHAnsi" w:hAnsiTheme="minorHAnsi" w:cstheme="minorHAnsi"/>
                <w:b/>
                <w:sz w:val="20"/>
                <w:szCs w:val="20"/>
              </w:rPr>
            </w:pPr>
          </w:p>
        </w:tc>
        <w:tc>
          <w:tcPr>
            <w:tcW w:w="5940" w:type="dxa"/>
          </w:tcPr>
          <w:p w14:paraId="4AD1E8D4"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71DDE86D" w14:textId="5D860649" w:rsidR="00CC6911" w:rsidRPr="00305C2B" w:rsidRDefault="00CC6911" w:rsidP="00CC6911">
            <w:pPr>
              <w:rPr>
                <w:rFonts w:asciiTheme="minorHAnsi" w:hAnsiTheme="minorHAnsi" w:cstheme="minorHAnsi"/>
                <w:b/>
                <w:sz w:val="20"/>
                <w:szCs w:val="20"/>
              </w:rPr>
            </w:pPr>
            <w:r w:rsidRPr="00305C2B">
              <w:rPr>
                <w:rFonts w:asciiTheme="minorHAnsi" w:hAnsiTheme="minorHAnsi" w:cstheme="minorHAnsi"/>
                <w:b/>
                <w:sz w:val="20"/>
                <w:szCs w:val="20"/>
              </w:rPr>
              <w:t>Status</w:t>
            </w:r>
          </w:p>
        </w:tc>
      </w:tr>
      <w:tr w:rsidR="00CC6911" w:rsidRPr="00305C2B" w14:paraId="1C9124AA" w14:textId="77777777" w:rsidTr="00C517BE">
        <w:tblPrEx>
          <w:tblBorders>
            <w:insideH w:val="single" w:sz="4" w:space="0" w:color="auto"/>
            <w:insideV w:val="single" w:sz="4" w:space="0" w:color="auto"/>
          </w:tblBorders>
        </w:tblPrEx>
        <w:trPr>
          <w:gridAfter w:val="1"/>
          <w:wAfter w:w="11" w:type="dxa"/>
        </w:trPr>
        <w:tc>
          <w:tcPr>
            <w:tcW w:w="4500" w:type="dxa"/>
          </w:tcPr>
          <w:p w14:paraId="20AA2D9B" w14:textId="0CF9ECE5" w:rsidR="00CC6911" w:rsidRPr="00305C2B" w:rsidRDefault="00CC6911" w:rsidP="00CC6911">
            <w:pPr>
              <w:tabs>
                <w:tab w:val="left" w:pos="1080"/>
              </w:tabs>
              <w:rPr>
                <w:rFonts w:asciiTheme="minorHAnsi" w:hAnsiTheme="minorHAnsi" w:cstheme="minorHAnsi"/>
                <w:sz w:val="20"/>
                <w:szCs w:val="20"/>
              </w:rPr>
            </w:pPr>
            <w:r w:rsidRPr="00305C2B">
              <w:rPr>
                <w:rFonts w:asciiTheme="minorHAnsi" w:hAnsiTheme="minorHAnsi" w:cstheme="minorHAnsi"/>
                <w:sz w:val="20"/>
                <w:szCs w:val="20"/>
              </w:rPr>
              <w:t xml:space="preserve">7.1 </w:t>
            </w:r>
            <w:r w:rsidR="002B01AB">
              <w:rPr>
                <w:rFonts w:asciiTheme="minorHAnsi" w:hAnsiTheme="minorHAnsi" w:cstheme="minorHAnsi"/>
                <w:sz w:val="20"/>
                <w:szCs w:val="20"/>
              </w:rPr>
              <w:t xml:space="preserve">The </w:t>
            </w:r>
            <w:r w:rsidR="00B81DD6">
              <w:rPr>
                <w:rFonts w:asciiTheme="minorHAnsi" w:hAnsiTheme="minorHAnsi" w:cstheme="minorHAnsi"/>
                <w:sz w:val="20"/>
                <w:szCs w:val="20"/>
              </w:rPr>
              <w:t>c</w:t>
            </w:r>
            <w:r w:rsidR="002B01AB">
              <w:rPr>
                <w:rFonts w:asciiTheme="minorHAnsi" w:hAnsiTheme="minorHAnsi" w:cstheme="minorHAnsi"/>
                <w:sz w:val="20"/>
                <w:szCs w:val="20"/>
              </w:rPr>
              <w:t xml:space="preserve">ountry </w:t>
            </w:r>
            <w:r w:rsidR="00B81DD6">
              <w:rPr>
                <w:rFonts w:asciiTheme="minorHAnsi" w:hAnsiTheme="minorHAnsi" w:cstheme="minorHAnsi"/>
                <w:sz w:val="20"/>
                <w:szCs w:val="20"/>
              </w:rPr>
              <w:t>o</w:t>
            </w:r>
            <w:r w:rsidR="002B01AB">
              <w:rPr>
                <w:rFonts w:asciiTheme="minorHAnsi" w:hAnsiTheme="minorHAnsi" w:cstheme="minorHAnsi"/>
                <w:sz w:val="20"/>
                <w:szCs w:val="20"/>
              </w:rPr>
              <w:t xml:space="preserve">ffice has rationalized its </w:t>
            </w:r>
            <w:r w:rsidR="00B81DD6">
              <w:rPr>
                <w:rFonts w:asciiTheme="minorHAnsi" w:hAnsiTheme="minorHAnsi" w:cstheme="minorHAnsi"/>
                <w:sz w:val="20"/>
                <w:szCs w:val="20"/>
              </w:rPr>
              <w:t>r</w:t>
            </w:r>
            <w:r w:rsidR="002B01AB">
              <w:rPr>
                <w:rFonts w:asciiTheme="minorHAnsi" w:hAnsiTheme="minorHAnsi" w:cstheme="minorHAnsi"/>
                <w:sz w:val="20"/>
                <w:szCs w:val="20"/>
              </w:rPr>
              <w:t xml:space="preserve">esource </w:t>
            </w:r>
            <w:r w:rsidR="00B81DD6">
              <w:rPr>
                <w:rFonts w:asciiTheme="minorHAnsi" w:hAnsiTheme="minorHAnsi" w:cstheme="minorHAnsi"/>
                <w:sz w:val="20"/>
                <w:szCs w:val="20"/>
              </w:rPr>
              <w:t>t</w:t>
            </w:r>
            <w:r w:rsidR="002B01AB">
              <w:rPr>
                <w:rFonts w:asciiTheme="minorHAnsi" w:hAnsiTheme="minorHAnsi" w:cstheme="minorHAnsi"/>
                <w:sz w:val="20"/>
                <w:szCs w:val="20"/>
              </w:rPr>
              <w:t xml:space="preserve">argets under the new CPD </w:t>
            </w:r>
            <w:r w:rsidR="00BF01D3">
              <w:rPr>
                <w:rFonts w:asciiTheme="minorHAnsi" w:hAnsiTheme="minorHAnsi" w:cstheme="minorHAnsi"/>
                <w:sz w:val="20"/>
                <w:szCs w:val="20"/>
              </w:rPr>
              <w:t xml:space="preserve">2022-2026 </w:t>
            </w:r>
            <w:r w:rsidR="002B01AB">
              <w:rPr>
                <w:rFonts w:asciiTheme="minorHAnsi" w:hAnsiTheme="minorHAnsi" w:cstheme="minorHAnsi"/>
                <w:sz w:val="20"/>
                <w:szCs w:val="20"/>
              </w:rPr>
              <w:t xml:space="preserve">to $120m to </w:t>
            </w:r>
            <w:r w:rsidR="006658E4">
              <w:rPr>
                <w:rFonts w:asciiTheme="minorHAnsi" w:hAnsiTheme="minorHAnsi" w:cstheme="minorHAnsi"/>
                <w:sz w:val="20"/>
                <w:szCs w:val="20"/>
              </w:rPr>
              <w:t xml:space="preserve">address shifting donor priorities and Kenya’s elevation to </w:t>
            </w:r>
            <w:r w:rsidR="00BF01D3">
              <w:rPr>
                <w:rFonts w:asciiTheme="minorHAnsi" w:hAnsiTheme="minorHAnsi" w:cstheme="minorHAnsi"/>
                <w:sz w:val="20"/>
                <w:szCs w:val="20"/>
              </w:rPr>
              <w:t>a</w:t>
            </w:r>
            <w:r w:rsidR="006658E4">
              <w:rPr>
                <w:rFonts w:asciiTheme="minorHAnsi" w:hAnsiTheme="minorHAnsi" w:cstheme="minorHAnsi"/>
                <w:sz w:val="20"/>
                <w:szCs w:val="20"/>
              </w:rPr>
              <w:t xml:space="preserve"> lower middle income country. </w:t>
            </w:r>
            <w:r w:rsidR="00BF01D3">
              <w:rPr>
                <w:rFonts w:asciiTheme="minorHAnsi" w:hAnsiTheme="minorHAnsi" w:cstheme="minorHAnsi"/>
                <w:sz w:val="20"/>
                <w:szCs w:val="20"/>
              </w:rPr>
              <w:t xml:space="preserve">The country office </w:t>
            </w:r>
            <w:r w:rsidR="00433070">
              <w:rPr>
                <w:rFonts w:asciiTheme="minorHAnsi" w:hAnsiTheme="minorHAnsi" w:cstheme="minorHAnsi"/>
                <w:sz w:val="20"/>
                <w:szCs w:val="20"/>
              </w:rPr>
              <w:t xml:space="preserve">will </w:t>
            </w:r>
            <w:r w:rsidR="00BE3625">
              <w:rPr>
                <w:rFonts w:asciiTheme="minorHAnsi" w:hAnsiTheme="minorHAnsi" w:cstheme="minorHAnsi"/>
                <w:sz w:val="20"/>
                <w:szCs w:val="20"/>
              </w:rPr>
              <w:t xml:space="preserve">elaborate its </w:t>
            </w:r>
            <w:r w:rsidRPr="00305C2B">
              <w:rPr>
                <w:rFonts w:asciiTheme="minorHAnsi" w:hAnsiTheme="minorHAnsi" w:cstheme="minorHAnsi"/>
                <w:sz w:val="20"/>
                <w:szCs w:val="20"/>
              </w:rPr>
              <w:t xml:space="preserve">Partnership &amp; Resource Mobilization plan </w:t>
            </w:r>
            <w:r w:rsidR="00D43616">
              <w:rPr>
                <w:rFonts w:asciiTheme="minorHAnsi" w:hAnsiTheme="minorHAnsi" w:cstheme="minorHAnsi"/>
                <w:sz w:val="20"/>
                <w:szCs w:val="20"/>
              </w:rPr>
              <w:t xml:space="preserve">including contingency plans for scaled </w:t>
            </w:r>
            <w:r w:rsidR="00126A67">
              <w:rPr>
                <w:rFonts w:asciiTheme="minorHAnsi" w:hAnsiTheme="minorHAnsi" w:cstheme="minorHAnsi"/>
                <w:sz w:val="20"/>
                <w:szCs w:val="20"/>
              </w:rPr>
              <w:t xml:space="preserve">project </w:t>
            </w:r>
            <w:r w:rsidR="00D43616">
              <w:rPr>
                <w:rFonts w:asciiTheme="minorHAnsi" w:hAnsiTheme="minorHAnsi" w:cstheme="minorHAnsi"/>
                <w:sz w:val="20"/>
                <w:szCs w:val="20"/>
              </w:rPr>
              <w:t>funding levels.</w:t>
            </w:r>
          </w:p>
        </w:tc>
        <w:tc>
          <w:tcPr>
            <w:tcW w:w="1350" w:type="dxa"/>
          </w:tcPr>
          <w:p w14:paraId="3BA44A02" w14:textId="5669A974" w:rsidR="00CC6911" w:rsidRPr="00305C2B" w:rsidRDefault="00CC6911" w:rsidP="00CC6911">
            <w:pPr>
              <w:tabs>
                <w:tab w:val="left" w:pos="1080"/>
              </w:tabs>
              <w:rPr>
                <w:rFonts w:asciiTheme="minorHAnsi" w:hAnsiTheme="minorHAnsi" w:cstheme="minorHAnsi"/>
                <w:sz w:val="20"/>
                <w:szCs w:val="20"/>
              </w:rPr>
            </w:pPr>
            <w:r w:rsidRPr="00305C2B">
              <w:rPr>
                <w:rFonts w:asciiTheme="minorHAnsi" w:hAnsiTheme="minorHAnsi" w:cstheme="minorHAnsi"/>
                <w:sz w:val="20"/>
                <w:szCs w:val="20"/>
              </w:rPr>
              <w:t>Dec 2022</w:t>
            </w:r>
          </w:p>
        </w:tc>
        <w:tc>
          <w:tcPr>
            <w:tcW w:w="1260" w:type="dxa"/>
          </w:tcPr>
          <w:p w14:paraId="28B7F922" w14:textId="1CF1A16B" w:rsidR="00CC6911" w:rsidRPr="00305C2B" w:rsidRDefault="00CC6911" w:rsidP="00CC6911">
            <w:pPr>
              <w:tabs>
                <w:tab w:val="left" w:pos="1080"/>
              </w:tabs>
              <w:rPr>
                <w:rFonts w:asciiTheme="minorHAnsi" w:hAnsiTheme="minorHAnsi" w:cstheme="minorHAnsi"/>
                <w:sz w:val="20"/>
                <w:szCs w:val="20"/>
              </w:rPr>
            </w:pPr>
            <w:r w:rsidRPr="00305C2B">
              <w:rPr>
                <w:rFonts w:asciiTheme="minorHAnsi" w:hAnsiTheme="minorHAnsi" w:cstheme="minorHAnsi"/>
                <w:sz w:val="20"/>
                <w:szCs w:val="20"/>
              </w:rPr>
              <w:t>PMSU, SMT</w:t>
            </w:r>
            <w:r w:rsidR="00D43616">
              <w:rPr>
                <w:rFonts w:asciiTheme="minorHAnsi" w:hAnsiTheme="minorHAnsi" w:cstheme="minorHAnsi"/>
                <w:sz w:val="20"/>
                <w:szCs w:val="20"/>
              </w:rPr>
              <w:t>, GIG, ERU</w:t>
            </w:r>
          </w:p>
        </w:tc>
        <w:tc>
          <w:tcPr>
            <w:tcW w:w="5940" w:type="dxa"/>
          </w:tcPr>
          <w:p w14:paraId="34DD4EFD" w14:textId="28A0274C" w:rsidR="00CC6911" w:rsidRPr="00305C2B" w:rsidRDefault="00B81DD6" w:rsidP="00EC7DFC">
            <w:pPr>
              <w:tabs>
                <w:tab w:val="left" w:pos="1080"/>
              </w:tabs>
              <w:rPr>
                <w:rFonts w:asciiTheme="minorHAnsi" w:hAnsiTheme="minorHAnsi" w:cstheme="minorHAnsi"/>
                <w:sz w:val="20"/>
                <w:szCs w:val="20"/>
              </w:rPr>
            </w:pPr>
            <w:r>
              <w:rPr>
                <w:rFonts w:asciiTheme="minorHAnsi" w:hAnsiTheme="minorHAnsi" w:cstheme="minorHAnsi"/>
                <w:sz w:val="20"/>
                <w:szCs w:val="20"/>
              </w:rPr>
              <w:t>The country office has noted the 2021 Management Audit recommendations and incorporated more realistic targeting within its new CPD 2022-2026 to be presented to the June 2022 Executive Board.</w:t>
            </w:r>
          </w:p>
        </w:tc>
        <w:tc>
          <w:tcPr>
            <w:tcW w:w="1278" w:type="dxa"/>
          </w:tcPr>
          <w:p w14:paraId="292C1E3F" w14:textId="0CC804D0" w:rsidR="00CC6911" w:rsidRPr="00305C2B" w:rsidRDefault="00B81DD6" w:rsidP="00CC6911">
            <w:pPr>
              <w:tabs>
                <w:tab w:val="left" w:pos="1080"/>
              </w:tabs>
              <w:rPr>
                <w:rFonts w:asciiTheme="minorHAnsi" w:hAnsiTheme="minorHAnsi" w:cstheme="minorHAnsi"/>
                <w:sz w:val="20"/>
                <w:szCs w:val="20"/>
              </w:rPr>
            </w:pPr>
            <w:r>
              <w:rPr>
                <w:rFonts w:asciiTheme="minorHAnsi" w:hAnsiTheme="minorHAnsi" w:cstheme="minorHAnsi"/>
                <w:sz w:val="20"/>
                <w:szCs w:val="20"/>
              </w:rPr>
              <w:t>Initiated</w:t>
            </w:r>
          </w:p>
        </w:tc>
      </w:tr>
      <w:tr w:rsidR="00CC6911" w:rsidRPr="00305C2B" w14:paraId="1236C7F5" w14:textId="77777777" w:rsidTr="00A7763E">
        <w:tblPrEx>
          <w:tblBorders>
            <w:insideH w:val="single" w:sz="4" w:space="0" w:color="auto"/>
            <w:insideV w:val="single" w:sz="4" w:space="0" w:color="auto"/>
          </w:tblBorders>
        </w:tblPrEx>
        <w:tc>
          <w:tcPr>
            <w:tcW w:w="14339" w:type="dxa"/>
            <w:gridSpan w:val="6"/>
            <w:shd w:val="clear" w:color="auto" w:fill="CCFFFF"/>
          </w:tcPr>
          <w:p w14:paraId="380A89A7" w14:textId="77777777" w:rsidR="00CC6911" w:rsidRPr="00305C2B" w:rsidRDefault="00CC6911" w:rsidP="00CC6911">
            <w:pPr>
              <w:tabs>
                <w:tab w:val="left" w:pos="1080"/>
              </w:tabs>
              <w:ind w:left="360"/>
              <w:rPr>
                <w:rFonts w:asciiTheme="minorHAnsi" w:hAnsiTheme="minorHAnsi" w:cstheme="minorHAnsi"/>
                <w:b/>
                <w:sz w:val="20"/>
                <w:szCs w:val="20"/>
              </w:rPr>
            </w:pPr>
          </w:p>
          <w:p w14:paraId="074F97CD" w14:textId="76A87EC5"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Recommendation 8. UNDP’s programs should improve the way they address Gender issues by improving baseline gender analysis and introducing measures to promote empowerment and equal decision making.</w:t>
            </w:r>
          </w:p>
          <w:p w14:paraId="137F3591" w14:textId="77777777" w:rsidR="00CC6911" w:rsidRPr="00305C2B" w:rsidRDefault="00CC6911" w:rsidP="00CC6911">
            <w:pPr>
              <w:tabs>
                <w:tab w:val="left" w:pos="1080"/>
              </w:tabs>
              <w:rPr>
                <w:rFonts w:asciiTheme="minorHAnsi" w:hAnsiTheme="minorHAnsi" w:cstheme="minorHAnsi"/>
                <w:sz w:val="20"/>
                <w:szCs w:val="20"/>
              </w:rPr>
            </w:pPr>
          </w:p>
        </w:tc>
      </w:tr>
      <w:tr w:rsidR="00CC6911" w:rsidRPr="00305C2B" w14:paraId="5EE5D27A" w14:textId="77777777" w:rsidTr="00A7763E">
        <w:tblPrEx>
          <w:tblBorders>
            <w:insideH w:val="single" w:sz="4" w:space="0" w:color="auto"/>
            <w:insideV w:val="single" w:sz="4" w:space="0" w:color="auto"/>
          </w:tblBorders>
        </w:tblPrEx>
        <w:tc>
          <w:tcPr>
            <w:tcW w:w="14339" w:type="dxa"/>
            <w:gridSpan w:val="6"/>
            <w:shd w:val="clear" w:color="auto" w:fill="CCFFFF"/>
          </w:tcPr>
          <w:p w14:paraId="5AA1B208" w14:textId="47F7B593" w:rsidR="00CC6911" w:rsidRPr="00305C2B" w:rsidRDefault="00CC6911" w:rsidP="00CC6911">
            <w:pPr>
              <w:tabs>
                <w:tab w:val="left" w:pos="1080"/>
              </w:tabs>
              <w:rPr>
                <w:rFonts w:asciiTheme="minorHAnsi" w:hAnsiTheme="minorHAnsi" w:cstheme="minorHAnsi"/>
                <w:b/>
                <w:sz w:val="20"/>
                <w:szCs w:val="20"/>
              </w:rPr>
            </w:pPr>
            <w:r w:rsidRPr="00305C2B">
              <w:rPr>
                <w:rFonts w:asciiTheme="minorHAnsi" w:hAnsiTheme="minorHAnsi" w:cstheme="minorHAnsi"/>
                <w:b/>
                <w:sz w:val="20"/>
                <w:szCs w:val="20"/>
              </w:rPr>
              <w:t xml:space="preserve">Management response: </w:t>
            </w:r>
            <w:r w:rsidR="00E74CCA" w:rsidRPr="00305C2B">
              <w:rPr>
                <w:rFonts w:asciiTheme="minorHAnsi" w:hAnsiTheme="minorHAnsi" w:cstheme="minorHAnsi"/>
                <w:b/>
                <w:sz w:val="20"/>
                <w:szCs w:val="20"/>
              </w:rPr>
              <w:t>Fully accept</w:t>
            </w:r>
          </w:p>
          <w:p w14:paraId="0837C74F" w14:textId="77777777" w:rsidR="00CC6911" w:rsidRPr="00305C2B" w:rsidRDefault="00CC6911" w:rsidP="00CC6911">
            <w:pPr>
              <w:tabs>
                <w:tab w:val="left" w:pos="1080"/>
              </w:tabs>
              <w:ind w:left="360"/>
              <w:rPr>
                <w:rFonts w:asciiTheme="minorHAnsi" w:hAnsiTheme="minorHAnsi" w:cstheme="minorHAnsi"/>
                <w:b/>
                <w:sz w:val="20"/>
                <w:szCs w:val="20"/>
              </w:rPr>
            </w:pPr>
          </w:p>
        </w:tc>
      </w:tr>
      <w:tr w:rsidR="00CC6911" w:rsidRPr="00305C2B" w14:paraId="23E3F309" w14:textId="77777777" w:rsidTr="00C517BE">
        <w:tblPrEx>
          <w:tblBorders>
            <w:insideH w:val="single" w:sz="4" w:space="0" w:color="auto"/>
            <w:insideV w:val="single" w:sz="4" w:space="0" w:color="auto"/>
          </w:tblBorders>
        </w:tblPrEx>
        <w:trPr>
          <w:gridAfter w:val="1"/>
          <w:wAfter w:w="11" w:type="dxa"/>
          <w:trHeight w:val="135"/>
        </w:trPr>
        <w:tc>
          <w:tcPr>
            <w:tcW w:w="4500" w:type="dxa"/>
            <w:vMerge w:val="restart"/>
            <w:shd w:val="clear" w:color="auto" w:fill="CCFFFF"/>
          </w:tcPr>
          <w:p w14:paraId="31C875AD"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Key action(s)</w:t>
            </w:r>
          </w:p>
        </w:tc>
        <w:tc>
          <w:tcPr>
            <w:tcW w:w="1350" w:type="dxa"/>
            <w:vMerge w:val="restart"/>
            <w:shd w:val="clear" w:color="auto" w:fill="CCFFFF"/>
          </w:tcPr>
          <w:p w14:paraId="72574224" w14:textId="77777777" w:rsidR="00CC6911" w:rsidRPr="00305C2B" w:rsidRDefault="00CC6911" w:rsidP="00E330D6">
            <w:pPr>
              <w:tabs>
                <w:tab w:val="left" w:pos="1080"/>
              </w:tabs>
              <w:ind w:left="360" w:hanging="193"/>
              <w:rPr>
                <w:rFonts w:asciiTheme="minorHAnsi" w:hAnsiTheme="minorHAnsi" w:cstheme="minorHAnsi"/>
                <w:b/>
                <w:sz w:val="20"/>
                <w:szCs w:val="20"/>
              </w:rPr>
            </w:pPr>
            <w:r w:rsidRPr="00305C2B">
              <w:rPr>
                <w:rFonts w:asciiTheme="minorHAnsi" w:hAnsiTheme="minorHAnsi" w:cstheme="minorHAnsi"/>
                <w:b/>
                <w:sz w:val="20"/>
                <w:szCs w:val="20"/>
              </w:rPr>
              <w:t>Completion date</w:t>
            </w:r>
          </w:p>
        </w:tc>
        <w:tc>
          <w:tcPr>
            <w:tcW w:w="1260" w:type="dxa"/>
            <w:vMerge w:val="restart"/>
            <w:shd w:val="clear" w:color="auto" w:fill="CCFFFF"/>
          </w:tcPr>
          <w:p w14:paraId="1891462F"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Responsible unit(s)</w:t>
            </w:r>
          </w:p>
        </w:tc>
        <w:tc>
          <w:tcPr>
            <w:tcW w:w="7218" w:type="dxa"/>
            <w:gridSpan w:val="2"/>
            <w:shd w:val="clear" w:color="auto" w:fill="CCFFFF"/>
          </w:tcPr>
          <w:p w14:paraId="183E2A28"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Tracking</w:t>
            </w:r>
          </w:p>
        </w:tc>
      </w:tr>
      <w:tr w:rsidR="00CC6911" w:rsidRPr="00305C2B" w14:paraId="0053BA83" w14:textId="77777777" w:rsidTr="00C517BE">
        <w:tblPrEx>
          <w:tblBorders>
            <w:insideH w:val="single" w:sz="4" w:space="0" w:color="auto"/>
            <w:insideV w:val="single" w:sz="4" w:space="0" w:color="auto"/>
          </w:tblBorders>
        </w:tblPrEx>
        <w:trPr>
          <w:gridAfter w:val="1"/>
          <w:wAfter w:w="11" w:type="dxa"/>
          <w:trHeight w:val="135"/>
        </w:trPr>
        <w:tc>
          <w:tcPr>
            <w:tcW w:w="4500" w:type="dxa"/>
            <w:vMerge/>
            <w:shd w:val="clear" w:color="auto" w:fill="F3F3F3"/>
          </w:tcPr>
          <w:p w14:paraId="7AEF6414" w14:textId="77777777" w:rsidR="00CC6911" w:rsidRPr="00305C2B" w:rsidRDefault="00CC6911" w:rsidP="00CC6911">
            <w:pPr>
              <w:tabs>
                <w:tab w:val="left" w:pos="1080"/>
              </w:tabs>
              <w:ind w:left="360"/>
              <w:rPr>
                <w:rFonts w:asciiTheme="minorHAnsi" w:hAnsiTheme="minorHAnsi" w:cstheme="minorHAnsi"/>
                <w:sz w:val="20"/>
                <w:szCs w:val="20"/>
              </w:rPr>
            </w:pPr>
          </w:p>
        </w:tc>
        <w:tc>
          <w:tcPr>
            <w:tcW w:w="1350" w:type="dxa"/>
            <w:vMerge/>
            <w:shd w:val="clear" w:color="auto" w:fill="F3F3F3"/>
          </w:tcPr>
          <w:p w14:paraId="4CDF3BDD" w14:textId="77777777" w:rsidR="00CC6911" w:rsidRPr="00305C2B" w:rsidRDefault="00CC6911" w:rsidP="00CC6911">
            <w:pPr>
              <w:tabs>
                <w:tab w:val="left" w:pos="1080"/>
              </w:tabs>
              <w:ind w:left="360"/>
              <w:rPr>
                <w:rFonts w:asciiTheme="minorHAnsi" w:hAnsiTheme="minorHAnsi" w:cstheme="minorHAnsi"/>
                <w:b/>
                <w:sz w:val="20"/>
                <w:szCs w:val="20"/>
              </w:rPr>
            </w:pPr>
          </w:p>
        </w:tc>
        <w:tc>
          <w:tcPr>
            <w:tcW w:w="1260" w:type="dxa"/>
            <w:vMerge/>
            <w:shd w:val="clear" w:color="auto" w:fill="F3F3F3"/>
          </w:tcPr>
          <w:p w14:paraId="2B087D01" w14:textId="77777777" w:rsidR="00CC6911" w:rsidRPr="00305C2B" w:rsidRDefault="00CC6911" w:rsidP="00CC6911">
            <w:pPr>
              <w:tabs>
                <w:tab w:val="left" w:pos="1080"/>
              </w:tabs>
              <w:ind w:left="360"/>
              <w:rPr>
                <w:rFonts w:asciiTheme="minorHAnsi" w:hAnsiTheme="minorHAnsi" w:cstheme="minorHAnsi"/>
                <w:b/>
                <w:sz w:val="20"/>
                <w:szCs w:val="20"/>
              </w:rPr>
            </w:pPr>
          </w:p>
        </w:tc>
        <w:tc>
          <w:tcPr>
            <w:tcW w:w="5940" w:type="dxa"/>
          </w:tcPr>
          <w:p w14:paraId="7FB06288" w14:textId="77777777" w:rsidR="00CC6911" w:rsidRPr="00305C2B" w:rsidRDefault="00CC6911" w:rsidP="00CC6911">
            <w:pPr>
              <w:tabs>
                <w:tab w:val="left" w:pos="1080"/>
              </w:tabs>
              <w:ind w:left="360"/>
              <w:rPr>
                <w:rFonts w:asciiTheme="minorHAnsi" w:hAnsiTheme="minorHAnsi" w:cstheme="minorHAnsi"/>
                <w:b/>
                <w:sz w:val="20"/>
                <w:szCs w:val="20"/>
              </w:rPr>
            </w:pPr>
            <w:r w:rsidRPr="00305C2B">
              <w:rPr>
                <w:rFonts w:asciiTheme="minorHAnsi" w:hAnsiTheme="minorHAnsi" w:cstheme="minorHAnsi"/>
                <w:b/>
                <w:sz w:val="20"/>
                <w:szCs w:val="20"/>
              </w:rPr>
              <w:t>Comments</w:t>
            </w:r>
          </w:p>
        </w:tc>
        <w:tc>
          <w:tcPr>
            <w:tcW w:w="1278" w:type="dxa"/>
          </w:tcPr>
          <w:p w14:paraId="2CC0ED13" w14:textId="584C3199" w:rsidR="00CC6911" w:rsidRPr="00305C2B" w:rsidRDefault="00CC6911" w:rsidP="00CC6911">
            <w:pPr>
              <w:rPr>
                <w:rFonts w:asciiTheme="minorHAnsi" w:hAnsiTheme="minorHAnsi" w:cstheme="minorHAnsi"/>
                <w:b/>
                <w:sz w:val="20"/>
                <w:szCs w:val="20"/>
              </w:rPr>
            </w:pPr>
            <w:r w:rsidRPr="00305C2B">
              <w:rPr>
                <w:rFonts w:asciiTheme="minorHAnsi" w:hAnsiTheme="minorHAnsi" w:cstheme="minorHAnsi"/>
                <w:b/>
                <w:sz w:val="20"/>
                <w:szCs w:val="20"/>
              </w:rPr>
              <w:t xml:space="preserve">Status </w:t>
            </w:r>
          </w:p>
        </w:tc>
      </w:tr>
      <w:tr w:rsidR="00151207" w:rsidRPr="00305C2B" w14:paraId="4F104C69" w14:textId="77777777" w:rsidTr="00C517BE">
        <w:tblPrEx>
          <w:tblBorders>
            <w:insideH w:val="single" w:sz="4" w:space="0" w:color="auto"/>
            <w:insideV w:val="single" w:sz="4" w:space="0" w:color="auto"/>
          </w:tblBorders>
        </w:tblPrEx>
        <w:trPr>
          <w:gridAfter w:val="1"/>
          <w:wAfter w:w="11" w:type="dxa"/>
        </w:trPr>
        <w:tc>
          <w:tcPr>
            <w:tcW w:w="4500" w:type="dxa"/>
          </w:tcPr>
          <w:p w14:paraId="008B5600" w14:textId="507589AB" w:rsidR="00781B78" w:rsidRDefault="00151207" w:rsidP="00A115F3">
            <w:pPr>
              <w:rPr>
                <w:rFonts w:asciiTheme="minorHAnsi" w:hAnsiTheme="minorHAnsi" w:cstheme="minorHAnsi"/>
                <w:sz w:val="20"/>
                <w:szCs w:val="20"/>
              </w:rPr>
            </w:pPr>
            <w:r w:rsidRPr="00A115F3">
              <w:rPr>
                <w:rFonts w:asciiTheme="minorHAnsi" w:hAnsiTheme="minorHAnsi" w:cstheme="minorHAnsi"/>
                <w:sz w:val="20"/>
                <w:szCs w:val="20"/>
              </w:rPr>
              <w:t>8.</w:t>
            </w:r>
            <w:r w:rsidR="00182AB9" w:rsidRPr="00A115F3">
              <w:rPr>
                <w:rFonts w:asciiTheme="minorHAnsi" w:hAnsiTheme="minorHAnsi" w:cstheme="minorHAnsi"/>
                <w:sz w:val="20"/>
                <w:szCs w:val="20"/>
              </w:rPr>
              <w:t>1</w:t>
            </w:r>
            <w:r w:rsidRPr="00A115F3">
              <w:rPr>
                <w:rFonts w:asciiTheme="minorHAnsi" w:hAnsiTheme="minorHAnsi" w:cstheme="minorHAnsi"/>
                <w:sz w:val="20"/>
                <w:szCs w:val="20"/>
              </w:rPr>
              <w:t xml:space="preserve"> </w:t>
            </w:r>
            <w:r w:rsidR="007F7146">
              <w:rPr>
                <w:rFonts w:asciiTheme="minorHAnsi" w:hAnsiTheme="minorHAnsi" w:cstheme="minorHAnsi"/>
                <w:sz w:val="20"/>
                <w:szCs w:val="20"/>
              </w:rPr>
              <w:t xml:space="preserve">The </w:t>
            </w:r>
            <w:r w:rsidR="00B81DD6">
              <w:rPr>
                <w:rFonts w:asciiTheme="minorHAnsi" w:hAnsiTheme="minorHAnsi" w:cstheme="minorHAnsi"/>
                <w:sz w:val="20"/>
                <w:szCs w:val="20"/>
              </w:rPr>
              <w:t>c</w:t>
            </w:r>
            <w:r w:rsidR="007F7146">
              <w:rPr>
                <w:rFonts w:asciiTheme="minorHAnsi" w:hAnsiTheme="minorHAnsi" w:cstheme="minorHAnsi"/>
                <w:sz w:val="20"/>
                <w:szCs w:val="20"/>
              </w:rPr>
              <w:t xml:space="preserve">ountry </w:t>
            </w:r>
            <w:r w:rsidR="00B81DD6">
              <w:rPr>
                <w:rFonts w:asciiTheme="minorHAnsi" w:hAnsiTheme="minorHAnsi" w:cstheme="minorHAnsi"/>
                <w:sz w:val="20"/>
                <w:szCs w:val="20"/>
              </w:rPr>
              <w:t>o</w:t>
            </w:r>
            <w:r w:rsidR="007F7146">
              <w:rPr>
                <w:rFonts w:asciiTheme="minorHAnsi" w:hAnsiTheme="minorHAnsi" w:cstheme="minorHAnsi"/>
                <w:sz w:val="20"/>
                <w:szCs w:val="20"/>
              </w:rPr>
              <w:t xml:space="preserve">ffice incorporated critical inputs </w:t>
            </w:r>
            <w:r w:rsidR="00B81DD6">
              <w:rPr>
                <w:rFonts w:asciiTheme="minorHAnsi" w:hAnsiTheme="minorHAnsi" w:cstheme="minorHAnsi"/>
                <w:sz w:val="20"/>
                <w:szCs w:val="20"/>
              </w:rPr>
              <w:t xml:space="preserve">from </w:t>
            </w:r>
            <w:r w:rsidR="00D4672E">
              <w:rPr>
                <w:rFonts w:asciiTheme="minorHAnsi" w:hAnsiTheme="minorHAnsi" w:cstheme="minorHAnsi"/>
                <w:sz w:val="20"/>
                <w:szCs w:val="20"/>
              </w:rPr>
              <w:t>its Gender Working Group as well as the RBA’s gender team ensurin</w:t>
            </w:r>
            <w:r w:rsidR="00411EC1">
              <w:rPr>
                <w:rFonts w:asciiTheme="minorHAnsi" w:hAnsiTheme="minorHAnsi" w:cstheme="minorHAnsi"/>
                <w:sz w:val="20"/>
                <w:szCs w:val="20"/>
              </w:rPr>
              <w:t>g adequate analysis</w:t>
            </w:r>
            <w:r w:rsidR="00B658C4">
              <w:rPr>
                <w:rFonts w:asciiTheme="minorHAnsi" w:hAnsiTheme="minorHAnsi" w:cstheme="minorHAnsi"/>
                <w:sz w:val="20"/>
                <w:szCs w:val="20"/>
              </w:rPr>
              <w:t xml:space="preserve"> and consultations on gender transformative programming.  </w:t>
            </w:r>
            <w:r w:rsidR="00CA6350">
              <w:rPr>
                <w:rFonts w:asciiTheme="minorHAnsi" w:hAnsiTheme="minorHAnsi" w:cstheme="minorHAnsi"/>
                <w:sz w:val="20"/>
                <w:szCs w:val="20"/>
              </w:rPr>
              <w:t xml:space="preserve"> </w:t>
            </w:r>
            <w:r w:rsidR="00F87216">
              <w:rPr>
                <w:rFonts w:asciiTheme="minorHAnsi" w:hAnsiTheme="minorHAnsi" w:cstheme="minorHAnsi"/>
                <w:sz w:val="20"/>
                <w:szCs w:val="20"/>
              </w:rPr>
              <w:t xml:space="preserve">To </w:t>
            </w:r>
            <w:r w:rsidR="00A92804">
              <w:rPr>
                <w:rFonts w:asciiTheme="minorHAnsi" w:hAnsiTheme="minorHAnsi" w:cstheme="minorHAnsi"/>
                <w:sz w:val="20"/>
                <w:szCs w:val="20"/>
              </w:rPr>
              <w:t>effectively</w:t>
            </w:r>
            <w:r w:rsidR="00781B78">
              <w:rPr>
                <w:rFonts w:asciiTheme="minorHAnsi" w:hAnsiTheme="minorHAnsi" w:cstheme="minorHAnsi"/>
                <w:sz w:val="20"/>
                <w:szCs w:val="20"/>
              </w:rPr>
              <w:t xml:space="preserve"> implement this, the</w:t>
            </w:r>
            <w:r w:rsidR="00B81DD6">
              <w:rPr>
                <w:rFonts w:asciiTheme="minorHAnsi" w:hAnsiTheme="minorHAnsi" w:cstheme="minorHAnsi"/>
                <w:sz w:val="20"/>
                <w:szCs w:val="20"/>
              </w:rPr>
              <w:t xml:space="preserve"> country office</w:t>
            </w:r>
            <w:r w:rsidR="00781B78">
              <w:rPr>
                <w:rFonts w:asciiTheme="minorHAnsi" w:hAnsiTheme="minorHAnsi" w:cstheme="minorHAnsi"/>
                <w:sz w:val="20"/>
                <w:szCs w:val="20"/>
              </w:rPr>
              <w:t xml:space="preserve"> wi</w:t>
            </w:r>
            <w:r w:rsidR="00CA6350">
              <w:rPr>
                <w:rFonts w:asciiTheme="minorHAnsi" w:hAnsiTheme="minorHAnsi" w:cstheme="minorHAnsi"/>
                <w:sz w:val="20"/>
                <w:szCs w:val="20"/>
              </w:rPr>
              <w:t xml:space="preserve">ll </w:t>
            </w:r>
            <w:r w:rsidR="00F87216">
              <w:rPr>
                <w:rFonts w:asciiTheme="minorHAnsi" w:hAnsiTheme="minorHAnsi" w:cstheme="minorHAnsi"/>
                <w:sz w:val="20"/>
                <w:szCs w:val="20"/>
              </w:rPr>
              <w:t xml:space="preserve">develop </w:t>
            </w:r>
            <w:r w:rsidR="00EC7FCD">
              <w:rPr>
                <w:rFonts w:asciiTheme="minorHAnsi" w:hAnsiTheme="minorHAnsi" w:cstheme="minorHAnsi"/>
                <w:sz w:val="20"/>
                <w:szCs w:val="20"/>
              </w:rPr>
              <w:t xml:space="preserve">a new gender strategy </w:t>
            </w:r>
            <w:r w:rsidR="00F87216">
              <w:rPr>
                <w:rFonts w:asciiTheme="minorHAnsi" w:hAnsiTheme="minorHAnsi" w:cstheme="minorHAnsi"/>
                <w:sz w:val="20"/>
                <w:szCs w:val="20"/>
              </w:rPr>
              <w:t xml:space="preserve">and implement its </w:t>
            </w:r>
            <w:r w:rsidR="00781B78">
              <w:rPr>
                <w:rFonts w:asciiTheme="minorHAnsi" w:hAnsiTheme="minorHAnsi" w:cstheme="minorHAnsi"/>
                <w:sz w:val="20"/>
                <w:szCs w:val="20"/>
              </w:rPr>
              <w:t>gender seal action plan</w:t>
            </w:r>
            <w:r w:rsidR="00722609">
              <w:rPr>
                <w:rFonts w:asciiTheme="minorHAnsi" w:hAnsiTheme="minorHAnsi" w:cstheme="minorHAnsi"/>
                <w:sz w:val="20"/>
                <w:szCs w:val="20"/>
              </w:rPr>
              <w:t xml:space="preserve"> to guide its </w:t>
            </w:r>
            <w:r w:rsidR="00BE4FD1">
              <w:rPr>
                <w:rFonts w:asciiTheme="minorHAnsi" w:hAnsiTheme="minorHAnsi" w:cstheme="minorHAnsi"/>
                <w:sz w:val="20"/>
                <w:szCs w:val="20"/>
              </w:rPr>
              <w:t xml:space="preserve">collective </w:t>
            </w:r>
            <w:r w:rsidR="00722609">
              <w:rPr>
                <w:rFonts w:asciiTheme="minorHAnsi" w:hAnsiTheme="minorHAnsi" w:cstheme="minorHAnsi"/>
                <w:sz w:val="20"/>
                <w:szCs w:val="20"/>
              </w:rPr>
              <w:t>gender related activities</w:t>
            </w:r>
            <w:r w:rsidR="002338B2">
              <w:rPr>
                <w:rFonts w:asciiTheme="minorHAnsi" w:hAnsiTheme="minorHAnsi" w:cstheme="minorHAnsi"/>
                <w:sz w:val="20"/>
                <w:szCs w:val="20"/>
              </w:rPr>
              <w:t xml:space="preserve"> through a more transformative approach</w:t>
            </w:r>
            <w:r w:rsidR="00722609">
              <w:rPr>
                <w:rFonts w:asciiTheme="minorHAnsi" w:hAnsiTheme="minorHAnsi" w:cstheme="minorHAnsi"/>
                <w:sz w:val="20"/>
                <w:szCs w:val="20"/>
              </w:rPr>
              <w:t>.</w:t>
            </w:r>
          </w:p>
          <w:p w14:paraId="123BB087" w14:textId="6EBEA30A" w:rsidR="00151207" w:rsidRPr="00305C2B" w:rsidRDefault="00151207" w:rsidP="00722609">
            <w:pPr>
              <w:rPr>
                <w:rFonts w:asciiTheme="minorHAnsi" w:hAnsiTheme="minorHAnsi" w:cstheme="minorHAnsi"/>
                <w:sz w:val="20"/>
                <w:szCs w:val="20"/>
              </w:rPr>
            </w:pPr>
          </w:p>
        </w:tc>
        <w:tc>
          <w:tcPr>
            <w:tcW w:w="1350" w:type="dxa"/>
          </w:tcPr>
          <w:p w14:paraId="16EFEF9B" w14:textId="4DFF482B" w:rsidR="00151207" w:rsidRPr="00305C2B" w:rsidRDefault="00CA6350" w:rsidP="00151207">
            <w:pPr>
              <w:tabs>
                <w:tab w:val="left" w:pos="1080"/>
              </w:tabs>
              <w:rPr>
                <w:rFonts w:asciiTheme="minorHAnsi" w:hAnsiTheme="minorHAnsi" w:cstheme="minorHAnsi"/>
                <w:sz w:val="20"/>
                <w:szCs w:val="20"/>
              </w:rPr>
            </w:pPr>
            <w:r>
              <w:rPr>
                <w:rFonts w:asciiTheme="minorHAnsi" w:hAnsiTheme="minorHAnsi" w:cstheme="minorHAnsi"/>
                <w:sz w:val="20"/>
                <w:szCs w:val="20"/>
              </w:rPr>
              <w:t>Dec</w:t>
            </w:r>
            <w:r w:rsidR="00B64DBA" w:rsidRPr="00305C2B">
              <w:rPr>
                <w:rFonts w:asciiTheme="minorHAnsi" w:hAnsiTheme="minorHAnsi" w:cstheme="minorHAnsi"/>
                <w:sz w:val="20"/>
                <w:szCs w:val="20"/>
              </w:rPr>
              <w:t xml:space="preserve"> </w:t>
            </w:r>
            <w:r w:rsidR="000D1761">
              <w:rPr>
                <w:rFonts w:asciiTheme="minorHAnsi" w:hAnsiTheme="minorHAnsi" w:cstheme="minorHAnsi"/>
                <w:sz w:val="20"/>
                <w:szCs w:val="20"/>
              </w:rPr>
              <w:t>20</w:t>
            </w:r>
            <w:r w:rsidR="00B64DBA" w:rsidRPr="00305C2B">
              <w:rPr>
                <w:rFonts w:asciiTheme="minorHAnsi" w:hAnsiTheme="minorHAnsi" w:cstheme="minorHAnsi"/>
                <w:sz w:val="20"/>
                <w:szCs w:val="20"/>
              </w:rPr>
              <w:t>2</w:t>
            </w:r>
            <w:r w:rsidR="00151207" w:rsidRPr="00305C2B">
              <w:rPr>
                <w:rFonts w:asciiTheme="minorHAnsi" w:hAnsiTheme="minorHAnsi" w:cstheme="minorHAnsi"/>
                <w:sz w:val="20"/>
                <w:szCs w:val="20"/>
              </w:rPr>
              <w:t>2</w:t>
            </w:r>
          </w:p>
        </w:tc>
        <w:tc>
          <w:tcPr>
            <w:tcW w:w="1260" w:type="dxa"/>
          </w:tcPr>
          <w:p w14:paraId="0DC7C881" w14:textId="09C4906E" w:rsidR="00151207" w:rsidRPr="00305C2B" w:rsidRDefault="00151207" w:rsidP="00151207">
            <w:pPr>
              <w:tabs>
                <w:tab w:val="left" w:pos="1080"/>
              </w:tabs>
              <w:rPr>
                <w:rFonts w:asciiTheme="minorHAnsi" w:hAnsiTheme="minorHAnsi" w:cstheme="minorHAnsi"/>
                <w:sz w:val="20"/>
                <w:szCs w:val="20"/>
              </w:rPr>
            </w:pPr>
            <w:r w:rsidRPr="00305C2B">
              <w:rPr>
                <w:rFonts w:asciiTheme="minorHAnsi" w:hAnsiTheme="minorHAnsi" w:cstheme="minorHAnsi"/>
                <w:sz w:val="20"/>
                <w:szCs w:val="20"/>
              </w:rPr>
              <w:t>GFT/SMT</w:t>
            </w:r>
          </w:p>
        </w:tc>
        <w:tc>
          <w:tcPr>
            <w:tcW w:w="5940" w:type="dxa"/>
          </w:tcPr>
          <w:p w14:paraId="4463C35F" w14:textId="4A4A1B7A" w:rsidR="00151207" w:rsidRPr="00305C2B" w:rsidRDefault="00CA6350" w:rsidP="005678E3">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The </w:t>
            </w:r>
            <w:r w:rsidR="00B81DD6">
              <w:rPr>
                <w:rFonts w:asciiTheme="minorHAnsi" w:hAnsiTheme="minorHAnsi" w:cstheme="minorHAnsi"/>
                <w:sz w:val="20"/>
                <w:szCs w:val="20"/>
              </w:rPr>
              <w:t>c</w:t>
            </w:r>
            <w:r w:rsidR="00151207" w:rsidRPr="00305C2B">
              <w:rPr>
                <w:rFonts w:asciiTheme="minorHAnsi" w:hAnsiTheme="minorHAnsi" w:cstheme="minorHAnsi"/>
                <w:sz w:val="20"/>
                <w:szCs w:val="20"/>
              </w:rPr>
              <w:t xml:space="preserve">ountry </w:t>
            </w:r>
            <w:r w:rsidR="00B81DD6">
              <w:rPr>
                <w:rFonts w:asciiTheme="minorHAnsi" w:hAnsiTheme="minorHAnsi" w:cstheme="minorHAnsi"/>
                <w:sz w:val="20"/>
                <w:szCs w:val="20"/>
              </w:rPr>
              <w:t>o</w:t>
            </w:r>
            <w:r w:rsidR="00151207" w:rsidRPr="00305C2B">
              <w:rPr>
                <w:rFonts w:asciiTheme="minorHAnsi" w:hAnsiTheme="minorHAnsi" w:cstheme="minorHAnsi"/>
                <w:sz w:val="20"/>
                <w:szCs w:val="20"/>
              </w:rPr>
              <w:t xml:space="preserve">ffice has </w:t>
            </w:r>
            <w:r w:rsidR="00B50C17">
              <w:rPr>
                <w:rFonts w:asciiTheme="minorHAnsi" w:hAnsiTheme="minorHAnsi" w:cstheme="minorHAnsi"/>
                <w:sz w:val="20"/>
                <w:szCs w:val="20"/>
              </w:rPr>
              <w:t xml:space="preserve">commenced the gender seal process and </w:t>
            </w:r>
            <w:r w:rsidR="00B81DD6">
              <w:rPr>
                <w:rFonts w:asciiTheme="minorHAnsi" w:hAnsiTheme="minorHAnsi" w:cstheme="minorHAnsi"/>
                <w:sz w:val="20"/>
                <w:szCs w:val="20"/>
              </w:rPr>
              <w:t>critically reviewed its</w:t>
            </w:r>
            <w:r w:rsidR="00594DD5">
              <w:rPr>
                <w:rFonts w:asciiTheme="minorHAnsi" w:hAnsiTheme="minorHAnsi" w:cstheme="minorHAnsi"/>
                <w:sz w:val="20"/>
                <w:szCs w:val="20"/>
              </w:rPr>
              <w:t xml:space="preserve"> </w:t>
            </w:r>
            <w:r w:rsidR="00B81DD6">
              <w:rPr>
                <w:rFonts w:asciiTheme="minorHAnsi" w:hAnsiTheme="minorHAnsi" w:cstheme="minorHAnsi"/>
                <w:sz w:val="20"/>
                <w:szCs w:val="20"/>
              </w:rPr>
              <w:t>self-assessment for the development of its action plan</w:t>
            </w:r>
            <w:r w:rsidR="002338B2">
              <w:rPr>
                <w:rFonts w:asciiTheme="minorHAnsi" w:hAnsiTheme="minorHAnsi" w:cstheme="minorHAnsi"/>
                <w:sz w:val="20"/>
                <w:szCs w:val="20"/>
              </w:rPr>
              <w:t xml:space="preserve"> and an updated gender strategy</w:t>
            </w:r>
            <w:r w:rsidR="008A67A5">
              <w:rPr>
                <w:rFonts w:asciiTheme="minorHAnsi" w:hAnsiTheme="minorHAnsi" w:cstheme="minorHAnsi"/>
                <w:sz w:val="20"/>
                <w:szCs w:val="20"/>
              </w:rPr>
              <w:t xml:space="preserve"> </w:t>
            </w:r>
            <w:r w:rsidR="002F09C1">
              <w:rPr>
                <w:rFonts w:asciiTheme="minorHAnsi" w:hAnsiTheme="minorHAnsi" w:cstheme="minorHAnsi"/>
                <w:sz w:val="20"/>
                <w:szCs w:val="20"/>
              </w:rPr>
              <w:t>in line</w:t>
            </w:r>
            <w:r w:rsidR="008A67A5">
              <w:rPr>
                <w:rFonts w:asciiTheme="minorHAnsi" w:hAnsiTheme="minorHAnsi" w:cstheme="minorHAnsi"/>
                <w:sz w:val="20"/>
                <w:szCs w:val="20"/>
              </w:rPr>
              <w:t xml:space="preserve"> with the new corporate Gender Strategy</w:t>
            </w:r>
            <w:r w:rsidR="00B81DD6">
              <w:rPr>
                <w:rFonts w:asciiTheme="minorHAnsi" w:hAnsiTheme="minorHAnsi" w:cstheme="minorHAnsi"/>
                <w:sz w:val="20"/>
                <w:szCs w:val="20"/>
              </w:rPr>
              <w:t xml:space="preserve">. </w:t>
            </w:r>
          </w:p>
        </w:tc>
        <w:tc>
          <w:tcPr>
            <w:tcW w:w="1278" w:type="dxa"/>
          </w:tcPr>
          <w:p w14:paraId="424AEA6E" w14:textId="60776F2B" w:rsidR="00151207" w:rsidRPr="00305C2B" w:rsidRDefault="00151207" w:rsidP="00175401">
            <w:pPr>
              <w:tabs>
                <w:tab w:val="left" w:pos="1080"/>
              </w:tabs>
              <w:rPr>
                <w:rFonts w:asciiTheme="minorHAnsi" w:hAnsiTheme="minorHAnsi" w:cstheme="minorHAnsi"/>
                <w:sz w:val="20"/>
                <w:szCs w:val="20"/>
              </w:rPr>
            </w:pPr>
            <w:r w:rsidRPr="00305C2B">
              <w:rPr>
                <w:rFonts w:asciiTheme="minorHAnsi" w:hAnsiTheme="minorHAnsi" w:cstheme="minorHAnsi"/>
                <w:sz w:val="20"/>
                <w:szCs w:val="20"/>
              </w:rPr>
              <w:t>Initiated</w:t>
            </w:r>
          </w:p>
        </w:tc>
      </w:tr>
    </w:tbl>
    <w:bookmarkEnd w:id="0"/>
    <w:p w14:paraId="0827EB0A" w14:textId="77777777" w:rsidR="004B66B9" w:rsidRPr="00305C2B" w:rsidRDefault="004B66B9" w:rsidP="00AE3FD8">
      <w:pPr>
        <w:tabs>
          <w:tab w:val="left" w:pos="1080"/>
        </w:tabs>
        <w:ind w:left="360"/>
        <w:rPr>
          <w:rFonts w:asciiTheme="minorHAnsi" w:hAnsiTheme="minorHAnsi" w:cstheme="minorHAnsi"/>
          <w:sz w:val="20"/>
          <w:szCs w:val="20"/>
        </w:rPr>
      </w:pPr>
      <w:r w:rsidRPr="00305C2B">
        <w:rPr>
          <w:rFonts w:asciiTheme="minorHAnsi" w:hAnsiTheme="minorHAnsi" w:cstheme="minorHAnsi"/>
          <w:sz w:val="20"/>
          <w:szCs w:val="20"/>
          <w:lang w:eastAsia="ja-JP"/>
        </w:rPr>
        <w:t xml:space="preserve">* </w:t>
      </w:r>
      <w:r w:rsidRPr="00305C2B">
        <w:rPr>
          <w:rFonts w:asciiTheme="minorHAnsi" w:hAnsiTheme="minorHAnsi" w:cstheme="minorHAnsi"/>
          <w:sz w:val="20"/>
          <w:szCs w:val="20"/>
        </w:rPr>
        <w:t>Status of implementation is tracked electronically in the Evaluation Resource Centre database (ERC).</w:t>
      </w:r>
    </w:p>
    <w:p w14:paraId="7E709900" w14:textId="77777777" w:rsidR="00EA5555" w:rsidRPr="00305C2B" w:rsidRDefault="00EA5555">
      <w:pPr>
        <w:rPr>
          <w:rFonts w:asciiTheme="minorHAnsi" w:hAnsiTheme="minorHAnsi" w:cstheme="minorHAnsi"/>
          <w:sz w:val="20"/>
          <w:szCs w:val="20"/>
        </w:rPr>
      </w:pPr>
    </w:p>
    <w:sectPr w:rsidR="00EA5555" w:rsidRPr="00305C2B" w:rsidSect="00843CC9">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1F8"/>
    <w:multiLevelType w:val="hybridMultilevel"/>
    <w:tmpl w:val="00D64EB6"/>
    <w:lvl w:ilvl="0" w:tplc="EF10E6E6">
      <w:start w:val="1"/>
      <w:numFmt w:val="decimal"/>
      <w:lvlText w:val="%1."/>
      <w:lvlJc w:val="left"/>
      <w:pPr>
        <w:ind w:left="1987" w:hanging="360"/>
      </w:pPr>
      <w:rPr>
        <w:rFonts w:hint="default"/>
        <w:b w:val="0"/>
        <w:bCs/>
        <w:i w:val="0"/>
        <w:iCs/>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441B7E52"/>
    <w:multiLevelType w:val="hybridMultilevel"/>
    <w:tmpl w:val="C3C2A6D6"/>
    <w:lvl w:ilvl="0" w:tplc="10C49FC8">
      <w:start w:val="1"/>
      <w:numFmt w:val="decimal"/>
      <w:lvlText w:val="%1."/>
      <w:lvlJc w:val="left"/>
      <w:pPr>
        <w:ind w:left="360" w:hanging="360"/>
      </w:pPr>
      <w:rPr>
        <w:rFonts w:asciiTheme="minorHAnsi" w:hAnsiTheme="minorHAnsi" w:cstheme="minorHAns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B1DDA"/>
    <w:multiLevelType w:val="hybridMultilevel"/>
    <w:tmpl w:val="5AF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04E6C"/>
    <w:multiLevelType w:val="hybridMultilevel"/>
    <w:tmpl w:val="88886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C424DF"/>
    <w:multiLevelType w:val="multilevel"/>
    <w:tmpl w:val="4D3A1164"/>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NTUzNTMxM7MwMDJT0lEKTi0uzszPAymwrAUA+wADgywAAAA="/>
  </w:docVars>
  <w:rsids>
    <w:rsidRoot w:val="004B66B9"/>
    <w:rsid w:val="00007008"/>
    <w:rsid w:val="0002265A"/>
    <w:rsid w:val="00031DCB"/>
    <w:rsid w:val="000368A0"/>
    <w:rsid w:val="000521FD"/>
    <w:rsid w:val="00062507"/>
    <w:rsid w:val="00065CE6"/>
    <w:rsid w:val="0007707D"/>
    <w:rsid w:val="000856C1"/>
    <w:rsid w:val="00085C2F"/>
    <w:rsid w:val="00091250"/>
    <w:rsid w:val="00095D21"/>
    <w:rsid w:val="000A67CC"/>
    <w:rsid w:val="000B0C96"/>
    <w:rsid w:val="000B29A2"/>
    <w:rsid w:val="000C4F3C"/>
    <w:rsid w:val="000D1761"/>
    <w:rsid w:val="000D502F"/>
    <w:rsid w:val="000D5B7E"/>
    <w:rsid w:val="000D751A"/>
    <w:rsid w:val="000F31D1"/>
    <w:rsid w:val="000F6AAC"/>
    <w:rsid w:val="00101C88"/>
    <w:rsid w:val="00106C66"/>
    <w:rsid w:val="00107E7E"/>
    <w:rsid w:val="001119B0"/>
    <w:rsid w:val="00126A67"/>
    <w:rsid w:val="00131FC0"/>
    <w:rsid w:val="001374E1"/>
    <w:rsid w:val="0014088A"/>
    <w:rsid w:val="00151207"/>
    <w:rsid w:val="001558DB"/>
    <w:rsid w:val="00160482"/>
    <w:rsid w:val="00160EA1"/>
    <w:rsid w:val="001679A8"/>
    <w:rsid w:val="00175401"/>
    <w:rsid w:val="00175CD8"/>
    <w:rsid w:val="00182AB9"/>
    <w:rsid w:val="001954F2"/>
    <w:rsid w:val="00195C0A"/>
    <w:rsid w:val="001961DA"/>
    <w:rsid w:val="001A2BBE"/>
    <w:rsid w:val="001A2EE0"/>
    <w:rsid w:val="001A7106"/>
    <w:rsid w:val="001C2E3F"/>
    <w:rsid w:val="001C31FD"/>
    <w:rsid w:val="001C3661"/>
    <w:rsid w:val="001C6E4D"/>
    <w:rsid w:val="001D0547"/>
    <w:rsid w:val="001D2FEE"/>
    <w:rsid w:val="001D4D15"/>
    <w:rsid w:val="001D587D"/>
    <w:rsid w:val="00202688"/>
    <w:rsid w:val="00205D73"/>
    <w:rsid w:val="0021286B"/>
    <w:rsid w:val="0021772D"/>
    <w:rsid w:val="00224372"/>
    <w:rsid w:val="002338B2"/>
    <w:rsid w:val="00235562"/>
    <w:rsid w:val="00240354"/>
    <w:rsid w:val="002477B0"/>
    <w:rsid w:val="0027393E"/>
    <w:rsid w:val="00275278"/>
    <w:rsid w:val="0028440F"/>
    <w:rsid w:val="00285266"/>
    <w:rsid w:val="002923DA"/>
    <w:rsid w:val="002A5376"/>
    <w:rsid w:val="002B01AB"/>
    <w:rsid w:val="002B1114"/>
    <w:rsid w:val="002C2117"/>
    <w:rsid w:val="002C4A7F"/>
    <w:rsid w:val="002C611C"/>
    <w:rsid w:val="002D13B5"/>
    <w:rsid w:val="002D2215"/>
    <w:rsid w:val="002F09C1"/>
    <w:rsid w:val="002F401A"/>
    <w:rsid w:val="002F5DEE"/>
    <w:rsid w:val="00305C2B"/>
    <w:rsid w:val="003577C8"/>
    <w:rsid w:val="00364302"/>
    <w:rsid w:val="0037301F"/>
    <w:rsid w:val="003845DC"/>
    <w:rsid w:val="003847EB"/>
    <w:rsid w:val="00387522"/>
    <w:rsid w:val="003B6EF3"/>
    <w:rsid w:val="003C1853"/>
    <w:rsid w:val="003C6F8F"/>
    <w:rsid w:val="003D6145"/>
    <w:rsid w:val="004000AD"/>
    <w:rsid w:val="004004D8"/>
    <w:rsid w:val="00401E6E"/>
    <w:rsid w:val="00402F3B"/>
    <w:rsid w:val="004031CD"/>
    <w:rsid w:val="00411EC1"/>
    <w:rsid w:val="004166B1"/>
    <w:rsid w:val="00417C98"/>
    <w:rsid w:val="004279EE"/>
    <w:rsid w:val="00427A4C"/>
    <w:rsid w:val="00433070"/>
    <w:rsid w:val="00447653"/>
    <w:rsid w:val="00451E26"/>
    <w:rsid w:val="0045722D"/>
    <w:rsid w:val="0046682C"/>
    <w:rsid w:val="00466E65"/>
    <w:rsid w:val="0047697B"/>
    <w:rsid w:val="0047705F"/>
    <w:rsid w:val="0047767B"/>
    <w:rsid w:val="00482ED4"/>
    <w:rsid w:val="004B2AD2"/>
    <w:rsid w:val="004B66B9"/>
    <w:rsid w:val="004C00C3"/>
    <w:rsid w:val="004D30EF"/>
    <w:rsid w:val="004D6E25"/>
    <w:rsid w:val="004E1769"/>
    <w:rsid w:val="004E3CF7"/>
    <w:rsid w:val="004E6651"/>
    <w:rsid w:val="004F0140"/>
    <w:rsid w:val="004F4C9C"/>
    <w:rsid w:val="00500A7A"/>
    <w:rsid w:val="00510833"/>
    <w:rsid w:val="00510C13"/>
    <w:rsid w:val="00524698"/>
    <w:rsid w:val="00531359"/>
    <w:rsid w:val="00543D7D"/>
    <w:rsid w:val="00545C9E"/>
    <w:rsid w:val="00557C4A"/>
    <w:rsid w:val="005678E3"/>
    <w:rsid w:val="00586FE7"/>
    <w:rsid w:val="00591ADF"/>
    <w:rsid w:val="0059260B"/>
    <w:rsid w:val="00594DD5"/>
    <w:rsid w:val="00596D0C"/>
    <w:rsid w:val="005C013C"/>
    <w:rsid w:val="005C4743"/>
    <w:rsid w:val="005E3920"/>
    <w:rsid w:val="00603CFA"/>
    <w:rsid w:val="006163A3"/>
    <w:rsid w:val="00620D13"/>
    <w:rsid w:val="00625AF1"/>
    <w:rsid w:val="00640232"/>
    <w:rsid w:val="00641FCA"/>
    <w:rsid w:val="00644E2E"/>
    <w:rsid w:val="00650EF9"/>
    <w:rsid w:val="006658E4"/>
    <w:rsid w:val="006723BC"/>
    <w:rsid w:val="006730CB"/>
    <w:rsid w:val="006840CF"/>
    <w:rsid w:val="00686064"/>
    <w:rsid w:val="00687628"/>
    <w:rsid w:val="00691B3B"/>
    <w:rsid w:val="00692E21"/>
    <w:rsid w:val="006A0EAC"/>
    <w:rsid w:val="006A2B8B"/>
    <w:rsid w:val="006C148D"/>
    <w:rsid w:val="006C1624"/>
    <w:rsid w:val="006E3BD9"/>
    <w:rsid w:val="00700CB8"/>
    <w:rsid w:val="00706A20"/>
    <w:rsid w:val="007100CB"/>
    <w:rsid w:val="00722609"/>
    <w:rsid w:val="007413FC"/>
    <w:rsid w:val="007523AC"/>
    <w:rsid w:val="00764687"/>
    <w:rsid w:val="00766214"/>
    <w:rsid w:val="00771249"/>
    <w:rsid w:val="00781B78"/>
    <w:rsid w:val="007938ED"/>
    <w:rsid w:val="007A035F"/>
    <w:rsid w:val="007B26B7"/>
    <w:rsid w:val="007B7014"/>
    <w:rsid w:val="007C0189"/>
    <w:rsid w:val="007D3727"/>
    <w:rsid w:val="007E0345"/>
    <w:rsid w:val="007E1C00"/>
    <w:rsid w:val="007F6E52"/>
    <w:rsid w:val="007F7146"/>
    <w:rsid w:val="008075D6"/>
    <w:rsid w:val="00816AD7"/>
    <w:rsid w:val="00826883"/>
    <w:rsid w:val="00833A04"/>
    <w:rsid w:val="008422E7"/>
    <w:rsid w:val="00843318"/>
    <w:rsid w:val="00843CC9"/>
    <w:rsid w:val="00847638"/>
    <w:rsid w:val="00854612"/>
    <w:rsid w:val="00857421"/>
    <w:rsid w:val="008631C9"/>
    <w:rsid w:val="008660F2"/>
    <w:rsid w:val="00873C52"/>
    <w:rsid w:val="00890585"/>
    <w:rsid w:val="0089633B"/>
    <w:rsid w:val="008A67A5"/>
    <w:rsid w:val="008B560C"/>
    <w:rsid w:val="008D0C08"/>
    <w:rsid w:val="008D39CA"/>
    <w:rsid w:val="008D78DD"/>
    <w:rsid w:val="008E5045"/>
    <w:rsid w:val="008E5D48"/>
    <w:rsid w:val="00902B43"/>
    <w:rsid w:val="0090730F"/>
    <w:rsid w:val="0091386E"/>
    <w:rsid w:val="00913BF0"/>
    <w:rsid w:val="0092234D"/>
    <w:rsid w:val="00927186"/>
    <w:rsid w:val="009276E4"/>
    <w:rsid w:val="009441C5"/>
    <w:rsid w:val="00957816"/>
    <w:rsid w:val="009604DA"/>
    <w:rsid w:val="00965A88"/>
    <w:rsid w:val="00966EB5"/>
    <w:rsid w:val="00981584"/>
    <w:rsid w:val="009858D7"/>
    <w:rsid w:val="009A118A"/>
    <w:rsid w:val="009A2138"/>
    <w:rsid w:val="009B02F7"/>
    <w:rsid w:val="009B0646"/>
    <w:rsid w:val="009B07A9"/>
    <w:rsid w:val="009C4C78"/>
    <w:rsid w:val="009C570E"/>
    <w:rsid w:val="009E2B20"/>
    <w:rsid w:val="009E7E27"/>
    <w:rsid w:val="00A04120"/>
    <w:rsid w:val="00A115F3"/>
    <w:rsid w:val="00A413BF"/>
    <w:rsid w:val="00A45439"/>
    <w:rsid w:val="00A62EF5"/>
    <w:rsid w:val="00A7763E"/>
    <w:rsid w:val="00A80095"/>
    <w:rsid w:val="00A8233E"/>
    <w:rsid w:val="00A92804"/>
    <w:rsid w:val="00AA40EA"/>
    <w:rsid w:val="00AB687D"/>
    <w:rsid w:val="00AC6035"/>
    <w:rsid w:val="00AD6669"/>
    <w:rsid w:val="00AE3408"/>
    <w:rsid w:val="00AE3FD8"/>
    <w:rsid w:val="00AF123F"/>
    <w:rsid w:val="00AF1FCD"/>
    <w:rsid w:val="00AF564C"/>
    <w:rsid w:val="00B010C1"/>
    <w:rsid w:val="00B01D4E"/>
    <w:rsid w:val="00B02961"/>
    <w:rsid w:val="00B1070F"/>
    <w:rsid w:val="00B177EB"/>
    <w:rsid w:val="00B2030C"/>
    <w:rsid w:val="00B20CB9"/>
    <w:rsid w:val="00B20D99"/>
    <w:rsid w:val="00B23A00"/>
    <w:rsid w:val="00B253E9"/>
    <w:rsid w:val="00B2771D"/>
    <w:rsid w:val="00B34A5B"/>
    <w:rsid w:val="00B368C6"/>
    <w:rsid w:val="00B44405"/>
    <w:rsid w:val="00B45B9E"/>
    <w:rsid w:val="00B50C17"/>
    <w:rsid w:val="00B55E68"/>
    <w:rsid w:val="00B5729A"/>
    <w:rsid w:val="00B64DBA"/>
    <w:rsid w:val="00B658C4"/>
    <w:rsid w:val="00B75961"/>
    <w:rsid w:val="00B77735"/>
    <w:rsid w:val="00B8053C"/>
    <w:rsid w:val="00B81DD6"/>
    <w:rsid w:val="00B85482"/>
    <w:rsid w:val="00B94D72"/>
    <w:rsid w:val="00BA2452"/>
    <w:rsid w:val="00BA2B31"/>
    <w:rsid w:val="00BC3A2F"/>
    <w:rsid w:val="00BE2D04"/>
    <w:rsid w:val="00BE3625"/>
    <w:rsid w:val="00BE4FD1"/>
    <w:rsid w:val="00BE5544"/>
    <w:rsid w:val="00BE7823"/>
    <w:rsid w:val="00BF01D3"/>
    <w:rsid w:val="00BF1D40"/>
    <w:rsid w:val="00BF2450"/>
    <w:rsid w:val="00BF2D60"/>
    <w:rsid w:val="00BF5598"/>
    <w:rsid w:val="00C02D94"/>
    <w:rsid w:val="00C069D7"/>
    <w:rsid w:val="00C23204"/>
    <w:rsid w:val="00C26706"/>
    <w:rsid w:val="00C40E55"/>
    <w:rsid w:val="00C439A9"/>
    <w:rsid w:val="00C517BE"/>
    <w:rsid w:val="00C531D7"/>
    <w:rsid w:val="00C801FB"/>
    <w:rsid w:val="00C810A3"/>
    <w:rsid w:val="00C95D51"/>
    <w:rsid w:val="00CA6350"/>
    <w:rsid w:val="00CB1C30"/>
    <w:rsid w:val="00CC6911"/>
    <w:rsid w:val="00CD3D9F"/>
    <w:rsid w:val="00CD542F"/>
    <w:rsid w:val="00D04353"/>
    <w:rsid w:val="00D044E2"/>
    <w:rsid w:val="00D10830"/>
    <w:rsid w:val="00D24702"/>
    <w:rsid w:val="00D25FC0"/>
    <w:rsid w:val="00D41228"/>
    <w:rsid w:val="00D43616"/>
    <w:rsid w:val="00D4672E"/>
    <w:rsid w:val="00D53571"/>
    <w:rsid w:val="00D56EC0"/>
    <w:rsid w:val="00D62BC4"/>
    <w:rsid w:val="00D67D8E"/>
    <w:rsid w:val="00D70A79"/>
    <w:rsid w:val="00D716FE"/>
    <w:rsid w:val="00D71FB0"/>
    <w:rsid w:val="00D83D3C"/>
    <w:rsid w:val="00DA08FD"/>
    <w:rsid w:val="00DB36AF"/>
    <w:rsid w:val="00DC4872"/>
    <w:rsid w:val="00DE3BEE"/>
    <w:rsid w:val="00E07351"/>
    <w:rsid w:val="00E1305F"/>
    <w:rsid w:val="00E23460"/>
    <w:rsid w:val="00E3270A"/>
    <w:rsid w:val="00E330D6"/>
    <w:rsid w:val="00E57FB5"/>
    <w:rsid w:val="00E74CCA"/>
    <w:rsid w:val="00E83EB2"/>
    <w:rsid w:val="00EA5555"/>
    <w:rsid w:val="00EB41D3"/>
    <w:rsid w:val="00EB5329"/>
    <w:rsid w:val="00EB57BA"/>
    <w:rsid w:val="00EC7DFC"/>
    <w:rsid w:val="00EC7FCD"/>
    <w:rsid w:val="00ED0AE3"/>
    <w:rsid w:val="00ED2508"/>
    <w:rsid w:val="00EF7F43"/>
    <w:rsid w:val="00F030C1"/>
    <w:rsid w:val="00F1024A"/>
    <w:rsid w:val="00F10261"/>
    <w:rsid w:val="00F11430"/>
    <w:rsid w:val="00F436C9"/>
    <w:rsid w:val="00F5107E"/>
    <w:rsid w:val="00F54E78"/>
    <w:rsid w:val="00F615B3"/>
    <w:rsid w:val="00F71697"/>
    <w:rsid w:val="00F83C3E"/>
    <w:rsid w:val="00F87216"/>
    <w:rsid w:val="00F87A06"/>
    <w:rsid w:val="00F945E0"/>
    <w:rsid w:val="00F95A26"/>
    <w:rsid w:val="00FA2E55"/>
    <w:rsid w:val="00FA43FB"/>
    <w:rsid w:val="00FA7CAF"/>
    <w:rsid w:val="00FC0AA8"/>
    <w:rsid w:val="00FC12C1"/>
    <w:rsid w:val="00FD3F66"/>
    <w:rsid w:val="00FF18F9"/>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EF2"/>
  <w15:chartTrackingRefBased/>
  <w15:docId w15:val="{A9CD9B9B-63CF-4404-82FA-10373CEA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4B66B9"/>
    <w:pPr>
      <w:keepNext/>
      <w:keepLines/>
      <w:suppressAutoHyphens/>
      <w:spacing w:line="300" w:lineRule="exact"/>
      <w:outlineLvl w:val="0"/>
    </w:pPr>
    <w:rPr>
      <w:rFonts w:eastAsia="MS Mincho"/>
      <w:b/>
      <w:spacing w:val="-2"/>
      <w:w w:val="103"/>
      <w:kern w:val="14"/>
      <w:sz w:val="28"/>
      <w:szCs w:val="20"/>
      <w:lang w:val="en-GB"/>
    </w:rPr>
  </w:style>
  <w:style w:type="paragraph" w:customStyle="1" w:styleId="paragraph">
    <w:name w:val="paragraph"/>
    <w:basedOn w:val="Normal"/>
    <w:rsid w:val="00065CE6"/>
    <w:pPr>
      <w:spacing w:before="100" w:beforeAutospacing="1" w:after="100" w:afterAutospacing="1"/>
    </w:pPr>
    <w:rPr>
      <w:lang w:val="en-GB" w:eastAsia="en-GB"/>
    </w:rPr>
  </w:style>
  <w:style w:type="character" w:customStyle="1" w:styleId="normaltextrun">
    <w:name w:val="normaltextrun"/>
    <w:basedOn w:val="DefaultParagraphFont"/>
    <w:rsid w:val="00065CE6"/>
  </w:style>
  <w:style w:type="table" w:styleId="TableGrid">
    <w:name w:val="Table Grid"/>
    <w:basedOn w:val="TableNormal"/>
    <w:uiPriority w:val="39"/>
    <w:rsid w:val="00AE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63E"/>
    <w:rPr>
      <w:sz w:val="16"/>
      <w:szCs w:val="16"/>
    </w:rPr>
  </w:style>
  <w:style w:type="paragraph" w:styleId="CommentText">
    <w:name w:val="annotation text"/>
    <w:basedOn w:val="Normal"/>
    <w:link w:val="CommentTextChar"/>
    <w:uiPriority w:val="99"/>
    <w:semiHidden/>
    <w:unhideWhenUsed/>
    <w:rsid w:val="00A7763E"/>
    <w:rPr>
      <w:sz w:val="20"/>
      <w:szCs w:val="20"/>
    </w:rPr>
  </w:style>
  <w:style w:type="character" w:customStyle="1" w:styleId="CommentTextChar">
    <w:name w:val="Comment Text Char"/>
    <w:basedOn w:val="DefaultParagraphFont"/>
    <w:link w:val="CommentText"/>
    <w:uiPriority w:val="99"/>
    <w:semiHidden/>
    <w:rsid w:val="00A776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63E"/>
    <w:rPr>
      <w:b/>
      <w:bCs/>
    </w:rPr>
  </w:style>
  <w:style w:type="character" w:customStyle="1" w:styleId="CommentSubjectChar">
    <w:name w:val="Comment Subject Char"/>
    <w:basedOn w:val="CommentTextChar"/>
    <w:link w:val="CommentSubject"/>
    <w:uiPriority w:val="99"/>
    <w:semiHidden/>
    <w:rsid w:val="00A7763E"/>
    <w:rPr>
      <w:rFonts w:ascii="Times New Roman" w:eastAsia="Times New Roman" w:hAnsi="Times New Roman" w:cs="Times New Roman"/>
      <w:b/>
      <w:bCs/>
      <w:sz w:val="20"/>
      <w:szCs w:val="20"/>
    </w:rPr>
  </w:style>
  <w:style w:type="paragraph" w:styleId="ListParagraph">
    <w:name w:val="List Paragraph"/>
    <w:aliases w:val="List Paragraph (numbered (a)),References,Paragraphe de liste1,List Paragraph1,List Paragraph11,Bullets,references,NEW INDENT,List bullet,Heading II,Lapis Bulleted List,Dot pt,F5 List Paragraph,No Spacing1,List Paragraph Char Char Char,lp1"/>
    <w:basedOn w:val="Normal"/>
    <w:link w:val="ListParagraphChar"/>
    <w:uiPriority w:val="34"/>
    <w:qFormat/>
    <w:rsid w:val="00843318"/>
    <w:pPr>
      <w:ind w:left="720"/>
    </w:pPr>
    <w:rPr>
      <w:sz w:val="20"/>
      <w:szCs w:val="20"/>
    </w:rPr>
  </w:style>
  <w:style w:type="character" w:customStyle="1" w:styleId="ListParagraphChar">
    <w:name w:val="List Paragraph Char"/>
    <w:aliases w:val="List Paragraph (numbered (a)) Char,References Char,Paragraphe de liste1 Char,List Paragraph1 Char,List Paragraph11 Char,Bullets Char,references Char,NEW INDENT Char,List bullet Char,Heading II Char,Lapis Bulleted List Char,lp1 Char"/>
    <w:link w:val="ListParagraph"/>
    <w:uiPriority w:val="34"/>
    <w:qFormat/>
    <w:locked/>
    <w:rsid w:val="00843318"/>
    <w:rPr>
      <w:rFonts w:ascii="Times New Roman" w:eastAsia="Times New Roman" w:hAnsi="Times New Roman" w:cs="Times New Roman"/>
      <w:sz w:val="20"/>
      <w:szCs w:val="20"/>
    </w:rPr>
  </w:style>
  <w:style w:type="paragraph" w:customStyle="1" w:styleId="xmsonormal">
    <w:name w:val="x_msonormal"/>
    <w:basedOn w:val="Normal"/>
    <w:rsid w:val="0085461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343">
      <w:bodyDiv w:val="1"/>
      <w:marLeft w:val="0"/>
      <w:marRight w:val="0"/>
      <w:marTop w:val="0"/>
      <w:marBottom w:val="0"/>
      <w:divBdr>
        <w:top w:val="none" w:sz="0" w:space="0" w:color="auto"/>
        <w:left w:val="none" w:sz="0" w:space="0" w:color="auto"/>
        <w:bottom w:val="none" w:sz="0" w:space="0" w:color="auto"/>
        <w:right w:val="none" w:sz="0" w:space="0" w:color="auto"/>
      </w:divBdr>
    </w:div>
    <w:div w:id="241641194">
      <w:bodyDiv w:val="1"/>
      <w:marLeft w:val="0"/>
      <w:marRight w:val="0"/>
      <w:marTop w:val="0"/>
      <w:marBottom w:val="0"/>
      <w:divBdr>
        <w:top w:val="none" w:sz="0" w:space="0" w:color="auto"/>
        <w:left w:val="none" w:sz="0" w:space="0" w:color="auto"/>
        <w:bottom w:val="none" w:sz="0" w:space="0" w:color="auto"/>
        <w:right w:val="none" w:sz="0" w:space="0" w:color="auto"/>
      </w:divBdr>
    </w:div>
    <w:div w:id="303126113">
      <w:bodyDiv w:val="1"/>
      <w:marLeft w:val="0"/>
      <w:marRight w:val="0"/>
      <w:marTop w:val="0"/>
      <w:marBottom w:val="0"/>
      <w:divBdr>
        <w:top w:val="none" w:sz="0" w:space="0" w:color="auto"/>
        <w:left w:val="none" w:sz="0" w:space="0" w:color="auto"/>
        <w:bottom w:val="none" w:sz="0" w:space="0" w:color="auto"/>
        <w:right w:val="none" w:sz="0" w:space="0" w:color="auto"/>
      </w:divBdr>
    </w:div>
    <w:div w:id="812528052">
      <w:bodyDiv w:val="1"/>
      <w:marLeft w:val="0"/>
      <w:marRight w:val="0"/>
      <w:marTop w:val="0"/>
      <w:marBottom w:val="0"/>
      <w:divBdr>
        <w:top w:val="none" w:sz="0" w:space="0" w:color="auto"/>
        <w:left w:val="none" w:sz="0" w:space="0" w:color="auto"/>
        <w:bottom w:val="none" w:sz="0" w:space="0" w:color="auto"/>
        <w:right w:val="none" w:sz="0" w:space="0" w:color="auto"/>
      </w:divBdr>
    </w:div>
    <w:div w:id="1222978319">
      <w:bodyDiv w:val="1"/>
      <w:marLeft w:val="0"/>
      <w:marRight w:val="0"/>
      <w:marTop w:val="0"/>
      <w:marBottom w:val="0"/>
      <w:divBdr>
        <w:top w:val="none" w:sz="0" w:space="0" w:color="auto"/>
        <w:left w:val="none" w:sz="0" w:space="0" w:color="auto"/>
        <w:bottom w:val="none" w:sz="0" w:space="0" w:color="auto"/>
        <w:right w:val="none" w:sz="0" w:space="0" w:color="auto"/>
      </w:divBdr>
    </w:div>
    <w:div w:id="14913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81A3F3B93864F9E47E1C724F046E5" ma:contentTypeVersion="8" ma:contentTypeDescription="Create a new document." ma:contentTypeScope="" ma:versionID="d65d1320c80982dc9b023a7dbb4ed994">
  <xsd:schema xmlns:xsd="http://www.w3.org/2001/XMLSchema" xmlns:xs="http://www.w3.org/2001/XMLSchema" xmlns:p="http://schemas.microsoft.com/office/2006/metadata/properties" xmlns:ns2="9734087d-6ad9-495f-9ba4-733b6b6bf250" xmlns:ns3="9d5e6f84-5843-49cc-89a8-d7ee1a915182" targetNamespace="http://schemas.microsoft.com/office/2006/metadata/properties" ma:root="true" ma:fieldsID="b995cf5de04ad69fa6feb82a5adf696a" ns2:_="" ns3:_="">
    <xsd:import namespace="9734087d-6ad9-495f-9ba4-733b6b6bf250"/>
    <xsd:import namespace="9d5e6f84-5843-49cc-89a8-d7ee1a915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4087d-6ad9-495f-9ba4-733b6b6bf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e6f84-5843-49cc-89a8-d7ee1a915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FE47D-7267-402C-8F3A-74FF4E39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4087d-6ad9-495f-9ba4-733b6b6bf250"/>
    <ds:schemaRef ds:uri="9d5e6f84-5843-49cc-89a8-d7ee1a91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968C0-05D4-4FF2-B24C-AC0145BEC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AD4A2-F82B-4526-98D7-636652C16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Valerie Munyeti</cp:lastModifiedBy>
  <cp:revision>2</cp:revision>
  <cp:lastPrinted>2022-03-31T08:13:00Z</cp:lastPrinted>
  <dcterms:created xsi:type="dcterms:W3CDTF">2022-05-23T07:36:00Z</dcterms:created>
  <dcterms:modified xsi:type="dcterms:W3CDTF">2022-05-23T07:36:00Z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0x01010055281A3F3B93864F9E47E1C724F046E5</vt:lpwstr>
  </property>
</Properties>
</file>