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6A6" w14:textId="7A232018" w:rsidR="00AA7009" w:rsidRPr="001078BE" w:rsidRDefault="00D66F55" w:rsidP="00E21B56">
      <w:pPr>
        <w:autoSpaceDE w:val="0"/>
        <w:autoSpaceDN w:val="0"/>
        <w:adjustRightInd w:val="0"/>
        <w:spacing w:after="0" w:line="240" w:lineRule="auto"/>
        <w:jc w:val="center"/>
        <w:rPr>
          <w:rFonts w:ascii="Cambria" w:eastAsiaTheme="minorEastAsia" w:hAnsi="Cambria" w:cs="CIDFont+F4"/>
          <w:b/>
          <w:bCs/>
          <w:sz w:val="32"/>
          <w:szCs w:val="32"/>
          <w:lang w:val="en-GB"/>
        </w:rPr>
      </w:pPr>
      <w:r w:rsidRPr="001078BE">
        <w:rPr>
          <w:rFonts w:ascii="Cambria" w:hAnsi="Cambria"/>
          <w:b/>
          <w:sz w:val="32"/>
          <w:szCs w:val="32"/>
          <w:lang w:val="en-GB"/>
        </w:rPr>
        <w:t>Management response t</w:t>
      </w:r>
      <w:r w:rsidR="00F73041" w:rsidRPr="001078BE">
        <w:rPr>
          <w:rFonts w:ascii="Cambria" w:hAnsi="Cambria"/>
          <w:b/>
          <w:sz w:val="32"/>
          <w:szCs w:val="32"/>
          <w:lang w:val="en-GB"/>
        </w:rPr>
        <w:t xml:space="preserve">o the </w:t>
      </w:r>
      <w:r w:rsidR="002F70CC" w:rsidRPr="002F70CC">
        <w:rPr>
          <w:b/>
          <w:sz w:val="28"/>
          <w:szCs w:val="28"/>
        </w:rPr>
        <w:t xml:space="preserve">Strengthening Pacific Public Finance Management and Governance Project </w:t>
      </w:r>
      <w:r w:rsidR="00BE11EC" w:rsidRPr="002F70CC">
        <w:rPr>
          <w:rFonts w:ascii="Cambria" w:hAnsi="Cambria"/>
          <w:b/>
          <w:sz w:val="28"/>
          <w:szCs w:val="28"/>
          <w:lang w:val="en-GB"/>
        </w:rPr>
        <w:t>– Phase I Terminal Evaluation</w:t>
      </w:r>
    </w:p>
    <w:p w14:paraId="2CB80010" w14:textId="77777777" w:rsidR="00E12F50" w:rsidRPr="001078BE" w:rsidRDefault="00E12F50" w:rsidP="00F02961">
      <w:pPr>
        <w:spacing w:after="0" w:line="240" w:lineRule="auto"/>
        <w:jc w:val="both"/>
        <w:rPr>
          <w:rFonts w:ascii="Cambria" w:hAnsi="Cambria"/>
          <w:b/>
          <w:highlight w:val="lightGray"/>
          <w:lang w:val="en-GB"/>
        </w:rPr>
      </w:pPr>
    </w:p>
    <w:p w14:paraId="585D213A" w14:textId="77777777" w:rsidR="00F07654" w:rsidRPr="001078BE" w:rsidRDefault="00F07654" w:rsidP="00F07654">
      <w:pPr>
        <w:spacing w:after="5" w:line="248" w:lineRule="auto"/>
        <w:ind w:left="2880" w:hanging="2880"/>
        <w:jc w:val="both"/>
        <w:rPr>
          <w:rFonts w:ascii="Cambria" w:eastAsia="Garamond" w:hAnsi="Cambria" w:cs="Garamond"/>
          <w:color w:val="000000"/>
          <w:lang w:val="en-GB"/>
        </w:rPr>
      </w:pPr>
    </w:p>
    <w:p w14:paraId="6478B5F2" w14:textId="2E2421CA" w:rsidR="00F07654" w:rsidRPr="00AC1AEC" w:rsidRDefault="00F07654" w:rsidP="003B11F5">
      <w:pPr>
        <w:spacing w:after="5" w:line="248" w:lineRule="auto"/>
        <w:ind w:left="5040" w:hanging="5040"/>
        <w:jc w:val="both"/>
        <w:rPr>
          <w:rFonts w:ascii="Cambria" w:eastAsia="Garamond" w:hAnsi="Cambria" w:cs="Garamond"/>
          <w:bCs/>
          <w:color w:val="000000"/>
          <w:lang w:val="en-GB"/>
        </w:rPr>
      </w:pPr>
      <w:r w:rsidRPr="001078BE">
        <w:rPr>
          <w:rFonts w:ascii="Cambria" w:eastAsia="Garamond" w:hAnsi="Cambria" w:cs="Garamond"/>
          <w:color w:val="000000"/>
          <w:lang w:val="en-GB"/>
        </w:rPr>
        <w:t xml:space="preserve">Project Title: </w:t>
      </w:r>
      <w:r w:rsidRPr="001078BE">
        <w:rPr>
          <w:rFonts w:ascii="Cambria" w:eastAsia="Garamond" w:hAnsi="Cambria" w:cs="Garamond"/>
          <w:color w:val="000000"/>
          <w:lang w:val="en-GB"/>
        </w:rPr>
        <w:tab/>
      </w:r>
      <w:r w:rsidR="00AC1AEC" w:rsidRPr="00AC1AEC">
        <w:rPr>
          <w:bCs/>
        </w:rPr>
        <w:t>Strengthening Pacific Public Finance Management and Governance</w:t>
      </w:r>
    </w:p>
    <w:p w14:paraId="51C1E344" w14:textId="1D14216E" w:rsidR="00F07654" w:rsidRPr="001078BE" w:rsidRDefault="00CC18C7"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ab/>
      </w:r>
      <w:r w:rsidR="00CC327D" w:rsidRPr="001078BE">
        <w:rPr>
          <w:rFonts w:ascii="Cambria" w:eastAsia="Garamond" w:hAnsi="Cambria" w:cs="Garamond"/>
          <w:color w:val="000000"/>
          <w:lang w:val="en-GB"/>
        </w:rPr>
        <w:t xml:space="preserve">Project ID: </w:t>
      </w:r>
      <w:r w:rsidRPr="001078BE">
        <w:rPr>
          <w:rFonts w:ascii="Cambria" w:eastAsia="Garamond" w:hAnsi="Cambria" w:cs="Garamond"/>
          <w:color w:val="000000"/>
          <w:lang w:val="en-GB"/>
        </w:rPr>
        <w:tab/>
      </w:r>
      <w:r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AC1AEC" w:rsidRPr="00AC1AEC">
        <w:rPr>
          <w:rFonts w:ascii="Cambria" w:eastAsia="Garamond" w:hAnsi="Cambria" w:cs="Garamond"/>
          <w:lang w:val="en-GB"/>
        </w:rPr>
        <w:t>00104154</w:t>
      </w:r>
    </w:p>
    <w:p w14:paraId="163896F9" w14:textId="5CDC0356" w:rsidR="00F07654" w:rsidRPr="001078BE" w:rsidRDefault="00CC327D"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 xml:space="preserve">Terminal </w:t>
      </w:r>
      <w:r w:rsidR="001078BE" w:rsidRPr="001078BE">
        <w:rPr>
          <w:rFonts w:ascii="Cambria" w:eastAsia="Garamond" w:hAnsi="Cambria" w:cs="Garamond"/>
          <w:color w:val="000000"/>
          <w:lang w:val="en-GB"/>
        </w:rPr>
        <w:t>Evaluation</w:t>
      </w:r>
      <w:r w:rsidR="00F07654" w:rsidRPr="001078BE">
        <w:rPr>
          <w:rFonts w:ascii="Cambria" w:eastAsia="Garamond" w:hAnsi="Cambria" w:cs="Garamond"/>
          <w:color w:val="000000"/>
          <w:lang w:val="en-GB"/>
        </w:rPr>
        <w:t xml:space="preserve"> Mission Completion Date:</w:t>
      </w:r>
      <w:r w:rsidR="00CC18C7" w:rsidRPr="001078BE">
        <w:rPr>
          <w:rFonts w:ascii="Cambria" w:eastAsia="Garamond" w:hAnsi="Cambria" w:cs="Garamond"/>
          <w:color w:val="000000"/>
          <w:lang w:val="en-GB"/>
        </w:rPr>
        <w:tab/>
      </w:r>
      <w:r w:rsidR="008E5483" w:rsidRPr="00AC1AEC">
        <w:rPr>
          <w:rFonts w:ascii="Cambria" w:eastAsia="Garamond" w:hAnsi="Cambria" w:cs="Garamond"/>
          <w:lang w:val="en-GB"/>
        </w:rPr>
        <w:t>Refer Footnote below</w:t>
      </w:r>
      <w:r w:rsidR="000149DD" w:rsidRPr="00AC1AEC">
        <w:rPr>
          <w:rStyle w:val="FootnoteReference"/>
          <w:rFonts w:ascii="Cambria" w:eastAsia="Garamond" w:hAnsi="Cambria" w:cs="Garamond"/>
          <w:lang w:val="en-GB"/>
        </w:rPr>
        <w:footnoteReference w:id="2"/>
      </w:r>
      <w:r w:rsidR="008E5483" w:rsidRPr="00AC1AEC">
        <w:rPr>
          <w:rFonts w:ascii="Cambria" w:eastAsia="Garamond" w:hAnsi="Cambria" w:cs="Garamond"/>
          <w:lang w:val="en-GB"/>
        </w:rPr>
        <w:t>.</w:t>
      </w:r>
    </w:p>
    <w:p w14:paraId="14049E2F" w14:textId="6A0E1036" w:rsidR="00F07654" w:rsidRPr="001078BE" w:rsidRDefault="00F07654"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 xml:space="preserve">Date of Issue of Management Response:  </w:t>
      </w:r>
      <w:r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AC1AEC">
        <w:rPr>
          <w:rFonts w:ascii="Cambria" w:eastAsia="Garamond" w:hAnsi="Cambria" w:cs="Garamond"/>
          <w:color w:val="000000"/>
          <w:lang w:val="en-GB"/>
        </w:rPr>
        <w:t xml:space="preserve"> 02 May</w:t>
      </w:r>
      <w:r w:rsidR="009156EB">
        <w:rPr>
          <w:rFonts w:ascii="Cambria" w:eastAsia="Garamond" w:hAnsi="Cambria" w:cs="Garamond"/>
          <w:color w:val="000000"/>
          <w:lang w:val="en-GB"/>
        </w:rPr>
        <w:t xml:space="preserve"> 2022 </w:t>
      </w:r>
    </w:p>
    <w:p w14:paraId="10352EBE" w14:textId="77777777" w:rsidR="00F07654" w:rsidRPr="001078BE" w:rsidRDefault="00F07654" w:rsidP="00F07654">
      <w:pPr>
        <w:spacing w:after="0"/>
        <w:rPr>
          <w:rFonts w:ascii="Cambria" w:eastAsia="Garamond" w:hAnsi="Cambria" w:cs="Garamond"/>
          <w:color w:val="000000"/>
          <w:lang w:val="en-GB"/>
        </w:rPr>
      </w:pPr>
      <w:r w:rsidRPr="001078BE">
        <w:rPr>
          <w:rFonts w:ascii="Cambria" w:eastAsia="Garamond" w:hAnsi="Cambria" w:cs="Garamond"/>
          <w:color w:val="000000"/>
          <w:lang w:val="en-GB"/>
        </w:rPr>
        <w:t xml:space="preserve"> </w:t>
      </w:r>
    </w:p>
    <w:tbl>
      <w:tblPr>
        <w:tblW w:w="8394" w:type="dxa"/>
        <w:tblInd w:w="-108" w:type="dxa"/>
        <w:tblLayout w:type="fixed"/>
        <w:tblLook w:val="0400" w:firstRow="0" w:lastRow="0" w:firstColumn="0" w:lastColumn="0" w:noHBand="0" w:noVBand="1"/>
      </w:tblPr>
      <w:tblGrid>
        <w:gridCol w:w="2881"/>
        <w:gridCol w:w="5513"/>
      </w:tblGrid>
      <w:tr w:rsidR="00F07654" w:rsidRPr="001078BE" w14:paraId="2886B5EF" w14:textId="77777777" w:rsidTr="1C638A97">
        <w:trPr>
          <w:trHeight w:val="324"/>
        </w:trPr>
        <w:tc>
          <w:tcPr>
            <w:tcW w:w="2881" w:type="dxa"/>
            <w:tcBorders>
              <w:top w:val="nil"/>
              <w:left w:val="nil"/>
              <w:bottom w:val="nil"/>
              <w:right w:val="nil"/>
            </w:tcBorders>
          </w:tcPr>
          <w:p w14:paraId="634EF54E"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Prepared by:  </w:t>
            </w:r>
          </w:p>
        </w:tc>
        <w:tc>
          <w:tcPr>
            <w:tcW w:w="5513" w:type="dxa"/>
            <w:tcBorders>
              <w:top w:val="nil"/>
              <w:left w:val="nil"/>
              <w:bottom w:val="nil"/>
              <w:right w:val="nil"/>
            </w:tcBorders>
          </w:tcPr>
          <w:p w14:paraId="672599B5" w14:textId="01ED5ABE" w:rsidR="00F07654" w:rsidRPr="001078BE" w:rsidRDefault="00AC1AEC" w:rsidP="00CE66AC">
            <w:pPr>
              <w:ind w:left="239"/>
              <w:rPr>
                <w:rFonts w:ascii="Cambria" w:eastAsia="Arial" w:hAnsi="Cambria" w:cs="Arial"/>
                <w:color w:val="000000"/>
                <w:lang w:val="en-GB"/>
              </w:rPr>
            </w:pPr>
            <w:r w:rsidRPr="00AC1AEC">
              <w:rPr>
                <w:rFonts w:ascii="Cambria" w:eastAsia="Garamond" w:hAnsi="Cambria" w:cs="Garamond"/>
                <w:lang w:val="en-GB"/>
              </w:rPr>
              <w:t>PFM</w:t>
            </w:r>
            <w:r w:rsidR="00216876" w:rsidRPr="00AC1AEC">
              <w:rPr>
                <w:rFonts w:ascii="Cambria" w:eastAsia="Garamond" w:hAnsi="Cambria" w:cs="Garamond"/>
                <w:lang w:val="en-GB"/>
              </w:rPr>
              <w:t xml:space="preserve"> Team</w:t>
            </w:r>
            <w:r w:rsidR="00F07654" w:rsidRPr="00AC1AEC">
              <w:rPr>
                <w:rFonts w:ascii="Cambria" w:eastAsia="Garamond" w:hAnsi="Cambria" w:cs="Garamond"/>
                <w:lang w:val="en-GB"/>
              </w:rPr>
              <w:t>, UNDP Pacific Office, Suva, Fiji</w:t>
            </w:r>
            <w:r w:rsidR="00F07654" w:rsidRPr="00AC1AEC">
              <w:rPr>
                <w:rFonts w:ascii="Cambria" w:eastAsia="Arial" w:hAnsi="Cambria" w:cs="Arial"/>
                <w:i/>
                <w:sz w:val="18"/>
                <w:szCs w:val="18"/>
                <w:lang w:val="en-GB"/>
              </w:rPr>
              <w:t xml:space="preserve"> </w:t>
            </w:r>
          </w:p>
        </w:tc>
      </w:tr>
      <w:tr w:rsidR="00F07654" w:rsidRPr="001078BE" w14:paraId="2AFD3F06" w14:textId="77777777" w:rsidTr="1C638A97">
        <w:trPr>
          <w:trHeight w:val="448"/>
        </w:trPr>
        <w:tc>
          <w:tcPr>
            <w:tcW w:w="2881" w:type="dxa"/>
            <w:tcBorders>
              <w:top w:val="nil"/>
              <w:left w:val="nil"/>
              <w:bottom w:val="nil"/>
              <w:right w:val="nil"/>
            </w:tcBorders>
            <w:vAlign w:val="center"/>
          </w:tcPr>
          <w:p w14:paraId="52FE4AFE"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Contributors:  </w:t>
            </w:r>
          </w:p>
        </w:tc>
        <w:tc>
          <w:tcPr>
            <w:tcW w:w="5513" w:type="dxa"/>
            <w:tcBorders>
              <w:top w:val="nil"/>
              <w:left w:val="nil"/>
              <w:bottom w:val="nil"/>
              <w:right w:val="nil"/>
            </w:tcBorders>
            <w:vAlign w:val="center"/>
          </w:tcPr>
          <w:p w14:paraId="008FE2D2" w14:textId="15386C53" w:rsidR="00F07654" w:rsidRPr="001078BE" w:rsidRDefault="00A24A36" w:rsidP="00CE66AC">
            <w:pPr>
              <w:ind w:left="239"/>
              <w:jc w:val="both"/>
              <w:rPr>
                <w:rFonts w:ascii="Cambria" w:eastAsia="Garamond" w:hAnsi="Cambria" w:cs="Garamond"/>
                <w:color w:val="000000"/>
                <w:lang w:val="en-GB"/>
              </w:rPr>
            </w:pPr>
            <w:r w:rsidRPr="1C638A97">
              <w:rPr>
                <w:rFonts w:ascii="Cambria" w:eastAsia="Garamond" w:hAnsi="Cambria" w:cs="Garamond"/>
                <w:lang w:val="en-GB"/>
              </w:rPr>
              <w:t>Effective Governance</w:t>
            </w:r>
            <w:r w:rsidR="0C71300C" w:rsidRPr="1C638A97">
              <w:rPr>
                <w:rFonts w:ascii="Cambria" w:eastAsia="Garamond" w:hAnsi="Cambria" w:cs="Garamond"/>
                <w:lang w:val="en-GB"/>
              </w:rPr>
              <w:t xml:space="preserve"> </w:t>
            </w:r>
            <w:r w:rsidR="00F07654" w:rsidRPr="1C638A97">
              <w:rPr>
                <w:rFonts w:ascii="Cambria" w:eastAsia="Garamond" w:hAnsi="Cambria" w:cs="Garamond"/>
                <w:lang w:val="en-GB"/>
              </w:rPr>
              <w:t xml:space="preserve">Team Leader </w:t>
            </w:r>
            <w:r w:rsidR="0C71300C" w:rsidRPr="1C638A97">
              <w:rPr>
                <w:rFonts w:ascii="Cambria" w:eastAsia="Garamond" w:hAnsi="Cambria" w:cs="Garamond"/>
                <w:lang w:val="en-GB"/>
              </w:rPr>
              <w:t xml:space="preserve">and Deputy Team Leader, </w:t>
            </w:r>
          </w:p>
        </w:tc>
      </w:tr>
      <w:tr w:rsidR="00F07654" w:rsidRPr="001078BE" w14:paraId="1511C25E" w14:textId="77777777" w:rsidTr="1C638A97">
        <w:trPr>
          <w:trHeight w:val="326"/>
        </w:trPr>
        <w:tc>
          <w:tcPr>
            <w:tcW w:w="2881" w:type="dxa"/>
            <w:tcBorders>
              <w:top w:val="nil"/>
              <w:left w:val="nil"/>
              <w:bottom w:val="nil"/>
              <w:right w:val="nil"/>
            </w:tcBorders>
            <w:vAlign w:val="bottom"/>
          </w:tcPr>
          <w:p w14:paraId="50678D84"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Cleared by:  </w:t>
            </w:r>
          </w:p>
        </w:tc>
        <w:tc>
          <w:tcPr>
            <w:tcW w:w="5513" w:type="dxa"/>
            <w:tcBorders>
              <w:top w:val="nil"/>
              <w:left w:val="nil"/>
              <w:bottom w:val="nil"/>
              <w:right w:val="nil"/>
            </w:tcBorders>
            <w:vAlign w:val="bottom"/>
          </w:tcPr>
          <w:p w14:paraId="2FACD91C" w14:textId="47BCED46" w:rsidR="00F07654" w:rsidRPr="001078BE" w:rsidRDefault="00F07654" w:rsidP="00CE66AC">
            <w:pPr>
              <w:ind w:left="239"/>
              <w:rPr>
                <w:rFonts w:ascii="Cambria" w:eastAsia="Garamond" w:hAnsi="Cambria" w:cs="Garamond"/>
                <w:color w:val="000000"/>
                <w:lang w:val="en-GB"/>
              </w:rPr>
            </w:pPr>
            <w:r w:rsidRPr="001078BE">
              <w:rPr>
                <w:rFonts w:ascii="Cambria" w:eastAsia="Garamond" w:hAnsi="Cambria" w:cs="Garamond"/>
                <w:color w:val="000000"/>
                <w:lang w:val="en-GB"/>
              </w:rPr>
              <w:t>Deputy Resident Representative</w:t>
            </w:r>
          </w:p>
        </w:tc>
      </w:tr>
    </w:tbl>
    <w:p w14:paraId="28B907BA" w14:textId="1E1E8A06" w:rsidR="00F07654" w:rsidRPr="001078BE" w:rsidRDefault="00F07654" w:rsidP="00223A38">
      <w:pPr>
        <w:spacing w:after="0" w:line="240" w:lineRule="auto"/>
        <w:jc w:val="both"/>
        <w:rPr>
          <w:b/>
          <w:highlight w:val="lightGray"/>
          <w:lang w:val="en-GB"/>
        </w:rPr>
      </w:pPr>
    </w:p>
    <w:p w14:paraId="67E2305A" w14:textId="7EA9BBFA" w:rsidR="00E72287" w:rsidRPr="001078BE" w:rsidRDefault="006C0535" w:rsidP="00E72287">
      <w:pPr>
        <w:keepNext/>
        <w:keepLines/>
        <w:spacing w:after="14" w:line="249" w:lineRule="auto"/>
        <w:ind w:left="-5" w:hanging="10"/>
        <w:jc w:val="both"/>
        <w:rPr>
          <w:rFonts w:eastAsia="Garamond" w:cs="Garamond"/>
          <w:bCs/>
          <w:color w:val="000000"/>
          <w:sz w:val="32"/>
          <w:szCs w:val="32"/>
          <w:lang w:val="en-GB"/>
        </w:rPr>
      </w:pPr>
      <w:r>
        <w:rPr>
          <w:rFonts w:eastAsia="Garamond" w:cs="Garamond"/>
          <w:b/>
          <w:color w:val="000000"/>
          <w:sz w:val="32"/>
          <w:szCs w:val="32"/>
          <w:lang w:val="en-GB"/>
        </w:rPr>
        <w:lastRenderedPageBreak/>
        <w:t xml:space="preserve">Part I: </w:t>
      </w:r>
      <w:r w:rsidR="00E72287" w:rsidRPr="001078BE">
        <w:rPr>
          <w:rFonts w:eastAsia="Garamond" w:cs="Garamond"/>
          <w:b/>
          <w:color w:val="000000"/>
          <w:sz w:val="32"/>
          <w:szCs w:val="32"/>
          <w:lang w:val="en-GB"/>
        </w:rPr>
        <w:t xml:space="preserve">Context, </w:t>
      </w:r>
      <w:proofErr w:type="gramStart"/>
      <w:r w:rsidR="00E72287" w:rsidRPr="001078BE">
        <w:rPr>
          <w:rFonts w:eastAsia="Garamond" w:cs="Garamond"/>
          <w:b/>
          <w:color w:val="000000"/>
          <w:sz w:val="32"/>
          <w:szCs w:val="32"/>
          <w:lang w:val="en-GB"/>
        </w:rPr>
        <w:t>background</w:t>
      </w:r>
      <w:proofErr w:type="gramEnd"/>
      <w:r w:rsidR="00E72287" w:rsidRPr="001078BE">
        <w:rPr>
          <w:rFonts w:eastAsia="Garamond" w:cs="Garamond"/>
          <w:b/>
          <w:color w:val="000000"/>
          <w:sz w:val="32"/>
          <w:szCs w:val="32"/>
          <w:lang w:val="en-GB"/>
        </w:rPr>
        <w:t xml:space="preserve"> and findings</w:t>
      </w:r>
    </w:p>
    <w:p w14:paraId="31D19048" w14:textId="25A05072" w:rsidR="009C5C5A" w:rsidRDefault="009C5C5A" w:rsidP="00E72287">
      <w:pPr>
        <w:keepNext/>
        <w:keepLines/>
        <w:spacing w:after="14" w:line="249" w:lineRule="auto"/>
        <w:ind w:left="-5" w:hanging="10"/>
        <w:jc w:val="both"/>
        <w:rPr>
          <w:lang w:val="en-GB"/>
        </w:rPr>
      </w:pPr>
    </w:p>
    <w:p w14:paraId="123AEA93" w14:textId="040F381F" w:rsidR="005F7B62" w:rsidRDefault="005F7B62" w:rsidP="005F7B62">
      <w:pPr>
        <w:pStyle w:val="ListParagraph"/>
        <w:keepNext/>
        <w:keepLines/>
        <w:numPr>
          <w:ilvl w:val="0"/>
          <w:numId w:val="36"/>
        </w:numPr>
        <w:spacing w:after="14" w:line="249" w:lineRule="auto"/>
        <w:jc w:val="both"/>
        <w:rPr>
          <w:b/>
          <w:bCs/>
          <w:lang w:val="en-GB"/>
        </w:rPr>
      </w:pPr>
      <w:r w:rsidRPr="00AD7C38">
        <w:rPr>
          <w:b/>
          <w:bCs/>
          <w:lang w:val="en-GB"/>
        </w:rPr>
        <w:t>Context</w:t>
      </w:r>
    </w:p>
    <w:p w14:paraId="56E8AD4A" w14:textId="22949B41" w:rsidR="00AC1AEC" w:rsidRPr="00AC1AEC" w:rsidRDefault="00556DDD" w:rsidP="00AC1AEC">
      <w:pPr>
        <w:keepNext/>
        <w:keepLines/>
        <w:spacing w:after="14" w:line="249" w:lineRule="auto"/>
        <w:jc w:val="both"/>
        <w:rPr>
          <w:b/>
          <w:bCs/>
          <w:lang w:val="en-GB"/>
        </w:rPr>
      </w:pPr>
      <w:r w:rsidRPr="00E04835">
        <w:t>The development challenge is to strengthen Parliament and supreme audit institution function in public financial management across the Pacific Islands region, with a specific focus on parliament’s role in budget scrutiny; effective external audit of government budget execution by the supreme audit institutions (component delivered in cooperation with PASAI ), inclusion of citizens and civil society in budget processes,  thorough and transparent parliamentary oversight of the external audit, and follow-up with government on recommendations. The project will support capacity development for Parliament, supreme audit institutions (that report to Parliament) so that parliaments are enabled to engage citizens and reflect their development needs in budget scrutiny and budget oversight work as part of a robust system of finance oversight and accountability. The project will  establish a baseline understanding of the PFM capacities and challenges of parliaments and SAIs in the region, and enabling measurement of progress and identification of capacity development needs areas, and on this basis, 1) create a collaborative parliamentary rapid budget analysis capacity across the region, and 2) support improved budgetary external audit and parliamentary and civil society oversight, ensuring follow-up on recommended improvements to government PFM processes. The project emphasizes transparency and citizen and civil society engagement in PFM processes, such as with preparation of a citizen budget, the opportunity for citizens to provide input and dialogue with MPs regarding budget proposals, oversight recommendations and take initiatives for oversight of overall PFM issues including anti-corruption related ones. The project contains a specific capacity development element on climate change in recognition of the crucial importance of climate change (especially for Pacific Island Countries) and the necessity of building strong and accountable national systems for managing climate change funds; parliaments and supreme audit institutions, engaged with citizens and civil society, will need to be ready to play important oversight roles in this area. The project will have a regional scope, with learning activities engaging countries in the Pacific region. While selected focus countries will benefit from intensive support, lessons from the activities conducted in these focus countries will also be shared in regional learning events. The project fosters south-south collaboration through providing capacity development opportunities across the region</w:t>
      </w:r>
    </w:p>
    <w:p w14:paraId="22996016" w14:textId="77777777" w:rsidR="005F7B62" w:rsidRPr="005F7B62" w:rsidRDefault="005F7B62" w:rsidP="005F7B62">
      <w:pPr>
        <w:pStyle w:val="ListParagraph"/>
        <w:keepNext/>
        <w:keepLines/>
        <w:spacing w:after="14" w:line="249" w:lineRule="auto"/>
        <w:ind w:left="705"/>
        <w:jc w:val="both"/>
        <w:rPr>
          <w:lang w:val="en-GB"/>
        </w:rPr>
      </w:pPr>
    </w:p>
    <w:p w14:paraId="23606ED8" w14:textId="4F46DFA8" w:rsidR="00E96748" w:rsidRPr="00AD7C38" w:rsidRDefault="00E96748" w:rsidP="00AD7C38">
      <w:pPr>
        <w:pStyle w:val="ListParagraph"/>
        <w:keepNext/>
        <w:keepLines/>
        <w:numPr>
          <w:ilvl w:val="0"/>
          <w:numId w:val="36"/>
        </w:numPr>
        <w:spacing w:after="14" w:line="249" w:lineRule="auto"/>
        <w:jc w:val="both"/>
        <w:rPr>
          <w:b/>
          <w:bCs/>
          <w:lang w:val="en-GB"/>
        </w:rPr>
      </w:pPr>
      <w:r w:rsidRPr="00AD7C38">
        <w:rPr>
          <w:b/>
          <w:bCs/>
          <w:lang w:val="en-GB"/>
        </w:rPr>
        <w:t>Background</w:t>
      </w:r>
    </w:p>
    <w:p w14:paraId="6CF7ED3C" w14:textId="0670861E" w:rsidR="00E96748" w:rsidRPr="00E04835" w:rsidRDefault="00E96748" w:rsidP="00752A40">
      <w:pPr>
        <w:keepNext/>
        <w:keepLines/>
        <w:spacing w:after="14" w:line="249" w:lineRule="auto"/>
        <w:ind w:left="-5" w:hanging="10"/>
        <w:jc w:val="both"/>
        <w:rPr>
          <w:lang w:val="en-GB"/>
        </w:rPr>
      </w:pPr>
    </w:p>
    <w:p w14:paraId="7FE8394F" w14:textId="004CE3A5" w:rsidR="00556DDD" w:rsidRDefault="00556DDD" w:rsidP="00556DDD">
      <w:pPr>
        <w:jc w:val="both"/>
      </w:pPr>
      <w:r w:rsidRPr="00BC3F7F">
        <w:t xml:space="preserve">Effective public financial management is a necessary foundation for states to provide services to meet the human development needs of their populations. Accountability and transparency of public financial management are prerequisites for effective management, to ensure that resources are allocated according to community needs. Within democratic states, parliaments play a crucial role throughout the budget cycle; in the pre-budget phase when they gather public perspectives, during budget ex-ante scrutiny and approval phase when they closely scrutinize the government’s budgetary proposals, during the fiscal year when they monitor expenditures, and at the end of the year when they review budget performance through scrutiny of the audit reports and by making recommendations to government on future improvements. The Parliament, through its elected members, acts as the direct interlocutor between the citizen and the state. In its budget work, particularly at the audit phase, the Parliament works closely with the Supreme Audit Institution. The form of the SAI varies across countries; in the countries of the Pacific region following a Westminster governance model, the SAI is typically the Office of the Auditor General. Parliaments also have an important role in facilitating citizens’ input into governance processes, within which the budget </w:t>
      </w:r>
      <w:r w:rsidRPr="00BC3F7F">
        <w:lastRenderedPageBreak/>
        <w:t xml:space="preserve">process is fundamental. Civil society organizations act to mobilize and focus citizen perspectives on PFM, including enabling them to be effectively incorporated through parliament. People and communities need to be able to contribute to and benefit from the inclusive, informed decision making. </w:t>
      </w:r>
    </w:p>
    <w:p w14:paraId="6373E78F" w14:textId="77777777" w:rsidR="00556DDD" w:rsidRPr="00BC3F7F" w:rsidRDefault="00556DDD" w:rsidP="00556DDD">
      <w:pPr>
        <w:jc w:val="both"/>
      </w:pPr>
      <w:r w:rsidRPr="00BC3F7F">
        <w:t xml:space="preserve">The countries of the Pacific region, many of which have small populations and big development challenges, including the impacts of climate change, have strong incentives to strengthen PFM. Not only does efficient PFM ensure that limited fiscal resources are best used to address development needs, </w:t>
      </w:r>
      <w:proofErr w:type="gramStart"/>
      <w:r w:rsidRPr="00BC3F7F">
        <w:t>many states within the region receive</w:t>
      </w:r>
      <w:proofErr w:type="gramEnd"/>
      <w:r w:rsidRPr="00BC3F7F">
        <w:t xml:space="preserve"> substantial development funds from donors through budget support mechanisms that require strong national PFM systems to justify resource transfer. Looking forward, as climate change funds are established, and states seek to directly access these resources rather than through intermediaries, they will be required to demonstrate strong fiscal management capacities. </w:t>
      </w:r>
    </w:p>
    <w:p w14:paraId="7087485D" w14:textId="77777777" w:rsidR="00556DDD" w:rsidRPr="00BC3F7F" w:rsidRDefault="00556DDD" w:rsidP="00556DDD">
      <w:pPr>
        <w:jc w:val="both"/>
      </w:pPr>
      <w:r w:rsidRPr="00BC3F7F">
        <w:t xml:space="preserve">The European Union has engaged in a multi-pronged initiative to support strengthened PFM, working with different partners in a coordinated manner to support enhanced PFM in the region, in the "Strengthening Public Finance Management and Governance in the Pacific Project". These partners include IMF/PFTAC, the University of the South Pacific and UNDP in cooperation with PASAI. The overall initiative will be coordinated through the Pacific Islands Forum Secretariat (PIFS). Within this broader framework, UNDP will focus on parliament, civil society engagement, and through PASAI on SAIs.  </w:t>
      </w:r>
    </w:p>
    <w:p w14:paraId="63E329A9" w14:textId="77777777" w:rsidR="00556DDD" w:rsidRPr="00BC3F7F" w:rsidRDefault="00556DDD" w:rsidP="00556DDD">
      <w:pPr>
        <w:jc w:val="both"/>
      </w:pPr>
      <w:r w:rsidRPr="00BC3F7F">
        <w:t>In terms of UNDP policy framework, the strategy of the project is aligned with Outcome 5, Effective governance for service delivery, of the UNDP Sub Regional Programme Document for the Pacific Island Countries and Territories (2018-2022). The action aligns closely with the analysis and strategy outlined in Outcome 5, which focuses on providing support to “inclusive, informed and transparent decision-making processes, [and] accountable and responsive institutions”, including focus on strengthening of parliament and state institutions, CSO and citizen engagement, women’s empowerment, and assuring effective management of climate change finance.</w:t>
      </w:r>
    </w:p>
    <w:p w14:paraId="287D0527" w14:textId="77777777" w:rsidR="00D24B93" w:rsidRDefault="00D24B93" w:rsidP="00D66F55">
      <w:pPr>
        <w:rPr>
          <w:b/>
          <w:sz w:val="32"/>
          <w:szCs w:val="32"/>
          <w:lang w:val="en-GB"/>
        </w:rPr>
      </w:pPr>
    </w:p>
    <w:p w14:paraId="073ACB21" w14:textId="77777777" w:rsidR="00D24B93" w:rsidRDefault="00D24B93" w:rsidP="00D66F55">
      <w:pPr>
        <w:rPr>
          <w:b/>
          <w:sz w:val="32"/>
          <w:szCs w:val="32"/>
          <w:lang w:val="en-GB"/>
        </w:rPr>
      </w:pPr>
    </w:p>
    <w:p w14:paraId="73804807" w14:textId="5F3B766B" w:rsidR="00D66F55" w:rsidRPr="001078BE" w:rsidRDefault="006C0535" w:rsidP="00D66F55">
      <w:pPr>
        <w:rPr>
          <w:b/>
          <w:sz w:val="32"/>
          <w:szCs w:val="32"/>
          <w:lang w:val="en-GB"/>
        </w:rPr>
      </w:pPr>
      <w:r>
        <w:rPr>
          <w:b/>
          <w:sz w:val="32"/>
          <w:szCs w:val="32"/>
          <w:lang w:val="en-GB"/>
        </w:rPr>
        <w:t xml:space="preserve">Part II - </w:t>
      </w:r>
      <w:r w:rsidR="00D66F55" w:rsidRPr="001078BE">
        <w:rPr>
          <w:b/>
          <w:sz w:val="32"/>
          <w:szCs w:val="32"/>
          <w:lang w:val="en-GB"/>
        </w:rPr>
        <w:t>Recommendations and management response</w:t>
      </w: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222497" w:rsidRPr="001078BE" w14:paraId="668E8CDF" w14:textId="77777777" w:rsidTr="1C638A97">
        <w:trPr>
          <w:trHeight w:val="135"/>
        </w:trPr>
        <w:tc>
          <w:tcPr>
            <w:tcW w:w="2932" w:type="dxa"/>
            <w:shd w:val="clear" w:color="auto" w:fill="F3F3F3"/>
          </w:tcPr>
          <w:p w14:paraId="475BD7D7" w14:textId="4AA3A59B" w:rsidR="00222497" w:rsidRPr="001078BE" w:rsidRDefault="00F73041" w:rsidP="00222497">
            <w:pPr>
              <w:tabs>
                <w:tab w:val="left" w:pos="1080"/>
              </w:tabs>
              <w:spacing w:line="240" w:lineRule="auto"/>
              <w:jc w:val="both"/>
              <w:rPr>
                <w:b/>
                <w:sz w:val="20"/>
                <w:szCs w:val="20"/>
                <w:lang w:val="en-GB"/>
              </w:rPr>
            </w:pPr>
            <w:r w:rsidRPr="001078BE">
              <w:rPr>
                <w:b/>
                <w:sz w:val="20"/>
                <w:szCs w:val="20"/>
                <w:lang w:val="en-GB"/>
              </w:rPr>
              <w:t xml:space="preserve">Final Terminal Evaluation </w:t>
            </w:r>
            <w:r w:rsidR="00222497" w:rsidRPr="001078BE">
              <w:rPr>
                <w:b/>
                <w:sz w:val="20"/>
                <w:szCs w:val="20"/>
                <w:lang w:val="en-GB"/>
              </w:rPr>
              <w:t>Recommendation</w:t>
            </w:r>
          </w:p>
        </w:tc>
        <w:tc>
          <w:tcPr>
            <w:tcW w:w="7700" w:type="dxa"/>
            <w:gridSpan w:val="4"/>
            <w:shd w:val="clear" w:color="auto" w:fill="F3F3F3"/>
          </w:tcPr>
          <w:p w14:paraId="29741D23" w14:textId="06049C83" w:rsidR="00222497" w:rsidRPr="001078BE" w:rsidRDefault="00F73041" w:rsidP="00222497">
            <w:pPr>
              <w:tabs>
                <w:tab w:val="left" w:pos="1080"/>
              </w:tabs>
              <w:spacing w:line="240" w:lineRule="auto"/>
              <w:jc w:val="both"/>
              <w:rPr>
                <w:b/>
                <w:sz w:val="20"/>
                <w:szCs w:val="20"/>
                <w:lang w:val="en-GB"/>
              </w:rPr>
            </w:pPr>
            <w:r w:rsidRPr="001078BE">
              <w:rPr>
                <w:lang w:val="en-GB"/>
              </w:rPr>
              <w:t xml:space="preserve">Recommendation 1: </w:t>
            </w:r>
            <w:r w:rsidR="004359B5">
              <w:t xml:space="preserve">The FEC recommends </w:t>
            </w:r>
            <w:proofErr w:type="gramStart"/>
            <w:r w:rsidR="004359B5">
              <w:t>to</w:t>
            </w:r>
            <w:r w:rsidR="00563302">
              <w:t xml:space="preserve"> </w:t>
            </w:r>
            <w:r w:rsidR="004359B5">
              <w:t>continue</w:t>
            </w:r>
            <w:proofErr w:type="gramEnd"/>
            <w:r w:rsidR="004359B5">
              <w:t xml:space="preserve"> with initiated activities and regionally-focused support to improving budgetary oversight and further enhancing transparency and accountability systems in participating countries</w:t>
            </w:r>
          </w:p>
        </w:tc>
      </w:tr>
      <w:tr w:rsidR="00222497" w:rsidRPr="001078BE" w14:paraId="617BF034" w14:textId="77777777" w:rsidTr="1C638A97">
        <w:trPr>
          <w:trHeight w:val="135"/>
        </w:trPr>
        <w:tc>
          <w:tcPr>
            <w:tcW w:w="2932" w:type="dxa"/>
            <w:shd w:val="clear" w:color="auto" w:fill="F3F3F3"/>
          </w:tcPr>
          <w:p w14:paraId="66E2FBE0" w14:textId="1FA4DB41" w:rsidR="00222497" w:rsidRPr="001078BE" w:rsidRDefault="00222497" w:rsidP="00222497">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79EBADEA" w14:textId="7BFCD3A7" w:rsidR="00222497" w:rsidRPr="00322B30" w:rsidRDefault="00563302" w:rsidP="00A24A36">
            <w:pPr>
              <w:tabs>
                <w:tab w:val="left" w:pos="1080"/>
              </w:tabs>
              <w:spacing w:line="240" w:lineRule="auto"/>
              <w:jc w:val="both"/>
              <w:rPr>
                <w:rFonts w:eastAsia="Times New Roman" w:cstheme="minorHAnsi"/>
                <w:color w:val="000000"/>
                <w:lang w:eastAsia="en-CA"/>
              </w:rPr>
            </w:pPr>
            <w:r w:rsidRPr="00A24A36">
              <w:t>Fully Accepted.</w:t>
            </w:r>
            <w:r w:rsidR="002438F2" w:rsidRPr="00A24A36">
              <w:t xml:space="preserve"> </w:t>
            </w:r>
            <w:r w:rsidR="00322B30" w:rsidRPr="00A24A36">
              <w:t>Phase 2 design involves the strengthening of emerging and confirmed partnerships for the implementation process of the project.</w:t>
            </w:r>
          </w:p>
        </w:tc>
      </w:tr>
      <w:tr w:rsidR="000605FF" w:rsidRPr="001078BE" w14:paraId="523D869D" w14:textId="77777777" w:rsidTr="1C638A97">
        <w:trPr>
          <w:trHeight w:val="135"/>
        </w:trPr>
        <w:tc>
          <w:tcPr>
            <w:tcW w:w="2932" w:type="dxa"/>
            <w:vMerge w:val="restart"/>
            <w:shd w:val="clear" w:color="auto" w:fill="F3F3F3"/>
          </w:tcPr>
          <w:p w14:paraId="5DF37A93"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lastRenderedPageBreak/>
              <w:t>Key action(s)</w:t>
            </w:r>
          </w:p>
        </w:tc>
        <w:tc>
          <w:tcPr>
            <w:tcW w:w="1663" w:type="dxa"/>
            <w:vMerge w:val="restart"/>
            <w:shd w:val="clear" w:color="auto" w:fill="F3F3F3"/>
          </w:tcPr>
          <w:p w14:paraId="60B248F8"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32A63DB1"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2E9982D9"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3"/>
            </w:r>
          </w:p>
        </w:tc>
      </w:tr>
      <w:tr w:rsidR="000605FF" w:rsidRPr="001078BE" w14:paraId="42B5CBD2" w14:textId="77777777" w:rsidTr="1C638A97">
        <w:trPr>
          <w:trHeight w:val="135"/>
        </w:trPr>
        <w:tc>
          <w:tcPr>
            <w:tcW w:w="2932" w:type="dxa"/>
            <w:vMerge/>
          </w:tcPr>
          <w:p w14:paraId="1D620F54" w14:textId="77777777" w:rsidR="000605FF" w:rsidRPr="001078BE" w:rsidRDefault="000605FF" w:rsidP="004A70FA">
            <w:pPr>
              <w:tabs>
                <w:tab w:val="left" w:pos="1080"/>
              </w:tabs>
              <w:spacing w:line="240" w:lineRule="auto"/>
              <w:rPr>
                <w:sz w:val="20"/>
                <w:szCs w:val="20"/>
                <w:lang w:val="en-GB"/>
              </w:rPr>
            </w:pPr>
          </w:p>
        </w:tc>
        <w:tc>
          <w:tcPr>
            <w:tcW w:w="1663" w:type="dxa"/>
            <w:vMerge/>
          </w:tcPr>
          <w:p w14:paraId="55F2B845" w14:textId="77777777" w:rsidR="000605FF" w:rsidRPr="001078BE" w:rsidRDefault="000605FF" w:rsidP="004A70FA">
            <w:pPr>
              <w:tabs>
                <w:tab w:val="left" w:pos="1080"/>
              </w:tabs>
              <w:spacing w:line="240" w:lineRule="auto"/>
              <w:rPr>
                <w:b/>
                <w:sz w:val="20"/>
                <w:szCs w:val="20"/>
                <w:lang w:val="en-GB"/>
              </w:rPr>
            </w:pPr>
          </w:p>
        </w:tc>
        <w:tc>
          <w:tcPr>
            <w:tcW w:w="1590" w:type="dxa"/>
            <w:vMerge/>
          </w:tcPr>
          <w:p w14:paraId="5B941617" w14:textId="77777777" w:rsidR="000605FF" w:rsidRPr="001078BE" w:rsidRDefault="000605FF" w:rsidP="004A70FA">
            <w:pPr>
              <w:tabs>
                <w:tab w:val="left" w:pos="1080"/>
              </w:tabs>
              <w:spacing w:line="240" w:lineRule="auto"/>
              <w:rPr>
                <w:b/>
                <w:sz w:val="20"/>
                <w:szCs w:val="20"/>
                <w:lang w:val="en-GB"/>
              </w:rPr>
            </w:pPr>
          </w:p>
        </w:tc>
        <w:tc>
          <w:tcPr>
            <w:tcW w:w="2375" w:type="dxa"/>
          </w:tcPr>
          <w:p w14:paraId="5B206731"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05239FCA"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4"/>
            </w:r>
          </w:p>
        </w:tc>
      </w:tr>
      <w:tr w:rsidR="00EB59C4" w:rsidRPr="001078BE" w14:paraId="29C518A2" w14:textId="77777777" w:rsidTr="1C638A97">
        <w:trPr>
          <w:trHeight w:val="646"/>
        </w:trPr>
        <w:tc>
          <w:tcPr>
            <w:tcW w:w="2932" w:type="dxa"/>
          </w:tcPr>
          <w:p w14:paraId="5358FD0C" w14:textId="1514F581" w:rsidR="00F26294" w:rsidRPr="002438F2" w:rsidRDefault="002438F2" w:rsidP="004E2D9D">
            <w:pPr>
              <w:pStyle w:val="ListParagraph"/>
              <w:spacing w:after="0" w:line="240" w:lineRule="auto"/>
              <w:ind w:left="599"/>
              <w:rPr>
                <w:rFonts w:cs="Arial"/>
                <w:color w:val="FF0000"/>
                <w:sz w:val="20"/>
                <w:szCs w:val="20"/>
                <w:lang w:val="en-GB"/>
              </w:rPr>
            </w:pPr>
            <w:r w:rsidRPr="002438F2">
              <w:rPr>
                <w:rFonts w:eastAsia="Times New Roman" w:cstheme="minorHAnsi"/>
                <w:color w:val="000000"/>
                <w:sz w:val="20"/>
                <w:szCs w:val="20"/>
                <w:lang w:eastAsia="en-CA"/>
              </w:rPr>
              <w:t>New phase to incorporate strong regional component, possibility to work at the sub-national level and strong South-South dimension</w:t>
            </w:r>
          </w:p>
        </w:tc>
        <w:tc>
          <w:tcPr>
            <w:tcW w:w="1663" w:type="dxa"/>
          </w:tcPr>
          <w:p w14:paraId="703FED72" w14:textId="77777777" w:rsidR="00EB59C4" w:rsidRPr="009F2522" w:rsidRDefault="00EB59C4">
            <w:pPr>
              <w:tabs>
                <w:tab w:val="left" w:pos="1080"/>
              </w:tabs>
              <w:spacing w:after="0" w:line="240" w:lineRule="auto"/>
              <w:rPr>
                <w:rFonts w:cs="Arial"/>
                <w:sz w:val="18"/>
                <w:szCs w:val="18"/>
                <w:lang w:val="en-GB"/>
              </w:rPr>
            </w:pPr>
          </w:p>
          <w:p w14:paraId="100D1B2C" w14:textId="77777777" w:rsidR="00AC1AEC" w:rsidRPr="009F2522" w:rsidRDefault="00AC1AEC">
            <w:pPr>
              <w:tabs>
                <w:tab w:val="left" w:pos="1080"/>
              </w:tabs>
              <w:spacing w:after="0" w:line="240" w:lineRule="auto"/>
              <w:rPr>
                <w:rFonts w:cs="Arial"/>
                <w:sz w:val="18"/>
                <w:szCs w:val="18"/>
                <w:lang w:val="en-GB"/>
              </w:rPr>
            </w:pPr>
          </w:p>
          <w:p w14:paraId="17F09352" w14:textId="3CFAFF75" w:rsidR="00AC1AEC" w:rsidRPr="009F2522" w:rsidRDefault="00AC1AEC">
            <w:pPr>
              <w:tabs>
                <w:tab w:val="left" w:pos="1080"/>
              </w:tabs>
              <w:spacing w:after="0" w:line="240" w:lineRule="auto"/>
              <w:rPr>
                <w:rFonts w:cs="Arial"/>
                <w:sz w:val="18"/>
                <w:szCs w:val="18"/>
                <w:lang w:val="en-GB"/>
              </w:rPr>
            </w:pPr>
            <w:r w:rsidRPr="009F2522">
              <w:rPr>
                <w:rFonts w:cs="Arial"/>
                <w:sz w:val="18"/>
                <w:szCs w:val="18"/>
                <w:lang w:val="en-GB"/>
              </w:rPr>
              <w:t>August 2022</w:t>
            </w:r>
          </w:p>
        </w:tc>
        <w:tc>
          <w:tcPr>
            <w:tcW w:w="1590" w:type="dxa"/>
            <w:vAlign w:val="center"/>
          </w:tcPr>
          <w:p w14:paraId="03508217" w14:textId="137401E9" w:rsidR="00EB59C4" w:rsidRPr="009F2522" w:rsidRDefault="00230C6F" w:rsidP="00A24A36">
            <w:pPr>
              <w:tabs>
                <w:tab w:val="left" w:pos="1080"/>
              </w:tabs>
              <w:spacing w:after="0" w:line="240" w:lineRule="auto"/>
              <w:rPr>
                <w:rFonts w:cs="Arial"/>
                <w:sz w:val="18"/>
                <w:szCs w:val="18"/>
                <w:lang w:val="en-GB"/>
              </w:rPr>
            </w:pPr>
            <w:r w:rsidRPr="009F2522">
              <w:rPr>
                <w:rFonts w:cs="Arial"/>
                <w:sz w:val="18"/>
                <w:szCs w:val="18"/>
                <w:lang w:val="en-GB"/>
              </w:rPr>
              <w:t xml:space="preserve">Effective </w:t>
            </w:r>
            <w:r w:rsidR="004F7726" w:rsidRPr="009F2522">
              <w:rPr>
                <w:rFonts w:cs="Arial"/>
                <w:sz w:val="18"/>
                <w:szCs w:val="18"/>
                <w:lang w:val="en-GB"/>
              </w:rPr>
              <w:t>Governance</w:t>
            </w:r>
            <w:r w:rsidR="00111214">
              <w:rPr>
                <w:rFonts w:cs="Arial"/>
                <w:sz w:val="18"/>
                <w:szCs w:val="18"/>
                <w:lang w:val="en-GB"/>
              </w:rPr>
              <w:t xml:space="preserve"> with support to IRMU and DRR</w:t>
            </w:r>
          </w:p>
        </w:tc>
        <w:tc>
          <w:tcPr>
            <w:tcW w:w="2375" w:type="dxa"/>
          </w:tcPr>
          <w:p w14:paraId="429B62E7" w14:textId="29546D18" w:rsidR="00EB59C4" w:rsidRPr="00213EA1" w:rsidRDefault="001E2406" w:rsidP="1C638A97">
            <w:pPr>
              <w:tabs>
                <w:tab w:val="left" w:pos="1080"/>
              </w:tabs>
              <w:spacing w:after="0" w:line="240" w:lineRule="auto"/>
              <w:rPr>
                <w:rFonts w:cs="Arial"/>
                <w:sz w:val="18"/>
                <w:szCs w:val="18"/>
                <w:lang w:val="en-GB"/>
              </w:rPr>
            </w:pPr>
            <w:r w:rsidRPr="00213EA1">
              <w:rPr>
                <w:rFonts w:cs="Arial"/>
                <w:sz w:val="18"/>
                <w:szCs w:val="18"/>
                <w:lang w:val="en-GB"/>
              </w:rPr>
              <w:t>UNDP and EU Delegation to work jointly on implementation</w:t>
            </w:r>
          </w:p>
        </w:tc>
        <w:tc>
          <w:tcPr>
            <w:tcW w:w="2072" w:type="dxa"/>
          </w:tcPr>
          <w:p w14:paraId="5E2E1AC0" w14:textId="1CD5BAEF" w:rsidR="00EB59C4" w:rsidRPr="00213EA1" w:rsidRDefault="001E2406" w:rsidP="1C638A97">
            <w:pPr>
              <w:tabs>
                <w:tab w:val="left" w:pos="1080"/>
              </w:tabs>
              <w:spacing w:after="0" w:line="240" w:lineRule="auto"/>
              <w:rPr>
                <w:rFonts w:cs="Arial"/>
                <w:sz w:val="18"/>
                <w:szCs w:val="18"/>
                <w:lang w:val="en-GB"/>
              </w:rPr>
            </w:pPr>
            <w:r w:rsidRPr="00213EA1">
              <w:rPr>
                <w:rFonts w:cs="Arial"/>
                <w:sz w:val="18"/>
                <w:szCs w:val="18"/>
                <w:lang w:val="en-GB"/>
              </w:rPr>
              <w:t>Completed. Project document including strong regional component submitted to the EU delegation in March 2022.</w:t>
            </w:r>
          </w:p>
        </w:tc>
      </w:tr>
    </w:tbl>
    <w:p w14:paraId="78783F6C" w14:textId="3D784678" w:rsidR="006C688B" w:rsidRPr="001078BE" w:rsidRDefault="006C688B" w:rsidP="00F02961">
      <w:pPr>
        <w:spacing w:after="0" w:line="240" w:lineRule="auto"/>
        <w:jc w:val="both"/>
        <w:rPr>
          <w:rFonts w:ascii="Myriad Pro" w:hAnsi="Myriad Pro"/>
          <w:b/>
          <w:highlight w:val="lightGray"/>
          <w:lang w:val="en-GB"/>
        </w:rPr>
      </w:pPr>
    </w:p>
    <w:p w14:paraId="4A3445D5" w14:textId="77777777" w:rsidR="0088049F" w:rsidRPr="001078BE" w:rsidRDefault="0088049F" w:rsidP="00F02961">
      <w:pPr>
        <w:spacing w:after="0" w:line="240" w:lineRule="auto"/>
        <w:jc w:val="both"/>
        <w:rPr>
          <w:rFonts w:ascii="Myriad Pro" w:hAnsi="Myriad Pro"/>
          <w:b/>
          <w:highlight w:val="lightGray"/>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2438F2" w:rsidRPr="001078BE" w14:paraId="7806A4B5" w14:textId="77777777" w:rsidTr="1C638A97">
        <w:trPr>
          <w:trHeight w:val="135"/>
        </w:trPr>
        <w:tc>
          <w:tcPr>
            <w:tcW w:w="2932" w:type="dxa"/>
            <w:shd w:val="clear" w:color="auto" w:fill="F3F3F3"/>
          </w:tcPr>
          <w:p w14:paraId="666299D5" w14:textId="4176E1E2" w:rsidR="002438F2" w:rsidRPr="001078BE" w:rsidRDefault="002438F2" w:rsidP="002438F2">
            <w:pPr>
              <w:tabs>
                <w:tab w:val="left" w:pos="1080"/>
              </w:tabs>
              <w:spacing w:line="240" w:lineRule="auto"/>
              <w:jc w:val="both"/>
              <w:rPr>
                <w:b/>
                <w:sz w:val="20"/>
                <w:szCs w:val="20"/>
                <w:lang w:val="en-GB"/>
              </w:rPr>
            </w:pPr>
            <w:bookmarkStart w:id="0" w:name="_Hlk102985845"/>
            <w:r w:rsidRPr="001078BE">
              <w:rPr>
                <w:b/>
                <w:sz w:val="20"/>
                <w:szCs w:val="20"/>
                <w:lang w:val="en-GB"/>
              </w:rPr>
              <w:t>Final Terminal Evaluation Recommendation</w:t>
            </w:r>
          </w:p>
        </w:tc>
        <w:tc>
          <w:tcPr>
            <w:tcW w:w="7700" w:type="dxa"/>
            <w:gridSpan w:val="4"/>
            <w:shd w:val="clear" w:color="auto" w:fill="F3F3F3"/>
          </w:tcPr>
          <w:p w14:paraId="6FB46EAC" w14:textId="240A5950" w:rsidR="002438F2" w:rsidRPr="00A24A36" w:rsidRDefault="002438F2" w:rsidP="00A24A36">
            <w:pPr>
              <w:tabs>
                <w:tab w:val="left" w:pos="1080"/>
              </w:tabs>
              <w:spacing w:line="240" w:lineRule="auto"/>
              <w:jc w:val="both"/>
            </w:pPr>
            <w:r w:rsidRPr="00A24A36">
              <w:t>Recommendation 2: Facilitate citizens participation in budgetary processes by enhancing the understanding of the public finances and the need for their involvement in budgetary processes</w:t>
            </w:r>
            <w:r w:rsidR="00563302" w:rsidRPr="00A24A36">
              <w:t>.</w:t>
            </w:r>
            <w:r w:rsidRPr="00A24A36">
              <w:t xml:space="preserve"> The FEC recommends exploring opportunities to expand activities to enhance understanding of the public finance, especially among citizens. This could include public advocacy activities, public </w:t>
            </w:r>
            <w:proofErr w:type="gramStart"/>
            <w:r w:rsidRPr="00A24A36">
              <w:t>discussions</w:t>
            </w:r>
            <w:proofErr w:type="gramEnd"/>
            <w:r w:rsidRPr="00A24A36">
              <w:t xml:space="preserve"> and awareness events. These initiatives could benefit from using social media for involving and informing citizens on budgeting process. Some of the new platforms such as Tik Tok, Instagram, twitter, twitch, etc could be adjusted to serve the purpose of informing and involving citizens, especially youth, in budgetary process and policy making activities</w:t>
            </w:r>
            <w:r w:rsidR="00563302" w:rsidRPr="00A24A36">
              <w:t>.</w:t>
            </w:r>
            <w:r w:rsidRPr="00A24A36">
              <w:t xml:space="preserve"> The FEC recommends </w:t>
            </w:r>
            <w:proofErr w:type="gramStart"/>
            <w:r w:rsidRPr="00A24A36">
              <w:t>to expand</w:t>
            </w:r>
            <w:proofErr w:type="gramEnd"/>
            <w:r w:rsidRPr="00A24A36">
              <w:t xml:space="preserve"> the grants (for PIANGO, but also for NLUs and for mentorship), to continue supporting innovative public finance/ budgetary oversight initiatives and strengthen activities for more active citizens involvement. There are other topics that are relevant for the region in the context of transparency in the public finance management system and the FEC recommends considering these topics. For example, addressing the adverse effects of the COVID-19 pandemic on public finance, further expand climate change efforts by exploring opportunities to move to a clean, circular economy through policies and budget allocations</w:t>
            </w:r>
            <w:r>
              <w:t>.</w:t>
            </w:r>
          </w:p>
        </w:tc>
      </w:tr>
      <w:tr w:rsidR="002438F2" w:rsidRPr="001078BE" w14:paraId="05AD73EB" w14:textId="77777777" w:rsidTr="1C638A97">
        <w:trPr>
          <w:trHeight w:val="135"/>
        </w:trPr>
        <w:tc>
          <w:tcPr>
            <w:tcW w:w="2932" w:type="dxa"/>
            <w:shd w:val="clear" w:color="auto" w:fill="F3F3F3"/>
          </w:tcPr>
          <w:p w14:paraId="31E9A712" w14:textId="77777777" w:rsidR="002438F2" w:rsidRPr="001078BE" w:rsidRDefault="002438F2" w:rsidP="002438F2">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1A15ED56" w14:textId="0D5C31A2" w:rsidR="002438F2" w:rsidRPr="00A24A36" w:rsidRDefault="00563302" w:rsidP="00A24A36">
            <w:pPr>
              <w:tabs>
                <w:tab w:val="left" w:pos="1080"/>
              </w:tabs>
              <w:spacing w:line="240" w:lineRule="auto"/>
              <w:jc w:val="both"/>
            </w:pPr>
            <w:r w:rsidRPr="00A24A36">
              <w:t xml:space="preserve">Fully accepted. </w:t>
            </w:r>
            <w:r w:rsidR="002438F2" w:rsidRPr="00A24A36">
              <w:t xml:space="preserve"> </w:t>
            </w:r>
            <w:r w:rsidR="00D85874" w:rsidRPr="00A24A36">
              <w:t>This point has been fully incorporated in the project Phase 2 design working with regional innovation networks to enable forward-thinking and visionary solutions for public finance and governance in the Pacific.</w:t>
            </w:r>
          </w:p>
          <w:p w14:paraId="6BBB25FE" w14:textId="5E2C45E9" w:rsidR="002438F2" w:rsidRPr="00A24A36" w:rsidRDefault="002438F2" w:rsidP="00A24A36">
            <w:pPr>
              <w:tabs>
                <w:tab w:val="left" w:pos="1080"/>
              </w:tabs>
              <w:spacing w:line="240" w:lineRule="auto"/>
              <w:jc w:val="both"/>
            </w:pPr>
          </w:p>
        </w:tc>
      </w:tr>
      <w:tr w:rsidR="002438F2" w:rsidRPr="001078BE" w14:paraId="61F2CB9F" w14:textId="77777777" w:rsidTr="1C638A97">
        <w:trPr>
          <w:trHeight w:val="135"/>
        </w:trPr>
        <w:tc>
          <w:tcPr>
            <w:tcW w:w="2932" w:type="dxa"/>
            <w:vMerge w:val="restart"/>
            <w:shd w:val="clear" w:color="auto" w:fill="F3F3F3"/>
          </w:tcPr>
          <w:p w14:paraId="6A44AE8C"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67E92931"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76DE320F"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453373EB"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5"/>
            </w:r>
          </w:p>
        </w:tc>
      </w:tr>
      <w:tr w:rsidR="002438F2" w:rsidRPr="001078BE" w14:paraId="22A5EB93" w14:textId="77777777" w:rsidTr="1C638A97">
        <w:trPr>
          <w:trHeight w:val="135"/>
        </w:trPr>
        <w:tc>
          <w:tcPr>
            <w:tcW w:w="2932" w:type="dxa"/>
            <w:vMerge/>
          </w:tcPr>
          <w:p w14:paraId="3A7A7704" w14:textId="77777777" w:rsidR="002438F2" w:rsidRPr="001078BE" w:rsidRDefault="002438F2" w:rsidP="002438F2">
            <w:pPr>
              <w:tabs>
                <w:tab w:val="left" w:pos="1080"/>
              </w:tabs>
              <w:spacing w:line="240" w:lineRule="auto"/>
              <w:rPr>
                <w:sz w:val="20"/>
                <w:szCs w:val="20"/>
                <w:lang w:val="en-GB"/>
              </w:rPr>
            </w:pPr>
          </w:p>
        </w:tc>
        <w:tc>
          <w:tcPr>
            <w:tcW w:w="1663" w:type="dxa"/>
            <w:vMerge/>
          </w:tcPr>
          <w:p w14:paraId="0734AFA5" w14:textId="77777777" w:rsidR="002438F2" w:rsidRPr="001078BE" w:rsidRDefault="002438F2" w:rsidP="002438F2">
            <w:pPr>
              <w:tabs>
                <w:tab w:val="left" w:pos="1080"/>
              </w:tabs>
              <w:spacing w:line="240" w:lineRule="auto"/>
              <w:rPr>
                <w:b/>
                <w:sz w:val="20"/>
                <w:szCs w:val="20"/>
                <w:lang w:val="en-GB"/>
              </w:rPr>
            </w:pPr>
          </w:p>
        </w:tc>
        <w:tc>
          <w:tcPr>
            <w:tcW w:w="1590" w:type="dxa"/>
            <w:vMerge/>
          </w:tcPr>
          <w:p w14:paraId="0B430298" w14:textId="77777777" w:rsidR="002438F2" w:rsidRPr="001078BE" w:rsidRDefault="002438F2" w:rsidP="002438F2">
            <w:pPr>
              <w:tabs>
                <w:tab w:val="left" w:pos="1080"/>
              </w:tabs>
              <w:spacing w:line="240" w:lineRule="auto"/>
              <w:rPr>
                <w:b/>
                <w:sz w:val="20"/>
                <w:szCs w:val="20"/>
                <w:lang w:val="en-GB"/>
              </w:rPr>
            </w:pPr>
          </w:p>
        </w:tc>
        <w:tc>
          <w:tcPr>
            <w:tcW w:w="2375" w:type="dxa"/>
          </w:tcPr>
          <w:p w14:paraId="24C736CB"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098DDEB8" w14:textId="77777777" w:rsidR="002438F2" w:rsidRPr="001078BE" w:rsidRDefault="002438F2" w:rsidP="002438F2">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6"/>
            </w:r>
          </w:p>
        </w:tc>
      </w:tr>
      <w:tr w:rsidR="002438F2" w:rsidRPr="001078BE" w14:paraId="2DD43AB6" w14:textId="77777777" w:rsidTr="1C638A97">
        <w:trPr>
          <w:trHeight w:val="646"/>
        </w:trPr>
        <w:tc>
          <w:tcPr>
            <w:tcW w:w="2932" w:type="dxa"/>
          </w:tcPr>
          <w:p w14:paraId="524B18C1" w14:textId="054E657E" w:rsidR="002438F2" w:rsidRPr="00111214" w:rsidRDefault="00111214" w:rsidP="002438F2">
            <w:pPr>
              <w:tabs>
                <w:tab w:val="left" w:pos="1080"/>
              </w:tabs>
              <w:spacing w:after="0" w:line="240" w:lineRule="auto"/>
              <w:rPr>
                <w:rFonts w:cs="Arial"/>
                <w:color w:val="FF0000"/>
                <w:sz w:val="18"/>
                <w:szCs w:val="18"/>
                <w:lang w:val="en-GB"/>
              </w:rPr>
            </w:pPr>
            <w:r w:rsidRPr="00111214">
              <w:rPr>
                <w:rFonts w:eastAsia="Times New Roman" w:cstheme="minorHAnsi"/>
                <w:color w:val="000000"/>
                <w:lang w:eastAsia="en-CA"/>
              </w:rPr>
              <w:t>New Phase to incorporate larger civil society engagement component in line with recommendations</w:t>
            </w:r>
          </w:p>
        </w:tc>
        <w:tc>
          <w:tcPr>
            <w:tcW w:w="1663" w:type="dxa"/>
          </w:tcPr>
          <w:p w14:paraId="2601805A" w14:textId="5ED24401" w:rsidR="002438F2" w:rsidRPr="001152F5" w:rsidRDefault="00AC1AEC" w:rsidP="002438F2">
            <w:pPr>
              <w:tabs>
                <w:tab w:val="left" w:pos="1080"/>
              </w:tabs>
              <w:spacing w:after="0" w:line="240" w:lineRule="auto"/>
              <w:rPr>
                <w:rFonts w:cs="Arial"/>
                <w:sz w:val="18"/>
                <w:szCs w:val="18"/>
                <w:lang w:val="en-GB"/>
              </w:rPr>
            </w:pPr>
            <w:r w:rsidRPr="001152F5">
              <w:rPr>
                <w:rFonts w:cs="Arial"/>
                <w:sz w:val="18"/>
                <w:szCs w:val="18"/>
                <w:lang w:val="en-GB"/>
              </w:rPr>
              <w:t>August</w:t>
            </w:r>
            <w:r w:rsidR="002438F2" w:rsidRPr="001152F5">
              <w:rPr>
                <w:rFonts w:cs="Arial"/>
                <w:sz w:val="18"/>
                <w:szCs w:val="18"/>
                <w:lang w:val="en-GB"/>
              </w:rPr>
              <w:t xml:space="preserve"> 2022</w:t>
            </w:r>
          </w:p>
        </w:tc>
        <w:tc>
          <w:tcPr>
            <w:tcW w:w="1590" w:type="dxa"/>
          </w:tcPr>
          <w:p w14:paraId="22A5C72D" w14:textId="5AB357C4" w:rsidR="002438F2" w:rsidRPr="001152F5" w:rsidRDefault="002438F2" w:rsidP="002438F2">
            <w:pPr>
              <w:tabs>
                <w:tab w:val="left" w:pos="1080"/>
              </w:tabs>
              <w:spacing w:after="0" w:line="240" w:lineRule="auto"/>
              <w:jc w:val="center"/>
              <w:rPr>
                <w:rFonts w:cs="Arial"/>
                <w:sz w:val="18"/>
                <w:szCs w:val="18"/>
                <w:lang w:val="en-GB"/>
              </w:rPr>
            </w:pPr>
            <w:r w:rsidRPr="001152F5">
              <w:rPr>
                <w:rFonts w:cs="Arial"/>
                <w:sz w:val="18"/>
                <w:szCs w:val="18"/>
                <w:lang w:val="en-GB"/>
              </w:rPr>
              <w:t>Effective Governance</w:t>
            </w:r>
          </w:p>
        </w:tc>
        <w:tc>
          <w:tcPr>
            <w:tcW w:w="2375" w:type="dxa"/>
          </w:tcPr>
          <w:p w14:paraId="4CD6D1F4" w14:textId="7C4A1CFF" w:rsidR="002438F2" w:rsidRPr="00213EA1" w:rsidRDefault="1C638A97" w:rsidP="002438F2">
            <w:pPr>
              <w:tabs>
                <w:tab w:val="left" w:pos="1080"/>
              </w:tabs>
              <w:spacing w:after="0" w:line="240" w:lineRule="auto"/>
              <w:rPr>
                <w:rFonts w:cs="Arial"/>
                <w:sz w:val="18"/>
                <w:szCs w:val="18"/>
                <w:lang w:val="en-GB"/>
              </w:rPr>
            </w:pPr>
            <w:r w:rsidRPr="00213EA1">
              <w:rPr>
                <w:rFonts w:cs="Arial"/>
                <w:sz w:val="18"/>
                <w:szCs w:val="18"/>
                <w:lang w:val="en-GB"/>
              </w:rPr>
              <w:t>UNDP and the EU will work jointly to address recommendation.</w:t>
            </w:r>
          </w:p>
        </w:tc>
        <w:tc>
          <w:tcPr>
            <w:tcW w:w="2072" w:type="dxa"/>
          </w:tcPr>
          <w:p w14:paraId="684157DA" w14:textId="007EA2A8" w:rsidR="002438F2" w:rsidRPr="00213EA1" w:rsidRDefault="1C638A97" w:rsidP="002438F2">
            <w:pPr>
              <w:tabs>
                <w:tab w:val="left" w:pos="1080"/>
              </w:tabs>
              <w:spacing w:after="0" w:line="240" w:lineRule="auto"/>
              <w:rPr>
                <w:rFonts w:cs="Arial"/>
                <w:sz w:val="18"/>
                <w:szCs w:val="18"/>
                <w:lang w:val="en-GB"/>
              </w:rPr>
            </w:pPr>
            <w:r w:rsidRPr="00213EA1">
              <w:rPr>
                <w:rFonts w:cs="Arial"/>
                <w:sz w:val="18"/>
                <w:szCs w:val="18"/>
                <w:lang w:val="en-GB"/>
              </w:rPr>
              <w:t xml:space="preserve">Completed. Project Document for next phase includes a specific pillar on civil society with larger </w:t>
            </w:r>
            <w:r w:rsidRPr="00213EA1">
              <w:rPr>
                <w:rFonts w:cs="Arial"/>
                <w:sz w:val="18"/>
                <w:szCs w:val="18"/>
                <w:lang w:val="en-GB"/>
              </w:rPr>
              <w:lastRenderedPageBreak/>
              <w:t xml:space="preserve">financial commitment and possibility to work at regional and </w:t>
            </w:r>
            <w:r w:rsidR="00705C1D" w:rsidRPr="00213EA1">
              <w:rPr>
                <w:rFonts w:cs="Arial"/>
                <w:sz w:val="18"/>
                <w:szCs w:val="18"/>
                <w:lang w:val="en-GB"/>
              </w:rPr>
              <w:t>national</w:t>
            </w:r>
            <w:r w:rsidRPr="00213EA1">
              <w:rPr>
                <w:rFonts w:cs="Arial"/>
                <w:sz w:val="18"/>
                <w:szCs w:val="18"/>
                <w:lang w:val="en-GB"/>
              </w:rPr>
              <w:t xml:space="preserve"> level and with media organisations.</w:t>
            </w:r>
          </w:p>
        </w:tc>
      </w:tr>
      <w:bookmarkEnd w:id="0"/>
    </w:tbl>
    <w:p w14:paraId="2AD141B8" w14:textId="07C26FBB" w:rsidR="00FB1F54" w:rsidRDefault="00FB1F54" w:rsidP="00964FC9">
      <w:pPr>
        <w:spacing w:after="0" w:line="240" w:lineRule="auto"/>
        <w:jc w:val="both"/>
        <w:rPr>
          <w:b/>
          <w:highlight w:val="lightGray"/>
          <w:lang w:val="en-GB"/>
        </w:rPr>
      </w:pPr>
    </w:p>
    <w:p w14:paraId="49450EF5" w14:textId="795BA56B" w:rsidR="00B822A2" w:rsidRDefault="00B822A2" w:rsidP="00964FC9">
      <w:pPr>
        <w:spacing w:after="0" w:line="240" w:lineRule="auto"/>
        <w:jc w:val="both"/>
        <w:rPr>
          <w:b/>
          <w:highlight w:val="lightGray"/>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B822A2" w:rsidRPr="001078BE" w14:paraId="0B9EDAED" w14:textId="77777777" w:rsidTr="00DA0051">
        <w:trPr>
          <w:trHeight w:val="135"/>
        </w:trPr>
        <w:tc>
          <w:tcPr>
            <w:tcW w:w="2932" w:type="dxa"/>
            <w:shd w:val="clear" w:color="auto" w:fill="F3F3F3"/>
          </w:tcPr>
          <w:p w14:paraId="4CE6289F" w14:textId="77777777" w:rsidR="00B822A2" w:rsidRPr="001078BE" w:rsidRDefault="00B822A2" w:rsidP="00DA0051">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700" w:type="dxa"/>
            <w:gridSpan w:val="4"/>
            <w:shd w:val="clear" w:color="auto" w:fill="F3F3F3"/>
          </w:tcPr>
          <w:p w14:paraId="34B129D7" w14:textId="46A82993" w:rsidR="00B822A2" w:rsidRPr="00A24A36" w:rsidRDefault="00B822A2" w:rsidP="00A24A36">
            <w:pPr>
              <w:tabs>
                <w:tab w:val="left" w:pos="1080"/>
              </w:tabs>
              <w:spacing w:line="240" w:lineRule="auto"/>
              <w:jc w:val="both"/>
            </w:pPr>
            <w:r w:rsidRPr="00A24A36">
              <w:t>Recommendation 3: C</w:t>
            </w:r>
            <w:r w:rsidR="00D115D0">
              <w:t>onsider</w:t>
            </w:r>
            <w:r>
              <w:t xml:space="preserve"> longer timeframe for the follow-up support to public finance management in the Pacific region</w:t>
            </w:r>
            <w:r w:rsidR="00DF12C3">
              <w:t>.</w:t>
            </w:r>
          </w:p>
        </w:tc>
      </w:tr>
      <w:tr w:rsidR="00B822A2" w:rsidRPr="001078BE" w14:paraId="6ABCA443" w14:textId="77777777" w:rsidTr="00DA0051">
        <w:trPr>
          <w:trHeight w:val="135"/>
        </w:trPr>
        <w:tc>
          <w:tcPr>
            <w:tcW w:w="2932" w:type="dxa"/>
            <w:shd w:val="clear" w:color="auto" w:fill="F3F3F3"/>
          </w:tcPr>
          <w:p w14:paraId="684163F4" w14:textId="77777777" w:rsidR="00B822A2" w:rsidRPr="001078BE" w:rsidRDefault="00B822A2" w:rsidP="00DA0051">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2FA467C6" w14:textId="76FCB294" w:rsidR="00B822A2" w:rsidRDefault="00B822A2" w:rsidP="00DA0051">
            <w:pPr>
              <w:spacing w:after="0" w:line="240" w:lineRule="auto"/>
              <w:jc w:val="both"/>
              <w:rPr>
                <w:rFonts w:eastAsia="Times New Roman" w:cstheme="minorHAnsi"/>
                <w:color w:val="000000"/>
                <w:lang w:eastAsia="en-CA"/>
              </w:rPr>
            </w:pPr>
            <w:r w:rsidRPr="00A66050">
              <w:rPr>
                <w:rFonts w:eastAsia="Times New Roman" w:cstheme="minorHAnsi"/>
                <w:color w:val="000000"/>
                <w:lang w:eastAsia="en-CA"/>
              </w:rPr>
              <w:t>Fully accepted</w:t>
            </w:r>
            <w:r>
              <w:rPr>
                <w:rFonts w:eastAsia="Times New Roman" w:cstheme="minorHAnsi"/>
                <w:b/>
                <w:bCs/>
                <w:color w:val="000000"/>
                <w:lang w:eastAsia="en-CA"/>
              </w:rPr>
              <w:t xml:space="preserve">. </w:t>
            </w:r>
            <w:r w:rsidRPr="00A66050">
              <w:rPr>
                <w:rFonts w:eastAsia="Times New Roman" w:cstheme="minorHAnsi"/>
                <w:color w:val="000000"/>
                <w:lang w:eastAsia="en-CA"/>
              </w:rPr>
              <w:t>Phase II</w:t>
            </w:r>
            <w:r>
              <w:rPr>
                <w:rFonts w:eastAsia="Times New Roman" w:cstheme="minorHAnsi"/>
                <w:b/>
                <w:bCs/>
                <w:color w:val="000000"/>
                <w:lang w:eastAsia="en-CA"/>
              </w:rPr>
              <w:t xml:space="preserve"> </w:t>
            </w:r>
            <w:r w:rsidRPr="00B822A2">
              <w:rPr>
                <w:rFonts w:eastAsia="Times New Roman" w:cstheme="minorHAnsi"/>
                <w:color w:val="000000"/>
                <w:lang w:eastAsia="en-CA"/>
              </w:rPr>
              <w:t>to provide more than 2.5years for implementation.</w:t>
            </w:r>
          </w:p>
          <w:p w14:paraId="512DF27E" w14:textId="77777777" w:rsidR="00B822A2" w:rsidRPr="001078BE" w:rsidRDefault="00B822A2" w:rsidP="00DA0051">
            <w:pPr>
              <w:spacing w:after="0" w:line="240" w:lineRule="auto"/>
              <w:jc w:val="both"/>
              <w:rPr>
                <w:bCs/>
                <w:sz w:val="20"/>
                <w:szCs w:val="20"/>
                <w:lang w:val="en-GB"/>
              </w:rPr>
            </w:pPr>
          </w:p>
        </w:tc>
      </w:tr>
      <w:tr w:rsidR="00B822A2" w:rsidRPr="001078BE" w14:paraId="0E25DF1D" w14:textId="77777777" w:rsidTr="00DA0051">
        <w:trPr>
          <w:trHeight w:val="135"/>
        </w:trPr>
        <w:tc>
          <w:tcPr>
            <w:tcW w:w="2932" w:type="dxa"/>
            <w:vMerge w:val="restart"/>
            <w:shd w:val="clear" w:color="auto" w:fill="F3F3F3"/>
          </w:tcPr>
          <w:p w14:paraId="61F68C08"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4A670C1C"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6E487C04"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6DCA8A3B"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7"/>
            </w:r>
          </w:p>
        </w:tc>
      </w:tr>
      <w:tr w:rsidR="00B822A2" w:rsidRPr="001078BE" w14:paraId="0206CF49" w14:textId="77777777" w:rsidTr="00DA0051">
        <w:trPr>
          <w:trHeight w:val="135"/>
        </w:trPr>
        <w:tc>
          <w:tcPr>
            <w:tcW w:w="2932" w:type="dxa"/>
            <w:vMerge/>
            <w:shd w:val="clear" w:color="auto" w:fill="F3F3F3"/>
          </w:tcPr>
          <w:p w14:paraId="5DED21BE" w14:textId="77777777" w:rsidR="00B822A2" w:rsidRPr="001078BE" w:rsidRDefault="00B822A2" w:rsidP="00DA0051">
            <w:pPr>
              <w:tabs>
                <w:tab w:val="left" w:pos="1080"/>
              </w:tabs>
              <w:spacing w:line="240" w:lineRule="auto"/>
              <w:rPr>
                <w:sz w:val="20"/>
                <w:szCs w:val="20"/>
                <w:lang w:val="en-GB"/>
              </w:rPr>
            </w:pPr>
          </w:p>
        </w:tc>
        <w:tc>
          <w:tcPr>
            <w:tcW w:w="1663" w:type="dxa"/>
            <w:vMerge/>
            <w:shd w:val="clear" w:color="auto" w:fill="F3F3F3"/>
          </w:tcPr>
          <w:p w14:paraId="6D34576E" w14:textId="77777777" w:rsidR="00B822A2" w:rsidRPr="001078BE" w:rsidRDefault="00B822A2" w:rsidP="00DA0051">
            <w:pPr>
              <w:tabs>
                <w:tab w:val="left" w:pos="1080"/>
              </w:tabs>
              <w:spacing w:line="240" w:lineRule="auto"/>
              <w:rPr>
                <w:b/>
                <w:sz w:val="20"/>
                <w:szCs w:val="20"/>
                <w:lang w:val="en-GB"/>
              </w:rPr>
            </w:pPr>
          </w:p>
        </w:tc>
        <w:tc>
          <w:tcPr>
            <w:tcW w:w="1590" w:type="dxa"/>
            <w:vMerge/>
            <w:shd w:val="clear" w:color="auto" w:fill="F3F3F3"/>
          </w:tcPr>
          <w:p w14:paraId="0C0AF5E6" w14:textId="77777777" w:rsidR="00B822A2" w:rsidRPr="001078BE" w:rsidRDefault="00B822A2" w:rsidP="00DA0051">
            <w:pPr>
              <w:tabs>
                <w:tab w:val="left" w:pos="1080"/>
              </w:tabs>
              <w:spacing w:line="240" w:lineRule="auto"/>
              <w:rPr>
                <w:b/>
                <w:sz w:val="20"/>
                <w:szCs w:val="20"/>
                <w:lang w:val="en-GB"/>
              </w:rPr>
            </w:pPr>
          </w:p>
        </w:tc>
        <w:tc>
          <w:tcPr>
            <w:tcW w:w="2375" w:type="dxa"/>
          </w:tcPr>
          <w:p w14:paraId="1B88316E"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52DCF744" w14:textId="77777777" w:rsidR="00B822A2" w:rsidRPr="001078BE" w:rsidRDefault="00B822A2" w:rsidP="00DA0051">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8"/>
            </w:r>
          </w:p>
        </w:tc>
      </w:tr>
      <w:tr w:rsidR="00B822A2" w:rsidRPr="001078BE" w14:paraId="39420526" w14:textId="77777777" w:rsidTr="00DA0051">
        <w:trPr>
          <w:trHeight w:val="646"/>
        </w:trPr>
        <w:tc>
          <w:tcPr>
            <w:tcW w:w="2932" w:type="dxa"/>
          </w:tcPr>
          <w:p w14:paraId="5A4AE65B" w14:textId="4FBF7B4C" w:rsidR="00B822A2" w:rsidRPr="002438F2" w:rsidRDefault="00B822A2" w:rsidP="00DA0051">
            <w:pPr>
              <w:tabs>
                <w:tab w:val="left" w:pos="1080"/>
              </w:tabs>
              <w:spacing w:after="0" w:line="240" w:lineRule="auto"/>
              <w:rPr>
                <w:rFonts w:cs="Arial"/>
                <w:color w:val="FF0000"/>
                <w:sz w:val="18"/>
                <w:szCs w:val="18"/>
                <w:lang w:val="en-GB"/>
              </w:rPr>
            </w:pPr>
            <w:r>
              <w:rPr>
                <w:rFonts w:eastAsia="Times New Roman" w:cstheme="minorHAnsi"/>
                <w:color w:val="000000"/>
                <w:lang w:eastAsia="en-CA"/>
              </w:rPr>
              <w:t>New phase to be developed for 5</w:t>
            </w:r>
            <w:r w:rsidR="00D115D0">
              <w:rPr>
                <w:rFonts w:eastAsia="Times New Roman" w:cstheme="minorHAnsi"/>
                <w:color w:val="000000"/>
                <w:lang w:eastAsia="en-CA"/>
              </w:rPr>
              <w:t xml:space="preserve"> </w:t>
            </w:r>
            <w:r>
              <w:rPr>
                <w:rFonts w:eastAsia="Times New Roman" w:cstheme="minorHAnsi"/>
                <w:color w:val="000000"/>
                <w:lang w:eastAsia="en-CA"/>
              </w:rPr>
              <w:t>years minimum</w:t>
            </w:r>
            <w:r w:rsidR="00D115D0">
              <w:rPr>
                <w:rFonts w:eastAsia="Times New Roman" w:cstheme="minorHAnsi"/>
                <w:color w:val="000000"/>
                <w:lang w:eastAsia="en-CA"/>
              </w:rPr>
              <w:t>.</w:t>
            </w:r>
          </w:p>
        </w:tc>
        <w:tc>
          <w:tcPr>
            <w:tcW w:w="1663" w:type="dxa"/>
          </w:tcPr>
          <w:p w14:paraId="06740BCE" w14:textId="77777777" w:rsidR="00B822A2" w:rsidRPr="001152F5" w:rsidRDefault="00B822A2" w:rsidP="00DA0051">
            <w:pPr>
              <w:tabs>
                <w:tab w:val="left" w:pos="1080"/>
              </w:tabs>
              <w:spacing w:after="0" w:line="240" w:lineRule="auto"/>
              <w:rPr>
                <w:rFonts w:cs="Arial"/>
                <w:sz w:val="18"/>
                <w:szCs w:val="18"/>
                <w:lang w:val="en-GB"/>
              </w:rPr>
            </w:pPr>
            <w:r w:rsidRPr="001152F5">
              <w:rPr>
                <w:rFonts w:cs="Arial"/>
                <w:sz w:val="18"/>
                <w:szCs w:val="18"/>
                <w:lang w:val="en-GB"/>
              </w:rPr>
              <w:t>August 2022</w:t>
            </w:r>
          </w:p>
        </w:tc>
        <w:tc>
          <w:tcPr>
            <w:tcW w:w="1590" w:type="dxa"/>
          </w:tcPr>
          <w:p w14:paraId="2CF580AE" w14:textId="77777777" w:rsidR="00B822A2" w:rsidRPr="001152F5" w:rsidRDefault="00B822A2" w:rsidP="00DA0051">
            <w:pPr>
              <w:tabs>
                <w:tab w:val="left" w:pos="1080"/>
              </w:tabs>
              <w:spacing w:after="0" w:line="240" w:lineRule="auto"/>
              <w:jc w:val="center"/>
              <w:rPr>
                <w:rFonts w:cs="Arial"/>
                <w:sz w:val="18"/>
                <w:szCs w:val="18"/>
                <w:lang w:val="en-GB"/>
              </w:rPr>
            </w:pPr>
            <w:r w:rsidRPr="001152F5">
              <w:rPr>
                <w:rFonts w:cs="Arial"/>
                <w:sz w:val="18"/>
                <w:szCs w:val="18"/>
                <w:lang w:val="en-GB"/>
              </w:rPr>
              <w:t>Effective Governance</w:t>
            </w:r>
          </w:p>
        </w:tc>
        <w:tc>
          <w:tcPr>
            <w:tcW w:w="2375" w:type="dxa"/>
          </w:tcPr>
          <w:p w14:paraId="61565871" w14:textId="4AB6ADC1" w:rsidR="00B822A2" w:rsidRPr="00A24A36" w:rsidRDefault="00B822A2" w:rsidP="00DA0051">
            <w:pPr>
              <w:tabs>
                <w:tab w:val="left" w:pos="1080"/>
              </w:tabs>
              <w:spacing w:after="0" w:line="240" w:lineRule="auto"/>
              <w:rPr>
                <w:rFonts w:cs="Arial"/>
                <w:color w:val="000000" w:themeColor="text1"/>
                <w:sz w:val="18"/>
                <w:szCs w:val="18"/>
                <w:lang w:val="en-GB"/>
              </w:rPr>
            </w:pPr>
            <w:r w:rsidRPr="00A24A36">
              <w:rPr>
                <w:rFonts w:cs="Arial"/>
                <w:color w:val="000000" w:themeColor="text1"/>
                <w:sz w:val="18"/>
                <w:szCs w:val="18"/>
                <w:lang w:val="en-GB"/>
              </w:rPr>
              <w:t>UNDP and EU Delegation to work jointly on implementation</w:t>
            </w:r>
          </w:p>
        </w:tc>
        <w:tc>
          <w:tcPr>
            <w:tcW w:w="2072" w:type="dxa"/>
          </w:tcPr>
          <w:p w14:paraId="488BE0F5" w14:textId="2B7BD8E9" w:rsidR="00B822A2" w:rsidRPr="00A24A36" w:rsidRDefault="001E2406" w:rsidP="00DA0051">
            <w:pPr>
              <w:tabs>
                <w:tab w:val="left" w:pos="1080"/>
              </w:tabs>
              <w:spacing w:after="0" w:line="240" w:lineRule="auto"/>
              <w:rPr>
                <w:rFonts w:cs="Arial"/>
                <w:color w:val="000000" w:themeColor="text1"/>
                <w:sz w:val="18"/>
                <w:szCs w:val="18"/>
                <w:lang w:val="en-GB"/>
              </w:rPr>
            </w:pPr>
            <w:r w:rsidRPr="00A24A36">
              <w:rPr>
                <w:rFonts w:cs="Arial"/>
                <w:color w:val="000000" w:themeColor="text1"/>
                <w:sz w:val="18"/>
                <w:szCs w:val="18"/>
                <w:lang w:val="en-GB"/>
              </w:rPr>
              <w:t xml:space="preserve">Completed. </w:t>
            </w:r>
            <w:r w:rsidR="00B822A2" w:rsidRPr="00A24A36">
              <w:rPr>
                <w:rFonts w:cs="Arial"/>
                <w:color w:val="000000" w:themeColor="text1"/>
                <w:sz w:val="18"/>
                <w:szCs w:val="18"/>
                <w:lang w:val="en-GB"/>
              </w:rPr>
              <w:t>Project document submitted for 5 years to the EU delegation in March 2022.</w:t>
            </w:r>
          </w:p>
        </w:tc>
      </w:tr>
    </w:tbl>
    <w:p w14:paraId="4BE5E099" w14:textId="77777777" w:rsidR="00B822A2" w:rsidRDefault="00B822A2" w:rsidP="00964FC9">
      <w:pPr>
        <w:spacing w:after="0" w:line="240" w:lineRule="auto"/>
        <w:jc w:val="both"/>
        <w:rPr>
          <w:b/>
          <w:highlight w:val="lightGray"/>
          <w:lang w:val="en-GB"/>
        </w:rPr>
      </w:pPr>
    </w:p>
    <w:p w14:paraId="472F0062" w14:textId="712E810C" w:rsidR="002438F2" w:rsidRDefault="002438F2" w:rsidP="00964FC9">
      <w:pPr>
        <w:spacing w:after="0" w:line="240" w:lineRule="auto"/>
        <w:jc w:val="both"/>
        <w:rPr>
          <w:b/>
          <w:highlight w:val="lightGray"/>
          <w:lang w:val="en-GB"/>
        </w:rPr>
      </w:pPr>
    </w:p>
    <w:p w14:paraId="20199436" w14:textId="10578FFF" w:rsidR="002438F2" w:rsidRDefault="002438F2" w:rsidP="00964FC9">
      <w:pPr>
        <w:spacing w:after="0" w:line="240" w:lineRule="auto"/>
        <w:jc w:val="both"/>
        <w:rPr>
          <w:b/>
          <w:highlight w:val="lightGray"/>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2438F2" w:rsidRPr="001078BE" w14:paraId="30ECE1B9" w14:textId="77777777" w:rsidTr="1C638A97">
        <w:trPr>
          <w:trHeight w:val="135"/>
        </w:trPr>
        <w:tc>
          <w:tcPr>
            <w:tcW w:w="2932" w:type="dxa"/>
            <w:shd w:val="clear" w:color="auto" w:fill="F3F3F3"/>
          </w:tcPr>
          <w:p w14:paraId="356D9568" w14:textId="77777777" w:rsidR="002438F2" w:rsidRPr="001078BE" w:rsidRDefault="002438F2" w:rsidP="00A056EA">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700" w:type="dxa"/>
            <w:gridSpan w:val="4"/>
            <w:shd w:val="clear" w:color="auto" w:fill="F3F3F3"/>
          </w:tcPr>
          <w:p w14:paraId="48098980" w14:textId="57C672C5" w:rsidR="002438F2" w:rsidRPr="00A24A36" w:rsidRDefault="002438F2" w:rsidP="00A24A36">
            <w:pPr>
              <w:tabs>
                <w:tab w:val="left" w:pos="1080"/>
              </w:tabs>
              <w:spacing w:line="240" w:lineRule="auto"/>
              <w:jc w:val="both"/>
            </w:pPr>
            <w:r w:rsidRPr="00A24A36">
              <w:t xml:space="preserve">Recommendation </w:t>
            </w:r>
            <w:r w:rsidR="00B822A2" w:rsidRPr="00A24A36">
              <w:t>4</w:t>
            </w:r>
            <w:r w:rsidRPr="00A24A36">
              <w:t>: The FEC recommends that PFM supports regional networking and horizontal exchange of know-how among the experienced CSOs with the newly participating organizations</w:t>
            </w:r>
            <w:r w:rsidR="00D115D0" w:rsidRPr="00A24A36">
              <w:t xml:space="preserve">. </w:t>
            </w:r>
            <w:r w:rsidRPr="00A24A36">
              <w:t xml:space="preserve">The capacity of civil society organizations varies widely in the Pacific Island Countries (PICs). Therefore, in many countries, capacity development support is required to enable CSOs to develop skills for gathering and focusing citizen perspectives and </w:t>
            </w:r>
            <w:r w:rsidR="00705C1D" w:rsidRPr="00A24A36">
              <w:t>analyzing</w:t>
            </w:r>
            <w:r w:rsidRPr="00A24A36">
              <w:t xml:space="preserve"> public finances to allow input into national budgetary processes. Therefore, the PFM should consider a long-term, needs-based capacity development approach under all its components. It is important to include knowledge tests at the end of each training program to assess immediate improvements in skills and knowledge. In addition to delivery capacity development support, the Project should consider networking and exchange of knowledge and know-how among the experienced CSOs and newly awarded/ selected organizations. The example of the Floating Budget Office could be adjusted to the context and needs of civil society organizations.</w:t>
            </w:r>
          </w:p>
        </w:tc>
      </w:tr>
      <w:tr w:rsidR="002438F2" w:rsidRPr="001078BE" w14:paraId="618AC817" w14:textId="77777777" w:rsidTr="1C638A97">
        <w:trPr>
          <w:trHeight w:val="135"/>
        </w:trPr>
        <w:tc>
          <w:tcPr>
            <w:tcW w:w="2932" w:type="dxa"/>
            <w:shd w:val="clear" w:color="auto" w:fill="F3F3F3"/>
          </w:tcPr>
          <w:p w14:paraId="0A9C311B" w14:textId="77777777" w:rsidR="002438F2" w:rsidRPr="001078BE" w:rsidRDefault="002438F2" w:rsidP="00A056EA">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25148372" w14:textId="4B30111C" w:rsidR="002438F2" w:rsidRPr="00A24A36" w:rsidRDefault="00A66050" w:rsidP="00A24A36">
            <w:pPr>
              <w:tabs>
                <w:tab w:val="left" w:pos="1080"/>
              </w:tabs>
              <w:spacing w:line="240" w:lineRule="auto"/>
              <w:jc w:val="both"/>
            </w:pPr>
            <w:r w:rsidRPr="00A24A36">
              <w:t>Fully accepted.</w:t>
            </w:r>
            <w:r w:rsidR="002438F2" w:rsidRPr="00A24A36">
              <w:t xml:space="preserve"> </w:t>
            </w:r>
            <w:r w:rsidRPr="00A24A36">
              <w:t xml:space="preserve">Phase II </w:t>
            </w:r>
            <w:r w:rsidR="00D85874" w:rsidRPr="00A24A36">
              <w:t xml:space="preserve">includes the </w:t>
            </w:r>
            <w:r w:rsidRPr="00A24A36">
              <w:t>integrat</w:t>
            </w:r>
            <w:r w:rsidR="00D85874" w:rsidRPr="00A24A36">
              <w:t>ion of</w:t>
            </w:r>
            <w:r w:rsidRPr="00A24A36">
              <w:t xml:space="preserve"> this implementation approach across all outcomes and activities.</w:t>
            </w:r>
          </w:p>
          <w:p w14:paraId="1F036D74" w14:textId="77777777" w:rsidR="002438F2" w:rsidRPr="00A24A36" w:rsidRDefault="002438F2" w:rsidP="00A24A36">
            <w:pPr>
              <w:tabs>
                <w:tab w:val="left" w:pos="1080"/>
              </w:tabs>
              <w:spacing w:line="240" w:lineRule="auto"/>
              <w:jc w:val="both"/>
            </w:pPr>
          </w:p>
        </w:tc>
      </w:tr>
      <w:tr w:rsidR="002438F2" w:rsidRPr="001078BE" w14:paraId="78308177" w14:textId="77777777" w:rsidTr="1C638A97">
        <w:trPr>
          <w:trHeight w:val="135"/>
        </w:trPr>
        <w:tc>
          <w:tcPr>
            <w:tcW w:w="2932" w:type="dxa"/>
            <w:vMerge w:val="restart"/>
            <w:shd w:val="clear" w:color="auto" w:fill="F3F3F3"/>
          </w:tcPr>
          <w:p w14:paraId="242B091A"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2208EFC2"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4BE299A0"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4F2C7926"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9"/>
            </w:r>
          </w:p>
        </w:tc>
      </w:tr>
      <w:tr w:rsidR="002438F2" w:rsidRPr="001078BE" w14:paraId="64E95B64" w14:textId="77777777" w:rsidTr="1C638A97">
        <w:trPr>
          <w:trHeight w:val="135"/>
        </w:trPr>
        <w:tc>
          <w:tcPr>
            <w:tcW w:w="2932" w:type="dxa"/>
            <w:vMerge/>
          </w:tcPr>
          <w:p w14:paraId="77E3AA30" w14:textId="77777777" w:rsidR="002438F2" w:rsidRPr="001078BE" w:rsidRDefault="002438F2" w:rsidP="00A056EA">
            <w:pPr>
              <w:tabs>
                <w:tab w:val="left" w:pos="1080"/>
              </w:tabs>
              <w:spacing w:line="240" w:lineRule="auto"/>
              <w:rPr>
                <w:sz w:val="20"/>
                <w:szCs w:val="20"/>
                <w:lang w:val="en-GB"/>
              </w:rPr>
            </w:pPr>
          </w:p>
        </w:tc>
        <w:tc>
          <w:tcPr>
            <w:tcW w:w="1663" w:type="dxa"/>
            <w:vMerge/>
          </w:tcPr>
          <w:p w14:paraId="7404EC4B" w14:textId="77777777" w:rsidR="002438F2" w:rsidRPr="001078BE" w:rsidRDefault="002438F2" w:rsidP="00A056EA">
            <w:pPr>
              <w:tabs>
                <w:tab w:val="left" w:pos="1080"/>
              </w:tabs>
              <w:spacing w:line="240" w:lineRule="auto"/>
              <w:rPr>
                <w:b/>
                <w:sz w:val="20"/>
                <w:szCs w:val="20"/>
                <w:lang w:val="en-GB"/>
              </w:rPr>
            </w:pPr>
          </w:p>
        </w:tc>
        <w:tc>
          <w:tcPr>
            <w:tcW w:w="1590" w:type="dxa"/>
            <w:vMerge/>
          </w:tcPr>
          <w:p w14:paraId="7BE9F8FF" w14:textId="77777777" w:rsidR="002438F2" w:rsidRPr="001078BE" w:rsidRDefault="002438F2" w:rsidP="00A056EA">
            <w:pPr>
              <w:tabs>
                <w:tab w:val="left" w:pos="1080"/>
              </w:tabs>
              <w:spacing w:line="240" w:lineRule="auto"/>
              <w:rPr>
                <w:b/>
                <w:sz w:val="20"/>
                <w:szCs w:val="20"/>
                <w:lang w:val="en-GB"/>
              </w:rPr>
            </w:pPr>
          </w:p>
        </w:tc>
        <w:tc>
          <w:tcPr>
            <w:tcW w:w="2375" w:type="dxa"/>
          </w:tcPr>
          <w:p w14:paraId="5A02434C"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23DCB3C5"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10"/>
            </w:r>
          </w:p>
        </w:tc>
      </w:tr>
      <w:tr w:rsidR="002438F2" w:rsidRPr="001078BE" w14:paraId="7F369B95" w14:textId="77777777" w:rsidTr="1C638A97">
        <w:trPr>
          <w:trHeight w:val="646"/>
        </w:trPr>
        <w:tc>
          <w:tcPr>
            <w:tcW w:w="2932" w:type="dxa"/>
          </w:tcPr>
          <w:p w14:paraId="6763E876" w14:textId="47874F35" w:rsidR="002438F2" w:rsidRPr="002438F2" w:rsidRDefault="002438F2" w:rsidP="00A056EA">
            <w:pPr>
              <w:tabs>
                <w:tab w:val="left" w:pos="1080"/>
              </w:tabs>
              <w:spacing w:after="0" w:line="240" w:lineRule="auto"/>
              <w:rPr>
                <w:rFonts w:cs="Arial"/>
                <w:color w:val="FF0000"/>
                <w:sz w:val="18"/>
                <w:szCs w:val="18"/>
                <w:lang w:val="en-GB"/>
              </w:rPr>
            </w:pPr>
            <w:r w:rsidRPr="002438F2">
              <w:rPr>
                <w:rFonts w:eastAsia="Times New Roman" w:cstheme="minorHAnsi"/>
                <w:color w:val="000000"/>
                <w:lang w:eastAsia="en-CA"/>
              </w:rPr>
              <w:t>New phase to include strong CSO capacity building and peer-to-peer support.</w:t>
            </w:r>
          </w:p>
        </w:tc>
        <w:tc>
          <w:tcPr>
            <w:tcW w:w="1663" w:type="dxa"/>
          </w:tcPr>
          <w:p w14:paraId="7ED9EE99" w14:textId="65B71713" w:rsidR="002438F2" w:rsidRPr="001152F5" w:rsidRDefault="00AC1AEC" w:rsidP="00A056EA">
            <w:pPr>
              <w:tabs>
                <w:tab w:val="left" w:pos="1080"/>
              </w:tabs>
              <w:spacing w:after="0" w:line="240" w:lineRule="auto"/>
              <w:rPr>
                <w:rFonts w:cs="Arial"/>
                <w:sz w:val="18"/>
                <w:szCs w:val="18"/>
                <w:lang w:val="en-GB"/>
              </w:rPr>
            </w:pPr>
            <w:r w:rsidRPr="001152F5">
              <w:rPr>
                <w:rFonts w:cs="Arial"/>
                <w:sz w:val="18"/>
                <w:szCs w:val="18"/>
                <w:lang w:val="en-GB"/>
              </w:rPr>
              <w:t>August</w:t>
            </w:r>
            <w:r w:rsidR="002438F2" w:rsidRPr="001152F5">
              <w:rPr>
                <w:rFonts w:cs="Arial"/>
                <w:sz w:val="18"/>
                <w:szCs w:val="18"/>
                <w:lang w:val="en-GB"/>
              </w:rPr>
              <w:t xml:space="preserve"> 2022</w:t>
            </w:r>
          </w:p>
        </w:tc>
        <w:tc>
          <w:tcPr>
            <w:tcW w:w="1590" w:type="dxa"/>
          </w:tcPr>
          <w:p w14:paraId="09A36DD4" w14:textId="77777777" w:rsidR="002438F2" w:rsidRPr="001152F5" w:rsidRDefault="002438F2" w:rsidP="00A056EA">
            <w:pPr>
              <w:tabs>
                <w:tab w:val="left" w:pos="1080"/>
              </w:tabs>
              <w:spacing w:after="0" w:line="240" w:lineRule="auto"/>
              <w:jc w:val="center"/>
              <w:rPr>
                <w:rFonts w:cs="Arial"/>
                <w:sz w:val="18"/>
                <w:szCs w:val="18"/>
                <w:lang w:val="en-GB"/>
              </w:rPr>
            </w:pPr>
            <w:r w:rsidRPr="001152F5">
              <w:rPr>
                <w:rFonts w:cs="Arial"/>
                <w:sz w:val="18"/>
                <w:szCs w:val="18"/>
                <w:lang w:val="en-GB"/>
              </w:rPr>
              <w:t>Effective Governance</w:t>
            </w:r>
          </w:p>
        </w:tc>
        <w:tc>
          <w:tcPr>
            <w:tcW w:w="2375" w:type="dxa"/>
          </w:tcPr>
          <w:p w14:paraId="5DB9166F" w14:textId="30D6D667" w:rsidR="002438F2" w:rsidRPr="00213EA1" w:rsidRDefault="1C638A97" w:rsidP="00A056EA">
            <w:pPr>
              <w:tabs>
                <w:tab w:val="left" w:pos="1080"/>
              </w:tabs>
              <w:spacing w:after="0" w:line="240" w:lineRule="auto"/>
              <w:rPr>
                <w:rFonts w:cs="Arial"/>
                <w:sz w:val="18"/>
                <w:szCs w:val="18"/>
                <w:lang w:val="en-GB"/>
              </w:rPr>
            </w:pPr>
            <w:r w:rsidRPr="00213EA1">
              <w:rPr>
                <w:rFonts w:cs="Arial"/>
                <w:sz w:val="18"/>
                <w:szCs w:val="18"/>
                <w:lang w:val="en-GB"/>
              </w:rPr>
              <w:t>EU, UNDP and PIANGO will work jointly to address the recommendation.</w:t>
            </w:r>
          </w:p>
        </w:tc>
        <w:tc>
          <w:tcPr>
            <w:tcW w:w="2072" w:type="dxa"/>
          </w:tcPr>
          <w:p w14:paraId="209E97E9" w14:textId="3A054D8C" w:rsidR="002438F2" w:rsidRPr="00213EA1" w:rsidRDefault="1C638A97" w:rsidP="00A056EA">
            <w:pPr>
              <w:tabs>
                <w:tab w:val="left" w:pos="1080"/>
              </w:tabs>
              <w:spacing w:after="0" w:line="240" w:lineRule="auto"/>
              <w:rPr>
                <w:rFonts w:cs="Arial"/>
                <w:sz w:val="18"/>
                <w:szCs w:val="18"/>
                <w:lang w:val="en-GB"/>
              </w:rPr>
            </w:pPr>
            <w:r w:rsidRPr="00213EA1">
              <w:rPr>
                <w:rFonts w:cs="Arial"/>
                <w:sz w:val="18"/>
                <w:szCs w:val="18"/>
                <w:lang w:val="en-GB"/>
              </w:rPr>
              <w:t xml:space="preserve">Completed. Project document for the next phase includes specific </w:t>
            </w:r>
            <w:r w:rsidR="00705C1D" w:rsidRPr="00213EA1">
              <w:rPr>
                <w:rFonts w:cs="Arial"/>
                <w:sz w:val="18"/>
                <w:szCs w:val="18"/>
                <w:lang w:val="en-GB"/>
              </w:rPr>
              <w:t>mechanisms</w:t>
            </w:r>
            <w:r w:rsidRPr="00213EA1">
              <w:rPr>
                <w:rFonts w:cs="Arial"/>
                <w:sz w:val="18"/>
                <w:szCs w:val="18"/>
                <w:lang w:val="en-GB"/>
              </w:rPr>
              <w:t xml:space="preserve"> – including peer to peer and south-south exchange for capacity building.</w:t>
            </w:r>
          </w:p>
        </w:tc>
      </w:tr>
    </w:tbl>
    <w:p w14:paraId="0A3BDBD8" w14:textId="7EC6475A" w:rsidR="002438F2" w:rsidRDefault="002438F2" w:rsidP="00964FC9">
      <w:pPr>
        <w:spacing w:after="0" w:line="240" w:lineRule="auto"/>
        <w:jc w:val="both"/>
        <w:rPr>
          <w:b/>
          <w:highlight w:val="lightGray"/>
          <w:lang w:val="en-GB"/>
        </w:rPr>
      </w:pPr>
    </w:p>
    <w:p w14:paraId="17AC383E" w14:textId="44F64F68" w:rsidR="002438F2" w:rsidRDefault="002438F2" w:rsidP="00964FC9">
      <w:pPr>
        <w:spacing w:after="0" w:line="240" w:lineRule="auto"/>
        <w:jc w:val="both"/>
        <w:rPr>
          <w:b/>
          <w:highlight w:val="lightGray"/>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2438F2" w:rsidRPr="001078BE" w14:paraId="6C9F60A7" w14:textId="77777777" w:rsidTr="1C638A97">
        <w:trPr>
          <w:trHeight w:val="135"/>
        </w:trPr>
        <w:tc>
          <w:tcPr>
            <w:tcW w:w="2932" w:type="dxa"/>
            <w:shd w:val="clear" w:color="auto" w:fill="F3F3F3"/>
          </w:tcPr>
          <w:p w14:paraId="02C07C3B" w14:textId="77777777" w:rsidR="002438F2" w:rsidRPr="001078BE" w:rsidRDefault="002438F2" w:rsidP="00A056EA">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700" w:type="dxa"/>
            <w:gridSpan w:val="4"/>
            <w:shd w:val="clear" w:color="auto" w:fill="F3F3F3"/>
          </w:tcPr>
          <w:p w14:paraId="2D6A933D" w14:textId="5F43A549" w:rsidR="002438F2" w:rsidRPr="00A24A36" w:rsidRDefault="00563302" w:rsidP="00A24A36">
            <w:pPr>
              <w:tabs>
                <w:tab w:val="left" w:pos="1080"/>
              </w:tabs>
              <w:spacing w:after="0" w:line="240" w:lineRule="auto"/>
              <w:jc w:val="both"/>
              <w:rPr>
                <w:color w:val="FF0000"/>
                <w:sz w:val="20"/>
                <w:szCs w:val="20"/>
                <w:lang w:val="en-GB"/>
              </w:rPr>
            </w:pPr>
            <w:r w:rsidRPr="00451EDF">
              <w:rPr>
                <w:lang w:val="en-GB"/>
              </w:rPr>
              <w:t xml:space="preserve">Recommendation </w:t>
            </w:r>
            <w:r w:rsidR="00B822A2" w:rsidRPr="00B73633">
              <w:rPr>
                <w:lang w:val="en-GB"/>
              </w:rPr>
              <w:t>5</w:t>
            </w:r>
            <w:r w:rsidRPr="00B73633">
              <w:rPr>
                <w:lang w:val="en-GB"/>
              </w:rPr>
              <w:t xml:space="preserve">: </w:t>
            </w:r>
            <w:r w:rsidRPr="00A24A36">
              <w:rPr>
                <w:sz w:val="20"/>
                <w:szCs w:val="20"/>
              </w:rPr>
              <w:t xml:space="preserve">The </w:t>
            </w:r>
            <w:r w:rsidR="00B822A2" w:rsidRPr="00A24A36">
              <w:rPr>
                <w:sz w:val="20"/>
                <w:szCs w:val="20"/>
              </w:rPr>
              <w:t>F</w:t>
            </w:r>
            <w:r w:rsidRPr="00A24A36">
              <w:rPr>
                <w:sz w:val="20"/>
                <w:szCs w:val="20"/>
              </w:rPr>
              <w:t>EC recommends balance between qualitative and quantitative indicators to enable adequate measuring of progress under components, also capturing PFM’s and progress towards its planned results and broader reform agenda. The evaluation team recommends that PFM provide a well-balanced combination of qualitative and quantitative indicators to capture changes and results attributable to the Project, using national indicators and targets to the extent possible. The FEC also recommends including gender</w:t>
            </w:r>
            <w:r w:rsidR="00B822A2" w:rsidRPr="00A24A36">
              <w:rPr>
                <w:sz w:val="20"/>
                <w:szCs w:val="20"/>
              </w:rPr>
              <w:t xml:space="preserve"> </w:t>
            </w:r>
            <w:r w:rsidRPr="00A24A36">
              <w:rPr>
                <w:sz w:val="20"/>
                <w:szCs w:val="20"/>
              </w:rPr>
              <w:t>sensitive indicators with a focus on “gender transformation”.</w:t>
            </w:r>
          </w:p>
        </w:tc>
      </w:tr>
      <w:tr w:rsidR="002438F2" w:rsidRPr="001078BE" w14:paraId="7272906F" w14:textId="77777777" w:rsidTr="1C638A97">
        <w:trPr>
          <w:trHeight w:val="135"/>
        </w:trPr>
        <w:tc>
          <w:tcPr>
            <w:tcW w:w="2932" w:type="dxa"/>
            <w:shd w:val="clear" w:color="auto" w:fill="F3F3F3"/>
          </w:tcPr>
          <w:p w14:paraId="394BE12D" w14:textId="77777777" w:rsidR="002438F2" w:rsidRPr="001078BE" w:rsidRDefault="002438F2" w:rsidP="00A056EA">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3A5BE525" w14:textId="350F6756" w:rsidR="002438F2" w:rsidRPr="001078BE" w:rsidRDefault="009F2522" w:rsidP="002438F2">
            <w:pPr>
              <w:spacing w:after="0" w:line="240" w:lineRule="auto"/>
              <w:jc w:val="both"/>
              <w:rPr>
                <w:bCs/>
                <w:sz w:val="20"/>
                <w:szCs w:val="20"/>
                <w:lang w:val="en-GB"/>
              </w:rPr>
            </w:pPr>
            <w:r w:rsidRPr="009F2522">
              <w:rPr>
                <w:rFonts w:eastAsia="Times New Roman" w:cstheme="minorHAnsi"/>
                <w:color w:val="000000"/>
                <w:lang w:eastAsia="en-CA"/>
              </w:rPr>
              <w:t>Fully accepted.</w:t>
            </w:r>
            <w:r w:rsidR="00563302">
              <w:rPr>
                <w:rFonts w:eastAsia="Times New Roman" w:cstheme="minorHAnsi"/>
                <w:b/>
                <w:bCs/>
                <w:color w:val="000000"/>
                <w:lang w:eastAsia="en-CA"/>
              </w:rPr>
              <w:t xml:space="preserve"> </w:t>
            </w:r>
            <w:r w:rsidR="00563302" w:rsidRPr="00563302">
              <w:rPr>
                <w:rFonts w:eastAsia="Times New Roman" w:cstheme="minorHAnsi"/>
                <w:color w:val="000000"/>
                <w:sz w:val="20"/>
                <w:szCs w:val="20"/>
                <w:lang w:eastAsia="en-CA"/>
              </w:rPr>
              <w:t>This is a point UNDP has put forward to development partners in planning the second phase of the PFM project</w:t>
            </w:r>
            <w:r w:rsidR="00B73633">
              <w:rPr>
                <w:rFonts w:eastAsia="Times New Roman" w:cstheme="minorHAnsi"/>
                <w:color w:val="000000"/>
                <w:sz w:val="20"/>
                <w:szCs w:val="20"/>
                <w:lang w:eastAsia="en-CA"/>
              </w:rPr>
              <w:t xml:space="preserve">. The next phase </w:t>
            </w:r>
            <w:r w:rsidR="00476B45">
              <w:rPr>
                <w:rFonts w:eastAsia="Times New Roman" w:cstheme="minorHAnsi"/>
                <w:color w:val="000000"/>
                <w:sz w:val="20"/>
                <w:szCs w:val="20"/>
                <w:lang w:eastAsia="en-CA"/>
              </w:rPr>
              <w:t xml:space="preserve">will ensure inclusion of gender sensitive indicators with appropriate balance. </w:t>
            </w:r>
          </w:p>
        </w:tc>
      </w:tr>
      <w:tr w:rsidR="002438F2" w:rsidRPr="001078BE" w14:paraId="559592F5" w14:textId="77777777" w:rsidTr="1C638A97">
        <w:trPr>
          <w:trHeight w:val="135"/>
        </w:trPr>
        <w:tc>
          <w:tcPr>
            <w:tcW w:w="2932" w:type="dxa"/>
            <w:vMerge w:val="restart"/>
            <w:shd w:val="clear" w:color="auto" w:fill="F3F3F3"/>
          </w:tcPr>
          <w:p w14:paraId="301BE3EB"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39036FEF"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53E9FB31"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525658B2"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11"/>
            </w:r>
          </w:p>
        </w:tc>
      </w:tr>
      <w:tr w:rsidR="002438F2" w:rsidRPr="001078BE" w14:paraId="445B1D03" w14:textId="77777777" w:rsidTr="1C638A97">
        <w:trPr>
          <w:trHeight w:val="135"/>
        </w:trPr>
        <w:tc>
          <w:tcPr>
            <w:tcW w:w="2932" w:type="dxa"/>
            <w:vMerge/>
          </w:tcPr>
          <w:p w14:paraId="6633A93A" w14:textId="77777777" w:rsidR="002438F2" w:rsidRPr="001078BE" w:rsidRDefault="002438F2" w:rsidP="00A056EA">
            <w:pPr>
              <w:tabs>
                <w:tab w:val="left" w:pos="1080"/>
              </w:tabs>
              <w:spacing w:line="240" w:lineRule="auto"/>
              <w:rPr>
                <w:sz w:val="20"/>
                <w:szCs w:val="20"/>
                <w:lang w:val="en-GB"/>
              </w:rPr>
            </w:pPr>
          </w:p>
        </w:tc>
        <w:tc>
          <w:tcPr>
            <w:tcW w:w="1663" w:type="dxa"/>
            <w:vMerge/>
          </w:tcPr>
          <w:p w14:paraId="66F0094F" w14:textId="77777777" w:rsidR="002438F2" w:rsidRPr="001078BE" w:rsidRDefault="002438F2" w:rsidP="00A056EA">
            <w:pPr>
              <w:tabs>
                <w:tab w:val="left" w:pos="1080"/>
              </w:tabs>
              <w:spacing w:line="240" w:lineRule="auto"/>
              <w:rPr>
                <w:b/>
                <w:sz w:val="20"/>
                <w:szCs w:val="20"/>
                <w:lang w:val="en-GB"/>
              </w:rPr>
            </w:pPr>
          </w:p>
        </w:tc>
        <w:tc>
          <w:tcPr>
            <w:tcW w:w="1590" w:type="dxa"/>
            <w:vMerge/>
          </w:tcPr>
          <w:p w14:paraId="21A2037A" w14:textId="77777777" w:rsidR="002438F2" w:rsidRPr="001078BE" w:rsidRDefault="002438F2" w:rsidP="00A056EA">
            <w:pPr>
              <w:tabs>
                <w:tab w:val="left" w:pos="1080"/>
              </w:tabs>
              <w:spacing w:line="240" w:lineRule="auto"/>
              <w:rPr>
                <w:b/>
                <w:sz w:val="20"/>
                <w:szCs w:val="20"/>
                <w:lang w:val="en-GB"/>
              </w:rPr>
            </w:pPr>
          </w:p>
        </w:tc>
        <w:tc>
          <w:tcPr>
            <w:tcW w:w="2375" w:type="dxa"/>
          </w:tcPr>
          <w:p w14:paraId="5F6C28C0"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536427E3" w14:textId="77777777" w:rsidR="002438F2" w:rsidRPr="001078BE" w:rsidRDefault="002438F2" w:rsidP="00A056EA">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12"/>
            </w:r>
          </w:p>
        </w:tc>
      </w:tr>
      <w:tr w:rsidR="002438F2" w:rsidRPr="001078BE" w14:paraId="2E643A74" w14:textId="77777777" w:rsidTr="1C638A97">
        <w:trPr>
          <w:trHeight w:val="646"/>
        </w:trPr>
        <w:tc>
          <w:tcPr>
            <w:tcW w:w="2932" w:type="dxa"/>
          </w:tcPr>
          <w:p w14:paraId="7674C4FE" w14:textId="0EB052C8" w:rsidR="002438F2" w:rsidRPr="00563302" w:rsidRDefault="00563302" w:rsidP="00A056EA">
            <w:pPr>
              <w:tabs>
                <w:tab w:val="left" w:pos="1080"/>
              </w:tabs>
              <w:spacing w:after="0" w:line="240" w:lineRule="auto"/>
              <w:rPr>
                <w:rFonts w:cs="Arial"/>
                <w:color w:val="FF0000"/>
                <w:sz w:val="18"/>
                <w:szCs w:val="18"/>
                <w:lang w:val="en-GB"/>
              </w:rPr>
            </w:pPr>
            <w:r w:rsidRPr="00563302">
              <w:rPr>
                <w:rFonts w:eastAsia="Times New Roman" w:cstheme="minorHAnsi"/>
                <w:color w:val="000000"/>
                <w:lang w:eastAsia="en-CA"/>
              </w:rPr>
              <w:t>New phase to carefully consider a balance of the indicators</w:t>
            </w:r>
            <w:r w:rsidR="00476B45">
              <w:rPr>
                <w:rFonts w:eastAsia="Times New Roman" w:cstheme="minorHAnsi"/>
                <w:color w:val="000000"/>
                <w:lang w:eastAsia="en-CA"/>
              </w:rPr>
              <w:t xml:space="preserve"> and ensure gender sensitive indicators are included.</w:t>
            </w:r>
          </w:p>
        </w:tc>
        <w:tc>
          <w:tcPr>
            <w:tcW w:w="1663" w:type="dxa"/>
          </w:tcPr>
          <w:p w14:paraId="78B63A5B" w14:textId="75B78AA0" w:rsidR="002438F2" w:rsidRPr="001152F5" w:rsidRDefault="00AC1AEC" w:rsidP="00A056EA">
            <w:pPr>
              <w:tabs>
                <w:tab w:val="left" w:pos="1080"/>
              </w:tabs>
              <w:spacing w:after="0" w:line="240" w:lineRule="auto"/>
              <w:rPr>
                <w:rFonts w:cs="Arial"/>
                <w:sz w:val="18"/>
                <w:szCs w:val="18"/>
                <w:lang w:val="en-GB"/>
              </w:rPr>
            </w:pPr>
            <w:r w:rsidRPr="001152F5">
              <w:rPr>
                <w:rFonts w:cs="Arial"/>
                <w:sz w:val="18"/>
                <w:szCs w:val="18"/>
                <w:lang w:val="en-GB"/>
              </w:rPr>
              <w:t xml:space="preserve">August </w:t>
            </w:r>
            <w:r w:rsidR="002438F2" w:rsidRPr="001152F5">
              <w:rPr>
                <w:rFonts w:cs="Arial"/>
                <w:sz w:val="18"/>
                <w:szCs w:val="18"/>
                <w:lang w:val="en-GB"/>
              </w:rPr>
              <w:t>2022</w:t>
            </w:r>
          </w:p>
        </w:tc>
        <w:tc>
          <w:tcPr>
            <w:tcW w:w="1590" w:type="dxa"/>
          </w:tcPr>
          <w:p w14:paraId="01E9BF75" w14:textId="77777777" w:rsidR="002438F2" w:rsidRPr="001152F5" w:rsidRDefault="002438F2" w:rsidP="00A056EA">
            <w:pPr>
              <w:tabs>
                <w:tab w:val="left" w:pos="1080"/>
              </w:tabs>
              <w:spacing w:after="0" w:line="240" w:lineRule="auto"/>
              <w:jc w:val="center"/>
              <w:rPr>
                <w:rFonts w:cs="Arial"/>
                <w:sz w:val="18"/>
                <w:szCs w:val="18"/>
                <w:lang w:val="en-GB"/>
              </w:rPr>
            </w:pPr>
            <w:r w:rsidRPr="001152F5">
              <w:rPr>
                <w:rFonts w:cs="Arial"/>
                <w:sz w:val="18"/>
                <w:szCs w:val="18"/>
                <w:lang w:val="en-GB"/>
              </w:rPr>
              <w:t>Effective Governance</w:t>
            </w:r>
          </w:p>
        </w:tc>
        <w:tc>
          <w:tcPr>
            <w:tcW w:w="2375" w:type="dxa"/>
          </w:tcPr>
          <w:p w14:paraId="7F628B7F" w14:textId="2A8153D1" w:rsidR="002438F2" w:rsidRPr="00213EA1" w:rsidRDefault="1C638A97" w:rsidP="00A056EA">
            <w:pPr>
              <w:tabs>
                <w:tab w:val="left" w:pos="1080"/>
              </w:tabs>
              <w:spacing w:after="0" w:line="240" w:lineRule="auto"/>
              <w:rPr>
                <w:rFonts w:cs="Arial"/>
                <w:sz w:val="18"/>
                <w:szCs w:val="18"/>
                <w:lang w:val="en-GB"/>
              </w:rPr>
            </w:pPr>
            <w:r w:rsidRPr="00213EA1">
              <w:rPr>
                <w:rFonts w:cs="Arial"/>
                <w:sz w:val="18"/>
                <w:szCs w:val="18"/>
                <w:lang w:val="en-GB"/>
              </w:rPr>
              <w:t>UNDP will coordinate internally to define indicators and work with the EU to validate.</w:t>
            </w:r>
          </w:p>
        </w:tc>
        <w:tc>
          <w:tcPr>
            <w:tcW w:w="2072" w:type="dxa"/>
          </w:tcPr>
          <w:p w14:paraId="028E767D" w14:textId="3650F097" w:rsidR="002438F2" w:rsidRPr="00213EA1" w:rsidRDefault="1C638A97" w:rsidP="00A056EA">
            <w:pPr>
              <w:tabs>
                <w:tab w:val="left" w:pos="1080"/>
              </w:tabs>
              <w:spacing w:after="0" w:line="240" w:lineRule="auto"/>
              <w:rPr>
                <w:rFonts w:cs="Arial"/>
                <w:sz w:val="18"/>
                <w:szCs w:val="18"/>
                <w:lang w:val="en-GB"/>
              </w:rPr>
            </w:pPr>
            <w:r w:rsidRPr="00213EA1">
              <w:rPr>
                <w:rFonts w:cs="Arial"/>
                <w:sz w:val="18"/>
                <w:szCs w:val="18"/>
                <w:lang w:val="en-GB"/>
              </w:rPr>
              <w:t>Completed. New project document includes streamlined indicators including qualitative gender indicators and goals level indicators.</w:t>
            </w:r>
          </w:p>
        </w:tc>
      </w:tr>
    </w:tbl>
    <w:p w14:paraId="38511B0E" w14:textId="52244083" w:rsidR="002438F2" w:rsidRDefault="002438F2" w:rsidP="00964FC9">
      <w:pPr>
        <w:spacing w:after="0" w:line="240" w:lineRule="auto"/>
        <w:jc w:val="both"/>
        <w:rPr>
          <w:b/>
          <w:highlight w:val="lightGray"/>
          <w:lang w:val="en-GB"/>
        </w:rPr>
      </w:pPr>
    </w:p>
    <w:p w14:paraId="53CBBDC0" w14:textId="4A3B58A0" w:rsidR="002438F2" w:rsidRDefault="002438F2" w:rsidP="00964FC9">
      <w:pPr>
        <w:spacing w:after="0" w:line="240" w:lineRule="auto"/>
        <w:jc w:val="both"/>
        <w:rPr>
          <w:b/>
          <w:highlight w:val="lightGray"/>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2"/>
        <w:gridCol w:w="1663"/>
        <w:gridCol w:w="1590"/>
        <w:gridCol w:w="2375"/>
        <w:gridCol w:w="2072"/>
      </w:tblGrid>
      <w:tr w:rsidR="00563302" w:rsidRPr="001078BE" w14:paraId="25C35BF1" w14:textId="77777777" w:rsidTr="1C638A97">
        <w:trPr>
          <w:trHeight w:val="135"/>
        </w:trPr>
        <w:tc>
          <w:tcPr>
            <w:tcW w:w="2932" w:type="dxa"/>
            <w:shd w:val="clear" w:color="auto" w:fill="F3F3F3"/>
          </w:tcPr>
          <w:p w14:paraId="2D7D8B09" w14:textId="77777777" w:rsidR="00563302" w:rsidRPr="001078BE" w:rsidRDefault="00563302" w:rsidP="00563302">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700" w:type="dxa"/>
            <w:gridSpan w:val="4"/>
            <w:shd w:val="clear" w:color="auto" w:fill="F3F3F3"/>
          </w:tcPr>
          <w:p w14:paraId="444BA9F1" w14:textId="260C173C" w:rsidR="00563302" w:rsidRPr="00A24A36" w:rsidRDefault="00563302" w:rsidP="00A24A36">
            <w:pPr>
              <w:tabs>
                <w:tab w:val="left" w:pos="1080"/>
              </w:tabs>
              <w:spacing w:after="0" w:line="240" w:lineRule="auto"/>
              <w:jc w:val="both"/>
              <w:rPr>
                <w:color w:val="FF0000"/>
                <w:sz w:val="20"/>
                <w:szCs w:val="20"/>
                <w:lang w:val="en-GB"/>
              </w:rPr>
            </w:pPr>
            <w:r w:rsidRPr="00476B45">
              <w:rPr>
                <w:lang w:val="en-GB"/>
              </w:rPr>
              <w:t xml:space="preserve">Recommendation 5: </w:t>
            </w:r>
            <w:r w:rsidRPr="00A24A36">
              <w:rPr>
                <w:sz w:val="20"/>
                <w:szCs w:val="20"/>
              </w:rPr>
              <w:t xml:space="preserve">The FEC recommends that UNDP/ PFM together with partners, prepare clear and practical sustainability strategy under all results areas. PFM should continue implementing its systemic approach to capacity development, following needs assessments of the main stakeholders and partners. At the current stage of development of public finance management system in the Pacific Islands Countries, it is important to consider and provide a longer-term and needs-based capacity development assistance. It is especially important to continue work on the development of capacity for budgetary scrutiny of the SAIs and parliaments, while also working on understanding of links between policies and budgeting. The evaluation team recommends that PFM design a comprehensive training evaluation approach based on the Kirkpatrick model, assessing four levels of learning: 1) participant satisfaction with the training; 2) immediate change in individual knowledge and skills; 3) change in individual performance back in the workplace; and 4) change in the overall performance of the institution. </w:t>
            </w:r>
          </w:p>
        </w:tc>
      </w:tr>
      <w:tr w:rsidR="00563302" w:rsidRPr="001078BE" w14:paraId="75CE4855" w14:textId="77777777" w:rsidTr="1C638A97">
        <w:trPr>
          <w:trHeight w:val="135"/>
        </w:trPr>
        <w:tc>
          <w:tcPr>
            <w:tcW w:w="2932" w:type="dxa"/>
            <w:shd w:val="clear" w:color="auto" w:fill="F3F3F3"/>
          </w:tcPr>
          <w:p w14:paraId="52AAFAC6" w14:textId="77777777" w:rsidR="00563302" w:rsidRPr="001078BE" w:rsidRDefault="00563302" w:rsidP="00563302">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0463700D" w14:textId="0283AFAA" w:rsidR="00563302" w:rsidRPr="00A24A36" w:rsidRDefault="00A66050" w:rsidP="00A24A36">
            <w:pPr>
              <w:tabs>
                <w:tab w:val="left" w:pos="1080"/>
              </w:tabs>
              <w:spacing w:after="0" w:line="240" w:lineRule="auto"/>
              <w:jc w:val="both"/>
              <w:rPr>
                <w:sz w:val="20"/>
                <w:szCs w:val="20"/>
              </w:rPr>
            </w:pPr>
            <w:r w:rsidRPr="00A24A36">
              <w:rPr>
                <w:sz w:val="20"/>
                <w:szCs w:val="20"/>
              </w:rPr>
              <w:t>Fully accepted.</w:t>
            </w:r>
            <w:r w:rsidR="00563302" w:rsidRPr="00A24A36">
              <w:rPr>
                <w:sz w:val="20"/>
                <w:szCs w:val="20"/>
              </w:rPr>
              <w:t xml:space="preserve"> </w:t>
            </w:r>
            <w:r w:rsidR="001152F5" w:rsidRPr="00A24A36">
              <w:rPr>
                <w:sz w:val="20"/>
                <w:szCs w:val="20"/>
              </w:rPr>
              <w:t>Recommendations have been factored in</w:t>
            </w:r>
            <w:r w:rsidR="0017583A" w:rsidRPr="00A24A36">
              <w:rPr>
                <w:sz w:val="20"/>
                <w:szCs w:val="20"/>
              </w:rPr>
              <w:t>to</w:t>
            </w:r>
            <w:r w:rsidR="001152F5" w:rsidRPr="00A24A36">
              <w:rPr>
                <w:sz w:val="20"/>
                <w:szCs w:val="20"/>
              </w:rPr>
              <w:t xml:space="preserve"> Phase II design.  </w:t>
            </w:r>
          </w:p>
        </w:tc>
      </w:tr>
      <w:tr w:rsidR="00563302" w:rsidRPr="001078BE" w14:paraId="2FBF2CBB" w14:textId="77777777" w:rsidTr="1C638A97">
        <w:trPr>
          <w:trHeight w:val="135"/>
        </w:trPr>
        <w:tc>
          <w:tcPr>
            <w:tcW w:w="2932" w:type="dxa"/>
            <w:vMerge w:val="restart"/>
            <w:shd w:val="clear" w:color="auto" w:fill="F3F3F3"/>
          </w:tcPr>
          <w:p w14:paraId="05B9EC21"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lastRenderedPageBreak/>
              <w:t>Key action(s)</w:t>
            </w:r>
          </w:p>
        </w:tc>
        <w:tc>
          <w:tcPr>
            <w:tcW w:w="1663" w:type="dxa"/>
            <w:vMerge w:val="restart"/>
            <w:shd w:val="clear" w:color="auto" w:fill="F3F3F3"/>
          </w:tcPr>
          <w:p w14:paraId="48A45C38"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6472ACF4"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1E61F9F7"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13"/>
            </w:r>
          </w:p>
        </w:tc>
      </w:tr>
      <w:tr w:rsidR="00563302" w:rsidRPr="001078BE" w14:paraId="28CA1465" w14:textId="77777777" w:rsidTr="1C638A97">
        <w:trPr>
          <w:trHeight w:val="135"/>
        </w:trPr>
        <w:tc>
          <w:tcPr>
            <w:tcW w:w="2932" w:type="dxa"/>
            <w:vMerge/>
          </w:tcPr>
          <w:p w14:paraId="5423DE05" w14:textId="77777777" w:rsidR="00563302" w:rsidRPr="001078BE" w:rsidRDefault="00563302" w:rsidP="00563302">
            <w:pPr>
              <w:tabs>
                <w:tab w:val="left" w:pos="1080"/>
              </w:tabs>
              <w:spacing w:line="240" w:lineRule="auto"/>
              <w:rPr>
                <w:sz w:val="20"/>
                <w:szCs w:val="20"/>
                <w:lang w:val="en-GB"/>
              </w:rPr>
            </w:pPr>
          </w:p>
        </w:tc>
        <w:tc>
          <w:tcPr>
            <w:tcW w:w="1663" w:type="dxa"/>
            <w:vMerge/>
          </w:tcPr>
          <w:p w14:paraId="7F0948B8" w14:textId="77777777" w:rsidR="00563302" w:rsidRPr="001078BE" w:rsidRDefault="00563302" w:rsidP="00563302">
            <w:pPr>
              <w:tabs>
                <w:tab w:val="left" w:pos="1080"/>
              </w:tabs>
              <w:spacing w:line="240" w:lineRule="auto"/>
              <w:rPr>
                <w:b/>
                <w:sz w:val="20"/>
                <w:szCs w:val="20"/>
                <w:lang w:val="en-GB"/>
              </w:rPr>
            </w:pPr>
          </w:p>
        </w:tc>
        <w:tc>
          <w:tcPr>
            <w:tcW w:w="1590" w:type="dxa"/>
            <w:vMerge/>
          </w:tcPr>
          <w:p w14:paraId="2237B20F" w14:textId="77777777" w:rsidR="00563302" w:rsidRPr="001078BE" w:rsidRDefault="00563302" w:rsidP="00563302">
            <w:pPr>
              <w:tabs>
                <w:tab w:val="left" w:pos="1080"/>
              </w:tabs>
              <w:spacing w:line="240" w:lineRule="auto"/>
              <w:rPr>
                <w:b/>
                <w:sz w:val="20"/>
                <w:szCs w:val="20"/>
                <w:lang w:val="en-GB"/>
              </w:rPr>
            </w:pPr>
          </w:p>
        </w:tc>
        <w:tc>
          <w:tcPr>
            <w:tcW w:w="2375" w:type="dxa"/>
          </w:tcPr>
          <w:p w14:paraId="4DB69CA0"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71A38249" w14:textId="77777777" w:rsidR="00563302" w:rsidRPr="001078BE" w:rsidRDefault="00563302" w:rsidP="00563302">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14"/>
            </w:r>
          </w:p>
        </w:tc>
      </w:tr>
      <w:tr w:rsidR="00563302" w:rsidRPr="001078BE" w14:paraId="0AA31932" w14:textId="77777777" w:rsidTr="1C638A97">
        <w:trPr>
          <w:trHeight w:val="646"/>
        </w:trPr>
        <w:tc>
          <w:tcPr>
            <w:tcW w:w="2932" w:type="dxa"/>
          </w:tcPr>
          <w:p w14:paraId="6B7D337E" w14:textId="4351DE3F" w:rsidR="00563302" w:rsidRPr="00563302" w:rsidRDefault="00563302" w:rsidP="00563302">
            <w:pPr>
              <w:tabs>
                <w:tab w:val="left" w:pos="1080"/>
              </w:tabs>
              <w:spacing w:after="0" w:line="240" w:lineRule="auto"/>
              <w:rPr>
                <w:rFonts w:cs="Arial"/>
                <w:color w:val="FF0000"/>
                <w:sz w:val="20"/>
                <w:szCs w:val="20"/>
                <w:lang w:val="en-GB"/>
              </w:rPr>
            </w:pPr>
            <w:r w:rsidRPr="00563302">
              <w:rPr>
                <w:rFonts w:eastAsia="Times New Roman" w:cstheme="minorHAnsi"/>
                <w:color w:val="000000"/>
                <w:sz w:val="20"/>
                <w:szCs w:val="20"/>
                <w:lang w:eastAsia="en-CA"/>
              </w:rPr>
              <w:t>New phase to carefully consider sustainability strategy and evaluation of activities based on institutional needs</w:t>
            </w:r>
          </w:p>
        </w:tc>
        <w:tc>
          <w:tcPr>
            <w:tcW w:w="1663" w:type="dxa"/>
          </w:tcPr>
          <w:p w14:paraId="3D2D4995" w14:textId="01FCBAA8" w:rsidR="00563302" w:rsidRPr="001152F5" w:rsidRDefault="0017583A" w:rsidP="00563302">
            <w:pPr>
              <w:tabs>
                <w:tab w:val="left" w:pos="1080"/>
              </w:tabs>
              <w:spacing w:after="0" w:line="240" w:lineRule="auto"/>
              <w:rPr>
                <w:rFonts w:cs="Arial"/>
                <w:sz w:val="18"/>
                <w:szCs w:val="18"/>
                <w:lang w:val="en-GB"/>
              </w:rPr>
            </w:pPr>
            <w:r w:rsidRPr="001152F5">
              <w:rPr>
                <w:rFonts w:cs="Arial"/>
                <w:sz w:val="18"/>
                <w:szCs w:val="18"/>
                <w:lang w:val="en-GB"/>
              </w:rPr>
              <w:t>August 2022</w:t>
            </w:r>
          </w:p>
        </w:tc>
        <w:tc>
          <w:tcPr>
            <w:tcW w:w="1590" w:type="dxa"/>
          </w:tcPr>
          <w:p w14:paraId="0D6CA6AF" w14:textId="77777777" w:rsidR="00563302" w:rsidRPr="001152F5" w:rsidRDefault="00563302" w:rsidP="00563302">
            <w:pPr>
              <w:tabs>
                <w:tab w:val="left" w:pos="1080"/>
              </w:tabs>
              <w:spacing w:after="0" w:line="240" w:lineRule="auto"/>
              <w:jc w:val="center"/>
              <w:rPr>
                <w:rFonts w:cs="Arial"/>
                <w:sz w:val="18"/>
                <w:szCs w:val="18"/>
                <w:lang w:val="en-GB"/>
              </w:rPr>
            </w:pPr>
            <w:r w:rsidRPr="001152F5">
              <w:rPr>
                <w:rFonts w:cs="Arial"/>
                <w:sz w:val="18"/>
                <w:szCs w:val="18"/>
                <w:lang w:val="en-GB"/>
              </w:rPr>
              <w:t>Effective Governance</w:t>
            </w:r>
          </w:p>
        </w:tc>
        <w:tc>
          <w:tcPr>
            <w:tcW w:w="2375" w:type="dxa"/>
          </w:tcPr>
          <w:p w14:paraId="1C433AFA" w14:textId="480EE521" w:rsidR="00563302" w:rsidRPr="00213EA1" w:rsidRDefault="1C638A97" w:rsidP="00563302">
            <w:pPr>
              <w:tabs>
                <w:tab w:val="left" w:pos="1080"/>
              </w:tabs>
              <w:spacing w:after="0" w:line="240" w:lineRule="auto"/>
              <w:rPr>
                <w:rFonts w:cs="Arial"/>
                <w:sz w:val="18"/>
                <w:szCs w:val="18"/>
                <w:lang w:val="en-GB"/>
              </w:rPr>
            </w:pPr>
            <w:r w:rsidRPr="00213EA1">
              <w:rPr>
                <w:rFonts w:cs="Arial"/>
                <w:sz w:val="18"/>
                <w:szCs w:val="18"/>
                <w:lang w:val="en-GB"/>
              </w:rPr>
              <w:t>UNDP will work with the EU to address this recommendation.</w:t>
            </w:r>
          </w:p>
        </w:tc>
        <w:tc>
          <w:tcPr>
            <w:tcW w:w="2072" w:type="dxa"/>
          </w:tcPr>
          <w:p w14:paraId="5A3A5386" w14:textId="47546A8B" w:rsidR="00563302" w:rsidRPr="00213EA1" w:rsidRDefault="1C638A97" w:rsidP="00563302">
            <w:pPr>
              <w:tabs>
                <w:tab w:val="left" w:pos="1080"/>
              </w:tabs>
              <w:spacing w:after="0" w:line="240" w:lineRule="auto"/>
              <w:rPr>
                <w:rFonts w:cs="Arial"/>
                <w:sz w:val="18"/>
                <w:szCs w:val="18"/>
                <w:lang w:val="en-GB"/>
              </w:rPr>
            </w:pPr>
            <w:r w:rsidRPr="00213EA1">
              <w:rPr>
                <w:rFonts w:cs="Arial"/>
                <w:sz w:val="18"/>
                <w:szCs w:val="18"/>
                <w:lang w:val="en-GB"/>
              </w:rPr>
              <w:t>On-going – this consideration has been included in the new project document and a monitoring and evaluation officer has been included in the project staffing to ensure more attention is paid to these aspects.</w:t>
            </w:r>
          </w:p>
        </w:tc>
      </w:tr>
    </w:tbl>
    <w:p w14:paraId="61C3BEDA" w14:textId="77777777" w:rsidR="002438F2" w:rsidRPr="001078BE" w:rsidRDefault="002438F2" w:rsidP="00964FC9">
      <w:pPr>
        <w:spacing w:after="0" w:line="240" w:lineRule="auto"/>
        <w:jc w:val="both"/>
        <w:rPr>
          <w:b/>
          <w:highlight w:val="lightGray"/>
          <w:lang w:val="en-GB"/>
        </w:rPr>
      </w:pPr>
    </w:p>
    <w:sectPr w:rsidR="002438F2" w:rsidRPr="001078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5D99" w14:textId="77777777" w:rsidR="001D2CED" w:rsidRDefault="001D2CED" w:rsidP="00D66F55">
      <w:pPr>
        <w:spacing w:after="0" w:line="240" w:lineRule="auto"/>
      </w:pPr>
      <w:r>
        <w:separator/>
      </w:r>
    </w:p>
  </w:endnote>
  <w:endnote w:type="continuationSeparator" w:id="0">
    <w:p w14:paraId="10FB8E02" w14:textId="77777777" w:rsidR="001D2CED" w:rsidRDefault="001D2CED" w:rsidP="00D66F55">
      <w:pPr>
        <w:spacing w:after="0" w:line="240" w:lineRule="auto"/>
      </w:pPr>
      <w:r>
        <w:continuationSeparator/>
      </w:r>
    </w:p>
  </w:endnote>
  <w:endnote w:type="continuationNotice" w:id="1">
    <w:p w14:paraId="5D11CFF5" w14:textId="77777777" w:rsidR="001D2CED" w:rsidRDefault="001D2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IDFont+F4">
    <w:altName w:val="Calibri"/>
    <w:charset w:val="00"/>
    <w:family w:val="auto"/>
    <w:pitch w:val="default"/>
    <w:sig w:usb0="00000003" w:usb1="00000000" w:usb2="00000000" w:usb3="00000000" w:csb0="00000001"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8D65" w14:textId="54445775" w:rsidR="00F73041" w:rsidRDefault="00F73041">
    <w:pPr>
      <w:pStyle w:val="Footer"/>
    </w:pPr>
  </w:p>
  <w:p w14:paraId="1143D9D6" w14:textId="77777777" w:rsidR="00F73041" w:rsidRDefault="00F7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A541" w14:textId="77777777" w:rsidR="001D2CED" w:rsidRDefault="001D2CED" w:rsidP="00D66F55">
      <w:pPr>
        <w:spacing w:after="0" w:line="240" w:lineRule="auto"/>
      </w:pPr>
      <w:r>
        <w:separator/>
      </w:r>
    </w:p>
  </w:footnote>
  <w:footnote w:type="continuationSeparator" w:id="0">
    <w:p w14:paraId="40BD5DAE" w14:textId="77777777" w:rsidR="001D2CED" w:rsidRDefault="001D2CED" w:rsidP="00D66F55">
      <w:pPr>
        <w:spacing w:after="0" w:line="240" w:lineRule="auto"/>
      </w:pPr>
      <w:r>
        <w:continuationSeparator/>
      </w:r>
    </w:p>
  </w:footnote>
  <w:footnote w:type="continuationNotice" w:id="1">
    <w:p w14:paraId="447B851C" w14:textId="77777777" w:rsidR="001D2CED" w:rsidRDefault="001D2CED">
      <w:pPr>
        <w:spacing w:after="0" w:line="240" w:lineRule="auto"/>
      </w:pPr>
    </w:p>
  </w:footnote>
  <w:footnote w:id="2">
    <w:p w14:paraId="7F78E04A" w14:textId="3C306C4B" w:rsidR="000149DD" w:rsidRDefault="000149DD">
      <w:pPr>
        <w:pStyle w:val="FootnoteText"/>
      </w:pPr>
      <w:r>
        <w:rPr>
          <w:rStyle w:val="FootnoteReference"/>
        </w:rPr>
        <w:footnoteRef/>
      </w:r>
      <w:r>
        <w:t xml:space="preserve"> The evaluation was carried out </w:t>
      </w:r>
      <w:r w:rsidR="00881B54">
        <w:t xml:space="preserve">remotely and most meetings </w:t>
      </w:r>
      <w:r w:rsidR="003E1F40">
        <w:t>and sharing of files and documents was carried out online.</w:t>
      </w:r>
    </w:p>
  </w:footnote>
  <w:footnote w:id="3">
    <w:p w14:paraId="1E3833EE" w14:textId="77777777" w:rsidR="00F73041" w:rsidRPr="00060E35" w:rsidRDefault="00F73041" w:rsidP="000605FF">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4">
    <w:p w14:paraId="6D2CF45F" w14:textId="77777777" w:rsidR="00F73041" w:rsidRPr="00060E35" w:rsidRDefault="00F73041" w:rsidP="000605FF">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5">
    <w:p w14:paraId="698BCD82" w14:textId="77777777" w:rsidR="002438F2" w:rsidRPr="00060E35" w:rsidRDefault="002438F2" w:rsidP="00117A23">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6">
    <w:p w14:paraId="3357E60B" w14:textId="77777777" w:rsidR="002438F2" w:rsidRPr="00060E35" w:rsidRDefault="002438F2" w:rsidP="00117A23">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7">
    <w:p w14:paraId="34CC5D18" w14:textId="77777777" w:rsidR="00B822A2" w:rsidRPr="00060E35" w:rsidRDefault="00B822A2" w:rsidP="00B822A2">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8">
    <w:p w14:paraId="1F1C36D7" w14:textId="77777777" w:rsidR="00B822A2" w:rsidRPr="00060E35" w:rsidRDefault="00B822A2" w:rsidP="00B822A2">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9">
    <w:p w14:paraId="6CFBB071" w14:textId="77777777" w:rsidR="002438F2" w:rsidRPr="00060E35" w:rsidRDefault="002438F2" w:rsidP="002438F2">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10">
    <w:p w14:paraId="0EACCF12" w14:textId="77777777" w:rsidR="002438F2" w:rsidRPr="00060E35" w:rsidRDefault="002438F2" w:rsidP="002438F2">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11">
    <w:p w14:paraId="562351F4" w14:textId="77777777" w:rsidR="002438F2" w:rsidRPr="00060E35" w:rsidRDefault="002438F2" w:rsidP="002438F2">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12">
    <w:p w14:paraId="240BD802" w14:textId="77777777" w:rsidR="002438F2" w:rsidRPr="00060E35" w:rsidRDefault="002438F2" w:rsidP="002438F2">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13">
    <w:p w14:paraId="2E0A3AA7" w14:textId="77777777" w:rsidR="00563302" w:rsidRPr="00060E35" w:rsidRDefault="00563302" w:rsidP="002438F2">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14">
    <w:p w14:paraId="5978E7F1" w14:textId="77777777" w:rsidR="00563302" w:rsidRPr="00060E35" w:rsidRDefault="00563302" w:rsidP="002438F2">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7"/>
    <w:multiLevelType w:val="hybridMultilevel"/>
    <w:tmpl w:val="B15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56A"/>
    <w:multiLevelType w:val="hybridMultilevel"/>
    <w:tmpl w:val="F4D2CA04"/>
    <w:lvl w:ilvl="0" w:tplc="04090001">
      <w:start w:val="1"/>
      <w:numFmt w:val="bullet"/>
      <w:lvlText w:val=""/>
      <w:lvlJc w:val="left"/>
      <w:pPr>
        <w:ind w:left="36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8367E"/>
    <w:multiLevelType w:val="hybridMultilevel"/>
    <w:tmpl w:val="89087B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1695C"/>
    <w:multiLevelType w:val="hybridMultilevel"/>
    <w:tmpl w:val="BF300B18"/>
    <w:lvl w:ilvl="0" w:tplc="1078255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3207"/>
    <w:multiLevelType w:val="multilevel"/>
    <w:tmpl w:val="EAEAA354"/>
    <w:styleLink w:val="C4Headings"/>
    <w:lvl w:ilvl="0">
      <w:start w:val="1"/>
      <w:numFmt w:val="decimal"/>
      <w:lvlText w:val="%1."/>
      <w:lvlJc w:val="left"/>
      <w:pPr>
        <w:ind w:left="0" w:firstLine="0"/>
      </w:pPr>
      <w:rPr>
        <w:rFonts w:ascii="Arial Bold" w:hAnsi="Arial Bold" w:hint="default"/>
        <w:b/>
        <w:i w:val="0"/>
        <w:sz w:val="24"/>
      </w:rPr>
    </w:lvl>
    <w:lvl w:ilvl="1">
      <w:start w:val="1"/>
      <w:numFmt w:val="decimal"/>
      <w:lvlText w:val="%1.%2."/>
      <w:lvlJc w:val="left"/>
      <w:pPr>
        <w:ind w:left="0" w:firstLine="0"/>
      </w:pPr>
      <w:rPr>
        <w:rFonts w:ascii="Arial" w:hAnsi="Arial" w:hint="default"/>
        <w:b w:val="0"/>
        <w:i/>
        <w:sz w:val="24"/>
      </w:rPr>
    </w:lvl>
    <w:lvl w:ilvl="2">
      <w:start w:val="1"/>
      <w:numFmt w:val="decimal"/>
      <w:lvlText w:val="%1.%2.%3."/>
      <w:lvlJc w:val="left"/>
      <w:pPr>
        <w:ind w:left="0" w:firstLine="0"/>
      </w:pPr>
      <w:rPr>
        <w:rFonts w:ascii="Arial" w:hAnsi="Arial" w:hint="default"/>
        <w:b w:val="0"/>
        <w:i w:val="0"/>
        <w:sz w:val="24"/>
        <w:u w:val="none"/>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20F0C25"/>
    <w:multiLevelType w:val="hybridMultilevel"/>
    <w:tmpl w:val="AB043A6A"/>
    <w:lvl w:ilvl="0" w:tplc="9A30D3F2">
      <w:start w:val="3"/>
      <w:numFmt w:val="bullet"/>
      <w:lvlText w:val="-"/>
      <w:lvlJc w:val="left"/>
      <w:pPr>
        <w:ind w:left="360" w:hanging="360"/>
      </w:pPr>
      <w:rPr>
        <w:rFonts w:ascii="Cambria" w:eastAsiaTheme="minorHAnsi" w:hAnsi="Cambria"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385503"/>
    <w:multiLevelType w:val="hybridMultilevel"/>
    <w:tmpl w:val="CA6ACFF6"/>
    <w:lvl w:ilvl="0" w:tplc="C4E4E32E">
      <w:start w:val="1"/>
      <w:numFmt w:val="bullet"/>
      <w:pStyle w:val="C41stOrderBullets"/>
      <w:lvlText w:val=""/>
      <w:lvlJc w:val="left"/>
      <w:pPr>
        <w:ind w:left="831" w:hanging="360"/>
      </w:pPr>
      <w:rPr>
        <w:rFonts w:ascii="Symbol" w:hAnsi="Symbol" w:hint="default"/>
        <w:sz w:val="18"/>
        <w:szCs w:val="18"/>
      </w:rPr>
    </w:lvl>
    <w:lvl w:ilvl="1" w:tplc="C9D0E93C">
      <w:start w:val="1"/>
      <w:numFmt w:val="bullet"/>
      <w:pStyle w:val="C42ndorderbullets"/>
      <w:lvlText w:val="○"/>
      <w:lvlJc w:val="left"/>
      <w:pPr>
        <w:ind w:left="1551" w:hanging="360"/>
      </w:pPr>
      <w:rPr>
        <w:rFonts w:ascii="Arial" w:hAnsi="Arial"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32147"/>
    <w:multiLevelType w:val="hybridMultilevel"/>
    <w:tmpl w:val="D4B4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D7A86"/>
    <w:multiLevelType w:val="hybridMultilevel"/>
    <w:tmpl w:val="80C0BF4C"/>
    <w:lvl w:ilvl="0" w:tplc="08090003">
      <w:start w:val="1"/>
      <w:numFmt w:val="bullet"/>
      <w:lvlText w:val="o"/>
      <w:lvlJc w:val="left"/>
      <w:pPr>
        <w:ind w:left="901" w:hanging="360"/>
      </w:pPr>
      <w:rPr>
        <w:rFonts w:ascii="Courier New" w:hAnsi="Courier New" w:cs="Courier New"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15:restartNumberingAfterBreak="0">
    <w:nsid w:val="1A5A21BA"/>
    <w:multiLevelType w:val="multilevel"/>
    <w:tmpl w:val="74AC8D7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428" w:hanging="720"/>
      </w:pPr>
      <w:rPr>
        <w:rFonts w:ascii="Arial" w:hAnsi="Arial" w:cs="Arial" w:hint="default"/>
        <w:color w:val="000000" w:themeColor="text1"/>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E91521"/>
    <w:multiLevelType w:val="hybridMultilevel"/>
    <w:tmpl w:val="EA44B4C4"/>
    <w:lvl w:ilvl="0" w:tplc="0046CA2E">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4A75E3"/>
    <w:multiLevelType w:val="hybridMultilevel"/>
    <w:tmpl w:val="D50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1322F"/>
    <w:multiLevelType w:val="multilevel"/>
    <w:tmpl w:val="042452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BC103C"/>
    <w:multiLevelType w:val="hybridMultilevel"/>
    <w:tmpl w:val="F0F6C34E"/>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211720"/>
    <w:multiLevelType w:val="hybridMultilevel"/>
    <w:tmpl w:val="7156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82F8B"/>
    <w:multiLevelType w:val="hybridMultilevel"/>
    <w:tmpl w:val="4FFA92F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15:restartNumberingAfterBreak="0">
    <w:nsid w:val="27995A74"/>
    <w:multiLevelType w:val="hybridMultilevel"/>
    <w:tmpl w:val="9A30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DA78C1"/>
    <w:multiLevelType w:val="hybridMultilevel"/>
    <w:tmpl w:val="BE985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AA1E64"/>
    <w:multiLevelType w:val="hybridMultilevel"/>
    <w:tmpl w:val="342CC6D2"/>
    <w:lvl w:ilvl="0" w:tplc="08090003">
      <w:start w:val="1"/>
      <w:numFmt w:val="bullet"/>
      <w:lvlText w:val="o"/>
      <w:lvlJc w:val="left"/>
      <w:pPr>
        <w:ind w:left="683" w:hanging="360"/>
      </w:pPr>
      <w:rPr>
        <w:rFonts w:ascii="Courier New" w:hAnsi="Courier New" w:cs="Courier New"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22" w15:restartNumberingAfterBreak="0">
    <w:nsid w:val="3AB615EB"/>
    <w:multiLevelType w:val="hybridMultilevel"/>
    <w:tmpl w:val="F9A4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3C1C4A50"/>
    <w:multiLevelType w:val="hybridMultilevel"/>
    <w:tmpl w:val="267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D1EE2"/>
    <w:multiLevelType w:val="hybridMultilevel"/>
    <w:tmpl w:val="A98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C3A4A"/>
    <w:multiLevelType w:val="hybridMultilevel"/>
    <w:tmpl w:val="E4FC2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B5E9C"/>
    <w:multiLevelType w:val="hybridMultilevel"/>
    <w:tmpl w:val="22A8F872"/>
    <w:lvl w:ilvl="0" w:tplc="FF54E3A8">
      <w:numFmt w:val="bullet"/>
      <w:lvlText w:val="•"/>
      <w:lvlJc w:val="left"/>
      <w:pPr>
        <w:ind w:left="345" w:hanging="360"/>
      </w:pPr>
      <w:rPr>
        <w:rFonts w:ascii="Cambria" w:eastAsiaTheme="minorHAnsi" w:hAnsi="Cambria" w:cstheme="minorBidi" w:hint="default"/>
      </w:rPr>
    </w:lvl>
    <w:lvl w:ilvl="1" w:tplc="20000003" w:tentative="1">
      <w:start w:val="1"/>
      <w:numFmt w:val="bullet"/>
      <w:lvlText w:val="o"/>
      <w:lvlJc w:val="left"/>
      <w:pPr>
        <w:ind w:left="1065" w:hanging="360"/>
      </w:pPr>
      <w:rPr>
        <w:rFonts w:ascii="Courier New" w:hAnsi="Courier New" w:cs="Courier New" w:hint="default"/>
      </w:rPr>
    </w:lvl>
    <w:lvl w:ilvl="2" w:tplc="20000005" w:tentative="1">
      <w:start w:val="1"/>
      <w:numFmt w:val="bullet"/>
      <w:lvlText w:val=""/>
      <w:lvlJc w:val="left"/>
      <w:pPr>
        <w:ind w:left="1785" w:hanging="360"/>
      </w:pPr>
      <w:rPr>
        <w:rFonts w:ascii="Wingdings" w:hAnsi="Wingdings" w:hint="default"/>
      </w:rPr>
    </w:lvl>
    <w:lvl w:ilvl="3" w:tplc="20000001" w:tentative="1">
      <w:start w:val="1"/>
      <w:numFmt w:val="bullet"/>
      <w:lvlText w:val=""/>
      <w:lvlJc w:val="left"/>
      <w:pPr>
        <w:ind w:left="2505" w:hanging="360"/>
      </w:pPr>
      <w:rPr>
        <w:rFonts w:ascii="Symbol" w:hAnsi="Symbol" w:hint="default"/>
      </w:rPr>
    </w:lvl>
    <w:lvl w:ilvl="4" w:tplc="20000003" w:tentative="1">
      <w:start w:val="1"/>
      <w:numFmt w:val="bullet"/>
      <w:lvlText w:val="o"/>
      <w:lvlJc w:val="left"/>
      <w:pPr>
        <w:ind w:left="3225" w:hanging="360"/>
      </w:pPr>
      <w:rPr>
        <w:rFonts w:ascii="Courier New" w:hAnsi="Courier New" w:cs="Courier New" w:hint="default"/>
      </w:rPr>
    </w:lvl>
    <w:lvl w:ilvl="5" w:tplc="20000005" w:tentative="1">
      <w:start w:val="1"/>
      <w:numFmt w:val="bullet"/>
      <w:lvlText w:val=""/>
      <w:lvlJc w:val="left"/>
      <w:pPr>
        <w:ind w:left="3945" w:hanging="360"/>
      </w:pPr>
      <w:rPr>
        <w:rFonts w:ascii="Wingdings" w:hAnsi="Wingdings" w:hint="default"/>
      </w:rPr>
    </w:lvl>
    <w:lvl w:ilvl="6" w:tplc="20000001" w:tentative="1">
      <w:start w:val="1"/>
      <w:numFmt w:val="bullet"/>
      <w:lvlText w:val=""/>
      <w:lvlJc w:val="left"/>
      <w:pPr>
        <w:ind w:left="4665" w:hanging="360"/>
      </w:pPr>
      <w:rPr>
        <w:rFonts w:ascii="Symbol" w:hAnsi="Symbol" w:hint="default"/>
      </w:rPr>
    </w:lvl>
    <w:lvl w:ilvl="7" w:tplc="20000003" w:tentative="1">
      <w:start w:val="1"/>
      <w:numFmt w:val="bullet"/>
      <w:lvlText w:val="o"/>
      <w:lvlJc w:val="left"/>
      <w:pPr>
        <w:ind w:left="5385" w:hanging="360"/>
      </w:pPr>
      <w:rPr>
        <w:rFonts w:ascii="Courier New" w:hAnsi="Courier New" w:cs="Courier New" w:hint="default"/>
      </w:rPr>
    </w:lvl>
    <w:lvl w:ilvl="8" w:tplc="20000005" w:tentative="1">
      <w:start w:val="1"/>
      <w:numFmt w:val="bullet"/>
      <w:lvlText w:val=""/>
      <w:lvlJc w:val="left"/>
      <w:pPr>
        <w:ind w:left="6105" w:hanging="360"/>
      </w:pPr>
      <w:rPr>
        <w:rFonts w:ascii="Wingdings" w:hAnsi="Wingdings" w:hint="default"/>
      </w:rPr>
    </w:lvl>
  </w:abstractNum>
  <w:abstractNum w:abstractNumId="28" w15:restartNumberingAfterBreak="0">
    <w:nsid w:val="56EB4404"/>
    <w:multiLevelType w:val="hybridMultilevel"/>
    <w:tmpl w:val="2B04A962"/>
    <w:lvl w:ilvl="0" w:tplc="20000001">
      <w:start w:val="1"/>
      <w:numFmt w:val="bullet"/>
      <w:lvlText w:val=""/>
      <w:lvlJc w:val="left"/>
      <w:pPr>
        <w:ind w:left="901" w:hanging="360"/>
      </w:pPr>
      <w:rPr>
        <w:rFonts w:ascii="Symbol" w:hAnsi="Symbol" w:hint="default"/>
      </w:rPr>
    </w:lvl>
    <w:lvl w:ilvl="1" w:tplc="20000003" w:tentative="1">
      <w:start w:val="1"/>
      <w:numFmt w:val="bullet"/>
      <w:lvlText w:val="o"/>
      <w:lvlJc w:val="left"/>
      <w:pPr>
        <w:ind w:left="1621" w:hanging="360"/>
      </w:pPr>
      <w:rPr>
        <w:rFonts w:ascii="Courier New" w:hAnsi="Courier New" w:cs="Courier New" w:hint="default"/>
      </w:rPr>
    </w:lvl>
    <w:lvl w:ilvl="2" w:tplc="20000005" w:tentative="1">
      <w:start w:val="1"/>
      <w:numFmt w:val="bullet"/>
      <w:lvlText w:val=""/>
      <w:lvlJc w:val="left"/>
      <w:pPr>
        <w:ind w:left="2341" w:hanging="360"/>
      </w:pPr>
      <w:rPr>
        <w:rFonts w:ascii="Wingdings" w:hAnsi="Wingdings" w:hint="default"/>
      </w:rPr>
    </w:lvl>
    <w:lvl w:ilvl="3" w:tplc="20000001" w:tentative="1">
      <w:start w:val="1"/>
      <w:numFmt w:val="bullet"/>
      <w:lvlText w:val=""/>
      <w:lvlJc w:val="left"/>
      <w:pPr>
        <w:ind w:left="3061" w:hanging="360"/>
      </w:pPr>
      <w:rPr>
        <w:rFonts w:ascii="Symbol" w:hAnsi="Symbol" w:hint="default"/>
      </w:rPr>
    </w:lvl>
    <w:lvl w:ilvl="4" w:tplc="20000003" w:tentative="1">
      <w:start w:val="1"/>
      <w:numFmt w:val="bullet"/>
      <w:lvlText w:val="o"/>
      <w:lvlJc w:val="left"/>
      <w:pPr>
        <w:ind w:left="3781" w:hanging="360"/>
      </w:pPr>
      <w:rPr>
        <w:rFonts w:ascii="Courier New" w:hAnsi="Courier New" w:cs="Courier New" w:hint="default"/>
      </w:rPr>
    </w:lvl>
    <w:lvl w:ilvl="5" w:tplc="20000005" w:tentative="1">
      <w:start w:val="1"/>
      <w:numFmt w:val="bullet"/>
      <w:lvlText w:val=""/>
      <w:lvlJc w:val="left"/>
      <w:pPr>
        <w:ind w:left="4501" w:hanging="360"/>
      </w:pPr>
      <w:rPr>
        <w:rFonts w:ascii="Wingdings" w:hAnsi="Wingdings" w:hint="default"/>
      </w:rPr>
    </w:lvl>
    <w:lvl w:ilvl="6" w:tplc="20000001" w:tentative="1">
      <w:start w:val="1"/>
      <w:numFmt w:val="bullet"/>
      <w:lvlText w:val=""/>
      <w:lvlJc w:val="left"/>
      <w:pPr>
        <w:ind w:left="5221" w:hanging="360"/>
      </w:pPr>
      <w:rPr>
        <w:rFonts w:ascii="Symbol" w:hAnsi="Symbol" w:hint="default"/>
      </w:rPr>
    </w:lvl>
    <w:lvl w:ilvl="7" w:tplc="20000003" w:tentative="1">
      <w:start w:val="1"/>
      <w:numFmt w:val="bullet"/>
      <w:lvlText w:val="o"/>
      <w:lvlJc w:val="left"/>
      <w:pPr>
        <w:ind w:left="5941" w:hanging="360"/>
      </w:pPr>
      <w:rPr>
        <w:rFonts w:ascii="Courier New" w:hAnsi="Courier New" w:cs="Courier New" w:hint="default"/>
      </w:rPr>
    </w:lvl>
    <w:lvl w:ilvl="8" w:tplc="20000005" w:tentative="1">
      <w:start w:val="1"/>
      <w:numFmt w:val="bullet"/>
      <w:lvlText w:val=""/>
      <w:lvlJc w:val="left"/>
      <w:pPr>
        <w:ind w:left="6661" w:hanging="360"/>
      </w:pPr>
      <w:rPr>
        <w:rFonts w:ascii="Wingdings" w:hAnsi="Wingdings" w:hint="default"/>
      </w:rPr>
    </w:lvl>
  </w:abstractNum>
  <w:abstractNum w:abstractNumId="29"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4F1B28"/>
    <w:multiLevelType w:val="hybridMultilevel"/>
    <w:tmpl w:val="2444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732B0A"/>
    <w:multiLevelType w:val="hybridMultilevel"/>
    <w:tmpl w:val="AFC81774"/>
    <w:lvl w:ilvl="0" w:tplc="9A30D3F2">
      <w:start w:val="3"/>
      <w:numFmt w:val="bullet"/>
      <w:lvlText w:val="-"/>
      <w:lvlJc w:val="left"/>
      <w:pPr>
        <w:ind w:left="360" w:hanging="360"/>
      </w:pPr>
      <w:rPr>
        <w:rFonts w:ascii="Cambria" w:eastAsiaTheme="minorHAnsi"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0A11CAC"/>
    <w:multiLevelType w:val="hybridMultilevel"/>
    <w:tmpl w:val="75DC19A2"/>
    <w:lvl w:ilvl="0" w:tplc="595ED608">
      <w:start w:val="1"/>
      <w:numFmt w:val="lowerRoman"/>
      <w:lvlText w:val="%1."/>
      <w:lvlJc w:val="left"/>
      <w:pPr>
        <w:ind w:left="705" w:hanging="72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33" w15:restartNumberingAfterBreak="0">
    <w:nsid w:val="70AB24A4"/>
    <w:multiLevelType w:val="hybridMultilevel"/>
    <w:tmpl w:val="3356FA0E"/>
    <w:lvl w:ilvl="0" w:tplc="9D868A5E">
      <w:start w:val="1"/>
      <w:numFmt w:val="decimal"/>
      <w:pStyle w:val="C4NumberedList"/>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C56CB4"/>
    <w:multiLevelType w:val="hybridMultilevel"/>
    <w:tmpl w:val="BD62FEE0"/>
    <w:lvl w:ilvl="0" w:tplc="04090001">
      <w:start w:val="1"/>
      <w:numFmt w:val="bullet"/>
      <w:lvlText w:val=""/>
      <w:lvlJc w:val="left"/>
      <w:pPr>
        <w:ind w:left="705" w:hanging="360"/>
      </w:pPr>
      <w:rPr>
        <w:rFonts w:ascii="Symbol" w:hAnsi="Symbol" w:hint="default"/>
      </w:rPr>
    </w:lvl>
    <w:lvl w:ilvl="1" w:tplc="A4A0071E">
      <w:numFmt w:val="bullet"/>
      <w:lvlText w:val="•"/>
      <w:lvlJc w:val="left"/>
      <w:pPr>
        <w:ind w:left="1425" w:hanging="360"/>
      </w:pPr>
      <w:rPr>
        <w:rFonts w:ascii="Cambria" w:eastAsiaTheme="minorHAnsi" w:hAnsi="Cambria" w:cstheme="minorBidi"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36"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3"/>
  </w:num>
  <w:num w:numId="3">
    <w:abstractNumId w:val="3"/>
  </w:num>
  <w:num w:numId="4">
    <w:abstractNumId w:val="29"/>
  </w:num>
  <w:num w:numId="5">
    <w:abstractNumId w:val="36"/>
  </w:num>
  <w:num w:numId="6">
    <w:abstractNumId w:val="9"/>
  </w:num>
  <w:num w:numId="7">
    <w:abstractNumId w:val="34"/>
  </w:num>
  <w:num w:numId="8">
    <w:abstractNumId w:val="4"/>
  </w:num>
  <w:num w:numId="9">
    <w:abstractNumId w:val="14"/>
  </w:num>
  <w:num w:numId="10">
    <w:abstractNumId w:val="1"/>
  </w:num>
  <w:num w:numId="11">
    <w:abstractNumId w:val="19"/>
  </w:num>
  <w:num w:numId="12">
    <w:abstractNumId w:val="30"/>
  </w:num>
  <w:num w:numId="13">
    <w:abstractNumId w:val="26"/>
  </w:num>
  <w:num w:numId="14">
    <w:abstractNumId w:val="10"/>
  </w:num>
  <w:num w:numId="15">
    <w:abstractNumId w:val="13"/>
  </w:num>
  <w:num w:numId="16">
    <w:abstractNumId w:val="20"/>
  </w:num>
  <w:num w:numId="17">
    <w:abstractNumId w:val="8"/>
  </w:num>
  <w:num w:numId="18">
    <w:abstractNumId w:val="0"/>
  </w:num>
  <w:num w:numId="19">
    <w:abstractNumId w:val="25"/>
  </w:num>
  <w:num w:numId="20">
    <w:abstractNumId w:val="18"/>
  </w:num>
  <w:num w:numId="21">
    <w:abstractNumId w:val="24"/>
  </w:num>
  <w:num w:numId="22">
    <w:abstractNumId w:val="21"/>
  </w:num>
  <w:num w:numId="23">
    <w:abstractNumId w:val="33"/>
  </w:num>
  <w:num w:numId="24">
    <w:abstractNumId w:val="33"/>
    <w:lvlOverride w:ilvl="0">
      <w:startOverride w:val="1"/>
    </w:lvlOverride>
  </w:num>
  <w:num w:numId="25">
    <w:abstractNumId w:val="17"/>
  </w:num>
  <w:num w:numId="26">
    <w:abstractNumId w:val="15"/>
  </w:num>
  <w:num w:numId="27">
    <w:abstractNumId w:val="11"/>
  </w:num>
  <w:num w:numId="28">
    <w:abstractNumId w:val="22"/>
  </w:num>
  <w:num w:numId="29">
    <w:abstractNumId w:val="12"/>
  </w:num>
  <w:num w:numId="30">
    <w:abstractNumId w:val="5"/>
  </w:num>
  <w:num w:numId="31">
    <w:abstractNumId w:val="5"/>
    <w:lvlOverride w:ilvl="0">
      <w:lvl w:ilvl="0">
        <w:start w:val="1"/>
        <w:numFmt w:val="decimal"/>
        <w:lvlText w:val="%1."/>
        <w:lvlJc w:val="left"/>
        <w:pPr>
          <w:ind w:left="0" w:firstLine="0"/>
        </w:pPr>
        <w:rPr>
          <w:rFonts w:ascii="Arial Bold" w:hAnsi="Arial Bold" w:hint="default"/>
          <w:b/>
          <w:i w:val="0"/>
          <w:sz w:val="22"/>
          <w:szCs w:val="22"/>
        </w:rPr>
      </w:lvl>
    </w:lvlOverride>
    <w:lvlOverride w:ilvl="1">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0" w:firstLine="0"/>
        </w:pPr>
        <w:rPr>
          <w:rFonts w:ascii="Arial" w:hAnsi="Arial" w:hint="default"/>
          <w:b w:val="0"/>
          <w:i w:val="0"/>
          <w:sz w:val="22"/>
          <w:szCs w:val="22"/>
          <w:u w:val="none"/>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2">
    <w:abstractNumId w:val="8"/>
  </w:num>
  <w:num w:numId="33">
    <w:abstractNumId w:val="2"/>
  </w:num>
  <w:num w:numId="34">
    <w:abstractNumId w:val="16"/>
  </w:num>
  <w:num w:numId="35">
    <w:abstractNumId w:val="28"/>
  </w:num>
  <w:num w:numId="36">
    <w:abstractNumId w:val="32"/>
  </w:num>
  <w:num w:numId="37">
    <w:abstractNumId w:val="35"/>
  </w:num>
  <w:num w:numId="38">
    <w:abstractNumId w:val="27"/>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01E7"/>
    <w:rsid w:val="00002F76"/>
    <w:rsid w:val="000039ED"/>
    <w:rsid w:val="00004C8C"/>
    <w:rsid w:val="00007FEE"/>
    <w:rsid w:val="00011586"/>
    <w:rsid w:val="00011BBA"/>
    <w:rsid w:val="000138CF"/>
    <w:rsid w:val="000149DD"/>
    <w:rsid w:val="00021121"/>
    <w:rsid w:val="00023371"/>
    <w:rsid w:val="00024A3F"/>
    <w:rsid w:val="00026A1E"/>
    <w:rsid w:val="000321BD"/>
    <w:rsid w:val="0003366C"/>
    <w:rsid w:val="0004067B"/>
    <w:rsid w:val="0004189C"/>
    <w:rsid w:val="00042615"/>
    <w:rsid w:val="00043455"/>
    <w:rsid w:val="0004492A"/>
    <w:rsid w:val="00046067"/>
    <w:rsid w:val="00046356"/>
    <w:rsid w:val="0004776A"/>
    <w:rsid w:val="00051185"/>
    <w:rsid w:val="00052E8D"/>
    <w:rsid w:val="00053315"/>
    <w:rsid w:val="00053F1F"/>
    <w:rsid w:val="00054F45"/>
    <w:rsid w:val="00056EC4"/>
    <w:rsid w:val="000605FF"/>
    <w:rsid w:val="00062C16"/>
    <w:rsid w:val="000646C3"/>
    <w:rsid w:val="00064CEA"/>
    <w:rsid w:val="00067C70"/>
    <w:rsid w:val="00071FD5"/>
    <w:rsid w:val="0007699D"/>
    <w:rsid w:val="000804C1"/>
    <w:rsid w:val="00085CC6"/>
    <w:rsid w:val="00086A3D"/>
    <w:rsid w:val="0009089F"/>
    <w:rsid w:val="000908FF"/>
    <w:rsid w:val="00092018"/>
    <w:rsid w:val="00093E9B"/>
    <w:rsid w:val="0009480D"/>
    <w:rsid w:val="00094E4A"/>
    <w:rsid w:val="000962A0"/>
    <w:rsid w:val="00096E89"/>
    <w:rsid w:val="000A0BAE"/>
    <w:rsid w:val="000A5522"/>
    <w:rsid w:val="000B0183"/>
    <w:rsid w:val="000B6B1C"/>
    <w:rsid w:val="000B75DD"/>
    <w:rsid w:val="000C1598"/>
    <w:rsid w:val="000C1B31"/>
    <w:rsid w:val="000C71A6"/>
    <w:rsid w:val="000C7440"/>
    <w:rsid w:val="000D0315"/>
    <w:rsid w:val="000D35AE"/>
    <w:rsid w:val="000D4822"/>
    <w:rsid w:val="000D7E3C"/>
    <w:rsid w:val="000E0853"/>
    <w:rsid w:val="000E1DFE"/>
    <w:rsid w:val="000E49B1"/>
    <w:rsid w:val="000E4E24"/>
    <w:rsid w:val="000E6E03"/>
    <w:rsid w:val="000E6E7C"/>
    <w:rsid w:val="000E7C65"/>
    <w:rsid w:val="000F49A6"/>
    <w:rsid w:val="000F79DE"/>
    <w:rsid w:val="00101609"/>
    <w:rsid w:val="00104AFD"/>
    <w:rsid w:val="00105C00"/>
    <w:rsid w:val="001078BE"/>
    <w:rsid w:val="00111214"/>
    <w:rsid w:val="001123F4"/>
    <w:rsid w:val="001128B8"/>
    <w:rsid w:val="001152F5"/>
    <w:rsid w:val="00117A23"/>
    <w:rsid w:val="00117D89"/>
    <w:rsid w:val="00125C67"/>
    <w:rsid w:val="00131B2F"/>
    <w:rsid w:val="00132884"/>
    <w:rsid w:val="00134520"/>
    <w:rsid w:val="00137C8A"/>
    <w:rsid w:val="00140518"/>
    <w:rsid w:val="00141114"/>
    <w:rsid w:val="00141D27"/>
    <w:rsid w:val="001430D3"/>
    <w:rsid w:val="001440A3"/>
    <w:rsid w:val="001475DE"/>
    <w:rsid w:val="00147D70"/>
    <w:rsid w:val="001504F7"/>
    <w:rsid w:val="0015283B"/>
    <w:rsid w:val="00153250"/>
    <w:rsid w:val="00153274"/>
    <w:rsid w:val="00153EA5"/>
    <w:rsid w:val="0015411F"/>
    <w:rsid w:val="00155F2D"/>
    <w:rsid w:val="001561C8"/>
    <w:rsid w:val="00156C2B"/>
    <w:rsid w:val="00157C1B"/>
    <w:rsid w:val="00161C76"/>
    <w:rsid w:val="00161F12"/>
    <w:rsid w:val="0016270B"/>
    <w:rsid w:val="001644B7"/>
    <w:rsid w:val="00164652"/>
    <w:rsid w:val="00166EBB"/>
    <w:rsid w:val="00167FD9"/>
    <w:rsid w:val="00171C5C"/>
    <w:rsid w:val="00171DB5"/>
    <w:rsid w:val="0017271F"/>
    <w:rsid w:val="00173706"/>
    <w:rsid w:val="00173E59"/>
    <w:rsid w:val="00174D6B"/>
    <w:rsid w:val="00174D9E"/>
    <w:rsid w:val="0017583A"/>
    <w:rsid w:val="00176D08"/>
    <w:rsid w:val="0018076D"/>
    <w:rsid w:val="00183BE6"/>
    <w:rsid w:val="00184643"/>
    <w:rsid w:val="001879E5"/>
    <w:rsid w:val="0019155F"/>
    <w:rsid w:val="001A1FC8"/>
    <w:rsid w:val="001A28F9"/>
    <w:rsid w:val="001A5600"/>
    <w:rsid w:val="001A7B6E"/>
    <w:rsid w:val="001B0F8E"/>
    <w:rsid w:val="001B395A"/>
    <w:rsid w:val="001B4222"/>
    <w:rsid w:val="001C1EF5"/>
    <w:rsid w:val="001C42B8"/>
    <w:rsid w:val="001C741C"/>
    <w:rsid w:val="001C7443"/>
    <w:rsid w:val="001C78CC"/>
    <w:rsid w:val="001D0410"/>
    <w:rsid w:val="001D1448"/>
    <w:rsid w:val="001D1770"/>
    <w:rsid w:val="001D2CED"/>
    <w:rsid w:val="001D4C79"/>
    <w:rsid w:val="001D4EA0"/>
    <w:rsid w:val="001D7568"/>
    <w:rsid w:val="001D7CDD"/>
    <w:rsid w:val="001D7E1F"/>
    <w:rsid w:val="001E179B"/>
    <w:rsid w:val="001E2406"/>
    <w:rsid w:val="001E3E7C"/>
    <w:rsid w:val="001E71D2"/>
    <w:rsid w:val="001F132A"/>
    <w:rsid w:val="001F178A"/>
    <w:rsid w:val="001F1DDC"/>
    <w:rsid w:val="001F2DE3"/>
    <w:rsid w:val="001F5AFD"/>
    <w:rsid w:val="001F6FB5"/>
    <w:rsid w:val="001F76F0"/>
    <w:rsid w:val="001F7C2A"/>
    <w:rsid w:val="001F7D41"/>
    <w:rsid w:val="00201B07"/>
    <w:rsid w:val="002037C7"/>
    <w:rsid w:val="00204F84"/>
    <w:rsid w:val="00205043"/>
    <w:rsid w:val="00207907"/>
    <w:rsid w:val="00213AA5"/>
    <w:rsid w:val="00213EA1"/>
    <w:rsid w:val="00216876"/>
    <w:rsid w:val="00216E96"/>
    <w:rsid w:val="0021723F"/>
    <w:rsid w:val="00217255"/>
    <w:rsid w:val="00217502"/>
    <w:rsid w:val="00220B4C"/>
    <w:rsid w:val="0022247A"/>
    <w:rsid w:val="00222497"/>
    <w:rsid w:val="002233E1"/>
    <w:rsid w:val="00223A38"/>
    <w:rsid w:val="00223AF7"/>
    <w:rsid w:val="00227FCB"/>
    <w:rsid w:val="00230C6F"/>
    <w:rsid w:val="002323CB"/>
    <w:rsid w:val="00233718"/>
    <w:rsid w:val="00233A3E"/>
    <w:rsid w:val="00235692"/>
    <w:rsid w:val="00237C06"/>
    <w:rsid w:val="00240263"/>
    <w:rsid w:val="00241149"/>
    <w:rsid w:val="002429C5"/>
    <w:rsid w:val="002438F2"/>
    <w:rsid w:val="0024599B"/>
    <w:rsid w:val="00257FBE"/>
    <w:rsid w:val="00262D1B"/>
    <w:rsid w:val="00264297"/>
    <w:rsid w:val="00266207"/>
    <w:rsid w:val="00270383"/>
    <w:rsid w:val="00273804"/>
    <w:rsid w:val="0027677F"/>
    <w:rsid w:val="002817D4"/>
    <w:rsid w:val="00281E33"/>
    <w:rsid w:val="00284237"/>
    <w:rsid w:val="00293FB6"/>
    <w:rsid w:val="002941FF"/>
    <w:rsid w:val="0029422B"/>
    <w:rsid w:val="00297074"/>
    <w:rsid w:val="002A1A61"/>
    <w:rsid w:val="002A38B8"/>
    <w:rsid w:val="002A3EB9"/>
    <w:rsid w:val="002A4837"/>
    <w:rsid w:val="002A4B81"/>
    <w:rsid w:val="002B3A20"/>
    <w:rsid w:val="002B5E78"/>
    <w:rsid w:val="002D12A7"/>
    <w:rsid w:val="002D12DA"/>
    <w:rsid w:val="002D190A"/>
    <w:rsid w:val="002D1CC9"/>
    <w:rsid w:val="002D3EE8"/>
    <w:rsid w:val="002D407D"/>
    <w:rsid w:val="002D71B4"/>
    <w:rsid w:val="002E16E1"/>
    <w:rsid w:val="002E2AFC"/>
    <w:rsid w:val="002E3268"/>
    <w:rsid w:val="002E38EC"/>
    <w:rsid w:val="002E781B"/>
    <w:rsid w:val="002E7AA7"/>
    <w:rsid w:val="002F062B"/>
    <w:rsid w:val="002F4B7D"/>
    <w:rsid w:val="002F6450"/>
    <w:rsid w:val="002F70CC"/>
    <w:rsid w:val="002F7681"/>
    <w:rsid w:val="0030032A"/>
    <w:rsid w:val="00300CCD"/>
    <w:rsid w:val="003042A8"/>
    <w:rsid w:val="00306409"/>
    <w:rsid w:val="00307262"/>
    <w:rsid w:val="00311B66"/>
    <w:rsid w:val="003122B5"/>
    <w:rsid w:val="00314262"/>
    <w:rsid w:val="00316892"/>
    <w:rsid w:val="0031749B"/>
    <w:rsid w:val="00317563"/>
    <w:rsid w:val="00317A01"/>
    <w:rsid w:val="00320D2E"/>
    <w:rsid w:val="00320DFD"/>
    <w:rsid w:val="00321C54"/>
    <w:rsid w:val="00322B30"/>
    <w:rsid w:val="00326A7D"/>
    <w:rsid w:val="003275B7"/>
    <w:rsid w:val="00332C2D"/>
    <w:rsid w:val="00333AA2"/>
    <w:rsid w:val="0033553C"/>
    <w:rsid w:val="0033733D"/>
    <w:rsid w:val="00345319"/>
    <w:rsid w:val="003507D4"/>
    <w:rsid w:val="0035202D"/>
    <w:rsid w:val="003542C3"/>
    <w:rsid w:val="00356FFF"/>
    <w:rsid w:val="00361F73"/>
    <w:rsid w:val="00362C09"/>
    <w:rsid w:val="00362CEA"/>
    <w:rsid w:val="0036397B"/>
    <w:rsid w:val="00363B52"/>
    <w:rsid w:val="00363B54"/>
    <w:rsid w:val="00363E46"/>
    <w:rsid w:val="00367E19"/>
    <w:rsid w:val="00371AA4"/>
    <w:rsid w:val="00372AAA"/>
    <w:rsid w:val="00372DC2"/>
    <w:rsid w:val="00373334"/>
    <w:rsid w:val="00375878"/>
    <w:rsid w:val="0038246F"/>
    <w:rsid w:val="00382A20"/>
    <w:rsid w:val="00383C75"/>
    <w:rsid w:val="00383D21"/>
    <w:rsid w:val="00391F69"/>
    <w:rsid w:val="003936CD"/>
    <w:rsid w:val="00395CB1"/>
    <w:rsid w:val="00396F5C"/>
    <w:rsid w:val="003A1267"/>
    <w:rsid w:val="003A1632"/>
    <w:rsid w:val="003A578F"/>
    <w:rsid w:val="003B11F5"/>
    <w:rsid w:val="003B573E"/>
    <w:rsid w:val="003B6C87"/>
    <w:rsid w:val="003B73CE"/>
    <w:rsid w:val="003C43E3"/>
    <w:rsid w:val="003C5AC4"/>
    <w:rsid w:val="003D0C00"/>
    <w:rsid w:val="003D0D9B"/>
    <w:rsid w:val="003D470C"/>
    <w:rsid w:val="003D4AD1"/>
    <w:rsid w:val="003D5744"/>
    <w:rsid w:val="003D76BC"/>
    <w:rsid w:val="003E0749"/>
    <w:rsid w:val="003E1E0D"/>
    <w:rsid w:val="003E1F40"/>
    <w:rsid w:val="003E7205"/>
    <w:rsid w:val="003F2F1E"/>
    <w:rsid w:val="003F3F9E"/>
    <w:rsid w:val="003F526C"/>
    <w:rsid w:val="003F538E"/>
    <w:rsid w:val="0040051D"/>
    <w:rsid w:val="00401D9B"/>
    <w:rsid w:val="004035A6"/>
    <w:rsid w:val="00403900"/>
    <w:rsid w:val="00403BF5"/>
    <w:rsid w:val="0040693D"/>
    <w:rsid w:val="00407A03"/>
    <w:rsid w:val="00407B1F"/>
    <w:rsid w:val="0042123A"/>
    <w:rsid w:val="00424E9A"/>
    <w:rsid w:val="00425EA8"/>
    <w:rsid w:val="004311A3"/>
    <w:rsid w:val="0043343A"/>
    <w:rsid w:val="004344B6"/>
    <w:rsid w:val="00434E77"/>
    <w:rsid w:val="00435567"/>
    <w:rsid w:val="004359B5"/>
    <w:rsid w:val="004365D0"/>
    <w:rsid w:val="00436BFE"/>
    <w:rsid w:val="00437C18"/>
    <w:rsid w:val="00437E7A"/>
    <w:rsid w:val="0044078F"/>
    <w:rsid w:val="0044120F"/>
    <w:rsid w:val="004419F2"/>
    <w:rsid w:val="00442FA5"/>
    <w:rsid w:val="0044400F"/>
    <w:rsid w:val="00446A33"/>
    <w:rsid w:val="004502F1"/>
    <w:rsid w:val="00451EDF"/>
    <w:rsid w:val="00455BB5"/>
    <w:rsid w:val="00462656"/>
    <w:rsid w:val="004670FF"/>
    <w:rsid w:val="00471042"/>
    <w:rsid w:val="00471D7E"/>
    <w:rsid w:val="00472724"/>
    <w:rsid w:val="004727BF"/>
    <w:rsid w:val="00473AA0"/>
    <w:rsid w:val="00476B45"/>
    <w:rsid w:val="00476BFA"/>
    <w:rsid w:val="004821D7"/>
    <w:rsid w:val="004826B5"/>
    <w:rsid w:val="00483034"/>
    <w:rsid w:val="00483661"/>
    <w:rsid w:val="004836F2"/>
    <w:rsid w:val="00486F65"/>
    <w:rsid w:val="00487154"/>
    <w:rsid w:val="00487162"/>
    <w:rsid w:val="00487DA5"/>
    <w:rsid w:val="004919ED"/>
    <w:rsid w:val="00492B2D"/>
    <w:rsid w:val="00492EA6"/>
    <w:rsid w:val="00497672"/>
    <w:rsid w:val="004A4306"/>
    <w:rsid w:val="004A451E"/>
    <w:rsid w:val="004A4788"/>
    <w:rsid w:val="004A4B89"/>
    <w:rsid w:val="004A5CE6"/>
    <w:rsid w:val="004A6747"/>
    <w:rsid w:val="004A70FA"/>
    <w:rsid w:val="004B00D4"/>
    <w:rsid w:val="004B177C"/>
    <w:rsid w:val="004B200A"/>
    <w:rsid w:val="004B237D"/>
    <w:rsid w:val="004B2E57"/>
    <w:rsid w:val="004B3FF4"/>
    <w:rsid w:val="004B4264"/>
    <w:rsid w:val="004B668C"/>
    <w:rsid w:val="004C210A"/>
    <w:rsid w:val="004C24E2"/>
    <w:rsid w:val="004C267F"/>
    <w:rsid w:val="004C298E"/>
    <w:rsid w:val="004C5560"/>
    <w:rsid w:val="004D22E1"/>
    <w:rsid w:val="004D5DDB"/>
    <w:rsid w:val="004D7B9C"/>
    <w:rsid w:val="004E078B"/>
    <w:rsid w:val="004E2185"/>
    <w:rsid w:val="004E2D9D"/>
    <w:rsid w:val="004E394E"/>
    <w:rsid w:val="004E6076"/>
    <w:rsid w:val="004F1D03"/>
    <w:rsid w:val="004F286E"/>
    <w:rsid w:val="004F7726"/>
    <w:rsid w:val="00500238"/>
    <w:rsid w:val="00500856"/>
    <w:rsid w:val="00500FFE"/>
    <w:rsid w:val="00502F30"/>
    <w:rsid w:val="00504326"/>
    <w:rsid w:val="0050590D"/>
    <w:rsid w:val="005103D9"/>
    <w:rsid w:val="00510A34"/>
    <w:rsid w:val="00513281"/>
    <w:rsid w:val="00513462"/>
    <w:rsid w:val="0052582A"/>
    <w:rsid w:val="00527879"/>
    <w:rsid w:val="00527E36"/>
    <w:rsid w:val="00532588"/>
    <w:rsid w:val="00533587"/>
    <w:rsid w:val="00534567"/>
    <w:rsid w:val="005345C4"/>
    <w:rsid w:val="00541CAB"/>
    <w:rsid w:val="005427BF"/>
    <w:rsid w:val="00542BB6"/>
    <w:rsid w:val="00542BC0"/>
    <w:rsid w:val="0054587E"/>
    <w:rsid w:val="00545CB1"/>
    <w:rsid w:val="00546769"/>
    <w:rsid w:val="00546CF4"/>
    <w:rsid w:val="00550DD6"/>
    <w:rsid w:val="00551DB3"/>
    <w:rsid w:val="0055322B"/>
    <w:rsid w:val="00553D6C"/>
    <w:rsid w:val="005540CE"/>
    <w:rsid w:val="00556DDD"/>
    <w:rsid w:val="00562DBA"/>
    <w:rsid w:val="00563302"/>
    <w:rsid w:val="00563AE1"/>
    <w:rsid w:val="00567949"/>
    <w:rsid w:val="005708A8"/>
    <w:rsid w:val="00570EB0"/>
    <w:rsid w:val="0057183B"/>
    <w:rsid w:val="00572F53"/>
    <w:rsid w:val="005732C8"/>
    <w:rsid w:val="00573A51"/>
    <w:rsid w:val="005744DF"/>
    <w:rsid w:val="005765C4"/>
    <w:rsid w:val="00577540"/>
    <w:rsid w:val="00577D4C"/>
    <w:rsid w:val="00580794"/>
    <w:rsid w:val="00582CED"/>
    <w:rsid w:val="00587889"/>
    <w:rsid w:val="00591726"/>
    <w:rsid w:val="005926FE"/>
    <w:rsid w:val="00592A8E"/>
    <w:rsid w:val="00592B8A"/>
    <w:rsid w:val="00596A7E"/>
    <w:rsid w:val="005A29BA"/>
    <w:rsid w:val="005A511F"/>
    <w:rsid w:val="005B0FB3"/>
    <w:rsid w:val="005B1042"/>
    <w:rsid w:val="005B1CE0"/>
    <w:rsid w:val="005B2C84"/>
    <w:rsid w:val="005B2D2B"/>
    <w:rsid w:val="005B4851"/>
    <w:rsid w:val="005B5C7F"/>
    <w:rsid w:val="005C23F9"/>
    <w:rsid w:val="005C380A"/>
    <w:rsid w:val="005C39B6"/>
    <w:rsid w:val="005C6067"/>
    <w:rsid w:val="005C7573"/>
    <w:rsid w:val="005D1B7A"/>
    <w:rsid w:val="005D1C6E"/>
    <w:rsid w:val="005D239E"/>
    <w:rsid w:val="005D5F8D"/>
    <w:rsid w:val="005D633F"/>
    <w:rsid w:val="005D6530"/>
    <w:rsid w:val="005E0EF9"/>
    <w:rsid w:val="005F2880"/>
    <w:rsid w:val="005F2FE6"/>
    <w:rsid w:val="005F44CA"/>
    <w:rsid w:val="005F7B62"/>
    <w:rsid w:val="00601151"/>
    <w:rsid w:val="00601B9A"/>
    <w:rsid w:val="00601DD8"/>
    <w:rsid w:val="00601F86"/>
    <w:rsid w:val="00601FAD"/>
    <w:rsid w:val="00606B04"/>
    <w:rsid w:val="00607B2D"/>
    <w:rsid w:val="00610721"/>
    <w:rsid w:val="00610F79"/>
    <w:rsid w:val="00614556"/>
    <w:rsid w:val="0062364A"/>
    <w:rsid w:val="00626D2D"/>
    <w:rsid w:val="00627505"/>
    <w:rsid w:val="00627C7B"/>
    <w:rsid w:val="00630B06"/>
    <w:rsid w:val="00630D9C"/>
    <w:rsid w:val="00633433"/>
    <w:rsid w:val="00633BAD"/>
    <w:rsid w:val="00633F57"/>
    <w:rsid w:val="00637FFA"/>
    <w:rsid w:val="006432AF"/>
    <w:rsid w:val="0064381C"/>
    <w:rsid w:val="00643FB7"/>
    <w:rsid w:val="00646C24"/>
    <w:rsid w:val="006506E1"/>
    <w:rsid w:val="00650E09"/>
    <w:rsid w:val="00650E9E"/>
    <w:rsid w:val="00650F7A"/>
    <w:rsid w:val="0065166D"/>
    <w:rsid w:val="006518F3"/>
    <w:rsid w:val="006566AB"/>
    <w:rsid w:val="00657C14"/>
    <w:rsid w:val="00665941"/>
    <w:rsid w:val="00667846"/>
    <w:rsid w:val="00670206"/>
    <w:rsid w:val="0067081D"/>
    <w:rsid w:val="0067129D"/>
    <w:rsid w:val="006725E3"/>
    <w:rsid w:val="006737D3"/>
    <w:rsid w:val="006738BF"/>
    <w:rsid w:val="00675572"/>
    <w:rsid w:val="006772A4"/>
    <w:rsid w:val="0067741B"/>
    <w:rsid w:val="00677C6B"/>
    <w:rsid w:val="00681C70"/>
    <w:rsid w:val="0068228D"/>
    <w:rsid w:val="00683E76"/>
    <w:rsid w:val="00684FFE"/>
    <w:rsid w:val="00685434"/>
    <w:rsid w:val="00686B05"/>
    <w:rsid w:val="0068728A"/>
    <w:rsid w:val="00690633"/>
    <w:rsid w:val="006924AC"/>
    <w:rsid w:val="00694DB9"/>
    <w:rsid w:val="006A1F9F"/>
    <w:rsid w:val="006A3083"/>
    <w:rsid w:val="006A5E0A"/>
    <w:rsid w:val="006A669B"/>
    <w:rsid w:val="006A6AEF"/>
    <w:rsid w:val="006A726C"/>
    <w:rsid w:val="006A72D6"/>
    <w:rsid w:val="006B20C8"/>
    <w:rsid w:val="006B2FEE"/>
    <w:rsid w:val="006B4EC6"/>
    <w:rsid w:val="006B7339"/>
    <w:rsid w:val="006C0535"/>
    <w:rsid w:val="006C1A47"/>
    <w:rsid w:val="006C22E6"/>
    <w:rsid w:val="006C6380"/>
    <w:rsid w:val="006C688B"/>
    <w:rsid w:val="006C728A"/>
    <w:rsid w:val="006C76B4"/>
    <w:rsid w:val="006D2365"/>
    <w:rsid w:val="006D265B"/>
    <w:rsid w:val="006D2DB8"/>
    <w:rsid w:val="006D5157"/>
    <w:rsid w:val="006D5776"/>
    <w:rsid w:val="006D7063"/>
    <w:rsid w:val="006D787A"/>
    <w:rsid w:val="006E1ECF"/>
    <w:rsid w:val="006E24A7"/>
    <w:rsid w:val="006E5800"/>
    <w:rsid w:val="006E665A"/>
    <w:rsid w:val="006F1BF8"/>
    <w:rsid w:val="006F1F42"/>
    <w:rsid w:val="006F4A6C"/>
    <w:rsid w:val="007009C1"/>
    <w:rsid w:val="00700C4C"/>
    <w:rsid w:val="00702C2F"/>
    <w:rsid w:val="00702DA4"/>
    <w:rsid w:val="007041AE"/>
    <w:rsid w:val="00704907"/>
    <w:rsid w:val="00705363"/>
    <w:rsid w:val="00705C1D"/>
    <w:rsid w:val="00705DEA"/>
    <w:rsid w:val="00707ADF"/>
    <w:rsid w:val="00711636"/>
    <w:rsid w:val="00713702"/>
    <w:rsid w:val="0071516E"/>
    <w:rsid w:val="0072035A"/>
    <w:rsid w:val="0072128A"/>
    <w:rsid w:val="0072288E"/>
    <w:rsid w:val="007244D3"/>
    <w:rsid w:val="0072527E"/>
    <w:rsid w:val="007259C0"/>
    <w:rsid w:val="0072611B"/>
    <w:rsid w:val="00727609"/>
    <w:rsid w:val="00732215"/>
    <w:rsid w:val="007331A8"/>
    <w:rsid w:val="0073320A"/>
    <w:rsid w:val="00734FEE"/>
    <w:rsid w:val="007358F9"/>
    <w:rsid w:val="00737A39"/>
    <w:rsid w:val="00740133"/>
    <w:rsid w:val="007445F9"/>
    <w:rsid w:val="00746753"/>
    <w:rsid w:val="0075205D"/>
    <w:rsid w:val="00752A40"/>
    <w:rsid w:val="0075604E"/>
    <w:rsid w:val="00760CE6"/>
    <w:rsid w:val="00763534"/>
    <w:rsid w:val="00765000"/>
    <w:rsid w:val="0077214F"/>
    <w:rsid w:val="00773E3D"/>
    <w:rsid w:val="007740B4"/>
    <w:rsid w:val="00774647"/>
    <w:rsid w:val="00774FF8"/>
    <w:rsid w:val="00775682"/>
    <w:rsid w:val="00776478"/>
    <w:rsid w:val="00781C2C"/>
    <w:rsid w:val="00784123"/>
    <w:rsid w:val="007842D0"/>
    <w:rsid w:val="00792265"/>
    <w:rsid w:val="0079544D"/>
    <w:rsid w:val="007A28FA"/>
    <w:rsid w:val="007A3FE5"/>
    <w:rsid w:val="007A5495"/>
    <w:rsid w:val="007A735C"/>
    <w:rsid w:val="007B1603"/>
    <w:rsid w:val="007B4755"/>
    <w:rsid w:val="007B6ACC"/>
    <w:rsid w:val="007B6D5A"/>
    <w:rsid w:val="007C104B"/>
    <w:rsid w:val="007C11BC"/>
    <w:rsid w:val="007C2FA0"/>
    <w:rsid w:val="007C30C4"/>
    <w:rsid w:val="007C5AC3"/>
    <w:rsid w:val="007D2298"/>
    <w:rsid w:val="007E049F"/>
    <w:rsid w:val="007E0AE8"/>
    <w:rsid w:val="007E2709"/>
    <w:rsid w:val="007E4CAC"/>
    <w:rsid w:val="007F26DF"/>
    <w:rsid w:val="007F294D"/>
    <w:rsid w:val="007F2B94"/>
    <w:rsid w:val="007F51FD"/>
    <w:rsid w:val="0080144F"/>
    <w:rsid w:val="00801CAA"/>
    <w:rsid w:val="00811361"/>
    <w:rsid w:val="00811637"/>
    <w:rsid w:val="00814E7B"/>
    <w:rsid w:val="008162B8"/>
    <w:rsid w:val="0082261E"/>
    <w:rsid w:val="00824A9B"/>
    <w:rsid w:val="008262CB"/>
    <w:rsid w:val="00827296"/>
    <w:rsid w:val="00827AEF"/>
    <w:rsid w:val="00832595"/>
    <w:rsid w:val="00834517"/>
    <w:rsid w:val="008359D3"/>
    <w:rsid w:val="0083624C"/>
    <w:rsid w:val="00837040"/>
    <w:rsid w:val="00837494"/>
    <w:rsid w:val="00841517"/>
    <w:rsid w:val="00842421"/>
    <w:rsid w:val="008430B0"/>
    <w:rsid w:val="00845BC6"/>
    <w:rsid w:val="00846135"/>
    <w:rsid w:val="00846792"/>
    <w:rsid w:val="008528E6"/>
    <w:rsid w:val="00852FD6"/>
    <w:rsid w:val="008538A0"/>
    <w:rsid w:val="00855119"/>
    <w:rsid w:val="0085566B"/>
    <w:rsid w:val="008556C1"/>
    <w:rsid w:val="008557FB"/>
    <w:rsid w:val="008559FA"/>
    <w:rsid w:val="00857A22"/>
    <w:rsid w:val="00866631"/>
    <w:rsid w:val="008705A6"/>
    <w:rsid w:val="00871D5E"/>
    <w:rsid w:val="00872761"/>
    <w:rsid w:val="00872F8F"/>
    <w:rsid w:val="0088049F"/>
    <w:rsid w:val="00880E82"/>
    <w:rsid w:val="00881B54"/>
    <w:rsid w:val="00881CB7"/>
    <w:rsid w:val="00884A96"/>
    <w:rsid w:val="00885852"/>
    <w:rsid w:val="00885C35"/>
    <w:rsid w:val="008864EE"/>
    <w:rsid w:val="008871A5"/>
    <w:rsid w:val="00890EC1"/>
    <w:rsid w:val="00893A3A"/>
    <w:rsid w:val="00893B2F"/>
    <w:rsid w:val="00893E4F"/>
    <w:rsid w:val="00895D83"/>
    <w:rsid w:val="008962DA"/>
    <w:rsid w:val="008A04AA"/>
    <w:rsid w:val="008A115F"/>
    <w:rsid w:val="008A403C"/>
    <w:rsid w:val="008A41C2"/>
    <w:rsid w:val="008A5DE2"/>
    <w:rsid w:val="008A724C"/>
    <w:rsid w:val="008A7989"/>
    <w:rsid w:val="008B00AA"/>
    <w:rsid w:val="008B2C45"/>
    <w:rsid w:val="008B3946"/>
    <w:rsid w:val="008B5A6A"/>
    <w:rsid w:val="008C0927"/>
    <w:rsid w:val="008C1071"/>
    <w:rsid w:val="008C2A58"/>
    <w:rsid w:val="008C2BCC"/>
    <w:rsid w:val="008C2FB2"/>
    <w:rsid w:val="008C56C5"/>
    <w:rsid w:val="008C5F1E"/>
    <w:rsid w:val="008D1F87"/>
    <w:rsid w:val="008D2C7F"/>
    <w:rsid w:val="008D3BEA"/>
    <w:rsid w:val="008D49C8"/>
    <w:rsid w:val="008D6E23"/>
    <w:rsid w:val="008D6F93"/>
    <w:rsid w:val="008E0281"/>
    <w:rsid w:val="008E14A6"/>
    <w:rsid w:val="008E5483"/>
    <w:rsid w:val="008F39DD"/>
    <w:rsid w:val="008F3DDF"/>
    <w:rsid w:val="008F512C"/>
    <w:rsid w:val="00900AB9"/>
    <w:rsid w:val="0090192A"/>
    <w:rsid w:val="00903F68"/>
    <w:rsid w:val="0090497D"/>
    <w:rsid w:val="00905328"/>
    <w:rsid w:val="00905C27"/>
    <w:rsid w:val="00905CB4"/>
    <w:rsid w:val="00907099"/>
    <w:rsid w:val="0091151D"/>
    <w:rsid w:val="009123A4"/>
    <w:rsid w:val="00913461"/>
    <w:rsid w:val="00914EBD"/>
    <w:rsid w:val="009156EB"/>
    <w:rsid w:val="00916365"/>
    <w:rsid w:val="0091721B"/>
    <w:rsid w:val="0092191C"/>
    <w:rsid w:val="00921B7D"/>
    <w:rsid w:val="00922B27"/>
    <w:rsid w:val="009258A2"/>
    <w:rsid w:val="00925BF4"/>
    <w:rsid w:val="0092706F"/>
    <w:rsid w:val="00932B90"/>
    <w:rsid w:val="00932FF7"/>
    <w:rsid w:val="00935254"/>
    <w:rsid w:val="0093554A"/>
    <w:rsid w:val="00936882"/>
    <w:rsid w:val="009378F0"/>
    <w:rsid w:val="00942298"/>
    <w:rsid w:val="009435D7"/>
    <w:rsid w:val="009435FB"/>
    <w:rsid w:val="00944284"/>
    <w:rsid w:val="009454C0"/>
    <w:rsid w:val="009475BE"/>
    <w:rsid w:val="00950C4C"/>
    <w:rsid w:val="00951E99"/>
    <w:rsid w:val="00953328"/>
    <w:rsid w:val="00953357"/>
    <w:rsid w:val="00955FCE"/>
    <w:rsid w:val="009623D1"/>
    <w:rsid w:val="00964077"/>
    <w:rsid w:val="009642D2"/>
    <w:rsid w:val="00964DE3"/>
    <w:rsid w:val="00964FC9"/>
    <w:rsid w:val="009651F1"/>
    <w:rsid w:val="009655D4"/>
    <w:rsid w:val="009660E4"/>
    <w:rsid w:val="0097398E"/>
    <w:rsid w:val="00973AA7"/>
    <w:rsid w:val="00975CAF"/>
    <w:rsid w:val="00982DF3"/>
    <w:rsid w:val="009929F8"/>
    <w:rsid w:val="0099351A"/>
    <w:rsid w:val="00993792"/>
    <w:rsid w:val="00993A31"/>
    <w:rsid w:val="00993F29"/>
    <w:rsid w:val="009A0254"/>
    <w:rsid w:val="009A0F9B"/>
    <w:rsid w:val="009A3B10"/>
    <w:rsid w:val="009A4135"/>
    <w:rsid w:val="009A58D3"/>
    <w:rsid w:val="009A6D6E"/>
    <w:rsid w:val="009A6E42"/>
    <w:rsid w:val="009A72D8"/>
    <w:rsid w:val="009A7F7C"/>
    <w:rsid w:val="009B2206"/>
    <w:rsid w:val="009B4D39"/>
    <w:rsid w:val="009B536C"/>
    <w:rsid w:val="009B67FA"/>
    <w:rsid w:val="009C0B0A"/>
    <w:rsid w:val="009C3581"/>
    <w:rsid w:val="009C3BAE"/>
    <w:rsid w:val="009C5C5A"/>
    <w:rsid w:val="009D0E93"/>
    <w:rsid w:val="009D1901"/>
    <w:rsid w:val="009D1C1E"/>
    <w:rsid w:val="009D2283"/>
    <w:rsid w:val="009D2695"/>
    <w:rsid w:val="009D2A85"/>
    <w:rsid w:val="009D4745"/>
    <w:rsid w:val="009D490F"/>
    <w:rsid w:val="009D63F9"/>
    <w:rsid w:val="009D6737"/>
    <w:rsid w:val="009E1233"/>
    <w:rsid w:val="009E1445"/>
    <w:rsid w:val="009E3BEF"/>
    <w:rsid w:val="009E710C"/>
    <w:rsid w:val="009E742A"/>
    <w:rsid w:val="009F1D4E"/>
    <w:rsid w:val="009F2522"/>
    <w:rsid w:val="009F2E44"/>
    <w:rsid w:val="009F494F"/>
    <w:rsid w:val="009F4B0D"/>
    <w:rsid w:val="009F612C"/>
    <w:rsid w:val="00A01537"/>
    <w:rsid w:val="00A02728"/>
    <w:rsid w:val="00A03F52"/>
    <w:rsid w:val="00A045A2"/>
    <w:rsid w:val="00A07840"/>
    <w:rsid w:val="00A11356"/>
    <w:rsid w:val="00A128DA"/>
    <w:rsid w:val="00A131D5"/>
    <w:rsid w:val="00A1566A"/>
    <w:rsid w:val="00A17AEE"/>
    <w:rsid w:val="00A20128"/>
    <w:rsid w:val="00A2131F"/>
    <w:rsid w:val="00A22596"/>
    <w:rsid w:val="00A227B9"/>
    <w:rsid w:val="00A22FB2"/>
    <w:rsid w:val="00A2310D"/>
    <w:rsid w:val="00A24A36"/>
    <w:rsid w:val="00A303FF"/>
    <w:rsid w:val="00A32713"/>
    <w:rsid w:val="00A330E1"/>
    <w:rsid w:val="00A3435F"/>
    <w:rsid w:val="00A3500E"/>
    <w:rsid w:val="00A4058D"/>
    <w:rsid w:val="00A406CC"/>
    <w:rsid w:val="00A40764"/>
    <w:rsid w:val="00A4206D"/>
    <w:rsid w:val="00A425CB"/>
    <w:rsid w:val="00A43B02"/>
    <w:rsid w:val="00A45032"/>
    <w:rsid w:val="00A45874"/>
    <w:rsid w:val="00A5430E"/>
    <w:rsid w:val="00A5503B"/>
    <w:rsid w:val="00A551D5"/>
    <w:rsid w:val="00A55A65"/>
    <w:rsid w:val="00A56289"/>
    <w:rsid w:val="00A62276"/>
    <w:rsid w:val="00A64072"/>
    <w:rsid w:val="00A64DA5"/>
    <w:rsid w:val="00A66050"/>
    <w:rsid w:val="00A664DD"/>
    <w:rsid w:val="00A672DC"/>
    <w:rsid w:val="00A67798"/>
    <w:rsid w:val="00A67EBD"/>
    <w:rsid w:val="00A71B6C"/>
    <w:rsid w:val="00A71B92"/>
    <w:rsid w:val="00A7211A"/>
    <w:rsid w:val="00A73E73"/>
    <w:rsid w:val="00A73FBA"/>
    <w:rsid w:val="00A7440C"/>
    <w:rsid w:val="00A76A7C"/>
    <w:rsid w:val="00A81992"/>
    <w:rsid w:val="00A84EFC"/>
    <w:rsid w:val="00A85C19"/>
    <w:rsid w:val="00A864FE"/>
    <w:rsid w:val="00A86F4B"/>
    <w:rsid w:val="00A9113B"/>
    <w:rsid w:val="00A925EF"/>
    <w:rsid w:val="00A96652"/>
    <w:rsid w:val="00AA12C1"/>
    <w:rsid w:val="00AA36F8"/>
    <w:rsid w:val="00AA41C4"/>
    <w:rsid w:val="00AA46D8"/>
    <w:rsid w:val="00AA681B"/>
    <w:rsid w:val="00AA7009"/>
    <w:rsid w:val="00AA7A56"/>
    <w:rsid w:val="00AB0EEA"/>
    <w:rsid w:val="00AB1203"/>
    <w:rsid w:val="00AB2119"/>
    <w:rsid w:val="00AB365C"/>
    <w:rsid w:val="00AB3F82"/>
    <w:rsid w:val="00AB4CA2"/>
    <w:rsid w:val="00AB5059"/>
    <w:rsid w:val="00AB5F2A"/>
    <w:rsid w:val="00AC1A98"/>
    <w:rsid w:val="00AC1AEC"/>
    <w:rsid w:val="00AC2CDD"/>
    <w:rsid w:val="00AC48D1"/>
    <w:rsid w:val="00AC5E3F"/>
    <w:rsid w:val="00AC6869"/>
    <w:rsid w:val="00AC718D"/>
    <w:rsid w:val="00AD2A37"/>
    <w:rsid w:val="00AD3075"/>
    <w:rsid w:val="00AD4F4D"/>
    <w:rsid w:val="00AD6302"/>
    <w:rsid w:val="00AD779D"/>
    <w:rsid w:val="00AD7C38"/>
    <w:rsid w:val="00AE1E70"/>
    <w:rsid w:val="00AE1F33"/>
    <w:rsid w:val="00AE1FE4"/>
    <w:rsid w:val="00AE48F4"/>
    <w:rsid w:val="00AE6D90"/>
    <w:rsid w:val="00AE6E70"/>
    <w:rsid w:val="00AE7A07"/>
    <w:rsid w:val="00AF1B39"/>
    <w:rsid w:val="00AF1DDE"/>
    <w:rsid w:val="00AF1DF0"/>
    <w:rsid w:val="00AF35DA"/>
    <w:rsid w:val="00AF39C6"/>
    <w:rsid w:val="00AF4766"/>
    <w:rsid w:val="00AF6132"/>
    <w:rsid w:val="00B0029E"/>
    <w:rsid w:val="00B03CDB"/>
    <w:rsid w:val="00B04C65"/>
    <w:rsid w:val="00B05D87"/>
    <w:rsid w:val="00B06029"/>
    <w:rsid w:val="00B07CE9"/>
    <w:rsid w:val="00B1179A"/>
    <w:rsid w:val="00B14484"/>
    <w:rsid w:val="00B149CE"/>
    <w:rsid w:val="00B16903"/>
    <w:rsid w:val="00B1695E"/>
    <w:rsid w:val="00B16A17"/>
    <w:rsid w:val="00B17225"/>
    <w:rsid w:val="00B2091E"/>
    <w:rsid w:val="00B210FC"/>
    <w:rsid w:val="00B212A8"/>
    <w:rsid w:val="00B23A9B"/>
    <w:rsid w:val="00B23BFD"/>
    <w:rsid w:val="00B26A48"/>
    <w:rsid w:val="00B30FA4"/>
    <w:rsid w:val="00B319FD"/>
    <w:rsid w:val="00B32434"/>
    <w:rsid w:val="00B35677"/>
    <w:rsid w:val="00B36834"/>
    <w:rsid w:val="00B37228"/>
    <w:rsid w:val="00B37D04"/>
    <w:rsid w:val="00B4342A"/>
    <w:rsid w:val="00B443CE"/>
    <w:rsid w:val="00B4515A"/>
    <w:rsid w:val="00B46C2A"/>
    <w:rsid w:val="00B46FBF"/>
    <w:rsid w:val="00B56A22"/>
    <w:rsid w:val="00B61FF3"/>
    <w:rsid w:val="00B65A8E"/>
    <w:rsid w:val="00B67516"/>
    <w:rsid w:val="00B70612"/>
    <w:rsid w:val="00B73633"/>
    <w:rsid w:val="00B74CC4"/>
    <w:rsid w:val="00B77090"/>
    <w:rsid w:val="00B77750"/>
    <w:rsid w:val="00B77759"/>
    <w:rsid w:val="00B80A6F"/>
    <w:rsid w:val="00B822A2"/>
    <w:rsid w:val="00B83A16"/>
    <w:rsid w:val="00B852C2"/>
    <w:rsid w:val="00B91B8F"/>
    <w:rsid w:val="00B94BAD"/>
    <w:rsid w:val="00B97207"/>
    <w:rsid w:val="00BA0B3A"/>
    <w:rsid w:val="00BA1998"/>
    <w:rsid w:val="00BA1C79"/>
    <w:rsid w:val="00BA2582"/>
    <w:rsid w:val="00BA3D71"/>
    <w:rsid w:val="00BA79E3"/>
    <w:rsid w:val="00BB3065"/>
    <w:rsid w:val="00BB68CE"/>
    <w:rsid w:val="00BB6BC2"/>
    <w:rsid w:val="00BB7446"/>
    <w:rsid w:val="00BC4D00"/>
    <w:rsid w:val="00BC5313"/>
    <w:rsid w:val="00BC564B"/>
    <w:rsid w:val="00BC5EF2"/>
    <w:rsid w:val="00BC6F14"/>
    <w:rsid w:val="00BD15D3"/>
    <w:rsid w:val="00BD1FC2"/>
    <w:rsid w:val="00BD40B3"/>
    <w:rsid w:val="00BD597F"/>
    <w:rsid w:val="00BE04FB"/>
    <w:rsid w:val="00BE11EC"/>
    <w:rsid w:val="00BE2DD6"/>
    <w:rsid w:val="00BE3D32"/>
    <w:rsid w:val="00BE4221"/>
    <w:rsid w:val="00BE67AF"/>
    <w:rsid w:val="00BE6E2A"/>
    <w:rsid w:val="00C00380"/>
    <w:rsid w:val="00C077D8"/>
    <w:rsid w:val="00C10573"/>
    <w:rsid w:val="00C14B76"/>
    <w:rsid w:val="00C14F51"/>
    <w:rsid w:val="00C16FFC"/>
    <w:rsid w:val="00C17904"/>
    <w:rsid w:val="00C24288"/>
    <w:rsid w:val="00C27F23"/>
    <w:rsid w:val="00C310C2"/>
    <w:rsid w:val="00C3318B"/>
    <w:rsid w:val="00C33D8F"/>
    <w:rsid w:val="00C35D5F"/>
    <w:rsid w:val="00C369C9"/>
    <w:rsid w:val="00C40959"/>
    <w:rsid w:val="00C42029"/>
    <w:rsid w:val="00C4210B"/>
    <w:rsid w:val="00C42BE1"/>
    <w:rsid w:val="00C42D00"/>
    <w:rsid w:val="00C438A9"/>
    <w:rsid w:val="00C45041"/>
    <w:rsid w:val="00C46617"/>
    <w:rsid w:val="00C46E7F"/>
    <w:rsid w:val="00C472C6"/>
    <w:rsid w:val="00C543E4"/>
    <w:rsid w:val="00C54F26"/>
    <w:rsid w:val="00C569D9"/>
    <w:rsid w:val="00C57A3E"/>
    <w:rsid w:val="00C57E54"/>
    <w:rsid w:val="00C60478"/>
    <w:rsid w:val="00C60DB8"/>
    <w:rsid w:val="00C61B70"/>
    <w:rsid w:val="00C63B66"/>
    <w:rsid w:val="00C657B1"/>
    <w:rsid w:val="00C71260"/>
    <w:rsid w:val="00C76A60"/>
    <w:rsid w:val="00C76E49"/>
    <w:rsid w:val="00C76F88"/>
    <w:rsid w:val="00C77BFD"/>
    <w:rsid w:val="00C82F50"/>
    <w:rsid w:val="00C83C67"/>
    <w:rsid w:val="00C84310"/>
    <w:rsid w:val="00C8714A"/>
    <w:rsid w:val="00C9403C"/>
    <w:rsid w:val="00C94AA1"/>
    <w:rsid w:val="00C94FFC"/>
    <w:rsid w:val="00CA052A"/>
    <w:rsid w:val="00CA0A97"/>
    <w:rsid w:val="00CA0EA5"/>
    <w:rsid w:val="00CA408A"/>
    <w:rsid w:val="00CA4DAB"/>
    <w:rsid w:val="00CA61E7"/>
    <w:rsid w:val="00CA74A3"/>
    <w:rsid w:val="00CB0D6A"/>
    <w:rsid w:val="00CB0E34"/>
    <w:rsid w:val="00CB49BD"/>
    <w:rsid w:val="00CB7BD8"/>
    <w:rsid w:val="00CC18C7"/>
    <w:rsid w:val="00CC327D"/>
    <w:rsid w:val="00CC438D"/>
    <w:rsid w:val="00CC4649"/>
    <w:rsid w:val="00CD1747"/>
    <w:rsid w:val="00CD34C7"/>
    <w:rsid w:val="00CD6F5E"/>
    <w:rsid w:val="00CE0CBB"/>
    <w:rsid w:val="00CE1139"/>
    <w:rsid w:val="00CE2C8C"/>
    <w:rsid w:val="00CE66AC"/>
    <w:rsid w:val="00CE7A8B"/>
    <w:rsid w:val="00CF0317"/>
    <w:rsid w:val="00CF32ED"/>
    <w:rsid w:val="00CF3846"/>
    <w:rsid w:val="00CF3882"/>
    <w:rsid w:val="00CF5564"/>
    <w:rsid w:val="00CF5BD6"/>
    <w:rsid w:val="00CF6225"/>
    <w:rsid w:val="00D010FA"/>
    <w:rsid w:val="00D03CA4"/>
    <w:rsid w:val="00D03F56"/>
    <w:rsid w:val="00D04A3F"/>
    <w:rsid w:val="00D0519E"/>
    <w:rsid w:val="00D076ED"/>
    <w:rsid w:val="00D115D0"/>
    <w:rsid w:val="00D1342A"/>
    <w:rsid w:val="00D13BFF"/>
    <w:rsid w:val="00D13EA5"/>
    <w:rsid w:val="00D160FC"/>
    <w:rsid w:val="00D16F4A"/>
    <w:rsid w:val="00D224A8"/>
    <w:rsid w:val="00D224ED"/>
    <w:rsid w:val="00D24B93"/>
    <w:rsid w:val="00D24E56"/>
    <w:rsid w:val="00D24F85"/>
    <w:rsid w:val="00D32925"/>
    <w:rsid w:val="00D351E5"/>
    <w:rsid w:val="00D431AD"/>
    <w:rsid w:val="00D432D2"/>
    <w:rsid w:val="00D43C3D"/>
    <w:rsid w:val="00D533F2"/>
    <w:rsid w:val="00D5380B"/>
    <w:rsid w:val="00D53A0B"/>
    <w:rsid w:val="00D57BA4"/>
    <w:rsid w:val="00D651B3"/>
    <w:rsid w:val="00D66000"/>
    <w:rsid w:val="00D66F55"/>
    <w:rsid w:val="00D72065"/>
    <w:rsid w:val="00D76F1A"/>
    <w:rsid w:val="00D803B1"/>
    <w:rsid w:val="00D8221E"/>
    <w:rsid w:val="00D85304"/>
    <w:rsid w:val="00D8545F"/>
    <w:rsid w:val="00D85874"/>
    <w:rsid w:val="00D90433"/>
    <w:rsid w:val="00D93E35"/>
    <w:rsid w:val="00D94540"/>
    <w:rsid w:val="00D94CC2"/>
    <w:rsid w:val="00D96BAA"/>
    <w:rsid w:val="00D96C7B"/>
    <w:rsid w:val="00DA2640"/>
    <w:rsid w:val="00DA3080"/>
    <w:rsid w:val="00DA3356"/>
    <w:rsid w:val="00DA3C80"/>
    <w:rsid w:val="00DA5DC5"/>
    <w:rsid w:val="00DB0914"/>
    <w:rsid w:val="00DB20A4"/>
    <w:rsid w:val="00DB3DD5"/>
    <w:rsid w:val="00DB4D3F"/>
    <w:rsid w:val="00DC0836"/>
    <w:rsid w:val="00DC098C"/>
    <w:rsid w:val="00DC3517"/>
    <w:rsid w:val="00DC4EE2"/>
    <w:rsid w:val="00DC51E4"/>
    <w:rsid w:val="00DC77AC"/>
    <w:rsid w:val="00DD3B61"/>
    <w:rsid w:val="00DD5CF6"/>
    <w:rsid w:val="00DE1281"/>
    <w:rsid w:val="00DE261F"/>
    <w:rsid w:val="00DE2F69"/>
    <w:rsid w:val="00DE39F1"/>
    <w:rsid w:val="00DE79C9"/>
    <w:rsid w:val="00DF12C3"/>
    <w:rsid w:val="00DF30EA"/>
    <w:rsid w:val="00DF517B"/>
    <w:rsid w:val="00DF5F11"/>
    <w:rsid w:val="00E0302F"/>
    <w:rsid w:val="00E03087"/>
    <w:rsid w:val="00E03FDD"/>
    <w:rsid w:val="00E04341"/>
    <w:rsid w:val="00E045A1"/>
    <w:rsid w:val="00E04835"/>
    <w:rsid w:val="00E07287"/>
    <w:rsid w:val="00E07AF6"/>
    <w:rsid w:val="00E10B18"/>
    <w:rsid w:val="00E11289"/>
    <w:rsid w:val="00E114BF"/>
    <w:rsid w:val="00E12F50"/>
    <w:rsid w:val="00E13941"/>
    <w:rsid w:val="00E147D7"/>
    <w:rsid w:val="00E155C0"/>
    <w:rsid w:val="00E17F0F"/>
    <w:rsid w:val="00E21B56"/>
    <w:rsid w:val="00E21F94"/>
    <w:rsid w:val="00E246D6"/>
    <w:rsid w:val="00E33E61"/>
    <w:rsid w:val="00E34CD8"/>
    <w:rsid w:val="00E41BF5"/>
    <w:rsid w:val="00E4233D"/>
    <w:rsid w:val="00E43C62"/>
    <w:rsid w:val="00E448C2"/>
    <w:rsid w:val="00E44936"/>
    <w:rsid w:val="00E470FE"/>
    <w:rsid w:val="00E51E2E"/>
    <w:rsid w:val="00E55020"/>
    <w:rsid w:val="00E55613"/>
    <w:rsid w:val="00E61033"/>
    <w:rsid w:val="00E6152A"/>
    <w:rsid w:val="00E6164F"/>
    <w:rsid w:val="00E61ACE"/>
    <w:rsid w:val="00E6282F"/>
    <w:rsid w:val="00E63E34"/>
    <w:rsid w:val="00E66218"/>
    <w:rsid w:val="00E66997"/>
    <w:rsid w:val="00E66F2A"/>
    <w:rsid w:val="00E67A67"/>
    <w:rsid w:val="00E67A89"/>
    <w:rsid w:val="00E72287"/>
    <w:rsid w:val="00E7315D"/>
    <w:rsid w:val="00E745D3"/>
    <w:rsid w:val="00E76924"/>
    <w:rsid w:val="00E76C6C"/>
    <w:rsid w:val="00E84057"/>
    <w:rsid w:val="00E84277"/>
    <w:rsid w:val="00E84845"/>
    <w:rsid w:val="00E84E18"/>
    <w:rsid w:val="00E9205C"/>
    <w:rsid w:val="00E92D4A"/>
    <w:rsid w:val="00E96748"/>
    <w:rsid w:val="00E978BB"/>
    <w:rsid w:val="00EA2698"/>
    <w:rsid w:val="00EA5A11"/>
    <w:rsid w:val="00EA77E7"/>
    <w:rsid w:val="00EB124E"/>
    <w:rsid w:val="00EB20B3"/>
    <w:rsid w:val="00EB59C4"/>
    <w:rsid w:val="00EB7072"/>
    <w:rsid w:val="00EB7FFB"/>
    <w:rsid w:val="00EC271D"/>
    <w:rsid w:val="00EC4481"/>
    <w:rsid w:val="00EC4572"/>
    <w:rsid w:val="00EC4653"/>
    <w:rsid w:val="00EC4A89"/>
    <w:rsid w:val="00EC7B2A"/>
    <w:rsid w:val="00EC7E41"/>
    <w:rsid w:val="00ED0299"/>
    <w:rsid w:val="00ED1BB4"/>
    <w:rsid w:val="00ED228F"/>
    <w:rsid w:val="00ED567C"/>
    <w:rsid w:val="00ED6B62"/>
    <w:rsid w:val="00ED747B"/>
    <w:rsid w:val="00EE2DD5"/>
    <w:rsid w:val="00EE41CD"/>
    <w:rsid w:val="00EE6D3A"/>
    <w:rsid w:val="00EF5464"/>
    <w:rsid w:val="00EF5D85"/>
    <w:rsid w:val="00EF64A3"/>
    <w:rsid w:val="00EF70E4"/>
    <w:rsid w:val="00F003C2"/>
    <w:rsid w:val="00F0075D"/>
    <w:rsid w:val="00F00C6A"/>
    <w:rsid w:val="00F01D1E"/>
    <w:rsid w:val="00F02961"/>
    <w:rsid w:val="00F02A02"/>
    <w:rsid w:val="00F0617D"/>
    <w:rsid w:val="00F064F2"/>
    <w:rsid w:val="00F0654E"/>
    <w:rsid w:val="00F07654"/>
    <w:rsid w:val="00F0779C"/>
    <w:rsid w:val="00F10509"/>
    <w:rsid w:val="00F12FD2"/>
    <w:rsid w:val="00F13591"/>
    <w:rsid w:val="00F135FA"/>
    <w:rsid w:val="00F14A12"/>
    <w:rsid w:val="00F1514B"/>
    <w:rsid w:val="00F15D69"/>
    <w:rsid w:val="00F1615D"/>
    <w:rsid w:val="00F221D4"/>
    <w:rsid w:val="00F26294"/>
    <w:rsid w:val="00F26795"/>
    <w:rsid w:val="00F27B49"/>
    <w:rsid w:val="00F32155"/>
    <w:rsid w:val="00F354A7"/>
    <w:rsid w:val="00F35759"/>
    <w:rsid w:val="00F364F1"/>
    <w:rsid w:val="00F41FDD"/>
    <w:rsid w:val="00F4383C"/>
    <w:rsid w:val="00F4472F"/>
    <w:rsid w:val="00F46819"/>
    <w:rsid w:val="00F50599"/>
    <w:rsid w:val="00F5180E"/>
    <w:rsid w:val="00F524FE"/>
    <w:rsid w:val="00F54A4B"/>
    <w:rsid w:val="00F62100"/>
    <w:rsid w:val="00F63DFF"/>
    <w:rsid w:val="00F651F0"/>
    <w:rsid w:val="00F6525F"/>
    <w:rsid w:val="00F655CC"/>
    <w:rsid w:val="00F71726"/>
    <w:rsid w:val="00F7197C"/>
    <w:rsid w:val="00F73041"/>
    <w:rsid w:val="00F811CA"/>
    <w:rsid w:val="00F8121A"/>
    <w:rsid w:val="00F83B77"/>
    <w:rsid w:val="00F84E00"/>
    <w:rsid w:val="00F91938"/>
    <w:rsid w:val="00F9286C"/>
    <w:rsid w:val="00F92A11"/>
    <w:rsid w:val="00F968B3"/>
    <w:rsid w:val="00F97AE9"/>
    <w:rsid w:val="00FA2E35"/>
    <w:rsid w:val="00FA45AA"/>
    <w:rsid w:val="00FA59A9"/>
    <w:rsid w:val="00FA6AC9"/>
    <w:rsid w:val="00FA71DF"/>
    <w:rsid w:val="00FB138E"/>
    <w:rsid w:val="00FB1F54"/>
    <w:rsid w:val="00FB38DF"/>
    <w:rsid w:val="00FB4276"/>
    <w:rsid w:val="00FB46B9"/>
    <w:rsid w:val="00FB4889"/>
    <w:rsid w:val="00FB5E62"/>
    <w:rsid w:val="00FB717F"/>
    <w:rsid w:val="00FC146B"/>
    <w:rsid w:val="00FC3C2C"/>
    <w:rsid w:val="00FC7604"/>
    <w:rsid w:val="00FD01B3"/>
    <w:rsid w:val="00FD0F4A"/>
    <w:rsid w:val="00FD1C14"/>
    <w:rsid w:val="00FE282B"/>
    <w:rsid w:val="00FE3FBF"/>
    <w:rsid w:val="00FE433F"/>
    <w:rsid w:val="00FE44E8"/>
    <w:rsid w:val="00FE5E0B"/>
    <w:rsid w:val="00FE6F02"/>
    <w:rsid w:val="00FF169C"/>
    <w:rsid w:val="00FF25EC"/>
    <w:rsid w:val="00FF26FC"/>
    <w:rsid w:val="00FF30BA"/>
    <w:rsid w:val="00FF5A9F"/>
    <w:rsid w:val="015C2B27"/>
    <w:rsid w:val="0C71300C"/>
    <w:rsid w:val="0E2185D2"/>
    <w:rsid w:val="1C638A97"/>
    <w:rsid w:val="1F5275C4"/>
    <w:rsid w:val="20A2C371"/>
    <w:rsid w:val="2998172C"/>
    <w:rsid w:val="2B33E78D"/>
    <w:rsid w:val="2E6B884F"/>
    <w:rsid w:val="324878D2"/>
    <w:rsid w:val="33ED6B67"/>
    <w:rsid w:val="35CE8CC6"/>
    <w:rsid w:val="439F0C59"/>
    <w:rsid w:val="544DC922"/>
    <w:rsid w:val="5CFC9257"/>
    <w:rsid w:val="6230DD9B"/>
    <w:rsid w:val="70524469"/>
    <w:rsid w:val="73B8DAEB"/>
    <w:rsid w:val="74E0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30"/>
  <w15:docId w15:val="{2BA0E454-C7CC-412D-8172-39A31FD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425CB"/>
    <w:pPr>
      <w:keepNext/>
      <w:keepLines/>
      <w:spacing w:before="120" w:after="120"/>
      <w:jc w:val="both"/>
      <w:outlineLvl w:val="0"/>
    </w:pPr>
    <w:rPr>
      <w:rFonts w:ascii="Arial" w:eastAsiaTheme="majorEastAsia" w:hAnsi="Arial" w:cstheme="majorBidi"/>
      <w:b/>
      <w:color w:val="000000" w:themeColor="text1"/>
      <w:szCs w:val="24"/>
      <w:lang w:val="en-GB"/>
    </w:rPr>
  </w:style>
  <w:style w:type="paragraph" w:styleId="Heading2">
    <w:name w:val="heading 2"/>
    <w:basedOn w:val="Normal"/>
    <w:next w:val="Normal"/>
    <w:link w:val="Heading2Char"/>
    <w:uiPriority w:val="9"/>
    <w:qFormat/>
    <w:rsid w:val="00D66F55"/>
    <w:pPr>
      <w:keepNext/>
      <w:keepLines/>
      <w:spacing w:after="0" w:line="240" w:lineRule="auto"/>
      <w:outlineLvl w:val="1"/>
    </w:pPr>
    <w:rPr>
      <w:rFonts w:ascii="Garamond" w:eastAsiaTheme="majorEastAsia" w:hAnsi="Garamond" w:cstheme="majorBidi"/>
      <w:b/>
      <w:bCs/>
      <w:sz w:val="26"/>
      <w:szCs w:val="26"/>
    </w:rPr>
  </w:style>
  <w:style w:type="paragraph" w:styleId="Heading4">
    <w:name w:val="heading 4"/>
    <w:basedOn w:val="Normal"/>
    <w:next w:val="Normal"/>
    <w:link w:val="Heading4Char"/>
    <w:uiPriority w:val="9"/>
    <w:unhideWhenUsed/>
    <w:qFormat/>
    <w:rsid w:val="008858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25CB"/>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A425CB"/>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A425CB"/>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A425CB"/>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425CB"/>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L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aliases w:val="C4 List Level One,List Paragraph1,Evidence on Demand bullet points,List Paragraph (numbered (a)),List Paragraph 1,Numbered List Paragraph,Indent Paragraph,Citation List,Table/Figure Heading,En tête 1,Numbered Paragraph,L,Dot pt"/>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paragraph" w:customStyle="1" w:styleId="EONumberedparagraph">
    <w:name w:val="EO Numbered paragraph"/>
    <w:basedOn w:val="BodyText"/>
    <w:link w:val="EONumberedparagraphChar"/>
    <w:autoRedefine/>
    <w:qFormat/>
    <w:rsid w:val="008D6F93"/>
    <w:pPr>
      <w:spacing w:after="320" w:line="240" w:lineRule="auto"/>
      <w:jc w:val="both"/>
    </w:pPr>
    <w:rPr>
      <w:rFonts w:ascii="Calibri" w:eastAsia="Tw Cen MT" w:hAnsi="Calibri" w:cs="Calibri"/>
      <w:bCs/>
      <w:iCs/>
      <w:noProof/>
      <w:color w:val="000000"/>
      <w:sz w:val="20"/>
      <w:szCs w:val="20"/>
      <w:shd w:val="clear" w:color="auto" w:fill="FFFFFF"/>
      <w:lang w:val="en-CA" w:eastAsia="en-GB" w:bidi="km-KH"/>
    </w:rPr>
  </w:style>
  <w:style w:type="character" w:customStyle="1" w:styleId="EONumberedparagraphChar">
    <w:name w:val="EO Numbered paragraph Char"/>
    <w:link w:val="EONumberedparagraph"/>
    <w:rsid w:val="008D6F93"/>
    <w:rPr>
      <w:rFonts w:ascii="Calibri" w:eastAsia="Tw Cen MT" w:hAnsi="Calibri" w:cs="Calibri"/>
      <w:bCs/>
      <w:iCs/>
      <w:noProof/>
      <w:color w:val="000000"/>
      <w:sz w:val="20"/>
      <w:szCs w:val="20"/>
      <w:lang w:val="en-CA" w:eastAsia="en-GB" w:bidi="km-KH"/>
    </w:rPr>
  </w:style>
  <w:style w:type="paragraph" w:styleId="BodyText">
    <w:name w:val="Body Text"/>
    <w:basedOn w:val="Normal"/>
    <w:link w:val="BodyTextChar"/>
    <w:uiPriority w:val="99"/>
    <w:semiHidden/>
    <w:unhideWhenUsed/>
    <w:rsid w:val="008D6F93"/>
    <w:pPr>
      <w:spacing w:after="120"/>
    </w:pPr>
  </w:style>
  <w:style w:type="character" w:customStyle="1" w:styleId="BodyTextChar">
    <w:name w:val="Body Text Char"/>
    <w:basedOn w:val="DefaultParagraphFont"/>
    <w:link w:val="BodyText"/>
    <w:uiPriority w:val="99"/>
    <w:semiHidden/>
    <w:rsid w:val="008D6F93"/>
    <w:rPr>
      <w:rFonts w:eastAsiaTheme="minorHAnsi"/>
      <w:sz w:val="22"/>
      <w:szCs w:val="22"/>
    </w:rPr>
  </w:style>
  <w:style w:type="character" w:customStyle="1" w:styleId="UnresolvedMention1">
    <w:name w:val="Unresolved Mention1"/>
    <w:basedOn w:val="DefaultParagraphFont"/>
    <w:uiPriority w:val="99"/>
    <w:unhideWhenUsed/>
    <w:rsid w:val="00DA2640"/>
    <w:rPr>
      <w:color w:val="605E5C"/>
      <w:shd w:val="clear" w:color="auto" w:fill="E1DFDD"/>
    </w:rPr>
  </w:style>
  <w:style w:type="paragraph" w:styleId="Header">
    <w:name w:val="header"/>
    <w:basedOn w:val="Normal"/>
    <w:link w:val="HeaderChar"/>
    <w:uiPriority w:val="99"/>
    <w:unhideWhenUsed/>
    <w:rsid w:val="00F9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11"/>
    <w:rPr>
      <w:rFonts w:eastAsiaTheme="minorHAnsi"/>
      <w:sz w:val="22"/>
      <w:szCs w:val="22"/>
    </w:rPr>
  </w:style>
  <w:style w:type="paragraph" w:styleId="Footer">
    <w:name w:val="footer"/>
    <w:basedOn w:val="Normal"/>
    <w:link w:val="FooterChar"/>
    <w:uiPriority w:val="99"/>
    <w:unhideWhenUsed/>
    <w:rsid w:val="00F9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11"/>
    <w:rPr>
      <w:rFonts w:eastAsiaTheme="minorHAnsi"/>
      <w:sz w:val="22"/>
      <w:szCs w:val="22"/>
    </w:rPr>
  </w:style>
  <w:style w:type="character" w:customStyle="1" w:styleId="Mention1">
    <w:name w:val="Mention1"/>
    <w:basedOn w:val="DefaultParagraphFont"/>
    <w:uiPriority w:val="99"/>
    <w:unhideWhenUsed/>
    <w:rsid w:val="00F92A11"/>
    <w:rPr>
      <w:color w:val="2B579A"/>
      <w:shd w:val="clear" w:color="auto" w:fill="E1DFDD"/>
    </w:rPr>
  </w:style>
  <w:style w:type="paragraph" w:customStyle="1" w:styleId="C41stOrderBullets">
    <w:name w:val="C4 1st Order Bullets"/>
    <w:basedOn w:val="Normal"/>
    <w:link w:val="C41stOrderBulletsChar"/>
    <w:qFormat/>
    <w:rsid w:val="00527879"/>
    <w:pPr>
      <w:numPr>
        <w:numId w:val="17"/>
      </w:numPr>
      <w:spacing w:after="0" w:line="240" w:lineRule="auto"/>
      <w:jc w:val="both"/>
    </w:pPr>
    <w:rPr>
      <w:rFonts w:ascii="Arial" w:eastAsiaTheme="minorEastAsia" w:hAnsi="Arial" w:cs="Arial"/>
      <w:szCs w:val="20"/>
      <w:lang w:val="en-GB"/>
    </w:rPr>
  </w:style>
  <w:style w:type="paragraph" w:customStyle="1" w:styleId="C42ndorderbullets">
    <w:name w:val="C4 2nd order bullets"/>
    <w:basedOn w:val="C41stOrderBullets"/>
    <w:qFormat/>
    <w:rsid w:val="00527879"/>
    <w:pPr>
      <w:numPr>
        <w:ilvl w:val="1"/>
      </w:numPr>
      <w:ind w:left="757"/>
    </w:pPr>
  </w:style>
  <w:style w:type="character" w:customStyle="1" w:styleId="Heading4Char">
    <w:name w:val="Heading 4 Char"/>
    <w:basedOn w:val="DefaultParagraphFont"/>
    <w:link w:val="Heading4"/>
    <w:uiPriority w:val="9"/>
    <w:rsid w:val="00885852"/>
    <w:rPr>
      <w:rFonts w:asciiTheme="majorHAnsi" w:eastAsiaTheme="majorEastAsia" w:hAnsiTheme="majorHAnsi" w:cstheme="majorBidi"/>
      <w:i/>
      <w:iCs/>
      <w:color w:val="365F91" w:themeColor="accent1" w:themeShade="BF"/>
      <w:sz w:val="22"/>
      <w:szCs w:val="22"/>
    </w:rPr>
  </w:style>
  <w:style w:type="paragraph" w:customStyle="1" w:styleId="C4NumberedList">
    <w:name w:val="C4 Numbered List"/>
    <w:basedOn w:val="Normal"/>
    <w:qFormat/>
    <w:rsid w:val="002E2AFC"/>
    <w:pPr>
      <w:numPr>
        <w:numId w:val="23"/>
      </w:numPr>
      <w:spacing w:after="0" w:line="240" w:lineRule="auto"/>
      <w:ind w:left="397" w:hanging="397"/>
      <w:jc w:val="both"/>
    </w:pPr>
    <w:rPr>
      <w:rFonts w:ascii="Arial" w:eastAsiaTheme="minorEastAsia" w:hAnsi="Arial" w:cs="Arial"/>
      <w:szCs w:val="20"/>
      <w:lang w:val="en-GB"/>
    </w:rPr>
  </w:style>
  <w:style w:type="character" w:customStyle="1" w:styleId="Heading1Char">
    <w:name w:val="Heading 1 Char"/>
    <w:basedOn w:val="DefaultParagraphFont"/>
    <w:link w:val="Heading1"/>
    <w:uiPriority w:val="9"/>
    <w:rsid w:val="00A425CB"/>
    <w:rPr>
      <w:rFonts w:ascii="Arial" w:eastAsiaTheme="majorEastAsia" w:hAnsi="Arial" w:cstheme="majorBidi"/>
      <w:b/>
      <w:color w:val="000000" w:themeColor="text1"/>
      <w:sz w:val="22"/>
      <w:lang w:val="en-GB"/>
    </w:rPr>
  </w:style>
  <w:style w:type="character" w:customStyle="1" w:styleId="Heading5Char">
    <w:name w:val="Heading 5 Char"/>
    <w:basedOn w:val="DefaultParagraphFont"/>
    <w:link w:val="Heading5"/>
    <w:uiPriority w:val="9"/>
    <w:semiHidden/>
    <w:rsid w:val="00A425CB"/>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A425CB"/>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425CB"/>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A425C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425CB"/>
    <w:rPr>
      <w:rFonts w:asciiTheme="majorHAnsi" w:eastAsiaTheme="majorEastAsia" w:hAnsiTheme="majorHAnsi" w:cstheme="majorBidi"/>
      <w:i/>
      <w:iCs/>
      <w:color w:val="272727" w:themeColor="text1" w:themeTint="D8"/>
      <w:sz w:val="21"/>
      <w:szCs w:val="21"/>
      <w:lang w:val="en-GB"/>
    </w:rPr>
  </w:style>
  <w:style w:type="character" w:customStyle="1" w:styleId="C41stOrderBulletsChar">
    <w:name w:val="C4 1st Order Bullets Char"/>
    <w:basedOn w:val="DefaultParagraphFont"/>
    <w:link w:val="C41stOrderBullets"/>
    <w:rsid w:val="00A425CB"/>
    <w:rPr>
      <w:rFonts w:ascii="Arial" w:hAnsi="Arial" w:cs="Arial"/>
      <w:sz w:val="22"/>
      <w:szCs w:val="20"/>
      <w:lang w:val="en-GB"/>
    </w:rPr>
  </w:style>
  <w:style w:type="numbering" w:customStyle="1" w:styleId="C4Headings">
    <w:name w:val="C4 Headings"/>
    <w:basedOn w:val="NoList"/>
    <w:uiPriority w:val="99"/>
    <w:rsid w:val="00A425CB"/>
    <w:pPr>
      <w:numPr>
        <w:numId w:val="30"/>
      </w:numPr>
    </w:pPr>
  </w:style>
  <w:style w:type="character" w:customStyle="1" w:styleId="markedcontent">
    <w:name w:val="markedcontent"/>
    <w:basedOn w:val="DefaultParagraphFont"/>
    <w:rsid w:val="00AF6132"/>
  </w:style>
  <w:style w:type="paragraph" w:styleId="Caption">
    <w:name w:val="caption"/>
    <w:basedOn w:val="Normal"/>
    <w:next w:val="Normal"/>
    <w:uiPriority w:val="35"/>
    <w:unhideWhenUsed/>
    <w:qFormat/>
    <w:rsid w:val="00F524FE"/>
    <w:pPr>
      <w:spacing w:line="240" w:lineRule="auto"/>
    </w:pPr>
    <w:rPr>
      <w:i/>
      <w:iCs/>
      <w:color w:val="1F497D" w:themeColor="text2"/>
      <w:sz w:val="18"/>
      <w:szCs w:val="18"/>
    </w:rPr>
  </w:style>
  <w:style w:type="table" w:styleId="TableGrid">
    <w:name w:val="Table Grid"/>
    <w:basedOn w:val="TableNormal"/>
    <w:uiPriority w:val="59"/>
    <w:rsid w:val="002E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4776A"/>
    <w:rPr>
      <w:color w:val="605E5C"/>
      <w:shd w:val="clear" w:color="auto" w:fill="E1DFDD"/>
    </w:rPr>
  </w:style>
  <w:style w:type="character" w:styleId="Mention">
    <w:name w:val="Mention"/>
    <w:basedOn w:val="DefaultParagraphFont"/>
    <w:uiPriority w:val="99"/>
    <w:unhideWhenUsed/>
    <w:rsid w:val="000477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7B93E67-7C04-484A-80B8-028924E144A1}">
    <t:Anchor>
      <t:Comment id="640456463"/>
    </t:Anchor>
    <t:History>
      <t:Event id="{967A516B-B589-4D04-B1BB-CA86ECCFA949}" time="2022-05-15T22:19:26.721Z">
        <t:Attribution userId="S::aminiasi.qareqare@undp.org::f77d0f9d-e3e3-420d-a3f8-a60f4949a144" userProvider="AD" userName="Aminiasi Qareqare"/>
        <t:Anchor>
          <t:Comment id="103631897"/>
        </t:Anchor>
        <t:Create/>
      </t:Event>
      <t:Event id="{95A88DA6-357F-424A-B918-1723E13EA739}" time="2022-05-15T22:19:26.721Z">
        <t:Attribution userId="S::aminiasi.qareqare@undp.org::f77d0f9d-e3e3-420d-a3f8-a60f4949a144" userProvider="AD" userName="Aminiasi Qareqare"/>
        <t:Anchor>
          <t:Comment id="103631897"/>
        </t:Anchor>
        <t:Assign userId="S::marine.destrez@undp.org::8aabe565-62c2-4ef9-b0e3-3607648b5fac" userProvider="AD" userName="Marine Destrez"/>
      </t:Event>
      <t:Event id="{5B1179BF-889A-4BD6-9A01-379CFF715BEE}" time="2022-05-15T22:19:26.721Z">
        <t:Attribution userId="S::aminiasi.qareqare@undp.org::f77d0f9d-e3e3-420d-a3f8-a60f4949a144" userProvider="AD" userName="Aminiasi Qareqare"/>
        <t:Anchor>
          <t:Comment id="103631897"/>
        </t:Anchor>
        <t:SetTitle title="@Marine Destrez please finalize comments/ status"/>
      </t:Event>
      <t:Event id="{C26B86C9-7A61-41C2-A28D-158F567E1CAA}" time="2022-05-15T22:27:48.587Z">
        <t:Attribution userId="S::marine.destrez@undp.org::8aabe565-62c2-4ef9-b0e3-3607648b5fac" userProvider="AD" userName="Marine Destrez"/>
        <t:Progress percentComplete="100"/>
      </t:Event>
    </t:History>
  </t:Task>
  <t:Task id="{64A5F85B-9B11-4CD5-BD4F-033AAA8C50E0}">
    <t:Anchor>
      <t:Comment id="640456585"/>
    </t:Anchor>
    <t:History>
      <t:Event id="{0794700E-E705-41C0-AF93-72E7296F5C1B}" time="2022-05-15T22:19:57.637Z">
        <t:Attribution userId="S::aminiasi.qareqare@undp.org::f77d0f9d-e3e3-420d-a3f8-a60f4949a144" userProvider="AD" userName="Aminiasi Qareqare"/>
        <t:Anchor>
          <t:Comment id="1802868962"/>
        </t:Anchor>
        <t:Create/>
      </t:Event>
      <t:Event id="{64BC96F5-2834-435A-A403-B18A6370ADD7}" time="2022-05-15T22:19:57.637Z">
        <t:Attribution userId="S::aminiasi.qareqare@undp.org::f77d0f9d-e3e3-420d-a3f8-a60f4949a144" userProvider="AD" userName="Aminiasi Qareqare"/>
        <t:Anchor>
          <t:Comment id="1802868962"/>
        </t:Anchor>
        <t:Assign userId="S::marine.destrez@undp.org::8aabe565-62c2-4ef9-b0e3-3607648b5fac" userProvider="AD" userName="Marine Destrez"/>
      </t:Event>
      <t:Event id="{B4468F15-F38E-45CA-8550-1033D417DDC7}" time="2022-05-15T22:19:57.637Z">
        <t:Attribution userId="S::aminiasi.qareqare@undp.org::f77d0f9d-e3e3-420d-a3f8-a60f4949a144" userProvider="AD" userName="Aminiasi Qareqare"/>
        <t:Anchor>
          <t:Comment id="1802868962"/>
        </t:Anchor>
        <t:SetTitle title="@Marine Destrez Please finalize comments/status"/>
      </t:Event>
      <t:Event id="{785939C1-5855-4766-ACAE-DB957EFAA7A4}" time="2022-05-15T22:27:45.552Z">
        <t:Attribution userId="S::marine.destrez@undp.org::8aabe565-62c2-4ef9-b0e3-3607648b5fac" userProvider="AD" userName="Marine Destrez"/>
        <t:Progress percentComplete="100"/>
      </t:Event>
    </t:History>
  </t:Task>
  <t:Task id="{DC9AA603-C926-443D-A459-7ECE6DFF0605}">
    <t:Anchor>
      <t:Comment id="640456643"/>
    </t:Anchor>
    <t:History>
      <t:Event id="{9D82D752-904E-49E0-B092-54BD2E400969}" time="2022-05-15T22:20:29.973Z">
        <t:Attribution userId="S::aminiasi.qareqare@undp.org::f77d0f9d-e3e3-420d-a3f8-a60f4949a144" userProvider="AD" userName="Aminiasi Qareqare"/>
        <t:Anchor>
          <t:Comment id="1515570468"/>
        </t:Anchor>
        <t:Create/>
      </t:Event>
      <t:Event id="{1BFE4949-09CA-49BD-828B-EFBE7B936B19}" time="2022-05-15T22:20:29.973Z">
        <t:Attribution userId="S::aminiasi.qareqare@undp.org::f77d0f9d-e3e3-420d-a3f8-a60f4949a144" userProvider="AD" userName="Aminiasi Qareqare"/>
        <t:Anchor>
          <t:Comment id="1515570468"/>
        </t:Anchor>
        <t:Assign userId="S::marine.destrez@undp.org::8aabe565-62c2-4ef9-b0e3-3607648b5fac" userProvider="AD" userName="Marine Destrez"/>
      </t:Event>
      <t:Event id="{7A36E6E8-FFFD-4E4A-AA05-B60DCCE226BE}" time="2022-05-15T22:20:29.973Z">
        <t:Attribution userId="S::aminiasi.qareqare@undp.org::f77d0f9d-e3e3-420d-a3f8-a60f4949a144" userProvider="AD" userName="Aminiasi Qareqare"/>
        <t:Anchor>
          <t:Comment id="1515570468"/>
        </t:Anchor>
        <t:SetTitle title="@Marine Destrez please finalize comments/ stat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dede9c042d249445c5e8672db5ae006f">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b30b010edb2a7d1202ba098b60b5d4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17977-3BC2-41CB-BDC3-A01108DFB019}">
  <ds:schemaRefs>
    <ds:schemaRef ds:uri="http://schemas.openxmlformats.org/officeDocument/2006/bibliography"/>
  </ds:schemaRefs>
</ds:datastoreItem>
</file>

<file path=customXml/itemProps2.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3D032-623D-46CD-A76C-778D0794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495F-6499-476C-9586-954E4061F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4</DocSecurity>
  <Lines>107</Lines>
  <Paragraphs>30</Paragraphs>
  <ScaleCrop>false</ScaleCrop>
  <Company>UNDP-GEF</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subject/>
  <dc:creator>Stephanie Ullrich</dc:creator>
  <cp:keywords/>
  <dc:description/>
  <cp:lastModifiedBy>Aminiasi Qareqare</cp:lastModifiedBy>
  <cp:revision>2</cp:revision>
  <cp:lastPrinted>2020-12-01T21:29:00Z</cp:lastPrinted>
  <dcterms:created xsi:type="dcterms:W3CDTF">2022-05-26T22:25:00Z</dcterms:created>
  <dcterms:modified xsi:type="dcterms:W3CDTF">2022-05-26T22:25:00Z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45a8dc47-343e-41e8-85b5-d0a64851413e</vt:lpwstr>
  </property>
</Properties>
</file>