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FDF5" w14:textId="443C15DE" w:rsidR="0083391E" w:rsidRPr="00A54D10" w:rsidRDefault="0083391E" w:rsidP="0083391E">
      <w:pPr>
        <w:pStyle w:val="ListParagraph"/>
        <w:numPr>
          <w:ilvl w:val="0"/>
          <w:numId w:val="1"/>
        </w:numPr>
        <w:shd w:val="clear" w:color="auto" w:fill="F5F5F5"/>
        <w:spacing w:after="0" w:line="240" w:lineRule="auto"/>
        <w:rPr>
          <w:rFonts w:eastAsia="Times New Roman" w:cstheme="minorHAnsi"/>
          <w:b/>
          <w:bCs/>
          <w:color w:val="333333"/>
        </w:rPr>
      </w:pPr>
      <w:r w:rsidRPr="00A54D10">
        <w:rPr>
          <w:rFonts w:eastAsia="Times New Roman" w:cstheme="minorHAnsi"/>
          <w:b/>
          <w:bCs/>
          <w:color w:val="333333"/>
        </w:rPr>
        <w:t>Recommendation:</w:t>
      </w:r>
    </w:p>
    <w:p w14:paraId="4A076C00" w14:textId="77777777" w:rsidR="003A247C" w:rsidRDefault="003A247C" w:rsidP="00E9792E">
      <w:pPr>
        <w:shd w:val="clear" w:color="auto" w:fill="FFFFFF"/>
        <w:spacing w:after="150" w:line="288" w:lineRule="atLeast"/>
        <w:jc w:val="both"/>
        <w:outlineLvl w:val="4"/>
        <w:rPr>
          <w:rFonts w:cstheme="minorHAnsi"/>
          <w:b/>
          <w:bCs/>
          <w:color w:val="000000"/>
        </w:rPr>
      </w:pPr>
    </w:p>
    <w:p w14:paraId="07CE673C" w14:textId="63DA554E" w:rsidR="00E9792E" w:rsidRPr="00150840" w:rsidRDefault="00150840" w:rsidP="00E9792E">
      <w:pPr>
        <w:shd w:val="clear" w:color="auto" w:fill="FFFFFF"/>
        <w:spacing w:after="150" w:line="288" w:lineRule="atLeast"/>
        <w:jc w:val="both"/>
        <w:outlineLvl w:val="4"/>
        <w:rPr>
          <w:rFonts w:eastAsia="Times New Roman" w:cstheme="minorHAnsi"/>
          <w:b/>
          <w:bCs/>
          <w:color w:val="222222"/>
        </w:rPr>
      </w:pPr>
      <w:r w:rsidRPr="00150840">
        <w:rPr>
          <w:rFonts w:cstheme="minorHAnsi"/>
          <w:b/>
          <w:bCs/>
          <w:color w:val="000000"/>
        </w:rPr>
        <w:t xml:space="preserve">Continue </w:t>
      </w:r>
      <w:r w:rsidR="008A5737" w:rsidRPr="00150840">
        <w:rPr>
          <w:rFonts w:cstheme="minorHAnsi"/>
          <w:b/>
          <w:bCs/>
          <w:color w:val="000000"/>
        </w:rPr>
        <w:t>proactively enhanc</w:t>
      </w:r>
      <w:r w:rsidRPr="00150840">
        <w:rPr>
          <w:rFonts w:cstheme="minorHAnsi"/>
          <w:b/>
          <w:bCs/>
          <w:color w:val="000000"/>
        </w:rPr>
        <w:t>ing</w:t>
      </w:r>
      <w:r w:rsidR="008A5737" w:rsidRPr="00150840">
        <w:rPr>
          <w:rFonts w:cstheme="minorHAnsi"/>
          <w:b/>
          <w:bCs/>
          <w:color w:val="000000"/>
        </w:rPr>
        <w:t xml:space="preserve"> collaboration with </w:t>
      </w:r>
      <w:r w:rsidRPr="00150840">
        <w:rPr>
          <w:rFonts w:cstheme="minorHAnsi"/>
          <w:b/>
          <w:bCs/>
          <w:color w:val="000000"/>
        </w:rPr>
        <w:t xml:space="preserve">national </w:t>
      </w:r>
      <w:r w:rsidR="008A5737" w:rsidRPr="00150840">
        <w:rPr>
          <w:rFonts w:cstheme="minorHAnsi"/>
          <w:b/>
          <w:bCs/>
          <w:color w:val="000000"/>
        </w:rPr>
        <w:t xml:space="preserve">partners and donors. The level of awareness and engagement of partners in the </w:t>
      </w:r>
      <w:r w:rsidR="00857AD3">
        <w:rPr>
          <w:rFonts w:cstheme="minorHAnsi"/>
          <w:b/>
          <w:bCs/>
          <w:color w:val="000000"/>
        </w:rPr>
        <w:t xml:space="preserve">peacebuilding </w:t>
      </w:r>
      <w:r w:rsidR="008A5737" w:rsidRPr="00150840">
        <w:rPr>
          <w:rFonts w:cstheme="minorHAnsi"/>
          <w:b/>
          <w:bCs/>
          <w:color w:val="000000"/>
        </w:rPr>
        <w:t xml:space="preserve">project activities should be enhanced to practical </w:t>
      </w:r>
      <w:r w:rsidR="008A5737" w:rsidRPr="00E9792E">
        <w:rPr>
          <w:rFonts w:cstheme="minorHAnsi"/>
          <w:b/>
          <w:bCs/>
          <w:color w:val="000000"/>
        </w:rPr>
        <w:t xml:space="preserve">solutions. </w:t>
      </w:r>
      <w:r w:rsidR="00E9792E" w:rsidRPr="00E9792E">
        <w:rPr>
          <w:rFonts w:cstheme="minorHAnsi"/>
          <w:b/>
          <w:bCs/>
          <w:color w:val="000000"/>
        </w:rPr>
        <w:t>Continue</w:t>
      </w:r>
      <w:r w:rsidR="00E9792E" w:rsidRPr="00511B30">
        <w:rPr>
          <w:rFonts w:cstheme="minorHAnsi"/>
          <w:b/>
          <w:bCs/>
          <w:color w:val="000000"/>
        </w:rPr>
        <w:t xml:space="preserve"> building the capacity of national partners along the project implementation. Build a strong foundation for the next phase of peacebuilding programming and intervention, as well as increase the level of local ownership over the achievements of the intervention.</w:t>
      </w:r>
    </w:p>
    <w:p w14:paraId="25A5227D" w14:textId="63DB64DD" w:rsidR="0083391E" w:rsidRPr="00B010D0" w:rsidRDefault="0083391E" w:rsidP="00B010D0">
      <w:pPr>
        <w:shd w:val="clear" w:color="auto" w:fill="FFFFFF"/>
        <w:spacing w:after="150" w:line="288" w:lineRule="atLeast"/>
        <w:outlineLvl w:val="4"/>
        <w:rPr>
          <w:rFonts w:eastAsia="Times New Roman" w:cstheme="minorHAnsi"/>
          <w:b/>
          <w:bCs/>
          <w:color w:val="222222"/>
        </w:rPr>
      </w:pPr>
      <w:r w:rsidRPr="00A54D10">
        <w:rPr>
          <w:rFonts w:eastAsia="Times New Roman" w:cstheme="minorHAnsi"/>
          <w:b/>
          <w:bCs/>
          <w:color w:val="222222"/>
        </w:rPr>
        <w:t>Management Response:</w:t>
      </w:r>
      <w:r w:rsidR="00374375">
        <w:rPr>
          <w:rFonts w:eastAsia="Times New Roman" w:cstheme="minorHAnsi"/>
          <w:b/>
          <w:bCs/>
          <w:color w:val="222222"/>
        </w:rPr>
        <w:t xml:space="preserve"> </w:t>
      </w:r>
      <w:r w:rsidR="00B010D0" w:rsidRPr="008661E2">
        <w:rPr>
          <w:rFonts w:eastAsia="Times New Roman" w:cstheme="minorHAnsi"/>
          <w:color w:val="222222"/>
        </w:rPr>
        <w:t>Recommendation accepted.</w:t>
      </w:r>
      <w:r w:rsidR="008661E2">
        <w:rPr>
          <w:rFonts w:eastAsia="Times New Roman" w:cstheme="minorHAnsi"/>
          <w:color w:val="222222"/>
        </w:rPr>
        <w:t xml:space="preserve"> UNDP will continue strengthening partnership with national stakeholders particularly with the Youth Affairs Agency of Uzbekistan in peacebuilding and PVE interventions specifically within the new PVE-2 Regional Programme in Central Asia to achieve practical solutions in prevention and legal aid issues.   </w:t>
      </w:r>
      <w:r w:rsidR="00B010D0">
        <w:rPr>
          <w:rFonts w:eastAsia="Times New Roman" w:cstheme="minorHAnsi"/>
          <w:b/>
          <w:bCs/>
          <w:color w:val="222222"/>
        </w:rPr>
        <w:t xml:space="preserve"> </w:t>
      </w:r>
    </w:p>
    <w:p w14:paraId="2887808B" w14:textId="2FF002B8" w:rsidR="0083391E" w:rsidRPr="00A54D10" w:rsidRDefault="0083391E" w:rsidP="0083391E">
      <w:pPr>
        <w:shd w:val="clear" w:color="auto" w:fill="FFFFFF"/>
        <w:spacing w:line="288" w:lineRule="atLeast"/>
        <w:outlineLvl w:val="4"/>
        <w:rPr>
          <w:rFonts w:eastAsia="Times New Roman" w:cstheme="minorHAnsi"/>
          <w:b/>
          <w:bCs/>
          <w:color w:val="222222"/>
        </w:rPr>
      </w:pPr>
      <w:r w:rsidRPr="00A54D10">
        <w:rPr>
          <w:rFonts w:eastAsia="Times New Roman" w:cstheme="minorHAnsi"/>
          <w:b/>
          <w:bCs/>
          <w:color w:val="222222"/>
        </w:rPr>
        <w:t>Key Actions: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1"/>
        <w:gridCol w:w="2078"/>
        <w:gridCol w:w="1227"/>
        <w:gridCol w:w="1091"/>
        <w:gridCol w:w="1698"/>
        <w:gridCol w:w="3870"/>
      </w:tblGrid>
      <w:tr w:rsidR="000C3A0E" w:rsidRPr="00A54D10" w14:paraId="2A787845" w14:textId="77777777" w:rsidTr="003A114C">
        <w:trPr>
          <w:trHeight w:val="600"/>
        </w:trPr>
        <w:tc>
          <w:tcPr>
            <w:tcW w:w="4071" w:type="dxa"/>
            <w:shd w:val="clear" w:color="auto" w:fill="F9F9F9"/>
            <w:tcMar>
              <w:top w:w="120" w:type="dxa"/>
              <w:left w:w="120" w:type="dxa"/>
              <w:bottom w:w="120" w:type="dxa"/>
              <w:right w:w="120" w:type="dxa"/>
            </w:tcMar>
            <w:hideMark/>
          </w:tcPr>
          <w:p w14:paraId="715B27AA"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Key Action</w:t>
            </w:r>
          </w:p>
        </w:tc>
        <w:tc>
          <w:tcPr>
            <w:tcW w:w="2078" w:type="dxa"/>
            <w:shd w:val="clear" w:color="auto" w:fill="F9F9F9"/>
            <w:tcMar>
              <w:top w:w="120" w:type="dxa"/>
              <w:left w:w="120" w:type="dxa"/>
              <w:bottom w:w="120" w:type="dxa"/>
              <w:right w:w="120" w:type="dxa"/>
            </w:tcMar>
            <w:hideMark/>
          </w:tcPr>
          <w:p w14:paraId="510D966C"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Responsible</w:t>
            </w:r>
          </w:p>
        </w:tc>
        <w:tc>
          <w:tcPr>
            <w:tcW w:w="1227" w:type="dxa"/>
            <w:shd w:val="clear" w:color="auto" w:fill="F9F9F9"/>
            <w:tcMar>
              <w:top w:w="120" w:type="dxa"/>
              <w:left w:w="120" w:type="dxa"/>
              <w:bottom w:w="120" w:type="dxa"/>
              <w:right w:w="120" w:type="dxa"/>
            </w:tcMar>
            <w:hideMark/>
          </w:tcPr>
          <w:p w14:paraId="11509C35" w14:textId="6BFA9739"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Due Date</w:t>
            </w:r>
          </w:p>
        </w:tc>
        <w:tc>
          <w:tcPr>
            <w:tcW w:w="0" w:type="auto"/>
            <w:shd w:val="clear" w:color="auto" w:fill="F9F9F9"/>
            <w:tcMar>
              <w:top w:w="120" w:type="dxa"/>
              <w:left w:w="120" w:type="dxa"/>
              <w:bottom w:w="120" w:type="dxa"/>
              <w:right w:w="120" w:type="dxa"/>
            </w:tcMar>
            <w:hideMark/>
          </w:tcPr>
          <w:p w14:paraId="5C85511A"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Status</w:t>
            </w:r>
          </w:p>
        </w:tc>
        <w:tc>
          <w:tcPr>
            <w:tcW w:w="1698" w:type="dxa"/>
            <w:shd w:val="clear" w:color="auto" w:fill="F9F9F9"/>
            <w:tcMar>
              <w:top w:w="120" w:type="dxa"/>
              <w:left w:w="120" w:type="dxa"/>
              <w:bottom w:w="120" w:type="dxa"/>
              <w:right w:w="120" w:type="dxa"/>
            </w:tcMar>
            <w:hideMark/>
          </w:tcPr>
          <w:p w14:paraId="018546F7"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Comments</w:t>
            </w:r>
          </w:p>
        </w:tc>
        <w:tc>
          <w:tcPr>
            <w:tcW w:w="3870" w:type="dxa"/>
            <w:shd w:val="clear" w:color="auto" w:fill="F9F9F9"/>
            <w:tcMar>
              <w:top w:w="120" w:type="dxa"/>
              <w:left w:w="120" w:type="dxa"/>
              <w:bottom w:w="120" w:type="dxa"/>
              <w:right w:w="120" w:type="dxa"/>
            </w:tcMar>
            <w:hideMark/>
          </w:tcPr>
          <w:p w14:paraId="71001026"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Documents</w:t>
            </w:r>
          </w:p>
        </w:tc>
      </w:tr>
      <w:tr w:rsidR="000C3A0E" w:rsidRPr="00A54D10" w14:paraId="408BFD82" w14:textId="77777777" w:rsidTr="003A114C">
        <w:trPr>
          <w:trHeight w:val="275"/>
        </w:trPr>
        <w:tc>
          <w:tcPr>
            <w:tcW w:w="4071" w:type="dxa"/>
            <w:shd w:val="clear" w:color="auto" w:fill="FFFFFF"/>
            <w:tcMar>
              <w:top w:w="120" w:type="dxa"/>
              <w:left w:w="120" w:type="dxa"/>
              <w:bottom w:w="120" w:type="dxa"/>
              <w:right w:w="120" w:type="dxa"/>
            </w:tcMar>
            <w:hideMark/>
          </w:tcPr>
          <w:p w14:paraId="67C78CF7" w14:textId="5FBB78EF" w:rsidR="008661E2" w:rsidRPr="008661E2" w:rsidRDefault="008661E2" w:rsidP="00EE0DE9">
            <w:pPr>
              <w:spacing w:after="120" w:line="256" w:lineRule="auto"/>
              <w:jc w:val="both"/>
              <w:rPr>
                <w:rFonts w:eastAsia="Times New Roman" w:cstheme="minorHAnsi"/>
                <w:highlight w:val="yellow"/>
                <w:lang w:val="en-GB"/>
              </w:rPr>
            </w:pPr>
            <w:r w:rsidRPr="003A114C">
              <w:rPr>
                <w:rFonts w:cstheme="minorHAnsi"/>
                <w:color w:val="000000" w:themeColor="text1"/>
                <w:lang w:val="en-GB"/>
              </w:rPr>
              <w:t>1. Building the capacity of national authorities to</w:t>
            </w:r>
            <w:r w:rsidRPr="003A114C">
              <w:rPr>
                <w:rFonts w:cstheme="minorHAnsi"/>
                <w:lang w:val="en-GB"/>
              </w:rPr>
              <w:t xml:space="preserve"> set up</w:t>
            </w:r>
            <w:r w:rsidRPr="003A114C">
              <w:rPr>
                <w:rFonts w:cstheme="minorHAnsi"/>
                <w:color w:val="000000" w:themeColor="text1"/>
                <w:lang w:val="en-GB"/>
              </w:rPr>
              <w:t xml:space="preserve"> an inclusive system of early conflict warning and response,</w:t>
            </w:r>
            <w:r w:rsidRPr="003A114C">
              <w:rPr>
                <w:rFonts w:cstheme="minorHAnsi"/>
                <w:lang w:val="en-GB"/>
              </w:rPr>
              <w:t xml:space="preserve"> </w:t>
            </w:r>
            <w:r w:rsidRPr="003A114C">
              <w:rPr>
                <w:rFonts w:cstheme="minorHAnsi"/>
                <w:color w:val="000000" w:themeColor="text1"/>
                <w:lang w:val="en-GB"/>
              </w:rPr>
              <w:t>and strengthen the institutional frameworks for</w:t>
            </w:r>
            <w:r w:rsidR="003A114C" w:rsidRPr="003A114C">
              <w:rPr>
                <w:rFonts w:cstheme="minorHAnsi"/>
                <w:color w:val="000000" w:themeColor="text1"/>
                <w:lang w:val="en-GB"/>
              </w:rPr>
              <w:t xml:space="preserve"> peacebuilding, conflict</w:t>
            </w:r>
            <w:r w:rsidRPr="003A114C">
              <w:rPr>
                <w:rFonts w:cstheme="minorHAnsi"/>
                <w:color w:val="000000" w:themeColor="text1"/>
                <w:lang w:val="en-GB"/>
              </w:rPr>
              <w:t xml:space="preserve"> prevention and social cohesion through thematic </w:t>
            </w:r>
            <w:r w:rsidR="003A114C" w:rsidRPr="003A114C">
              <w:rPr>
                <w:rFonts w:cstheme="minorHAnsi"/>
                <w:color w:val="000000" w:themeColor="text1"/>
                <w:lang w:val="en-GB"/>
              </w:rPr>
              <w:t>capacity building interventions</w:t>
            </w:r>
            <w:r w:rsidRPr="003A114C">
              <w:rPr>
                <w:rFonts w:cstheme="minorHAnsi"/>
                <w:lang w:val="en-GB"/>
              </w:rPr>
              <w:t xml:space="preserve">. </w:t>
            </w:r>
            <w:r w:rsidR="003A114C" w:rsidRPr="003A114C">
              <w:rPr>
                <w:rFonts w:cstheme="minorHAnsi"/>
                <w:lang w:val="en-GB"/>
              </w:rPr>
              <w:t>The national partners, including Youth Affairs Agency of Uzbekistan</w:t>
            </w:r>
            <w:r w:rsidRPr="003A114C">
              <w:rPr>
                <w:rFonts w:cstheme="minorHAnsi"/>
                <w:lang w:val="en-GB"/>
              </w:rPr>
              <w:t xml:space="preserve"> will be equipped with necessary skills and mechanisms for participatory planning and service provision to prevent conflicts and violent extremism</w:t>
            </w:r>
            <w:r w:rsidR="003A114C" w:rsidRPr="003A114C">
              <w:rPr>
                <w:rFonts w:cstheme="minorHAnsi"/>
                <w:lang w:val="en-GB"/>
              </w:rPr>
              <w:t xml:space="preserve"> in the region within the PVE-2 Regional Programme in Central Asia</w:t>
            </w:r>
            <w:r w:rsidRPr="003A114C">
              <w:rPr>
                <w:rFonts w:cstheme="minorHAnsi"/>
                <w:color w:val="000000" w:themeColor="text1"/>
                <w:lang w:val="en-GB"/>
              </w:rPr>
              <w:t xml:space="preserve">.  </w:t>
            </w:r>
          </w:p>
          <w:p w14:paraId="6AAAB4D3" w14:textId="72605E2E" w:rsidR="000C3A0E" w:rsidRPr="00511B30" w:rsidRDefault="000C3A0E" w:rsidP="00A54D10">
            <w:pPr>
              <w:spacing w:after="300" w:line="300" w:lineRule="atLeast"/>
              <w:rPr>
                <w:rFonts w:eastAsia="Times New Roman" w:cstheme="minorHAnsi"/>
                <w:highlight w:val="yellow"/>
              </w:rPr>
            </w:pPr>
          </w:p>
        </w:tc>
        <w:tc>
          <w:tcPr>
            <w:tcW w:w="2078" w:type="dxa"/>
            <w:shd w:val="clear" w:color="auto" w:fill="FFFFFF"/>
            <w:tcMar>
              <w:top w:w="120" w:type="dxa"/>
              <w:left w:w="120" w:type="dxa"/>
              <w:bottom w:w="120" w:type="dxa"/>
              <w:right w:w="120" w:type="dxa"/>
            </w:tcMar>
            <w:hideMark/>
          </w:tcPr>
          <w:p w14:paraId="31E7E09D" w14:textId="163F2E0D" w:rsidR="0083391E" w:rsidRPr="00817EE1" w:rsidRDefault="00B930C8" w:rsidP="0083391E">
            <w:pPr>
              <w:spacing w:after="300" w:line="300" w:lineRule="atLeast"/>
              <w:rPr>
                <w:rFonts w:eastAsia="Times New Roman" w:cstheme="minorHAnsi"/>
              </w:rPr>
            </w:pPr>
            <w:r w:rsidRPr="00817EE1">
              <w:rPr>
                <w:rFonts w:eastAsia="Times New Roman" w:cstheme="minorHAnsi"/>
              </w:rPr>
              <w:t>Kamila Mukhamedkhanova, EGC leader</w:t>
            </w:r>
          </w:p>
        </w:tc>
        <w:tc>
          <w:tcPr>
            <w:tcW w:w="1227" w:type="dxa"/>
            <w:shd w:val="clear" w:color="auto" w:fill="FFFFFF"/>
            <w:tcMar>
              <w:top w:w="120" w:type="dxa"/>
              <w:left w:w="120" w:type="dxa"/>
              <w:bottom w:w="120" w:type="dxa"/>
              <w:right w:w="120" w:type="dxa"/>
            </w:tcMar>
            <w:hideMark/>
          </w:tcPr>
          <w:p w14:paraId="02E92E30" w14:textId="16222462" w:rsidR="0083391E" w:rsidRPr="0021583C" w:rsidRDefault="00937364" w:rsidP="0083391E">
            <w:pPr>
              <w:spacing w:after="300" w:line="300" w:lineRule="atLeast"/>
              <w:rPr>
                <w:rFonts w:eastAsia="Times New Roman" w:cstheme="minorHAnsi"/>
              </w:rPr>
            </w:pPr>
            <w:r w:rsidRPr="0021583C">
              <w:rPr>
                <w:rFonts w:eastAsia="Times New Roman" w:cstheme="minorHAnsi"/>
              </w:rPr>
              <w:t>September 30, 202</w:t>
            </w:r>
            <w:r w:rsidR="00C76A1F">
              <w:rPr>
                <w:rFonts w:eastAsia="Times New Roman" w:cstheme="minorHAnsi"/>
              </w:rPr>
              <w:t>3</w:t>
            </w:r>
          </w:p>
          <w:p w14:paraId="27A0B856" w14:textId="32EE8175" w:rsidR="00937364" w:rsidRPr="00511B30" w:rsidRDefault="00937364" w:rsidP="0083391E">
            <w:pPr>
              <w:spacing w:after="300" w:line="300" w:lineRule="atLeast"/>
              <w:rPr>
                <w:rFonts w:eastAsia="Times New Roman" w:cstheme="minorHAnsi"/>
                <w:highlight w:val="yellow"/>
              </w:rPr>
            </w:pPr>
          </w:p>
        </w:tc>
        <w:tc>
          <w:tcPr>
            <w:tcW w:w="0" w:type="auto"/>
            <w:shd w:val="clear" w:color="auto" w:fill="FFFFFF"/>
            <w:tcMar>
              <w:top w:w="120" w:type="dxa"/>
              <w:left w:w="120" w:type="dxa"/>
              <w:bottom w:w="120" w:type="dxa"/>
              <w:right w:w="120" w:type="dxa"/>
            </w:tcMar>
            <w:hideMark/>
          </w:tcPr>
          <w:p w14:paraId="5BCC71CA" w14:textId="6D896F13" w:rsidR="0083391E" w:rsidRPr="00511B30" w:rsidRDefault="00857AD3" w:rsidP="0083391E">
            <w:pPr>
              <w:spacing w:after="300" w:line="300" w:lineRule="atLeast"/>
              <w:rPr>
                <w:rFonts w:eastAsia="Times New Roman" w:cstheme="minorHAnsi"/>
                <w:highlight w:val="yellow"/>
              </w:rPr>
            </w:pPr>
            <w:r w:rsidRPr="00857AD3">
              <w:rPr>
                <w:rFonts w:eastAsia="Times New Roman" w:cstheme="minorHAnsi"/>
              </w:rPr>
              <w:t>At designing stage</w:t>
            </w:r>
          </w:p>
        </w:tc>
        <w:tc>
          <w:tcPr>
            <w:tcW w:w="1698" w:type="dxa"/>
            <w:shd w:val="clear" w:color="auto" w:fill="FFFFFF"/>
            <w:tcMar>
              <w:top w:w="120" w:type="dxa"/>
              <w:left w:w="120" w:type="dxa"/>
              <w:bottom w:w="120" w:type="dxa"/>
              <w:right w:w="120" w:type="dxa"/>
            </w:tcMar>
            <w:hideMark/>
          </w:tcPr>
          <w:p w14:paraId="4D363536" w14:textId="24A90C14" w:rsidR="0083391E" w:rsidRPr="00511B30" w:rsidRDefault="0083391E" w:rsidP="0083391E">
            <w:pPr>
              <w:spacing w:after="300" w:line="300" w:lineRule="atLeast"/>
              <w:rPr>
                <w:rFonts w:eastAsia="Times New Roman" w:cstheme="minorHAnsi"/>
                <w:highlight w:val="yellow"/>
              </w:rPr>
            </w:pPr>
          </w:p>
        </w:tc>
        <w:tc>
          <w:tcPr>
            <w:tcW w:w="3870" w:type="dxa"/>
            <w:shd w:val="clear" w:color="auto" w:fill="FFFFFF"/>
            <w:tcMar>
              <w:top w:w="120" w:type="dxa"/>
              <w:left w:w="120" w:type="dxa"/>
              <w:bottom w:w="120" w:type="dxa"/>
              <w:right w:w="120" w:type="dxa"/>
            </w:tcMar>
            <w:hideMark/>
          </w:tcPr>
          <w:p w14:paraId="33A448DC" w14:textId="7F5F5F7F" w:rsidR="0083391E" w:rsidRPr="00511B30" w:rsidRDefault="00B259E4" w:rsidP="0083391E">
            <w:pPr>
              <w:spacing w:after="300" w:line="300" w:lineRule="atLeast"/>
              <w:rPr>
                <w:rFonts w:eastAsia="Times New Roman" w:cstheme="minorHAnsi"/>
                <w:highlight w:val="yellow"/>
              </w:rPr>
            </w:pPr>
            <w:r>
              <w:rPr>
                <w:rFonts w:eastAsia="Times New Roman" w:cstheme="minorHAnsi"/>
              </w:rPr>
              <w:t>D</w:t>
            </w:r>
            <w:r w:rsidR="00857AD3" w:rsidRPr="00857AD3">
              <w:rPr>
                <w:rFonts w:eastAsia="Times New Roman" w:cstheme="minorHAnsi"/>
              </w:rPr>
              <w:t>raft proposal</w:t>
            </w:r>
            <w:r>
              <w:rPr>
                <w:rFonts w:eastAsia="Times New Roman" w:cstheme="minorHAnsi"/>
              </w:rPr>
              <w:t xml:space="preserve"> of the PVE-2 Regional Programme in Centra Asia </w:t>
            </w:r>
            <w:r w:rsidR="00857AD3" w:rsidRPr="00857AD3">
              <w:rPr>
                <w:rFonts w:eastAsia="Times New Roman" w:cstheme="minorHAnsi"/>
              </w:rPr>
              <w:t xml:space="preserve"> </w:t>
            </w:r>
          </w:p>
        </w:tc>
      </w:tr>
    </w:tbl>
    <w:p w14:paraId="3CDE1200" w14:textId="3EB079D2" w:rsidR="009A4EAA" w:rsidRDefault="009A4EAA" w:rsidP="00F65CB9">
      <w:pPr>
        <w:shd w:val="clear" w:color="auto" w:fill="FFFFFF"/>
        <w:spacing w:after="150" w:line="288" w:lineRule="atLeast"/>
        <w:jc w:val="both"/>
        <w:outlineLvl w:val="4"/>
        <w:rPr>
          <w:rFonts w:eastAsia="Times New Roman" w:cstheme="minorHAnsi"/>
          <w:b/>
          <w:bCs/>
          <w:color w:val="222222"/>
        </w:rPr>
      </w:pPr>
    </w:p>
    <w:p w14:paraId="785B065B" w14:textId="241678C2" w:rsidR="009A4EAA" w:rsidRPr="009A4EAA" w:rsidRDefault="009A4EAA" w:rsidP="009A4EAA">
      <w:pPr>
        <w:pStyle w:val="ListParagraph"/>
        <w:numPr>
          <w:ilvl w:val="0"/>
          <w:numId w:val="1"/>
        </w:numPr>
        <w:shd w:val="clear" w:color="auto" w:fill="F5F5F5"/>
        <w:spacing w:after="0" w:line="240" w:lineRule="auto"/>
        <w:rPr>
          <w:rFonts w:eastAsia="Times New Roman" w:cstheme="minorHAnsi"/>
          <w:b/>
          <w:bCs/>
          <w:color w:val="333333"/>
        </w:rPr>
      </w:pPr>
      <w:r w:rsidRPr="009A4EAA">
        <w:rPr>
          <w:rFonts w:eastAsia="Times New Roman" w:cstheme="minorHAnsi"/>
          <w:b/>
          <w:bCs/>
          <w:color w:val="333333"/>
        </w:rPr>
        <w:lastRenderedPageBreak/>
        <w:t>Recommendation:</w:t>
      </w:r>
    </w:p>
    <w:p w14:paraId="4E32A6D3" w14:textId="77777777" w:rsidR="00E9792E" w:rsidRDefault="00E9792E" w:rsidP="00150840">
      <w:pPr>
        <w:rPr>
          <w:rFonts w:cstheme="minorHAnsi"/>
          <w:b/>
          <w:bCs/>
        </w:rPr>
      </w:pPr>
    </w:p>
    <w:p w14:paraId="3B398C04" w14:textId="7E8801C7" w:rsidR="00150840" w:rsidRPr="00150840" w:rsidRDefault="00511B30" w:rsidP="00150840">
      <w:pPr>
        <w:rPr>
          <w:rFonts w:cstheme="minorHAnsi"/>
          <w:b/>
          <w:bCs/>
        </w:rPr>
      </w:pPr>
      <w:r w:rsidRPr="00817EE1">
        <w:rPr>
          <w:rFonts w:cstheme="minorHAnsi"/>
          <w:b/>
          <w:bCs/>
        </w:rPr>
        <w:t>C</w:t>
      </w:r>
      <w:r w:rsidR="00150840" w:rsidRPr="00817EE1">
        <w:rPr>
          <w:rFonts w:cstheme="minorHAnsi"/>
          <w:b/>
          <w:bCs/>
        </w:rPr>
        <w:t xml:space="preserve">ontinue investing in </w:t>
      </w:r>
      <w:r w:rsidR="00817EE1" w:rsidRPr="00817EE1">
        <w:rPr>
          <w:rFonts w:cstheme="minorHAnsi"/>
          <w:b/>
          <w:bCs/>
        </w:rPr>
        <w:t xml:space="preserve">results </w:t>
      </w:r>
      <w:r w:rsidR="00150840" w:rsidRPr="00817EE1">
        <w:rPr>
          <w:rFonts w:cstheme="minorHAnsi"/>
          <w:b/>
          <w:bCs/>
        </w:rPr>
        <w:t xml:space="preserve">that have the highest possible sustainability potential, such as </w:t>
      </w:r>
      <w:r w:rsidR="00817EE1" w:rsidRPr="00817EE1">
        <w:rPr>
          <w:rFonts w:cstheme="minorHAnsi"/>
          <w:b/>
          <w:bCs/>
        </w:rPr>
        <w:t xml:space="preserve">expanding </w:t>
      </w:r>
      <w:r w:rsidR="00150840" w:rsidRPr="00817EE1">
        <w:rPr>
          <w:rFonts w:cstheme="minorHAnsi"/>
          <w:b/>
          <w:bCs/>
        </w:rPr>
        <w:t xml:space="preserve">legal clinics and </w:t>
      </w:r>
      <w:r w:rsidR="00817EE1" w:rsidRPr="00817EE1">
        <w:rPr>
          <w:rFonts w:cstheme="minorHAnsi"/>
          <w:b/>
          <w:bCs/>
        </w:rPr>
        <w:t xml:space="preserve">youth </w:t>
      </w:r>
      <w:r w:rsidR="00150840" w:rsidRPr="00817EE1">
        <w:rPr>
          <w:rFonts w:cstheme="minorHAnsi"/>
          <w:b/>
          <w:bCs/>
        </w:rPr>
        <w:t>hubs to ensure institutional sustainability.</w:t>
      </w:r>
    </w:p>
    <w:p w14:paraId="37C0C0EE" w14:textId="00BAD4C8" w:rsidR="00817EE1" w:rsidRDefault="00E10E65">
      <w:pPr>
        <w:rPr>
          <w:rFonts w:eastAsia="Times New Roman" w:cstheme="minorHAnsi"/>
          <w:b/>
          <w:bCs/>
          <w:color w:val="222222"/>
        </w:rPr>
      </w:pPr>
      <w:r w:rsidRPr="00A54D10">
        <w:rPr>
          <w:rFonts w:cstheme="minorHAnsi"/>
          <w:b/>
          <w:bCs/>
        </w:rPr>
        <w:t>Management Response</w:t>
      </w:r>
      <w:r w:rsidR="008F02B5" w:rsidRPr="00A54D10">
        <w:rPr>
          <w:rFonts w:cstheme="minorHAnsi"/>
          <w:b/>
          <w:bCs/>
        </w:rPr>
        <w:t>:</w:t>
      </w:r>
      <w:r w:rsidR="00A30400">
        <w:rPr>
          <w:rFonts w:cstheme="minorHAnsi"/>
          <w:b/>
          <w:bCs/>
        </w:rPr>
        <w:t xml:space="preserve"> </w:t>
      </w:r>
      <w:r w:rsidR="00A30400" w:rsidRPr="00EE31E6">
        <w:rPr>
          <w:rFonts w:cstheme="minorHAnsi"/>
        </w:rPr>
        <w:t>Recommendation accepted.</w:t>
      </w:r>
      <w:r w:rsidR="00A30400" w:rsidRPr="00F9742A">
        <w:rPr>
          <w:rFonts w:cstheme="minorHAnsi"/>
        </w:rPr>
        <w:t xml:space="preserve"> </w:t>
      </w:r>
      <w:r w:rsidR="00EE31E6">
        <w:rPr>
          <w:rFonts w:cstheme="minorHAnsi"/>
        </w:rPr>
        <w:t xml:space="preserve">UNDP will continue promoting and expanding legal clinics and youth hubs in rural areas to effectively facilitate the dialogue among communities and youth on peacebuilding, conflict management and PVE issues within the new </w:t>
      </w:r>
      <w:r w:rsidR="00EE31E6">
        <w:rPr>
          <w:rFonts w:eastAsia="Times New Roman" w:cstheme="minorHAnsi"/>
          <w:color w:val="222222"/>
        </w:rPr>
        <w:t>PVE-2 Regional Programme in Central Asia.</w:t>
      </w:r>
    </w:p>
    <w:p w14:paraId="37A34DA7" w14:textId="479B9C1C" w:rsidR="00303CA6" w:rsidRPr="00A54D10" w:rsidRDefault="00404D06" w:rsidP="009929F9">
      <w:pPr>
        <w:rPr>
          <w:rFonts w:eastAsia="Times New Roman" w:cstheme="minorHAnsi"/>
          <w:b/>
          <w:bCs/>
          <w:color w:val="222222"/>
        </w:rPr>
      </w:pPr>
      <w:r w:rsidRPr="00A54D10">
        <w:rPr>
          <w:rFonts w:eastAsia="Times New Roman" w:cstheme="minorHAnsi"/>
          <w:b/>
          <w:bCs/>
          <w:color w:val="222222"/>
        </w:rPr>
        <w:t>Key Actions: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6"/>
        <w:gridCol w:w="2240"/>
        <w:gridCol w:w="1166"/>
        <w:gridCol w:w="1091"/>
        <w:gridCol w:w="1832"/>
        <w:gridCol w:w="3780"/>
      </w:tblGrid>
      <w:tr w:rsidR="00B259E4" w:rsidRPr="00A54D10" w14:paraId="7859C601" w14:textId="77777777" w:rsidTr="00B259E4">
        <w:trPr>
          <w:trHeight w:val="609"/>
        </w:trPr>
        <w:tc>
          <w:tcPr>
            <w:tcW w:w="3926" w:type="dxa"/>
            <w:shd w:val="clear" w:color="auto" w:fill="F9F9F9"/>
            <w:tcMar>
              <w:top w:w="120" w:type="dxa"/>
              <w:left w:w="120" w:type="dxa"/>
              <w:bottom w:w="120" w:type="dxa"/>
              <w:right w:w="120" w:type="dxa"/>
            </w:tcMar>
            <w:hideMark/>
          </w:tcPr>
          <w:p w14:paraId="0B0F6292"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Key Action</w:t>
            </w:r>
          </w:p>
        </w:tc>
        <w:tc>
          <w:tcPr>
            <w:tcW w:w="2240" w:type="dxa"/>
            <w:shd w:val="clear" w:color="auto" w:fill="F9F9F9"/>
            <w:tcMar>
              <w:top w:w="120" w:type="dxa"/>
              <w:left w:w="120" w:type="dxa"/>
              <w:bottom w:w="120" w:type="dxa"/>
              <w:right w:w="120" w:type="dxa"/>
            </w:tcMar>
            <w:hideMark/>
          </w:tcPr>
          <w:p w14:paraId="68454118"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Responsible</w:t>
            </w:r>
          </w:p>
        </w:tc>
        <w:tc>
          <w:tcPr>
            <w:tcW w:w="1166" w:type="dxa"/>
            <w:shd w:val="clear" w:color="auto" w:fill="F9F9F9"/>
            <w:tcMar>
              <w:top w:w="120" w:type="dxa"/>
              <w:left w:w="120" w:type="dxa"/>
              <w:bottom w:w="120" w:type="dxa"/>
              <w:right w:w="120" w:type="dxa"/>
            </w:tcMar>
            <w:hideMark/>
          </w:tcPr>
          <w:p w14:paraId="43DF2F8D" w14:textId="4EDE908C"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Due</w:t>
            </w:r>
            <w:r w:rsidR="00221BA9" w:rsidRPr="00A54D10">
              <w:rPr>
                <w:rFonts w:eastAsia="Times New Roman" w:cstheme="minorHAnsi"/>
                <w:b/>
                <w:bCs/>
              </w:rPr>
              <w:t xml:space="preserve"> </w:t>
            </w:r>
            <w:r w:rsidRPr="00A54D10">
              <w:rPr>
                <w:rFonts w:eastAsia="Times New Roman" w:cstheme="minorHAnsi"/>
                <w:b/>
                <w:bCs/>
              </w:rPr>
              <w:t>Date</w:t>
            </w:r>
          </w:p>
        </w:tc>
        <w:tc>
          <w:tcPr>
            <w:tcW w:w="1091" w:type="dxa"/>
            <w:shd w:val="clear" w:color="auto" w:fill="F9F9F9"/>
            <w:tcMar>
              <w:top w:w="120" w:type="dxa"/>
              <w:left w:w="120" w:type="dxa"/>
              <w:bottom w:w="120" w:type="dxa"/>
              <w:right w:w="120" w:type="dxa"/>
            </w:tcMar>
            <w:hideMark/>
          </w:tcPr>
          <w:p w14:paraId="64301B66"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Status</w:t>
            </w:r>
          </w:p>
        </w:tc>
        <w:tc>
          <w:tcPr>
            <w:tcW w:w="1832" w:type="dxa"/>
            <w:shd w:val="clear" w:color="auto" w:fill="F9F9F9"/>
            <w:tcMar>
              <w:top w:w="120" w:type="dxa"/>
              <w:left w:w="120" w:type="dxa"/>
              <w:bottom w:w="120" w:type="dxa"/>
              <w:right w:w="120" w:type="dxa"/>
            </w:tcMar>
            <w:hideMark/>
          </w:tcPr>
          <w:p w14:paraId="2497F677"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Comments</w:t>
            </w:r>
          </w:p>
        </w:tc>
        <w:tc>
          <w:tcPr>
            <w:tcW w:w="3780" w:type="dxa"/>
            <w:shd w:val="clear" w:color="auto" w:fill="F9F9F9"/>
            <w:tcMar>
              <w:top w:w="120" w:type="dxa"/>
              <w:left w:w="120" w:type="dxa"/>
              <w:bottom w:w="120" w:type="dxa"/>
              <w:right w:w="120" w:type="dxa"/>
            </w:tcMar>
            <w:hideMark/>
          </w:tcPr>
          <w:p w14:paraId="74D707F9"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Documents</w:t>
            </w:r>
          </w:p>
        </w:tc>
      </w:tr>
      <w:tr w:rsidR="00B259E4" w:rsidRPr="00A54D10" w14:paraId="58468057" w14:textId="77777777" w:rsidTr="00B259E4">
        <w:trPr>
          <w:trHeight w:val="25"/>
        </w:trPr>
        <w:tc>
          <w:tcPr>
            <w:tcW w:w="3926" w:type="dxa"/>
            <w:shd w:val="clear" w:color="auto" w:fill="FFFFFF"/>
            <w:tcMar>
              <w:top w:w="120" w:type="dxa"/>
              <w:left w:w="120" w:type="dxa"/>
              <w:bottom w:w="120" w:type="dxa"/>
              <w:right w:w="120" w:type="dxa"/>
            </w:tcMar>
            <w:hideMark/>
          </w:tcPr>
          <w:p w14:paraId="270DF998" w14:textId="5B29CE77" w:rsidR="00EE31E6" w:rsidRPr="00EE0DE9" w:rsidRDefault="00EE0DE9" w:rsidP="00EE0DE9">
            <w:pPr>
              <w:pStyle w:val="ListParagraph"/>
              <w:numPr>
                <w:ilvl w:val="0"/>
                <w:numId w:val="10"/>
              </w:numPr>
              <w:tabs>
                <w:tab w:val="left" w:pos="240"/>
              </w:tabs>
              <w:spacing w:after="300" w:line="300" w:lineRule="atLeast"/>
              <w:ind w:left="0" w:firstLine="0"/>
              <w:rPr>
                <w:rFonts w:eastAsia="Times New Roman" w:cstheme="minorHAnsi"/>
              </w:rPr>
            </w:pPr>
            <w:r w:rsidRPr="00EE0DE9">
              <w:rPr>
                <w:rFonts w:cstheme="minorHAnsi"/>
              </w:rPr>
              <w:t xml:space="preserve">Setting up public advisory groups, legal </w:t>
            </w:r>
            <w:proofErr w:type="gramStart"/>
            <w:r w:rsidRPr="00EE0DE9">
              <w:rPr>
                <w:rFonts w:cstheme="minorHAnsi"/>
              </w:rPr>
              <w:t>clinics</w:t>
            </w:r>
            <w:proofErr w:type="gramEnd"/>
            <w:r w:rsidRPr="00EE0DE9">
              <w:rPr>
                <w:rFonts w:cstheme="minorHAnsi"/>
              </w:rPr>
              <w:t xml:space="preserve"> and youth hubs </w:t>
            </w:r>
            <w:r w:rsidR="00EE31E6" w:rsidRPr="00EE0DE9">
              <w:rPr>
                <w:rFonts w:cstheme="minorHAnsi"/>
              </w:rPr>
              <w:t xml:space="preserve">in </w:t>
            </w:r>
            <w:r w:rsidRPr="00EE0DE9">
              <w:rPr>
                <w:rFonts w:cstheme="minorHAnsi"/>
              </w:rPr>
              <w:t>rural</w:t>
            </w:r>
            <w:r w:rsidR="00EE31E6" w:rsidRPr="00EE0DE9">
              <w:rPr>
                <w:rFonts w:cstheme="minorHAnsi"/>
              </w:rPr>
              <w:t xml:space="preserve"> areas to provide legal, psychological</w:t>
            </w:r>
            <w:r w:rsidRPr="00EE0DE9">
              <w:rPr>
                <w:rFonts w:cstheme="minorHAnsi"/>
              </w:rPr>
              <w:t xml:space="preserve"> and other </w:t>
            </w:r>
            <w:r w:rsidR="00EE31E6" w:rsidRPr="00EE0DE9">
              <w:rPr>
                <w:rFonts w:cstheme="minorHAnsi"/>
              </w:rPr>
              <w:t>support</w:t>
            </w:r>
            <w:r w:rsidRPr="00EE0DE9">
              <w:rPr>
                <w:rFonts w:cstheme="minorHAnsi"/>
              </w:rPr>
              <w:t xml:space="preserve"> services</w:t>
            </w:r>
            <w:r w:rsidR="00EE31E6" w:rsidRPr="00EE0DE9">
              <w:rPr>
                <w:rFonts w:cstheme="minorHAnsi"/>
              </w:rPr>
              <w:t xml:space="preserve"> to vulnerable youth</w:t>
            </w:r>
            <w:r w:rsidRPr="00EE0DE9">
              <w:rPr>
                <w:rFonts w:cstheme="minorHAnsi"/>
              </w:rPr>
              <w:t xml:space="preserve"> including young women </w:t>
            </w:r>
            <w:r w:rsidR="00EE31E6" w:rsidRPr="00EE0DE9">
              <w:rPr>
                <w:rFonts w:cstheme="minorHAnsi"/>
              </w:rPr>
              <w:t xml:space="preserve">and ensure </w:t>
            </w:r>
            <w:r w:rsidRPr="00EE0DE9">
              <w:rPr>
                <w:rFonts w:cstheme="minorHAnsi"/>
              </w:rPr>
              <w:t>sustainable</w:t>
            </w:r>
            <w:r w:rsidR="00EE31E6" w:rsidRPr="00EE0DE9">
              <w:rPr>
                <w:rFonts w:cstheme="minorHAnsi"/>
              </w:rPr>
              <w:t xml:space="preserve"> dialogue among </w:t>
            </w:r>
            <w:r w:rsidRPr="00EE0DE9">
              <w:rPr>
                <w:rFonts w:cstheme="minorHAnsi"/>
              </w:rPr>
              <w:t xml:space="preserve">local </w:t>
            </w:r>
            <w:r w:rsidR="00EE31E6" w:rsidRPr="00EE0DE9">
              <w:rPr>
                <w:rFonts w:cstheme="minorHAnsi"/>
              </w:rPr>
              <w:t xml:space="preserve">communities and youth at the center </w:t>
            </w:r>
            <w:r w:rsidRPr="00EE0DE9">
              <w:rPr>
                <w:rFonts w:cstheme="minorHAnsi"/>
              </w:rPr>
              <w:t xml:space="preserve">within the </w:t>
            </w:r>
            <w:r w:rsidRPr="00EE0DE9">
              <w:rPr>
                <w:rFonts w:cstheme="minorHAnsi"/>
                <w:lang w:val="en-GB"/>
              </w:rPr>
              <w:t>PVE-2 Regional Programme in Central Asia</w:t>
            </w:r>
            <w:r w:rsidR="00EE31E6" w:rsidRPr="00EE0DE9">
              <w:rPr>
                <w:rFonts w:cstheme="minorHAnsi"/>
              </w:rPr>
              <w:t>.</w:t>
            </w:r>
          </w:p>
        </w:tc>
        <w:tc>
          <w:tcPr>
            <w:tcW w:w="2240" w:type="dxa"/>
            <w:shd w:val="clear" w:color="auto" w:fill="FFFFFF"/>
            <w:tcMar>
              <w:top w:w="120" w:type="dxa"/>
              <w:left w:w="120" w:type="dxa"/>
              <w:bottom w:w="120" w:type="dxa"/>
              <w:right w:w="120" w:type="dxa"/>
            </w:tcMar>
            <w:hideMark/>
          </w:tcPr>
          <w:p w14:paraId="5E2CFEFA" w14:textId="28B2C6EE" w:rsidR="00016D71" w:rsidRPr="00817EE1" w:rsidRDefault="00016D71" w:rsidP="00A54D10">
            <w:pPr>
              <w:spacing w:after="300" w:line="300" w:lineRule="atLeast"/>
              <w:rPr>
                <w:rFonts w:eastAsia="Times New Roman" w:cstheme="minorHAnsi"/>
                <w:highlight w:val="yellow"/>
              </w:rPr>
            </w:pPr>
            <w:r w:rsidRPr="00817EE1">
              <w:rPr>
                <w:rFonts w:eastAsia="Times New Roman" w:cstheme="minorHAnsi"/>
              </w:rPr>
              <w:t>Kamila Mukhamedkhanova,</w:t>
            </w:r>
            <w:r w:rsidR="00A54D10" w:rsidRPr="00817EE1">
              <w:rPr>
                <w:rFonts w:eastAsia="Times New Roman" w:cstheme="minorHAnsi"/>
              </w:rPr>
              <w:t xml:space="preserve"> </w:t>
            </w:r>
            <w:r w:rsidRPr="00817EE1">
              <w:rPr>
                <w:rFonts w:eastAsia="Times New Roman" w:cstheme="minorHAnsi"/>
              </w:rPr>
              <w:t>EGC leader</w:t>
            </w:r>
          </w:p>
        </w:tc>
        <w:tc>
          <w:tcPr>
            <w:tcW w:w="1166" w:type="dxa"/>
            <w:shd w:val="clear" w:color="auto" w:fill="FFFFFF"/>
            <w:tcMar>
              <w:top w:w="120" w:type="dxa"/>
              <w:left w:w="120" w:type="dxa"/>
              <w:bottom w:w="120" w:type="dxa"/>
              <w:right w:w="120" w:type="dxa"/>
            </w:tcMar>
            <w:hideMark/>
          </w:tcPr>
          <w:p w14:paraId="7F3EB6F3" w14:textId="77BD98EC" w:rsidR="00016D71" w:rsidRPr="00817EE1" w:rsidRDefault="0021583C" w:rsidP="009641A3">
            <w:pPr>
              <w:spacing w:after="300" w:line="300" w:lineRule="atLeast"/>
              <w:rPr>
                <w:rFonts w:eastAsia="Times New Roman" w:cstheme="minorHAnsi"/>
                <w:highlight w:val="yellow"/>
              </w:rPr>
            </w:pPr>
            <w:r w:rsidRPr="0021583C">
              <w:rPr>
                <w:rFonts w:eastAsia="Times New Roman" w:cstheme="minorHAnsi"/>
              </w:rPr>
              <w:t>August</w:t>
            </w:r>
            <w:r w:rsidR="00937364" w:rsidRPr="0021583C">
              <w:rPr>
                <w:rFonts w:eastAsia="Times New Roman" w:cstheme="minorHAnsi"/>
              </w:rPr>
              <w:t xml:space="preserve"> 30, 202</w:t>
            </w:r>
            <w:r w:rsidR="00C76A1F">
              <w:rPr>
                <w:rFonts w:eastAsia="Times New Roman" w:cstheme="minorHAnsi"/>
              </w:rPr>
              <w:t>3</w:t>
            </w:r>
          </w:p>
        </w:tc>
        <w:tc>
          <w:tcPr>
            <w:tcW w:w="1091" w:type="dxa"/>
            <w:shd w:val="clear" w:color="auto" w:fill="FFFFFF"/>
            <w:tcMar>
              <w:top w:w="120" w:type="dxa"/>
              <w:left w:w="120" w:type="dxa"/>
              <w:bottom w:w="120" w:type="dxa"/>
              <w:right w:w="120" w:type="dxa"/>
            </w:tcMar>
            <w:hideMark/>
          </w:tcPr>
          <w:p w14:paraId="23FD8B54" w14:textId="18DE9F41" w:rsidR="00016D71" w:rsidRPr="00817EE1" w:rsidRDefault="00857AD3" w:rsidP="009641A3">
            <w:pPr>
              <w:spacing w:after="300" w:line="300" w:lineRule="atLeast"/>
              <w:rPr>
                <w:rFonts w:eastAsia="Times New Roman" w:cstheme="minorHAnsi"/>
                <w:highlight w:val="yellow"/>
              </w:rPr>
            </w:pPr>
            <w:r w:rsidRPr="00857AD3">
              <w:rPr>
                <w:rFonts w:eastAsia="Times New Roman" w:cstheme="minorHAnsi"/>
              </w:rPr>
              <w:t>At designing stage</w:t>
            </w:r>
          </w:p>
        </w:tc>
        <w:tc>
          <w:tcPr>
            <w:tcW w:w="1832" w:type="dxa"/>
            <w:shd w:val="clear" w:color="auto" w:fill="FFFFFF"/>
            <w:tcMar>
              <w:top w:w="120" w:type="dxa"/>
              <w:left w:w="120" w:type="dxa"/>
              <w:bottom w:w="120" w:type="dxa"/>
              <w:right w:w="120" w:type="dxa"/>
            </w:tcMar>
            <w:hideMark/>
          </w:tcPr>
          <w:p w14:paraId="5EE31C2A" w14:textId="0DCE8E22" w:rsidR="00CB3A60" w:rsidRPr="00817EE1" w:rsidRDefault="00CB3A60" w:rsidP="009641A3">
            <w:pPr>
              <w:spacing w:after="300" w:line="300" w:lineRule="atLeast"/>
              <w:rPr>
                <w:rFonts w:eastAsia="Times New Roman" w:cstheme="minorHAnsi"/>
                <w:highlight w:val="yellow"/>
              </w:rPr>
            </w:pPr>
          </w:p>
        </w:tc>
        <w:tc>
          <w:tcPr>
            <w:tcW w:w="3780" w:type="dxa"/>
            <w:shd w:val="clear" w:color="auto" w:fill="FFFFFF"/>
            <w:tcMar>
              <w:top w:w="120" w:type="dxa"/>
              <w:left w:w="120" w:type="dxa"/>
              <w:bottom w:w="120" w:type="dxa"/>
              <w:right w:w="120" w:type="dxa"/>
            </w:tcMar>
            <w:hideMark/>
          </w:tcPr>
          <w:p w14:paraId="49BC4F99" w14:textId="7505DCB6" w:rsidR="003A6D97" w:rsidRPr="00817EE1" w:rsidRDefault="00B259E4" w:rsidP="009641A3">
            <w:pPr>
              <w:spacing w:after="300" w:line="300" w:lineRule="atLeast"/>
              <w:rPr>
                <w:rFonts w:eastAsia="Times New Roman" w:cstheme="minorHAnsi"/>
                <w:highlight w:val="yellow"/>
              </w:rPr>
            </w:pPr>
            <w:r>
              <w:rPr>
                <w:rFonts w:eastAsia="Times New Roman" w:cstheme="minorHAnsi"/>
              </w:rPr>
              <w:t>D</w:t>
            </w:r>
            <w:r w:rsidRPr="00857AD3">
              <w:rPr>
                <w:rFonts w:eastAsia="Times New Roman" w:cstheme="minorHAnsi"/>
              </w:rPr>
              <w:t>raft proposal</w:t>
            </w:r>
            <w:r>
              <w:rPr>
                <w:rFonts w:eastAsia="Times New Roman" w:cstheme="minorHAnsi"/>
              </w:rPr>
              <w:t xml:space="preserve"> of the PVE-2 Regional Programme in Centra Asia</w:t>
            </w:r>
          </w:p>
        </w:tc>
      </w:tr>
    </w:tbl>
    <w:p w14:paraId="756C02AB" w14:textId="77777777" w:rsidR="008A2719" w:rsidRPr="00A54D10" w:rsidRDefault="008A2719" w:rsidP="00A54D10">
      <w:pPr>
        <w:rPr>
          <w:rFonts w:cstheme="minorHAnsi"/>
        </w:rPr>
      </w:pPr>
    </w:p>
    <w:sectPr w:rsidR="008A2719" w:rsidRPr="00A54D10" w:rsidSect="0083391E">
      <w:headerReference w:type="default" r:id="rId8"/>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81C9" w14:textId="77777777" w:rsidR="00A06878" w:rsidRDefault="00A06878" w:rsidP="0083391E">
      <w:pPr>
        <w:spacing w:after="0" w:line="240" w:lineRule="auto"/>
      </w:pPr>
      <w:r>
        <w:separator/>
      </w:r>
    </w:p>
  </w:endnote>
  <w:endnote w:type="continuationSeparator" w:id="0">
    <w:p w14:paraId="2FAA9537" w14:textId="77777777" w:rsidR="00A06878" w:rsidRDefault="00A06878" w:rsidP="0083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122B" w14:textId="77777777" w:rsidR="00A06878" w:rsidRDefault="00A06878" w:rsidP="0083391E">
      <w:pPr>
        <w:spacing w:after="0" w:line="240" w:lineRule="auto"/>
      </w:pPr>
      <w:r>
        <w:separator/>
      </w:r>
    </w:p>
  </w:footnote>
  <w:footnote w:type="continuationSeparator" w:id="0">
    <w:p w14:paraId="7D8B6C49" w14:textId="77777777" w:rsidR="00A06878" w:rsidRDefault="00A06878" w:rsidP="00833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E475" w14:textId="268E2845" w:rsidR="0083391E" w:rsidRDefault="0083391E">
    <w:pPr>
      <w:pStyle w:val="Header"/>
    </w:pPr>
    <w:r>
      <w:t>Management Response Template</w:t>
    </w:r>
  </w:p>
  <w:p w14:paraId="36ABA3B4" w14:textId="328F2CDA" w:rsidR="0083391E" w:rsidRDefault="0083391E">
    <w:pPr>
      <w:pStyle w:val="Header"/>
    </w:pPr>
    <w:r>
      <w:t>Annex to the UNDP Uzbekistan M&amp;E Strategy (2022-2025)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CB"/>
    <w:multiLevelType w:val="hybridMultilevel"/>
    <w:tmpl w:val="D9BCA1CE"/>
    <w:lvl w:ilvl="0" w:tplc="6D0A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6EEC"/>
    <w:multiLevelType w:val="hybridMultilevel"/>
    <w:tmpl w:val="D9BCA1CE"/>
    <w:lvl w:ilvl="0" w:tplc="6D0A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F17"/>
    <w:multiLevelType w:val="hybridMultilevel"/>
    <w:tmpl w:val="7A848EB2"/>
    <w:lvl w:ilvl="0" w:tplc="84E4C7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06783"/>
    <w:multiLevelType w:val="hybridMultilevel"/>
    <w:tmpl w:val="578614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B4C64"/>
    <w:multiLevelType w:val="hybridMultilevel"/>
    <w:tmpl w:val="BFAEE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54342E"/>
    <w:multiLevelType w:val="hybridMultilevel"/>
    <w:tmpl w:val="F408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E454C"/>
    <w:multiLevelType w:val="hybridMultilevel"/>
    <w:tmpl w:val="F5BCCF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5487F"/>
    <w:multiLevelType w:val="hybridMultilevel"/>
    <w:tmpl w:val="15E077F4"/>
    <w:lvl w:ilvl="0" w:tplc="8EFE4AC0">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A70B50"/>
    <w:multiLevelType w:val="hybridMultilevel"/>
    <w:tmpl w:val="D9BCA1CE"/>
    <w:lvl w:ilvl="0" w:tplc="6D0A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42A40"/>
    <w:multiLevelType w:val="hybridMultilevel"/>
    <w:tmpl w:val="0AB40696"/>
    <w:lvl w:ilvl="0" w:tplc="8A7AC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469504">
    <w:abstractNumId w:val="1"/>
  </w:num>
  <w:num w:numId="2" w16cid:durableId="1355883143">
    <w:abstractNumId w:val="3"/>
  </w:num>
  <w:num w:numId="3" w16cid:durableId="641620282">
    <w:abstractNumId w:val="6"/>
  </w:num>
  <w:num w:numId="4" w16cid:durableId="403723276">
    <w:abstractNumId w:val="9"/>
  </w:num>
  <w:num w:numId="5" w16cid:durableId="1846625142">
    <w:abstractNumId w:val="0"/>
  </w:num>
  <w:num w:numId="6" w16cid:durableId="557789990">
    <w:abstractNumId w:val="8"/>
  </w:num>
  <w:num w:numId="7" w16cid:durableId="299577573">
    <w:abstractNumId w:val="4"/>
  </w:num>
  <w:num w:numId="8" w16cid:durableId="962417177">
    <w:abstractNumId w:val="5"/>
  </w:num>
  <w:num w:numId="9" w16cid:durableId="1472938922">
    <w:abstractNumId w:val="2"/>
  </w:num>
  <w:num w:numId="10" w16cid:durableId="1293717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1E"/>
    <w:rsid w:val="00012626"/>
    <w:rsid w:val="00016D71"/>
    <w:rsid w:val="00017BF2"/>
    <w:rsid w:val="0002150A"/>
    <w:rsid w:val="00043CEC"/>
    <w:rsid w:val="00080383"/>
    <w:rsid w:val="000813CD"/>
    <w:rsid w:val="00083944"/>
    <w:rsid w:val="00090BB2"/>
    <w:rsid w:val="000B2FB3"/>
    <w:rsid w:val="000B6589"/>
    <w:rsid w:val="000B7148"/>
    <w:rsid w:val="000C3A0E"/>
    <w:rsid w:val="000F52EB"/>
    <w:rsid w:val="001123D8"/>
    <w:rsid w:val="00125C12"/>
    <w:rsid w:val="00145BBE"/>
    <w:rsid w:val="00150840"/>
    <w:rsid w:val="00185E8C"/>
    <w:rsid w:val="00196439"/>
    <w:rsid w:val="00196E86"/>
    <w:rsid w:val="001A2B70"/>
    <w:rsid w:val="001C66E4"/>
    <w:rsid w:val="001D62D4"/>
    <w:rsid w:val="001E362F"/>
    <w:rsid w:val="001F512E"/>
    <w:rsid w:val="001F5458"/>
    <w:rsid w:val="00203564"/>
    <w:rsid w:val="00207605"/>
    <w:rsid w:val="0021583C"/>
    <w:rsid w:val="00217C73"/>
    <w:rsid w:val="00221BA9"/>
    <w:rsid w:val="00225660"/>
    <w:rsid w:val="00233779"/>
    <w:rsid w:val="00234A39"/>
    <w:rsid w:val="0023779D"/>
    <w:rsid w:val="00247F53"/>
    <w:rsid w:val="00273333"/>
    <w:rsid w:val="00281CBC"/>
    <w:rsid w:val="00292C37"/>
    <w:rsid w:val="002B2DB4"/>
    <w:rsid w:val="002F054C"/>
    <w:rsid w:val="002F443E"/>
    <w:rsid w:val="002F4DC4"/>
    <w:rsid w:val="00303CA6"/>
    <w:rsid w:val="00323044"/>
    <w:rsid w:val="003408A7"/>
    <w:rsid w:val="00347BA7"/>
    <w:rsid w:val="003508ED"/>
    <w:rsid w:val="003658BE"/>
    <w:rsid w:val="00372356"/>
    <w:rsid w:val="00374375"/>
    <w:rsid w:val="00390635"/>
    <w:rsid w:val="00390EFA"/>
    <w:rsid w:val="003A114C"/>
    <w:rsid w:val="003A247C"/>
    <w:rsid w:val="003A3444"/>
    <w:rsid w:val="003A6D97"/>
    <w:rsid w:val="003C2794"/>
    <w:rsid w:val="003E5357"/>
    <w:rsid w:val="003F51A2"/>
    <w:rsid w:val="00404D06"/>
    <w:rsid w:val="00412CBB"/>
    <w:rsid w:val="00412D3A"/>
    <w:rsid w:val="00427F0E"/>
    <w:rsid w:val="004445F3"/>
    <w:rsid w:val="004518D9"/>
    <w:rsid w:val="00455197"/>
    <w:rsid w:val="0049092E"/>
    <w:rsid w:val="004B0A38"/>
    <w:rsid w:val="004B7332"/>
    <w:rsid w:val="004D4678"/>
    <w:rsid w:val="004F1457"/>
    <w:rsid w:val="0050339D"/>
    <w:rsid w:val="00511B30"/>
    <w:rsid w:val="00534606"/>
    <w:rsid w:val="005356AC"/>
    <w:rsid w:val="00541CE4"/>
    <w:rsid w:val="005532D5"/>
    <w:rsid w:val="0056747F"/>
    <w:rsid w:val="005A7CA2"/>
    <w:rsid w:val="005B0900"/>
    <w:rsid w:val="005D1348"/>
    <w:rsid w:val="005E4C52"/>
    <w:rsid w:val="00600D49"/>
    <w:rsid w:val="00616F04"/>
    <w:rsid w:val="006332A1"/>
    <w:rsid w:val="00633657"/>
    <w:rsid w:val="00636387"/>
    <w:rsid w:val="0064204C"/>
    <w:rsid w:val="00647DA1"/>
    <w:rsid w:val="0066703D"/>
    <w:rsid w:val="006722B0"/>
    <w:rsid w:val="0068397C"/>
    <w:rsid w:val="006933D8"/>
    <w:rsid w:val="0069733B"/>
    <w:rsid w:val="006C15C3"/>
    <w:rsid w:val="006C37F9"/>
    <w:rsid w:val="006C4EF4"/>
    <w:rsid w:val="006C77CF"/>
    <w:rsid w:val="006E603D"/>
    <w:rsid w:val="006E79FE"/>
    <w:rsid w:val="006F6131"/>
    <w:rsid w:val="0070238B"/>
    <w:rsid w:val="007026C8"/>
    <w:rsid w:val="00703EA5"/>
    <w:rsid w:val="00711F80"/>
    <w:rsid w:val="00713AB3"/>
    <w:rsid w:val="007262EC"/>
    <w:rsid w:val="007353B8"/>
    <w:rsid w:val="0074713B"/>
    <w:rsid w:val="0076054C"/>
    <w:rsid w:val="00763B02"/>
    <w:rsid w:val="007B56BF"/>
    <w:rsid w:val="007C3F72"/>
    <w:rsid w:val="007F01D1"/>
    <w:rsid w:val="007F2E8C"/>
    <w:rsid w:val="008045AF"/>
    <w:rsid w:val="008119B0"/>
    <w:rsid w:val="0081370B"/>
    <w:rsid w:val="00817EE1"/>
    <w:rsid w:val="0083391E"/>
    <w:rsid w:val="00855157"/>
    <w:rsid w:val="00857AD3"/>
    <w:rsid w:val="008661E2"/>
    <w:rsid w:val="00873BB4"/>
    <w:rsid w:val="0088487C"/>
    <w:rsid w:val="008A2719"/>
    <w:rsid w:val="008A33BC"/>
    <w:rsid w:val="008A5737"/>
    <w:rsid w:val="008A7B3A"/>
    <w:rsid w:val="008F02B5"/>
    <w:rsid w:val="00914B6B"/>
    <w:rsid w:val="009217AA"/>
    <w:rsid w:val="00937364"/>
    <w:rsid w:val="00943EE4"/>
    <w:rsid w:val="00945C08"/>
    <w:rsid w:val="00971A7E"/>
    <w:rsid w:val="00976019"/>
    <w:rsid w:val="00986181"/>
    <w:rsid w:val="009929F9"/>
    <w:rsid w:val="009A02CF"/>
    <w:rsid w:val="009A13A0"/>
    <w:rsid w:val="009A4EAA"/>
    <w:rsid w:val="009D395E"/>
    <w:rsid w:val="009D729A"/>
    <w:rsid w:val="009E441D"/>
    <w:rsid w:val="009F4FBB"/>
    <w:rsid w:val="00A06878"/>
    <w:rsid w:val="00A30400"/>
    <w:rsid w:val="00A3688C"/>
    <w:rsid w:val="00A51560"/>
    <w:rsid w:val="00A54D10"/>
    <w:rsid w:val="00A71E81"/>
    <w:rsid w:val="00A74C69"/>
    <w:rsid w:val="00AC526A"/>
    <w:rsid w:val="00AC7919"/>
    <w:rsid w:val="00AD1AE6"/>
    <w:rsid w:val="00AE16CE"/>
    <w:rsid w:val="00B010D0"/>
    <w:rsid w:val="00B01C89"/>
    <w:rsid w:val="00B06AA5"/>
    <w:rsid w:val="00B06E74"/>
    <w:rsid w:val="00B259E4"/>
    <w:rsid w:val="00B26E9C"/>
    <w:rsid w:val="00B43CD6"/>
    <w:rsid w:val="00B45F7D"/>
    <w:rsid w:val="00B46583"/>
    <w:rsid w:val="00B841EE"/>
    <w:rsid w:val="00B930C8"/>
    <w:rsid w:val="00BC035A"/>
    <w:rsid w:val="00BC21BA"/>
    <w:rsid w:val="00BC784E"/>
    <w:rsid w:val="00BD5C48"/>
    <w:rsid w:val="00BD746C"/>
    <w:rsid w:val="00BF483D"/>
    <w:rsid w:val="00C11704"/>
    <w:rsid w:val="00C17226"/>
    <w:rsid w:val="00C45235"/>
    <w:rsid w:val="00C60A02"/>
    <w:rsid w:val="00C60FB8"/>
    <w:rsid w:val="00C626CC"/>
    <w:rsid w:val="00C636A0"/>
    <w:rsid w:val="00C76A1F"/>
    <w:rsid w:val="00C802BC"/>
    <w:rsid w:val="00CA2C2C"/>
    <w:rsid w:val="00CA66D4"/>
    <w:rsid w:val="00CB3A60"/>
    <w:rsid w:val="00CF765E"/>
    <w:rsid w:val="00D04E15"/>
    <w:rsid w:val="00D1341B"/>
    <w:rsid w:val="00D42E23"/>
    <w:rsid w:val="00D455FA"/>
    <w:rsid w:val="00D53169"/>
    <w:rsid w:val="00D54254"/>
    <w:rsid w:val="00D54E67"/>
    <w:rsid w:val="00D84359"/>
    <w:rsid w:val="00D9413F"/>
    <w:rsid w:val="00DB2F52"/>
    <w:rsid w:val="00DC2A88"/>
    <w:rsid w:val="00DC7E33"/>
    <w:rsid w:val="00DD17B7"/>
    <w:rsid w:val="00DE549E"/>
    <w:rsid w:val="00E10E65"/>
    <w:rsid w:val="00E11A04"/>
    <w:rsid w:val="00E146AE"/>
    <w:rsid w:val="00E45EF3"/>
    <w:rsid w:val="00E50279"/>
    <w:rsid w:val="00E80D9A"/>
    <w:rsid w:val="00E835CA"/>
    <w:rsid w:val="00E84C42"/>
    <w:rsid w:val="00E9792E"/>
    <w:rsid w:val="00EB1EFE"/>
    <w:rsid w:val="00ED0388"/>
    <w:rsid w:val="00ED6D82"/>
    <w:rsid w:val="00EE0DE9"/>
    <w:rsid w:val="00EE31E6"/>
    <w:rsid w:val="00F1202F"/>
    <w:rsid w:val="00F12298"/>
    <w:rsid w:val="00F15D64"/>
    <w:rsid w:val="00F20406"/>
    <w:rsid w:val="00F2161A"/>
    <w:rsid w:val="00F26A16"/>
    <w:rsid w:val="00F55BB8"/>
    <w:rsid w:val="00F62258"/>
    <w:rsid w:val="00F65CB9"/>
    <w:rsid w:val="00F65EC3"/>
    <w:rsid w:val="00F76DF2"/>
    <w:rsid w:val="00F82355"/>
    <w:rsid w:val="00F9742A"/>
    <w:rsid w:val="00FB63F1"/>
    <w:rsid w:val="00FC4817"/>
    <w:rsid w:val="00FC4B8E"/>
    <w:rsid w:val="00FE5824"/>
    <w:rsid w:val="00FF4347"/>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A9A3"/>
  <w15:chartTrackingRefBased/>
  <w15:docId w15:val="{99F52932-FAA9-404D-8D67-2BFB67EC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339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39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39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391E"/>
    <w:pPr>
      <w:ind w:left="720"/>
      <w:contextualSpacing/>
    </w:pPr>
  </w:style>
  <w:style w:type="paragraph" w:styleId="Header">
    <w:name w:val="header"/>
    <w:basedOn w:val="Normal"/>
    <w:link w:val="HeaderChar"/>
    <w:uiPriority w:val="99"/>
    <w:unhideWhenUsed/>
    <w:rsid w:val="0083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1E"/>
  </w:style>
  <w:style w:type="paragraph" w:styleId="Footer">
    <w:name w:val="footer"/>
    <w:basedOn w:val="Normal"/>
    <w:link w:val="FooterChar"/>
    <w:uiPriority w:val="99"/>
    <w:unhideWhenUsed/>
    <w:rsid w:val="0083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1E"/>
  </w:style>
  <w:style w:type="character" w:styleId="Hyperlink">
    <w:name w:val="Hyperlink"/>
    <w:aliases w:val="Document Type"/>
    <w:basedOn w:val="DefaultParagraphFont"/>
    <w:uiPriority w:val="99"/>
    <w:unhideWhenUsed/>
    <w:qFormat/>
    <w:rsid w:val="002F054C"/>
    <w:rPr>
      <w:rFonts w:ascii="Arial" w:hAnsi="Arial" w:cs="Arial" w:hint="default"/>
      <w:color w:val="00A3DB"/>
      <w:sz w:val="40"/>
      <w:u w:val="single"/>
    </w:rPr>
  </w:style>
  <w:style w:type="character" w:styleId="UnresolvedMention">
    <w:name w:val="Unresolved Mention"/>
    <w:basedOn w:val="DefaultParagraphFont"/>
    <w:uiPriority w:val="99"/>
    <w:semiHidden/>
    <w:unhideWhenUsed/>
    <w:rsid w:val="002F443E"/>
    <w:rPr>
      <w:color w:val="605E5C"/>
      <w:shd w:val="clear" w:color="auto" w:fill="E1DFDD"/>
    </w:rPr>
  </w:style>
  <w:style w:type="paragraph" w:styleId="Revision">
    <w:name w:val="Revision"/>
    <w:hidden/>
    <w:uiPriority w:val="99"/>
    <w:semiHidden/>
    <w:rsid w:val="00BC21BA"/>
    <w:pPr>
      <w:spacing w:after="0" w:line="240" w:lineRule="auto"/>
    </w:pPr>
  </w:style>
  <w:style w:type="character" w:styleId="CommentReference">
    <w:name w:val="annotation reference"/>
    <w:basedOn w:val="DefaultParagraphFont"/>
    <w:uiPriority w:val="99"/>
    <w:semiHidden/>
    <w:unhideWhenUsed/>
    <w:rsid w:val="00B841EE"/>
    <w:rPr>
      <w:sz w:val="16"/>
      <w:szCs w:val="16"/>
    </w:rPr>
  </w:style>
  <w:style w:type="paragraph" w:styleId="CommentText">
    <w:name w:val="annotation text"/>
    <w:basedOn w:val="Normal"/>
    <w:link w:val="CommentTextChar"/>
    <w:uiPriority w:val="99"/>
    <w:unhideWhenUsed/>
    <w:rsid w:val="00B841EE"/>
    <w:pPr>
      <w:spacing w:line="240" w:lineRule="auto"/>
    </w:pPr>
    <w:rPr>
      <w:sz w:val="20"/>
      <w:szCs w:val="20"/>
    </w:rPr>
  </w:style>
  <w:style w:type="character" w:customStyle="1" w:styleId="CommentTextChar">
    <w:name w:val="Comment Text Char"/>
    <w:basedOn w:val="DefaultParagraphFont"/>
    <w:link w:val="CommentText"/>
    <w:uiPriority w:val="99"/>
    <w:rsid w:val="00B841EE"/>
    <w:rPr>
      <w:sz w:val="20"/>
      <w:szCs w:val="20"/>
    </w:rPr>
  </w:style>
  <w:style w:type="paragraph" w:styleId="CommentSubject">
    <w:name w:val="annotation subject"/>
    <w:basedOn w:val="CommentText"/>
    <w:next w:val="CommentText"/>
    <w:link w:val="CommentSubjectChar"/>
    <w:uiPriority w:val="99"/>
    <w:semiHidden/>
    <w:unhideWhenUsed/>
    <w:rsid w:val="00B841EE"/>
    <w:rPr>
      <w:b/>
      <w:bCs/>
    </w:rPr>
  </w:style>
  <w:style w:type="character" w:customStyle="1" w:styleId="CommentSubjectChar">
    <w:name w:val="Comment Subject Char"/>
    <w:basedOn w:val="CommentTextChar"/>
    <w:link w:val="CommentSubject"/>
    <w:uiPriority w:val="99"/>
    <w:semiHidden/>
    <w:rsid w:val="00B84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3084">
      <w:bodyDiv w:val="1"/>
      <w:marLeft w:val="0"/>
      <w:marRight w:val="0"/>
      <w:marTop w:val="0"/>
      <w:marBottom w:val="0"/>
      <w:divBdr>
        <w:top w:val="none" w:sz="0" w:space="0" w:color="auto"/>
        <w:left w:val="none" w:sz="0" w:space="0" w:color="auto"/>
        <w:bottom w:val="none" w:sz="0" w:space="0" w:color="auto"/>
        <w:right w:val="none" w:sz="0" w:space="0" w:color="auto"/>
      </w:divBdr>
    </w:div>
    <w:div w:id="1949461436">
      <w:bodyDiv w:val="1"/>
      <w:marLeft w:val="0"/>
      <w:marRight w:val="0"/>
      <w:marTop w:val="0"/>
      <w:marBottom w:val="0"/>
      <w:divBdr>
        <w:top w:val="none" w:sz="0" w:space="0" w:color="auto"/>
        <w:left w:val="none" w:sz="0" w:space="0" w:color="auto"/>
        <w:bottom w:val="none" w:sz="0" w:space="0" w:color="auto"/>
        <w:right w:val="none" w:sz="0" w:space="0" w:color="auto"/>
      </w:divBdr>
      <w:divsChild>
        <w:div w:id="507718647">
          <w:marLeft w:val="0"/>
          <w:marRight w:val="0"/>
          <w:marTop w:val="0"/>
          <w:marBottom w:val="0"/>
          <w:divBdr>
            <w:top w:val="none" w:sz="0" w:space="0" w:color="auto"/>
            <w:left w:val="none" w:sz="0" w:space="0" w:color="auto"/>
            <w:bottom w:val="none" w:sz="0" w:space="0" w:color="auto"/>
            <w:right w:val="none" w:sz="0" w:space="0" w:color="auto"/>
          </w:divBdr>
          <w:divsChild>
            <w:div w:id="830830167">
              <w:marLeft w:val="0"/>
              <w:marRight w:val="0"/>
              <w:marTop w:val="0"/>
              <w:marBottom w:val="0"/>
              <w:divBdr>
                <w:top w:val="none" w:sz="0" w:space="0" w:color="auto"/>
                <w:left w:val="none" w:sz="0" w:space="0" w:color="auto"/>
                <w:bottom w:val="none" w:sz="0" w:space="0" w:color="auto"/>
                <w:right w:val="none" w:sz="0" w:space="0" w:color="auto"/>
              </w:divBdr>
              <w:divsChild>
                <w:div w:id="546376242">
                  <w:marLeft w:val="0"/>
                  <w:marRight w:val="0"/>
                  <w:marTop w:val="0"/>
                  <w:marBottom w:val="0"/>
                  <w:divBdr>
                    <w:top w:val="none" w:sz="0" w:space="0" w:color="auto"/>
                    <w:left w:val="none" w:sz="0" w:space="0" w:color="auto"/>
                    <w:bottom w:val="none" w:sz="0" w:space="0" w:color="auto"/>
                    <w:right w:val="none" w:sz="0" w:space="0" w:color="auto"/>
                  </w:divBdr>
                  <w:divsChild>
                    <w:div w:id="699354398">
                      <w:marLeft w:val="0"/>
                      <w:marRight w:val="0"/>
                      <w:marTop w:val="0"/>
                      <w:marBottom w:val="300"/>
                      <w:divBdr>
                        <w:top w:val="single" w:sz="6" w:space="11" w:color="DDDDDD"/>
                        <w:left w:val="single" w:sz="6" w:space="11" w:color="DDDDDD"/>
                        <w:bottom w:val="single" w:sz="6" w:space="11" w:color="DDDDDD"/>
                        <w:right w:val="single" w:sz="6" w:space="11" w:color="DDDDDD"/>
                      </w:divBdr>
                      <w:divsChild>
                        <w:div w:id="1672172497">
                          <w:marLeft w:val="-225"/>
                          <w:marRight w:val="-225"/>
                          <w:marTop w:val="0"/>
                          <w:marBottom w:val="225"/>
                          <w:divBdr>
                            <w:top w:val="none" w:sz="0" w:space="0" w:color="auto"/>
                            <w:left w:val="none" w:sz="0" w:space="0" w:color="auto"/>
                            <w:bottom w:val="single" w:sz="6" w:space="8" w:color="DDDDDD"/>
                            <w:right w:val="none" w:sz="0" w:space="0" w:color="auto"/>
                          </w:divBdr>
                        </w:div>
                        <w:div w:id="10779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22098">
          <w:marLeft w:val="0"/>
          <w:marRight w:val="0"/>
          <w:marTop w:val="0"/>
          <w:marBottom w:val="0"/>
          <w:divBdr>
            <w:top w:val="none" w:sz="0" w:space="0" w:color="auto"/>
            <w:left w:val="none" w:sz="0" w:space="0" w:color="auto"/>
            <w:bottom w:val="none" w:sz="0" w:space="0" w:color="auto"/>
            <w:right w:val="none" w:sz="0" w:space="0" w:color="auto"/>
          </w:divBdr>
          <w:divsChild>
            <w:div w:id="2117094831">
              <w:marLeft w:val="0"/>
              <w:marRight w:val="0"/>
              <w:marTop w:val="0"/>
              <w:marBottom w:val="0"/>
              <w:divBdr>
                <w:top w:val="none" w:sz="0" w:space="0" w:color="auto"/>
                <w:left w:val="none" w:sz="0" w:space="0" w:color="auto"/>
                <w:bottom w:val="none" w:sz="0" w:space="0" w:color="auto"/>
                <w:right w:val="none" w:sz="0" w:space="0" w:color="auto"/>
              </w:divBdr>
              <w:divsChild>
                <w:div w:id="513690045">
                  <w:marLeft w:val="0"/>
                  <w:marRight w:val="0"/>
                  <w:marTop w:val="0"/>
                  <w:marBottom w:val="0"/>
                  <w:divBdr>
                    <w:top w:val="none" w:sz="0" w:space="0" w:color="auto"/>
                    <w:left w:val="none" w:sz="0" w:space="0" w:color="auto"/>
                    <w:bottom w:val="none" w:sz="0" w:space="0" w:color="auto"/>
                    <w:right w:val="none" w:sz="0" w:space="0" w:color="auto"/>
                  </w:divBdr>
                  <w:divsChild>
                    <w:div w:id="1637301233">
                      <w:marLeft w:val="0"/>
                      <w:marRight w:val="0"/>
                      <w:marTop w:val="0"/>
                      <w:marBottom w:val="300"/>
                      <w:divBdr>
                        <w:top w:val="single" w:sz="6" w:space="11" w:color="DDDDDD"/>
                        <w:left w:val="single" w:sz="6" w:space="11" w:color="DDDDDD"/>
                        <w:bottom w:val="single" w:sz="6" w:space="11" w:color="DDDDDD"/>
                        <w:right w:val="single" w:sz="6" w:space="11" w:color="DDDDDD"/>
                      </w:divBdr>
                      <w:divsChild>
                        <w:div w:id="980771610">
                          <w:marLeft w:val="-225"/>
                          <w:marRight w:val="-225"/>
                          <w:marTop w:val="0"/>
                          <w:marBottom w:val="225"/>
                          <w:divBdr>
                            <w:top w:val="none" w:sz="0" w:space="0" w:color="auto"/>
                            <w:left w:val="none" w:sz="0" w:space="0" w:color="auto"/>
                            <w:bottom w:val="single" w:sz="6" w:space="8" w:color="DDDDDD"/>
                            <w:right w:val="none" w:sz="0" w:space="0" w:color="auto"/>
                          </w:divBdr>
                        </w:div>
                        <w:div w:id="2511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D208-468C-4078-8712-21026266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 Ergasheva</dc:creator>
  <cp:keywords/>
  <dc:description/>
  <cp:lastModifiedBy>Liya Ergasheva</cp:lastModifiedBy>
  <cp:revision>2</cp:revision>
  <dcterms:created xsi:type="dcterms:W3CDTF">2022-09-08T06:26:00Z</dcterms:created>
  <dcterms:modified xsi:type="dcterms:W3CDTF">2022-09-08T06:26:00Z</dcterms:modified>
</cp:coreProperties>
</file>