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DDB4" w14:textId="77777777" w:rsidR="007E284D" w:rsidRPr="007E284D" w:rsidRDefault="007E284D" w:rsidP="007E28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E284D">
        <w:rPr>
          <w:rFonts w:ascii="Times New Roman" w:hAnsi="Times New Roman" w:cs="Times New Roman"/>
          <w:b/>
          <w:bCs/>
          <w:sz w:val="40"/>
          <w:szCs w:val="40"/>
        </w:rPr>
        <w:t>UNDP/GEF Terminal Evaluation</w:t>
      </w:r>
    </w:p>
    <w:p w14:paraId="51E072F1" w14:textId="2C037356" w:rsidR="009859E5" w:rsidRDefault="007E284D" w:rsidP="007E28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E284D">
        <w:rPr>
          <w:rFonts w:ascii="Times New Roman" w:hAnsi="Times New Roman" w:cs="Times New Roman"/>
          <w:b/>
          <w:bCs/>
          <w:sz w:val="40"/>
          <w:szCs w:val="40"/>
        </w:rPr>
        <w:t>Management Response and Tracking Template</w:t>
      </w:r>
    </w:p>
    <w:p w14:paraId="1B6C7D31" w14:textId="2C0B7733" w:rsidR="007E284D" w:rsidRDefault="007E284D" w:rsidP="007E28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EE8B46C" w14:textId="77777777" w:rsidR="007E284D" w:rsidRDefault="007E284D" w:rsidP="007E28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476A2B4" w14:textId="464C9195" w:rsidR="007E284D" w:rsidRPr="007E284D" w:rsidRDefault="007E284D" w:rsidP="007E28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B5B073" w14:textId="6A8C2379" w:rsidR="007E284D" w:rsidRPr="00E108B2" w:rsidRDefault="007E284D" w:rsidP="007E284D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32"/>
          <w:szCs w:val="32"/>
          <w:u w:val="single"/>
        </w:rPr>
      </w:pPr>
      <w:r w:rsidRPr="007E284D">
        <w:rPr>
          <w:rFonts w:ascii="Times New Roman" w:hAnsi="Times New Roman" w:cs="Times New Roman"/>
          <w:sz w:val="32"/>
          <w:szCs w:val="32"/>
        </w:rPr>
        <w:t xml:space="preserve">Project Title: </w:t>
      </w:r>
      <w:r w:rsidR="00E108B2" w:rsidRPr="00E108B2">
        <w:rPr>
          <w:rFonts w:ascii="Times New Roman" w:hAnsi="Times New Roman" w:cs="Times New Roman"/>
          <w:iCs/>
          <w:sz w:val="32"/>
          <w:szCs w:val="32"/>
          <w:u w:val="single"/>
        </w:rPr>
        <w:t xml:space="preserve">Strengthening Capacities to Measure, Report and Verify Indicators of Global Environment Benefits </w:t>
      </w:r>
    </w:p>
    <w:p w14:paraId="2F3EE673" w14:textId="4B6727C5" w:rsidR="007E284D" w:rsidRPr="007E284D" w:rsidRDefault="007E284D" w:rsidP="007E284D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E284D">
        <w:rPr>
          <w:rFonts w:ascii="Times New Roman" w:hAnsi="Times New Roman" w:cs="Times New Roman"/>
          <w:sz w:val="32"/>
          <w:szCs w:val="32"/>
        </w:rPr>
        <w:t xml:space="preserve">Project PIMS #: </w:t>
      </w:r>
      <w:r w:rsidR="00E108B2" w:rsidRPr="00E108B2">
        <w:rPr>
          <w:rFonts w:ascii="Times New Roman" w:hAnsi="Times New Roman" w:cs="Times New Roman"/>
          <w:sz w:val="32"/>
          <w:szCs w:val="32"/>
          <w:u w:val="single"/>
        </w:rPr>
        <w:t>4930</w:t>
      </w:r>
    </w:p>
    <w:p w14:paraId="0279D1D5" w14:textId="5EFB3DA8" w:rsidR="007E284D" w:rsidRDefault="007E284D" w:rsidP="007E284D">
      <w:pPr>
        <w:rPr>
          <w:rFonts w:ascii="Times New Roman" w:hAnsi="Times New Roman" w:cs="Times New Roman"/>
          <w:sz w:val="32"/>
          <w:szCs w:val="32"/>
        </w:rPr>
      </w:pPr>
      <w:r w:rsidRPr="007E284D">
        <w:rPr>
          <w:rFonts w:ascii="Times New Roman" w:hAnsi="Times New Roman" w:cs="Times New Roman"/>
          <w:sz w:val="32"/>
          <w:szCs w:val="32"/>
        </w:rPr>
        <w:t xml:space="preserve">Terminal Evaluation Completion Date: </w:t>
      </w:r>
      <w:r w:rsidR="000B4FFB" w:rsidRPr="000B4FFB">
        <w:rPr>
          <w:rFonts w:ascii="Times New Roman" w:hAnsi="Times New Roman" w:cs="Times New Roman"/>
          <w:sz w:val="32"/>
          <w:szCs w:val="32"/>
          <w:u w:val="single"/>
        </w:rPr>
        <w:t>May 2019</w:t>
      </w:r>
    </w:p>
    <w:p w14:paraId="506330E5" w14:textId="08579D0F" w:rsidR="007E284D" w:rsidRDefault="007E284D" w:rsidP="007E284D">
      <w:pPr>
        <w:rPr>
          <w:rFonts w:ascii="Times New Roman" w:hAnsi="Times New Roman" w:cs="Times New Roman"/>
          <w:sz w:val="32"/>
          <w:szCs w:val="32"/>
        </w:rPr>
      </w:pPr>
    </w:p>
    <w:p w14:paraId="2430F017" w14:textId="04775935" w:rsidR="007E284D" w:rsidRDefault="007E284D" w:rsidP="007E284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2948"/>
        <w:gridCol w:w="1983"/>
        <w:gridCol w:w="2140"/>
        <w:gridCol w:w="1958"/>
        <w:gridCol w:w="1976"/>
        <w:gridCol w:w="1970"/>
        <w:gridCol w:w="1973"/>
      </w:tblGrid>
      <w:tr w:rsidR="00F70470" w:rsidRPr="007E284D" w14:paraId="151E0B8D" w14:textId="77777777" w:rsidTr="009D4EE5">
        <w:trPr>
          <w:tblHeader/>
        </w:trPr>
        <w:tc>
          <w:tcPr>
            <w:tcW w:w="2948" w:type="dxa"/>
            <w:shd w:val="clear" w:color="auto" w:fill="FFE599" w:themeFill="accent4" w:themeFillTint="66"/>
          </w:tcPr>
          <w:p w14:paraId="775F1888" w14:textId="77777777" w:rsidR="007E284D" w:rsidRPr="007E284D" w:rsidRDefault="007E284D" w:rsidP="007E2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284D">
              <w:rPr>
                <w:rFonts w:ascii="Times New Roman" w:hAnsi="Times New Roman" w:cs="Times New Roman"/>
                <w:sz w:val="22"/>
                <w:szCs w:val="22"/>
              </w:rPr>
              <w:t>Key issues and</w:t>
            </w:r>
          </w:p>
          <w:p w14:paraId="054ED620" w14:textId="163D0B3A" w:rsidR="007E284D" w:rsidRPr="007E284D" w:rsidRDefault="007E284D" w:rsidP="007E284D">
            <w:pPr>
              <w:rPr>
                <w:b/>
                <w:bCs/>
                <w:sz w:val="22"/>
                <w:szCs w:val="22"/>
              </w:rPr>
            </w:pPr>
            <w:r w:rsidRPr="007E284D">
              <w:rPr>
                <w:rFonts w:ascii="Times New Roman" w:hAnsi="Times New Roman" w:cs="Times New Roman"/>
                <w:sz w:val="22"/>
                <w:szCs w:val="22"/>
              </w:rPr>
              <w:t>Recommendations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14:paraId="09AEC46B" w14:textId="77777777" w:rsidR="007E284D" w:rsidRPr="007E284D" w:rsidRDefault="007E284D" w:rsidP="007E2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284D">
              <w:rPr>
                <w:rFonts w:ascii="Times New Roman" w:hAnsi="Times New Roman" w:cs="Times New Roman"/>
                <w:sz w:val="22"/>
                <w:szCs w:val="22"/>
              </w:rPr>
              <w:t>Management</w:t>
            </w:r>
          </w:p>
          <w:p w14:paraId="3C793336" w14:textId="10145519" w:rsidR="007E284D" w:rsidRPr="007E284D" w:rsidRDefault="007E284D" w:rsidP="007E284D">
            <w:pPr>
              <w:rPr>
                <w:b/>
                <w:bCs/>
                <w:sz w:val="22"/>
                <w:szCs w:val="22"/>
              </w:rPr>
            </w:pPr>
            <w:r w:rsidRPr="007E284D">
              <w:rPr>
                <w:rFonts w:ascii="Times New Roman" w:hAnsi="Times New Roman" w:cs="Times New Roman"/>
                <w:sz w:val="22"/>
                <w:szCs w:val="22"/>
              </w:rPr>
              <w:t>Response</w:t>
            </w:r>
            <w:r w:rsidRPr="007E284D">
              <w:rPr>
                <w:rStyle w:val="IntenseReference"/>
              </w:rPr>
              <w:t xml:space="preserve"> (1)</w:t>
            </w:r>
          </w:p>
        </w:tc>
        <w:tc>
          <w:tcPr>
            <w:tcW w:w="2140" w:type="dxa"/>
            <w:shd w:val="clear" w:color="auto" w:fill="FFE599" w:themeFill="accent4" w:themeFillTint="66"/>
          </w:tcPr>
          <w:p w14:paraId="10AE7131" w14:textId="3A5C9BC6" w:rsidR="007E284D" w:rsidRPr="007E284D" w:rsidRDefault="007E284D" w:rsidP="007E28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284D">
              <w:rPr>
                <w:rFonts w:ascii="Times New Roman" w:hAnsi="Times New Roman" w:cs="Times New Roman"/>
                <w:sz w:val="22"/>
                <w:szCs w:val="22"/>
              </w:rPr>
              <w:t>Tracking</w:t>
            </w:r>
            <w:r w:rsidRPr="007E2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E284D">
              <w:rPr>
                <w:rStyle w:val="IntenseReference"/>
              </w:rPr>
              <w:t>(2)</w:t>
            </w:r>
          </w:p>
        </w:tc>
        <w:tc>
          <w:tcPr>
            <w:tcW w:w="1958" w:type="dxa"/>
            <w:shd w:val="clear" w:color="auto" w:fill="FFE599" w:themeFill="accent4" w:themeFillTint="66"/>
          </w:tcPr>
          <w:p w14:paraId="0F391EB9" w14:textId="77777777" w:rsidR="007E284D" w:rsidRPr="007E284D" w:rsidRDefault="007E284D" w:rsidP="007E28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FFE599" w:themeFill="accent4" w:themeFillTint="66"/>
          </w:tcPr>
          <w:p w14:paraId="1D5C6258" w14:textId="77777777" w:rsidR="007E284D" w:rsidRPr="007E284D" w:rsidRDefault="007E284D" w:rsidP="007E28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FFE599" w:themeFill="accent4" w:themeFillTint="66"/>
          </w:tcPr>
          <w:p w14:paraId="7C359A37" w14:textId="77777777" w:rsidR="007E284D" w:rsidRPr="007E284D" w:rsidRDefault="007E284D" w:rsidP="007E28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FE599" w:themeFill="accent4" w:themeFillTint="66"/>
          </w:tcPr>
          <w:p w14:paraId="2F6A1E6D" w14:textId="77777777" w:rsidR="007E284D" w:rsidRPr="007E284D" w:rsidRDefault="007E284D" w:rsidP="007E284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0470" w:rsidRPr="007E284D" w14:paraId="7DA8FCA3" w14:textId="77777777" w:rsidTr="009D4EE5">
        <w:trPr>
          <w:tblHeader/>
        </w:trPr>
        <w:tc>
          <w:tcPr>
            <w:tcW w:w="2948" w:type="dxa"/>
            <w:shd w:val="clear" w:color="auto" w:fill="FFE599" w:themeFill="accent4" w:themeFillTint="66"/>
          </w:tcPr>
          <w:p w14:paraId="3CADCC6E" w14:textId="77777777" w:rsidR="007E284D" w:rsidRPr="007E284D" w:rsidRDefault="007E284D" w:rsidP="007E28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FFE599" w:themeFill="accent4" w:themeFillTint="66"/>
          </w:tcPr>
          <w:p w14:paraId="7288783E" w14:textId="0441EC05" w:rsidR="007E284D" w:rsidRPr="007E284D" w:rsidRDefault="007E284D" w:rsidP="007E284D">
            <w:pPr>
              <w:rPr>
                <w:b/>
                <w:bCs/>
                <w:sz w:val="22"/>
                <w:szCs w:val="22"/>
              </w:rPr>
            </w:pPr>
            <w:r w:rsidRPr="007E284D">
              <w:rPr>
                <w:rFonts w:ascii="Times New Roman" w:hAnsi="Times New Roman" w:cs="Times New Roman"/>
                <w:sz w:val="22"/>
                <w:szCs w:val="22"/>
              </w:rPr>
              <w:t>Response</w:t>
            </w:r>
          </w:p>
        </w:tc>
        <w:tc>
          <w:tcPr>
            <w:tcW w:w="2140" w:type="dxa"/>
            <w:shd w:val="clear" w:color="auto" w:fill="FFE599" w:themeFill="accent4" w:themeFillTint="66"/>
          </w:tcPr>
          <w:p w14:paraId="7879CC05" w14:textId="05485A8C" w:rsidR="007E284D" w:rsidRPr="007E284D" w:rsidRDefault="007E284D" w:rsidP="007E284D">
            <w:pPr>
              <w:jc w:val="center"/>
              <w:rPr>
                <w:b/>
                <w:bCs/>
                <w:sz w:val="22"/>
                <w:szCs w:val="22"/>
              </w:rPr>
            </w:pPr>
            <w:r w:rsidRPr="007E284D">
              <w:rPr>
                <w:rFonts w:ascii="Times New Roman" w:hAnsi="Times New Roman" w:cs="Times New Roman"/>
                <w:sz w:val="22"/>
                <w:szCs w:val="22"/>
              </w:rPr>
              <w:t>Key Actions</w:t>
            </w:r>
          </w:p>
        </w:tc>
        <w:tc>
          <w:tcPr>
            <w:tcW w:w="1958" w:type="dxa"/>
            <w:shd w:val="clear" w:color="auto" w:fill="FFE599" w:themeFill="accent4" w:themeFillTint="66"/>
          </w:tcPr>
          <w:p w14:paraId="7394D26D" w14:textId="72021143" w:rsidR="007E284D" w:rsidRPr="007E284D" w:rsidRDefault="007E284D" w:rsidP="007E284D">
            <w:pPr>
              <w:rPr>
                <w:b/>
                <w:bCs/>
                <w:sz w:val="22"/>
                <w:szCs w:val="22"/>
              </w:rPr>
            </w:pPr>
            <w:r w:rsidRPr="007E284D">
              <w:rPr>
                <w:rFonts w:ascii="Times New Roman" w:hAnsi="Times New Roman" w:cs="Times New Roman"/>
                <w:sz w:val="22"/>
                <w:szCs w:val="22"/>
              </w:rPr>
              <w:t>Timeframe</w:t>
            </w:r>
          </w:p>
        </w:tc>
        <w:tc>
          <w:tcPr>
            <w:tcW w:w="1976" w:type="dxa"/>
            <w:shd w:val="clear" w:color="auto" w:fill="FFE599" w:themeFill="accent4" w:themeFillTint="66"/>
          </w:tcPr>
          <w:p w14:paraId="1E9C1591" w14:textId="77777777" w:rsidR="007E284D" w:rsidRPr="007E284D" w:rsidRDefault="007E284D" w:rsidP="007E2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284D">
              <w:rPr>
                <w:rFonts w:ascii="Times New Roman" w:hAnsi="Times New Roman" w:cs="Times New Roman"/>
                <w:sz w:val="22"/>
                <w:szCs w:val="22"/>
              </w:rPr>
              <w:t>Responsible</w:t>
            </w:r>
          </w:p>
          <w:p w14:paraId="2F598E1E" w14:textId="64F42434" w:rsidR="007E284D" w:rsidRPr="007E284D" w:rsidRDefault="007E284D" w:rsidP="007E284D">
            <w:pPr>
              <w:jc w:val="center"/>
              <w:rPr>
                <w:b/>
                <w:bCs/>
                <w:sz w:val="22"/>
                <w:szCs w:val="22"/>
              </w:rPr>
            </w:pPr>
            <w:r w:rsidRPr="007E284D">
              <w:rPr>
                <w:rFonts w:ascii="Times New Roman" w:hAnsi="Times New Roman" w:cs="Times New Roman"/>
                <w:sz w:val="22"/>
                <w:szCs w:val="22"/>
              </w:rPr>
              <w:t>unit(s)</w:t>
            </w:r>
          </w:p>
        </w:tc>
        <w:tc>
          <w:tcPr>
            <w:tcW w:w="1970" w:type="dxa"/>
            <w:shd w:val="clear" w:color="auto" w:fill="FFE599" w:themeFill="accent4" w:themeFillTint="66"/>
          </w:tcPr>
          <w:p w14:paraId="19ADEBBE" w14:textId="50A59D19" w:rsidR="007E284D" w:rsidRPr="007E284D" w:rsidRDefault="007E284D" w:rsidP="007E284D">
            <w:pPr>
              <w:ind w:firstLine="720"/>
              <w:rPr>
                <w:b/>
                <w:bCs/>
                <w:sz w:val="22"/>
                <w:szCs w:val="22"/>
              </w:rPr>
            </w:pPr>
            <w:r w:rsidRPr="007E284D">
              <w:rPr>
                <w:rFonts w:ascii="Times New Roman" w:hAnsi="Times New Roman" w:cs="Times New Roman"/>
                <w:sz w:val="22"/>
                <w:szCs w:val="22"/>
              </w:rPr>
              <w:t>Status</w:t>
            </w:r>
            <w:r w:rsidRPr="007E284D">
              <w:rPr>
                <w:rStyle w:val="IntenseReference"/>
              </w:rPr>
              <w:t xml:space="preserve"> (3)</w:t>
            </w:r>
          </w:p>
        </w:tc>
        <w:tc>
          <w:tcPr>
            <w:tcW w:w="1973" w:type="dxa"/>
            <w:shd w:val="clear" w:color="auto" w:fill="FFE599" w:themeFill="accent4" w:themeFillTint="66"/>
          </w:tcPr>
          <w:p w14:paraId="40399F81" w14:textId="61021E74" w:rsidR="007E284D" w:rsidRPr="007E284D" w:rsidRDefault="007E284D" w:rsidP="007E284D">
            <w:pPr>
              <w:rPr>
                <w:b/>
                <w:bCs/>
                <w:sz w:val="22"/>
                <w:szCs w:val="22"/>
              </w:rPr>
            </w:pPr>
            <w:r w:rsidRPr="007E284D">
              <w:rPr>
                <w:rFonts w:ascii="Times New Roman" w:hAnsi="Times New Roman" w:cs="Times New Roman"/>
                <w:sz w:val="22"/>
                <w:szCs w:val="22"/>
              </w:rPr>
              <w:t>Comments</w:t>
            </w:r>
          </w:p>
        </w:tc>
      </w:tr>
      <w:tr w:rsidR="00F70470" w:rsidRPr="007E284D" w14:paraId="470B63D9" w14:textId="77777777" w:rsidTr="009D4EE5">
        <w:tc>
          <w:tcPr>
            <w:tcW w:w="2948" w:type="dxa"/>
          </w:tcPr>
          <w:p w14:paraId="56F1052E" w14:textId="11470082" w:rsidR="007E284D" w:rsidRPr="002B3786" w:rsidRDefault="003F3EBA" w:rsidP="002B3786">
            <w:pPr>
              <w:pStyle w:val="ListParagraph"/>
              <w:numPr>
                <w:ilvl w:val="0"/>
                <w:numId w:val="4"/>
              </w:numPr>
              <w:ind w:left="460" w:hanging="283"/>
              <w:rPr>
                <w:sz w:val="22"/>
                <w:szCs w:val="22"/>
              </w:rPr>
            </w:pPr>
            <w:r w:rsidRPr="002B3786">
              <w:rPr>
                <w:sz w:val="22"/>
                <w:szCs w:val="22"/>
              </w:rPr>
              <w:t>It is recommended to develop a roadmap for the way forward after the end of the project.</w:t>
            </w:r>
          </w:p>
        </w:tc>
        <w:tc>
          <w:tcPr>
            <w:tcW w:w="1983" w:type="dxa"/>
          </w:tcPr>
          <w:p w14:paraId="77609B3C" w14:textId="7400D8E8" w:rsidR="007E284D" w:rsidRPr="00BC4B17" w:rsidRDefault="00BC4B17" w:rsidP="007E284D">
            <w:pPr>
              <w:rPr>
                <w:sz w:val="22"/>
                <w:szCs w:val="22"/>
              </w:rPr>
            </w:pPr>
            <w:r w:rsidRPr="00BC4B17">
              <w:rPr>
                <w:sz w:val="22"/>
                <w:szCs w:val="22"/>
              </w:rPr>
              <w:t>Management will work with implementing partner to develop a roadmap for the way forward after end of the project</w:t>
            </w:r>
          </w:p>
        </w:tc>
        <w:tc>
          <w:tcPr>
            <w:tcW w:w="2140" w:type="dxa"/>
          </w:tcPr>
          <w:p w14:paraId="35A61621" w14:textId="38AE27B1" w:rsidR="007E284D" w:rsidRPr="00BC4B17" w:rsidRDefault="00BC4B17" w:rsidP="00BC4B1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C4B17">
              <w:rPr>
                <w:sz w:val="22"/>
                <w:szCs w:val="22"/>
              </w:rPr>
              <w:t>Draft roadmap for way forward in collaboration with C</w:t>
            </w:r>
            <w:r w:rsidR="00D5208E">
              <w:rPr>
                <w:sz w:val="22"/>
                <w:szCs w:val="22"/>
              </w:rPr>
              <w:t xml:space="preserve">onservation and Environment </w:t>
            </w:r>
            <w:proofErr w:type="gramStart"/>
            <w:r w:rsidR="00D5208E">
              <w:rPr>
                <w:sz w:val="22"/>
                <w:szCs w:val="22"/>
              </w:rPr>
              <w:t>Protection  Authority</w:t>
            </w:r>
            <w:proofErr w:type="gramEnd"/>
            <w:r w:rsidRPr="00BC4B17">
              <w:rPr>
                <w:sz w:val="22"/>
                <w:szCs w:val="22"/>
              </w:rPr>
              <w:t>.</w:t>
            </w:r>
          </w:p>
          <w:p w14:paraId="503051B8" w14:textId="001DB190" w:rsidR="00BC4B17" w:rsidRPr="00BC4B17" w:rsidRDefault="00BC4B17" w:rsidP="00BC4B1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C4B17">
              <w:rPr>
                <w:sz w:val="22"/>
                <w:szCs w:val="22"/>
              </w:rPr>
              <w:t xml:space="preserve">Endorsement of roadmap </w:t>
            </w:r>
            <w:r w:rsidRPr="00BC4B17">
              <w:rPr>
                <w:sz w:val="22"/>
                <w:szCs w:val="22"/>
              </w:rPr>
              <w:lastRenderedPageBreak/>
              <w:t>by Project Board</w:t>
            </w:r>
          </w:p>
        </w:tc>
        <w:tc>
          <w:tcPr>
            <w:tcW w:w="1958" w:type="dxa"/>
          </w:tcPr>
          <w:p w14:paraId="33E876ED" w14:textId="01F21A3D" w:rsidR="007E284D" w:rsidRDefault="00D71366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June 2020</w:t>
            </w:r>
          </w:p>
          <w:p w14:paraId="12394EA0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38238358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571D5310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2EACCB71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0B2FDF0A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0F1DFE27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388AA21C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162EBF1B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5F09B07A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2DE1D390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68BBE2AC" w14:textId="402167EF" w:rsidR="00D119CF" w:rsidRPr="00BC4B17" w:rsidRDefault="00D71366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2020</w:t>
            </w:r>
          </w:p>
        </w:tc>
        <w:tc>
          <w:tcPr>
            <w:tcW w:w="1976" w:type="dxa"/>
          </w:tcPr>
          <w:p w14:paraId="0AF3D0BB" w14:textId="13964914" w:rsidR="007E284D" w:rsidRPr="00BC4B17" w:rsidRDefault="00BC4B17" w:rsidP="007E284D">
            <w:pPr>
              <w:rPr>
                <w:sz w:val="22"/>
                <w:szCs w:val="22"/>
              </w:rPr>
            </w:pPr>
            <w:r w:rsidRPr="00BC4B17">
              <w:rPr>
                <w:sz w:val="22"/>
                <w:szCs w:val="22"/>
              </w:rPr>
              <w:t>Environment Portfolio</w:t>
            </w:r>
          </w:p>
        </w:tc>
        <w:tc>
          <w:tcPr>
            <w:tcW w:w="1970" w:type="dxa"/>
          </w:tcPr>
          <w:p w14:paraId="469B4D28" w14:textId="410B2A9B" w:rsidR="007E284D" w:rsidRPr="00BC4B17" w:rsidRDefault="00BC4B17" w:rsidP="007E284D">
            <w:pPr>
              <w:rPr>
                <w:sz w:val="22"/>
                <w:szCs w:val="22"/>
              </w:rPr>
            </w:pPr>
            <w:r w:rsidRPr="00BC4B17">
              <w:rPr>
                <w:sz w:val="22"/>
                <w:szCs w:val="22"/>
              </w:rPr>
              <w:t>On-going</w:t>
            </w:r>
          </w:p>
        </w:tc>
        <w:tc>
          <w:tcPr>
            <w:tcW w:w="1973" w:type="dxa"/>
          </w:tcPr>
          <w:p w14:paraId="4EEBCC59" w14:textId="77777777" w:rsidR="007E284D" w:rsidRPr="007E284D" w:rsidRDefault="007E284D" w:rsidP="007E284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0470" w:rsidRPr="007E284D" w14:paraId="76C9992C" w14:textId="77777777" w:rsidTr="009D4EE5">
        <w:tc>
          <w:tcPr>
            <w:tcW w:w="2948" w:type="dxa"/>
          </w:tcPr>
          <w:p w14:paraId="4653F603" w14:textId="357E551A" w:rsidR="007E284D" w:rsidRPr="002B3786" w:rsidRDefault="00AD0D11" w:rsidP="002B3786">
            <w:pPr>
              <w:pStyle w:val="ListParagraph"/>
              <w:numPr>
                <w:ilvl w:val="0"/>
                <w:numId w:val="4"/>
              </w:numPr>
              <w:ind w:left="460" w:hanging="283"/>
              <w:rPr>
                <w:sz w:val="22"/>
                <w:szCs w:val="22"/>
              </w:rPr>
            </w:pPr>
            <w:r w:rsidRPr="002B3786">
              <w:rPr>
                <w:sz w:val="22"/>
                <w:szCs w:val="22"/>
              </w:rPr>
              <w:t>It is recommended to develop a project concept, which could become part of the GEF-7 resource mobilization in PNG.</w:t>
            </w:r>
          </w:p>
        </w:tc>
        <w:tc>
          <w:tcPr>
            <w:tcW w:w="1983" w:type="dxa"/>
          </w:tcPr>
          <w:p w14:paraId="1E11BA5E" w14:textId="7F36D3E2" w:rsidR="007E284D" w:rsidRPr="00FF7CA3" w:rsidRDefault="00D5208E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Management takes note of the recommendation to develop a project concept to mobilize resources from GEF-7 cycle to </w:t>
            </w:r>
            <w:r w:rsidRPr="00D5208E">
              <w:rPr>
                <w:sz w:val="22"/>
                <w:szCs w:val="22"/>
              </w:rPr>
              <w:t>further help C</w:t>
            </w:r>
            <w:r>
              <w:rPr>
                <w:sz w:val="22"/>
                <w:szCs w:val="22"/>
              </w:rPr>
              <w:t xml:space="preserve">onservation and </w:t>
            </w:r>
            <w:r w:rsidRPr="00D5208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nvironment </w:t>
            </w:r>
            <w:r w:rsidRPr="00D5208E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rotection </w:t>
            </w:r>
            <w:r w:rsidRPr="00D5208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uthority</w:t>
            </w:r>
            <w:r w:rsidRPr="00D5208E">
              <w:rPr>
                <w:sz w:val="22"/>
                <w:szCs w:val="22"/>
              </w:rPr>
              <w:t xml:space="preserve"> in developing its capacity to monitor the environment and store, manage and report this environmental information. </w:t>
            </w:r>
            <w:r w:rsidR="002B3786">
              <w:rPr>
                <w:sz w:val="22"/>
                <w:szCs w:val="22"/>
              </w:rPr>
              <w:t xml:space="preserve">In particular to focus </w:t>
            </w:r>
            <w:r w:rsidRPr="00D5208E">
              <w:rPr>
                <w:sz w:val="22"/>
                <w:szCs w:val="22"/>
              </w:rPr>
              <w:t xml:space="preserve">on improving the monitoring of environmental indicators that are part of international reporting </w:t>
            </w:r>
            <w:r w:rsidRPr="00D5208E">
              <w:rPr>
                <w:sz w:val="22"/>
                <w:szCs w:val="22"/>
              </w:rPr>
              <w:lastRenderedPageBreak/>
              <w:t>obligations under MEAs ratified by PNG.</w:t>
            </w:r>
          </w:p>
        </w:tc>
        <w:tc>
          <w:tcPr>
            <w:tcW w:w="2140" w:type="dxa"/>
          </w:tcPr>
          <w:p w14:paraId="60827B52" w14:textId="3C833EAB" w:rsidR="007E284D" w:rsidRDefault="002B3786" w:rsidP="002B378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Develop initial concept paper in conjunction with the road map</w:t>
            </w:r>
            <w:r w:rsidR="00363C9E">
              <w:rPr>
                <w:sz w:val="22"/>
                <w:szCs w:val="22"/>
              </w:rPr>
              <w:t xml:space="preserve"> (see Key issue#1)</w:t>
            </w:r>
            <w:r>
              <w:rPr>
                <w:sz w:val="22"/>
                <w:szCs w:val="22"/>
              </w:rPr>
              <w:t>.</w:t>
            </w:r>
          </w:p>
          <w:p w14:paraId="775D98F7" w14:textId="77777777" w:rsidR="002B3786" w:rsidRDefault="00EE2782" w:rsidP="002B378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 endorsement from Project Board the initial concept note.</w:t>
            </w:r>
          </w:p>
          <w:p w14:paraId="2927637E" w14:textId="458303CC" w:rsidR="00EE2782" w:rsidRPr="002B3786" w:rsidRDefault="00EE2782" w:rsidP="002B378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Compile a concept note to mobilize resources allocated to PNG for the GEF7 funding cycle.</w:t>
            </w:r>
          </w:p>
        </w:tc>
        <w:tc>
          <w:tcPr>
            <w:tcW w:w="1958" w:type="dxa"/>
          </w:tcPr>
          <w:p w14:paraId="37748B00" w14:textId="0E59BEE7" w:rsidR="007E284D" w:rsidRDefault="00D71366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2020</w:t>
            </w:r>
          </w:p>
          <w:p w14:paraId="1FF78FBF" w14:textId="77777777" w:rsidR="003D0F0E" w:rsidRDefault="003D0F0E" w:rsidP="007E284D">
            <w:pPr>
              <w:rPr>
                <w:sz w:val="22"/>
                <w:szCs w:val="22"/>
              </w:rPr>
            </w:pPr>
          </w:p>
          <w:p w14:paraId="2DB319E7" w14:textId="77777777" w:rsidR="003D0F0E" w:rsidRDefault="003D0F0E" w:rsidP="007E284D">
            <w:pPr>
              <w:rPr>
                <w:sz w:val="22"/>
                <w:szCs w:val="22"/>
              </w:rPr>
            </w:pPr>
          </w:p>
          <w:p w14:paraId="468ADE27" w14:textId="77777777" w:rsidR="003D0F0E" w:rsidRDefault="003D0F0E" w:rsidP="007E284D">
            <w:pPr>
              <w:rPr>
                <w:sz w:val="22"/>
                <w:szCs w:val="22"/>
              </w:rPr>
            </w:pPr>
          </w:p>
          <w:p w14:paraId="41ADDC59" w14:textId="77777777" w:rsidR="003D0F0E" w:rsidRDefault="003D0F0E" w:rsidP="007E284D">
            <w:pPr>
              <w:rPr>
                <w:sz w:val="22"/>
                <w:szCs w:val="22"/>
              </w:rPr>
            </w:pPr>
          </w:p>
          <w:p w14:paraId="673D1A4F" w14:textId="77777777" w:rsidR="003D0F0E" w:rsidRDefault="003D0F0E" w:rsidP="007E284D">
            <w:pPr>
              <w:rPr>
                <w:sz w:val="22"/>
                <w:szCs w:val="22"/>
              </w:rPr>
            </w:pPr>
          </w:p>
          <w:p w14:paraId="334FE129" w14:textId="77777777" w:rsidR="003D0F0E" w:rsidRDefault="003D0F0E" w:rsidP="007E284D">
            <w:pPr>
              <w:rPr>
                <w:sz w:val="22"/>
                <w:szCs w:val="22"/>
              </w:rPr>
            </w:pPr>
          </w:p>
          <w:p w14:paraId="643BF11B" w14:textId="77777777" w:rsidR="003D0F0E" w:rsidRDefault="003D0F0E" w:rsidP="007E284D">
            <w:pPr>
              <w:rPr>
                <w:sz w:val="22"/>
                <w:szCs w:val="22"/>
              </w:rPr>
            </w:pPr>
          </w:p>
          <w:p w14:paraId="37B6BFC9" w14:textId="77777777" w:rsidR="003D0F0E" w:rsidRDefault="003D0F0E" w:rsidP="007E284D">
            <w:pPr>
              <w:rPr>
                <w:sz w:val="22"/>
                <w:szCs w:val="22"/>
              </w:rPr>
            </w:pPr>
          </w:p>
          <w:p w14:paraId="6DE93A67" w14:textId="08035A32" w:rsidR="003D0F0E" w:rsidRDefault="00D71366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2020</w:t>
            </w:r>
          </w:p>
          <w:p w14:paraId="6E2E6A94" w14:textId="77777777" w:rsidR="003D0F0E" w:rsidRDefault="003D0F0E" w:rsidP="007E284D">
            <w:pPr>
              <w:rPr>
                <w:sz w:val="22"/>
                <w:szCs w:val="22"/>
              </w:rPr>
            </w:pPr>
          </w:p>
          <w:p w14:paraId="0AF33F16" w14:textId="77777777" w:rsidR="003D0F0E" w:rsidRDefault="003D0F0E" w:rsidP="007E284D">
            <w:pPr>
              <w:rPr>
                <w:sz w:val="22"/>
                <w:szCs w:val="22"/>
              </w:rPr>
            </w:pPr>
          </w:p>
          <w:p w14:paraId="7E0315E0" w14:textId="77777777" w:rsidR="003D0F0E" w:rsidRDefault="003D0F0E" w:rsidP="007E284D">
            <w:pPr>
              <w:rPr>
                <w:sz w:val="22"/>
                <w:szCs w:val="22"/>
              </w:rPr>
            </w:pPr>
          </w:p>
          <w:p w14:paraId="473B0108" w14:textId="77777777" w:rsidR="003D0F0E" w:rsidRDefault="003D0F0E" w:rsidP="007E284D">
            <w:pPr>
              <w:rPr>
                <w:sz w:val="22"/>
                <w:szCs w:val="22"/>
              </w:rPr>
            </w:pPr>
          </w:p>
          <w:p w14:paraId="412535AC" w14:textId="77777777" w:rsidR="003D0F0E" w:rsidRDefault="003D0F0E" w:rsidP="007E284D">
            <w:pPr>
              <w:rPr>
                <w:sz w:val="22"/>
                <w:szCs w:val="22"/>
              </w:rPr>
            </w:pPr>
          </w:p>
          <w:p w14:paraId="5B4D74F0" w14:textId="77777777" w:rsidR="003D0F0E" w:rsidRDefault="003D0F0E" w:rsidP="007E284D">
            <w:pPr>
              <w:rPr>
                <w:sz w:val="22"/>
                <w:szCs w:val="22"/>
              </w:rPr>
            </w:pPr>
          </w:p>
          <w:p w14:paraId="17FF8F51" w14:textId="77777777" w:rsidR="00D71366" w:rsidRDefault="00D71366" w:rsidP="00D71366">
            <w:pPr>
              <w:rPr>
                <w:sz w:val="22"/>
                <w:szCs w:val="22"/>
              </w:rPr>
            </w:pPr>
          </w:p>
          <w:p w14:paraId="4229CC60" w14:textId="77777777" w:rsidR="00D71366" w:rsidRDefault="00D71366" w:rsidP="00D71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2020</w:t>
            </w:r>
          </w:p>
          <w:p w14:paraId="6720AD37" w14:textId="568DC65C" w:rsidR="003D0F0E" w:rsidRPr="00FF7CA3" w:rsidRDefault="003D0F0E" w:rsidP="007E284D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23516DA7" w14:textId="77777777" w:rsidR="007E284D" w:rsidRDefault="00D119CF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 Portfolio</w:t>
            </w:r>
          </w:p>
          <w:p w14:paraId="3E0C75A1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298DDA09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07635FC9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5E0311D4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5D6D5AFD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41B1DA3C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35A92583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733005D5" w14:textId="77777777" w:rsidR="00D119CF" w:rsidRDefault="00D119CF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 Portfolio</w:t>
            </w:r>
          </w:p>
          <w:p w14:paraId="40A24128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42DECC48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276E40D6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3C1073E0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7A2973B3" w14:textId="77777777" w:rsidR="00D119CF" w:rsidRDefault="00D119CF" w:rsidP="007E284D">
            <w:pPr>
              <w:rPr>
                <w:sz w:val="22"/>
                <w:szCs w:val="22"/>
              </w:rPr>
            </w:pPr>
          </w:p>
          <w:p w14:paraId="6BA20C04" w14:textId="23489C08" w:rsidR="00D119CF" w:rsidRPr="00FF7CA3" w:rsidRDefault="00D119CF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 Portfolio</w:t>
            </w:r>
          </w:p>
        </w:tc>
        <w:tc>
          <w:tcPr>
            <w:tcW w:w="1970" w:type="dxa"/>
          </w:tcPr>
          <w:p w14:paraId="42B3EB04" w14:textId="5C033137" w:rsidR="007E284D" w:rsidRPr="00FF7CA3" w:rsidRDefault="00471266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On-going</w:t>
            </w:r>
          </w:p>
        </w:tc>
        <w:tc>
          <w:tcPr>
            <w:tcW w:w="1973" w:type="dxa"/>
          </w:tcPr>
          <w:p w14:paraId="0B4BD225" w14:textId="77777777" w:rsidR="007E284D" w:rsidRPr="007E284D" w:rsidRDefault="007E284D" w:rsidP="007E284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0470" w:rsidRPr="007E284D" w14:paraId="37821C78" w14:textId="77777777" w:rsidTr="009D4EE5">
        <w:tc>
          <w:tcPr>
            <w:tcW w:w="2948" w:type="dxa"/>
          </w:tcPr>
          <w:p w14:paraId="5ED9925F" w14:textId="798F3A3D" w:rsidR="007E284D" w:rsidRPr="002B3786" w:rsidRDefault="00656B8A" w:rsidP="002B3786">
            <w:pPr>
              <w:pStyle w:val="ListParagraph"/>
              <w:numPr>
                <w:ilvl w:val="0"/>
                <w:numId w:val="4"/>
              </w:numPr>
              <w:ind w:left="460" w:hanging="283"/>
              <w:rPr>
                <w:sz w:val="22"/>
                <w:szCs w:val="22"/>
              </w:rPr>
            </w:pPr>
            <w:r w:rsidRPr="002B3786">
              <w:rPr>
                <w:sz w:val="22"/>
                <w:szCs w:val="22"/>
              </w:rPr>
              <w:t>It is recommended to include gender mainstreaming into all development projects in PNG implemented by UNDP.</w:t>
            </w:r>
          </w:p>
        </w:tc>
        <w:tc>
          <w:tcPr>
            <w:tcW w:w="1983" w:type="dxa"/>
          </w:tcPr>
          <w:p w14:paraId="5BD12166" w14:textId="348FE48F" w:rsidR="007E284D" w:rsidRPr="00FF7CA3" w:rsidRDefault="0016223C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 mainstreaming is a consideration for all development projects in PNG implemented by UNDP.  The CCCD Project had considered</w:t>
            </w:r>
            <w:r w:rsidR="00471266">
              <w:rPr>
                <w:sz w:val="22"/>
                <w:szCs w:val="22"/>
              </w:rPr>
              <w:t xml:space="preserve"> this when conducting an environmental and social review.</w:t>
            </w:r>
          </w:p>
        </w:tc>
        <w:tc>
          <w:tcPr>
            <w:tcW w:w="2140" w:type="dxa"/>
          </w:tcPr>
          <w:p w14:paraId="00FB2C90" w14:textId="520CEB05" w:rsidR="007E284D" w:rsidRPr="00FF7CA3" w:rsidRDefault="00471266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environmental and social reviews include gender and that it is mainstreamed in future projects.</w:t>
            </w:r>
          </w:p>
        </w:tc>
        <w:tc>
          <w:tcPr>
            <w:tcW w:w="1958" w:type="dxa"/>
          </w:tcPr>
          <w:p w14:paraId="3EE93002" w14:textId="15E3EC1C" w:rsidR="007E284D" w:rsidRPr="00FF7CA3" w:rsidRDefault="00D71366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2020</w:t>
            </w:r>
          </w:p>
        </w:tc>
        <w:tc>
          <w:tcPr>
            <w:tcW w:w="1976" w:type="dxa"/>
          </w:tcPr>
          <w:p w14:paraId="12E39033" w14:textId="0B447F67" w:rsidR="007E284D" w:rsidRPr="00FF7CA3" w:rsidRDefault="00471266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 Portfolio/UNDP Programme</w:t>
            </w:r>
          </w:p>
        </w:tc>
        <w:tc>
          <w:tcPr>
            <w:tcW w:w="1970" w:type="dxa"/>
          </w:tcPr>
          <w:p w14:paraId="3F1FC0CE" w14:textId="59E3028D" w:rsidR="007E284D" w:rsidRPr="00FF7CA3" w:rsidRDefault="00471266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On-going</w:t>
            </w:r>
          </w:p>
        </w:tc>
        <w:tc>
          <w:tcPr>
            <w:tcW w:w="1973" w:type="dxa"/>
          </w:tcPr>
          <w:p w14:paraId="4034753B" w14:textId="55678E64" w:rsidR="007E284D" w:rsidRPr="007E284D" w:rsidRDefault="00465724" w:rsidP="007E284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Ensure environmental and social reviews include gender and that it is mainstreamed in future projects.</w:t>
            </w:r>
          </w:p>
        </w:tc>
      </w:tr>
      <w:tr w:rsidR="00F70470" w:rsidRPr="007E284D" w14:paraId="007DD661" w14:textId="77777777" w:rsidTr="009D4EE5">
        <w:tc>
          <w:tcPr>
            <w:tcW w:w="2948" w:type="dxa"/>
          </w:tcPr>
          <w:p w14:paraId="74145248" w14:textId="25B53FC2" w:rsidR="007E284D" w:rsidRPr="002B3786" w:rsidRDefault="008F4134" w:rsidP="002B3786">
            <w:pPr>
              <w:pStyle w:val="ListParagraph"/>
              <w:numPr>
                <w:ilvl w:val="0"/>
                <w:numId w:val="4"/>
              </w:numPr>
              <w:ind w:left="460" w:hanging="283"/>
              <w:rPr>
                <w:sz w:val="22"/>
                <w:szCs w:val="22"/>
              </w:rPr>
            </w:pPr>
            <w:r w:rsidRPr="002B3786">
              <w:rPr>
                <w:sz w:val="22"/>
                <w:szCs w:val="22"/>
              </w:rPr>
              <w:t>It is recommended that all funded activities to prepare multilateral convention reports use the open environmental data portal.</w:t>
            </w:r>
          </w:p>
        </w:tc>
        <w:tc>
          <w:tcPr>
            <w:tcW w:w="1983" w:type="dxa"/>
          </w:tcPr>
          <w:p w14:paraId="4AA57ACF" w14:textId="379AF31A" w:rsidR="007E284D" w:rsidRPr="00FF7CA3" w:rsidRDefault="00F70470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projects such as those reporting to CBD and other multilateral environmental agreements will be encouraged to use the open environmental data portal</w:t>
            </w:r>
            <w:r w:rsidR="00465724">
              <w:rPr>
                <w:sz w:val="22"/>
                <w:szCs w:val="22"/>
              </w:rPr>
              <w:t>.</w:t>
            </w:r>
          </w:p>
        </w:tc>
        <w:tc>
          <w:tcPr>
            <w:tcW w:w="2140" w:type="dxa"/>
          </w:tcPr>
          <w:p w14:paraId="49652B58" w14:textId="6EF59139" w:rsidR="007E284D" w:rsidRPr="00FF7CA3" w:rsidRDefault="00F70470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the roadmap incorporating a plan identifying multilateral environmental reporting due in the future that should be using the open data environmental portal.</w:t>
            </w:r>
          </w:p>
        </w:tc>
        <w:tc>
          <w:tcPr>
            <w:tcW w:w="1958" w:type="dxa"/>
          </w:tcPr>
          <w:p w14:paraId="493CA822" w14:textId="7AC0F40B" w:rsidR="007E284D" w:rsidRPr="00FF7CA3" w:rsidRDefault="00D71366" w:rsidP="007E28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Aug </w:t>
            </w:r>
            <w:r>
              <w:rPr>
                <w:sz w:val="22"/>
                <w:szCs w:val="22"/>
              </w:rPr>
              <w:t xml:space="preserve"> 2020</w:t>
            </w:r>
            <w:proofErr w:type="gramEnd"/>
          </w:p>
        </w:tc>
        <w:tc>
          <w:tcPr>
            <w:tcW w:w="1976" w:type="dxa"/>
          </w:tcPr>
          <w:p w14:paraId="370B0009" w14:textId="2DDF479C" w:rsidR="007E284D" w:rsidRPr="00FF7CA3" w:rsidRDefault="00F70470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 Por</w:t>
            </w:r>
            <w:bookmarkStart w:id="0" w:name="_GoBack"/>
            <w:bookmarkEnd w:id="0"/>
            <w:r>
              <w:rPr>
                <w:sz w:val="22"/>
                <w:szCs w:val="22"/>
              </w:rPr>
              <w:t>tfolio</w:t>
            </w:r>
          </w:p>
        </w:tc>
        <w:tc>
          <w:tcPr>
            <w:tcW w:w="1970" w:type="dxa"/>
          </w:tcPr>
          <w:p w14:paraId="3C0D3163" w14:textId="183B3EB1" w:rsidR="007E284D" w:rsidRPr="00FF7CA3" w:rsidRDefault="00F70470" w:rsidP="007E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On-going</w:t>
            </w:r>
          </w:p>
        </w:tc>
        <w:tc>
          <w:tcPr>
            <w:tcW w:w="1973" w:type="dxa"/>
          </w:tcPr>
          <w:p w14:paraId="612C6DD1" w14:textId="77777777" w:rsidR="007E284D" w:rsidRPr="007E284D" w:rsidRDefault="007E284D" w:rsidP="007E284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1B83D84" w14:textId="74257C09" w:rsidR="007E284D" w:rsidRPr="007C479F" w:rsidRDefault="007E284D" w:rsidP="007C479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851" w:firstLine="1211"/>
        <w:rPr>
          <w:rFonts w:ascii="Times New Roman" w:hAnsi="Times New Roman" w:cs="Times New Roman"/>
          <w:sz w:val="18"/>
          <w:szCs w:val="18"/>
        </w:rPr>
      </w:pPr>
      <w:r w:rsidRPr="007E284D">
        <w:rPr>
          <w:rFonts w:ascii="Times New Roman" w:hAnsi="Times New Roman" w:cs="Times New Roman"/>
          <w:sz w:val="14"/>
          <w:szCs w:val="14"/>
        </w:rPr>
        <w:t xml:space="preserve"> </w:t>
      </w:r>
      <w:r w:rsidRPr="007E284D">
        <w:rPr>
          <w:rFonts w:ascii="Times New Roman" w:hAnsi="Times New Roman" w:cs="Times New Roman"/>
          <w:sz w:val="18"/>
          <w:szCs w:val="18"/>
        </w:rPr>
        <w:t>Unit(s) assigned to be responsible for the preparation of a management response will fill the columns under the management</w:t>
      </w:r>
      <w:r w:rsidR="007C479F">
        <w:rPr>
          <w:rFonts w:ascii="Times New Roman" w:hAnsi="Times New Roman" w:cs="Times New Roman"/>
          <w:sz w:val="18"/>
          <w:szCs w:val="18"/>
        </w:rPr>
        <w:t xml:space="preserve"> </w:t>
      </w:r>
      <w:r w:rsidRPr="007C479F">
        <w:rPr>
          <w:rFonts w:ascii="Times New Roman" w:hAnsi="Times New Roman" w:cs="Times New Roman"/>
          <w:sz w:val="18"/>
          <w:szCs w:val="18"/>
        </w:rPr>
        <w:t>response section.</w:t>
      </w:r>
    </w:p>
    <w:p w14:paraId="2A5E3BD1" w14:textId="6D51BFB6" w:rsidR="007E284D" w:rsidRPr="007C479F" w:rsidRDefault="007E284D" w:rsidP="007C479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sz w:val="18"/>
          <w:szCs w:val="18"/>
        </w:rPr>
      </w:pPr>
      <w:r w:rsidRPr="007C479F">
        <w:rPr>
          <w:rFonts w:ascii="Times New Roman" w:hAnsi="Times New Roman" w:cs="Times New Roman"/>
          <w:sz w:val="18"/>
          <w:szCs w:val="18"/>
        </w:rPr>
        <w:t>Unit(s) assigned to be responsible for the preparation of a management response will be updating the implementation</w:t>
      </w:r>
      <w:r w:rsidR="007C479F">
        <w:rPr>
          <w:rFonts w:ascii="Times New Roman" w:hAnsi="Times New Roman" w:cs="Times New Roman"/>
          <w:sz w:val="18"/>
          <w:szCs w:val="18"/>
        </w:rPr>
        <w:t xml:space="preserve"> </w:t>
      </w:r>
      <w:r w:rsidRPr="007C479F">
        <w:rPr>
          <w:rFonts w:ascii="Times New Roman" w:hAnsi="Times New Roman" w:cs="Times New Roman"/>
          <w:sz w:val="18"/>
          <w:szCs w:val="18"/>
        </w:rPr>
        <w:t>status. Assigned with an oversight function monitors and verifies the implementation status.</w:t>
      </w:r>
    </w:p>
    <w:p w14:paraId="637CCE4E" w14:textId="49407593" w:rsidR="007E284D" w:rsidRPr="007C479F" w:rsidRDefault="007E284D" w:rsidP="007C479F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7C479F">
        <w:rPr>
          <w:rFonts w:ascii="Times New Roman" w:hAnsi="Times New Roman" w:cs="Times New Roman"/>
          <w:sz w:val="18"/>
          <w:szCs w:val="18"/>
        </w:rPr>
        <w:t>Status of Implementation: Completed, Partially Completed, Pending</w:t>
      </w:r>
    </w:p>
    <w:sectPr w:rsidR="007E284D" w:rsidRPr="007C479F" w:rsidSect="007E284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2E8C"/>
    <w:multiLevelType w:val="hybridMultilevel"/>
    <w:tmpl w:val="6674F8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D2AF9"/>
    <w:multiLevelType w:val="hybridMultilevel"/>
    <w:tmpl w:val="1F66FC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345AE"/>
    <w:multiLevelType w:val="hybridMultilevel"/>
    <w:tmpl w:val="5C6CFE72"/>
    <w:lvl w:ilvl="0" w:tplc="AEA451AA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A36C1"/>
    <w:multiLevelType w:val="hybridMultilevel"/>
    <w:tmpl w:val="E65E34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4D"/>
    <w:rsid w:val="00037BCF"/>
    <w:rsid w:val="000B4FFB"/>
    <w:rsid w:val="000C54E0"/>
    <w:rsid w:val="00132E70"/>
    <w:rsid w:val="0016223C"/>
    <w:rsid w:val="001F1A85"/>
    <w:rsid w:val="00255F06"/>
    <w:rsid w:val="00257FA6"/>
    <w:rsid w:val="002671C7"/>
    <w:rsid w:val="002B3786"/>
    <w:rsid w:val="00330184"/>
    <w:rsid w:val="003315F1"/>
    <w:rsid w:val="00363C9E"/>
    <w:rsid w:val="003C0FE4"/>
    <w:rsid w:val="003D0F0E"/>
    <w:rsid w:val="003F3EBA"/>
    <w:rsid w:val="00401F0A"/>
    <w:rsid w:val="00444B64"/>
    <w:rsid w:val="00465724"/>
    <w:rsid w:val="00471266"/>
    <w:rsid w:val="004A621D"/>
    <w:rsid w:val="004D2E5D"/>
    <w:rsid w:val="0053715A"/>
    <w:rsid w:val="005C4058"/>
    <w:rsid w:val="005D50A6"/>
    <w:rsid w:val="00601DAF"/>
    <w:rsid w:val="00605BFD"/>
    <w:rsid w:val="00621855"/>
    <w:rsid w:val="006318FD"/>
    <w:rsid w:val="00656B8A"/>
    <w:rsid w:val="007022DC"/>
    <w:rsid w:val="007A35A2"/>
    <w:rsid w:val="007C479F"/>
    <w:rsid w:val="007D3ED4"/>
    <w:rsid w:val="007E284D"/>
    <w:rsid w:val="008F4134"/>
    <w:rsid w:val="009558AD"/>
    <w:rsid w:val="00984E59"/>
    <w:rsid w:val="009859E5"/>
    <w:rsid w:val="009A6A83"/>
    <w:rsid w:val="009D4EE5"/>
    <w:rsid w:val="00AC74F9"/>
    <w:rsid w:val="00AD0D11"/>
    <w:rsid w:val="00B41656"/>
    <w:rsid w:val="00BC4B17"/>
    <w:rsid w:val="00C273EC"/>
    <w:rsid w:val="00C9173D"/>
    <w:rsid w:val="00D119CF"/>
    <w:rsid w:val="00D5208E"/>
    <w:rsid w:val="00D71366"/>
    <w:rsid w:val="00DA05DD"/>
    <w:rsid w:val="00E108B2"/>
    <w:rsid w:val="00E24386"/>
    <w:rsid w:val="00EA776F"/>
    <w:rsid w:val="00EE2782"/>
    <w:rsid w:val="00F70470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B81E"/>
  <w15:chartTrackingRefBased/>
  <w15:docId w15:val="{8B1EAD6A-1A55-4840-9435-26A9E956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7E284D"/>
  </w:style>
  <w:style w:type="character" w:customStyle="1" w:styleId="QuoteChar">
    <w:name w:val="Quote Char"/>
    <w:basedOn w:val="DefaultParagraphFont"/>
    <w:link w:val="Quote"/>
    <w:uiPriority w:val="29"/>
    <w:rsid w:val="007E284D"/>
  </w:style>
  <w:style w:type="character" w:styleId="IntenseReference">
    <w:name w:val="Intense Reference"/>
    <w:basedOn w:val="FootnoteReference"/>
    <w:uiPriority w:val="32"/>
    <w:qFormat/>
    <w:rsid w:val="007E284D"/>
    <w:rPr>
      <w:rFonts w:asciiTheme="majorHAnsi" w:hAnsiTheme="majorHAnsi"/>
      <w:b/>
      <w:bCs/>
      <w:smallCaps/>
      <w:color w:val="4472C4" w:themeColor="accent1"/>
      <w:spacing w:val="5"/>
      <w:sz w:val="16"/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84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E284D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E284D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7E284D"/>
    <w:rPr>
      <w:vertAlign w:val="superscrip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84D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E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momenat al-khateeb</dc:creator>
  <cp:keywords/>
  <dc:description/>
  <cp:lastModifiedBy>momenat al-khateeb</cp:lastModifiedBy>
  <cp:revision>3</cp:revision>
  <dcterms:created xsi:type="dcterms:W3CDTF">2019-09-23T23:39:00Z</dcterms:created>
  <dcterms:modified xsi:type="dcterms:W3CDTF">2019-10-02T06:34:00Z</dcterms:modified>
</cp:coreProperties>
</file>