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F13C" w14:textId="77777777" w:rsidR="006C4AF6" w:rsidRDefault="00B30A31" w:rsidP="00B30A31">
      <w:pPr>
        <w:jc w:val="center"/>
        <w:rPr>
          <w:rFonts w:ascii="Arial" w:hAnsi="Arial" w:cs="Arial"/>
          <w:b/>
          <w:sz w:val="32"/>
          <w:szCs w:val="32"/>
        </w:rPr>
      </w:pPr>
      <w:bookmarkStart w:id="0" w:name="_Toc25613010"/>
      <w:bookmarkStart w:id="1" w:name="_GoBack"/>
      <w:bookmarkEnd w:id="1"/>
      <w:r>
        <w:rPr>
          <w:rFonts w:ascii="Arial" w:hAnsi="Arial" w:cs="Arial"/>
          <w:b/>
          <w:sz w:val="32"/>
          <w:szCs w:val="32"/>
        </w:rPr>
        <w:t xml:space="preserve">Mid-Term Review </w:t>
      </w:r>
    </w:p>
    <w:p w14:paraId="76A9F238" w14:textId="7A6E5DA3" w:rsidR="00B30A31" w:rsidRDefault="00B30A31" w:rsidP="00B30A31">
      <w:pPr>
        <w:jc w:val="center"/>
        <w:rPr>
          <w:rFonts w:ascii="Arial" w:hAnsi="Arial" w:cs="Arial"/>
          <w:b/>
          <w:sz w:val="24"/>
          <w:szCs w:val="24"/>
        </w:rPr>
      </w:pPr>
      <w:r>
        <w:rPr>
          <w:rFonts w:ascii="Arial" w:hAnsi="Arial" w:cs="Arial"/>
          <w:b/>
          <w:sz w:val="32"/>
          <w:szCs w:val="32"/>
        </w:rPr>
        <w:t>of the project “</w:t>
      </w:r>
      <w:r w:rsidR="006C4AF6">
        <w:rPr>
          <w:rFonts w:ascii="Arial" w:hAnsi="Arial" w:cs="Arial"/>
          <w:b/>
          <w:sz w:val="32"/>
          <w:szCs w:val="32"/>
        </w:rPr>
        <w:t>M</w:t>
      </w:r>
      <w:r>
        <w:rPr>
          <w:rFonts w:ascii="Arial" w:hAnsi="Arial" w:cs="Arial"/>
          <w:b/>
          <w:sz w:val="32"/>
          <w:szCs w:val="32"/>
        </w:rPr>
        <w:t xml:space="preserve">ainstreaming biodiversity conservation into the tourism sector in synergy with a further strengthened protected area system in </w:t>
      </w:r>
      <w:r w:rsidR="00141E06">
        <w:rPr>
          <w:rFonts w:ascii="Arial" w:hAnsi="Arial" w:cs="Arial"/>
          <w:b/>
          <w:sz w:val="32"/>
          <w:szCs w:val="32"/>
        </w:rPr>
        <w:t>C</w:t>
      </w:r>
      <w:r>
        <w:rPr>
          <w:rFonts w:ascii="Arial" w:hAnsi="Arial" w:cs="Arial"/>
          <w:b/>
          <w:sz w:val="32"/>
          <w:szCs w:val="32"/>
        </w:rPr>
        <w:t xml:space="preserve">abo </w:t>
      </w:r>
      <w:r w:rsidR="00141E06">
        <w:rPr>
          <w:rFonts w:ascii="Arial" w:hAnsi="Arial" w:cs="Arial"/>
          <w:b/>
          <w:sz w:val="32"/>
          <w:szCs w:val="32"/>
        </w:rPr>
        <w:t>V</w:t>
      </w:r>
      <w:r>
        <w:rPr>
          <w:rFonts w:ascii="Arial" w:hAnsi="Arial" w:cs="Arial"/>
          <w:b/>
          <w:sz w:val="32"/>
          <w:szCs w:val="32"/>
        </w:rPr>
        <w:t>erde ”</w:t>
      </w:r>
      <w:r>
        <w:rPr>
          <w:rFonts w:ascii="Arial" w:hAnsi="Arial" w:cs="Arial"/>
          <w:b/>
          <w:sz w:val="24"/>
          <w:szCs w:val="24"/>
        </w:rPr>
        <w:t>UNDP PIMS ID: 4526/ UNDP Atlas</w:t>
      </w:r>
      <w:r w:rsidR="006C4AF6">
        <w:rPr>
          <w:rFonts w:ascii="Arial" w:hAnsi="Arial" w:cs="Arial"/>
          <w:b/>
          <w:sz w:val="24"/>
          <w:szCs w:val="24"/>
        </w:rPr>
        <w:t xml:space="preserve"> </w:t>
      </w:r>
      <w:r w:rsidRPr="006C4AF6">
        <w:rPr>
          <w:rFonts w:ascii="Arial" w:hAnsi="Arial" w:cs="Arial"/>
          <w:b/>
          <w:sz w:val="24"/>
          <w:szCs w:val="24"/>
        </w:rPr>
        <w:t>: 00096274</w:t>
      </w:r>
    </w:p>
    <w:p w14:paraId="6C1029A6" w14:textId="431ABDCA" w:rsidR="006C4AF6" w:rsidRDefault="006C4AF6" w:rsidP="00B30A31">
      <w:pPr>
        <w:jc w:val="center"/>
        <w:rPr>
          <w:rFonts w:ascii="Arial" w:hAnsi="Arial" w:cs="Arial"/>
          <w:b/>
          <w:sz w:val="24"/>
          <w:szCs w:val="24"/>
        </w:rPr>
      </w:pPr>
    </w:p>
    <w:p w14:paraId="73EFCB37" w14:textId="0B089ABB" w:rsidR="006C4AF6" w:rsidRPr="0029480F" w:rsidRDefault="006C4AF6" w:rsidP="00B30A31">
      <w:pPr>
        <w:jc w:val="center"/>
        <w:rPr>
          <w:rFonts w:ascii="Arial" w:hAnsi="Arial" w:cs="Arial"/>
          <w:b/>
          <w:bCs/>
          <w:sz w:val="40"/>
          <w:szCs w:val="40"/>
        </w:rPr>
      </w:pPr>
      <w:r w:rsidRPr="0029480F">
        <w:rPr>
          <w:rFonts w:cs="Calibri"/>
          <w:b/>
          <w:bCs/>
          <w:color w:val="201F1E"/>
          <w:sz w:val="40"/>
          <w:szCs w:val="40"/>
          <w:shd w:val="clear" w:color="auto" w:fill="FFFFFF"/>
        </w:rPr>
        <w:t>Management Response</w:t>
      </w:r>
    </w:p>
    <w:p w14:paraId="754E6F79" w14:textId="77777777" w:rsidR="00F81BF0" w:rsidRDefault="00F81BF0" w:rsidP="001C6AFC">
      <w:pPr>
        <w:spacing w:before="120" w:line="276" w:lineRule="auto"/>
      </w:pPr>
    </w:p>
    <w:p w14:paraId="454D51F5" w14:textId="4E17BA97" w:rsidR="001C6AFC" w:rsidRPr="0003387D" w:rsidRDefault="001C6AFC" w:rsidP="006C4AF6">
      <w:pPr>
        <w:pStyle w:val="Heading2"/>
        <w:numPr>
          <w:ilvl w:val="0"/>
          <w:numId w:val="0"/>
        </w:numPr>
        <w:spacing w:before="120" w:line="276" w:lineRule="auto"/>
        <w:rPr>
          <w:rFonts w:ascii="Times New Roman" w:hAnsi="Times New Roman"/>
        </w:rPr>
      </w:pPr>
      <w:r w:rsidRPr="0003387D">
        <w:rPr>
          <w:rFonts w:ascii="Times New Roman" w:hAnsi="Times New Roman"/>
        </w:rPr>
        <w:t>Recommendations</w:t>
      </w:r>
      <w:bookmarkEnd w:id="0"/>
    </w:p>
    <w:p w14:paraId="424E038A" w14:textId="77777777" w:rsidR="001C6AFC" w:rsidRDefault="001C6AFC" w:rsidP="001C6AFC">
      <w:pPr>
        <w:spacing w:before="120" w:line="276" w:lineRule="auto"/>
        <w:rPr>
          <w:rFonts w:ascii="Times New Roman" w:hAnsi="Times New Roman"/>
          <w:iCs/>
        </w:rPr>
      </w:pPr>
      <w:r>
        <w:rPr>
          <w:rFonts w:ascii="Times New Roman" w:hAnsi="Times New Roman"/>
          <w:iCs/>
        </w:rPr>
        <w:t>The MTR team recommends four (4) key conditions to pursue the project to ensure at least some meaningful results:</w:t>
      </w:r>
    </w:p>
    <w:p w14:paraId="45EA8F50" w14:textId="77777777" w:rsidR="001C6AFC" w:rsidRDefault="001C6AFC" w:rsidP="001C6AFC">
      <w:pPr>
        <w:pStyle w:val="ListParagraph"/>
        <w:numPr>
          <w:ilvl w:val="0"/>
          <w:numId w:val="2"/>
        </w:numPr>
        <w:spacing w:before="120" w:line="276" w:lineRule="auto"/>
        <w:rPr>
          <w:rFonts w:ascii="Times New Roman" w:hAnsi="Times New Roman"/>
          <w:iCs/>
        </w:rPr>
      </w:pPr>
      <w:r>
        <w:rPr>
          <w:rFonts w:ascii="Times New Roman" w:hAnsi="Times New Roman"/>
          <w:iCs/>
        </w:rPr>
        <w:t>Grant at least a 12 months no-cost extension (preferably 18 months) to cover the first 12 months after project signature without any activity; up to an additional 6 months should also be granted to ensure the transition from the current situation to a fully operational intervention</w:t>
      </w:r>
    </w:p>
    <w:p w14:paraId="5288C328" w14:textId="77777777" w:rsidR="001C6AFC" w:rsidRDefault="001C6AFC" w:rsidP="001C6AFC">
      <w:pPr>
        <w:pStyle w:val="ListParagraph"/>
        <w:spacing w:before="120" w:line="276" w:lineRule="auto"/>
        <w:ind w:left="1080"/>
        <w:rPr>
          <w:rFonts w:ascii="Times New Roman" w:hAnsi="Times New Roman"/>
          <w:iCs/>
        </w:rPr>
      </w:pPr>
    </w:p>
    <w:p w14:paraId="63B3C03A" w14:textId="77777777" w:rsidR="001C6AFC" w:rsidRDefault="001C6AFC" w:rsidP="001C6AFC">
      <w:pPr>
        <w:pStyle w:val="ListParagraph"/>
        <w:numPr>
          <w:ilvl w:val="0"/>
          <w:numId w:val="2"/>
        </w:numPr>
        <w:spacing w:before="120" w:line="276" w:lineRule="auto"/>
        <w:rPr>
          <w:rFonts w:ascii="Times New Roman" w:hAnsi="Times New Roman"/>
          <w:iCs/>
        </w:rPr>
      </w:pPr>
      <w:r>
        <w:rPr>
          <w:rFonts w:ascii="Times New Roman" w:hAnsi="Times New Roman"/>
          <w:iCs/>
        </w:rPr>
        <w:t xml:space="preserve">Swiftly ensure a complete project team as per </w:t>
      </w:r>
      <w:r>
        <w:rPr>
          <w:rFonts w:ascii="Times New Roman" w:hAnsi="Times New Roman"/>
          <w:iCs/>
        </w:rPr>
        <w:fldChar w:fldCharType="begin"/>
      </w:r>
      <w:r>
        <w:rPr>
          <w:rFonts w:ascii="Times New Roman" w:hAnsi="Times New Roman"/>
          <w:iCs/>
        </w:rPr>
        <w:instrText xml:space="preserve"> REF _Ref25383811 \h  \* MERGEFORMAT </w:instrText>
      </w:r>
      <w:r>
        <w:rPr>
          <w:rFonts w:ascii="Times New Roman" w:hAnsi="Times New Roman"/>
          <w:iCs/>
        </w:rPr>
      </w:r>
      <w:r>
        <w:rPr>
          <w:rFonts w:ascii="Times New Roman" w:hAnsi="Times New Roman"/>
          <w:iCs/>
        </w:rPr>
        <w:fldChar w:fldCharType="separate"/>
      </w:r>
      <w:r w:rsidRPr="00AD6A36">
        <w:rPr>
          <w:rFonts w:ascii="Times New Roman" w:hAnsi="Times New Roman"/>
          <w:iCs/>
        </w:rPr>
        <w:t>Table 7</w:t>
      </w:r>
      <w:r>
        <w:rPr>
          <w:rFonts w:ascii="Times New Roman" w:hAnsi="Times New Roman"/>
          <w:iCs/>
        </w:rPr>
        <w:fldChar w:fldCharType="end"/>
      </w:r>
      <w:r>
        <w:rPr>
          <w:rFonts w:ascii="Times New Roman" w:hAnsi="Times New Roman"/>
          <w:iCs/>
        </w:rPr>
        <w:t xml:space="preserve"> using a different recruitment modality (e.g. 100% of PMU staff and rangers under local external contract like a service contract); contract externally remaining UGAP staff (e.g. tourism specialist); remove any staff that is not 100% dedicated on BIOTUR or amend contracts; amend the budget accordingly</w:t>
      </w:r>
    </w:p>
    <w:p w14:paraId="01E26417" w14:textId="77777777" w:rsidR="001C6AFC" w:rsidRDefault="001C6AFC" w:rsidP="001C6AFC">
      <w:pPr>
        <w:pStyle w:val="ListParagraph"/>
        <w:spacing w:before="120" w:line="276" w:lineRule="auto"/>
        <w:ind w:left="1080"/>
        <w:rPr>
          <w:rFonts w:ascii="Times New Roman" w:hAnsi="Times New Roman"/>
          <w:iCs/>
        </w:rPr>
      </w:pPr>
    </w:p>
    <w:p w14:paraId="652672DC" w14:textId="77777777" w:rsidR="001C6AFC" w:rsidRDefault="001C6AFC" w:rsidP="001C6AFC">
      <w:pPr>
        <w:pStyle w:val="ListParagraph"/>
        <w:numPr>
          <w:ilvl w:val="0"/>
          <w:numId w:val="2"/>
        </w:numPr>
        <w:spacing w:before="120" w:line="276" w:lineRule="auto"/>
        <w:rPr>
          <w:rFonts w:ascii="Times New Roman" w:hAnsi="Times New Roman"/>
          <w:iCs/>
        </w:rPr>
      </w:pPr>
      <w:r>
        <w:rPr>
          <w:rFonts w:ascii="Times New Roman" w:hAnsi="Times New Roman"/>
          <w:iCs/>
        </w:rPr>
        <w:t xml:space="preserve">Improving articulation between MAA and MTT through integrating the Ministry of Transport and Tourism as an effective stakeholder in the project </w:t>
      </w:r>
    </w:p>
    <w:p w14:paraId="0F115E15" w14:textId="77777777" w:rsidR="001C6AFC" w:rsidRPr="00806E5E" w:rsidRDefault="001C6AFC" w:rsidP="001C6AFC">
      <w:pPr>
        <w:pStyle w:val="ListParagraph"/>
        <w:spacing w:before="120" w:line="276" w:lineRule="auto"/>
        <w:ind w:left="1080"/>
        <w:rPr>
          <w:rFonts w:ascii="Times New Roman" w:hAnsi="Times New Roman"/>
          <w:iCs/>
        </w:rPr>
      </w:pPr>
    </w:p>
    <w:p w14:paraId="28531549" w14:textId="77777777" w:rsidR="001C6AFC" w:rsidRPr="00806E5E" w:rsidRDefault="001C6AFC" w:rsidP="001C6AFC">
      <w:pPr>
        <w:pStyle w:val="ListParagraph"/>
        <w:numPr>
          <w:ilvl w:val="0"/>
          <w:numId w:val="2"/>
        </w:numPr>
        <w:spacing w:before="120" w:line="276" w:lineRule="auto"/>
        <w:rPr>
          <w:rFonts w:ascii="Times New Roman" w:hAnsi="Times New Roman"/>
          <w:iCs/>
        </w:rPr>
      </w:pPr>
      <w:r>
        <w:rPr>
          <w:rFonts w:ascii="Times New Roman" w:hAnsi="Times New Roman"/>
          <w:iCs/>
        </w:rPr>
        <w:t>Add an output on “lobbying” key decision-makers to raise awareness on the value addition of mainstreaming biodiversity into the tourism sector as a strategy to ensure that decree-laws are endorsed and passed before the end of the project</w:t>
      </w:r>
    </w:p>
    <w:p w14:paraId="16645A34" w14:textId="4FBF3D5F" w:rsidR="001C6AFC" w:rsidRDefault="001C6AFC" w:rsidP="001C6AFC">
      <w:pPr>
        <w:spacing w:before="120" w:line="276" w:lineRule="auto"/>
        <w:rPr>
          <w:rFonts w:ascii="Times New Roman" w:hAnsi="Times New Roman"/>
          <w:iCs/>
        </w:rPr>
      </w:pPr>
      <w:r>
        <w:rPr>
          <w:rFonts w:ascii="Times New Roman" w:hAnsi="Times New Roman"/>
          <w:iCs/>
        </w:rPr>
        <w:t>If these conditions cannot be met in a reasonable time (maximum 6 months), it is recommended to close down the project, reallocate the monies to GEF 7 if allowed and redesign a similar project taking into account the weaknesses of BIOTUR.</w:t>
      </w:r>
    </w:p>
    <w:p w14:paraId="6158F9CC" w14:textId="66EE5276" w:rsidR="006C4AF6" w:rsidRDefault="006C4AF6">
      <w:pPr>
        <w:spacing w:after="160" w:line="259" w:lineRule="auto"/>
        <w:jc w:val="left"/>
        <w:rPr>
          <w:rFonts w:ascii="Times New Roman" w:hAnsi="Times New Roman"/>
          <w:iCs/>
        </w:rPr>
      </w:pPr>
      <w:r>
        <w:rPr>
          <w:rFonts w:ascii="Times New Roman" w:hAnsi="Times New Roman"/>
          <w:iCs/>
        </w:rPr>
        <w:br w:type="page"/>
      </w:r>
    </w:p>
    <w:p w14:paraId="5FDE77F2" w14:textId="77777777" w:rsidR="006C4AF6" w:rsidRDefault="006C4AF6" w:rsidP="001C6AFC">
      <w:pPr>
        <w:spacing w:before="120" w:line="276" w:lineRule="auto"/>
        <w:rPr>
          <w:rFonts w:ascii="Times New Roman" w:hAnsi="Times New Roman"/>
          <w:iCs/>
        </w:rPr>
      </w:pPr>
    </w:p>
    <w:tbl>
      <w:tblPr>
        <w:tblStyle w:val="TableGrid"/>
        <w:tblW w:w="9900" w:type="dxa"/>
        <w:tblInd w:w="-95" w:type="dxa"/>
        <w:tblLook w:val="04A0" w:firstRow="1" w:lastRow="0" w:firstColumn="1" w:lastColumn="0" w:noHBand="0" w:noVBand="1"/>
      </w:tblPr>
      <w:tblGrid>
        <w:gridCol w:w="2700"/>
        <w:gridCol w:w="450"/>
        <w:gridCol w:w="3600"/>
        <w:gridCol w:w="3150"/>
      </w:tblGrid>
      <w:tr w:rsidR="00F358BC" w:rsidRPr="00F81BF0" w14:paraId="3FDF7FFF" w14:textId="4666E99F" w:rsidTr="006C4AF6">
        <w:trPr>
          <w:tblHeader/>
        </w:trPr>
        <w:tc>
          <w:tcPr>
            <w:tcW w:w="2700" w:type="dxa"/>
            <w:shd w:val="clear" w:color="auto" w:fill="92D050"/>
          </w:tcPr>
          <w:p w14:paraId="33528BC7" w14:textId="777D2DE3" w:rsidR="00F358BC" w:rsidRPr="006C4AF6" w:rsidRDefault="006C4AF6" w:rsidP="00B5476A">
            <w:pPr>
              <w:spacing w:before="120" w:line="276" w:lineRule="auto"/>
              <w:rPr>
                <w:rFonts w:asciiTheme="minorHAnsi" w:hAnsiTheme="minorHAnsi" w:cstheme="minorHAnsi"/>
                <w:b/>
                <w:bCs/>
                <w:iCs/>
                <w:sz w:val="20"/>
                <w:szCs w:val="20"/>
              </w:rPr>
            </w:pPr>
            <w:r w:rsidRPr="006C4AF6">
              <w:rPr>
                <w:rFonts w:asciiTheme="minorHAnsi" w:hAnsiTheme="minorHAnsi" w:cstheme="minorHAnsi"/>
                <w:b/>
                <w:bCs/>
                <w:iCs/>
                <w:sz w:val="20"/>
                <w:szCs w:val="20"/>
              </w:rPr>
              <w:t>Type of Recommendations</w:t>
            </w:r>
          </w:p>
        </w:tc>
        <w:tc>
          <w:tcPr>
            <w:tcW w:w="450" w:type="dxa"/>
            <w:shd w:val="clear" w:color="auto" w:fill="92D050"/>
          </w:tcPr>
          <w:p w14:paraId="4EFC3499" w14:textId="30C02740" w:rsidR="00F358BC" w:rsidRPr="006C4AF6" w:rsidRDefault="00F358BC" w:rsidP="00B5476A">
            <w:pPr>
              <w:spacing w:before="120" w:line="276" w:lineRule="auto"/>
              <w:rPr>
                <w:rFonts w:asciiTheme="minorHAnsi" w:hAnsiTheme="minorHAnsi" w:cstheme="minorHAnsi"/>
                <w:b/>
                <w:bCs/>
                <w:i/>
                <w:sz w:val="20"/>
                <w:szCs w:val="20"/>
                <w:u w:val="single"/>
              </w:rPr>
            </w:pPr>
            <w:r w:rsidRPr="006C4AF6">
              <w:rPr>
                <w:rFonts w:asciiTheme="minorHAnsi" w:hAnsiTheme="minorHAnsi" w:cstheme="minorHAnsi"/>
                <w:b/>
                <w:bCs/>
                <w:i/>
                <w:sz w:val="20"/>
                <w:szCs w:val="20"/>
                <w:u w:val="single"/>
              </w:rPr>
              <w:t>#</w:t>
            </w:r>
          </w:p>
        </w:tc>
        <w:tc>
          <w:tcPr>
            <w:tcW w:w="3600" w:type="dxa"/>
            <w:shd w:val="clear" w:color="auto" w:fill="92D050"/>
          </w:tcPr>
          <w:p w14:paraId="00C912DC" w14:textId="58E72980" w:rsidR="00F358BC" w:rsidRPr="006C4AF6" w:rsidRDefault="00F358BC" w:rsidP="00B5476A">
            <w:pPr>
              <w:spacing w:before="120" w:line="276" w:lineRule="auto"/>
              <w:rPr>
                <w:rFonts w:asciiTheme="minorHAnsi" w:hAnsiTheme="minorHAnsi" w:cstheme="minorHAnsi"/>
                <w:b/>
                <w:bCs/>
                <w:iCs/>
                <w:sz w:val="20"/>
                <w:szCs w:val="20"/>
              </w:rPr>
            </w:pPr>
            <w:r w:rsidRPr="006C4AF6">
              <w:rPr>
                <w:rFonts w:asciiTheme="minorHAnsi" w:hAnsiTheme="minorHAnsi" w:cstheme="minorHAnsi"/>
                <w:b/>
                <w:bCs/>
                <w:i/>
                <w:sz w:val="20"/>
                <w:szCs w:val="20"/>
                <w:u w:val="single"/>
              </w:rPr>
              <w:t xml:space="preserve"> </w:t>
            </w:r>
            <w:r w:rsidR="0026006E">
              <w:rPr>
                <w:rFonts w:asciiTheme="minorHAnsi" w:hAnsiTheme="minorHAnsi" w:cstheme="minorHAnsi"/>
                <w:b/>
                <w:bCs/>
                <w:i/>
                <w:sz w:val="20"/>
                <w:szCs w:val="20"/>
                <w:u w:val="single"/>
              </w:rPr>
              <w:t xml:space="preserve">MTR </w:t>
            </w:r>
            <w:r w:rsidRPr="006C4AF6">
              <w:rPr>
                <w:rFonts w:asciiTheme="minorHAnsi" w:hAnsiTheme="minorHAnsi" w:cstheme="minorHAnsi"/>
                <w:b/>
                <w:bCs/>
                <w:i/>
                <w:sz w:val="20"/>
                <w:szCs w:val="20"/>
                <w:u w:val="single"/>
              </w:rPr>
              <w:t xml:space="preserve">Recommendations </w:t>
            </w:r>
          </w:p>
        </w:tc>
        <w:tc>
          <w:tcPr>
            <w:tcW w:w="3150" w:type="dxa"/>
            <w:shd w:val="clear" w:color="auto" w:fill="92D050"/>
          </w:tcPr>
          <w:p w14:paraId="3CE532ED" w14:textId="44E236B8" w:rsidR="00F358BC" w:rsidRPr="006C4AF6" w:rsidRDefault="00F358BC" w:rsidP="00B5476A">
            <w:pPr>
              <w:spacing w:before="120" w:line="276" w:lineRule="auto"/>
              <w:rPr>
                <w:rFonts w:asciiTheme="minorHAnsi" w:hAnsiTheme="minorHAnsi" w:cstheme="minorHAnsi"/>
                <w:b/>
                <w:bCs/>
                <w:iCs/>
                <w:sz w:val="20"/>
                <w:szCs w:val="20"/>
              </w:rPr>
            </w:pPr>
            <w:r w:rsidRPr="006C4AF6">
              <w:rPr>
                <w:rFonts w:asciiTheme="minorHAnsi" w:hAnsiTheme="minorHAnsi" w:cstheme="minorHAnsi"/>
                <w:b/>
                <w:bCs/>
                <w:i/>
                <w:sz w:val="20"/>
                <w:szCs w:val="20"/>
                <w:u w:val="single"/>
              </w:rPr>
              <w:t>Actions</w:t>
            </w:r>
          </w:p>
        </w:tc>
      </w:tr>
      <w:tr w:rsidR="00F358BC" w:rsidRPr="00F81BF0" w14:paraId="65869B9E" w14:textId="4FE3B7C3" w:rsidTr="006C4AF6">
        <w:tc>
          <w:tcPr>
            <w:tcW w:w="2700" w:type="dxa"/>
            <w:vMerge w:val="restart"/>
          </w:tcPr>
          <w:p w14:paraId="7C3E2D07" w14:textId="40B4DAA0" w:rsidR="00F358BC" w:rsidRPr="006C4AF6" w:rsidRDefault="00F358BC" w:rsidP="001C6AFC">
            <w:pPr>
              <w:spacing w:before="120" w:line="276" w:lineRule="auto"/>
              <w:rPr>
                <w:rFonts w:asciiTheme="minorHAnsi" w:hAnsiTheme="minorHAnsi" w:cstheme="minorHAnsi"/>
                <w:b/>
                <w:bCs/>
                <w:iCs/>
                <w:sz w:val="20"/>
                <w:szCs w:val="20"/>
              </w:rPr>
            </w:pPr>
            <w:r w:rsidRPr="006C4AF6">
              <w:rPr>
                <w:rFonts w:asciiTheme="minorHAnsi" w:hAnsiTheme="minorHAnsi" w:cstheme="minorHAnsi"/>
                <w:b/>
                <w:bCs/>
                <w:iCs/>
                <w:sz w:val="20"/>
                <w:szCs w:val="20"/>
              </w:rPr>
              <w:t>1.1.1</w:t>
            </w:r>
            <w:r w:rsidRPr="006C4AF6">
              <w:rPr>
                <w:rFonts w:asciiTheme="minorHAnsi" w:hAnsiTheme="minorHAnsi" w:cstheme="minorHAnsi"/>
                <w:b/>
                <w:bCs/>
                <w:iCs/>
                <w:sz w:val="20"/>
                <w:szCs w:val="20"/>
              </w:rPr>
              <w:tab/>
              <w:t>Corrective actions for the design, implementation, monitoring and evaluation of the project</w:t>
            </w:r>
          </w:p>
        </w:tc>
        <w:tc>
          <w:tcPr>
            <w:tcW w:w="450" w:type="dxa"/>
          </w:tcPr>
          <w:p w14:paraId="26114416" w14:textId="56AEA215"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1</w:t>
            </w:r>
          </w:p>
        </w:tc>
        <w:tc>
          <w:tcPr>
            <w:tcW w:w="3600" w:type="dxa"/>
          </w:tcPr>
          <w:p w14:paraId="6E20D666" w14:textId="11B9F5A4" w:rsidR="00F358BC" w:rsidRPr="007A5147" w:rsidRDefault="00F358BC" w:rsidP="007A5147">
            <w:pPr>
              <w:pStyle w:val="ListParagraph"/>
              <w:numPr>
                <w:ilvl w:val="0"/>
                <w:numId w:val="11"/>
              </w:numPr>
              <w:spacing w:before="120" w:line="276" w:lineRule="auto"/>
              <w:rPr>
                <w:rFonts w:asciiTheme="minorHAnsi" w:hAnsiTheme="minorHAnsi" w:cstheme="minorHAnsi"/>
                <w:iCs/>
              </w:rPr>
            </w:pPr>
            <w:r w:rsidRPr="007A5147">
              <w:rPr>
                <w:rFonts w:asciiTheme="minorHAnsi" w:hAnsiTheme="minorHAnsi" w:cstheme="minorHAnsi"/>
                <w:iCs/>
              </w:rPr>
              <w:t>Recruit externalised PMU and UGAP staff through a fast-track modality (not under the regular civil servant recruitment system)</w:t>
            </w:r>
          </w:p>
          <w:p w14:paraId="78526C1C" w14:textId="0D6787A6" w:rsidR="00F358BC" w:rsidRPr="00F81BF0" w:rsidRDefault="00F358BC" w:rsidP="00F81BF0">
            <w:pPr>
              <w:spacing w:before="120" w:line="276" w:lineRule="auto"/>
              <w:rPr>
                <w:rFonts w:asciiTheme="minorHAnsi" w:hAnsiTheme="minorHAnsi" w:cstheme="minorHAnsi"/>
                <w:iCs/>
                <w:sz w:val="20"/>
                <w:szCs w:val="20"/>
              </w:rPr>
            </w:pPr>
            <w:r w:rsidRPr="00F81BF0">
              <w:rPr>
                <w:rFonts w:asciiTheme="minorHAnsi" w:hAnsiTheme="minorHAnsi" w:cstheme="minorHAnsi"/>
                <w:iCs/>
                <w:sz w:val="20"/>
                <w:szCs w:val="20"/>
              </w:rPr>
              <w:t>It is necessary to revert to more mainstream approaches with an externalised PMU team fully dedicated to the project and avoid a mix of civil servants and external staff working alongside with similar responsibilities.</w:t>
            </w:r>
          </w:p>
        </w:tc>
        <w:tc>
          <w:tcPr>
            <w:tcW w:w="3150" w:type="dxa"/>
          </w:tcPr>
          <w:p w14:paraId="0D0A7712" w14:textId="7FA659EE" w:rsidR="00F358BC" w:rsidRPr="00F60780" w:rsidRDefault="003B662C" w:rsidP="00F60780">
            <w:pPr>
              <w:pStyle w:val="ListParagraph"/>
              <w:numPr>
                <w:ilvl w:val="0"/>
                <w:numId w:val="10"/>
              </w:numPr>
              <w:spacing w:before="120" w:line="276" w:lineRule="auto"/>
              <w:rPr>
                <w:rFonts w:asciiTheme="minorHAnsi" w:hAnsiTheme="minorHAnsi" w:cstheme="minorHAnsi"/>
                <w:iCs/>
              </w:rPr>
            </w:pPr>
            <w:r w:rsidRPr="00F60780">
              <w:rPr>
                <w:rFonts w:asciiTheme="minorHAnsi" w:hAnsiTheme="minorHAnsi" w:cstheme="minorHAnsi"/>
                <w:iCs/>
              </w:rPr>
              <w:t>Recruit externalised PMU and UGAP staff through a fast-track modality</w:t>
            </w:r>
            <w:r w:rsidR="00EA3758">
              <w:rPr>
                <w:rFonts w:asciiTheme="minorHAnsi" w:hAnsiTheme="minorHAnsi" w:cstheme="minorHAnsi"/>
                <w:iCs/>
              </w:rPr>
              <w:t xml:space="preserve"> immediately </w:t>
            </w:r>
          </w:p>
        </w:tc>
      </w:tr>
      <w:tr w:rsidR="00F358BC" w:rsidRPr="00F81BF0" w14:paraId="534CAC44" w14:textId="46D06421" w:rsidTr="006C4AF6">
        <w:tc>
          <w:tcPr>
            <w:tcW w:w="2700" w:type="dxa"/>
            <w:vMerge/>
          </w:tcPr>
          <w:p w14:paraId="780CF16F"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21E12D93" w14:textId="048CE5AF"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2</w:t>
            </w:r>
          </w:p>
        </w:tc>
        <w:tc>
          <w:tcPr>
            <w:tcW w:w="3600" w:type="dxa"/>
          </w:tcPr>
          <w:p w14:paraId="3BE9049F" w14:textId="718BF920"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Redefine the chain of command for UGAP</w:t>
            </w:r>
          </w:p>
          <w:p w14:paraId="239724E4" w14:textId="30CA9B50" w:rsidR="00F358BC" w:rsidRPr="00F81BF0" w:rsidRDefault="00F358BC" w:rsidP="00F81BF0">
            <w:pPr>
              <w:spacing w:before="120" w:line="276" w:lineRule="auto"/>
              <w:rPr>
                <w:rFonts w:asciiTheme="minorHAnsi" w:hAnsiTheme="minorHAnsi" w:cstheme="minorHAnsi"/>
                <w:iCs/>
                <w:sz w:val="20"/>
                <w:szCs w:val="20"/>
              </w:rPr>
            </w:pPr>
            <w:r w:rsidRPr="00F81BF0">
              <w:rPr>
                <w:rFonts w:asciiTheme="minorHAnsi" w:hAnsiTheme="minorHAnsi" w:cstheme="minorHAnsi"/>
                <w:iCs/>
                <w:sz w:val="20"/>
                <w:szCs w:val="20"/>
              </w:rPr>
              <w:t>It is recommended to review the chain of command at UGAP level and clarify the roles of PMU Coordinator and Island Delegates (or Coordinator): the PMU Coordinator is the technical supervisor feeding in tasks and activities to UGAP staff while the MAA Delegate and UGAP Coordinator (for Sal) are administrative supervisors, facilitating UGAP’s staff work through required official authorisations, supply of vehicles… in short, assisting logistics and official formalities</w:t>
            </w:r>
          </w:p>
        </w:tc>
        <w:tc>
          <w:tcPr>
            <w:tcW w:w="3150" w:type="dxa"/>
          </w:tcPr>
          <w:p w14:paraId="27A5C1DB" w14:textId="05A56D7B" w:rsidR="00F358BC" w:rsidRDefault="00F60780"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Clarify the Project implementations structure and roles (UGAP and PMU´s coordinators</w:t>
            </w:r>
            <w:r w:rsidR="00914D83">
              <w:rPr>
                <w:rFonts w:asciiTheme="minorHAnsi" w:hAnsiTheme="minorHAnsi" w:cstheme="minorHAnsi"/>
                <w:iCs/>
                <w:sz w:val="20"/>
                <w:szCs w:val="20"/>
              </w:rPr>
              <w:t xml:space="preserve"> </w:t>
            </w:r>
            <w:r w:rsidR="00914D83" w:rsidRPr="00F81BF0">
              <w:rPr>
                <w:rFonts w:asciiTheme="minorHAnsi" w:hAnsiTheme="minorHAnsi" w:cstheme="minorHAnsi"/>
                <w:iCs/>
                <w:sz w:val="20"/>
                <w:szCs w:val="20"/>
              </w:rPr>
              <w:t>and Island Delegates (or Coordinator)</w:t>
            </w:r>
            <w:r>
              <w:rPr>
                <w:rFonts w:asciiTheme="minorHAnsi" w:hAnsiTheme="minorHAnsi" w:cstheme="minorHAnsi"/>
                <w:iCs/>
                <w:sz w:val="20"/>
                <w:szCs w:val="20"/>
              </w:rPr>
              <w:t xml:space="preserve"> </w:t>
            </w:r>
          </w:p>
          <w:p w14:paraId="3665A8A7" w14:textId="77777777" w:rsidR="0029480F" w:rsidRDefault="0029480F" w:rsidP="00F81BF0">
            <w:pPr>
              <w:spacing w:before="120" w:line="276" w:lineRule="auto"/>
              <w:rPr>
                <w:rFonts w:asciiTheme="minorHAnsi" w:hAnsiTheme="minorHAnsi" w:cstheme="minorHAnsi"/>
                <w:iCs/>
                <w:sz w:val="20"/>
                <w:szCs w:val="20"/>
              </w:rPr>
            </w:pPr>
          </w:p>
          <w:p w14:paraId="786EF227" w14:textId="7961C549" w:rsidR="0029480F" w:rsidRPr="00F81BF0" w:rsidRDefault="0029480F" w:rsidP="00F81BF0">
            <w:pPr>
              <w:spacing w:before="120" w:line="276" w:lineRule="auto"/>
              <w:rPr>
                <w:rFonts w:asciiTheme="minorHAnsi" w:hAnsiTheme="minorHAnsi" w:cstheme="minorHAnsi"/>
                <w:iCs/>
                <w:sz w:val="20"/>
                <w:szCs w:val="20"/>
              </w:rPr>
            </w:pPr>
          </w:p>
        </w:tc>
      </w:tr>
      <w:tr w:rsidR="00F358BC" w:rsidRPr="00F81BF0" w14:paraId="443B0967" w14:textId="3574F0F9" w:rsidTr="006C4AF6">
        <w:tc>
          <w:tcPr>
            <w:tcW w:w="2700" w:type="dxa"/>
            <w:vMerge/>
          </w:tcPr>
          <w:p w14:paraId="3F798E56"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2DEFF25A" w14:textId="1E696D23"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3</w:t>
            </w:r>
          </w:p>
        </w:tc>
        <w:tc>
          <w:tcPr>
            <w:tcW w:w="3600" w:type="dxa"/>
          </w:tcPr>
          <w:p w14:paraId="355646B8" w14:textId="65E56F69"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Redefine/reconfirm the roles of UGAP staff and other direct stakeholders for NIM modality</w:t>
            </w:r>
          </w:p>
        </w:tc>
        <w:tc>
          <w:tcPr>
            <w:tcW w:w="3150" w:type="dxa"/>
          </w:tcPr>
          <w:p w14:paraId="64FB7D6A" w14:textId="0F844F6C" w:rsidR="00F60780" w:rsidRPr="00F60780" w:rsidRDefault="00606250" w:rsidP="00F60780">
            <w:pPr>
              <w:pStyle w:val="ListParagraph"/>
              <w:numPr>
                <w:ilvl w:val="0"/>
                <w:numId w:val="9"/>
              </w:numPr>
              <w:spacing w:before="120" w:line="276" w:lineRule="auto"/>
              <w:rPr>
                <w:rFonts w:asciiTheme="minorHAnsi" w:hAnsiTheme="minorHAnsi" w:cstheme="minorHAnsi"/>
                <w:iCs/>
              </w:rPr>
            </w:pPr>
            <w:r w:rsidRPr="00F60780">
              <w:rPr>
                <w:rFonts w:asciiTheme="minorHAnsi" w:hAnsiTheme="minorHAnsi" w:cstheme="minorHAnsi"/>
                <w:iCs/>
              </w:rPr>
              <w:t>Evaluate</w:t>
            </w:r>
            <w:r w:rsidR="009A4E60" w:rsidRPr="00F60780">
              <w:rPr>
                <w:rFonts w:asciiTheme="minorHAnsi" w:hAnsiTheme="minorHAnsi" w:cstheme="minorHAnsi"/>
                <w:iCs/>
              </w:rPr>
              <w:t xml:space="preserve"> the </w:t>
            </w:r>
            <w:r w:rsidR="00F60780" w:rsidRPr="00F60780">
              <w:rPr>
                <w:rFonts w:asciiTheme="minorHAnsi" w:hAnsiTheme="minorHAnsi" w:cstheme="minorHAnsi"/>
                <w:iCs/>
              </w:rPr>
              <w:t>performance</w:t>
            </w:r>
            <w:r w:rsidR="009A4E60" w:rsidRPr="00F60780">
              <w:rPr>
                <w:rFonts w:asciiTheme="minorHAnsi" w:hAnsiTheme="minorHAnsi" w:cstheme="minorHAnsi"/>
                <w:iCs/>
              </w:rPr>
              <w:t xml:space="preserve"> of the staff </w:t>
            </w:r>
          </w:p>
          <w:p w14:paraId="4ABF0CE6" w14:textId="77777777" w:rsidR="0029480F" w:rsidRDefault="00F60780" w:rsidP="00F60780">
            <w:pPr>
              <w:pStyle w:val="ListParagraph"/>
              <w:numPr>
                <w:ilvl w:val="0"/>
                <w:numId w:val="9"/>
              </w:numPr>
              <w:spacing w:before="120" w:line="276" w:lineRule="auto"/>
              <w:rPr>
                <w:rFonts w:asciiTheme="minorHAnsi" w:hAnsiTheme="minorHAnsi" w:cstheme="minorHAnsi"/>
                <w:iCs/>
              </w:rPr>
            </w:pPr>
            <w:r w:rsidRPr="00F60780">
              <w:rPr>
                <w:rFonts w:asciiTheme="minorHAnsi" w:hAnsiTheme="minorHAnsi" w:cstheme="minorHAnsi"/>
                <w:iCs/>
              </w:rPr>
              <w:t>Review and adapt the</w:t>
            </w:r>
            <w:r w:rsidR="006C4AF6">
              <w:rPr>
                <w:rFonts w:asciiTheme="minorHAnsi" w:hAnsiTheme="minorHAnsi" w:cstheme="minorHAnsi"/>
                <w:iCs/>
              </w:rPr>
              <w:t xml:space="preserve"> </w:t>
            </w:r>
            <w:r w:rsidRPr="00F60780">
              <w:rPr>
                <w:rFonts w:asciiTheme="minorHAnsi" w:hAnsiTheme="minorHAnsi" w:cstheme="minorHAnsi"/>
                <w:iCs/>
              </w:rPr>
              <w:t xml:space="preserve">ToR according the needs of and specificity of the project </w:t>
            </w:r>
          </w:p>
          <w:p w14:paraId="49E3D3A4" w14:textId="765C3736" w:rsidR="00F358BC" w:rsidRPr="00F60780" w:rsidRDefault="0029480F" w:rsidP="00F60780">
            <w:pPr>
              <w:pStyle w:val="ListParagraph"/>
              <w:numPr>
                <w:ilvl w:val="0"/>
                <w:numId w:val="9"/>
              </w:numPr>
              <w:spacing w:before="120" w:line="276" w:lineRule="auto"/>
              <w:rPr>
                <w:rFonts w:asciiTheme="minorHAnsi" w:hAnsiTheme="minorHAnsi" w:cstheme="minorHAnsi"/>
                <w:iCs/>
              </w:rPr>
            </w:pPr>
            <w:r w:rsidRPr="009D414E">
              <w:rPr>
                <w:rFonts w:asciiTheme="minorHAnsi" w:hAnsiTheme="minorHAnsi" w:cstheme="minorHAnsi"/>
                <w:iCs/>
                <w:lang w:val="en-US"/>
              </w:rPr>
              <w:t>Review and re-assess a</w:t>
            </w:r>
            <w:r>
              <w:rPr>
                <w:rFonts w:asciiTheme="minorHAnsi" w:hAnsiTheme="minorHAnsi" w:cstheme="minorHAnsi"/>
                <w:iCs/>
                <w:lang w:val="en-US"/>
              </w:rPr>
              <w:t>dministrative and financial processes of the project / Simplify and decrease the levels of administrative and financial authorization and verification processes, while maintaining and safeguarding transparency</w:t>
            </w:r>
          </w:p>
        </w:tc>
      </w:tr>
      <w:tr w:rsidR="00F358BC" w:rsidRPr="00F81BF0" w14:paraId="164B5BD0" w14:textId="291E0FA4" w:rsidTr="006C4AF6">
        <w:tc>
          <w:tcPr>
            <w:tcW w:w="2700" w:type="dxa"/>
            <w:vMerge/>
          </w:tcPr>
          <w:p w14:paraId="27E4918E"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21F8118F" w14:textId="4D8C8B91"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4</w:t>
            </w:r>
          </w:p>
        </w:tc>
        <w:tc>
          <w:tcPr>
            <w:tcW w:w="3600" w:type="dxa"/>
          </w:tcPr>
          <w:p w14:paraId="449AA976" w14:textId="1DD8D1DF"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Balance better the PMU staff expertise between tourism and biodiversity</w:t>
            </w:r>
          </w:p>
          <w:p w14:paraId="06B0C5F6" w14:textId="77777777" w:rsidR="00F358BC" w:rsidRPr="00F81BF0" w:rsidRDefault="00F358BC" w:rsidP="007A5147">
            <w:pPr>
              <w:pStyle w:val="ListParagraph"/>
              <w:spacing w:before="120" w:line="276" w:lineRule="auto"/>
              <w:ind w:left="360"/>
              <w:rPr>
                <w:rFonts w:asciiTheme="minorHAnsi" w:hAnsiTheme="minorHAnsi" w:cstheme="minorHAnsi"/>
                <w:iCs/>
              </w:rPr>
            </w:pPr>
          </w:p>
        </w:tc>
        <w:tc>
          <w:tcPr>
            <w:tcW w:w="3150" w:type="dxa"/>
          </w:tcPr>
          <w:p w14:paraId="50B66C53" w14:textId="77777777" w:rsidR="00F60780" w:rsidRPr="00F60780" w:rsidRDefault="00F60780" w:rsidP="00F60780">
            <w:pPr>
              <w:pStyle w:val="ListParagraph"/>
              <w:numPr>
                <w:ilvl w:val="0"/>
                <w:numId w:val="9"/>
              </w:numPr>
              <w:spacing w:before="120" w:line="276" w:lineRule="auto"/>
              <w:rPr>
                <w:rFonts w:asciiTheme="minorHAnsi" w:hAnsiTheme="minorHAnsi" w:cstheme="minorHAnsi"/>
                <w:iCs/>
              </w:rPr>
            </w:pPr>
            <w:r w:rsidRPr="00F60780">
              <w:rPr>
                <w:rFonts w:asciiTheme="minorHAnsi" w:hAnsiTheme="minorHAnsi" w:cstheme="minorHAnsi"/>
                <w:iCs/>
              </w:rPr>
              <w:t xml:space="preserve">Evaluate the performance of the staff </w:t>
            </w:r>
          </w:p>
          <w:p w14:paraId="46A72BE2" w14:textId="124984EB" w:rsidR="00F358BC" w:rsidRPr="00F81BF0" w:rsidRDefault="00F60780" w:rsidP="00F60780">
            <w:pPr>
              <w:pStyle w:val="ListParagraph"/>
              <w:numPr>
                <w:ilvl w:val="0"/>
                <w:numId w:val="9"/>
              </w:numPr>
              <w:spacing w:before="120" w:line="276" w:lineRule="auto"/>
              <w:rPr>
                <w:rFonts w:asciiTheme="minorHAnsi" w:hAnsiTheme="minorHAnsi" w:cstheme="minorHAnsi"/>
                <w:iCs/>
              </w:rPr>
            </w:pPr>
            <w:r w:rsidRPr="00F60780">
              <w:rPr>
                <w:rFonts w:asciiTheme="minorHAnsi" w:hAnsiTheme="minorHAnsi" w:cstheme="minorHAnsi"/>
                <w:iCs/>
              </w:rPr>
              <w:t xml:space="preserve">Review and adapt the ToR according the needs of and specificity of the project </w:t>
            </w:r>
            <w:r w:rsidR="00F358BC" w:rsidRPr="00F81BF0">
              <w:rPr>
                <w:rFonts w:asciiTheme="minorHAnsi" w:hAnsiTheme="minorHAnsi" w:cstheme="minorHAnsi"/>
                <w:iCs/>
              </w:rPr>
              <w:t>to assure this balance between biodiversity and tourism</w:t>
            </w:r>
          </w:p>
        </w:tc>
      </w:tr>
      <w:tr w:rsidR="00F358BC" w:rsidRPr="00F81BF0" w14:paraId="4147EF70" w14:textId="7ED20522" w:rsidTr="006C4AF6">
        <w:tc>
          <w:tcPr>
            <w:tcW w:w="2700" w:type="dxa"/>
            <w:vMerge/>
          </w:tcPr>
          <w:p w14:paraId="640E04D1"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27791FA4" w14:textId="23D307D4"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5</w:t>
            </w:r>
          </w:p>
        </w:tc>
        <w:tc>
          <w:tcPr>
            <w:tcW w:w="3600" w:type="dxa"/>
          </w:tcPr>
          <w:p w14:paraId="57D9A6BC" w14:textId="282B7D78"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Increase subcontracting and avoid PMU stand-alone implementation</w:t>
            </w:r>
          </w:p>
          <w:p w14:paraId="08DB9FFE" w14:textId="77777777" w:rsidR="00F358BC" w:rsidRPr="00F81BF0" w:rsidRDefault="00F358BC" w:rsidP="007A5147">
            <w:pPr>
              <w:pStyle w:val="ListParagraph"/>
              <w:spacing w:before="120" w:line="276" w:lineRule="auto"/>
              <w:ind w:left="360"/>
              <w:rPr>
                <w:rFonts w:asciiTheme="minorHAnsi" w:hAnsiTheme="minorHAnsi" w:cstheme="minorHAnsi"/>
                <w:iCs/>
              </w:rPr>
            </w:pPr>
          </w:p>
        </w:tc>
        <w:tc>
          <w:tcPr>
            <w:tcW w:w="3150" w:type="dxa"/>
          </w:tcPr>
          <w:p w14:paraId="22CFC184" w14:textId="040E5E1C" w:rsidR="00F358BC" w:rsidRPr="00F81BF0" w:rsidRDefault="00F358BC" w:rsidP="007A5147">
            <w:pPr>
              <w:pStyle w:val="ListParagraph"/>
              <w:numPr>
                <w:ilvl w:val="0"/>
                <w:numId w:val="9"/>
              </w:numPr>
              <w:spacing w:before="120" w:line="276" w:lineRule="auto"/>
              <w:rPr>
                <w:rFonts w:asciiTheme="minorHAnsi" w:hAnsiTheme="minorHAnsi" w:cstheme="minorHAnsi"/>
                <w:iCs/>
              </w:rPr>
            </w:pPr>
            <w:r w:rsidRPr="00F81BF0">
              <w:rPr>
                <w:rFonts w:asciiTheme="minorHAnsi" w:hAnsiTheme="minorHAnsi" w:cstheme="minorHAnsi"/>
                <w:iCs/>
              </w:rPr>
              <w:t xml:space="preserve">Review the ToR and responsibilities of the project Staff </w:t>
            </w:r>
            <w:r w:rsidR="00302AAE">
              <w:rPr>
                <w:rFonts w:asciiTheme="minorHAnsi" w:hAnsiTheme="minorHAnsi" w:cstheme="minorHAnsi"/>
                <w:iCs/>
              </w:rPr>
              <w:t xml:space="preserve"> </w:t>
            </w:r>
          </w:p>
          <w:p w14:paraId="6C95937C" w14:textId="0507FD8D" w:rsidR="00F358BC" w:rsidRPr="00F81BF0" w:rsidRDefault="00F358BC" w:rsidP="007A5147">
            <w:pPr>
              <w:pStyle w:val="ListParagraph"/>
              <w:numPr>
                <w:ilvl w:val="0"/>
                <w:numId w:val="9"/>
              </w:numPr>
              <w:spacing w:before="120" w:line="276" w:lineRule="auto"/>
              <w:rPr>
                <w:rFonts w:asciiTheme="minorHAnsi" w:hAnsiTheme="minorHAnsi" w:cstheme="minorHAnsi"/>
                <w:iCs/>
              </w:rPr>
            </w:pPr>
            <w:r w:rsidRPr="00F81BF0">
              <w:rPr>
                <w:rFonts w:asciiTheme="minorHAnsi" w:hAnsiTheme="minorHAnsi" w:cstheme="minorHAnsi"/>
                <w:iCs/>
              </w:rPr>
              <w:t xml:space="preserve"> Promote protocols and subcontracting for the implementation of specific duties  </w:t>
            </w:r>
          </w:p>
        </w:tc>
      </w:tr>
      <w:tr w:rsidR="00F358BC" w:rsidRPr="00F81BF0" w14:paraId="1D2CE298" w14:textId="69E3B238" w:rsidTr="006C4AF6">
        <w:tc>
          <w:tcPr>
            <w:tcW w:w="2700" w:type="dxa"/>
            <w:vMerge/>
          </w:tcPr>
          <w:p w14:paraId="7FB96B08"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6B9AEB67" w14:textId="71E014CC" w:rsidR="00F358BC" w:rsidRPr="00F81BF0" w:rsidRDefault="00F358BC" w:rsidP="001C6AFC">
            <w:pPr>
              <w:spacing w:before="120" w:line="276" w:lineRule="auto"/>
              <w:rPr>
                <w:rFonts w:asciiTheme="minorHAnsi" w:hAnsiTheme="minorHAnsi" w:cstheme="minorHAnsi"/>
                <w:iCs/>
                <w:sz w:val="20"/>
                <w:szCs w:val="20"/>
              </w:rPr>
            </w:pPr>
            <w:r>
              <w:rPr>
                <w:rFonts w:asciiTheme="minorHAnsi" w:hAnsiTheme="minorHAnsi" w:cstheme="minorHAnsi"/>
                <w:iCs/>
                <w:sz w:val="20"/>
                <w:szCs w:val="20"/>
              </w:rPr>
              <w:t>6</w:t>
            </w:r>
          </w:p>
        </w:tc>
        <w:tc>
          <w:tcPr>
            <w:tcW w:w="3600" w:type="dxa"/>
          </w:tcPr>
          <w:p w14:paraId="074C1FD3" w14:textId="4ABE7BC8"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Improve project implementation through committees streamlining</w:t>
            </w:r>
          </w:p>
        </w:tc>
        <w:tc>
          <w:tcPr>
            <w:tcW w:w="3150" w:type="dxa"/>
          </w:tcPr>
          <w:p w14:paraId="1D60ACBD" w14:textId="05EB3E25" w:rsidR="00F358BC" w:rsidRDefault="000D4316" w:rsidP="007A5147">
            <w:pPr>
              <w:pStyle w:val="ListParagraph"/>
              <w:numPr>
                <w:ilvl w:val="0"/>
                <w:numId w:val="9"/>
              </w:numPr>
              <w:spacing w:before="120" w:line="276" w:lineRule="auto"/>
              <w:rPr>
                <w:rFonts w:asciiTheme="minorHAnsi" w:hAnsiTheme="minorHAnsi" w:cstheme="minorHAnsi"/>
                <w:iCs/>
              </w:rPr>
            </w:pPr>
            <w:r>
              <w:rPr>
                <w:rFonts w:asciiTheme="minorHAnsi" w:hAnsiTheme="minorHAnsi" w:cstheme="minorHAnsi"/>
                <w:iCs/>
              </w:rPr>
              <w:t xml:space="preserve">Review </w:t>
            </w:r>
            <w:r w:rsidR="00F358BC" w:rsidRPr="00F81BF0">
              <w:rPr>
                <w:rFonts w:asciiTheme="minorHAnsi" w:hAnsiTheme="minorHAnsi" w:cstheme="minorHAnsi"/>
                <w:iCs/>
              </w:rPr>
              <w:t xml:space="preserve">the composition of </w:t>
            </w:r>
            <w:r>
              <w:rPr>
                <w:rFonts w:asciiTheme="minorHAnsi" w:hAnsiTheme="minorHAnsi" w:cstheme="minorHAnsi"/>
                <w:iCs/>
              </w:rPr>
              <w:t xml:space="preserve">the </w:t>
            </w:r>
            <w:r w:rsidR="00F358BC" w:rsidRPr="00F81BF0">
              <w:rPr>
                <w:rFonts w:asciiTheme="minorHAnsi" w:hAnsiTheme="minorHAnsi" w:cstheme="minorHAnsi"/>
                <w:iCs/>
              </w:rPr>
              <w:t>committees so as to integrate institutions that can directly contribute to the project’s objective through constructive dialogue, potentially coordinating activities or bringing key expertise</w:t>
            </w:r>
          </w:p>
          <w:p w14:paraId="72E243C5" w14:textId="77777777" w:rsidR="007A5147" w:rsidRPr="00F81BF0" w:rsidRDefault="007A5147" w:rsidP="007A5147">
            <w:pPr>
              <w:pStyle w:val="ListParagraph"/>
              <w:spacing w:before="120" w:line="276" w:lineRule="auto"/>
              <w:ind w:left="360"/>
              <w:rPr>
                <w:rFonts w:asciiTheme="minorHAnsi" w:hAnsiTheme="minorHAnsi" w:cstheme="minorHAnsi"/>
                <w:iCs/>
              </w:rPr>
            </w:pPr>
          </w:p>
          <w:p w14:paraId="0E6D9655" w14:textId="491DAE6A" w:rsidR="00F358BC" w:rsidRPr="00F81BF0" w:rsidRDefault="00F358BC" w:rsidP="007A5147">
            <w:pPr>
              <w:pStyle w:val="ListParagraph"/>
              <w:numPr>
                <w:ilvl w:val="0"/>
                <w:numId w:val="9"/>
              </w:numPr>
              <w:spacing w:before="120" w:line="276" w:lineRule="auto"/>
              <w:rPr>
                <w:rFonts w:asciiTheme="minorHAnsi" w:hAnsiTheme="minorHAnsi" w:cstheme="minorHAnsi"/>
                <w:iCs/>
              </w:rPr>
            </w:pPr>
            <w:r w:rsidRPr="00F81BF0">
              <w:rPr>
                <w:rFonts w:asciiTheme="minorHAnsi" w:hAnsiTheme="minorHAnsi" w:cstheme="minorHAnsi"/>
                <w:iCs/>
              </w:rPr>
              <w:t>This would require amending the TC ToRs -</w:t>
            </w:r>
            <w:r w:rsidR="001C17A8">
              <w:rPr>
                <w:rFonts w:asciiTheme="minorHAnsi" w:hAnsiTheme="minorHAnsi" w:cstheme="minorHAnsi"/>
                <w:iCs/>
              </w:rPr>
              <w:t xml:space="preserve"> </w:t>
            </w:r>
            <w:r w:rsidRPr="00F81BF0">
              <w:rPr>
                <w:rFonts w:asciiTheme="minorHAnsi" w:hAnsiTheme="minorHAnsi" w:cstheme="minorHAnsi"/>
                <w:iCs/>
              </w:rPr>
              <w:t>Enlarge the Technical Committee’s role in project implementation such as problem-solving and coordination with TC members that requires senior staff with decision making power</w:t>
            </w:r>
          </w:p>
        </w:tc>
      </w:tr>
      <w:tr w:rsidR="00F358BC" w:rsidRPr="00B30A31" w14:paraId="76256F0E" w14:textId="7045B6EA" w:rsidTr="006C4AF6">
        <w:tc>
          <w:tcPr>
            <w:tcW w:w="2700" w:type="dxa"/>
            <w:vMerge/>
          </w:tcPr>
          <w:p w14:paraId="5DFD9F08"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157DB108" w14:textId="2C3EFA4D"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7</w:t>
            </w:r>
          </w:p>
        </w:tc>
        <w:tc>
          <w:tcPr>
            <w:tcW w:w="3600" w:type="dxa"/>
          </w:tcPr>
          <w:p w14:paraId="65CAF07D" w14:textId="31C81FE1"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Improve communication between stakeholders</w:t>
            </w:r>
          </w:p>
        </w:tc>
        <w:tc>
          <w:tcPr>
            <w:tcW w:w="3150" w:type="dxa"/>
          </w:tcPr>
          <w:p w14:paraId="3578CB8B" w14:textId="6F68755A" w:rsidR="00F358BC" w:rsidRPr="00B30A31" w:rsidRDefault="0000695C" w:rsidP="00B30A31">
            <w:pPr>
              <w:spacing w:before="120" w:line="276" w:lineRule="auto"/>
              <w:rPr>
                <w:rFonts w:asciiTheme="minorHAnsi" w:hAnsiTheme="minorHAnsi" w:cstheme="minorHAnsi"/>
                <w:iCs/>
                <w:sz w:val="20"/>
                <w:szCs w:val="20"/>
                <w:highlight w:val="yellow"/>
                <w:lang w:val="en-US"/>
              </w:rPr>
            </w:pPr>
            <w:r w:rsidRPr="00B30A31">
              <w:rPr>
                <w:rFonts w:asciiTheme="minorHAnsi" w:hAnsiTheme="minorHAnsi" w:cstheme="minorHAnsi"/>
                <w:iCs/>
                <w:sz w:val="20"/>
                <w:szCs w:val="20"/>
                <w:lang w:val="en-US"/>
              </w:rPr>
              <w:t xml:space="preserve"> </w:t>
            </w:r>
            <w:r w:rsidR="00B30A31" w:rsidRPr="00B30A31">
              <w:rPr>
                <w:rFonts w:asciiTheme="minorHAnsi" w:hAnsiTheme="minorHAnsi" w:cstheme="minorHAnsi"/>
                <w:iCs/>
                <w:sz w:val="20"/>
                <w:szCs w:val="20"/>
                <w:lang w:val="en-US"/>
              </w:rPr>
              <w:t>Strengthen communication and exchange activities among stakeholders, institutions</w:t>
            </w:r>
            <w:r w:rsidR="00B30A31">
              <w:rPr>
                <w:rFonts w:asciiTheme="minorHAnsi" w:hAnsiTheme="minorHAnsi" w:cstheme="minorHAnsi"/>
                <w:iCs/>
                <w:sz w:val="20"/>
                <w:szCs w:val="20"/>
                <w:lang w:val="en-US"/>
              </w:rPr>
              <w:t xml:space="preserve"> directly</w:t>
            </w:r>
            <w:r w:rsidR="00B30A31" w:rsidRPr="00B30A31">
              <w:rPr>
                <w:rFonts w:asciiTheme="minorHAnsi" w:hAnsiTheme="minorHAnsi" w:cstheme="minorHAnsi"/>
                <w:iCs/>
                <w:sz w:val="20"/>
                <w:szCs w:val="20"/>
                <w:lang w:val="en-US"/>
              </w:rPr>
              <w:t xml:space="preserve"> involved and internally within the project team</w:t>
            </w:r>
            <w:r w:rsidR="00B30A31" w:rsidRPr="00B30A31">
              <w:rPr>
                <w:rFonts w:asciiTheme="minorHAnsi" w:hAnsiTheme="minorHAnsi" w:cstheme="minorHAnsi"/>
                <w:iCs/>
                <w:sz w:val="20"/>
                <w:szCs w:val="20"/>
                <w:highlight w:val="yellow"/>
                <w:lang w:val="en-US"/>
              </w:rPr>
              <w:t xml:space="preserve"> </w:t>
            </w:r>
          </w:p>
        </w:tc>
      </w:tr>
      <w:tr w:rsidR="00F358BC" w:rsidRPr="00F81BF0" w14:paraId="1059EF4A" w14:textId="37AAAE02" w:rsidTr="006C4AF6">
        <w:tc>
          <w:tcPr>
            <w:tcW w:w="2700" w:type="dxa"/>
            <w:vMerge w:val="restart"/>
          </w:tcPr>
          <w:p w14:paraId="15226AF1" w14:textId="6F977C38" w:rsidR="00F358BC" w:rsidRPr="006C4AF6" w:rsidRDefault="00F358BC" w:rsidP="001C6AFC">
            <w:pPr>
              <w:spacing w:before="120" w:line="276" w:lineRule="auto"/>
              <w:rPr>
                <w:rFonts w:asciiTheme="minorHAnsi" w:hAnsiTheme="minorHAnsi" w:cstheme="minorHAnsi"/>
                <w:b/>
                <w:bCs/>
                <w:iCs/>
                <w:sz w:val="20"/>
                <w:szCs w:val="20"/>
              </w:rPr>
            </w:pPr>
            <w:r w:rsidRPr="006C4AF6">
              <w:rPr>
                <w:rFonts w:asciiTheme="minorHAnsi" w:hAnsiTheme="minorHAnsi" w:cstheme="minorHAnsi"/>
                <w:b/>
                <w:bCs/>
                <w:iCs/>
                <w:sz w:val="20"/>
                <w:szCs w:val="20"/>
              </w:rPr>
              <w:t>1.1.2</w:t>
            </w:r>
            <w:r w:rsidRPr="006C4AF6">
              <w:rPr>
                <w:rFonts w:asciiTheme="minorHAnsi" w:hAnsiTheme="minorHAnsi" w:cstheme="minorHAnsi"/>
                <w:b/>
                <w:bCs/>
                <w:iCs/>
                <w:sz w:val="20"/>
                <w:szCs w:val="20"/>
              </w:rPr>
              <w:tab/>
              <w:t>Actions to follow-up or reinforce initial benefits from the project</w:t>
            </w:r>
          </w:p>
        </w:tc>
        <w:tc>
          <w:tcPr>
            <w:tcW w:w="450" w:type="dxa"/>
          </w:tcPr>
          <w:p w14:paraId="752AE40D" w14:textId="07153105" w:rsidR="00F358BC" w:rsidRPr="00F81BF0" w:rsidRDefault="00F358BC" w:rsidP="001C6AFC">
            <w:pPr>
              <w:spacing w:before="120" w:line="276" w:lineRule="auto"/>
              <w:rPr>
                <w:rFonts w:asciiTheme="minorHAnsi" w:hAnsiTheme="minorHAnsi" w:cstheme="minorHAnsi"/>
                <w:iCs/>
                <w:sz w:val="20"/>
                <w:szCs w:val="20"/>
              </w:rPr>
            </w:pPr>
            <w:r>
              <w:rPr>
                <w:rFonts w:asciiTheme="minorHAnsi" w:hAnsiTheme="minorHAnsi" w:cstheme="minorHAnsi"/>
                <w:iCs/>
                <w:sz w:val="20"/>
                <w:szCs w:val="20"/>
              </w:rPr>
              <w:t>8</w:t>
            </w:r>
          </w:p>
        </w:tc>
        <w:tc>
          <w:tcPr>
            <w:tcW w:w="3600" w:type="dxa"/>
          </w:tcPr>
          <w:p w14:paraId="646D66F5" w14:textId="163D2281"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Institutional lobbying to raise awareness on the added value of mainstreaming biodiversity into the tourism sector</w:t>
            </w:r>
          </w:p>
        </w:tc>
        <w:tc>
          <w:tcPr>
            <w:tcW w:w="3150" w:type="dxa"/>
          </w:tcPr>
          <w:p w14:paraId="79644500" w14:textId="12B8E58A" w:rsidR="00F358BC" w:rsidRPr="00F81BF0" w:rsidRDefault="00B30A31" w:rsidP="001C6AFC">
            <w:pPr>
              <w:spacing w:before="120" w:line="276" w:lineRule="auto"/>
              <w:rPr>
                <w:rFonts w:asciiTheme="minorHAnsi" w:hAnsiTheme="minorHAnsi" w:cstheme="minorHAnsi"/>
                <w:iCs/>
                <w:sz w:val="20"/>
                <w:szCs w:val="20"/>
              </w:rPr>
            </w:pPr>
            <w:r w:rsidRPr="00B30A31">
              <w:rPr>
                <w:rFonts w:asciiTheme="minorHAnsi" w:hAnsiTheme="minorHAnsi" w:cstheme="minorHAnsi"/>
                <w:iCs/>
                <w:sz w:val="20"/>
                <w:szCs w:val="20"/>
                <w:lang w:val="en-US"/>
              </w:rPr>
              <w:t>Promote greater dynamism and strengthen communication and exchange activities among stakeholders with a special focus</w:t>
            </w:r>
            <w:r>
              <w:rPr>
                <w:rFonts w:asciiTheme="minorHAnsi" w:hAnsiTheme="minorHAnsi" w:cstheme="minorHAnsi"/>
                <w:iCs/>
                <w:sz w:val="20"/>
                <w:szCs w:val="20"/>
                <w:lang w:val="en-US"/>
              </w:rPr>
              <w:t xml:space="preserve"> to the </w:t>
            </w:r>
            <w:r w:rsidR="00F358BC" w:rsidRPr="00F81BF0">
              <w:rPr>
                <w:rFonts w:asciiTheme="minorHAnsi" w:hAnsiTheme="minorHAnsi" w:cstheme="minorHAnsi"/>
                <w:iCs/>
                <w:sz w:val="20"/>
                <w:szCs w:val="20"/>
              </w:rPr>
              <w:t xml:space="preserve">decision-makers that have to </w:t>
            </w:r>
            <w:r w:rsidR="00F358BC" w:rsidRPr="00F81BF0">
              <w:rPr>
                <w:rFonts w:asciiTheme="minorHAnsi" w:hAnsiTheme="minorHAnsi" w:cstheme="minorHAnsi"/>
                <w:iCs/>
                <w:sz w:val="20"/>
                <w:szCs w:val="20"/>
              </w:rPr>
              <w:lastRenderedPageBreak/>
              <w:t>approve new legal instruments and institutional beneficiaries that have to collaborate on the project</w:t>
            </w:r>
          </w:p>
          <w:p w14:paraId="5413A2D0" w14:textId="24EDA18C" w:rsidR="00F358BC" w:rsidRPr="00F81BF0" w:rsidRDefault="0000695C" w:rsidP="001C6AFC">
            <w:pPr>
              <w:spacing w:before="120" w:line="276" w:lineRule="auto"/>
              <w:rPr>
                <w:rFonts w:asciiTheme="minorHAnsi" w:hAnsiTheme="minorHAnsi" w:cstheme="minorHAnsi"/>
                <w:iCs/>
                <w:sz w:val="20"/>
                <w:szCs w:val="20"/>
              </w:rPr>
            </w:pPr>
            <w:r>
              <w:rPr>
                <w:rFonts w:asciiTheme="minorHAnsi" w:hAnsiTheme="minorHAnsi" w:cstheme="minorHAnsi"/>
                <w:iCs/>
                <w:sz w:val="20"/>
                <w:szCs w:val="20"/>
              </w:rPr>
              <w:t xml:space="preserve">Promote </w:t>
            </w:r>
            <w:r w:rsidR="00F358BC" w:rsidRPr="00F81BF0">
              <w:rPr>
                <w:rFonts w:asciiTheme="minorHAnsi" w:hAnsiTheme="minorHAnsi" w:cstheme="minorHAnsi"/>
                <w:iCs/>
                <w:sz w:val="20"/>
                <w:szCs w:val="20"/>
              </w:rPr>
              <w:t>a program of international conferences bringing international NGOs and institutions specialised in biodiversity and sustainable tourism as well as a selection of Government institutions from other countries that already have functional PA finance mechanism and other mechanisms</w:t>
            </w:r>
          </w:p>
        </w:tc>
      </w:tr>
      <w:tr w:rsidR="00F358BC" w:rsidRPr="00F81BF0" w14:paraId="68287D03" w14:textId="050F19B3" w:rsidTr="006C4AF6">
        <w:tc>
          <w:tcPr>
            <w:tcW w:w="2700" w:type="dxa"/>
            <w:vMerge/>
          </w:tcPr>
          <w:p w14:paraId="653DA8AC" w14:textId="77777777" w:rsidR="00F358BC" w:rsidRPr="00F81BF0" w:rsidRDefault="00F358BC" w:rsidP="001C6AFC">
            <w:pPr>
              <w:spacing w:before="120" w:line="276" w:lineRule="auto"/>
              <w:rPr>
                <w:rFonts w:asciiTheme="minorHAnsi" w:hAnsiTheme="minorHAnsi" w:cstheme="minorHAnsi"/>
                <w:iCs/>
                <w:sz w:val="20"/>
                <w:szCs w:val="20"/>
              </w:rPr>
            </w:pPr>
          </w:p>
        </w:tc>
        <w:tc>
          <w:tcPr>
            <w:tcW w:w="450" w:type="dxa"/>
          </w:tcPr>
          <w:p w14:paraId="630E2E61" w14:textId="53064683" w:rsidR="00F358BC" w:rsidRPr="00F81BF0" w:rsidRDefault="00F358BC" w:rsidP="001C6AFC">
            <w:pPr>
              <w:spacing w:before="120" w:line="276" w:lineRule="auto"/>
              <w:rPr>
                <w:rFonts w:asciiTheme="minorHAnsi" w:hAnsiTheme="minorHAnsi" w:cstheme="minorHAnsi"/>
                <w:iCs/>
                <w:sz w:val="20"/>
                <w:szCs w:val="20"/>
              </w:rPr>
            </w:pPr>
            <w:r>
              <w:rPr>
                <w:rFonts w:asciiTheme="minorHAnsi" w:hAnsiTheme="minorHAnsi" w:cstheme="minorHAnsi"/>
                <w:iCs/>
                <w:sz w:val="20"/>
                <w:szCs w:val="20"/>
              </w:rPr>
              <w:t>9</w:t>
            </w:r>
          </w:p>
        </w:tc>
        <w:tc>
          <w:tcPr>
            <w:tcW w:w="3600" w:type="dxa"/>
          </w:tcPr>
          <w:p w14:paraId="097CB092" w14:textId="4B5B30F4" w:rsidR="00F358BC" w:rsidRPr="00F81BF0"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 xml:space="preserve">Lack of horizontal articulation between MAA and MTT </w:t>
            </w:r>
          </w:p>
        </w:tc>
        <w:tc>
          <w:tcPr>
            <w:tcW w:w="3150" w:type="dxa"/>
          </w:tcPr>
          <w:p w14:paraId="6626F1B5" w14:textId="1DF3D386" w:rsidR="00F358BC" w:rsidRPr="00F81BF0" w:rsidRDefault="00F358BC" w:rsidP="001C6AFC">
            <w:pPr>
              <w:spacing w:before="120" w:line="276" w:lineRule="auto"/>
              <w:rPr>
                <w:rFonts w:asciiTheme="minorHAnsi" w:hAnsiTheme="minorHAnsi" w:cstheme="minorHAnsi"/>
                <w:iCs/>
                <w:sz w:val="20"/>
                <w:szCs w:val="20"/>
              </w:rPr>
            </w:pPr>
            <w:r w:rsidRPr="00F81BF0">
              <w:rPr>
                <w:rFonts w:asciiTheme="minorHAnsi" w:hAnsiTheme="minorHAnsi" w:cstheme="minorHAnsi"/>
                <w:iCs/>
                <w:sz w:val="20"/>
                <w:szCs w:val="20"/>
              </w:rPr>
              <w:t>Splitting the project outputs and corresponding budgets as per main responsible parties (MAA and MTT)</w:t>
            </w:r>
          </w:p>
          <w:p w14:paraId="0F8E7B9A" w14:textId="7F138C6F" w:rsidR="00F358BC" w:rsidRPr="00F81BF0" w:rsidRDefault="00F358BC" w:rsidP="001C6AFC">
            <w:pPr>
              <w:spacing w:before="120" w:line="276" w:lineRule="auto"/>
              <w:rPr>
                <w:rFonts w:asciiTheme="minorHAnsi" w:hAnsiTheme="minorHAnsi" w:cstheme="minorHAnsi"/>
                <w:iCs/>
                <w:sz w:val="20"/>
                <w:szCs w:val="20"/>
              </w:rPr>
            </w:pPr>
            <w:r w:rsidRPr="00F81BF0">
              <w:rPr>
                <w:rFonts w:asciiTheme="minorHAnsi" w:hAnsiTheme="minorHAnsi" w:cstheme="minorHAnsi"/>
                <w:iCs/>
                <w:sz w:val="20"/>
                <w:szCs w:val="20"/>
              </w:rPr>
              <w:t>Increase participation of MTT through co-chairing PSC and raising the profile of tourism expertise into PMU</w:t>
            </w:r>
          </w:p>
        </w:tc>
      </w:tr>
      <w:tr w:rsidR="00F358BC" w:rsidRPr="00F81BF0" w14:paraId="5BCF5936" w14:textId="601A1BAE" w:rsidTr="006C4AF6">
        <w:tc>
          <w:tcPr>
            <w:tcW w:w="2700" w:type="dxa"/>
          </w:tcPr>
          <w:p w14:paraId="7450D386" w14:textId="6233A234" w:rsidR="00F358BC" w:rsidRPr="006C4AF6" w:rsidRDefault="00F358BC" w:rsidP="001C6AFC">
            <w:pPr>
              <w:spacing w:before="120" w:line="276" w:lineRule="auto"/>
              <w:rPr>
                <w:rFonts w:asciiTheme="minorHAnsi" w:hAnsiTheme="minorHAnsi" w:cstheme="minorHAnsi"/>
                <w:b/>
                <w:bCs/>
                <w:iCs/>
                <w:sz w:val="20"/>
                <w:szCs w:val="20"/>
              </w:rPr>
            </w:pPr>
            <w:r w:rsidRPr="006C4AF6">
              <w:rPr>
                <w:rFonts w:asciiTheme="minorHAnsi" w:hAnsiTheme="minorHAnsi" w:cstheme="minorHAnsi"/>
                <w:b/>
                <w:bCs/>
                <w:iCs/>
                <w:sz w:val="20"/>
                <w:szCs w:val="20"/>
              </w:rPr>
              <w:t>1.1.3</w:t>
            </w:r>
            <w:r w:rsidRPr="006C4AF6">
              <w:rPr>
                <w:rFonts w:asciiTheme="minorHAnsi" w:hAnsiTheme="minorHAnsi" w:cstheme="minorHAnsi"/>
                <w:b/>
                <w:bCs/>
                <w:iCs/>
                <w:sz w:val="20"/>
                <w:szCs w:val="20"/>
              </w:rPr>
              <w:tab/>
              <w:t>Proposals for future directions underlining main objectives</w:t>
            </w:r>
          </w:p>
        </w:tc>
        <w:tc>
          <w:tcPr>
            <w:tcW w:w="450" w:type="dxa"/>
          </w:tcPr>
          <w:p w14:paraId="1702466F" w14:textId="52FDBBAF" w:rsidR="00F358BC" w:rsidRPr="00F81BF0" w:rsidRDefault="00F358B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10</w:t>
            </w:r>
          </w:p>
        </w:tc>
        <w:tc>
          <w:tcPr>
            <w:tcW w:w="3600" w:type="dxa"/>
          </w:tcPr>
          <w:p w14:paraId="5BCFAA0C" w14:textId="53896D42" w:rsidR="00F358BC" w:rsidRPr="007A5147" w:rsidRDefault="00F358BC" w:rsidP="007A5147">
            <w:pPr>
              <w:pStyle w:val="ListParagraph"/>
              <w:numPr>
                <w:ilvl w:val="0"/>
                <w:numId w:val="11"/>
              </w:numPr>
              <w:spacing w:before="120" w:line="276" w:lineRule="auto"/>
              <w:rPr>
                <w:rFonts w:asciiTheme="minorHAnsi" w:hAnsiTheme="minorHAnsi" w:cstheme="minorHAnsi"/>
                <w:iCs/>
              </w:rPr>
            </w:pPr>
            <w:r w:rsidRPr="00F81BF0">
              <w:rPr>
                <w:rFonts w:asciiTheme="minorHAnsi" w:hAnsiTheme="minorHAnsi" w:cstheme="minorHAnsi"/>
                <w:iCs/>
              </w:rPr>
              <w:t>Institutional lobbying to alter the focus of the SDTIBM and take into account sustainable tourism principles</w:t>
            </w:r>
          </w:p>
        </w:tc>
        <w:tc>
          <w:tcPr>
            <w:tcW w:w="3150" w:type="dxa"/>
          </w:tcPr>
          <w:p w14:paraId="48BB7DA1" w14:textId="6E21E729" w:rsidR="00F358BC" w:rsidRPr="00F81BF0" w:rsidRDefault="0000695C" w:rsidP="00F81BF0">
            <w:pPr>
              <w:spacing w:before="120" w:line="276" w:lineRule="auto"/>
              <w:rPr>
                <w:rFonts w:asciiTheme="minorHAnsi" w:hAnsiTheme="minorHAnsi" w:cstheme="minorHAnsi"/>
                <w:iCs/>
                <w:sz w:val="20"/>
                <w:szCs w:val="20"/>
              </w:rPr>
            </w:pPr>
            <w:r>
              <w:rPr>
                <w:rFonts w:asciiTheme="minorHAnsi" w:hAnsiTheme="minorHAnsi" w:cstheme="minorHAnsi"/>
                <w:iCs/>
                <w:sz w:val="20"/>
                <w:szCs w:val="20"/>
              </w:rPr>
              <w:t>E</w:t>
            </w:r>
            <w:r w:rsidRPr="0000695C">
              <w:rPr>
                <w:rFonts w:asciiTheme="minorHAnsi" w:hAnsiTheme="minorHAnsi" w:cstheme="minorHAnsi"/>
                <w:iCs/>
                <w:sz w:val="20"/>
                <w:szCs w:val="20"/>
              </w:rPr>
              <w:t>xamine opportunities for integrating biodiversity conservation principles into the tourism sector, for example through the SDTIBM or the newly established tourism institute, to promote sustainable tourism as an essential tool for tourism development</w:t>
            </w:r>
          </w:p>
        </w:tc>
      </w:tr>
    </w:tbl>
    <w:p w14:paraId="5F848599" w14:textId="4D700AB4" w:rsidR="006C4AF6" w:rsidRDefault="006C4AF6" w:rsidP="006C4AF6"/>
    <w:p w14:paraId="5E5787BC" w14:textId="77777777" w:rsidR="006C4AF6" w:rsidRPr="006C4AF6" w:rsidRDefault="006C4AF6" w:rsidP="006C4AF6"/>
    <w:sectPr w:rsidR="006C4AF6" w:rsidRPr="006C4AF6" w:rsidSect="006C4A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0275" w14:textId="77777777" w:rsidR="00584D1B" w:rsidRDefault="00584D1B" w:rsidP="001C6AFC">
      <w:pPr>
        <w:spacing w:after="0"/>
      </w:pPr>
      <w:r>
        <w:separator/>
      </w:r>
    </w:p>
  </w:endnote>
  <w:endnote w:type="continuationSeparator" w:id="0">
    <w:p w14:paraId="52F6CE3B" w14:textId="77777777" w:rsidR="00584D1B" w:rsidRDefault="00584D1B" w:rsidP="001C6A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5959" w14:textId="77777777" w:rsidR="00584D1B" w:rsidRDefault="00584D1B" w:rsidP="001C6AFC">
      <w:pPr>
        <w:spacing w:after="0"/>
      </w:pPr>
      <w:r>
        <w:separator/>
      </w:r>
    </w:p>
  </w:footnote>
  <w:footnote w:type="continuationSeparator" w:id="0">
    <w:p w14:paraId="2995C82A" w14:textId="77777777" w:rsidR="00584D1B" w:rsidRDefault="00584D1B" w:rsidP="001C6A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0AFE"/>
    <w:multiLevelType w:val="hybridMultilevel"/>
    <w:tmpl w:val="9B688866"/>
    <w:lvl w:ilvl="0" w:tplc="A16E69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2175D4"/>
    <w:multiLevelType w:val="hybridMultilevel"/>
    <w:tmpl w:val="1D7ED16A"/>
    <w:lvl w:ilvl="0" w:tplc="71623F3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F604B85"/>
    <w:multiLevelType w:val="hybridMultilevel"/>
    <w:tmpl w:val="F6664100"/>
    <w:lvl w:ilvl="0" w:tplc="B76E8F7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BB39C5"/>
    <w:multiLevelType w:val="hybridMultilevel"/>
    <w:tmpl w:val="0CBCCC96"/>
    <w:lvl w:ilvl="0" w:tplc="71623F3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D567272"/>
    <w:multiLevelType w:val="multilevel"/>
    <w:tmpl w:val="D31A44E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44" w:hanging="576"/>
      </w:pPr>
      <w:rPr>
        <w:rFonts w:hint="default"/>
      </w:rPr>
    </w:lvl>
    <w:lvl w:ilvl="2">
      <w:start w:val="1"/>
      <w:numFmt w:val="decimal"/>
      <w:pStyle w:val="Heading3"/>
      <w:lvlText w:val="%1.%2.%3"/>
      <w:lvlJc w:val="left"/>
      <w:pPr>
        <w:ind w:left="1890" w:hanging="720"/>
      </w:pPr>
      <w:rPr>
        <w:rFonts w:hint="default"/>
      </w:rPr>
    </w:lvl>
    <w:lvl w:ilvl="3">
      <w:start w:val="1"/>
      <w:numFmt w:val="decimal"/>
      <w:pStyle w:val="Heading4"/>
      <w:lvlText w:val="%1.%2.%3.%4"/>
      <w:lvlJc w:val="left"/>
      <w:pPr>
        <w:ind w:left="113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0B70F0F"/>
    <w:multiLevelType w:val="hybridMultilevel"/>
    <w:tmpl w:val="7ED677C4"/>
    <w:lvl w:ilvl="0" w:tplc="FACE5E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930E16"/>
    <w:multiLevelType w:val="hybridMultilevel"/>
    <w:tmpl w:val="99E67972"/>
    <w:lvl w:ilvl="0" w:tplc="35FC638E">
      <w:start w:val="1"/>
      <w:numFmt w:val="decimal"/>
      <w:pStyle w:val="HeadingSection-TextBox"/>
      <w:suff w:val="space"/>
      <w:lvlText w:val="SECTION %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1101156"/>
    <w:multiLevelType w:val="hybridMultilevel"/>
    <w:tmpl w:val="1D7ED16A"/>
    <w:lvl w:ilvl="0" w:tplc="71623F3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6BB59E1"/>
    <w:multiLevelType w:val="hybridMultilevel"/>
    <w:tmpl w:val="1D7ED16A"/>
    <w:lvl w:ilvl="0" w:tplc="71623F38">
      <w:start w:val="1"/>
      <w:numFmt w:val="lowerLetter"/>
      <w:lvlText w:val="%1)"/>
      <w:lvlJc w:val="left"/>
      <w:pPr>
        <w:ind w:left="-180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360" w:hanging="180"/>
      </w:pPr>
    </w:lvl>
    <w:lvl w:ilvl="3" w:tplc="040C000F" w:tentative="1">
      <w:start w:val="1"/>
      <w:numFmt w:val="decimal"/>
      <w:lvlText w:val="%4."/>
      <w:lvlJc w:val="left"/>
      <w:pPr>
        <w:ind w:left="360" w:hanging="360"/>
      </w:pPr>
    </w:lvl>
    <w:lvl w:ilvl="4" w:tplc="040C0019" w:tentative="1">
      <w:start w:val="1"/>
      <w:numFmt w:val="lowerLetter"/>
      <w:lvlText w:val="%5."/>
      <w:lvlJc w:val="left"/>
      <w:pPr>
        <w:ind w:left="1080" w:hanging="360"/>
      </w:pPr>
    </w:lvl>
    <w:lvl w:ilvl="5" w:tplc="040C001B" w:tentative="1">
      <w:start w:val="1"/>
      <w:numFmt w:val="lowerRoman"/>
      <w:lvlText w:val="%6."/>
      <w:lvlJc w:val="right"/>
      <w:pPr>
        <w:ind w:left="1800" w:hanging="180"/>
      </w:pPr>
    </w:lvl>
    <w:lvl w:ilvl="6" w:tplc="040C000F" w:tentative="1">
      <w:start w:val="1"/>
      <w:numFmt w:val="decimal"/>
      <w:lvlText w:val="%7."/>
      <w:lvlJc w:val="left"/>
      <w:pPr>
        <w:ind w:left="2520" w:hanging="360"/>
      </w:pPr>
    </w:lvl>
    <w:lvl w:ilvl="7" w:tplc="040C0019" w:tentative="1">
      <w:start w:val="1"/>
      <w:numFmt w:val="lowerLetter"/>
      <w:lvlText w:val="%8."/>
      <w:lvlJc w:val="left"/>
      <w:pPr>
        <w:ind w:left="3240" w:hanging="360"/>
      </w:pPr>
    </w:lvl>
    <w:lvl w:ilvl="8" w:tplc="040C001B" w:tentative="1">
      <w:start w:val="1"/>
      <w:numFmt w:val="lowerRoman"/>
      <w:lvlText w:val="%9."/>
      <w:lvlJc w:val="right"/>
      <w:pPr>
        <w:ind w:left="3960" w:hanging="180"/>
      </w:pPr>
    </w:lvl>
  </w:abstractNum>
  <w:abstractNum w:abstractNumId="9" w15:restartNumberingAfterBreak="0">
    <w:nsid w:val="73F302AA"/>
    <w:multiLevelType w:val="hybridMultilevel"/>
    <w:tmpl w:val="B11E7190"/>
    <w:lvl w:ilvl="0" w:tplc="B76E8F7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606C78"/>
    <w:multiLevelType w:val="hybridMultilevel"/>
    <w:tmpl w:val="0BE49D0E"/>
    <w:lvl w:ilvl="0" w:tplc="B76E8F7A">
      <w:start w:val="1"/>
      <w:numFmt w:val="bullet"/>
      <w:lvlText w:val="-"/>
      <w:lvlJc w:val="left"/>
      <w:pPr>
        <w:tabs>
          <w:tab w:val="num" w:pos="720"/>
        </w:tabs>
        <w:ind w:left="720" w:hanging="360"/>
      </w:pPr>
      <w:rPr>
        <w:rFonts w:ascii="Times New Roman" w:hAnsi="Times New Roman" w:hint="default"/>
      </w:rPr>
    </w:lvl>
    <w:lvl w:ilvl="1" w:tplc="DDF820B8" w:tentative="1">
      <w:start w:val="1"/>
      <w:numFmt w:val="bullet"/>
      <w:lvlText w:val="-"/>
      <w:lvlJc w:val="left"/>
      <w:pPr>
        <w:tabs>
          <w:tab w:val="num" w:pos="1440"/>
        </w:tabs>
        <w:ind w:left="1440" w:hanging="360"/>
      </w:pPr>
      <w:rPr>
        <w:rFonts w:ascii="Times New Roman" w:hAnsi="Times New Roman" w:hint="default"/>
      </w:rPr>
    </w:lvl>
    <w:lvl w:ilvl="2" w:tplc="8182B926" w:tentative="1">
      <w:start w:val="1"/>
      <w:numFmt w:val="bullet"/>
      <w:lvlText w:val="-"/>
      <w:lvlJc w:val="left"/>
      <w:pPr>
        <w:tabs>
          <w:tab w:val="num" w:pos="2160"/>
        </w:tabs>
        <w:ind w:left="2160" w:hanging="360"/>
      </w:pPr>
      <w:rPr>
        <w:rFonts w:ascii="Times New Roman" w:hAnsi="Times New Roman" w:hint="default"/>
      </w:rPr>
    </w:lvl>
    <w:lvl w:ilvl="3" w:tplc="72D854D2" w:tentative="1">
      <w:start w:val="1"/>
      <w:numFmt w:val="bullet"/>
      <w:lvlText w:val="-"/>
      <w:lvlJc w:val="left"/>
      <w:pPr>
        <w:tabs>
          <w:tab w:val="num" w:pos="2880"/>
        </w:tabs>
        <w:ind w:left="2880" w:hanging="360"/>
      </w:pPr>
      <w:rPr>
        <w:rFonts w:ascii="Times New Roman" w:hAnsi="Times New Roman" w:hint="default"/>
      </w:rPr>
    </w:lvl>
    <w:lvl w:ilvl="4" w:tplc="56C2E134" w:tentative="1">
      <w:start w:val="1"/>
      <w:numFmt w:val="bullet"/>
      <w:lvlText w:val="-"/>
      <w:lvlJc w:val="left"/>
      <w:pPr>
        <w:tabs>
          <w:tab w:val="num" w:pos="3600"/>
        </w:tabs>
        <w:ind w:left="3600" w:hanging="360"/>
      </w:pPr>
      <w:rPr>
        <w:rFonts w:ascii="Times New Roman" w:hAnsi="Times New Roman" w:hint="default"/>
      </w:rPr>
    </w:lvl>
    <w:lvl w:ilvl="5" w:tplc="3620C54A" w:tentative="1">
      <w:start w:val="1"/>
      <w:numFmt w:val="bullet"/>
      <w:lvlText w:val="-"/>
      <w:lvlJc w:val="left"/>
      <w:pPr>
        <w:tabs>
          <w:tab w:val="num" w:pos="4320"/>
        </w:tabs>
        <w:ind w:left="4320" w:hanging="360"/>
      </w:pPr>
      <w:rPr>
        <w:rFonts w:ascii="Times New Roman" w:hAnsi="Times New Roman" w:hint="default"/>
      </w:rPr>
    </w:lvl>
    <w:lvl w:ilvl="6" w:tplc="487AC3B4" w:tentative="1">
      <w:start w:val="1"/>
      <w:numFmt w:val="bullet"/>
      <w:lvlText w:val="-"/>
      <w:lvlJc w:val="left"/>
      <w:pPr>
        <w:tabs>
          <w:tab w:val="num" w:pos="5040"/>
        </w:tabs>
        <w:ind w:left="5040" w:hanging="360"/>
      </w:pPr>
      <w:rPr>
        <w:rFonts w:ascii="Times New Roman" w:hAnsi="Times New Roman" w:hint="default"/>
      </w:rPr>
    </w:lvl>
    <w:lvl w:ilvl="7" w:tplc="69380188" w:tentative="1">
      <w:start w:val="1"/>
      <w:numFmt w:val="bullet"/>
      <w:lvlText w:val="-"/>
      <w:lvlJc w:val="left"/>
      <w:pPr>
        <w:tabs>
          <w:tab w:val="num" w:pos="5760"/>
        </w:tabs>
        <w:ind w:left="5760" w:hanging="360"/>
      </w:pPr>
      <w:rPr>
        <w:rFonts w:ascii="Times New Roman" w:hAnsi="Times New Roman" w:hint="default"/>
      </w:rPr>
    </w:lvl>
    <w:lvl w:ilvl="8" w:tplc="35964DF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10"/>
  </w:num>
  <w:num w:numId="4">
    <w:abstractNumId w:val="8"/>
  </w:num>
  <w:num w:numId="5">
    <w:abstractNumId w:val="6"/>
  </w:num>
  <w:num w:numId="6">
    <w:abstractNumId w:val="5"/>
  </w:num>
  <w:num w:numId="7">
    <w:abstractNumId w:val="1"/>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FC"/>
    <w:rsid w:val="0000695C"/>
    <w:rsid w:val="000C4D73"/>
    <w:rsid w:val="000D4316"/>
    <w:rsid w:val="001347DB"/>
    <w:rsid w:val="00141E06"/>
    <w:rsid w:val="00146D42"/>
    <w:rsid w:val="00165BB7"/>
    <w:rsid w:val="001C17A8"/>
    <w:rsid w:val="001C6AFC"/>
    <w:rsid w:val="0026006E"/>
    <w:rsid w:val="0027349F"/>
    <w:rsid w:val="0029480F"/>
    <w:rsid w:val="002C1339"/>
    <w:rsid w:val="00302AAE"/>
    <w:rsid w:val="00310F24"/>
    <w:rsid w:val="00353FF1"/>
    <w:rsid w:val="00374DE7"/>
    <w:rsid w:val="00376940"/>
    <w:rsid w:val="003B662C"/>
    <w:rsid w:val="003C204A"/>
    <w:rsid w:val="004E302D"/>
    <w:rsid w:val="00584D1B"/>
    <w:rsid w:val="00606250"/>
    <w:rsid w:val="00624A6D"/>
    <w:rsid w:val="0068090F"/>
    <w:rsid w:val="006C4AF6"/>
    <w:rsid w:val="007078A3"/>
    <w:rsid w:val="007762CE"/>
    <w:rsid w:val="007A5147"/>
    <w:rsid w:val="00893798"/>
    <w:rsid w:val="008C03A5"/>
    <w:rsid w:val="008D3624"/>
    <w:rsid w:val="00914D83"/>
    <w:rsid w:val="00941A0F"/>
    <w:rsid w:val="009A4E60"/>
    <w:rsid w:val="00A1364C"/>
    <w:rsid w:val="00A24CE8"/>
    <w:rsid w:val="00A924FA"/>
    <w:rsid w:val="00A93CE2"/>
    <w:rsid w:val="00AF5293"/>
    <w:rsid w:val="00B14B62"/>
    <w:rsid w:val="00B233EE"/>
    <w:rsid w:val="00B30A31"/>
    <w:rsid w:val="00B5476A"/>
    <w:rsid w:val="00BC2107"/>
    <w:rsid w:val="00C516C7"/>
    <w:rsid w:val="00C820EE"/>
    <w:rsid w:val="00CC4B61"/>
    <w:rsid w:val="00D62DE4"/>
    <w:rsid w:val="00D63784"/>
    <w:rsid w:val="00D93ECD"/>
    <w:rsid w:val="00DF4FBB"/>
    <w:rsid w:val="00E15669"/>
    <w:rsid w:val="00E6538F"/>
    <w:rsid w:val="00EA3758"/>
    <w:rsid w:val="00F23A6B"/>
    <w:rsid w:val="00F267D9"/>
    <w:rsid w:val="00F358BC"/>
    <w:rsid w:val="00F60780"/>
    <w:rsid w:val="00F81BF0"/>
    <w:rsid w:val="00FF1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63195B"/>
  <w15:chartTrackingRefBased/>
  <w15:docId w15:val="{187B8D0F-5E03-47EA-ACBD-E9DE7DB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6AFC"/>
    <w:pPr>
      <w:spacing w:after="120" w:line="240" w:lineRule="auto"/>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1C6AFC"/>
    <w:pPr>
      <w:keepNext/>
      <w:keepLines/>
      <w:numPr>
        <w:numId w:val="1"/>
      </w:numPr>
      <w:pBdr>
        <w:bottom w:val="single" w:sz="12" w:space="1" w:color="C00000"/>
      </w:pBdr>
      <w:spacing w:before="240" w:after="60"/>
      <w:outlineLvl w:val="0"/>
    </w:pPr>
    <w:rPr>
      <w:rFonts w:eastAsia="Times New Roman"/>
      <w:b/>
      <w:bCs/>
      <w:color w:val="595959"/>
      <w:sz w:val="32"/>
      <w:szCs w:val="28"/>
    </w:rPr>
  </w:style>
  <w:style w:type="paragraph" w:styleId="Heading2">
    <w:name w:val="heading 2"/>
    <w:basedOn w:val="Heading1"/>
    <w:next w:val="Normal"/>
    <w:link w:val="Heading2Char"/>
    <w:uiPriority w:val="9"/>
    <w:unhideWhenUsed/>
    <w:qFormat/>
    <w:rsid w:val="001C6AFC"/>
    <w:pPr>
      <w:numPr>
        <w:ilvl w:val="1"/>
      </w:numPr>
      <w:spacing w:before="0" w:after="120"/>
      <w:outlineLvl w:val="1"/>
    </w:pPr>
    <w:rPr>
      <w:rFonts w:eastAsia="MS Gothic"/>
      <w:bCs w:val="0"/>
      <w:sz w:val="22"/>
      <w:szCs w:val="26"/>
    </w:rPr>
  </w:style>
  <w:style w:type="paragraph" w:styleId="Heading3">
    <w:name w:val="heading 3"/>
    <w:basedOn w:val="Heading2"/>
    <w:next w:val="Normal"/>
    <w:link w:val="Heading3Char"/>
    <w:uiPriority w:val="9"/>
    <w:unhideWhenUsed/>
    <w:qFormat/>
    <w:rsid w:val="001C6AFC"/>
    <w:pPr>
      <w:numPr>
        <w:ilvl w:val="2"/>
      </w:numPr>
      <w:spacing w:before="200" w:after="60"/>
      <w:outlineLvl w:val="2"/>
    </w:pPr>
    <w:rPr>
      <w:bCs/>
      <w:i/>
    </w:rPr>
  </w:style>
  <w:style w:type="paragraph" w:styleId="Heading4">
    <w:name w:val="heading 4"/>
    <w:basedOn w:val="Normal"/>
    <w:next w:val="Normal"/>
    <w:link w:val="Heading4Char"/>
    <w:uiPriority w:val="99"/>
    <w:unhideWhenUsed/>
    <w:qFormat/>
    <w:rsid w:val="001C6AFC"/>
    <w:pPr>
      <w:keepNext/>
      <w:keepLines/>
      <w:numPr>
        <w:ilvl w:val="3"/>
        <w:numId w:val="1"/>
      </w:numPr>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9"/>
    <w:unhideWhenUsed/>
    <w:qFormat/>
    <w:rsid w:val="001C6AFC"/>
    <w:pPr>
      <w:keepNext/>
      <w:keepLines/>
      <w:numPr>
        <w:ilvl w:val="4"/>
        <w:numId w:val="1"/>
      </w:numPr>
      <w:spacing w:before="200" w:after="0"/>
      <w:outlineLvl w:val="4"/>
    </w:pPr>
    <w:rPr>
      <w:rFonts w:ascii="Cambria" w:eastAsia="MS Gothic" w:hAnsi="Cambria"/>
      <w:color w:val="243F60"/>
    </w:rPr>
  </w:style>
  <w:style w:type="paragraph" w:styleId="Heading6">
    <w:name w:val="heading 6"/>
    <w:basedOn w:val="Normal"/>
    <w:next w:val="Normal"/>
    <w:link w:val="Heading6Char"/>
    <w:uiPriority w:val="99"/>
    <w:unhideWhenUsed/>
    <w:qFormat/>
    <w:rsid w:val="001C6AFC"/>
    <w:pPr>
      <w:keepNext/>
      <w:keepLines/>
      <w:numPr>
        <w:ilvl w:val="5"/>
        <w:numId w:val="1"/>
      </w:numPr>
      <w:spacing w:before="200" w:after="0"/>
      <w:outlineLvl w:val="5"/>
    </w:pPr>
    <w:rPr>
      <w:rFonts w:ascii="Cambria" w:eastAsia="MS Gothic" w:hAnsi="Cambria"/>
      <w:i/>
      <w:iCs/>
      <w:color w:val="243F60"/>
    </w:rPr>
  </w:style>
  <w:style w:type="paragraph" w:styleId="Heading7">
    <w:name w:val="heading 7"/>
    <w:basedOn w:val="Normal"/>
    <w:next w:val="Normal"/>
    <w:link w:val="Heading7Char"/>
    <w:uiPriority w:val="99"/>
    <w:unhideWhenUsed/>
    <w:qFormat/>
    <w:rsid w:val="001C6AFC"/>
    <w:pPr>
      <w:keepNext/>
      <w:keepLines/>
      <w:numPr>
        <w:ilvl w:val="6"/>
        <w:numId w:val="1"/>
      </w:numPr>
      <w:spacing w:before="200" w:after="0"/>
      <w:outlineLvl w:val="6"/>
    </w:pPr>
    <w:rPr>
      <w:rFonts w:ascii="Cambria" w:eastAsia="MS Gothic" w:hAnsi="Cambria"/>
      <w:i/>
      <w:iCs/>
      <w:color w:val="404040"/>
    </w:rPr>
  </w:style>
  <w:style w:type="paragraph" w:styleId="Heading8">
    <w:name w:val="heading 8"/>
    <w:basedOn w:val="Normal"/>
    <w:next w:val="Normal"/>
    <w:link w:val="Heading8Char"/>
    <w:uiPriority w:val="99"/>
    <w:unhideWhenUsed/>
    <w:qFormat/>
    <w:rsid w:val="001C6AFC"/>
    <w:pPr>
      <w:keepNext/>
      <w:keepLines/>
      <w:numPr>
        <w:ilvl w:val="7"/>
        <w:numId w:val="1"/>
      </w:numPr>
      <w:spacing w:before="200" w:after="0"/>
      <w:outlineLvl w:val="7"/>
    </w:pPr>
    <w:rPr>
      <w:rFonts w:ascii="Cambria" w:eastAsia="MS Gothic" w:hAnsi="Cambria"/>
      <w:color w:val="404040"/>
      <w:sz w:val="20"/>
      <w:szCs w:val="20"/>
    </w:rPr>
  </w:style>
  <w:style w:type="paragraph" w:styleId="Heading9">
    <w:name w:val="heading 9"/>
    <w:basedOn w:val="Normal"/>
    <w:next w:val="Normal"/>
    <w:link w:val="Heading9Char"/>
    <w:uiPriority w:val="99"/>
    <w:unhideWhenUsed/>
    <w:qFormat/>
    <w:rsid w:val="001C6AFC"/>
    <w:pPr>
      <w:keepNext/>
      <w:keepLines/>
      <w:numPr>
        <w:ilvl w:val="8"/>
        <w:numId w:val="1"/>
      </w:numPr>
      <w:spacing w:before="200" w:after="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FC"/>
    <w:rPr>
      <w:rFonts w:ascii="Calibri" w:eastAsia="Times New Roman" w:hAnsi="Calibri" w:cs="Times New Roman"/>
      <w:b/>
      <w:bCs/>
      <w:color w:val="595959"/>
      <w:sz w:val="32"/>
      <w:szCs w:val="28"/>
      <w:lang w:val="en-GB"/>
    </w:rPr>
  </w:style>
  <w:style w:type="character" w:customStyle="1" w:styleId="Heading2Char">
    <w:name w:val="Heading 2 Char"/>
    <w:basedOn w:val="DefaultParagraphFont"/>
    <w:link w:val="Heading2"/>
    <w:uiPriority w:val="9"/>
    <w:rsid w:val="001C6AFC"/>
    <w:rPr>
      <w:rFonts w:ascii="Calibri" w:eastAsia="MS Gothic" w:hAnsi="Calibri" w:cs="Times New Roman"/>
      <w:b/>
      <w:color w:val="595959"/>
      <w:szCs w:val="26"/>
      <w:lang w:val="en-GB"/>
    </w:rPr>
  </w:style>
  <w:style w:type="character" w:customStyle="1" w:styleId="Heading3Char">
    <w:name w:val="Heading 3 Char"/>
    <w:basedOn w:val="DefaultParagraphFont"/>
    <w:link w:val="Heading3"/>
    <w:uiPriority w:val="9"/>
    <w:rsid w:val="001C6AFC"/>
    <w:rPr>
      <w:rFonts w:ascii="Calibri" w:eastAsia="MS Gothic" w:hAnsi="Calibri" w:cs="Times New Roman"/>
      <w:b/>
      <w:bCs/>
      <w:i/>
      <w:color w:val="595959"/>
      <w:szCs w:val="26"/>
      <w:lang w:val="en-GB"/>
    </w:rPr>
  </w:style>
  <w:style w:type="character" w:customStyle="1" w:styleId="Heading4Char">
    <w:name w:val="Heading 4 Char"/>
    <w:basedOn w:val="DefaultParagraphFont"/>
    <w:link w:val="Heading4"/>
    <w:uiPriority w:val="99"/>
    <w:rsid w:val="001C6AFC"/>
    <w:rPr>
      <w:rFonts w:ascii="Cambria" w:eastAsia="MS Gothic" w:hAnsi="Cambria" w:cs="Times New Roman"/>
      <w:b/>
      <w:bCs/>
      <w:i/>
      <w:iCs/>
      <w:color w:val="4F81BD"/>
      <w:lang w:val="en-GB"/>
    </w:rPr>
  </w:style>
  <w:style w:type="character" w:customStyle="1" w:styleId="Heading5Char">
    <w:name w:val="Heading 5 Char"/>
    <w:basedOn w:val="DefaultParagraphFont"/>
    <w:link w:val="Heading5"/>
    <w:uiPriority w:val="99"/>
    <w:rsid w:val="001C6AFC"/>
    <w:rPr>
      <w:rFonts w:ascii="Cambria" w:eastAsia="MS Gothic" w:hAnsi="Cambria" w:cs="Times New Roman"/>
      <w:color w:val="243F60"/>
      <w:lang w:val="en-GB"/>
    </w:rPr>
  </w:style>
  <w:style w:type="character" w:customStyle="1" w:styleId="Heading6Char">
    <w:name w:val="Heading 6 Char"/>
    <w:basedOn w:val="DefaultParagraphFont"/>
    <w:link w:val="Heading6"/>
    <w:uiPriority w:val="99"/>
    <w:rsid w:val="001C6AFC"/>
    <w:rPr>
      <w:rFonts w:ascii="Cambria" w:eastAsia="MS Gothic" w:hAnsi="Cambria" w:cs="Times New Roman"/>
      <w:i/>
      <w:iCs/>
      <w:color w:val="243F60"/>
      <w:lang w:val="en-GB"/>
    </w:rPr>
  </w:style>
  <w:style w:type="character" w:customStyle="1" w:styleId="Heading7Char">
    <w:name w:val="Heading 7 Char"/>
    <w:basedOn w:val="DefaultParagraphFont"/>
    <w:link w:val="Heading7"/>
    <w:uiPriority w:val="99"/>
    <w:rsid w:val="001C6AFC"/>
    <w:rPr>
      <w:rFonts w:ascii="Cambria" w:eastAsia="MS Gothic" w:hAnsi="Cambria" w:cs="Times New Roman"/>
      <w:i/>
      <w:iCs/>
      <w:color w:val="404040"/>
      <w:lang w:val="en-GB"/>
    </w:rPr>
  </w:style>
  <w:style w:type="character" w:customStyle="1" w:styleId="Heading8Char">
    <w:name w:val="Heading 8 Char"/>
    <w:basedOn w:val="DefaultParagraphFont"/>
    <w:link w:val="Heading8"/>
    <w:uiPriority w:val="99"/>
    <w:rsid w:val="001C6AFC"/>
    <w:rPr>
      <w:rFonts w:ascii="Cambria" w:eastAsia="MS Gothic" w:hAnsi="Cambria" w:cs="Times New Roman"/>
      <w:color w:val="404040"/>
      <w:sz w:val="20"/>
      <w:szCs w:val="20"/>
      <w:lang w:val="en-GB"/>
    </w:rPr>
  </w:style>
  <w:style w:type="character" w:customStyle="1" w:styleId="Heading9Char">
    <w:name w:val="Heading 9 Char"/>
    <w:basedOn w:val="DefaultParagraphFont"/>
    <w:link w:val="Heading9"/>
    <w:uiPriority w:val="99"/>
    <w:rsid w:val="001C6AFC"/>
    <w:rPr>
      <w:rFonts w:ascii="Cambria" w:eastAsia="MS Gothic" w:hAnsi="Cambria" w:cs="Times New Roman"/>
      <w:i/>
      <w:iCs/>
      <w:color w:val="404040"/>
      <w:sz w:val="20"/>
      <w:szCs w:val="20"/>
      <w:lang w:val="en-GB"/>
    </w:rPr>
  </w:style>
  <w:style w:type="paragraph" w:styleId="ListParagraph">
    <w:name w:val="List Paragraph"/>
    <w:aliases w:val="Indent Paragraph,Citation List,Bullets,List Paragraph1,NEW INDENT,Heading II,Numbered List Paragraph,List bullet,Ha,Main numbered paragraph,Bullet Points,Medium Grid 1 - Accent 21,Table/Figure Heading,List Paragraph (numbered (a))"/>
    <w:basedOn w:val="Normal"/>
    <w:link w:val="ListParagraphChar"/>
    <w:uiPriority w:val="34"/>
    <w:qFormat/>
    <w:rsid w:val="001C6AFC"/>
    <w:pPr>
      <w:ind w:left="720"/>
      <w:contextualSpacing/>
    </w:pPr>
    <w:rPr>
      <w:sz w:val="20"/>
      <w:szCs w:val="20"/>
    </w:rPr>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
    <w:link w:val="ListParagraph"/>
    <w:uiPriority w:val="34"/>
    <w:qFormat/>
    <w:rsid w:val="001C6AFC"/>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1C6A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FC"/>
    <w:rPr>
      <w:rFonts w:ascii="Segoe UI" w:eastAsia="Calibri" w:hAnsi="Segoe UI" w:cs="Segoe UI"/>
      <w:sz w:val="18"/>
      <w:szCs w:val="18"/>
      <w:lang w:val="en-GB"/>
    </w:rPr>
  </w:style>
  <w:style w:type="paragraph" w:customStyle="1" w:styleId="HeadingSection-TextBox">
    <w:name w:val="Heading Section-TextBox"/>
    <w:basedOn w:val="Normal"/>
    <w:qFormat/>
    <w:rsid w:val="001C6AFC"/>
    <w:pPr>
      <w:numPr>
        <w:numId w:val="5"/>
      </w:numPr>
      <w:ind w:left="357" w:hanging="357"/>
      <w:jc w:val="left"/>
    </w:pPr>
    <w:rPr>
      <w:rFonts w:cs="Calibri"/>
      <w:b/>
      <w:caps/>
      <w:color w:val="FFFFFF"/>
      <w:sz w:val="32"/>
      <w:szCs w:val="32"/>
      <w:lang w:val="da-DK"/>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nhideWhenUsed/>
    <w:qFormat/>
    <w:rsid w:val="001C6AFC"/>
    <w:pPr>
      <w:spacing w:after="0"/>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1C6AFC"/>
    <w:rPr>
      <w:rFonts w:ascii="Calibri" w:eastAsia="Calibri" w:hAnsi="Calibri" w:cs="Times New Roman"/>
      <w:sz w:val="20"/>
      <w:szCs w:val="20"/>
      <w:lang w:val="en-GB"/>
    </w:rPr>
  </w:style>
  <w:style w:type="character" w:styleId="FootnoteReference">
    <w:name w:val="footnote reference"/>
    <w:aliases w:val="16 Point,Superscript 6 Point,Carattere Char Carattere Carattere Char Carattere Char Carattere Char Char Char Char,Footnote Reference Char Char Char Char Char Char Char Char Char Char Char Char Char Char Char Char,ftref,fr,Style 2"/>
    <w:link w:val="CarattereCharCarattereCarattereCharCarattereCharCarattereChar"/>
    <w:uiPriority w:val="99"/>
    <w:unhideWhenUsed/>
    <w:rsid w:val="001C6AFC"/>
    <w:rPr>
      <w:vertAlign w:val="superscript"/>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1C6AFC"/>
    <w:pPr>
      <w:spacing w:after="160" w:line="240" w:lineRule="exact"/>
      <w:jc w:val="left"/>
    </w:pPr>
    <w:rPr>
      <w:rFonts w:asciiTheme="minorHAnsi" w:eastAsiaTheme="minorHAnsi" w:hAnsiTheme="minorHAnsi" w:cstheme="minorBidi"/>
      <w:vertAlign w:val="superscript"/>
      <w:lang w:val="en-US"/>
    </w:rPr>
  </w:style>
  <w:style w:type="table" w:styleId="TableGrid">
    <w:name w:val="Table Grid"/>
    <w:basedOn w:val="TableNormal"/>
    <w:uiPriority w:val="39"/>
    <w:rsid w:val="0094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890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BAC3C41D5F445A6C2B7B804795C44" ma:contentTypeVersion="11" ma:contentTypeDescription="Create a new document." ma:contentTypeScope="" ma:versionID="c184f9689095e982cdc33eb1eb090c72">
  <xsd:schema xmlns:xsd="http://www.w3.org/2001/XMLSchema" xmlns:xs="http://www.w3.org/2001/XMLSchema" xmlns:p="http://schemas.microsoft.com/office/2006/metadata/properties" xmlns:ns3="912636ed-490d-420d-97bd-acd891cfa00c" xmlns:ns4="9469590c-6988-463f-b9fb-146af678c5c6" targetNamespace="http://schemas.microsoft.com/office/2006/metadata/properties" ma:root="true" ma:fieldsID="c180c90bb6310a84a5fb38f62b249982" ns3:_="" ns4:_="">
    <xsd:import namespace="912636ed-490d-420d-97bd-acd891cfa00c"/>
    <xsd:import namespace="9469590c-6988-463f-b9fb-146af678c5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636ed-490d-420d-97bd-acd891cfa0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9590c-6988-463f-b9fb-146af678c5c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9837B-2891-441E-B929-3C36C51A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636ed-490d-420d-97bd-acd891cfa00c"/>
    <ds:schemaRef ds:uri="9469590c-6988-463f-b9fb-146af678c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5110A-6123-4339-B0DF-F7B3F46175E1}">
  <ds:schemaRefs>
    <ds:schemaRef ds:uri="http://purl.org/dc/dcmitype/"/>
    <ds:schemaRef ds:uri="http://schemas.microsoft.com/office/infopath/2007/PartnerControls"/>
    <ds:schemaRef ds:uri="http://purl.org/dc/elements/1.1/"/>
    <ds:schemaRef ds:uri="http://schemas.microsoft.com/office/2006/metadata/properties"/>
    <ds:schemaRef ds:uri="912636ed-490d-420d-97bd-acd891cfa00c"/>
    <ds:schemaRef ds:uri="http://schemas.microsoft.com/office/2006/documentManagement/types"/>
    <ds:schemaRef ds:uri="http://purl.org/dc/terms/"/>
    <ds:schemaRef ds:uri="http://schemas.openxmlformats.org/package/2006/metadata/core-properties"/>
    <ds:schemaRef ds:uri="9469590c-6988-463f-b9fb-146af678c5c6"/>
    <ds:schemaRef ds:uri="http://www.w3.org/XML/1998/namespace"/>
  </ds:schemaRefs>
</ds:datastoreItem>
</file>

<file path=customXml/itemProps3.xml><?xml version="1.0" encoding="utf-8"?>
<ds:datastoreItem xmlns:ds="http://schemas.openxmlformats.org/officeDocument/2006/customXml" ds:itemID="{B84032B6-E431-4A27-9C72-11EEF7641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Benchimol</dc:creator>
  <cp:keywords/>
  <dc:description/>
  <cp:lastModifiedBy>Edson Fernandes</cp:lastModifiedBy>
  <cp:revision>2</cp:revision>
  <dcterms:created xsi:type="dcterms:W3CDTF">2019-12-09T15:11:00Z</dcterms:created>
  <dcterms:modified xsi:type="dcterms:W3CDTF">2019-12-09T15:11:00Z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0x01010050EBAC3C41D5F445A6C2B7B804795C44</vt:lpwstr>
  </property>
</Properties>
</file>