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A5FFB" w14:textId="77777777" w:rsidR="00181353" w:rsidRPr="005B7CFD" w:rsidRDefault="00181353" w:rsidP="00511C2C">
      <w:pPr>
        <w:jc w:val="center"/>
        <w:rPr>
          <w:b/>
          <w:sz w:val="24"/>
        </w:rPr>
      </w:pPr>
      <w:r w:rsidRPr="005B7CFD">
        <w:rPr>
          <w:b/>
          <w:sz w:val="28"/>
        </w:rPr>
        <w:t>UNDP Management Response</w:t>
      </w:r>
    </w:p>
    <w:p w14:paraId="00010BB6" w14:textId="0EA71B55" w:rsidR="00181353" w:rsidRDefault="00181353" w:rsidP="00181353">
      <w:pPr>
        <w:spacing w:line="252" w:lineRule="auto"/>
        <w:jc w:val="center"/>
        <w:rPr>
          <w:rFonts w:eastAsia="Times New Roman"/>
          <w:b/>
          <w:sz w:val="28"/>
        </w:rPr>
      </w:pPr>
      <w:r w:rsidRPr="005B7CFD">
        <w:rPr>
          <w:rFonts w:eastAsia="Times New Roman"/>
          <w:b/>
          <w:sz w:val="28"/>
        </w:rPr>
        <w:t>UNDP-GEF “Generate global environmental benefits through environmental education and raising awareness of stakeholders” Project (PIMS: 5309)</w:t>
      </w:r>
    </w:p>
    <w:p w14:paraId="5963B754" w14:textId="77777777" w:rsidR="00770A93" w:rsidRDefault="00770A93" w:rsidP="00181353">
      <w:pPr>
        <w:ind w:left="-90"/>
        <w:rPr>
          <w:szCs w:val="20"/>
        </w:rPr>
      </w:pPr>
    </w:p>
    <w:p w14:paraId="6092E7C8" w14:textId="33B36B3E" w:rsidR="00181353" w:rsidRPr="00EA7C2B" w:rsidRDefault="00181353" w:rsidP="00181353">
      <w:pPr>
        <w:ind w:left="-90"/>
        <w:rPr>
          <w:szCs w:val="20"/>
        </w:rPr>
      </w:pPr>
      <w:r w:rsidRPr="00EA7C2B">
        <w:rPr>
          <w:szCs w:val="20"/>
        </w:rPr>
        <w:t xml:space="preserve">Evaluation Date: </w:t>
      </w:r>
      <w:r w:rsidR="00B05480">
        <w:rPr>
          <w:szCs w:val="20"/>
        </w:rPr>
        <w:t xml:space="preserve">August-November </w:t>
      </w:r>
      <w:r w:rsidRPr="00BD5678">
        <w:rPr>
          <w:szCs w:val="20"/>
        </w:rPr>
        <w:t>201</w:t>
      </w:r>
      <w:r w:rsidR="00B05480">
        <w:rPr>
          <w:szCs w:val="20"/>
        </w:rPr>
        <w:t>9</w:t>
      </w:r>
    </w:p>
    <w:p w14:paraId="7ED2CB6E" w14:textId="3CBA0073" w:rsidR="00181353" w:rsidRPr="00EA7C2B" w:rsidRDefault="00181353" w:rsidP="00EA7C2B">
      <w:pPr>
        <w:tabs>
          <w:tab w:val="left" w:pos="4320"/>
          <w:tab w:val="left" w:pos="7200"/>
        </w:tabs>
        <w:spacing w:line="600" w:lineRule="auto"/>
        <w:ind w:left="-90"/>
        <w:rPr>
          <w:szCs w:val="20"/>
        </w:rPr>
      </w:pPr>
      <w:r w:rsidRPr="00EA7C2B">
        <w:rPr>
          <w:szCs w:val="20"/>
        </w:rPr>
        <w:t xml:space="preserve">Prepared by: </w:t>
      </w:r>
      <w:r w:rsidR="00230182" w:rsidRPr="00EA7C2B">
        <w:rPr>
          <w:szCs w:val="20"/>
        </w:rPr>
        <w:t>Armine Poghosyan</w:t>
      </w:r>
      <w:r w:rsidRPr="00EA7C2B">
        <w:rPr>
          <w:szCs w:val="20"/>
        </w:rPr>
        <w:tab/>
        <w:t xml:space="preserve">      Position: </w:t>
      </w:r>
      <w:r w:rsidR="00230182" w:rsidRPr="00EA7C2B">
        <w:rPr>
          <w:szCs w:val="20"/>
        </w:rPr>
        <w:t>Technical Task Leader</w:t>
      </w:r>
      <w:r w:rsidRPr="00EA7C2B">
        <w:rPr>
          <w:szCs w:val="20"/>
        </w:rPr>
        <w:tab/>
      </w:r>
      <w:r w:rsidRPr="00EA7C2B">
        <w:rPr>
          <w:szCs w:val="20"/>
        </w:rPr>
        <w:tab/>
      </w:r>
      <w:r w:rsidRPr="00EA7C2B">
        <w:rPr>
          <w:szCs w:val="20"/>
        </w:rPr>
        <w:tab/>
      </w:r>
      <w:r w:rsidRPr="00EA7C2B">
        <w:rPr>
          <w:szCs w:val="20"/>
        </w:rPr>
        <w:tab/>
        <w:t>Unit/Bureau: UNDP/Armenia</w:t>
      </w:r>
    </w:p>
    <w:p w14:paraId="77D32AC0" w14:textId="37F16FDA" w:rsidR="00181353" w:rsidRPr="00EA7C2B" w:rsidRDefault="00230182" w:rsidP="00EA7C2B">
      <w:pPr>
        <w:tabs>
          <w:tab w:val="left" w:pos="4320"/>
          <w:tab w:val="left" w:pos="7200"/>
        </w:tabs>
        <w:spacing w:line="600" w:lineRule="auto"/>
        <w:ind w:left="-90"/>
        <w:rPr>
          <w:szCs w:val="20"/>
        </w:rPr>
      </w:pPr>
      <w:r w:rsidRPr="00EA7C2B">
        <w:rPr>
          <w:szCs w:val="20"/>
        </w:rPr>
        <w:t>Submitted</w:t>
      </w:r>
      <w:r w:rsidR="00181353" w:rsidRPr="00EA7C2B">
        <w:rPr>
          <w:szCs w:val="20"/>
        </w:rPr>
        <w:t xml:space="preserve"> by: Armen Martirosyan</w:t>
      </w:r>
      <w:r w:rsidR="00181353" w:rsidRPr="00EA7C2B">
        <w:rPr>
          <w:szCs w:val="20"/>
        </w:rPr>
        <w:tab/>
        <w:t xml:space="preserve">      Position: SGR Portfolio </w:t>
      </w:r>
      <w:r w:rsidR="00B63767">
        <w:rPr>
          <w:szCs w:val="20"/>
        </w:rPr>
        <w:t>A</w:t>
      </w:r>
      <w:r w:rsidR="00181353" w:rsidRPr="00EA7C2B">
        <w:rPr>
          <w:szCs w:val="20"/>
        </w:rPr>
        <w:t>nalyst</w:t>
      </w:r>
      <w:r w:rsidR="00181353" w:rsidRPr="00EA7C2B">
        <w:rPr>
          <w:szCs w:val="20"/>
        </w:rPr>
        <w:tab/>
      </w:r>
      <w:r w:rsidR="00181353" w:rsidRPr="00EA7C2B">
        <w:rPr>
          <w:szCs w:val="20"/>
        </w:rPr>
        <w:tab/>
      </w:r>
      <w:r w:rsidR="00181353" w:rsidRPr="00EA7C2B">
        <w:rPr>
          <w:szCs w:val="20"/>
        </w:rPr>
        <w:tab/>
      </w:r>
      <w:r w:rsidR="00181353" w:rsidRPr="00EA7C2B">
        <w:rPr>
          <w:szCs w:val="20"/>
        </w:rPr>
        <w:tab/>
        <w:t>Unit/Bureau: UNDP/Armenia</w:t>
      </w:r>
    </w:p>
    <w:p w14:paraId="7B1C0840" w14:textId="6622E083" w:rsidR="00181353" w:rsidRPr="00EA7C2B" w:rsidRDefault="00770A93" w:rsidP="00EA7C2B">
      <w:pPr>
        <w:tabs>
          <w:tab w:val="left" w:pos="4320"/>
          <w:tab w:val="left" w:pos="7200"/>
        </w:tabs>
        <w:spacing w:line="600" w:lineRule="auto"/>
        <w:ind w:left="-90"/>
        <w:rPr>
          <w:szCs w:val="20"/>
        </w:rPr>
      </w:pPr>
      <w:r w:rsidRPr="004C0D2D">
        <w:rPr>
          <w:noProof/>
        </w:rPr>
        <mc:AlternateContent>
          <mc:Choice Requires="wps">
            <w:drawing>
              <wp:anchor distT="0" distB="0" distL="114300" distR="114300" simplePos="0" relativeHeight="251659264" behindDoc="0" locked="0" layoutInCell="1" allowOverlap="1" wp14:anchorId="04E12ED0" wp14:editId="77001549">
                <wp:simplePos x="0" y="0"/>
                <wp:positionH relativeFrom="column">
                  <wp:posOffset>-180975</wp:posOffset>
                </wp:positionH>
                <wp:positionV relativeFrom="paragraph">
                  <wp:posOffset>273050</wp:posOffset>
                </wp:positionV>
                <wp:extent cx="8343900" cy="3744000"/>
                <wp:effectExtent l="0" t="0" r="1905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0" cy="3744000"/>
                        </a:xfrm>
                        <a:prstGeom prst="rect">
                          <a:avLst/>
                        </a:prstGeom>
                        <a:solidFill>
                          <a:srgbClr val="FFFFFF"/>
                        </a:solidFill>
                        <a:ln w="9525">
                          <a:solidFill>
                            <a:srgbClr val="000000"/>
                          </a:solidFill>
                          <a:miter lim="800000"/>
                          <a:headEnd/>
                          <a:tailEnd/>
                        </a:ln>
                      </wps:spPr>
                      <wps:txbx>
                        <w:txbxContent>
                          <w:p w14:paraId="1C4AF041" w14:textId="00D503D6" w:rsidR="00770A93" w:rsidRDefault="001E3024" w:rsidP="00770A93">
                            <w:pPr>
                              <w:spacing w:after="0" w:line="240" w:lineRule="auto"/>
                              <w:jc w:val="both"/>
                              <w:rPr>
                                <w:rFonts w:cstheme="minorHAnsi"/>
                                <w:sz w:val="24"/>
                                <w:szCs w:val="24"/>
                              </w:rPr>
                            </w:pPr>
                            <w:r w:rsidRPr="00770A93">
                              <w:rPr>
                                <w:rFonts w:cstheme="minorHAnsi"/>
                                <w:b/>
                              </w:rPr>
                              <w:t xml:space="preserve">Overall comments: </w:t>
                            </w:r>
                            <w:r w:rsidR="00B05480" w:rsidRPr="00770A93">
                              <w:rPr>
                                <w:rFonts w:cstheme="minorHAnsi"/>
                              </w:rPr>
                              <w:t>The Project Terminal evaluation</w:t>
                            </w:r>
                            <w:r w:rsidR="00770A93">
                              <w:rPr>
                                <w:rFonts w:cstheme="minorHAnsi"/>
                              </w:rPr>
                              <w:t xml:space="preserve"> (TE)</w:t>
                            </w:r>
                            <w:r w:rsidR="00B05480" w:rsidRPr="00770A93">
                              <w:rPr>
                                <w:rFonts w:cstheme="minorHAnsi"/>
                              </w:rPr>
                              <w:t xml:space="preserve"> reviewed the project’s design, performance, constraints, results, impact, relevance, efficiency and sustainability. It also identifies </w:t>
                            </w:r>
                            <w:proofErr w:type="gramStart"/>
                            <w:r w:rsidR="00B05480" w:rsidRPr="00770A93">
                              <w:rPr>
                                <w:rFonts w:cstheme="minorHAnsi"/>
                              </w:rPr>
                              <w:t>a number of</w:t>
                            </w:r>
                            <w:proofErr w:type="gramEnd"/>
                            <w:r w:rsidR="00B05480" w:rsidRPr="00770A93">
                              <w:rPr>
                                <w:rFonts w:cstheme="minorHAnsi"/>
                              </w:rPr>
                              <w:t xml:space="preserve"> lessons and recommendations which may be used by the UNDP Country Office to improve its programming, partnership arrangements, resource mobilization strategies, working methods and management arrangements. The evaluation entailed a systematic desk review of project-related documentation, data collection based on interviews with key stakeholders and analysis of information using triangulation.</w:t>
                            </w:r>
                            <w:r w:rsidR="00954B1E" w:rsidRPr="00770A93">
                              <w:rPr>
                                <w:rFonts w:cstheme="minorHAnsi"/>
                                <w:sz w:val="24"/>
                                <w:szCs w:val="24"/>
                              </w:rPr>
                              <w:t xml:space="preserve"> </w:t>
                            </w:r>
                          </w:p>
                          <w:p w14:paraId="757D6B07" w14:textId="70D9C66B" w:rsidR="00770A93" w:rsidRPr="00770A93" w:rsidRDefault="00770A93" w:rsidP="00770A93">
                            <w:pPr>
                              <w:spacing w:after="0" w:line="240" w:lineRule="auto"/>
                              <w:jc w:val="both"/>
                              <w:rPr>
                                <w:rFonts w:cstheme="minorHAnsi"/>
                              </w:rPr>
                            </w:pPr>
                            <w:r>
                              <w:rPr>
                                <w:rFonts w:cstheme="minorHAnsi"/>
                              </w:rPr>
                              <w:t>The TE revealed that t</w:t>
                            </w:r>
                            <w:r w:rsidRPr="00770A93">
                              <w:rPr>
                                <w:rFonts w:cstheme="minorHAnsi"/>
                              </w:rPr>
                              <w:t>he effective use of adaptive management by the project team and board was critical for dealing with the unexpected political and institutional changes and for taking advantage of newly-emerged opportunities. Despite its delayed start, the project delivered a great deal of training and information mainly with the work of numerous consultants.</w:t>
                            </w:r>
                          </w:p>
                          <w:p w14:paraId="58237484" w14:textId="471115C8" w:rsidR="00653FB2" w:rsidRPr="00770A93" w:rsidRDefault="00954B1E" w:rsidP="00770A93">
                            <w:pPr>
                              <w:spacing w:after="0" w:line="240" w:lineRule="auto"/>
                              <w:jc w:val="both"/>
                              <w:rPr>
                                <w:rFonts w:cstheme="minorHAnsi"/>
                              </w:rPr>
                            </w:pPr>
                            <w:r w:rsidRPr="00770A93">
                              <w:rPr>
                                <w:rFonts w:cstheme="minorHAnsi"/>
                              </w:rPr>
                              <w:t>T</w:t>
                            </w:r>
                            <w:r w:rsidR="00653FB2" w:rsidRPr="00770A93">
                              <w:rPr>
                                <w:rFonts w:cstheme="minorHAnsi"/>
                              </w:rPr>
                              <w:t>he key strengths of the project’s approach</w:t>
                            </w:r>
                            <w:r w:rsidRPr="00770A93">
                              <w:rPr>
                                <w:rFonts w:cstheme="minorHAnsi"/>
                              </w:rPr>
                              <w:t xml:space="preserve"> were </w:t>
                            </w:r>
                            <w:proofErr w:type="spellStart"/>
                            <w:r w:rsidRPr="00770A93">
                              <w:rPr>
                                <w:rFonts w:cstheme="minorHAnsi"/>
                              </w:rPr>
                              <w:t>i</w:t>
                            </w:r>
                            <w:proofErr w:type="spellEnd"/>
                            <w:r w:rsidRPr="00770A93">
                              <w:rPr>
                                <w:rFonts w:cstheme="minorHAnsi"/>
                              </w:rPr>
                              <w:t>) s</w:t>
                            </w:r>
                            <w:r w:rsidR="00653FB2" w:rsidRPr="00770A93">
                              <w:rPr>
                                <w:rFonts w:cstheme="minorHAnsi"/>
                              </w:rPr>
                              <w:t>trong focus on development of skills and knowledge as an important component of building capacity in the public and NGO sector</w:t>
                            </w:r>
                            <w:r w:rsidRPr="00770A93">
                              <w:rPr>
                                <w:rFonts w:cstheme="minorHAnsi"/>
                              </w:rPr>
                              <w:t>; ii) s</w:t>
                            </w:r>
                            <w:r w:rsidR="00653FB2" w:rsidRPr="00770A93">
                              <w:rPr>
                                <w:rFonts w:cstheme="minorHAnsi"/>
                              </w:rPr>
                              <w:t>trong focus on stakeholder engagement in environmental management</w:t>
                            </w:r>
                            <w:r w:rsidRPr="00770A93">
                              <w:rPr>
                                <w:rFonts w:cstheme="minorHAnsi"/>
                              </w:rPr>
                              <w:t>; iii)</w:t>
                            </w:r>
                            <w:r w:rsidR="00653FB2" w:rsidRPr="00770A93">
                              <w:rPr>
                                <w:rFonts w:cstheme="minorHAnsi"/>
                              </w:rPr>
                              <w:t xml:space="preserve"> </w:t>
                            </w:r>
                            <w:r w:rsidRPr="00770A93">
                              <w:rPr>
                                <w:rFonts w:cstheme="minorHAnsi"/>
                              </w:rPr>
                              <w:t>c</w:t>
                            </w:r>
                            <w:r w:rsidR="00653FB2" w:rsidRPr="00770A93">
                              <w:rPr>
                                <w:rFonts w:cstheme="minorHAnsi"/>
                              </w:rPr>
                              <w:t>lose collaboration with the governmental and educational entities, and as a result changes in perceptions and attitudes of local authorities and local communities to Environmental Education</w:t>
                            </w:r>
                            <w:r w:rsidRPr="00770A93">
                              <w:rPr>
                                <w:rFonts w:cstheme="minorHAnsi"/>
                              </w:rPr>
                              <w:t>; iv) d</w:t>
                            </w:r>
                            <w:r w:rsidR="00653FB2" w:rsidRPr="00770A93">
                              <w:rPr>
                                <w:rFonts w:cstheme="minorHAnsi"/>
                              </w:rPr>
                              <w:t>evelopment of comprehensive educational materials and delivery mechanisms for environmental education.</w:t>
                            </w:r>
                          </w:p>
                          <w:p w14:paraId="64D15701" w14:textId="48D6B2FA" w:rsidR="00954B1E" w:rsidRDefault="00954B1E" w:rsidP="00770A93">
                            <w:pPr>
                              <w:spacing w:after="0" w:line="240" w:lineRule="auto"/>
                              <w:jc w:val="both"/>
                              <w:rPr>
                                <w:rFonts w:cstheme="minorHAnsi"/>
                              </w:rPr>
                            </w:pPr>
                            <w:r w:rsidRPr="00770A93">
                              <w:rPr>
                                <w:rFonts w:cstheme="minorHAnsi"/>
                              </w:rPr>
                              <w:t>Based on the terminal evaluation the project has achieved almost all targets set in the project document and the Project overall progress was rated as “Satisfactory”.</w:t>
                            </w:r>
                          </w:p>
                          <w:p w14:paraId="2CAF818B" w14:textId="5E118972" w:rsidR="00653FB2" w:rsidRPr="00770A93" w:rsidRDefault="00770A93" w:rsidP="00770A93">
                            <w:pPr>
                              <w:spacing w:after="0" w:line="240" w:lineRule="auto"/>
                              <w:jc w:val="both"/>
                              <w:rPr>
                                <w:rFonts w:cstheme="minorHAnsi"/>
                                <w:noProof/>
                                <w:sz w:val="24"/>
                                <w:szCs w:val="24"/>
                                <w:lang w:eastAsia="en-CA"/>
                              </w:rPr>
                            </w:pPr>
                            <w:r>
                              <w:rPr>
                                <w:rFonts w:cstheme="minorHAnsi"/>
                              </w:rPr>
                              <w:t xml:space="preserve">To ensure the sustainability of the project outcomes, it is recommended to integrate </w:t>
                            </w:r>
                            <w:r w:rsidR="00653FB2" w:rsidRPr="00770A93">
                              <w:rPr>
                                <w:rFonts w:cstheme="minorHAnsi"/>
                              </w:rPr>
                              <w:t>the training conten</w:t>
                            </w:r>
                            <w:r>
                              <w:rPr>
                                <w:rFonts w:cstheme="minorHAnsi"/>
                              </w:rPr>
                              <w:t>t into the</w:t>
                            </w:r>
                            <w:r w:rsidRPr="00770A93">
                              <w:rPr>
                                <w:rFonts w:cstheme="minorHAnsi"/>
                              </w:rPr>
                              <w:t xml:space="preserve"> official training </w:t>
                            </w:r>
                            <w:r>
                              <w:rPr>
                                <w:rFonts w:cstheme="minorHAnsi"/>
                              </w:rPr>
                              <w:t xml:space="preserve">curriculum </w:t>
                            </w:r>
                            <w:r w:rsidR="00653FB2" w:rsidRPr="00770A93">
                              <w:rPr>
                                <w:rFonts w:cstheme="minorHAnsi"/>
                              </w:rPr>
                              <w:t>provided by the Civil Service Office, the Ministry of Territorial Administration and Infrastructure, line ministries, and local government authorities (including institutions of self-government at the sub-national level).</w:t>
                            </w:r>
                            <w:r>
                              <w:rPr>
                                <w:rFonts w:cstheme="minorHAnsi"/>
                              </w:rPr>
                              <w:t xml:space="preserve"> </w:t>
                            </w:r>
                            <w:r w:rsidR="00653FB2" w:rsidRPr="00770A93">
                              <w:rPr>
                                <w:rFonts w:cstheme="minorHAnsi"/>
                              </w:rPr>
                              <w:t>Further, in similar projects that target awareness raising for specific target groups or the general population, UNDP should take a more strategic approach in the design of the interventions by incorporating behavioral insights and elements of social psychology that focus not only on the information that is shared, but also on the instruments, channels and techniques that are utilized for sharing that information. These efforts should be driven by the primary goal of changing behavior and not just raising the level of awareness.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12ED0" id="_x0000_t202" coordsize="21600,21600" o:spt="202" path="m,l,21600r21600,l21600,xe">
                <v:stroke joinstyle="miter"/>
                <v:path gradientshapeok="t" o:connecttype="rect"/>
              </v:shapetype>
              <v:shape id="Text Box 1" o:spid="_x0000_s1026" type="#_x0000_t202" style="position:absolute;left:0;text-align:left;margin-left:-14.25pt;margin-top:21.5pt;width:657pt;height:29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">
                <v:textbox>
                  <w:txbxContent>
                    <w:p w14:paraId="1C4AF041" w14:textId="00D503D6" w:rsidR="00770A93" w:rsidRDefault="001E3024" w:rsidP="00770A93">
                      <w:pPr>
                        <w:spacing w:after="0" w:line="240" w:lineRule="auto"/>
                        <w:jc w:val="both"/>
                        <w:rPr>
                          <w:rFonts w:cstheme="minorHAnsi"/>
                          <w:sz w:val="24"/>
                          <w:szCs w:val="24"/>
                        </w:rPr>
                      </w:pPr>
                      <w:r w:rsidRPr="00770A93">
                        <w:rPr>
                          <w:rFonts w:cstheme="minorHAnsi"/>
                          <w:b/>
                        </w:rPr>
                        <w:t xml:space="preserve">Overall comments: </w:t>
                      </w:r>
                      <w:r w:rsidR="00B05480" w:rsidRPr="00770A93">
                        <w:rPr>
                          <w:rFonts w:cstheme="minorHAnsi"/>
                        </w:rPr>
                        <w:t>The Project Terminal evaluation</w:t>
                      </w:r>
                      <w:r w:rsidR="00770A93">
                        <w:rPr>
                          <w:rFonts w:cstheme="minorHAnsi"/>
                        </w:rPr>
                        <w:t xml:space="preserve"> (TE)</w:t>
                      </w:r>
                      <w:r w:rsidR="00B05480" w:rsidRPr="00770A93">
                        <w:rPr>
                          <w:rFonts w:cstheme="minorHAnsi"/>
                        </w:rPr>
                        <w:t xml:space="preserve"> reviewed the project’s design, performance, constraints, results, impact, relevance, efficiency and sustainability. It also identifies </w:t>
                      </w:r>
                      <w:proofErr w:type="gramStart"/>
                      <w:r w:rsidR="00B05480" w:rsidRPr="00770A93">
                        <w:rPr>
                          <w:rFonts w:cstheme="minorHAnsi"/>
                        </w:rPr>
                        <w:t>a number of</w:t>
                      </w:r>
                      <w:proofErr w:type="gramEnd"/>
                      <w:r w:rsidR="00B05480" w:rsidRPr="00770A93">
                        <w:rPr>
                          <w:rFonts w:cstheme="minorHAnsi"/>
                        </w:rPr>
                        <w:t xml:space="preserve"> lessons and recommendations which may be used by the UNDP Country Office to improve its programming, partnership arrangements, resource mobilization strategies, working methods and management arrangements. The evaluation entailed a systematic desk review of project-related documentation, data collection based on interviews with key stakeholders and analysis of information using triangulation.</w:t>
                      </w:r>
                      <w:r w:rsidR="00954B1E" w:rsidRPr="00770A93">
                        <w:rPr>
                          <w:rFonts w:cstheme="minorHAnsi"/>
                          <w:sz w:val="24"/>
                          <w:szCs w:val="24"/>
                        </w:rPr>
                        <w:t xml:space="preserve"> </w:t>
                      </w:r>
                    </w:p>
                    <w:p w14:paraId="757D6B07" w14:textId="70D9C66B" w:rsidR="00770A93" w:rsidRPr="00770A93" w:rsidRDefault="00770A93" w:rsidP="00770A93">
                      <w:pPr>
                        <w:spacing w:after="0" w:line="240" w:lineRule="auto"/>
                        <w:jc w:val="both"/>
                        <w:rPr>
                          <w:rFonts w:cstheme="minorHAnsi"/>
                        </w:rPr>
                      </w:pPr>
                      <w:r>
                        <w:rPr>
                          <w:rFonts w:cstheme="minorHAnsi"/>
                        </w:rPr>
                        <w:t>The TE revealed that t</w:t>
                      </w:r>
                      <w:r w:rsidRPr="00770A93">
                        <w:rPr>
                          <w:rFonts w:cstheme="minorHAnsi"/>
                        </w:rPr>
                        <w:t>he effective use of adaptive management by the project team and board was critical for dealing with the unexpected political and institutional changes and for taking advantage of newly-emerged opportunities. Despite its delayed start, the project delivered a great deal of training and information mainly with the work of numerous consultants.</w:t>
                      </w:r>
                    </w:p>
                    <w:p w14:paraId="58237484" w14:textId="471115C8" w:rsidR="00653FB2" w:rsidRPr="00770A93" w:rsidRDefault="00954B1E" w:rsidP="00770A93">
                      <w:pPr>
                        <w:spacing w:after="0" w:line="240" w:lineRule="auto"/>
                        <w:jc w:val="both"/>
                        <w:rPr>
                          <w:rFonts w:cstheme="minorHAnsi"/>
                        </w:rPr>
                      </w:pPr>
                      <w:r w:rsidRPr="00770A93">
                        <w:rPr>
                          <w:rFonts w:cstheme="minorHAnsi"/>
                        </w:rPr>
                        <w:t>T</w:t>
                      </w:r>
                      <w:r w:rsidR="00653FB2" w:rsidRPr="00770A93">
                        <w:rPr>
                          <w:rFonts w:cstheme="minorHAnsi"/>
                        </w:rPr>
                        <w:t>he key strengths of the project’s approach</w:t>
                      </w:r>
                      <w:r w:rsidRPr="00770A93">
                        <w:rPr>
                          <w:rFonts w:cstheme="minorHAnsi"/>
                        </w:rPr>
                        <w:t xml:space="preserve"> were </w:t>
                      </w:r>
                      <w:proofErr w:type="spellStart"/>
                      <w:r w:rsidRPr="00770A93">
                        <w:rPr>
                          <w:rFonts w:cstheme="minorHAnsi"/>
                        </w:rPr>
                        <w:t>i</w:t>
                      </w:r>
                      <w:proofErr w:type="spellEnd"/>
                      <w:r w:rsidRPr="00770A93">
                        <w:rPr>
                          <w:rFonts w:cstheme="minorHAnsi"/>
                        </w:rPr>
                        <w:t>) s</w:t>
                      </w:r>
                      <w:r w:rsidR="00653FB2" w:rsidRPr="00770A93">
                        <w:rPr>
                          <w:rFonts w:cstheme="minorHAnsi"/>
                        </w:rPr>
                        <w:t>trong focus on development of skills and knowledge as an important component of building capacity in the public and NGO sector</w:t>
                      </w:r>
                      <w:r w:rsidRPr="00770A93">
                        <w:rPr>
                          <w:rFonts w:cstheme="minorHAnsi"/>
                        </w:rPr>
                        <w:t>; ii) s</w:t>
                      </w:r>
                      <w:r w:rsidR="00653FB2" w:rsidRPr="00770A93">
                        <w:rPr>
                          <w:rFonts w:cstheme="minorHAnsi"/>
                        </w:rPr>
                        <w:t>trong focus on stakeholder engagement in environmental management</w:t>
                      </w:r>
                      <w:r w:rsidRPr="00770A93">
                        <w:rPr>
                          <w:rFonts w:cstheme="minorHAnsi"/>
                        </w:rPr>
                        <w:t>; iii)</w:t>
                      </w:r>
                      <w:r w:rsidR="00653FB2" w:rsidRPr="00770A93">
                        <w:rPr>
                          <w:rFonts w:cstheme="minorHAnsi"/>
                        </w:rPr>
                        <w:t xml:space="preserve"> </w:t>
                      </w:r>
                      <w:r w:rsidRPr="00770A93">
                        <w:rPr>
                          <w:rFonts w:cstheme="minorHAnsi"/>
                        </w:rPr>
                        <w:t>c</w:t>
                      </w:r>
                      <w:r w:rsidR="00653FB2" w:rsidRPr="00770A93">
                        <w:rPr>
                          <w:rFonts w:cstheme="minorHAnsi"/>
                        </w:rPr>
                        <w:t>lose collaboration with the governmental and educational entities, and as a result changes in perceptions and attitudes of local authorities and local communities to Environmental Education</w:t>
                      </w:r>
                      <w:r w:rsidRPr="00770A93">
                        <w:rPr>
                          <w:rFonts w:cstheme="minorHAnsi"/>
                        </w:rPr>
                        <w:t>; iv) d</w:t>
                      </w:r>
                      <w:r w:rsidR="00653FB2" w:rsidRPr="00770A93">
                        <w:rPr>
                          <w:rFonts w:cstheme="minorHAnsi"/>
                        </w:rPr>
                        <w:t>evelopment of comprehensive educational materials and delivery mechanisms for environmental education.</w:t>
                      </w:r>
                    </w:p>
                    <w:p w14:paraId="64D15701" w14:textId="48D6B2FA" w:rsidR="00954B1E" w:rsidRDefault="00954B1E" w:rsidP="00770A93">
                      <w:pPr>
                        <w:spacing w:after="0" w:line="240" w:lineRule="auto"/>
                        <w:jc w:val="both"/>
                        <w:rPr>
                          <w:rFonts w:cstheme="minorHAnsi"/>
                        </w:rPr>
                      </w:pPr>
                      <w:r w:rsidRPr="00770A93">
                        <w:rPr>
                          <w:rFonts w:cstheme="minorHAnsi"/>
                        </w:rPr>
                        <w:t>Based on the terminal evaluation the project has achieved almost all targets set in the project document and the Project overall progress was rated as “Satisfactory”.</w:t>
                      </w:r>
                    </w:p>
                    <w:p w14:paraId="2CAF818B" w14:textId="5E118972" w:rsidR="00653FB2" w:rsidRPr="00770A93" w:rsidRDefault="00770A93" w:rsidP="00770A93">
                      <w:pPr>
                        <w:spacing w:after="0" w:line="240" w:lineRule="auto"/>
                        <w:jc w:val="both"/>
                        <w:rPr>
                          <w:rFonts w:cstheme="minorHAnsi"/>
                          <w:noProof/>
                          <w:sz w:val="24"/>
                          <w:szCs w:val="24"/>
                          <w:lang w:eastAsia="en-CA"/>
                        </w:rPr>
                      </w:pPr>
                      <w:r>
                        <w:rPr>
                          <w:rFonts w:cstheme="minorHAnsi"/>
                        </w:rPr>
                        <w:t xml:space="preserve">To ensure the sustainability of the project outcomes, it is recommended to integrate </w:t>
                      </w:r>
                      <w:r w:rsidR="00653FB2" w:rsidRPr="00770A93">
                        <w:rPr>
                          <w:rFonts w:cstheme="minorHAnsi"/>
                        </w:rPr>
                        <w:t>the training conten</w:t>
                      </w:r>
                      <w:r>
                        <w:rPr>
                          <w:rFonts w:cstheme="minorHAnsi"/>
                        </w:rPr>
                        <w:t>t into the</w:t>
                      </w:r>
                      <w:r w:rsidRPr="00770A93">
                        <w:rPr>
                          <w:rFonts w:cstheme="minorHAnsi"/>
                        </w:rPr>
                        <w:t xml:space="preserve"> official training </w:t>
                      </w:r>
                      <w:r>
                        <w:rPr>
                          <w:rFonts w:cstheme="minorHAnsi"/>
                        </w:rPr>
                        <w:t xml:space="preserve">curriculum </w:t>
                      </w:r>
                      <w:r w:rsidR="00653FB2" w:rsidRPr="00770A93">
                        <w:rPr>
                          <w:rFonts w:cstheme="minorHAnsi"/>
                        </w:rPr>
                        <w:t>provided by the Civil Service Office, the Ministry of Territorial Administration and Infrastructure, line ministries, and local government authorities (including institutions of self-government at the sub-national level).</w:t>
                      </w:r>
                      <w:r>
                        <w:rPr>
                          <w:rFonts w:cstheme="minorHAnsi"/>
                        </w:rPr>
                        <w:t xml:space="preserve"> </w:t>
                      </w:r>
                      <w:r w:rsidR="00653FB2" w:rsidRPr="00770A93">
                        <w:rPr>
                          <w:rFonts w:cstheme="minorHAnsi"/>
                        </w:rPr>
                        <w:t>Further, in similar projects that target awareness raising for specific target groups or the general population, UNDP should take a more strategic approach in the design of the interventions by incorporating behavioral insights and elements of social psychology that focus not only on the information that is shared, but also on the instruments, channels and techniques that are utilized for sharing that information. These efforts should be driven by the primary goal of changing behavior and not just raising the level of awareness.</w:t>
                      </w:r>
                    </w:p>
                  </w:txbxContent>
                </v:textbox>
              </v:shape>
            </w:pict>
          </mc:Fallback>
        </mc:AlternateContent>
      </w:r>
      <w:r w:rsidR="00181353" w:rsidRPr="00EA7C2B">
        <w:rPr>
          <w:szCs w:val="20"/>
        </w:rPr>
        <w:t xml:space="preserve">Cleared by: Dmitry </w:t>
      </w:r>
      <w:proofErr w:type="spellStart"/>
      <w:r w:rsidR="00181353" w:rsidRPr="00EA7C2B">
        <w:rPr>
          <w:szCs w:val="20"/>
        </w:rPr>
        <w:t>Mariyasin</w:t>
      </w:r>
      <w:proofErr w:type="spellEnd"/>
      <w:r w:rsidR="00181353" w:rsidRPr="00EA7C2B">
        <w:rPr>
          <w:szCs w:val="20"/>
        </w:rPr>
        <w:tab/>
        <w:t xml:space="preserve">      Position: Resident Representative</w:t>
      </w:r>
      <w:r w:rsidR="00181353" w:rsidRPr="00EA7C2B">
        <w:rPr>
          <w:szCs w:val="20"/>
        </w:rPr>
        <w:tab/>
      </w:r>
      <w:r w:rsidR="00181353" w:rsidRPr="00EA7C2B">
        <w:rPr>
          <w:szCs w:val="20"/>
        </w:rPr>
        <w:tab/>
      </w:r>
      <w:r w:rsidR="00893DC0">
        <w:rPr>
          <w:szCs w:val="20"/>
        </w:rPr>
        <w:tab/>
      </w:r>
      <w:r w:rsidR="00B05480">
        <w:rPr>
          <w:szCs w:val="20"/>
        </w:rPr>
        <w:tab/>
      </w:r>
      <w:r w:rsidR="00181353" w:rsidRPr="00EA7C2B">
        <w:rPr>
          <w:szCs w:val="20"/>
        </w:rPr>
        <w:t>Unit/Bureau: UNDP/Armenia</w:t>
      </w:r>
    </w:p>
    <w:p w14:paraId="7D756CDE" w14:textId="7D8C5EB3" w:rsidR="00181353" w:rsidRPr="004C0D2D" w:rsidRDefault="00181353" w:rsidP="00181353"/>
    <w:p w14:paraId="1CDE76F6" w14:textId="77777777" w:rsidR="00181353" w:rsidRPr="004C0D2D" w:rsidRDefault="00181353" w:rsidP="00181353"/>
    <w:p w14:paraId="1D868E04" w14:textId="77777777" w:rsidR="00181353" w:rsidRPr="004C0D2D" w:rsidRDefault="00181353" w:rsidP="00181353"/>
    <w:p w14:paraId="4E02F057" w14:textId="77777777" w:rsidR="00181353" w:rsidRPr="004C0D2D" w:rsidRDefault="00181353" w:rsidP="00181353"/>
    <w:p w14:paraId="61CB1EFB" w14:textId="77777777" w:rsidR="00181353" w:rsidRPr="004C0D2D" w:rsidRDefault="00181353" w:rsidP="00181353"/>
    <w:p w14:paraId="48707A2B" w14:textId="77777777" w:rsidR="00181353" w:rsidRPr="004C0D2D" w:rsidRDefault="00181353" w:rsidP="00181353"/>
    <w:p w14:paraId="1E0BAE8C" w14:textId="77777777" w:rsidR="00181353" w:rsidRPr="004C0D2D" w:rsidRDefault="00181353" w:rsidP="00181353"/>
    <w:p w14:paraId="4133EC0E" w14:textId="77777777" w:rsidR="00181353" w:rsidRDefault="00181353" w:rsidP="00181353"/>
    <w:p w14:paraId="7FF39B97" w14:textId="77777777" w:rsidR="00EA7C2B" w:rsidRDefault="00EA7C2B">
      <w:r>
        <w:br w:type="page"/>
      </w:r>
    </w:p>
    <w:tbl>
      <w:tblPr>
        <w:tblStyle w:val="TableGrid"/>
        <w:tblW w:w="0" w:type="auto"/>
        <w:tblInd w:w="-147" w:type="dxa"/>
        <w:tblLook w:val="04A0" w:firstRow="1" w:lastRow="0" w:firstColumn="1" w:lastColumn="0" w:noHBand="0" w:noVBand="1"/>
      </w:tblPr>
      <w:tblGrid>
        <w:gridCol w:w="6238"/>
        <w:gridCol w:w="1984"/>
        <w:gridCol w:w="1985"/>
        <w:gridCol w:w="1559"/>
        <w:gridCol w:w="1331"/>
      </w:tblGrid>
      <w:tr w:rsidR="00106F6B" w14:paraId="2D06F9EB" w14:textId="77777777" w:rsidTr="00230182">
        <w:tc>
          <w:tcPr>
            <w:tcW w:w="13097" w:type="dxa"/>
            <w:gridSpan w:val="5"/>
            <w:shd w:val="clear" w:color="auto" w:fill="D9D9D9" w:themeFill="background1" w:themeFillShade="D9"/>
          </w:tcPr>
          <w:p w14:paraId="5D25431D" w14:textId="77777777" w:rsidR="00B05480" w:rsidRPr="00B05480" w:rsidRDefault="00B05480" w:rsidP="00B05480">
            <w:pPr>
              <w:spacing w:before="60" w:after="60"/>
              <w:rPr>
                <w:rFonts w:ascii="Calibri" w:hAnsi="Calibri" w:cs="Courier New"/>
                <w:b/>
                <w:sz w:val="20"/>
                <w:szCs w:val="20"/>
              </w:rPr>
            </w:pPr>
            <w:r w:rsidRPr="00B05480">
              <w:rPr>
                <w:rFonts w:ascii="Calibri" w:hAnsi="Calibri" w:cs="Courier New"/>
                <w:b/>
                <w:sz w:val="20"/>
                <w:szCs w:val="20"/>
              </w:rPr>
              <w:lastRenderedPageBreak/>
              <w:t>Recommendation 1: Sustainability of Training Content</w:t>
            </w:r>
          </w:p>
          <w:p w14:paraId="352A262A" w14:textId="2D891179" w:rsidR="00106F6B" w:rsidRPr="00431D25" w:rsidRDefault="00106F6B" w:rsidP="00431D25">
            <w:pPr>
              <w:spacing w:before="60" w:after="60"/>
              <w:rPr>
                <w:sz w:val="20"/>
                <w:szCs w:val="20"/>
              </w:rPr>
            </w:pPr>
          </w:p>
        </w:tc>
      </w:tr>
      <w:tr w:rsidR="00106F6B" w14:paraId="6171848D" w14:textId="77777777" w:rsidTr="00230182">
        <w:tc>
          <w:tcPr>
            <w:tcW w:w="13097" w:type="dxa"/>
            <w:gridSpan w:val="5"/>
          </w:tcPr>
          <w:p w14:paraId="49DE5A30" w14:textId="77777777" w:rsidR="00B05480" w:rsidRPr="00B05480" w:rsidRDefault="00B05480" w:rsidP="00B05480">
            <w:pPr>
              <w:tabs>
                <w:tab w:val="left" w:pos="480"/>
                <w:tab w:val="left" w:pos="960"/>
                <w:tab w:val="left" w:pos="1440"/>
                <w:tab w:val="left" w:pos="1920"/>
                <w:tab w:val="left" w:pos="2400"/>
                <w:tab w:val="left" w:pos="2880"/>
                <w:tab w:val="left" w:pos="3360"/>
                <w:tab w:val="left" w:pos="3840"/>
                <w:tab w:val="left" w:pos="4320"/>
              </w:tabs>
              <w:spacing w:before="60" w:after="60"/>
              <w:rPr>
                <w:rFonts w:ascii="Calibri" w:hAnsi="Calibri" w:cs="Courier New"/>
                <w:sz w:val="20"/>
                <w:szCs w:val="20"/>
              </w:rPr>
            </w:pPr>
            <w:r w:rsidRPr="00B05480">
              <w:rPr>
                <w:rFonts w:ascii="Calibri" w:hAnsi="Calibri" w:cs="Courier New"/>
                <w:sz w:val="20"/>
                <w:szCs w:val="20"/>
              </w:rPr>
              <w:t>Project stakeholders should consider options for how to make the results of this project more permanent by integrating the training content that has been produced into the official training package that is provided to public officials by the Civil Service Office, the Ministry of Territorial Administration and Infrastructure, line ministries, and local government authorities (including institutions of self-government at the sub-national level).</w:t>
            </w:r>
          </w:p>
          <w:p w14:paraId="7236CAE9" w14:textId="77777777" w:rsidR="00B05480" w:rsidRPr="00B05480" w:rsidRDefault="00B05480" w:rsidP="00B05480">
            <w:pPr>
              <w:tabs>
                <w:tab w:val="left" w:pos="480"/>
                <w:tab w:val="left" w:pos="960"/>
                <w:tab w:val="left" w:pos="1440"/>
                <w:tab w:val="left" w:pos="1920"/>
                <w:tab w:val="left" w:pos="2400"/>
                <w:tab w:val="left" w:pos="2880"/>
                <w:tab w:val="left" w:pos="3360"/>
                <w:tab w:val="left" w:pos="3840"/>
                <w:tab w:val="left" w:pos="4320"/>
              </w:tabs>
              <w:spacing w:before="60" w:after="60"/>
              <w:rPr>
                <w:rFonts w:ascii="Calibri" w:hAnsi="Calibri" w:cs="Courier New"/>
                <w:sz w:val="20"/>
                <w:szCs w:val="20"/>
              </w:rPr>
            </w:pPr>
            <w:r w:rsidRPr="00B05480">
              <w:rPr>
                <w:rFonts w:ascii="Calibri" w:hAnsi="Calibri" w:cs="Courier New"/>
                <w:sz w:val="20"/>
                <w:szCs w:val="20"/>
              </w:rPr>
              <w:t xml:space="preserve">Further, stakeholders should follow up on the issue of education curricula and see to what extent it will be possible to integrate the Climate Box content into the official nation-wide education curricula for general education. </w:t>
            </w:r>
          </w:p>
          <w:p w14:paraId="3B1346EE" w14:textId="77777777" w:rsidR="00B05480" w:rsidRPr="00B05480" w:rsidRDefault="00B05480" w:rsidP="00B05480">
            <w:pPr>
              <w:tabs>
                <w:tab w:val="left" w:pos="480"/>
                <w:tab w:val="left" w:pos="960"/>
                <w:tab w:val="left" w:pos="1440"/>
                <w:tab w:val="left" w:pos="1920"/>
                <w:tab w:val="left" w:pos="2400"/>
                <w:tab w:val="left" w:pos="2880"/>
                <w:tab w:val="left" w:pos="3360"/>
                <w:tab w:val="left" w:pos="3840"/>
                <w:tab w:val="left" w:pos="4320"/>
              </w:tabs>
              <w:spacing w:before="60" w:after="60"/>
              <w:rPr>
                <w:rFonts w:ascii="Calibri" w:hAnsi="Calibri" w:cs="Courier New"/>
                <w:sz w:val="20"/>
                <w:szCs w:val="20"/>
              </w:rPr>
            </w:pPr>
            <w:r w:rsidRPr="00B05480">
              <w:rPr>
                <w:rFonts w:ascii="Calibri" w:hAnsi="Calibri" w:cs="Courier New"/>
                <w:sz w:val="20"/>
                <w:szCs w:val="20"/>
              </w:rPr>
              <w:t>The project document mentioned the development of an exit strategy. It might be a good idea for the project team to develop an exit strategy before the final closure of the project in which they can identify options for ensuring the sustainability of the project’s components and products, some of which have been highlighted in this report.</w:t>
            </w:r>
          </w:p>
          <w:p w14:paraId="7FAE6BFB" w14:textId="6E81DD55" w:rsidR="00B05480" w:rsidRPr="00431D25" w:rsidRDefault="00B05480" w:rsidP="00653FB2">
            <w:pPr>
              <w:jc w:val="both"/>
              <w:rPr>
                <w:sz w:val="20"/>
                <w:szCs w:val="20"/>
              </w:rPr>
            </w:pPr>
          </w:p>
        </w:tc>
      </w:tr>
      <w:tr w:rsidR="00106F6B" w14:paraId="77A927A2" w14:textId="77777777" w:rsidTr="00230182">
        <w:tc>
          <w:tcPr>
            <w:tcW w:w="13097" w:type="dxa"/>
            <w:gridSpan w:val="5"/>
          </w:tcPr>
          <w:p w14:paraId="5AF7058A" w14:textId="77777777" w:rsidR="00431D25" w:rsidRDefault="00106F6B" w:rsidP="00431D25">
            <w:pPr>
              <w:tabs>
                <w:tab w:val="left" w:pos="480"/>
                <w:tab w:val="left" w:pos="960"/>
                <w:tab w:val="left" w:pos="1440"/>
                <w:tab w:val="left" w:pos="1920"/>
                <w:tab w:val="left" w:pos="2400"/>
                <w:tab w:val="left" w:pos="2880"/>
                <w:tab w:val="left" w:pos="3360"/>
                <w:tab w:val="left" w:pos="3840"/>
                <w:tab w:val="left" w:pos="4320"/>
              </w:tabs>
              <w:spacing w:before="60" w:after="60"/>
              <w:rPr>
                <w:rFonts w:ascii="Calibri" w:hAnsi="Calibri" w:cs="Courier New"/>
                <w:sz w:val="20"/>
                <w:szCs w:val="20"/>
              </w:rPr>
            </w:pPr>
            <w:r w:rsidRPr="00431D25">
              <w:rPr>
                <w:rFonts w:ascii="Calibri" w:hAnsi="Calibri" w:cs="Courier New"/>
                <w:b/>
                <w:sz w:val="20"/>
                <w:szCs w:val="20"/>
              </w:rPr>
              <w:t xml:space="preserve">Management Response: </w:t>
            </w:r>
            <w:r w:rsidRPr="00431D25">
              <w:rPr>
                <w:rFonts w:ascii="Calibri" w:hAnsi="Calibri" w:cs="Courier New"/>
                <w:sz w:val="20"/>
                <w:szCs w:val="20"/>
              </w:rPr>
              <w:t xml:space="preserve"> </w:t>
            </w:r>
          </w:p>
          <w:p w14:paraId="519C63B0" w14:textId="77777777" w:rsidR="00106F6B" w:rsidRPr="00431D25" w:rsidRDefault="00106F6B" w:rsidP="00431D25">
            <w:pPr>
              <w:tabs>
                <w:tab w:val="left" w:pos="480"/>
                <w:tab w:val="left" w:pos="960"/>
                <w:tab w:val="left" w:pos="1440"/>
                <w:tab w:val="left" w:pos="1920"/>
                <w:tab w:val="left" w:pos="2400"/>
                <w:tab w:val="left" w:pos="2880"/>
                <w:tab w:val="left" w:pos="3360"/>
                <w:tab w:val="left" w:pos="3840"/>
                <w:tab w:val="left" w:pos="4320"/>
              </w:tabs>
              <w:spacing w:before="60" w:after="60"/>
              <w:rPr>
                <w:sz w:val="20"/>
                <w:szCs w:val="20"/>
              </w:rPr>
            </w:pPr>
            <w:r w:rsidRPr="00920397">
              <w:rPr>
                <w:rFonts w:ascii="Calibri" w:hAnsi="Calibri" w:cs="Courier New"/>
                <w:sz w:val="20"/>
                <w:szCs w:val="20"/>
              </w:rPr>
              <w:t>The recommendation is relevant and acceptable.</w:t>
            </w:r>
            <w:r w:rsidRPr="00431D25">
              <w:rPr>
                <w:rFonts w:ascii="Calibri" w:hAnsi="Calibri" w:cs="Courier New"/>
                <w:sz w:val="20"/>
                <w:szCs w:val="20"/>
              </w:rPr>
              <w:t xml:space="preserve"> </w:t>
            </w:r>
          </w:p>
        </w:tc>
      </w:tr>
      <w:tr w:rsidR="00106F6B" w14:paraId="1F058FE1" w14:textId="77777777" w:rsidTr="00230182">
        <w:tc>
          <w:tcPr>
            <w:tcW w:w="6238" w:type="dxa"/>
            <w:vMerge w:val="restart"/>
          </w:tcPr>
          <w:p w14:paraId="2F6263BE" w14:textId="77777777" w:rsidR="00106F6B" w:rsidRDefault="00106F6B" w:rsidP="00431D25">
            <w:pPr>
              <w:rPr>
                <w:b/>
                <w:sz w:val="20"/>
                <w:szCs w:val="20"/>
              </w:rPr>
            </w:pPr>
            <w:r w:rsidRPr="00431D25">
              <w:rPr>
                <w:b/>
                <w:sz w:val="20"/>
                <w:szCs w:val="20"/>
              </w:rPr>
              <w:t>Key Action(s)</w:t>
            </w:r>
          </w:p>
          <w:p w14:paraId="159C2BB6" w14:textId="77777777" w:rsidR="00830ECE" w:rsidRDefault="00F43E9A" w:rsidP="00830ECE">
            <w:pPr>
              <w:rPr>
                <w:rFonts w:ascii="Calibri" w:hAnsi="Calibri" w:cs="Courier New"/>
                <w:sz w:val="20"/>
                <w:szCs w:val="20"/>
              </w:rPr>
            </w:pPr>
            <w:r w:rsidRPr="00F43E9A">
              <w:rPr>
                <w:rFonts w:ascii="Calibri" w:hAnsi="Calibri" w:cs="Courier New"/>
                <w:sz w:val="20"/>
                <w:szCs w:val="20"/>
              </w:rPr>
              <w:t>Online training</w:t>
            </w:r>
            <w:r>
              <w:rPr>
                <w:rFonts w:ascii="Calibri" w:hAnsi="Calibri" w:cs="Courier New"/>
                <w:sz w:val="20"/>
                <w:szCs w:val="20"/>
              </w:rPr>
              <w:t xml:space="preserve"> is incorporated into the training platform of the Civil Service office (</w:t>
            </w:r>
            <w:hyperlink r:id="rId8" w:history="1">
              <w:r>
                <w:rPr>
                  <w:rStyle w:val="Hyperlink"/>
                </w:rPr>
                <w:t>http://elearning.cso.gov.am/course/index.php?categoryid=1</w:t>
              </w:r>
            </w:hyperlink>
            <w:r>
              <w:t>) and will be utilized as part of training for civil servants. T</w:t>
            </w:r>
            <w:r w:rsidRPr="00B05480">
              <w:rPr>
                <w:rFonts w:ascii="Calibri" w:hAnsi="Calibri" w:cs="Courier New"/>
                <w:sz w:val="20"/>
                <w:szCs w:val="20"/>
              </w:rPr>
              <w:t>he Ministry of Territorial Administration and Infrastructure</w:t>
            </w:r>
            <w:r>
              <w:rPr>
                <w:rFonts w:ascii="Calibri" w:hAnsi="Calibri" w:cs="Courier New"/>
                <w:sz w:val="20"/>
                <w:szCs w:val="20"/>
              </w:rPr>
              <w:t xml:space="preserve"> expressed readiness and interest for integrating the developed educational materials into the training system for community servants and the staff of the Ministry. In addition, the developed materials are available for usage by other UNDP projects. T</w:t>
            </w:r>
            <w:r w:rsidRPr="00B05480">
              <w:rPr>
                <w:rFonts w:ascii="Calibri" w:hAnsi="Calibri" w:cs="Courier New"/>
                <w:sz w:val="20"/>
                <w:szCs w:val="20"/>
              </w:rPr>
              <w:t>he Climate Box content</w:t>
            </w:r>
            <w:r>
              <w:rPr>
                <w:rFonts w:ascii="Calibri" w:hAnsi="Calibri" w:cs="Courier New"/>
                <w:sz w:val="20"/>
                <w:szCs w:val="20"/>
              </w:rPr>
              <w:t xml:space="preserve"> is planned to pilot by June 2020 in the selected school</w:t>
            </w:r>
            <w:r w:rsidR="00830ECE">
              <w:rPr>
                <w:rFonts w:ascii="Calibri" w:hAnsi="Calibri" w:cs="Courier New"/>
                <w:sz w:val="20"/>
                <w:szCs w:val="20"/>
              </w:rPr>
              <w:t>s. The project Exit Strategy will be developed and discussed during the Project Board and Validation Workshop.</w:t>
            </w:r>
          </w:p>
          <w:p w14:paraId="5FCE8F4B" w14:textId="700F4A24" w:rsidR="00F43E9A" w:rsidRPr="00431D25" w:rsidRDefault="00F43E9A" w:rsidP="00830ECE">
            <w:pPr>
              <w:rPr>
                <w:b/>
                <w:sz w:val="20"/>
                <w:szCs w:val="20"/>
              </w:rPr>
            </w:pPr>
            <w:r w:rsidRPr="00B05480">
              <w:rPr>
                <w:rFonts w:ascii="Calibri" w:hAnsi="Calibri" w:cs="Courier New"/>
                <w:sz w:val="20"/>
                <w:szCs w:val="20"/>
              </w:rPr>
              <w:t xml:space="preserve"> </w:t>
            </w:r>
          </w:p>
        </w:tc>
        <w:tc>
          <w:tcPr>
            <w:tcW w:w="1984" w:type="dxa"/>
            <w:vMerge w:val="restart"/>
          </w:tcPr>
          <w:p w14:paraId="125C1E65" w14:textId="77777777" w:rsidR="00106F6B" w:rsidRDefault="00106F6B" w:rsidP="00431D25">
            <w:pPr>
              <w:rPr>
                <w:b/>
                <w:sz w:val="20"/>
                <w:szCs w:val="20"/>
              </w:rPr>
            </w:pPr>
            <w:r w:rsidRPr="00431D25">
              <w:rPr>
                <w:b/>
                <w:sz w:val="20"/>
                <w:szCs w:val="20"/>
              </w:rPr>
              <w:t>Time Frame</w:t>
            </w:r>
          </w:p>
          <w:p w14:paraId="7306BC9D" w14:textId="77777777" w:rsidR="00724874" w:rsidRDefault="00724874" w:rsidP="00431D25">
            <w:pPr>
              <w:rPr>
                <w:b/>
                <w:sz w:val="20"/>
                <w:szCs w:val="20"/>
              </w:rPr>
            </w:pPr>
          </w:p>
          <w:p w14:paraId="238B29E2" w14:textId="12A0848D" w:rsidR="00724874" w:rsidRDefault="00830ECE" w:rsidP="00431D25">
            <w:pPr>
              <w:rPr>
                <w:sz w:val="20"/>
                <w:szCs w:val="20"/>
              </w:rPr>
            </w:pPr>
            <w:r>
              <w:rPr>
                <w:sz w:val="20"/>
                <w:szCs w:val="20"/>
              </w:rPr>
              <w:t>December</w:t>
            </w:r>
            <w:r w:rsidR="00D628DC" w:rsidRPr="00D82D16">
              <w:rPr>
                <w:sz w:val="20"/>
                <w:szCs w:val="20"/>
              </w:rPr>
              <w:t xml:space="preserve"> 2019</w:t>
            </w:r>
            <w:r>
              <w:rPr>
                <w:sz w:val="20"/>
                <w:szCs w:val="20"/>
              </w:rPr>
              <w:t>;</w:t>
            </w:r>
          </w:p>
          <w:p w14:paraId="647ECE84" w14:textId="6FAE5A47" w:rsidR="00830ECE" w:rsidRPr="00D82D16" w:rsidRDefault="00830ECE" w:rsidP="00431D25">
            <w:pPr>
              <w:rPr>
                <w:sz w:val="20"/>
                <w:szCs w:val="20"/>
              </w:rPr>
            </w:pPr>
            <w:r>
              <w:rPr>
                <w:sz w:val="20"/>
                <w:szCs w:val="20"/>
              </w:rPr>
              <w:t>By June 2020 – Climate Box</w:t>
            </w:r>
          </w:p>
        </w:tc>
        <w:tc>
          <w:tcPr>
            <w:tcW w:w="1985" w:type="dxa"/>
            <w:vMerge w:val="restart"/>
          </w:tcPr>
          <w:p w14:paraId="6FC584FA" w14:textId="77777777" w:rsidR="00106F6B" w:rsidRDefault="00106F6B" w:rsidP="00431D25">
            <w:pPr>
              <w:rPr>
                <w:b/>
                <w:sz w:val="20"/>
                <w:szCs w:val="20"/>
              </w:rPr>
            </w:pPr>
            <w:r w:rsidRPr="00431D25">
              <w:rPr>
                <w:b/>
                <w:sz w:val="20"/>
                <w:szCs w:val="20"/>
              </w:rPr>
              <w:t>Responsible Unit(s)</w:t>
            </w:r>
          </w:p>
          <w:p w14:paraId="078B61A9" w14:textId="77777777" w:rsidR="00D628DC" w:rsidRDefault="00D628DC" w:rsidP="00431D25">
            <w:pPr>
              <w:rPr>
                <w:b/>
                <w:sz w:val="20"/>
                <w:szCs w:val="20"/>
              </w:rPr>
            </w:pPr>
          </w:p>
          <w:p w14:paraId="092E472C" w14:textId="346B3AA5" w:rsidR="00D628DC" w:rsidRPr="00D82D16" w:rsidRDefault="001A176B" w:rsidP="00431D25">
            <w:pPr>
              <w:rPr>
                <w:sz w:val="20"/>
                <w:szCs w:val="20"/>
              </w:rPr>
            </w:pPr>
            <w:r>
              <w:rPr>
                <w:sz w:val="20"/>
                <w:szCs w:val="20"/>
              </w:rPr>
              <w:t>UNDP</w:t>
            </w:r>
          </w:p>
          <w:p w14:paraId="4F6D0DFE" w14:textId="77777777" w:rsidR="00D628DC" w:rsidRPr="00431D25" w:rsidRDefault="00D628DC" w:rsidP="00431D25">
            <w:pPr>
              <w:rPr>
                <w:b/>
                <w:sz w:val="20"/>
                <w:szCs w:val="20"/>
              </w:rPr>
            </w:pPr>
            <w:r w:rsidRPr="00D82D16">
              <w:rPr>
                <w:sz w:val="20"/>
                <w:szCs w:val="20"/>
              </w:rPr>
              <w:t>Implementing partners</w:t>
            </w:r>
          </w:p>
        </w:tc>
        <w:tc>
          <w:tcPr>
            <w:tcW w:w="2890" w:type="dxa"/>
            <w:gridSpan w:val="2"/>
          </w:tcPr>
          <w:p w14:paraId="25BEAD28" w14:textId="77777777" w:rsidR="00106F6B" w:rsidRPr="00431D25" w:rsidRDefault="00106F6B" w:rsidP="00431D25">
            <w:pPr>
              <w:jc w:val="center"/>
              <w:rPr>
                <w:b/>
                <w:sz w:val="20"/>
                <w:szCs w:val="20"/>
              </w:rPr>
            </w:pPr>
            <w:r w:rsidRPr="00431D25">
              <w:rPr>
                <w:b/>
                <w:sz w:val="20"/>
                <w:szCs w:val="20"/>
              </w:rPr>
              <w:t>Tracking</w:t>
            </w:r>
          </w:p>
        </w:tc>
      </w:tr>
      <w:tr w:rsidR="00106F6B" w14:paraId="4D5FA36E" w14:textId="77777777" w:rsidTr="00230182">
        <w:tc>
          <w:tcPr>
            <w:tcW w:w="6238" w:type="dxa"/>
            <w:vMerge/>
          </w:tcPr>
          <w:p w14:paraId="336D74FE" w14:textId="77777777" w:rsidR="00106F6B" w:rsidRPr="00431D25" w:rsidRDefault="00106F6B" w:rsidP="00431D25">
            <w:pPr>
              <w:rPr>
                <w:b/>
                <w:sz w:val="20"/>
                <w:szCs w:val="20"/>
              </w:rPr>
            </w:pPr>
          </w:p>
        </w:tc>
        <w:tc>
          <w:tcPr>
            <w:tcW w:w="1984" w:type="dxa"/>
            <w:vMerge/>
          </w:tcPr>
          <w:p w14:paraId="092E0E57" w14:textId="77777777" w:rsidR="00106F6B" w:rsidRPr="00431D25" w:rsidRDefault="00106F6B" w:rsidP="00431D25">
            <w:pPr>
              <w:rPr>
                <w:b/>
                <w:sz w:val="20"/>
                <w:szCs w:val="20"/>
              </w:rPr>
            </w:pPr>
          </w:p>
        </w:tc>
        <w:tc>
          <w:tcPr>
            <w:tcW w:w="1985" w:type="dxa"/>
            <w:vMerge/>
          </w:tcPr>
          <w:p w14:paraId="46E8DFD2" w14:textId="77777777" w:rsidR="00106F6B" w:rsidRPr="00431D25" w:rsidRDefault="00106F6B" w:rsidP="00431D25">
            <w:pPr>
              <w:rPr>
                <w:b/>
                <w:sz w:val="20"/>
                <w:szCs w:val="20"/>
              </w:rPr>
            </w:pPr>
          </w:p>
        </w:tc>
        <w:tc>
          <w:tcPr>
            <w:tcW w:w="1559" w:type="dxa"/>
          </w:tcPr>
          <w:p w14:paraId="6EDF4850" w14:textId="77777777" w:rsidR="00106F6B" w:rsidRDefault="00106F6B" w:rsidP="00431D25">
            <w:pPr>
              <w:jc w:val="center"/>
              <w:rPr>
                <w:b/>
                <w:sz w:val="20"/>
                <w:szCs w:val="20"/>
              </w:rPr>
            </w:pPr>
            <w:r w:rsidRPr="00431D25">
              <w:rPr>
                <w:b/>
                <w:sz w:val="20"/>
                <w:szCs w:val="20"/>
              </w:rPr>
              <w:t>Comments</w:t>
            </w:r>
          </w:p>
          <w:p w14:paraId="06E61AC7" w14:textId="249CF035" w:rsidR="00B9222D" w:rsidRPr="00431D25" w:rsidRDefault="00B9222D" w:rsidP="00D82D16">
            <w:pPr>
              <w:rPr>
                <w:b/>
                <w:sz w:val="20"/>
                <w:szCs w:val="20"/>
              </w:rPr>
            </w:pPr>
            <w:r w:rsidRPr="00521672">
              <w:rPr>
                <w:sz w:val="20"/>
                <w:szCs w:val="20"/>
              </w:rPr>
              <w:t>This action is ongoing</w:t>
            </w:r>
          </w:p>
        </w:tc>
        <w:tc>
          <w:tcPr>
            <w:tcW w:w="1331" w:type="dxa"/>
          </w:tcPr>
          <w:p w14:paraId="449E058E" w14:textId="77777777" w:rsidR="00106F6B" w:rsidRDefault="00106F6B" w:rsidP="00431D25">
            <w:pPr>
              <w:jc w:val="center"/>
              <w:rPr>
                <w:b/>
                <w:i/>
                <w:sz w:val="20"/>
                <w:szCs w:val="20"/>
              </w:rPr>
            </w:pPr>
            <w:r w:rsidRPr="00D82D16">
              <w:rPr>
                <w:b/>
                <w:i/>
                <w:sz w:val="20"/>
                <w:szCs w:val="20"/>
              </w:rPr>
              <w:t>Status</w:t>
            </w:r>
          </w:p>
          <w:p w14:paraId="7D47FA70" w14:textId="77777777" w:rsidR="00B9222D" w:rsidRPr="00D82D16" w:rsidRDefault="00B9222D" w:rsidP="00D82D16">
            <w:pPr>
              <w:ind w:left="-65" w:firstLine="65"/>
              <w:rPr>
                <w:b/>
                <w:i/>
                <w:sz w:val="20"/>
                <w:szCs w:val="20"/>
              </w:rPr>
            </w:pPr>
            <w:r w:rsidRPr="00521672">
              <w:rPr>
                <w:sz w:val="20"/>
                <w:szCs w:val="20"/>
              </w:rPr>
              <w:t>In process</w:t>
            </w:r>
          </w:p>
        </w:tc>
      </w:tr>
      <w:tr w:rsidR="00106F6B" w14:paraId="4AB9854C" w14:textId="77777777" w:rsidTr="00230182">
        <w:tc>
          <w:tcPr>
            <w:tcW w:w="13097" w:type="dxa"/>
            <w:gridSpan w:val="5"/>
            <w:shd w:val="clear" w:color="auto" w:fill="D9D9D9" w:themeFill="background1" w:themeFillShade="D9"/>
          </w:tcPr>
          <w:p w14:paraId="690D9FD4" w14:textId="32F528AB" w:rsidR="00106F6B" w:rsidRPr="00653FB2" w:rsidRDefault="00653FB2" w:rsidP="00653FB2">
            <w:pPr>
              <w:spacing w:before="60" w:after="60"/>
              <w:rPr>
                <w:rFonts w:ascii="Calibri" w:hAnsi="Calibri" w:cs="Courier New"/>
                <w:b/>
                <w:sz w:val="20"/>
                <w:szCs w:val="20"/>
              </w:rPr>
            </w:pPr>
            <w:r w:rsidRPr="00653FB2">
              <w:rPr>
                <w:rFonts w:ascii="Calibri" w:hAnsi="Calibri" w:cs="Courier New"/>
                <w:b/>
                <w:sz w:val="20"/>
                <w:szCs w:val="20"/>
              </w:rPr>
              <w:t xml:space="preserve">Recommendation 2:  Measuring the Absorption of Training </w:t>
            </w:r>
          </w:p>
        </w:tc>
      </w:tr>
      <w:tr w:rsidR="00106F6B" w14:paraId="681FB71B" w14:textId="77777777" w:rsidTr="00230182">
        <w:tc>
          <w:tcPr>
            <w:tcW w:w="13097" w:type="dxa"/>
            <w:gridSpan w:val="5"/>
          </w:tcPr>
          <w:p w14:paraId="2AACE7FA" w14:textId="193367D1" w:rsidR="00B05480" w:rsidRPr="00653FB2" w:rsidRDefault="00B05480" w:rsidP="00653FB2">
            <w:pPr>
              <w:rPr>
                <w:rFonts w:ascii="Calibri" w:hAnsi="Calibri" w:cs="Courier New"/>
                <w:sz w:val="20"/>
                <w:szCs w:val="20"/>
              </w:rPr>
            </w:pPr>
            <w:r w:rsidRPr="00653FB2">
              <w:rPr>
                <w:rFonts w:ascii="Calibri" w:hAnsi="Calibri" w:cs="Courier New"/>
                <w:sz w:val="20"/>
                <w:szCs w:val="20"/>
              </w:rPr>
              <w:t xml:space="preserve">In future interventions that involve intensive training components such as this project, UNDP and stakeholders are advised to pay greater attention to the measurement of the quality of training, and more importantly the absorption of the training content by the participants. This requires that two things are put in place: first, a feedback system for collecting the participants’ assessment of the training </w:t>
            </w:r>
            <w:r w:rsidR="00B7079A" w:rsidRPr="00653FB2">
              <w:rPr>
                <w:rFonts w:ascii="Calibri" w:hAnsi="Calibri" w:cs="Courier New"/>
                <w:sz w:val="20"/>
                <w:szCs w:val="20"/>
              </w:rPr>
              <w:t>received and</w:t>
            </w:r>
            <w:r w:rsidRPr="00653FB2">
              <w:rPr>
                <w:rFonts w:ascii="Calibri" w:hAnsi="Calibri" w:cs="Courier New"/>
                <w:sz w:val="20"/>
                <w:szCs w:val="20"/>
              </w:rPr>
              <w:t xml:space="preserve"> tracking the trainees over time to understand to what extent they are using the concepts and skills gained through the training programme. This will enable the providers of training to understand how best to tailor training programme, so that they can have a real impact over time.</w:t>
            </w:r>
          </w:p>
          <w:p w14:paraId="4A3B830F" w14:textId="4BE3D496" w:rsidR="00106F6B" w:rsidRPr="00C83074" w:rsidRDefault="00106F6B" w:rsidP="00D82D16">
            <w:pPr>
              <w:rPr>
                <w:sz w:val="20"/>
                <w:szCs w:val="20"/>
              </w:rPr>
            </w:pPr>
          </w:p>
        </w:tc>
      </w:tr>
      <w:tr w:rsidR="00106F6B" w14:paraId="11A3FF80" w14:textId="77777777" w:rsidTr="00230182">
        <w:tc>
          <w:tcPr>
            <w:tcW w:w="13097" w:type="dxa"/>
            <w:gridSpan w:val="5"/>
          </w:tcPr>
          <w:p w14:paraId="23C06CCA" w14:textId="77777777" w:rsidR="00431D25" w:rsidRPr="00C83074" w:rsidRDefault="00106F6B" w:rsidP="00431D25">
            <w:pPr>
              <w:tabs>
                <w:tab w:val="left" w:pos="480"/>
                <w:tab w:val="left" w:pos="960"/>
                <w:tab w:val="left" w:pos="1440"/>
                <w:tab w:val="left" w:pos="1920"/>
                <w:tab w:val="left" w:pos="2400"/>
                <w:tab w:val="left" w:pos="2880"/>
                <w:tab w:val="left" w:pos="3360"/>
                <w:tab w:val="left" w:pos="3840"/>
                <w:tab w:val="left" w:pos="4320"/>
              </w:tabs>
              <w:spacing w:before="60" w:after="60"/>
              <w:rPr>
                <w:rFonts w:ascii="Calibri" w:hAnsi="Calibri" w:cs="Courier New"/>
                <w:sz w:val="20"/>
                <w:szCs w:val="20"/>
              </w:rPr>
            </w:pPr>
            <w:r w:rsidRPr="00C83074">
              <w:rPr>
                <w:rFonts w:ascii="Calibri" w:hAnsi="Calibri" w:cs="Courier New"/>
                <w:b/>
                <w:sz w:val="20"/>
                <w:szCs w:val="20"/>
              </w:rPr>
              <w:lastRenderedPageBreak/>
              <w:t xml:space="preserve">Management Response: </w:t>
            </w:r>
            <w:r w:rsidRPr="00C83074">
              <w:rPr>
                <w:rFonts w:ascii="Calibri" w:hAnsi="Calibri" w:cs="Courier New"/>
                <w:sz w:val="20"/>
                <w:szCs w:val="20"/>
              </w:rPr>
              <w:t xml:space="preserve"> </w:t>
            </w:r>
          </w:p>
          <w:p w14:paraId="281A3D07" w14:textId="77777777" w:rsidR="00A65832" w:rsidRPr="00C83074" w:rsidRDefault="00106F6B" w:rsidP="00920397">
            <w:pPr>
              <w:tabs>
                <w:tab w:val="left" w:pos="480"/>
                <w:tab w:val="left" w:pos="960"/>
                <w:tab w:val="left" w:pos="1440"/>
                <w:tab w:val="left" w:pos="1920"/>
                <w:tab w:val="left" w:pos="2400"/>
                <w:tab w:val="left" w:pos="2880"/>
                <w:tab w:val="left" w:pos="3360"/>
                <w:tab w:val="left" w:pos="3840"/>
                <w:tab w:val="left" w:pos="4320"/>
              </w:tabs>
              <w:spacing w:before="60" w:after="60"/>
              <w:rPr>
                <w:sz w:val="20"/>
                <w:szCs w:val="20"/>
              </w:rPr>
            </w:pPr>
            <w:r w:rsidRPr="00FA0C28">
              <w:rPr>
                <w:rFonts w:ascii="Calibri" w:hAnsi="Calibri" w:cs="Courier New"/>
                <w:sz w:val="20"/>
                <w:szCs w:val="20"/>
              </w:rPr>
              <w:t>The recommendation is relevant and acceptable.</w:t>
            </w:r>
          </w:p>
        </w:tc>
      </w:tr>
      <w:tr w:rsidR="00106F6B" w:rsidRPr="00106F6B" w14:paraId="0F76C292" w14:textId="77777777" w:rsidTr="00230182">
        <w:tc>
          <w:tcPr>
            <w:tcW w:w="6238" w:type="dxa"/>
            <w:vMerge w:val="restart"/>
          </w:tcPr>
          <w:p w14:paraId="5B8D8FB0" w14:textId="77777777" w:rsidR="00106F6B" w:rsidRPr="00C83074" w:rsidRDefault="00106F6B" w:rsidP="00431D25">
            <w:pPr>
              <w:rPr>
                <w:b/>
                <w:sz w:val="20"/>
                <w:szCs w:val="20"/>
              </w:rPr>
            </w:pPr>
            <w:r w:rsidRPr="00C83074">
              <w:rPr>
                <w:b/>
                <w:sz w:val="20"/>
                <w:szCs w:val="20"/>
              </w:rPr>
              <w:t>Key Action(s)</w:t>
            </w:r>
          </w:p>
        </w:tc>
        <w:tc>
          <w:tcPr>
            <w:tcW w:w="1984" w:type="dxa"/>
            <w:vMerge w:val="restart"/>
          </w:tcPr>
          <w:p w14:paraId="60CE49FF" w14:textId="77777777" w:rsidR="00106F6B" w:rsidRPr="00C83074" w:rsidRDefault="00106F6B" w:rsidP="00431D25">
            <w:pPr>
              <w:rPr>
                <w:b/>
                <w:sz w:val="20"/>
                <w:szCs w:val="20"/>
              </w:rPr>
            </w:pPr>
            <w:r w:rsidRPr="00C83074">
              <w:rPr>
                <w:b/>
                <w:sz w:val="20"/>
                <w:szCs w:val="20"/>
              </w:rPr>
              <w:t>Time Frame</w:t>
            </w:r>
          </w:p>
        </w:tc>
        <w:tc>
          <w:tcPr>
            <w:tcW w:w="1985" w:type="dxa"/>
            <w:vMerge w:val="restart"/>
          </w:tcPr>
          <w:p w14:paraId="64F9AD87" w14:textId="77777777" w:rsidR="00106F6B" w:rsidRPr="00C83074" w:rsidRDefault="00106F6B" w:rsidP="00431D25">
            <w:pPr>
              <w:rPr>
                <w:b/>
                <w:sz w:val="20"/>
                <w:szCs w:val="20"/>
              </w:rPr>
            </w:pPr>
            <w:r w:rsidRPr="00C83074">
              <w:rPr>
                <w:b/>
                <w:sz w:val="20"/>
                <w:szCs w:val="20"/>
              </w:rPr>
              <w:t>Responsible Unit(s)</w:t>
            </w:r>
          </w:p>
        </w:tc>
        <w:tc>
          <w:tcPr>
            <w:tcW w:w="2890" w:type="dxa"/>
            <w:gridSpan w:val="2"/>
          </w:tcPr>
          <w:p w14:paraId="5982F17A" w14:textId="77777777" w:rsidR="00106F6B" w:rsidRPr="00C83074" w:rsidRDefault="00106F6B" w:rsidP="00431D25">
            <w:pPr>
              <w:jc w:val="center"/>
              <w:rPr>
                <w:b/>
                <w:sz w:val="20"/>
                <w:szCs w:val="20"/>
              </w:rPr>
            </w:pPr>
            <w:r w:rsidRPr="00C83074">
              <w:rPr>
                <w:b/>
                <w:sz w:val="20"/>
                <w:szCs w:val="20"/>
              </w:rPr>
              <w:t>Tracking</w:t>
            </w:r>
          </w:p>
        </w:tc>
      </w:tr>
      <w:tr w:rsidR="00106F6B" w:rsidRPr="00106F6B" w14:paraId="4F0C9AFF" w14:textId="77777777" w:rsidTr="00230182">
        <w:tc>
          <w:tcPr>
            <w:tcW w:w="6238" w:type="dxa"/>
            <w:vMerge/>
          </w:tcPr>
          <w:p w14:paraId="5A130812" w14:textId="77777777" w:rsidR="00106F6B" w:rsidRPr="00C83074" w:rsidRDefault="00106F6B" w:rsidP="00431D25">
            <w:pPr>
              <w:rPr>
                <w:b/>
                <w:sz w:val="20"/>
                <w:szCs w:val="20"/>
              </w:rPr>
            </w:pPr>
          </w:p>
        </w:tc>
        <w:tc>
          <w:tcPr>
            <w:tcW w:w="1984" w:type="dxa"/>
            <w:vMerge/>
          </w:tcPr>
          <w:p w14:paraId="27297AC0" w14:textId="77777777" w:rsidR="00106F6B" w:rsidRPr="00C83074" w:rsidRDefault="00106F6B" w:rsidP="00431D25">
            <w:pPr>
              <w:rPr>
                <w:b/>
                <w:sz w:val="20"/>
                <w:szCs w:val="20"/>
              </w:rPr>
            </w:pPr>
          </w:p>
        </w:tc>
        <w:tc>
          <w:tcPr>
            <w:tcW w:w="1985" w:type="dxa"/>
            <w:vMerge/>
          </w:tcPr>
          <w:p w14:paraId="7D56D3EA" w14:textId="77777777" w:rsidR="00106F6B" w:rsidRPr="00C83074" w:rsidRDefault="00106F6B" w:rsidP="00431D25">
            <w:pPr>
              <w:rPr>
                <w:b/>
                <w:sz w:val="20"/>
                <w:szCs w:val="20"/>
              </w:rPr>
            </w:pPr>
          </w:p>
        </w:tc>
        <w:tc>
          <w:tcPr>
            <w:tcW w:w="1559" w:type="dxa"/>
          </w:tcPr>
          <w:p w14:paraId="070CB2BF" w14:textId="77777777" w:rsidR="00106F6B" w:rsidRPr="00C83074" w:rsidRDefault="00106F6B" w:rsidP="00431D25">
            <w:pPr>
              <w:jc w:val="center"/>
              <w:rPr>
                <w:b/>
                <w:sz w:val="20"/>
                <w:szCs w:val="20"/>
              </w:rPr>
            </w:pPr>
            <w:r w:rsidRPr="00C83074">
              <w:rPr>
                <w:b/>
                <w:sz w:val="20"/>
                <w:szCs w:val="20"/>
              </w:rPr>
              <w:t>Comments</w:t>
            </w:r>
          </w:p>
        </w:tc>
        <w:tc>
          <w:tcPr>
            <w:tcW w:w="1331" w:type="dxa"/>
          </w:tcPr>
          <w:p w14:paraId="0D31EAE2" w14:textId="77777777" w:rsidR="00106F6B" w:rsidRPr="00C83074" w:rsidRDefault="00106F6B" w:rsidP="00431D25">
            <w:pPr>
              <w:jc w:val="center"/>
              <w:rPr>
                <w:b/>
                <w:sz w:val="20"/>
                <w:szCs w:val="20"/>
              </w:rPr>
            </w:pPr>
            <w:r w:rsidRPr="00C83074">
              <w:rPr>
                <w:b/>
                <w:sz w:val="20"/>
                <w:szCs w:val="20"/>
              </w:rPr>
              <w:t>Status</w:t>
            </w:r>
          </w:p>
        </w:tc>
      </w:tr>
      <w:tr w:rsidR="00106F6B" w14:paraId="173E5703" w14:textId="77777777" w:rsidTr="00230182">
        <w:tc>
          <w:tcPr>
            <w:tcW w:w="6238" w:type="dxa"/>
          </w:tcPr>
          <w:p w14:paraId="65ACA00E" w14:textId="43F46C08" w:rsidR="00B7079A" w:rsidRPr="00D82D16" w:rsidRDefault="00B7079A" w:rsidP="00B7079A">
            <w:pPr>
              <w:autoSpaceDE w:val="0"/>
              <w:autoSpaceDN w:val="0"/>
              <w:rPr>
                <w:sz w:val="20"/>
                <w:szCs w:val="20"/>
                <w:highlight w:val="yellow"/>
              </w:rPr>
            </w:pPr>
            <w:r w:rsidRPr="00B7079A">
              <w:rPr>
                <w:sz w:val="20"/>
                <w:szCs w:val="20"/>
              </w:rPr>
              <w:t>Public Administration Academy of Armenia (PAARA)</w:t>
            </w:r>
            <w:r>
              <w:rPr>
                <w:sz w:val="20"/>
                <w:szCs w:val="20"/>
              </w:rPr>
              <w:t xml:space="preserve">, being the main implementing partner for the training of 1,000 decision makers, </w:t>
            </w:r>
            <w:r w:rsidRPr="00B7079A">
              <w:rPr>
                <w:sz w:val="20"/>
                <w:szCs w:val="20"/>
              </w:rPr>
              <w:t xml:space="preserve">ensured that relevant </w:t>
            </w:r>
            <w:r w:rsidRPr="00B7079A">
              <w:rPr>
                <w:rFonts w:ascii="Calibri" w:hAnsi="Calibri" w:cs="Courier New"/>
                <w:sz w:val="20"/>
                <w:szCs w:val="20"/>
              </w:rPr>
              <w:t xml:space="preserve">feedback </w:t>
            </w:r>
            <w:r w:rsidRPr="00B7079A">
              <w:rPr>
                <w:rFonts w:ascii="Calibri" w:hAnsi="Calibri" w:cs="Courier New"/>
                <w:sz w:val="20"/>
                <w:szCs w:val="20"/>
              </w:rPr>
              <w:t xml:space="preserve">mechanism </w:t>
            </w:r>
            <w:r w:rsidRPr="00B7079A">
              <w:rPr>
                <w:rFonts w:ascii="Calibri" w:hAnsi="Calibri" w:cs="Courier New"/>
                <w:sz w:val="20"/>
                <w:szCs w:val="20"/>
              </w:rPr>
              <w:t>for collecting the participants’ assessment of the training</w:t>
            </w:r>
            <w:r w:rsidRPr="00B7079A">
              <w:rPr>
                <w:rFonts w:ascii="Calibri" w:hAnsi="Calibri" w:cs="Courier New"/>
                <w:sz w:val="20"/>
                <w:szCs w:val="20"/>
              </w:rPr>
              <w:t xml:space="preserve"> is in place.</w:t>
            </w:r>
            <w:r>
              <w:rPr>
                <w:rFonts w:ascii="Calibri" w:hAnsi="Calibri" w:cs="Courier New"/>
                <w:sz w:val="20"/>
                <w:szCs w:val="20"/>
              </w:rPr>
              <w:t xml:space="preserve"> Pre/Post training assessment was collected and analyzed. Moreover, preliminary agreement is achieved with PAARA to conduct impact measurement of the delivered trainings by monitoring and post-training impact reporting mechanism for the period of one year.</w:t>
            </w:r>
          </w:p>
        </w:tc>
        <w:tc>
          <w:tcPr>
            <w:tcW w:w="1984" w:type="dxa"/>
          </w:tcPr>
          <w:p w14:paraId="2A8524C2" w14:textId="72D974EC" w:rsidR="00106F6B" w:rsidRPr="00920397" w:rsidRDefault="00A65832" w:rsidP="00D82D16">
            <w:pPr>
              <w:rPr>
                <w:sz w:val="20"/>
                <w:szCs w:val="20"/>
              </w:rPr>
            </w:pPr>
            <w:r w:rsidRPr="00920397">
              <w:rPr>
                <w:sz w:val="20"/>
                <w:szCs w:val="20"/>
              </w:rPr>
              <w:t xml:space="preserve">By </w:t>
            </w:r>
            <w:r w:rsidR="009560C2">
              <w:rPr>
                <w:sz w:val="20"/>
                <w:szCs w:val="20"/>
              </w:rPr>
              <w:t xml:space="preserve">the </w:t>
            </w:r>
            <w:r w:rsidR="00D1717B" w:rsidRPr="00920397">
              <w:rPr>
                <w:sz w:val="20"/>
                <w:szCs w:val="20"/>
              </w:rPr>
              <w:t xml:space="preserve">end </w:t>
            </w:r>
            <w:r w:rsidR="00B9222D" w:rsidRPr="00D82D16">
              <w:rPr>
                <w:sz w:val="20"/>
                <w:szCs w:val="20"/>
              </w:rPr>
              <w:t>of 20</w:t>
            </w:r>
            <w:r w:rsidR="00B7079A">
              <w:rPr>
                <w:sz w:val="20"/>
                <w:szCs w:val="20"/>
              </w:rPr>
              <w:t>20</w:t>
            </w:r>
          </w:p>
        </w:tc>
        <w:tc>
          <w:tcPr>
            <w:tcW w:w="1985" w:type="dxa"/>
          </w:tcPr>
          <w:p w14:paraId="50E000FD" w14:textId="4A232409" w:rsidR="00106F6B" w:rsidRPr="00B9222D" w:rsidRDefault="00B7079A" w:rsidP="00D82D16">
            <w:pPr>
              <w:rPr>
                <w:sz w:val="20"/>
                <w:szCs w:val="20"/>
              </w:rPr>
            </w:pPr>
            <w:r>
              <w:rPr>
                <w:sz w:val="20"/>
                <w:szCs w:val="20"/>
              </w:rPr>
              <w:t>UNDP; PAARA</w:t>
            </w:r>
          </w:p>
        </w:tc>
        <w:tc>
          <w:tcPr>
            <w:tcW w:w="1559" w:type="dxa"/>
          </w:tcPr>
          <w:p w14:paraId="3C92D3EF" w14:textId="67BC188A" w:rsidR="00106F6B" w:rsidRPr="00920397" w:rsidRDefault="00B9222D" w:rsidP="00D82D16">
            <w:pPr>
              <w:rPr>
                <w:sz w:val="20"/>
                <w:szCs w:val="20"/>
              </w:rPr>
            </w:pPr>
            <w:r w:rsidRPr="00D82D16">
              <w:rPr>
                <w:sz w:val="20"/>
                <w:szCs w:val="20"/>
              </w:rPr>
              <w:t>This action is ongoing</w:t>
            </w:r>
          </w:p>
        </w:tc>
        <w:tc>
          <w:tcPr>
            <w:tcW w:w="1331" w:type="dxa"/>
          </w:tcPr>
          <w:p w14:paraId="67D9527C" w14:textId="77777777" w:rsidR="00106F6B" w:rsidRPr="00B9222D" w:rsidRDefault="00106F6B" w:rsidP="00D82D16">
            <w:pPr>
              <w:rPr>
                <w:sz w:val="20"/>
                <w:szCs w:val="20"/>
              </w:rPr>
            </w:pPr>
            <w:r w:rsidRPr="00B9222D">
              <w:rPr>
                <w:sz w:val="20"/>
                <w:szCs w:val="20"/>
              </w:rPr>
              <w:t>In process</w:t>
            </w:r>
          </w:p>
        </w:tc>
      </w:tr>
      <w:tr w:rsidR="00431D25" w:rsidRPr="00431D25" w14:paraId="109E1627" w14:textId="77777777" w:rsidTr="009770EB">
        <w:trPr>
          <w:trHeight w:val="428"/>
        </w:trPr>
        <w:tc>
          <w:tcPr>
            <w:tcW w:w="13097" w:type="dxa"/>
            <w:gridSpan w:val="5"/>
            <w:shd w:val="clear" w:color="auto" w:fill="D9D9D9" w:themeFill="background1" w:themeFillShade="D9"/>
          </w:tcPr>
          <w:p w14:paraId="4D9CBA26" w14:textId="7CAF4110" w:rsidR="00431D25" w:rsidRPr="00653FB2" w:rsidRDefault="00653FB2" w:rsidP="00653FB2">
            <w:pPr>
              <w:spacing w:before="60" w:after="60"/>
              <w:rPr>
                <w:rFonts w:ascii="Calibri" w:hAnsi="Calibri" w:cs="Courier New"/>
                <w:b/>
                <w:sz w:val="20"/>
                <w:szCs w:val="20"/>
              </w:rPr>
            </w:pPr>
            <w:r w:rsidRPr="00653FB2">
              <w:rPr>
                <w:rFonts w:ascii="Calibri" w:hAnsi="Calibri" w:cs="Courier New"/>
                <w:b/>
                <w:sz w:val="20"/>
                <w:szCs w:val="20"/>
              </w:rPr>
              <w:t xml:space="preserve">Recommendation 3: </w:t>
            </w:r>
            <w:proofErr w:type="spellStart"/>
            <w:r w:rsidRPr="00653FB2">
              <w:rPr>
                <w:rFonts w:ascii="Calibri" w:hAnsi="Calibri" w:cs="Courier New"/>
                <w:b/>
                <w:sz w:val="20"/>
                <w:szCs w:val="20"/>
              </w:rPr>
              <w:t>Behavioural</w:t>
            </w:r>
            <w:proofErr w:type="spellEnd"/>
            <w:r w:rsidRPr="00653FB2">
              <w:rPr>
                <w:rFonts w:ascii="Calibri" w:hAnsi="Calibri" w:cs="Courier New"/>
                <w:b/>
                <w:sz w:val="20"/>
                <w:szCs w:val="20"/>
              </w:rPr>
              <w:t xml:space="preserve"> Change as the Primary Goal</w:t>
            </w:r>
          </w:p>
        </w:tc>
      </w:tr>
      <w:tr w:rsidR="00431D25" w:rsidRPr="00431D25" w14:paraId="6176475B" w14:textId="77777777" w:rsidTr="00230182">
        <w:tc>
          <w:tcPr>
            <w:tcW w:w="13097" w:type="dxa"/>
            <w:gridSpan w:val="5"/>
          </w:tcPr>
          <w:p w14:paraId="1DAC5B03" w14:textId="77777777" w:rsidR="00653FB2" w:rsidRPr="00653FB2" w:rsidRDefault="00653FB2" w:rsidP="00653FB2">
            <w:pPr>
              <w:rPr>
                <w:rFonts w:ascii="Calibri" w:hAnsi="Calibri" w:cs="Courier New"/>
                <w:sz w:val="20"/>
                <w:szCs w:val="20"/>
              </w:rPr>
            </w:pPr>
            <w:r w:rsidRPr="00653FB2">
              <w:rPr>
                <w:rFonts w:ascii="Calibri" w:hAnsi="Calibri" w:cs="Courier New"/>
                <w:sz w:val="20"/>
                <w:szCs w:val="20"/>
              </w:rPr>
              <w:t>In future projects that target awareness raising for specific target groups or the general population, UNDP and the project stakeholders should take a more strategic approach in the design of the interventions by incorporating behavioral insights and elements of social psychology that focus not only on the information that is shared, but also on the instruments, channels and techniques that are utilized for sharing that information. These efforts should be driven by the primary goal of changing behavior and not just raising the level of awareness.</w:t>
            </w:r>
          </w:p>
          <w:p w14:paraId="1BC4A18C" w14:textId="7EA673FB" w:rsidR="00431D25" w:rsidRPr="00C83074" w:rsidRDefault="00431D25" w:rsidP="00D82D16">
            <w:pPr>
              <w:rPr>
                <w:sz w:val="20"/>
                <w:szCs w:val="20"/>
              </w:rPr>
            </w:pPr>
          </w:p>
        </w:tc>
      </w:tr>
      <w:tr w:rsidR="00431D25" w:rsidRPr="00431D25" w14:paraId="20B6701E" w14:textId="77777777" w:rsidTr="00230182">
        <w:tc>
          <w:tcPr>
            <w:tcW w:w="13097" w:type="dxa"/>
            <w:gridSpan w:val="5"/>
          </w:tcPr>
          <w:p w14:paraId="119C638D" w14:textId="77777777" w:rsidR="00431D25" w:rsidRPr="00C83074" w:rsidRDefault="00431D25" w:rsidP="001F17D9">
            <w:pPr>
              <w:tabs>
                <w:tab w:val="left" w:pos="480"/>
                <w:tab w:val="left" w:pos="960"/>
                <w:tab w:val="left" w:pos="1440"/>
                <w:tab w:val="left" w:pos="1920"/>
                <w:tab w:val="left" w:pos="2400"/>
                <w:tab w:val="left" w:pos="2880"/>
                <w:tab w:val="left" w:pos="3360"/>
                <w:tab w:val="left" w:pos="3840"/>
                <w:tab w:val="left" w:pos="4320"/>
              </w:tabs>
              <w:spacing w:before="60" w:after="60"/>
              <w:rPr>
                <w:rFonts w:ascii="Calibri" w:hAnsi="Calibri" w:cs="Courier New"/>
                <w:sz w:val="20"/>
                <w:szCs w:val="20"/>
              </w:rPr>
            </w:pPr>
            <w:r w:rsidRPr="00C83074">
              <w:rPr>
                <w:rFonts w:ascii="Calibri" w:hAnsi="Calibri" w:cs="Courier New"/>
                <w:b/>
                <w:sz w:val="20"/>
                <w:szCs w:val="20"/>
              </w:rPr>
              <w:t xml:space="preserve">Management Response: </w:t>
            </w:r>
            <w:r w:rsidRPr="00C83074">
              <w:rPr>
                <w:rFonts w:ascii="Calibri" w:hAnsi="Calibri" w:cs="Courier New"/>
                <w:sz w:val="20"/>
                <w:szCs w:val="20"/>
              </w:rPr>
              <w:t xml:space="preserve"> </w:t>
            </w:r>
          </w:p>
          <w:p w14:paraId="37A3C482" w14:textId="77777777" w:rsidR="00A65832" w:rsidRPr="00C83074" w:rsidRDefault="00431D25" w:rsidP="00D82D16">
            <w:pPr>
              <w:tabs>
                <w:tab w:val="left" w:pos="480"/>
                <w:tab w:val="left" w:pos="960"/>
                <w:tab w:val="left" w:pos="1440"/>
                <w:tab w:val="left" w:pos="1920"/>
                <w:tab w:val="left" w:pos="2400"/>
                <w:tab w:val="left" w:pos="2880"/>
                <w:tab w:val="left" w:pos="3360"/>
                <w:tab w:val="left" w:pos="3840"/>
                <w:tab w:val="left" w:pos="4320"/>
              </w:tabs>
              <w:spacing w:before="60" w:after="60"/>
              <w:rPr>
                <w:sz w:val="20"/>
                <w:szCs w:val="20"/>
              </w:rPr>
            </w:pPr>
            <w:r w:rsidRPr="0098055A">
              <w:rPr>
                <w:rFonts w:ascii="Calibri" w:hAnsi="Calibri" w:cs="Courier New"/>
                <w:sz w:val="20"/>
                <w:szCs w:val="20"/>
              </w:rPr>
              <w:t>The recommendation is relevant and acceptable.</w:t>
            </w:r>
          </w:p>
        </w:tc>
      </w:tr>
      <w:tr w:rsidR="00431D25" w:rsidRPr="00431D25" w14:paraId="008D2DC6" w14:textId="77777777" w:rsidTr="00230182">
        <w:tc>
          <w:tcPr>
            <w:tcW w:w="6238" w:type="dxa"/>
            <w:vMerge w:val="restart"/>
          </w:tcPr>
          <w:p w14:paraId="11F7EDEB" w14:textId="77777777" w:rsidR="00431D25" w:rsidRPr="00C83074" w:rsidRDefault="00431D25" w:rsidP="001F17D9">
            <w:pPr>
              <w:rPr>
                <w:b/>
                <w:sz w:val="20"/>
                <w:szCs w:val="20"/>
              </w:rPr>
            </w:pPr>
            <w:r w:rsidRPr="00C83074">
              <w:rPr>
                <w:b/>
                <w:sz w:val="20"/>
                <w:szCs w:val="20"/>
              </w:rPr>
              <w:t>Key Action(s)</w:t>
            </w:r>
          </w:p>
        </w:tc>
        <w:tc>
          <w:tcPr>
            <w:tcW w:w="1984" w:type="dxa"/>
            <w:vMerge w:val="restart"/>
          </w:tcPr>
          <w:p w14:paraId="6F6EFAA1" w14:textId="77777777" w:rsidR="00431D25" w:rsidRPr="00C83074" w:rsidRDefault="00431D25" w:rsidP="001F17D9">
            <w:pPr>
              <w:rPr>
                <w:b/>
                <w:sz w:val="20"/>
                <w:szCs w:val="20"/>
              </w:rPr>
            </w:pPr>
            <w:r w:rsidRPr="00C83074">
              <w:rPr>
                <w:b/>
                <w:sz w:val="20"/>
                <w:szCs w:val="20"/>
              </w:rPr>
              <w:t>Time Frame</w:t>
            </w:r>
          </w:p>
        </w:tc>
        <w:tc>
          <w:tcPr>
            <w:tcW w:w="1985" w:type="dxa"/>
            <w:vMerge w:val="restart"/>
          </w:tcPr>
          <w:p w14:paraId="0F91DD6A" w14:textId="77777777" w:rsidR="00431D25" w:rsidRPr="00C83074" w:rsidRDefault="00431D25" w:rsidP="001F17D9">
            <w:pPr>
              <w:rPr>
                <w:b/>
                <w:sz w:val="20"/>
                <w:szCs w:val="20"/>
              </w:rPr>
            </w:pPr>
            <w:r w:rsidRPr="00C83074">
              <w:rPr>
                <w:b/>
                <w:sz w:val="20"/>
                <w:szCs w:val="20"/>
              </w:rPr>
              <w:t>Responsible Unit(s)</w:t>
            </w:r>
          </w:p>
        </w:tc>
        <w:tc>
          <w:tcPr>
            <w:tcW w:w="2890" w:type="dxa"/>
            <w:gridSpan w:val="2"/>
          </w:tcPr>
          <w:p w14:paraId="69E7E6C6" w14:textId="77777777" w:rsidR="00431D25" w:rsidRPr="00C83074" w:rsidRDefault="00431D25" w:rsidP="001F17D9">
            <w:pPr>
              <w:jc w:val="center"/>
              <w:rPr>
                <w:b/>
                <w:sz w:val="20"/>
                <w:szCs w:val="20"/>
              </w:rPr>
            </w:pPr>
            <w:r w:rsidRPr="00C83074">
              <w:rPr>
                <w:b/>
                <w:sz w:val="20"/>
                <w:szCs w:val="20"/>
              </w:rPr>
              <w:t>Tracking</w:t>
            </w:r>
          </w:p>
        </w:tc>
      </w:tr>
      <w:tr w:rsidR="00431D25" w:rsidRPr="00431D25" w14:paraId="68BF6B1A" w14:textId="77777777" w:rsidTr="00230182">
        <w:tc>
          <w:tcPr>
            <w:tcW w:w="6238" w:type="dxa"/>
            <w:vMerge/>
          </w:tcPr>
          <w:p w14:paraId="4321B15D" w14:textId="77777777" w:rsidR="00431D25" w:rsidRPr="00C83074" w:rsidRDefault="00431D25" w:rsidP="001F17D9">
            <w:pPr>
              <w:rPr>
                <w:b/>
                <w:sz w:val="20"/>
                <w:szCs w:val="20"/>
              </w:rPr>
            </w:pPr>
          </w:p>
        </w:tc>
        <w:tc>
          <w:tcPr>
            <w:tcW w:w="1984" w:type="dxa"/>
            <w:vMerge/>
          </w:tcPr>
          <w:p w14:paraId="7E9E0B9B" w14:textId="77777777" w:rsidR="00431D25" w:rsidRPr="00C83074" w:rsidRDefault="00431D25" w:rsidP="001F17D9">
            <w:pPr>
              <w:rPr>
                <w:b/>
                <w:sz w:val="20"/>
                <w:szCs w:val="20"/>
              </w:rPr>
            </w:pPr>
          </w:p>
        </w:tc>
        <w:tc>
          <w:tcPr>
            <w:tcW w:w="1985" w:type="dxa"/>
            <w:vMerge/>
          </w:tcPr>
          <w:p w14:paraId="10304846" w14:textId="77777777" w:rsidR="00431D25" w:rsidRPr="00C83074" w:rsidRDefault="00431D25" w:rsidP="001F17D9">
            <w:pPr>
              <w:rPr>
                <w:b/>
                <w:sz w:val="20"/>
                <w:szCs w:val="20"/>
              </w:rPr>
            </w:pPr>
          </w:p>
        </w:tc>
        <w:tc>
          <w:tcPr>
            <w:tcW w:w="1559" w:type="dxa"/>
          </w:tcPr>
          <w:p w14:paraId="27516EC9" w14:textId="77777777" w:rsidR="00431D25" w:rsidRPr="00C83074" w:rsidRDefault="00431D25" w:rsidP="001F17D9">
            <w:pPr>
              <w:jc w:val="center"/>
              <w:rPr>
                <w:b/>
                <w:sz w:val="20"/>
                <w:szCs w:val="20"/>
              </w:rPr>
            </w:pPr>
            <w:r w:rsidRPr="00C83074">
              <w:rPr>
                <w:b/>
                <w:sz w:val="20"/>
                <w:szCs w:val="20"/>
              </w:rPr>
              <w:t>Comments</w:t>
            </w:r>
          </w:p>
        </w:tc>
        <w:tc>
          <w:tcPr>
            <w:tcW w:w="1331" w:type="dxa"/>
          </w:tcPr>
          <w:p w14:paraId="7A13E830" w14:textId="77777777" w:rsidR="00431D25" w:rsidRPr="00C83074" w:rsidRDefault="00431D25" w:rsidP="001F17D9">
            <w:pPr>
              <w:jc w:val="center"/>
              <w:rPr>
                <w:b/>
                <w:sz w:val="20"/>
                <w:szCs w:val="20"/>
              </w:rPr>
            </w:pPr>
            <w:r w:rsidRPr="00C83074">
              <w:rPr>
                <w:b/>
                <w:sz w:val="20"/>
                <w:szCs w:val="20"/>
              </w:rPr>
              <w:t>Status</w:t>
            </w:r>
          </w:p>
        </w:tc>
      </w:tr>
      <w:tr w:rsidR="00766B37" w:rsidRPr="00431D25" w14:paraId="5E3BCE34" w14:textId="77777777" w:rsidTr="00751726">
        <w:tc>
          <w:tcPr>
            <w:tcW w:w="6238" w:type="dxa"/>
          </w:tcPr>
          <w:p w14:paraId="16BF65DB" w14:textId="27F6D4C3" w:rsidR="00751726" w:rsidRPr="00653FB2" w:rsidRDefault="00751726" w:rsidP="00751726">
            <w:pPr>
              <w:rPr>
                <w:rFonts w:ascii="Calibri" w:hAnsi="Calibri" w:cs="Courier New"/>
                <w:sz w:val="20"/>
                <w:szCs w:val="20"/>
              </w:rPr>
            </w:pPr>
            <w:r>
              <w:rPr>
                <w:rFonts w:ascii="Calibri" w:hAnsi="Calibri" w:cs="Courier New"/>
                <w:sz w:val="20"/>
                <w:szCs w:val="20"/>
              </w:rPr>
              <w:t xml:space="preserve">The recommendation will be considered by UNDP in the design and development of future projects, specifically those with components related to the capacity building and awareness raising. The project’s design will ensure that impact measurement and management, including </w:t>
            </w:r>
            <w:r w:rsidRPr="00653FB2">
              <w:rPr>
                <w:rFonts w:ascii="Calibri" w:hAnsi="Calibri" w:cs="Courier New"/>
                <w:sz w:val="20"/>
                <w:szCs w:val="20"/>
              </w:rPr>
              <w:t>efforts driven by the primary goal of changing behavior</w:t>
            </w:r>
            <w:r>
              <w:rPr>
                <w:rFonts w:ascii="Calibri" w:hAnsi="Calibri" w:cs="Courier New"/>
                <w:sz w:val="20"/>
                <w:szCs w:val="20"/>
              </w:rPr>
              <w:t xml:space="preserve"> is well articulated and incorporated into the Theory of Change (</w:t>
            </w:r>
            <w:proofErr w:type="spellStart"/>
            <w:r>
              <w:rPr>
                <w:rFonts w:ascii="Calibri" w:hAnsi="Calibri" w:cs="Courier New"/>
                <w:sz w:val="20"/>
                <w:szCs w:val="20"/>
              </w:rPr>
              <w:t>ToC</w:t>
            </w:r>
            <w:proofErr w:type="spellEnd"/>
            <w:r>
              <w:rPr>
                <w:rFonts w:ascii="Calibri" w:hAnsi="Calibri" w:cs="Courier New"/>
                <w:sz w:val="20"/>
                <w:szCs w:val="20"/>
              </w:rPr>
              <w:t>)</w:t>
            </w:r>
            <w:r w:rsidRPr="00653FB2">
              <w:rPr>
                <w:rFonts w:ascii="Calibri" w:hAnsi="Calibri" w:cs="Courier New"/>
                <w:sz w:val="20"/>
                <w:szCs w:val="20"/>
              </w:rPr>
              <w:t>.</w:t>
            </w:r>
          </w:p>
          <w:p w14:paraId="127CB36B" w14:textId="497B818C" w:rsidR="00766B37" w:rsidRPr="00D82D16" w:rsidRDefault="00766B37" w:rsidP="009229F9">
            <w:pPr>
              <w:rPr>
                <w:sz w:val="20"/>
                <w:szCs w:val="20"/>
                <w:highlight w:val="yellow"/>
              </w:rPr>
            </w:pPr>
          </w:p>
        </w:tc>
        <w:tc>
          <w:tcPr>
            <w:tcW w:w="1984" w:type="dxa"/>
            <w:shd w:val="clear" w:color="auto" w:fill="auto"/>
          </w:tcPr>
          <w:p w14:paraId="54FBC3B8" w14:textId="0EC5C537" w:rsidR="007C04EA" w:rsidRPr="00D82D16" w:rsidRDefault="00751726" w:rsidP="00766B37">
            <w:pPr>
              <w:spacing w:before="60" w:after="60"/>
              <w:rPr>
                <w:sz w:val="20"/>
                <w:szCs w:val="20"/>
                <w:highlight w:val="yellow"/>
              </w:rPr>
            </w:pPr>
            <w:bookmarkStart w:id="0" w:name="_GoBack"/>
            <w:bookmarkEnd w:id="0"/>
            <w:r w:rsidRPr="00751726">
              <w:rPr>
                <w:sz w:val="20"/>
                <w:szCs w:val="20"/>
              </w:rPr>
              <w:t>Open</w:t>
            </w:r>
          </w:p>
        </w:tc>
        <w:tc>
          <w:tcPr>
            <w:tcW w:w="1985" w:type="dxa"/>
          </w:tcPr>
          <w:p w14:paraId="59905E5B" w14:textId="2DE2C031" w:rsidR="00766B37" w:rsidRPr="00D82D16" w:rsidRDefault="00751726" w:rsidP="00766B37">
            <w:pPr>
              <w:spacing w:before="60" w:after="60"/>
              <w:rPr>
                <w:sz w:val="20"/>
                <w:szCs w:val="20"/>
                <w:highlight w:val="yellow"/>
              </w:rPr>
            </w:pPr>
            <w:r>
              <w:rPr>
                <w:sz w:val="20"/>
                <w:szCs w:val="20"/>
              </w:rPr>
              <w:t>UNDP</w:t>
            </w:r>
          </w:p>
        </w:tc>
        <w:tc>
          <w:tcPr>
            <w:tcW w:w="1559" w:type="dxa"/>
          </w:tcPr>
          <w:p w14:paraId="1280B436" w14:textId="3435AB67" w:rsidR="00766B37" w:rsidRPr="00766B37" w:rsidRDefault="00751726" w:rsidP="00766B37">
            <w:pPr>
              <w:spacing w:before="60" w:after="60"/>
              <w:rPr>
                <w:sz w:val="20"/>
                <w:szCs w:val="20"/>
              </w:rPr>
            </w:pPr>
            <w:r w:rsidRPr="00D82D16">
              <w:rPr>
                <w:sz w:val="20"/>
                <w:szCs w:val="20"/>
              </w:rPr>
              <w:t>This action is ongoing</w:t>
            </w:r>
            <w:r>
              <w:rPr>
                <w:sz w:val="20"/>
                <w:szCs w:val="20"/>
              </w:rPr>
              <w:t xml:space="preserve"> and continuous of nature</w:t>
            </w:r>
          </w:p>
        </w:tc>
        <w:tc>
          <w:tcPr>
            <w:tcW w:w="1331" w:type="dxa"/>
          </w:tcPr>
          <w:p w14:paraId="6E8E255A" w14:textId="77777777" w:rsidR="00766B37" w:rsidRPr="00766B37" w:rsidRDefault="00766B37" w:rsidP="00766B37">
            <w:pPr>
              <w:spacing w:before="60" w:after="60"/>
              <w:rPr>
                <w:sz w:val="20"/>
                <w:szCs w:val="20"/>
              </w:rPr>
            </w:pPr>
            <w:r w:rsidRPr="00766B37">
              <w:rPr>
                <w:sz w:val="20"/>
                <w:szCs w:val="20"/>
              </w:rPr>
              <w:t>In process</w:t>
            </w:r>
          </w:p>
        </w:tc>
      </w:tr>
    </w:tbl>
    <w:p w14:paraId="5023B4F0" w14:textId="04EB4DCA" w:rsidR="00431D25" w:rsidRDefault="00431D25"/>
    <w:p w14:paraId="5213EA5D" w14:textId="77777777" w:rsidR="00653FB2" w:rsidRDefault="00653FB2"/>
    <w:sectPr w:rsidR="00653FB2" w:rsidSect="00106F6B">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97718" w14:textId="77777777" w:rsidR="003B7C3E" w:rsidRDefault="003B7C3E" w:rsidP="004500DD">
      <w:pPr>
        <w:spacing w:after="0" w:line="240" w:lineRule="auto"/>
      </w:pPr>
      <w:r>
        <w:separator/>
      </w:r>
    </w:p>
  </w:endnote>
  <w:endnote w:type="continuationSeparator" w:id="0">
    <w:p w14:paraId="54136B8F" w14:textId="77777777" w:rsidR="003B7C3E" w:rsidRDefault="003B7C3E" w:rsidP="00450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8950514"/>
      <w:docPartObj>
        <w:docPartGallery w:val="Page Numbers (Bottom of Page)"/>
        <w:docPartUnique/>
      </w:docPartObj>
    </w:sdtPr>
    <w:sdtEndPr>
      <w:rPr>
        <w:noProof/>
      </w:rPr>
    </w:sdtEndPr>
    <w:sdtContent>
      <w:p w14:paraId="22FA32C3" w14:textId="187DCA4F" w:rsidR="001E3024" w:rsidRDefault="001E3024">
        <w:pPr>
          <w:pStyle w:val="Footer"/>
          <w:jc w:val="center"/>
        </w:pPr>
        <w:r>
          <w:fldChar w:fldCharType="begin"/>
        </w:r>
        <w:r>
          <w:instrText xml:space="preserve"> PAGE   \* MERGEFORMAT </w:instrText>
        </w:r>
        <w:r>
          <w:fldChar w:fldCharType="separate"/>
        </w:r>
        <w:r w:rsidR="00D916DB">
          <w:rPr>
            <w:noProof/>
          </w:rPr>
          <w:t>5</w:t>
        </w:r>
        <w:r>
          <w:rPr>
            <w:noProof/>
          </w:rPr>
          <w:fldChar w:fldCharType="end"/>
        </w:r>
      </w:p>
    </w:sdtContent>
  </w:sdt>
  <w:p w14:paraId="737A29DE" w14:textId="77777777" w:rsidR="001E3024" w:rsidRDefault="001E3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669CD" w14:textId="77777777" w:rsidR="003B7C3E" w:rsidRDefault="003B7C3E" w:rsidP="004500DD">
      <w:pPr>
        <w:spacing w:after="0" w:line="240" w:lineRule="auto"/>
      </w:pPr>
      <w:r>
        <w:separator/>
      </w:r>
    </w:p>
  </w:footnote>
  <w:footnote w:type="continuationSeparator" w:id="0">
    <w:p w14:paraId="6FA1D9C5" w14:textId="77777777" w:rsidR="003B7C3E" w:rsidRDefault="003B7C3E" w:rsidP="004500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77642"/>
    <w:multiLevelType w:val="hybridMultilevel"/>
    <w:tmpl w:val="1D00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34D95"/>
    <w:multiLevelType w:val="hybridMultilevel"/>
    <w:tmpl w:val="3F54FA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4351221"/>
    <w:multiLevelType w:val="hybridMultilevel"/>
    <w:tmpl w:val="6F50E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8301753"/>
    <w:multiLevelType w:val="hybridMultilevel"/>
    <w:tmpl w:val="F58E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B07254"/>
    <w:multiLevelType w:val="hybridMultilevel"/>
    <w:tmpl w:val="87BA6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F6B"/>
    <w:rsid w:val="00013011"/>
    <w:rsid w:val="00064651"/>
    <w:rsid w:val="0008395E"/>
    <w:rsid w:val="00085007"/>
    <w:rsid w:val="00085FC0"/>
    <w:rsid w:val="000A3AC4"/>
    <w:rsid w:val="00106F6B"/>
    <w:rsid w:val="001225CD"/>
    <w:rsid w:val="00135758"/>
    <w:rsid w:val="0013637C"/>
    <w:rsid w:val="001746B4"/>
    <w:rsid w:val="00181353"/>
    <w:rsid w:val="0019570C"/>
    <w:rsid w:val="001A176B"/>
    <w:rsid w:val="001B1D99"/>
    <w:rsid w:val="001B38C0"/>
    <w:rsid w:val="001B687A"/>
    <w:rsid w:val="001E3024"/>
    <w:rsid w:val="001F17D9"/>
    <w:rsid w:val="002111EB"/>
    <w:rsid w:val="00230182"/>
    <w:rsid w:val="00235D28"/>
    <w:rsid w:val="0027711C"/>
    <w:rsid w:val="002A2177"/>
    <w:rsid w:val="002A7574"/>
    <w:rsid w:val="002B6574"/>
    <w:rsid w:val="002C06BC"/>
    <w:rsid w:val="002C44E7"/>
    <w:rsid w:val="002D0FFB"/>
    <w:rsid w:val="002F020F"/>
    <w:rsid w:val="00312EB0"/>
    <w:rsid w:val="00317454"/>
    <w:rsid w:val="00330820"/>
    <w:rsid w:val="00334AC7"/>
    <w:rsid w:val="00382384"/>
    <w:rsid w:val="00384BB9"/>
    <w:rsid w:val="003B65D7"/>
    <w:rsid w:val="003B7C3E"/>
    <w:rsid w:val="003D5D1E"/>
    <w:rsid w:val="003E2F01"/>
    <w:rsid w:val="003F5E2C"/>
    <w:rsid w:val="00426F3E"/>
    <w:rsid w:val="00431D25"/>
    <w:rsid w:val="00443E17"/>
    <w:rsid w:val="0044622A"/>
    <w:rsid w:val="004500DD"/>
    <w:rsid w:val="00482860"/>
    <w:rsid w:val="00495286"/>
    <w:rsid w:val="00511C2C"/>
    <w:rsid w:val="0055516F"/>
    <w:rsid w:val="00573C48"/>
    <w:rsid w:val="005812EF"/>
    <w:rsid w:val="00587913"/>
    <w:rsid w:val="00594DA9"/>
    <w:rsid w:val="005A5287"/>
    <w:rsid w:val="005B5FE2"/>
    <w:rsid w:val="005B7CFD"/>
    <w:rsid w:val="005C77CB"/>
    <w:rsid w:val="005F5032"/>
    <w:rsid w:val="006022C4"/>
    <w:rsid w:val="00613A5F"/>
    <w:rsid w:val="006153A2"/>
    <w:rsid w:val="0063284F"/>
    <w:rsid w:val="00653FB2"/>
    <w:rsid w:val="00662262"/>
    <w:rsid w:val="00673913"/>
    <w:rsid w:val="006A1962"/>
    <w:rsid w:val="006A3F60"/>
    <w:rsid w:val="006C144A"/>
    <w:rsid w:val="006C3F9A"/>
    <w:rsid w:val="006C5336"/>
    <w:rsid w:val="007100E5"/>
    <w:rsid w:val="007224A0"/>
    <w:rsid w:val="00724874"/>
    <w:rsid w:val="00751726"/>
    <w:rsid w:val="00762C9F"/>
    <w:rsid w:val="00766B37"/>
    <w:rsid w:val="00770A93"/>
    <w:rsid w:val="00797BBE"/>
    <w:rsid w:val="007B0397"/>
    <w:rsid w:val="007C04EA"/>
    <w:rsid w:val="007C42DE"/>
    <w:rsid w:val="007E50B0"/>
    <w:rsid w:val="00810DD2"/>
    <w:rsid w:val="008253C2"/>
    <w:rsid w:val="00830ECE"/>
    <w:rsid w:val="00893DC0"/>
    <w:rsid w:val="008A2ABF"/>
    <w:rsid w:val="00916F7B"/>
    <w:rsid w:val="00920397"/>
    <w:rsid w:val="009224A8"/>
    <w:rsid w:val="009229F9"/>
    <w:rsid w:val="00954B1E"/>
    <w:rsid w:val="009560C2"/>
    <w:rsid w:val="009650A3"/>
    <w:rsid w:val="009770EB"/>
    <w:rsid w:val="0098055A"/>
    <w:rsid w:val="00992600"/>
    <w:rsid w:val="009A5E0E"/>
    <w:rsid w:val="009C44BB"/>
    <w:rsid w:val="009E58FE"/>
    <w:rsid w:val="00A12290"/>
    <w:rsid w:val="00A17A3A"/>
    <w:rsid w:val="00A40D1F"/>
    <w:rsid w:val="00A61F36"/>
    <w:rsid w:val="00A65767"/>
    <w:rsid w:val="00A65832"/>
    <w:rsid w:val="00A672B4"/>
    <w:rsid w:val="00AA543A"/>
    <w:rsid w:val="00AF39A8"/>
    <w:rsid w:val="00B05480"/>
    <w:rsid w:val="00B05A03"/>
    <w:rsid w:val="00B15B72"/>
    <w:rsid w:val="00B62CDF"/>
    <w:rsid w:val="00B63767"/>
    <w:rsid w:val="00B66350"/>
    <w:rsid w:val="00B7079A"/>
    <w:rsid w:val="00B9222D"/>
    <w:rsid w:val="00BD10BE"/>
    <w:rsid w:val="00BD5678"/>
    <w:rsid w:val="00BE5345"/>
    <w:rsid w:val="00BF3F48"/>
    <w:rsid w:val="00C13C7C"/>
    <w:rsid w:val="00C21757"/>
    <w:rsid w:val="00C83074"/>
    <w:rsid w:val="00C94615"/>
    <w:rsid w:val="00CE2F2A"/>
    <w:rsid w:val="00D036EC"/>
    <w:rsid w:val="00D1172B"/>
    <w:rsid w:val="00D1717B"/>
    <w:rsid w:val="00D244D2"/>
    <w:rsid w:val="00D628DC"/>
    <w:rsid w:val="00D82D16"/>
    <w:rsid w:val="00D916DB"/>
    <w:rsid w:val="00D92D00"/>
    <w:rsid w:val="00DE45A7"/>
    <w:rsid w:val="00E750B2"/>
    <w:rsid w:val="00EA7C2B"/>
    <w:rsid w:val="00EC0165"/>
    <w:rsid w:val="00EC44C1"/>
    <w:rsid w:val="00EE6BED"/>
    <w:rsid w:val="00EF5570"/>
    <w:rsid w:val="00F24385"/>
    <w:rsid w:val="00F33D26"/>
    <w:rsid w:val="00F43E9A"/>
    <w:rsid w:val="00F67108"/>
    <w:rsid w:val="00FA0C28"/>
    <w:rsid w:val="00FE3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B890F6"/>
  <w15:chartTrackingRefBased/>
  <w15:docId w15:val="{F14B1842-E031-4544-B6E3-52CCB82A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0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0DD"/>
  </w:style>
  <w:style w:type="paragraph" w:styleId="Footer">
    <w:name w:val="footer"/>
    <w:basedOn w:val="Normal"/>
    <w:link w:val="FooterChar"/>
    <w:uiPriority w:val="99"/>
    <w:unhideWhenUsed/>
    <w:rsid w:val="00450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0DD"/>
  </w:style>
  <w:style w:type="paragraph" w:styleId="BalloonText">
    <w:name w:val="Balloon Text"/>
    <w:basedOn w:val="Normal"/>
    <w:link w:val="BalloonTextChar"/>
    <w:uiPriority w:val="99"/>
    <w:semiHidden/>
    <w:unhideWhenUsed/>
    <w:rsid w:val="00FA0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C28"/>
    <w:rPr>
      <w:rFonts w:ascii="Segoe UI" w:hAnsi="Segoe UI" w:cs="Segoe UI"/>
      <w:sz w:val="18"/>
      <w:szCs w:val="18"/>
    </w:rPr>
  </w:style>
  <w:style w:type="paragraph" w:styleId="NormalWeb">
    <w:name w:val="Normal (Web)"/>
    <w:basedOn w:val="Normal"/>
    <w:uiPriority w:val="99"/>
    <w:semiHidden/>
    <w:unhideWhenUsed/>
    <w:rsid w:val="005C77CB"/>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2C44E7"/>
    <w:pPr>
      <w:spacing w:after="0" w:line="240" w:lineRule="auto"/>
    </w:pPr>
  </w:style>
  <w:style w:type="paragraph" w:styleId="ListParagraph">
    <w:name w:val="List Paragraph"/>
    <w:aliases w:val="Bullets,List Paragraph1,NumberedParas,Left Bullet L1,List Paragraph (numbered (a)),WB Para,List Square,маркированный,Akapit z listą BS,Абзац списка1,Lapis Bulleted List,List 100s,References,WB List Paragraph,Dot pt,F5 List Paragraph,L"/>
    <w:basedOn w:val="Normal"/>
    <w:link w:val="ListParagraphChar"/>
    <w:uiPriority w:val="99"/>
    <w:qFormat/>
    <w:rsid w:val="001225CD"/>
    <w:pPr>
      <w:spacing w:before="120" w:after="0" w:line="240" w:lineRule="auto"/>
      <w:ind w:left="720"/>
      <w:jc w:val="both"/>
    </w:pPr>
    <w:rPr>
      <w:rFonts w:ascii="Times New Roman" w:eastAsia="Times New Roman" w:hAnsi="Times New Roman" w:cs="Times New Roman"/>
      <w:sz w:val="24"/>
      <w:szCs w:val="24"/>
    </w:rPr>
  </w:style>
  <w:style w:type="character" w:customStyle="1" w:styleId="ListParagraphChar">
    <w:name w:val="List Paragraph Char"/>
    <w:aliases w:val="Bullets Char,List Paragraph1 Char,NumberedParas Char,Left Bullet L1 Char,List Paragraph (numbered (a)) Char,WB Para Char,List Square Char,маркированный Char,Akapit z listą BS Char,Абзац списка1 Char,Lapis Bulleted List Char,L Char"/>
    <w:link w:val="ListParagraph"/>
    <w:uiPriority w:val="34"/>
    <w:qFormat/>
    <w:rsid w:val="001225C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87913"/>
    <w:rPr>
      <w:sz w:val="16"/>
      <w:szCs w:val="16"/>
    </w:rPr>
  </w:style>
  <w:style w:type="paragraph" w:styleId="CommentText">
    <w:name w:val="annotation text"/>
    <w:basedOn w:val="Normal"/>
    <w:link w:val="CommentTextChar"/>
    <w:uiPriority w:val="99"/>
    <w:semiHidden/>
    <w:unhideWhenUsed/>
    <w:rsid w:val="00587913"/>
    <w:pPr>
      <w:spacing w:line="240" w:lineRule="auto"/>
    </w:pPr>
    <w:rPr>
      <w:sz w:val="20"/>
      <w:szCs w:val="20"/>
    </w:rPr>
  </w:style>
  <w:style w:type="character" w:customStyle="1" w:styleId="CommentTextChar">
    <w:name w:val="Comment Text Char"/>
    <w:basedOn w:val="DefaultParagraphFont"/>
    <w:link w:val="CommentText"/>
    <w:uiPriority w:val="99"/>
    <w:semiHidden/>
    <w:rsid w:val="00587913"/>
    <w:rPr>
      <w:sz w:val="20"/>
      <w:szCs w:val="20"/>
    </w:rPr>
  </w:style>
  <w:style w:type="paragraph" w:styleId="CommentSubject">
    <w:name w:val="annotation subject"/>
    <w:basedOn w:val="CommentText"/>
    <w:next w:val="CommentText"/>
    <w:link w:val="CommentSubjectChar"/>
    <w:uiPriority w:val="99"/>
    <w:semiHidden/>
    <w:unhideWhenUsed/>
    <w:rsid w:val="00587913"/>
    <w:rPr>
      <w:b/>
      <w:bCs/>
    </w:rPr>
  </w:style>
  <w:style w:type="character" w:customStyle="1" w:styleId="CommentSubjectChar">
    <w:name w:val="Comment Subject Char"/>
    <w:basedOn w:val="CommentTextChar"/>
    <w:link w:val="CommentSubject"/>
    <w:uiPriority w:val="99"/>
    <w:semiHidden/>
    <w:rsid w:val="00587913"/>
    <w:rPr>
      <w:b/>
      <w:bCs/>
      <w:sz w:val="20"/>
      <w:szCs w:val="20"/>
    </w:rPr>
  </w:style>
  <w:style w:type="character" w:styleId="Hyperlink">
    <w:name w:val="Hyperlink"/>
    <w:basedOn w:val="DefaultParagraphFont"/>
    <w:uiPriority w:val="99"/>
    <w:semiHidden/>
    <w:unhideWhenUsed/>
    <w:rsid w:val="00F43E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444718">
      <w:bodyDiv w:val="1"/>
      <w:marLeft w:val="0"/>
      <w:marRight w:val="0"/>
      <w:marTop w:val="0"/>
      <w:marBottom w:val="0"/>
      <w:divBdr>
        <w:top w:val="none" w:sz="0" w:space="0" w:color="auto"/>
        <w:left w:val="none" w:sz="0" w:space="0" w:color="auto"/>
        <w:bottom w:val="none" w:sz="0" w:space="0" w:color="auto"/>
        <w:right w:val="none" w:sz="0" w:space="0" w:color="auto"/>
      </w:divBdr>
    </w:div>
    <w:div w:id="1536573517">
      <w:bodyDiv w:val="1"/>
      <w:marLeft w:val="0"/>
      <w:marRight w:val="0"/>
      <w:marTop w:val="0"/>
      <w:marBottom w:val="0"/>
      <w:divBdr>
        <w:top w:val="none" w:sz="0" w:space="0" w:color="auto"/>
        <w:left w:val="none" w:sz="0" w:space="0" w:color="auto"/>
        <w:bottom w:val="none" w:sz="0" w:space="0" w:color="auto"/>
        <w:right w:val="none" w:sz="0" w:space="0" w:color="auto"/>
      </w:divBdr>
    </w:div>
    <w:div w:id="1713655497">
      <w:bodyDiv w:val="1"/>
      <w:marLeft w:val="0"/>
      <w:marRight w:val="0"/>
      <w:marTop w:val="0"/>
      <w:marBottom w:val="0"/>
      <w:divBdr>
        <w:top w:val="none" w:sz="0" w:space="0" w:color="auto"/>
        <w:left w:val="none" w:sz="0" w:space="0" w:color="auto"/>
        <w:bottom w:val="none" w:sz="0" w:space="0" w:color="auto"/>
        <w:right w:val="none" w:sz="0" w:space="0" w:color="auto"/>
      </w:divBdr>
    </w:div>
    <w:div w:id="213012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ing.cso.gov.am/course/index.php?categoryid=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89997-9624-4931-83B9-23642790C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Aram Ter-Zakaryan</dc:creator>
  <cp:keywords/>
  <dc:description/>
  <cp:lastModifiedBy>Armine Poghosyan</cp:lastModifiedBy>
  <cp:revision>4</cp:revision>
  <cp:lastPrinted>2018-05-24T14:18:00Z</cp:lastPrinted>
  <dcterms:created xsi:type="dcterms:W3CDTF">2019-12-10T13:20:00Z</dcterms:created>
  <dcterms:modified xsi:type="dcterms:W3CDTF">2019-12-10T13:36:00Z</dcterms:modified>
</cp:coreProperties>
</file>