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59" w:rsidRPr="004F01C3" w:rsidRDefault="00B50ACA" w:rsidP="00DF0A13">
      <w:pPr>
        <w:pStyle w:val="Subtitle"/>
        <w:rPr>
          <w:rFonts w:asciiTheme="majorHAnsi" w:eastAsia="Calibri" w:hAnsiTheme="majorHAnsi" w:cstheme="majorHAnsi"/>
          <w:sz w:val="32"/>
          <w:szCs w:val="32"/>
        </w:rPr>
      </w:pPr>
      <w:r w:rsidRPr="004F01C3">
        <w:rPr>
          <w:rFonts w:asciiTheme="majorHAnsi" w:eastAsia="Calibri" w:hAnsiTheme="majorHAnsi" w:cstheme="majorHAnsi"/>
          <w:sz w:val="32"/>
          <w:szCs w:val="32"/>
        </w:rPr>
        <w:t>UNDP-GEF TE Management Response</w:t>
      </w:r>
    </w:p>
    <w:p w:rsidR="00E62759" w:rsidRPr="004F01C3" w:rsidRDefault="00B50ACA" w:rsidP="00DF0A13">
      <w:pPr>
        <w:pStyle w:val="Heading1"/>
        <w:rPr>
          <w:rFonts w:eastAsia="Calibri" w:cstheme="majorHAnsi"/>
        </w:rPr>
      </w:pPr>
      <w:r w:rsidRPr="004F01C3">
        <w:rPr>
          <w:rFonts w:eastAsia="Calibri" w:cstheme="majorHAnsi"/>
        </w:rPr>
        <w:t xml:space="preserve">Management response to the Terminal Evaluation of </w:t>
      </w:r>
      <w:r w:rsidR="001A48DA" w:rsidRPr="004F01C3">
        <w:rPr>
          <w:rFonts w:eastAsia="Calibri" w:cstheme="majorHAnsi"/>
        </w:rPr>
        <w:t xml:space="preserve">the project </w:t>
      </w:r>
      <w:r w:rsidR="00DF0A13" w:rsidRPr="004F01C3">
        <w:rPr>
          <w:rFonts w:eastAsia="Calibri" w:cstheme="majorHAnsi"/>
        </w:rPr>
        <w:t>“</w:t>
      </w:r>
      <w:r w:rsidR="001A48DA" w:rsidRPr="004F01C3">
        <w:rPr>
          <w:rFonts w:eastAsia="Calibri" w:cstheme="majorHAnsi"/>
          <w:i/>
          <w:iCs/>
          <w:shd w:val="clear" w:color="auto" w:fill="D9D9D9"/>
        </w:rPr>
        <w:t>Promotion and up-scaling of climate-resilient, resource efficient technologies in a Tropical Island Context</w:t>
      </w:r>
      <w:r w:rsidR="00DF0A13" w:rsidRPr="004F01C3">
        <w:rPr>
          <w:rFonts w:eastAsia="Calibri" w:cstheme="majorHAnsi"/>
          <w:i/>
          <w:iCs/>
          <w:shd w:val="clear" w:color="auto" w:fill="D9D9D9"/>
        </w:rPr>
        <w:t>”</w:t>
      </w:r>
    </w:p>
    <w:p w:rsidR="00E62759" w:rsidRPr="004F01C3" w:rsidRDefault="00E62759">
      <w:pPr>
        <w:spacing w:after="0" w:line="240" w:lineRule="auto"/>
        <w:jc w:val="both"/>
        <w:rPr>
          <w:rFonts w:asciiTheme="majorHAnsi" w:eastAsia="Calibri" w:hAnsiTheme="majorHAnsi" w:cstheme="majorHAnsi"/>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5906"/>
      </w:tblGrid>
      <w:tr w:rsidR="00DF0A13" w:rsidRPr="004F01C3" w:rsidTr="00DF0A13">
        <w:trPr>
          <w:trHeight w:val="830"/>
        </w:trPr>
        <w:tc>
          <w:tcPr>
            <w:tcW w:w="3304" w:type="dxa"/>
          </w:tcPr>
          <w:p w:rsidR="00DF0A13" w:rsidRPr="004F01C3" w:rsidRDefault="00DF0A13" w:rsidP="00DF0A13">
            <w:pPr>
              <w:rPr>
                <w:rFonts w:asciiTheme="majorHAnsi" w:eastAsia="Calibri" w:hAnsiTheme="majorHAnsi" w:cstheme="majorHAnsi"/>
              </w:rPr>
            </w:pPr>
            <w:r w:rsidRPr="004F01C3">
              <w:rPr>
                <w:rFonts w:asciiTheme="majorHAnsi" w:eastAsia="Calibri" w:hAnsiTheme="majorHAnsi" w:cstheme="majorHAnsi"/>
              </w:rPr>
              <w:t>Project Title:</w:t>
            </w:r>
          </w:p>
        </w:tc>
        <w:tc>
          <w:tcPr>
            <w:tcW w:w="5906" w:type="dxa"/>
          </w:tcPr>
          <w:p w:rsidR="00DF0A13" w:rsidRPr="004F01C3" w:rsidRDefault="00DF0A13" w:rsidP="00DF0A13">
            <w:pPr>
              <w:jc w:val="both"/>
              <w:rPr>
                <w:rFonts w:asciiTheme="majorHAnsi" w:eastAsia="Calibri" w:hAnsiTheme="majorHAnsi" w:cstheme="majorHAnsi"/>
              </w:rPr>
            </w:pPr>
            <w:r w:rsidRPr="004F01C3">
              <w:rPr>
                <w:rFonts w:asciiTheme="majorHAnsi" w:hAnsiTheme="majorHAnsi" w:cstheme="majorHAnsi"/>
                <w:b/>
                <w:bCs/>
              </w:rPr>
              <w:t>Promotion and up-scaling of climate-resilient, resource efficient technologies in a Tropical Island Context</w:t>
            </w:r>
            <w:r w:rsidR="004F01C3">
              <w:rPr>
                <w:rFonts w:asciiTheme="majorHAnsi" w:hAnsiTheme="majorHAnsi" w:cstheme="majorHAnsi"/>
                <w:b/>
                <w:bCs/>
              </w:rPr>
              <w:t xml:space="preserve"> (RE)</w:t>
            </w:r>
          </w:p>
        </w:tc>
      </w:tr>
      <w:tr w:rsidR="00DF0A13" w:rsidRPr="004F01C3" w:rsidTr="00DF0A13">
        <w:trPr>
          <w:trHeight w:val="427"/>
        </w:trPr>
        <w:tc>
          <w:tcPr>
            <w:tcW w:w="3304" w:type="dxa"/>
          </w:tcPr>
          <w:p w:rsidR="00DF0A13" w:rsidRPr="004F01C3" w:rsidRDefault="00DF0A13" w:rsidP="00DF0A13">
            <w:pPr>
              <w:rPr>
                <w:rFonts w:asciiTheme="majorHAnsi" w:eastAsia="Calibri" w:hAnsiTheme="majorHAnsi" w:cstheme="majorHAnsi"/>
              </w:rPr>
            </w:pPr>
            <w:r w:rsidRPr="004F01C3">
              <w:rPr>
                <w:rFonts w:asciiTheme="majorHAnsi" w:eastAsia="Calibri" w:hAnsiTheme="majorHAnsi" w:cstheme="majorHAnsi"/>
              </w:rPr>
              <w:t>UNDP Project ID (PIMS):</w:t>
            </w:r>
          </w:p>
        </w:tc>
        <w:tc>
          <w:tcPr>
            <w:tcW w:w="5906" w:type="dxa"/>
          </w:tcPr>
          <w:p w:rsidR="00DF0A13" w:rsidRPr="004F01C3" w:rsidRDefault="00DF0A13" w:rsidP="00DF0A13">
            <w:pPr>
              <w:jc w:val="both"/>
              <w:rPr>
                <w:rFonts w:asciiTheme="majorHAnsi" w:eastAsia="Calibri" w:hAnsiTheme="majorHAnsi" w:cstheme="majorHAnsi"/>
                <w:b/>
                <w:bCs/>
              </w:rPr>
            </w:pPr>
            <w:r w:rsidRPr="004F01C3">
              <w:rPr>
                <w:rFonts w:asciiTheme="majorHAnsi" w:eastAsia="Calibri" w:hAnsiTheme="majorHAnsi" w:cstheme="majorHAnsi"/>
                <w:b/>
                <w:bCs/>
              </w:rPr>
              <w:t>4913</w:t>
            </w:r>
          </w:p>
        </w:tc>
      </w:tr>
      <w:tr w:rsidR="00DF0A13" w:rsidRPr="004F01C3" w:rsidTr="00DF0A13">
        <w:trPr>
          <w:trHeight w:val="427"/>
        </w:trPr>
        <w:tc>
          <w:tcPr>
            <w:tcW w:w="3304" w:type="dxa"/>
          </w:tcPr>
          <w:p w:rsidR="00DF0A13" w:rsidRPr="004F01C3" w:rsidRDefault="00DF0A13" w:rsidP="00DF0A13">
            <w:pPr>
              <w:rPr>
                <w:rFonts w:asciiTheme="majorHAnsi" w:eastAsia="Calibri" w:hAnsiTheme="majorHAnsi" w:cstheme="majorHAnsi"/>
              </w:rPr>
            </w:pPr>
            <w:r w:rsidRPr="004F01C3">
              <w:rPr>
                <w:rFonts w:asciiTheme="majorHAnsi" w:eastAsia="Calibri" w:hAnsiTheme="majorHAnsi" w:cstheme="majorHAnsi"/>
              </w:rPr>
              <w:t>GEF Project ID (PMIS):</w:t>
            </w:r>
          </w:p>
        </w:tc>
        <w:tc>
          <w:tcPr>
            <w:tcW w:w="5906" w:type="dxa"/>
          </w:tcPr>
          <w:p w:rsidR="00DF0A13" w:rsidRPr="004F01C3" w:rsidRDefault="00DF0A13" w:rsidP="00DF0A13">
            <w:pPr>
              <w:jc w:val="both"/>
              <w:rPr>
                <w:rFonts w:asciiTheme="majorHAnsi" w:eastAsia="Calibri" w:hAnsiTheme="majorHAnsi" w:cstheme="majorHAnsi"/>
                <w:b/>
                <w:bCs/>
              </w:rPr>
            </w:pPr>
            <w:r w:rsidRPr="004F01C3">
              <w:rPr>
                <w:rFonts w:asciiTheme="majorHAnsi" w:eastAsia="Calibri" w:hAnsiTheme="majorHAnsi" w:cstheme="majorHAnsi"/>
                <w:b/>
                <w:bCs/>
              </w:rPr>
              <w:t>5316</w:t>
            </w:r>
          </w:p>
        </w:tc>
      </w:tr>
      <w:tr w:rsidR="00DF0A13" w:rsidRPr="004F01C3" w:rsidTr="00DF0A13">
        <w:trPr>
          <w:trHeight w:val="830"/>
        </w:trPr>
        <w:tc>
          <w:tcPr>
            <w:tcW w:w="3304" w:type="dxa"/>
          </w:tcPr>
          <w:p w:rsidR="00DF0A13" w:rsidRPr="004F01C3" w:rsidRDefault="00DF0A13" w:rsidP="00DF0A13">
            <w:pPr>
              <w:rPr>
                <w:rFonts w:asciiTheme="majorHAnsi" w:eastAsia="Calibri" w:hAnsiTheme="majorHAnsi" w:cstheme="majorHAnsi"/>
              </w:rPr>
            </w:pPr>
            <w:r w:rsidRPr="004F01C3">
              <w:rPr>
                <w:rFonts w:asciiTheme="majorHAnsi" w:eastAsia="Calibri" w:hAnsiTheme="majorHAnsi" w:cstheme="majorHAnsi"/>
              </w:rPr>
              <w:t>Terminal Evaluation Mission Completion Date:</w:t>
            </w:r>
          </w:p>
        </w:tc>
        <w:tc>
          <w:tcPr>
            <w:tcW w:w="5906" w:type="dxa"/>
          </w:tcPr>
          <w:p w:rsidR="00DF0A13" w:rsidRPr="004F01C3" w:rsidRDefault="00DF0A13" w:rsidP="00DF0A13">
            <w:pPr>
              <w:jc w:val="both"/>
              <w:rPr>
                <w:rFonts w:asciiTheme="majorHAnsi" w:eastAsia="Calibri" w:hAnsiTheme="majorHAnsi" w:cstheme="majorHAnsi"/>
                <w:b/>
                <w:bCs/>
              </w:rPr>
            </w:pPr>
            <w:r w:rsidRPr="004F01C3">
              <w:rPr>
                <w:rFonts w:asciiTheme="majorHAnsi" w:eastAsia="Calibri" w:hAnsiTheme="majorHAnsi" w:cstheme="majorHAnsi"/>
                <w:b/>
                <w:bCs/>
              </w:rPr>
              <w:t>June 2019</w:t>
            </w:r>
          </w:p>
        </w:tc>
      </w:tr>
      <w:tr w:rsidR="00DF0A13" w:rsidRPr="004F01C3" w:rsidTr="00DF0A13">
        <w:trPr>
          <w:trHeight w:val="830"/>
        </w:trPr>
        <w:tc>
          <w:tcPr>
            <w:tcW w:w="3304" w:type="dxa"/>
          </w:tcPr>
          <w:p w:rsidR="00DF0A13" w:rsidRPr="004F01C3" w:rsidRDefault="00DF0A13" w:rsidP="00DF0A13">
            <w:pPr>
              <w:rPr>
                <w:rFonts w:asciiTheme="majorHAnsi" w:eastAsia="Calibri" w:hAnsiTheme="majorHAnsi" w:cstheme="majorHAnsi"/>
              </w:rPr>
            </w:pPr>
            <w:r w:rsidRPr="004F01C3">
              <w:rPr>
                <w:rFonts w:asciiTheme="majorHAnsi" w:eastAsia="Calibri" w:hAnsiTheme="majorHAnsi" w:cstheme="majorHAnsi"/>
              </w:rPr>
              <w:t>Date of Issue of Management Response:</w:t>
            </w:r>
          </w:p>
        </w:tc>
        <w:tc>
          <w:tcPr>
            <w:tcW w:w="5906" w:type="dxa"/>
          </w:tcPr>
          <w:p w:rsidR="00DF0A13" w:rsidRPr="004F01C3" w:rsidRDefault="00DF0A13" w:rsidP="00DF0A13">
            <w:pPr>
              <w:jc w:val="both"/>
              <w:rPr>
                <w:rFonts w:asciiTheme="majorHAnsi" w:eastAsia="Calibri" w:hAnsiTheme="majorHAnsi" w:cstheme="majorHAnsi"/>
                <w:b/>
                <w:bCs/>
              </w:rPr>
            </w:pPr>
            <w:r w:rsidRPr="004F01C3">
              <w:rPr>
                <w:rFonts w:asciiTheme="majorHAnsi" w:eastAsia="Calibri" w:hAnsiTheme="majorHAnsi" w:cstheme="majorHAnsi"/>
                <w:b/>
                <w:bCs/>
              </w:rPr>
              <w:t>September 2019</w:t>
            </w:r>
          </w:p>
        </w:tc>
      </w:tr>
    </w:tbl>
    <w:p w:rsidR="00E62759" w:rsidRPr="004F01C3" w:rsidRDefault="00E62759">
      <w:pPr>
        <w:spacing w:after="0" w:line="240" w:lineRule="auto"/>
        <w:jc w:val="both"/>
        <w:rPr>
          <w:rFonts w:asciiTheme="majorHAnsi" w:eastAsia="Calibri" w:hAnsiTheme="majorHAnsi" w:cstheme="majorHAnsi"/>
        </w:rPr>
      </w:pPr>
    </w:p>
    <w:p w:rsidR="00E62759" w:rsidRDefault="00B50ACA">
      <w:pPr>
        <w:tabs>
          <w:tab w:val="left" w:pos="1080"/>
          <w:tab w:val="left" w:pos="1620"/>
        </w:tabs>
        <w:suppressAutoHyphens/>
        <w:spacing w:after="0" w:line="240" w:lineRule="auto"/>
        <w:jc w:val="both"/>
        <w:rPr>
          <w:rFonts w:asciiTheme="majorHAnsi" w:eastAsia="Calibri" w:hAnsiTheme="majorHAnsi" w:cstheme="majorHAnsi"/>
        </w:rPr>
      </w:pPr>
      <w:r w:rsidRPr="004F01C3">
        <w:rPr>
          <w:rFonts w:asciiTheme="majorHAnsi" w:eastAsia="Calibri" w:hAnsiTheme="majorHAnsi" w:cstheme="majorHAnsi"/>
        </w:rPr>
        <w:t>Prepared by: GOS-UNDP-GEF Resource Efficiency project &amp; Seychelles Energy Commission</w:t>
      </w:r>
    </w:p>
    <w:p w:rsidR="004F01C3" w:rsidRPr="004F01C3" w:rsidRDefault="004F01C3">
      <w:pPr>
        <w:tabs>
          <w:tab w:val="left" w:pos="1080"/>
          <w:tab w:val="left" w:pos="1620"/>
        </w:tabs>
        <w:suppressAutoHyphens/>
        <w:spacing w:after="0" w:line="240" w:lineRule="auto"/>
        <w:jc w:val="both"/>
        <w:rPr>
          <w:rFonts w:asciiTheme="majorHAnsi" w:eastAsia="Calibri" w:hAnsiTheme="majorHAnsi" w:cstheme="majorHAnsi"/>
        </w:rPr>
      </w:pPr>
    </w:p>
    <w:p w:rsidR="00E62759" w:rsidRDefault="00B50ACA">
      <w:pPr>
        <w:tabs>
          <w:tab w:val="left" w:pos="1080"/>
          <w:tab w:val="left" w:pos="1620"/>
        </w:tabs>
        <w:suppressAutoHyphens/>
        <w:spacing w:after="0" w:line="240" w:lineRule="auto"/>
        <w:jc w:val="both"/>
        <w:rPr>
          <w:rFonts w:asciiTheme="majorHAnsi" w:eastAsia="Calibri" w:hAnsiTheme="majorHAnsi" w:cstheme="majorHAnsi"/>
        </w:rPr>
      </w:pPr>
      <w:r w:rsidRPr="004F01C3">
        <w:rPr>
          <w:rFonts w:asciiTheme="majorHAnsi" w:eastAsia="Calibri" w:hAnsiTheme="majorHAnsi" w:cstheme="majorHAnsi"/>
        </w:rPr>
        <w:t>Contributors:</w:t>
      </w:r>
      <w:r w:rsidR="001A48DA" w:rsidRPr="004F01C3">
        <w:rPr>
          <w:rFonts w:asciiTheme="majorHAnsi" w:eastAsia="Calibri" w:hAnsiTheme="majorHAnsi" w:cstheme="majorHAnsi"/>
        </w:rPr>
        <w:t xml:space="preserve"> </w:t>
      </w:r>
      <w:r w:rsidRPr="004F01C3">
        <w:rPr>
          <w:rFonts w:asciiTheme="majorHAnsi" w:eastAsia="Calibri" w:hAnsiTheme="majorHAnsi" w:cstheme="majorHAnsi"/>
        </w:rPr>
        <w:t xml:space="preserve">GOS-UNDP-GEF Programme Coordination Unit, </w:t>
      </w:r>
      <w:r w:rsidR="00AA65E8" w:rsidRPr="004F01C3">
        <w:rPr>
          <w:rFonts w:asciiTheme="majorHAnsi" w:eastAsia="Calibri" w:hAnsiTheme="majorHAnsi" w:cstheme="majorHAnsi"/>
        </w:rPr>
        <w:t xml:space="preserve">RE </w:t>
      </w:r>
      <w:r w:rsidRPr="004F01C3">
        <w:rPr>
          <w:rFonts w:asciiTheme="majorHAnsi" w:eastAsia="Calibri" w:hAnsiTheme="majorHAnsi" w:cstheme="majorHAnsi"/>
        </w:rPr>
        <w:t>Project Steering Committee, UNDP Country Office Seychelles</w:t>
      </w:r>
    </w:p>
    <w:p w:rsidR="004F01C3" w:rsidRPr="004F01C3" w:rsidRDefault="004F01C3">
      <w:pPr>
        <w:tabs>
          <w:tab w:val="left" w:pos="1080"/>
          <w:tab w:val="left" w:pos="1620"/>
        </w:tabs>
        <w:suppressAutoHyphens/>
        <w:spacing w:after="0" w:line="240" w:lineRule="auto"/>
        <w:jc w:val="both"/>
        <w:rPr>
          <w:rFonts w:asciiTheme="majorHAnsi" w:eastAsia="Calibri" w:hAnsiTheme="majorHAnsi" w:cstheme="majorHAnsi"/>
        </w:rPr>
      </w:pPr>
    </w:p>
    <w:p w:rsidR="00E62759" w:rsidRPr="004F01C3" w:rsidRDefault="00B50ACA">
      <w:pPr>
        <w:tabs>
          <w:tab w:val="left" w:pos="1080"/>
          <w:tab w:val="left" w:pos="1620"/>
        </w:tabs>
        <w:suppressAutoHyphens/>
        <w:spacing w:after="0" w:line="240" w:lineRule="auto"/>
        <w:jc w:val="both"/>
        <w:rPr>
          <w:rFonts w:asciiTheme="majorHAnsi" w:eastAsia="Calibri" w:hAnsiTheme="majorHAnsi" w:cstheme="majorHAnsi"/>
        </w:rPr>
      </w:pPr>
      <w:r w:rsidRPr="004F01C3">
        <w:rPr>
          <w:rFonts w:asciiTheme="majorHAnsi" w:eastAsia="Calibri" w:hAnsiTheme="majorHAnsi" w:cstheme="majorHAnsi"/>
        </w:rPr>
        <w:t xml:space="preserve">Cleared </w:t>
      </w:r>
      <w:proofErr w:type="gramStart"/>
      <w:r w:rsidRPr="004F01C3">
        <w:rPr>
          <w:rFonts w:asciiTheme="majorHAnsi" w:eastAsia="Calibri" w:hAnsiTheme="majorHAnsi" w:cstheme="majorHAnsi"/>
        </w:rPr>
        <w:t>by:</w:t>
      </w:r>
      <w:proofErr w:type="gramEnd"/>
      <w:r w:rsidRPr="004F01C3">
        <w:rPr>
          <w:rFonts w:asciiTheme="majorHAnsi" w:eastAsia="Calibri" w:hAnsiTheme="majorHAnsi" w:cstheme="majorHAnsi"/>
        </w:rPr>
        <w:t xml:space="preserve"> </w:t>
      </w:r>
      <w:r w:rsidRPr="004F01C3">
        <w:rPr>
          <w:rFonts w:asciiTheme="majorHAnsi" w:eastAsia="Calibri" w:hAnsiTheme="majorHAnsi" w:cstheme="majorHAnsi"/>
        </w:rPr>
        <w:tab/>
        <w:t>UNDP Country Office Seychelles, Project Steering Committee, UNDP-GEF RTA</w:t>
      </w:r>
    </w:p>
    <w:p w:rsidR="00E62759" w:rsidRPr="004F01C3" w:rsidRDefault="00E62759">
      <w:pPr>
        <w:tabs>
          <w:tab w:val="left" w:pos="1080"/>
          <w:tab w:val="left" w:pos="1620"/>
        </w:tabs>
        <w:suppressAutoHyphens/>
        <w:spacing w:after="0" w:line="240" w:lineRule="auto"/>
        <w:jc w:val="both"/>
        <w:rPr>
          <w:rFonts w:asciiTheme="majorHAnsi" w:eastAsia="Calibri" w:hAnsiTheme="majorHAnsi" w:cstheme="majorHAnsi"/>
        </w:rPr>
      </w:pPr>
    </w:p>
    <w:p w:rsidR="00AA65E8" w:rsidRPr="004F01C3" w:rsidRDefault="00B50ACA" w:rsidP="00AA65E8">
      <w:pPr>
        <w:tabs>
          <w:tab w:val="left" w:pos="1080"/>
          <w:tab w:val="left" w:pos="1620"/>
        </w:tabs>
        <w:suppressAutoHyphens/>
        <w:spacing w:after="0" w:line="240" w:lineRule="auto"/>
        <w:jc w:val="both"/>
        <w:rPr>
          <w:rFonts w:asciiTheme="majorHAnsi" w:eastAsia="Calibri" w:hAnsiTheme="majorHAnsi" w:cstheme="majorHAnsi"/>
          <w:b/>
          <w:spacing w:val="4"/>
        </w:rPr>
      </w:pPr>
      <w:r w:rsidRPr="004F01C3">
        <w:rPr>
          <w:rFonts w:asciiTheme="majorHAnsi" w:eastAsia="Calibri" w:hAnsiTheme="majorHAnsi" w:cstheme="majorHAnsi"/>
          <w:b/>
          <w:spacing w:val="4"/>
        </w:rPr>
        <w:t xml:space="preserve">Context, </w:t>
      </w:r>
      <w:r w:rsidR="00DF0A13" w:rsidRPr="004F01C3">
        <w:rPr>
          <w:rFonts w:asciiTheme="majorHAnsi" w:eastAsia="Calibri" w:hAnsiTheme="majorHAnsi" w:cstheme="majorHAnsi"/>
          <w:b/>
          <w:spacing w:val="4"/>
        </w:rPr>
        <w:t>B</w:t>
      </w:r>
      <w:r w:rsidRPr="004F01C3">
        <w:rPr>
          <w:rFonts w:asciiTheme="majorHAnsi" w:eastAsia="Calibri" w:hAnsiTheme="majorHAnsi" w:cstheme="majorHAnsi"/>
          <w:b/>
          <w:spacing w:val="4"/>
        </w:rPr>
        <w:t xml:space="preserve">ackground and </w:t>
      </w:r>
      <w:r w:rsidR="00DF0A13" w:rsidRPr="004F01C3">
        <w:rPr>
          <w:rFonts w:asciiTheme="majorHAnsi" w:eastAsia="Calibri" w:hAnsiTheme="majorHAnsi" w:cstheme="majorHAnsi"/>
          <w:b/>
          <w:spacing w:val="4"/>
        </w:rPr>
        <w:t>F</w:t>
      </w:r>
      <w:r w:rsidRPr="004F01C3">
        <w:rPr>
          <w:rFonts w:asciiTheme="majorHAnsi" w:eastAsia="Calibri" w:hAnsiTheme="majorHAnsi" w:cstheme="majorHAnsi"/>
          <w:b/>
          <w:spacing w:val="4"/>
        </w:rPr>
        <w:t>indings</w:t>
      </w:r>
    </w:p>
    <w:p w:rsidR="00AA65E8" w:rsidRPr="004F01C3" w:rsidRDefault="00AA65E8" w:rsidP="00AA65E8">
      <w:pPr>
        <w:tabs>
          <w:tab w:val="left" w:pos="1080"/>
          <w:tab w:val="left" w:pos="1620"/>
        </w:tabs>
        <w:suppressAutoHyphens/>
        <w:spacing w:after="0" w:line="240" w:lineRule="auto"/>
        <w:jc w:val="both"/>
        <w:rPr>
          <w:rFonts w:asciiTheme="majorHAnsi" w:eastAsia="Calibri" w:hAnsiTheme="majorHAnsi" w:cstheme="majorHAnsi"/>
          <w:spacing w:val="4"/>
        </w:rPr>
      </w:pPr>
    </w:p>
    <w:p w:rsidR="00AA65E8" w:rsidRPr="004F01C3" w:rsidRDefault="00B50ACA" w:rsidP="00AA65E8">
      <w:pPr>
        <w:tabs>
          <w:tab w:val="left" w:pos="1080"/>
          <w:tab w:val="left" w:pos="1620"/>
          <w:tab w:val="left" w:pos="7759"/>
        </w:tabs>
        <w:suppressAutoHyphens/>
        <w:spacing w:after="0" w:line="240" w:lineRule="auto"/>
        <w:jc w:val="both"/>
        <w:rPr>
          <w:rFonts w:asciiTheme="majorHAnsi" w:eastAsia="Calibri" w:hAnsiTheme="majorHAnsi" w:cstheme="majorHAnsi"/>
          <w:spacing w:val="4"/>
        </w:rPr>
      </w:pPr>
      <w:r w:rsidRPr="004F01C3">
        <w:rPr>
          <w:rFonts w:asciiTheme="majorHAnsi" w:eastAsia="Calibri" w:hAnsiTheme="majorHAnsi" w:cstheme="majorHAnsi"/>
          <w:spacing w:val="4"/>
        </w:rPr>
        <w:t>Seychelles is highly dependent on imported oil to meet its energy needs (90% of the primary energy supply comes from imported fuel, with imports of fuel for electricity generation alone accounting for 12% of the total government budget). This heavy reliance on imported fossil fuels places heavy pressure on the country’s foreign exchange reserves, exacerbates state budget deficits, and poses major energy security concerns, both in terms of access to supplies and pricing.  A market for energy efficient appliances has begun to develop in the Seychelles, based in large part on the rapidly rising cost of electricity for most consumers.  However, this market has been constrained in many ways, including: a lack of consumer awareness about EE appliances, extremely limited purchase options for EE appliances (apart from energy saving lights), the inability of consumers to get bank loans or store financing for the purchase of high-value EE appliances (such as air conditioning units, refrigerators/freezers, and washing machines), and the absence of any standards or labelling schemes or requirements for EE appliances in the country.</w:t>
      </w:r>
    </w:p>
    <w:p w:rsidR="00AA65E8" w:rsidRPr="004F01C3" w:rsidRDefault="00AA65E8" w:rsidP="00AA65E8">
      <w:pPr>
        <w:tabs>
          <w:tab w:val="left" w:pos="1080"/>
          <w:tab w:val="left" w:pos="1620"/>
        </w:tabs>
        <w:suppressAutoHyphens/>
        <w:spacing w:after="0" w:line="240" w:lineRule="auto"/>
        <w:ind w:right="1267"/>
        <w:jc w:val="both"/>
        <w:rPr>
          <w:rFonts w:asciiTheme="majorHAnsi" w:eastAsia="Calibri" w:hAnsiTheme="majorHAnsi" w:cstheme="majorHAnsi"/>
          <w:spacing w:val="4"/>
        </w:rPr>
      </w:pPr>
    </w:p>
    <w:p w:rsidR="00E62759" w:rsidRPr="004F01C3" w:rsidRDefault="00B50ACA" w:rsidP="00AA65E8">
      <w:pPr>
        <w:tabs>
          <w:tab w:val="left" w:pos="1080"/>
          <w:tab w:val="left" w:pos="1620"/>
        </w:tabs>
        <w:suppressAutoHyphens/>
        <w:spacing w:after="0" w:line="240" w:lineRule="auto"/>
        <w:ind w:right="-46"/>
        <w:jc w:val="both"/>
        <w:rPr>
          <w:rFonts w:asciiTheme="majorHAnsi" w:eastAsia="Calibri" w:hAnsiTheme="majorHAnsi" w:cstheme="majorHAnsi"/>
          <w:spacing w:val="4"/>
        </w:rPr>
      </w:pPr>
      <w:r w:rsidRPr="004F01C3">
        <w:rPr>
          <w:rFonts w:asciiTheme="majorHAnsi" w:eastAsia="Calibri" w:hAnsiTheme="majorHAnsi" w:cstheme="majorHAnsi"/>
          <w:spacing w:val="4"/>
        </w:rPr>
        <w:t xml:space="preserve">In response, this project is providing technical assistance for regulatory framework, setting up of minimum </w:t>
      </w:r>
      <w:r w:rsidR="00AA65E8" w:rsidRPr="004F01C3">
        <w:rPr>
          <w:rFonts w:asciiTheme="majorHAnsi" w:eastAsia="Calibri" w:hAnsiTheme="majorHAnsi" w:cstheme="majorHAnsi"/>
          <w:spacing w:val="4"/>
        </w:rPr>
        <w:t>standards,</w:t>
      </w:r>
      <w:r w:rsidRPr="004F01C3">
        <w:rPr>
          <w:rFonts w:asciiTheme="majorHAnsi" w:eastAsia="Calibri" w:hAnsiTheme="majorHAnsi" w:cstheme="majorHAnsi"/>
          <w:spacing w:val="4"/>
        </w:rPr>
        <w:t xml:space="preserve"> educational awareness, data collection and training needs to help set the stage for the growth of the energy efficient appliances market in the country. In addition, the project provides critical catalytic support to several programs designed to provide concessionary financing for energy efficient appliances and water saving devices, including the Seychelles Energy Efficiency and Renewable Energy Program (SEEREP), a financing scheme for the residential sector to purchase EE appliances, which is now linked to a credit facility of the Development Bank of Seychelles (DBS) to provide concessionary finance for the adoption of EE technologies in the Small and Medium </w:t>
      </w:r>
      <w:r w:rsidRPr="004F01C3">
        <w:rPr>
          <w:rFonts w:asciiTheme="majorHAnsi" w:eastAsia="Calibri" w:hAnsiTheme="majorHAnsi" w:cstheme="majorHAnsi"/>
          <w:spacing w:val="4"/>
        </w:rPr>
        <w:lastRenderedPageBreak/>
        <w:t>Enterprises (SMEs) sector. The project has played a critical facilitating role for these financing programs, developing the necessary policy frameworks, providing capacity building for financial institutions, banks and other participants to enable their participation in the programs, and increasing public awareness about the programs and the opportunities and options for end users to purchase resource efficient technologies with concessionary financing. Uptake of the financial schemes has been unfortunately low, and this is a further issue that the project has attempted to address.</w:t>
      </w:r>
    </w:p>
    <w:p w:rsidR="00AA65E8" w:rsidRPr="004F01C3" w:rsidRDefault="00AA65E8" w:rsidP="00AA65E8">
      <w:pPr>
        <w:tabs>
          <w:tab w:val="left" w:pos="1080"/>
          <w:tab w:val="left" w:pos="1620"/>
        </w:tabs>
        <w:suppressAutoHyphens/>
        <w:spacing w:after="0" w:line="240" w:lineRule="auto"/>
        <w:ind w:right="-46"/>
        <w:jc w:val="both"/>
        <w:rPr>
          <w:rFonts w:asciiTheme="majorHAnsi" w:eastAsia="Calibri" w:hAnsiTheme="majorHAnsi" w:cstheme="majorHAnsi"/>
          <w:spacing w:val="4"/>
        </w:rPr>
      </w:pPr>
    </w:p>
    <w:p w:rsidR="00E5180F" w:rsidRPr="004F01C3" w:rsidRDefault="00E5180F">
      <w:pPr>
        <w:keepNext/>
        <w:keepLines/>
        <w:suppressAutoHyphens/>
        <w:spacing w:after="0" w:line="240" w:lineRule="auto"/>
        <w:jc w:val="both"/>
        <w:rPr>
          <w:rFonts w:asciiTheme="majorHAnsi" w:eastAsia="Calibri" w:hAnsiTheme="majorHAnsi" w:cstheme="majorHAnsi"/>
          <w:b/>
          <w:bCs/>
          <w:spacing w:val="4"/>
        </w:rPr>
      </w:pPr>
      <w:r w:rsidRPr="004F01C3">
        <w:rPr>
          <w:rFonts w:asciiTheme="majorHAnsi" w:eastAsia="Calibri" w:hAnsiTheme="majorHAnsi" w:cstheme="majorHAnsi"/>
          <w:b/>
          <w:bCs/>
          <w:spacing w:val="4"/>
        </w:rPr>
        <w:t xml:space="preserve">FINDINGS </w:t>
      </w:r>
    </w:p>
    <w:p w:rsidR="00E5180F" w:rsidRPr="004F01C3" w:rsidRDefault="00E5180F">
      <w:pPr>
        <w:keepNext/>
        <w:keepLines/>
        <w:suppressAutoHyphens/>
        <w:spacing w:after="0" w:line="240" w:lineRule="auto"/>
        <w:jc w:val="both"/>
        <w:rPr>
          <w:rFonts w:asciiTheme="majorHAnsi" w:eastAsia="Calibri" w:hAnsiTheme="majorHAnsi" w:cstheme="majorHAnsi"/>
          <w:b/>
          <w:bCs/>
          <w:spacing w:val="4"/>
        </w:rPr>
      </w:pPr>
    </w:p>
    <w:p w:rsidR="00E62759" w:rsidRPr="004F01C3" w:rsidRDefault="00E5180F" w:rsidP="00214177">
      <w:pPr>
        <w:pStyle w:val="ListParagraph"/>
        <w:keepNext/>
        <w:keepLines/>
        <w:numPr>
          <w:ilvl w:val="0"/>
          <w:numId w:val="7"/>
        </w:numPr>
        <w:suppressAutoHyphens/>
        <w:spacing w:after="0" w:line="240" w:lineRule="auto"/>
        <w:jc w:val="both"/>
        <w:rPr>
          <w:rFonts w:asciiTheme="majorHAnsi" w:eastAsia="Calibri" w:hAnsiTheme="majorHAnsi" w:cstheme="majorHAnsi"/>
          <w:b/>
          <w:bCs/>
          <w:spacing w:val="4"/>
        </w:rPr>
      </w:pPr>
      <w:r w:rsidRPr="004F01C3">
        <w:rPr>
          <w:rFonts w:asciiTheme="majorHAnsi" w:eastAsia="Calibri" w:hAnsiTheme="majorHAnsi" w:cstheme="majorHAnsi"/>
          <w:b/>
          <w:bCs/>
          <w:spacing w:val="4"/>
        </w:rPr>
        <w:t>PROJECT DESIGN</w:t>
      </w:r>
      <w:r w:rsidR="00214177" w:rsidRPr="004F01C3">
        <w:rPr>
          <w:rFonts w:asciiTheme="majorHAnsi" w:eastAsia="Calibri" w:hAnsiTheme="majorHAnsi" w:cstheme="majorHAnsi"/>
          <w:b/>
          <w:bCs/>
          <w:spacing w:val="4"/>
        </w:rPr>
        <w:t xml:space="preserve">: </w:t>
      </w:r>
    </w:p>
    <w:p w:rsidR="0070549F" w:rsidRPr="004F01C3" w:rsidRDefault="00E5180F" w:rsidP="00214177">
      <w:pPr>
        <w:pStyle w:val="ListParagraph"/>
        <w:keepNext/>
        <w:keepLines/>
        <w:suppressAutoHyphens/>
        <w:spacing w:after="0" w:line="240" w:lineRule="auto"/>
        <w:jc w:val="both"/>
        <w:rPr>
          <w:rFonts w:asciiTheme="majorHAnsi" w:hAnsiTheme="majorHAnsi" w:cstheme="majorHAnsi"/>
          <w:bCs/>
        </w:rPr>
      </w:pPr>
      <w:r w:rsidRPr="004F01C3">
        <w:rPr>
          <w:rFonts w:asciiTheme="majorHAnsi" w:eastAsia="Calibri" w:hAnsiTheme="majorHAnsi" w:cstheme="majorHAnsi"/>
          <w:spacing w:val="4"/>
        </w:rPr>
        <w:t xml:space="preserve">The project in itself was strategic and would have greatly contributed to the overall ambitions of Seychelles in </w:t>
      </w:r>
      <w:r w:rsidR="00214177" w:rsidRPr="004F01C3">
        <w:rPr>
          <w:rFonts w:asciiTheme="majorHAnsi" w:eastAsia="Calibri" w:hAnsiTheme="majorHAnsi" w:cstheme="majorHAnsi"/>
          <w:spacing w:val="4"/>
        </w:rPr>
        <w:t>Climate Change mitigation.</w:t>
      </w:r>
      <w:r w:rsidR="0070549F" w:rsidRPr="004F01C3">
        <w:rPr>
          <w:rFonts w:asciiTheme="majorHAnsi" w:eastAsia="Calibri" w:hAnsiTheme="majorHAnsi" w:cstheme="majorHAnsi"/>
          <w:spacing w:val="4"/>
        </w:rPr>
        <w:t xml:space="preserve"> </w:t>
      </w:r>
      <w:r w:rsidR="0070549F" w:rsidRPr="004F01C3">
        <w:rPr>
          <w:rFonts w:asciiTheme="majorHAnsi" w:hAnsiTheme="majorHAnsi" w:cstheme="majorHAnsi"/>
          <w:bCs/>
        </w:rPr>
        <w:t xml:space="preserve">Overall, the project design and formulation for this project was unsatisfactory.  </w:t>
      </w:r>
    </w:p>
    <w:p w:rsidR="0070549F" w:rsidRPr="004F01C3" w:rsidRDefault="0070549F" w:rsidP="00214177">
      <w:pPr>
        <w:pStyle w:val="ListParagraph"/>
        <w:keepNext/>
        <w:keepLines/>
        <w:suppressAutoHyphens/>
        <w:spacing w:after="0" w:line="240" w:lineRule="auto"/>
        <w:jc w:val="both"/>
        <w:rPr>
          <w:rFonts w:asciiTheme="majorHAnsi" w:eastAsia="Calibri" w:hAnsiTheme="majorHAnsi" w:cstheme="majorHAnsi"/>
          <w:spacing w:val="4"/>
        </w:rPr>
      </w:pPr>
      <w:r w:rsidRPr="004F01C3">
        <w:rPr>
          <w:rFonts w:asciiTheme="majorHAnsi" w:hAnsiTheme="majorHAnsi" w:cstheme="majorHAnsi"/>
          <w:bCs/>
        </w:rPr>
        <w:t xml:space="preserve">The failure to properly </w:t>
      </w:r>
      <w:proofErr w:type="gramStart"/>
      <w:r w:rsidRPr="004F01C3">
        <w:rPr>
          <w:rFonts w:asciiTheme="majorHAnsi" w:hAnsiTheme="majorHAnsi" w:cstheme="majorHAnsi"/>
          <w:bCs/>
        </w:rPr>
        <w:t>take into</w:t>
      </w:r>
      <w:r w:rsidRPr="004F01C3">
        <w:rPr>
          <w:rFonts w:asciiTheme="majorHAnsi" w:hAnsiTheme="majorHAnsi" w:cstheme="majorHAnsi"/>
        </w:rPr>
        <w:t xml:space="preserve"> account</w:t>
      </w:r>
      <w:proofErr w:type="gramEnd"/>
      <w:r w:rsidRPr="004F01C3">
        <w:rPr>
          <w:rFonts w:asciiTheme="majorHAnsi" w:hAnsiTheme="majorHAnsi" w:cstheme="majorHAnsi"/>
        </w:rPr>
        <w:t xml:space="preserve"> the situation in the Seychelles and lessons from other economies, the inclusion of too many components for a Medium-Sized Project and the lack of outcome-oriented indicators or targets leave no other option than this lowest possible rating.  The poor quality of the project design, and in particular the lack of SMART targets, also presents problems for the rest of the evaluation, which must compare results with targets.  This terminal evaluation therefore first assesses which SMART targets and indicators could have been set for the various components of the project, had the design been based on a full assessment of the situation in the Seychelles in its international context, with an appropriate number of outcomes for a Medium-Sized project (in a small island setting) and aiming to maximise impacts in a country that had not yet implemented its first resource efficiency project</w:t>
      </w:r>
      <w:r w:rsidR="00214177" w:rsidRPr="004F01C3">
        <w:rPr>
          <w:rFonts w:asciiTheme="majorHAnsi" w:eastAsia="Calibri" w:hAnsiTheme="majorHAnsi" w:cstheme="majorHAnsi"/>
          <w:spacing w:val="4"/>
        </w:rPr>
        <w:t xml:space="preserve"> </w:t>
      </w:r>
    </w:p>
    <w:p w:rsidR="004C62E0" w:rsidRPr="004F01C3" w:rsidRDefault="0070549F" w:rsidP="00214177">
      <w:pPr>
        <w:pStyle w:val="ListParagraph"/>
        <w:keepNext/>
        <w:keepLines/>
        <w:suppressAutoHyphens/>
        <w:spacing w:after="0" w:line="240" w:lineRule="auto"/>
        <w:jc w:val="both"/>
        <w:rPr>
          <w:rFonts w:asciiTheme="majorHAnsi" w:hAnsiTheme="majorHAnsi" w:cstheme="majorHAnsi"/>
        </w:rPr>
      </w:pPr>
      <w:r w:rsidRPr="004F01C3">
        <w:rPr>
          <w:rFonts w:asciiTheme="majorHAnsi" w:eastAsia="Calibri" w:hAnsiTheme="majorHAnsi" w:cstheme="majorHAnsi"/>
          <w:spacing w:val="4"/>
        </w:rPr>
        <w:t>The following weaknesses</w:t>
      </w:r>
      <w:r w:rsidR="004C62E0" w:rsidRPr="004F01C3">
        <w:rPr>
          <w:rFonts w:asciiTheme="majorHAnsi" w:eastAsia="Calibri" w:hAnsiTheme="majorHAnsi" w:cstheme="majorHAnsi"/>
          <w:spacing w:val="4"/>
        </w:rPr>
        <w:t xml:space="preserve"> and limitations were identified in the</w:t>
      </w:r>
      <w:r w:rsidRPr="004F01C3">
        <w:rPr>
          <w:rFonts w:asciiTheme="majorHAnsi" w:eastAsia="Calibri" w:hAnsiTheme="majorHAnsi" w:cstheme="majorHAnsi"/>
          <w:spacing w:val="4"/>
        </w:rPr>
        <w:t xml:space="preserve">se </w:t>
      </w:r>
      <w:r w:rsidR="004C62E0" w:rsidRPr="004F01C3">
        <w:rPr>
          <w:rFonts w:asciiTheme="majorHAnsi" w:eastAsia="Calibri" w:hAnsiTheme="majorHAnsi" w:cstheme="majorHAnsi"/>
          <w:spacing w:val="4"/>
        </w:rPr>
        <w:t xml:space="preserve">areas: </w:t>
      </w:r>
    </w:p>
    <w:p w:rsidR="00583C26" w:rsidRPr="004F01C3" w:rsidRDefault="004C62E0" w:rsidP="00583C26">
      <w:pPr>
        <w:pStyle w:val="ListParagraph"/>
        <w:numPr>
          <w:ilvl w:val="2"/>
          <w:numId w:val="10"/>
        </w:numPr>
        <w:rPr>
          <w:rFonts w:asciiTheme="majorHAnsi" w:hAnsiTheme="majorHAnsi" w:cstheme="majorHAnsi"/>
        </w:rPr>
      </w:pPr>
      <w:r w:rsidRPr="004F01C3">
        <w:rPr>
          <w:rFonts w:asciiTheme="majorHAnsi" w:hAnsiTheme="majorHAnsi" w:cstheme="majorHAnsi"/>
          <w:b/>
          <w:bCs/>
        </w:rPr>
        <w:t xml:space="preserve">Project </w:t>
      </w:r>
      <w:proofErr w:type="spellStart"/>
      <w:r w:rsidRPr="004F01C3">
        <w:rPr>
          <w:rFonts w:asciiTheme="majorHAnsi" w:hAnsiTheme="majorHAnsi" w:cstheme="majorHAnsi"/>
          <w:b/>
          <w:bCs/>
        </w:rPr>
        <w:t>Logframe</w:t>
      </w:r>
      <w:proofErr w:type="spellEnd"/>
      <w:r w:rsidRPr="004F01C3">
        <w:rPr>
          <w:rFonts w:asciiTheme="majorHAnsi" w:hAnsiTheme="majorHAnsi" w:cstheme="majorHAnsi"/>
        </w:rPr>
        <w:t>: The Project results framework / Logical framework was weak</w:t>
      </w:r>
      <w:r w:rsidR="00583C26" w:rsidRPr="004F01C3">
        <w:rPr>
          <w:rFonts w:asciiTheme="majorHAnsi" w:hAnsiTheme="majorHAnsi" w:cstheme="majorHAnsi"/>
        </w:rPr>
        <w:t xml:space="preserve"> and inconsistent. The project lacks indicators for results at outcome-level (also because the logical framework lacks properly defined outcomes), and its overall goal is based on the impact of a single output.</w:t>
      </w:r>
    </w:p>
    <w:p w:rsidR="00583C26" w:rsidRPr="004F01C3" w:rsidRDefault="00583C26" w:rsidP="00583C26">
      <w:pPr>
        <w:pStyle w:val="ListParagraph"/>
        <w:numPr>
          <w:ilvl w:val="2"/>
          <w:numId w:val="10"/>
        </w:numPr>
        <w:rPr>
          <w:rFonts w:asciiTheme="majorHAnsi" w:hAnsiTheme="majorHAnsi" w:cstheme="majorHAnsi"/>
        </w:rPr>
      </w:pPr>
      <w:r w:rsidRPr="004F01C3">
        <w:rPr>
          <w:rFonts w:asciiTheme="majorHAnsi" w:hAnsiTheme="majorHAnsi" w:cstheme="majorHAnsi"/>
          <w:b/>
          <w:bCs/>
        </w:rPr>
        <w:t xml:space="preserve">Assumptions and Risks: </w:t>
      </w:r>
      <w:r w:rsidRPr="004F01C3">
        <w:rPr>
          <w:rFonts w:asciiTheme="majorHAnsi" w:hAnsiTheme="majorHAnsi" w:cstheme="majorHAnsi"/>
        </w:rPr>
        <w:t>Overall assumptions were flawed and failed to take into          account the cost-effectiveness of the project. The risks identified at design stage were not relevant and risks to overall project implementation and outcomes was not identified.</w:t>
      </w:r>
    </w:p>
    <w:p w:rsidR="0096683A" w:rsidRPr="004F01C3" w:rsidRDefault="00583C26" w:rsidP="0096683A">
      <w:pPr>
        <w:pStyle w:val="ListParagraph"/>
        <w:numPr>
          <w:ilvl w:val="2"/>
          <w:numId w:val="10"/>
        </w:numPr>
        <w:rPr>
          <w:rFonts w:asciiTheme="majorHAnsi" w:hAnsiTheme="majorHAnsi" w:cstheme="majorHAnsi"/>
        </w:rPr>
      </w:pPr>
      <w:r w:rsidRPr="004F01C3">
        <w:rPr>
          <w:rFonts w:asciiTheme="majorHAnsi" w:hAnsiTheme="majorHAnsi" w:cstheme="majorHAnsi"/>
          <w:b/>
          <w:bCs/>
        </w:rPr>
        <w:t xml:space="preserve">Lessons Learnt from Other UNDP-GEF projects in the region: </w:t>
      </w:r>
      <w:r w:rsidRPr="004F01C3">
        <w:rPr>
          <w:rFonts w:asciiTheme="majorHAnsi" w:hAnsiTheme="majorHAnsi" w:cstheme="majorHAnsi"/>
        </w:rPr>
        <w:t xml:space="preserve"> At design stage the project seems not to have incorporated lessons learned from other regional projects in the complexity of adopting standards and labels.</w:t>
      </w:r>
    </w:p>
    <w:p w:rsidR="0096683A" w:rsidRPr="004F01C3" w:rsidRDefault="0096683A" w:rsidP="0096683A">
      <w:pPr>
        <w:pStyle w:val="ListParagraph"/>
        <w:numPr>
          <w:ilvl w:val="2"/>
          <w:numId w:val="10"/>
        </w:numPr>
        <w:rPr>
          <w:rFonts w:asciiTheme="majorHAnsi" w:hAnsiTheme="majorHAnsi" w:cstheme="majorHAnsi"/>
          <w:b/>
          <w:bCs/>
        </w:rPr>
      </w:pPr>
      <w:r w:rsidRPr="004F01C3">
        <w:rPr>
          <w:rFonts w:asciiTheme="majorHAnsi" w:hAnsiTheme="majorHAnsi" w:cstheme="majorHAnsi"/>
          <w:b/>
          <w:bCs/>
        </w:rPr>
        <w:t xml:space="preserve">Planned stakeholder participation: </w:t>
      </w:r>
      <w:r w:rsidRPr="004F01C3">
        <w:rPr>
          <w:rFonts w:asciiTheme="majorHAnsi" w:hAnsiTheme="majorHAnsi" w:cstheme="majorHAnsi"/>
        </w:rPr>
        <w:t>Project design failed to explicitly include stakeholder participation in project strategy and implementation.</w:t>
      </w:r>
    </w:p>
    <w:p w:rsidR="003442B5" w:rsidRPr="004F01C3" w:rsidRDefault="0096683A" w:rsidP="003442B5">
      <w:pPr>
        <w:pStyle w:val="ListParagraph"/>
        <w:numPr>
          <w:ilvl w:val="2"/>
          <w:numId w:val="10"/>
        </w:numPr>
        <w:rPr>
          <w:rFonts w:asciiTheme="majorHAnsi" w:hAnsiTheme="majorHAnsi" w:cstheme="majorHAnsi"/>
          <w:b/>
          <w:bCs/>
        </w:rPr>
      </w:pPr>
      <w:r w:rsidRPr="004F01C3">
        <w:rPr>
          <w:rFonts w:asciiTheme="majorHAnsi" w:hAnsiTheme="majorHAnsi" w:cstheme="majorHAnsi"/>
          <w:b/>
          <w:bCs/>
        </w:rPr>
        <w:t xml:space="preserve">Replication approach: </w:t>
      </w:r>
      <w:r w:rsidRPr="004F01C3">
        <w:rPr>
          <w:rFonts w:asciiTheme="majorHAnsi" w:hAnsiTheme="majorHAnsi" w:cstheme="majorHAnsi"/>
        </w:rPr>
        <w:t xml:space="preserve">There is no feasibility for scaling up or replication of this project. </w:t>
      </w:r>
    </w:p>
    <w:p w:rsidR="003442B5" w:rsidRPr="004F01C3" w:rsidRDefault="003442B5" w:rsidP="003442B5">
      <w:pPr>
        <w:pStyle w:val="ListParagraph"/>
        <w:numPr>
          <w:ilvl w:val="2"/>
          <w:numId w:val="10"/>
        </w:numPr>
        <w:rPr>
          <w:rFonts w:asciiTheme="majorHAnsi" w:hAnsiTheme="majorHAnsi" w:cstheme="majorHAnsi"/>
          <w:b/>
          <w:bCs/>
        </w:rPr>
      </w:pPr>
      <w:r w:rsidRPr="004F01C3">
        <w:rPr>
          <w:rFonts w:asciiTheme="majorHAnsi" w:hAnsiTheme="majorHAnsi" w:cstheme="majorHAnsi"/>
          <w:b/>
          <w:bCs/>
        </w:rPr>
        <w:t>UNDP comparative advantage:</w:t>
      </w:r>
      <w:r w:rsidRPr="004F01C3">
        <w:rPr>
          <w:rFonts w:asciiTheme="majorHAnsi" w:hAnsiTheme="majorHAnsi" w:cstheme="majorHAnsi"/>
        </w:rPr>
        <w:t xml:space="preserve"> Project design did not benefit from UNDPs comparative advantage and international exchange.</w:t>
      </w:r>
    </w:p>
    <w:p w:rsidR="0070549F" w:rsidRPr="004F01C3" w:rsidRDefault="003442B5" w:rsidP="0070549F">
      <w:pPr>
        <w:pStyle w:val="ListParagraph"/>
        <w:numPr>
          <w:ilvl w:val="2"/>
          <w:numId w:val="10"/>
        </w:numPr>
        <w:rPr>
          <w:rFonts w:asciiTheme="majorHAnsi" w:hAnsiTheme="majorHAnsi" w:cstheme="majorHAnsi"/>
          <w:b/>
          <w:bCs/>
        </w:rPr>
      </w:pPr>
      <w:r w:rsidRPr="004F01C3">
        <w:rPr>
          <w:rFonts w:asciiTheme="majorHAnsi" w:hAnsiTheme="majorHAnsi" w:cstheme="majorHAnsi"/>
          <w:b/>
          <w:bCs/>
        </w:rPr>
        <w:t xml:space="preserve">Linkages between project and other interventions within the sector: </w:t>
      </w:r>
      <w:r w:rsidRPr="004F01C3">
        <w:rPr>
          <w:rFonts w:asciiTheme="majorHAnsi" w:hAnsiTheme="majorHAnsi" w:cstheme="majorHAnsi"/>
        </w:rPr>
        <w:t>The project failed to make direct linkages with other initiatives such as the NEPTUNE projec</w:t>
      </w:r>
      <w:r w:rsidR="0070549F" w:rsidRPr="004F01C3">
        <w:rPr>
          <w:rFonts w:asciiTheme="majorHAnsi" w:hAnsiTheme="majorHAnsi" w:cstheme="majorHAnsi"/>
        </w:rPr>
        <w:t>t.</w:t>
      </w:r>
    </w:p>
    <w:p w:rsidR="0070549F" w:rsidRPr="004F01C3" w:rsidRDefault="0070549F" w:rsidP="0070549F">
      <w:pPr>
        <w:pStyle w:val="ListParagraph"/>
        <w:numPr>
          <w:ilvl w:val="2"/>
          <w:numId w:val="10"/>
        </w:numPr>
        <w:rPr>
          <w:rFonts w:asciiTheme="majorHAnsi" w:hAnsiTheme="majorHAnsi" w:cstheme="majorHAnsi"/>
          <w:b/>
          <w:bCs/>
        </w:rPr>
      </w:pPr>
      <w:r w:rsidRPr="004F01C3">
        <w:rPr>
          <w:rFonts w:asciiTheme="majorHAnsi" w:hAnsiTheme="majorHAnsi" w:cstheme="majorHAnsi"/>
          <w:b/>
          <w:bCs/>
        </w:rPr>
        <w:t xml:space="preserve">Management arrangements: </w:t>
      </w:r>
      <w:r w:rsidR="008A138E" w:rsidRPr="004F01C3">
        <w:rPr>
          <w:rFonts w:asciiTheme="majorHAnsi" w:hAnsiTheme="majorHAnsi" w:cstheme="majorHAnsi"/>
        </w:rPr>
        <w:t xml:space="preserve">There is a discrepancy in the management arrangements with the </w:t>
      </w:r>
      <w:proofErr w:type="spellStart"/>
      <w:r w:rsidR="008A138E" w:rsidRPr="004F01C3">
        <w:rPr>
          <w:rFonts w:asciiTheme="majorHAnsi" w:hAnsiTheme="majorHAnsi" w:cstheme="majorHAnsi"/>
        </w:rPr>
        <w:t>Prodoc</w:t>
      </w:r>
      <w:proofErr w:type="spellEnd"/>
      <w:r w:rsidR="008A138E" w:rsidRPr="004F01C3">
        <w:rPr>
          <w:rFonts w:asciiTheme="majorHAnsi" w:hAnsiTheme="majorHAnsi" w:cstheme="majorHAnsi"/>
        </w:rPr>
        <w:t xml:space="preserve"> listing the Ministry of Environment Energy and Climate Change as the executing agency, but the CER lists the Seychelles Energy Commission (although the latter falls under the purview of the Ministry)- The clarity of oversight and day to day execution is missing from project design. The Project Manager too was situated within the Project Coordination Unit and not with SEC and reporting was to the NPD. The reporting channels added a layer of complexity to effective execution of the project.</w:t>
      </w:r>
    </w:p>
    <w:p w:rsidR="00583C26" w:rsidRPr="004F01C3" w:rsidRDefault="00583C26" w:rsidP="008A138E">
      <w:pPr>
        <w:pStyle w:val="ListParagraph"/>
        <w:ind w:left="1530"/>
        <w:rPr>
          <w:rFonts w:asciiTheme="majorHAnsi" w:hAnsiTheme="majorHAnsi" w:cstheme="majorHAnsi"/>
          <w:b/>
          <w:bCs/>
        </w:rPr>
      </w:pPr>
    </w:p>
    <w:p w:rsidR="008A138E" w:rsidRPr="004F01C3" w:rsidRDefault="008A138E" w:rsidP="008A138E">
      <w:pPr>
        <w:pStyle w:val="ListParagraph"/>
        <w:numPr>
          <w:ilvl w:val="0"/>
          <w:numId w:val="7"/>
        </w:numPr>
        <w:rPr>
          <w:rFonts w:asciiTheme="majorHAnsi" w:hAnsiTheme="majorHAnsi" w:cstheme="majorHAnsi"/>
          <w:b/>
          <w:bCs/>
        </w:rPr>
      </w:pPr>
      <w:r w:rsidRPr="004F01C3">
        <w:rPr>
          <w:rFonts w:asciiTheme="majorHAnsi" w:hAnsiTheme="majorHAnsi" w:cstheme="majorHAnsi"/>
          <w:b/>
          <w:bCs/>
        </w:rPr>
        <w:t>PROJECT IMPLEMENTATION</w:t>
      </w:r>
      <w:r w:rsidR="002524D2" w:rsidRPr="004F01C3">
        <w:rPr>
          <w:rFonts w:asciiTheme="majorHAnsi" w:hAnsiTheme="majorHAnsi" w:cstheme="majorHAnsi"/>
          <w:b/>
          <w:bCs/>
        </w:rPr>
        <w:t>:</w:t>
      </w:r>
    </w:p>
    <w:p w:rsidR="002524D2" w:rsidRPr="004F01C3" w:rsidRDefault="008A138E" w:rsidP="002524D2">
      <w:pPr>
        <w:pStyle w:val="ListParagraph"/>
        <w:rPr>
          <w:rFonts w:asciiTheme="majorHAnsi" w:hAnsiTheme="majorHAnsi" w:cstheme="majorHAnsi"/>
        </w:rPr>
      </w:pPr>
      <w:r w:rsidRPr="004F01C3">
        <w:rPr>
          <w:rFonts w:asciiTheme="majorHAnsi" w:hAnsiTheme="majorHAnsi" w:cstheme="majorHAnsi"/>
        </w:rPr>
        <w:t xml:space="preserve">Overall Project implementation was rated as Unsatisfactory. The implementation of this project was characterised by an understaffed project team and substantial delays in the implementation of key regulations, against the background of a too complex and overly ambitious project design.  As a result, the project team focused on a subset of planned activities, however, without much formal planning about which parts of the project to prioritise.  </w:t>
      </w:r>
      <w:r w:rsidR="002524D2" w:rsidRPr="004F01C3">
        <w:rPr>
          <w:rFonts w:asciiTheme="majorHAnsi" w:hAnsiTheme="majorHAnsi" w:cstheme="majorHAnsi"/>
        </w:rPr>
        <w:t>Thus</w:t>
      </w:r>
      <w:r w:rsidRPr="004F01C3">
        <w:rPr>
          <w:rFonts w:asciiTheme="majorHAnsi" w:hAnsiTheme="majorHAnsi" w:cstheme="majorHAnsi"/>
        </w:rPr>
        <w:t>, at the end of the project, there are many activities that have been started but not fully finished, demonstrated, for example, by the large number of reports and other deliverables still in draft or near-final stage.</w:t>
      </w:r>
      <w:bookmarkStart w:id="0" w:name="_Toc13593238"/>
    </w:p>
    <w:p w:rsidR="002524D2" w:rsidRPr="004F01C3" w:rsidRDefault="002524D2" w:rsidP="002524D2">
      <w:pPr>
        <w:pStyle w:val="ListParagraph"/>
        <w:rPr>
          <w:rFonts w:asciiTheme="majorHAnsi" w:hAnsiTheme="majorHAnsi" w:cstheme="majorHAnsi"/>
        </w:rPr>
      </w:pPr>
    </w:p>
    <w:bookmarkEnd w:id="0"/>
    <w:p w:rsidR="009F0865" w:rsidRPr="004F01C3" w:rsidRDefault="002524D2" w:rsidP="009F0865">
      <w:pPr>
        <w:pStyle w:val="ListParagraph"/>
        <w:numPr>
          <w:ilvl w:val="0"/>
          <w:numId w:val="7"/>
        </w:numPr>
        <w:rPr>
          <w:rFonts w:asciiTheme="majorHAnsi" w:hAnsiTheme="majorHAnsi" w:cstheme="majorHAnsi"/>
        </w:rPr>
      </w:pPr>
      <w:r w:rsidRPr="004F01C3">
        <w:rPr>
          <w:rFonts w:asciiTheme="majorHAnsi" w:hAnsiTheme="majorHAnsi" w:cstheme="majorHAnsi"/>
          <w:b/>
        </w:rPr>
        <w:t>PROJECT RESULTS:</w:t>
      </w:r>
    </w:p>
    <w:p w:rsidR="00E62759" w:rsidRPr="004F01C3" w:rsidRDefault="002524D2" w:rsidP="009F0865">
      <w:pPr>
        <w:pStyle w:val="ListParagraph"/>
        <w:rPr>
          <w:rFonts w:asciiTheme="majorHAnsi" w:hAnsiTheme="majorHAnsi" w:cstheme="majorHAnsi"/>
        </w:rPr>
      </w:pPr>
      <w:r w:rsidRPr="004F01C3">
        <w:rPr>
          <w:rFonts w:asciiTheme="majorHAnsi" w:hAnsiTheme="majorHAnsi" w:cstheme="majorHAnsi"/>
          <w:bCs/>
        </w:rPr>
        <w:t>The overall appreciation of project results is Unsatisfactory (U).</w:t>
      </w:r>
      <w:r w:rsidRPr="004F01C3">
        <w:rPr>
          <w:rFonts w:asciiTheme="majorHAnsi" w:hAnsiTheme="majorHAnsi" w:cstheme="majorHAnsi"/>
        </w:rPr>
        <w:t xml:space="preserve">  </w:t>
      </w:r>
      <w:r w:rsidR="009F0865" w:rsidRPr="004F01C3">
        <w:rPr>
          <w:rFonts w:asciiTheme="majorHAnsi" w:hAnsiTheme="majorHAnsi" w:cstheme="majorHAnsi"/>
        </w:rPr>
        <w:t>These ratings reflect that the project started a wide range of activities, finished only a few of those and is still far behind on the development of key regulatory instruments at the end of the project. Although the project, has implemented some good activities it failed to link these together into an overall strategy, and has achieved little sustainable progress towards its overall goal.</w:t>
      </w:r>
    </w:p>
    <w:p w:rsidR="00AA65E8" w:rsidRPr="004F01C3" w:rsidRDefault="00AA65E8">
      <w:pPr>
        <w:tabs>
          <w:tab w:val="left" w:pos="1080"/>
          <w:tab w:val="left" w:pos="1620"/>
        </w:tabs>
        <w:suppressAutoHyphens/>
        <w:spacing w:after="0" w:line="240" w:lineRule="auto"/>
        <w:ind w:left="360" w:right="89"/>
        <w:jc w:val="both"/>
        <w:rPr>
          <w:rFonts w:asciiTheme="majorHAnsi" w:eastAsia="Calibri" w:hAnsiTheme="majorHAnsi" w:cstheme="majorHAnsi"/>
          <w:b/>
          <w:spacing w:val="4"/>
        </w:rPr>
      </w:pPr>
    </w:p>
    <w:p w:rsidR="00E62759" w:rsidRPr="004F01C3" w:rsidRDefault="00B50ACA">
      <w:pPr>
        <w:tabs>
          <w:tab w:val="left" w:pos="1080"/>
          <w:tab w:val="left" w:pos="1620"/>
        </w:tabs>
        <w:suppressAutoHyphens/>
        <w:spacing w:after="0" w:line="240" w:lineRule="auto"/>
        <w:ind w:left="360" w:right="89"/>
        <w:jc w:val="both"/>
        <w:rPr>
          <w:rFonts w:asciiTheme="majorHAnsi" w:eastAsia="Calibri" w:hAnsiTheme="majorHAnsi" w:cstheme="majorHAnsi"/>
          <w:b/>
          <w:spacing w:val="4"/>
        </w:rPr>
      </w:pPr>
      <w:r w:rsidRPr="004F01C3">
        <w:rPr>
          <w:rFonts w:asciiTheme="majorHAnsi" w:eastAsia="Calibri" w:hAnsiTheme="majorHAnsi" w:cstheme="majorHAnsi"/>
          <w:b/>
          <w:spacing w:val="4"/>
        </w:rPr>
        <w:t xml:space="preserve">The Terminal Review has found that the </w:t>
      </w:r>
      <w:r w:rsidR="00AA65E8" w:rsidRPr="004F01C3">
        <w:rPr>
          <w:rFonts w:asciiTheme="majorHAnsi" w:eastAsia="Calibri" w:hAnsiTheme="majorHAnsi" w:cstheme="majorHAnsi"/>
          <w:b/>
          <w:spacing w:val="4"/>
        </w:rPr>
        <w:t xml:space="preserve">GOS-UNDP-GEF </w:t>
      </w:r>
      <w:r w:rsidRPr="004F01C3">
        <w:rPr>
          <w:rFonts w:asciiTheme="majorHAnsi" w:eastAsia="Calibri" w:hAnsiTheme="majorHAnsi" w:cstheme="majorHAnsi"/>
          <w:b/>
          <w:spacing w:val="4"/>
        </w:rPr>
        <w:t>Resource Efficiency project has delivered a number of key outputs, including:</w:t>
      </w:r>
    </w:p>
    <w:p w:rsidR="00AA65E8" w:rsidRPr="004F01C3" w:rsidRDefault="00AA65E8">
      <w:pPr>
        <w:tabs>
          <w:tab w:val="left" w:pos="1080"/>
          <w:tab w:val="left" w:pos="1620"/>
        </w:tabs>
        <w:suppressAutoHyphens/>
        <w:spacing w:after="0" w:line="240" w:lineRule="auto"/>
        <w:ind w:left="360" w:right="89"/>
        <w:jc w:val="both"/>
        <w:rPr>
          <w:rFonts w:asciiTheme="majorHAnsi" w:eastAsia="Calibri" w:hAnsiTheme="majorHAnsi" w:cstheme="majorHAnsi"/>
          <w:b/>
          <w:spacing w:val="4"/>
        </w:rPr>
      </w:pPr>
    </w:p>
    <w:p w:rsidR="00E62759" w:rsidRPr="004F01C3" w:rsidRDefault="00B50ACA">
      <w:pPr>
        <w:numPr>
          <w:ilvl w:val="0"/>
          <w:numId w:val="2"/>
        </w:numPr>
        <w:spacing w:after="200" w:line="276" w:lineRule="auto"/>
        <w:ind w:left="720" w:hanging="360"/>
        <w:jc w:val="both"/>
        <w:rPr>
          <w:rFonts w:asciiTheme="majorHAnsi" w:eastAsia="Calibri" w:hAnsiTheme="majorHAnsi" w:cstheme="majorHAnsi"/>
        </w:rPr>
      </w:pPr>
      <w:r w:rsidRPr="004F01C3">
        <w:rPr>
          <w:rFonts w:asciiTheme="majorHAnsi" w:eastAsia="Calibri" w:hAnsiTheme="majorHAnsi" w:cstheme="majorHAnsi"/>
        </w:rPr>
        <w:t xml:space="preserve">The project has been actively pursuing the </w:t>
      </w:r>
      <w:r w:rsidRPr="004F01C3">
        <w:rPr>
          <w:rFonts w:asciiTheme="majorHAnsi" w:eastAsia="Calibri" w:hAnsiTheme="majorHAnsi" w:cstheme="majorHAnsi"/>
          <w:b/>
          <w:bCs/>
        </w:rPr>
        <w:t>communications strategy</w:t>
      </w:r>
      <w:r w:rsidRPr="004F01C3">
        <w:rPr>
          <w:rFonts w:asciiTheme="majorHAnsi" w:eastAsia="Calibri" w:hAnsiTheme="majorHAnsi" w:cstheme="majorHAnsi"/>
        </w:rPr>
        <w:t xml:space="preserve"> and implemented the various elements of it.  Extensive press coverage of many public awareness events, often including leading government representatives (Minister or Principal secretary level) to raise the profile of events.  In addition, a series of workshops was organised to brief and train professionals (retailers, installers, etc) about energy efficiency issues, and the response to those workshops seems to be have been good.  In addition to public awareness activities with a national focus (through press coverage), several community-focused events were organised, mainly around schools.  This can be an excellent way to create deeper engagement of communities around energy issues, even if continuity can be a challenge (generally, feedback about these community-focused events was good, though there were some concerns about their continuation if local organisers would leave; the latter is a generic concern for any community-based approach and, although important to be aware of, not of specific concern for this project).</w:t>
      </w:r>
    </w:p>
    <w:p w:rsidR="00E62759" w:rsidRPr="004F01C3" w:rsidRDefault="00B50ACA">
      <w:pPr>
        <w:numPr>
          <w:ilvl w:val="0"/>
          <w:numId w:val="2"/>
        </w:numPr>
        <w:spacing w:after="200" w:line="276" w:lineRule="auto"/>
        <w:ind w:left="720" w:hanging="360"/>
        <w:jc w:val="both"/>
        <w:rPr>
          <w:rFonts w:asciiTheme="majorHAnsi" w:eastAsia="Calibri" w:hAnsiTheme="majorHAnsi" w:cstheme="majorHAnsi"/>
        </w:rPr>
      </w:pPr>
      <w:r w:rsidRPr="004F01C3">
        <w:rPr>
          <w:rFonts w:asciiTheme="majorHAnsi" w:eastAsia="Calibri" w:hAnsiTheme="majorHAnsi" w:cstheme="majorHAnsi"/>
          <w:b/>
          <w:bCs/>
        </w:rPr>
        <w:t>Consumer education</w:t>
      </w:r>
      <w:r w:rsidRPr="004F01C3">
        <w:rPr>
          <w:rFonts w:asciiTheme="majorHAnsi" w:eastAsia="Calibri" w:hAnsiTheme="majorHAnsi" w:cstheme="majorHAnsi"/>
        </w:rPr>
        <w:t xml:space="preserve"> is in many countries a necessary first step before regulatory instruments can be introduced, and the project (rightly) included a component to introduce and implement such a strategy.  </w:t>
      </w:r>
      <w:r w:rsidRPr="004F01C3">
        <w:rPr>
          <w:rFonts w:asciiTheme="majorHAnsi" w:eastAsia="Calibri" w:hAnsiTheme="majorHAnsi" w:cstheme="majorHAnsi"/>
          <w:b/>
          <w:bCs/>
        </w:rPr>
        <w:t>Financial instruments</w:t>
      </w:r>
      <w:r w:rsidRPr="004F01C3">
        <w:rPr>
          <w:rFonts w:asciiTheme="majorHAnsi" w:eastAsia="Calibri" w:hAnsiTheme="majorHAnsi" w:cstheme="majorHAnsi"/>
        </w:rPr>
        <w:t xml:space="preserve"> (</w:t>
      </w:r>
      <w:r w:rsidR="00AA65E8" w:rsidRPr="004F01C3">
        <w:rPr>
          <w:rFonts w:asciiTheme="majorHAnsi" w:eastAsia="Calibri" w:hAnsiTheme="majorHAnsi" w:cstheme="majorHAnsi"/>
        </w:rPr>
        <w:t>e.g.</w:t>
      </w:r>
      <w:r w:rsidRPr="004F01C3">
        <w:rPr>
          <w:rFonts w:asciiTheme="majorHAnsi" w:eastAsia="Calibri" w:hAnsiTheme="majorHAnsi" w:cstheme="majorHAnsi"/>
        </w:rPr>
        <w:t xml:space="preserve"> VAT exemptions) are a useful tool to lead a market to more energy efficient products while being less intrusive, and easier to verify, than MEPS.  Those elements of the project design seem to be well-placed and appropriately targeted in the project’s design</w:t>
      </w:r>
      <w:r w:rsidR="00AA65E8" w:rsidRPr="004F01C3">
        <w:rPr>
          <w:rFonts w:asciiTheme="majorHAnsi" w:eastAsia="Calibri" w:hAnsiTheme="majorHAnsi" w:cstheme="majorHAnsi"/>
        </w:rPr>
        <w:t>.</w:t>
      </w:r>
    </w:p>
    <w:p w:rsidR="00E62759" w:rsidRPr="004F01C3" w:rsidRDefault="00B50ACA">
      <w:pPr>
        <w:numPr>
          <w:ilvl w:val="0"/>
          <w:numId w:val="2"/>
        </w:numPr>
        <w:spacing w:after="200" w:line="276" w:lineRule="auto"/>
        <w:ind w:left="720" w:hanging="360"/>
        <w:jc w:val="both"/>
        <w:rPr>
          <w:rFonts w:asciiTheme="majorHAnsi" w:eastAsia="Calibri" w:hAnsiTheme="majorHAnsi" w:cstheme="majorHAnsi"/>
        </w:rPr>
      </w:pPr>
      <w:r w:rsidRPr="004F01C3">
        <w:rPr>
          <w:rFonts w:asciiTheme="majorHAnsi" w:eastAsia="Calibri" w:hAnsiTheme="majorHAnsi" w:cstheme="majorHAnsi"/>
        </w:rPr>
        <w:t xml:space="preserve">With </w:t>
      </w:r>
      <w:proofErr w:type="gramStart"/>
      <w:r w:rsidRPr="004F01C3">
        <w:rPr>
          <w:rFonts w:asciiTheme="majorHAnsi" w:eastAsia="Calibri" w:hAnsiTheme="majorHAnsi" w:cstheme="majorHAnsi"/>
        </w:rPr>
        <w:t xml:space="preserve">insufficient </w:t>
      </w:r>
      <w:r w:rsidR="009F0865" w:rsidRPr="004F01C3">
        <w:rPr>
          <w:rFonts w:asciiTheme="majorHAnsi" w:eastAsia="Calibri" w:hAnsiTheme="majorHAnsi" w:cstheme="majorHAnsi"/>
        </w:rPr>
        <w:t xml:space="preserve"> staff</w:t>
      </w:r>
      <w:proofErr w:type="gramEnd"/>
      <w:r w:rsidR="009F0865" w:rsidRPr="004F01C3">
        <w:rPr>
          <w:rFonts w:asciiTheme="majorHAnsi" w:eastAsia="Calibri" w:hAnsiTheme="majorHAnsi" w:cstheme="majorHAnsi"/>
        </w:rPr>
        <w:t xml:space="preserve"> </w:t>
      </w:r>
      <w:r w:rsidRPr="004F01C3">
        <w:rPr>
          <w:rFonts w:asciiTheme="majorHAnsi" w:eastAsia="Calibri" w:hAnsiTheme="majorHAnsi" w:cstheme="majorHAnsi"/>
        </w:rPr>
        <w:t xml:space="preserve">capacity, the RE-EE unit focused on a limited set of tasks focused on the </w:t>
      </w:r>
      <w:r w:rsidRPr="004F01C3">
        <w:rPr>
          <w:rFonts w:asciiTheme="majorHAnsi" w:eastAsia="Calibri" w:hAnsiTheme="majorHAnsi" w:cstheme="majorHAnsi"/>
          <w:b/>
          <w:bCs/>
        </w:rPr>
        <w:t>VAT exemption mechanism</w:t>
      </w:r>
      <w:r w:rsidRPr="004F01C3">
        <w:rPr>
          <w:rFonts w:asciiTheme="majorHAnsi" w:eastAsia="Calibri" w:hAnsiTheme="majorHAnsi" w:cstheme="majorHAnsi"/>
        </w:rPr>
        <w:t xml:space="preserve"> and has yet to build expertise with developing and implementing regulations.  Although the work done by the unit is useful and a good contribution to an important part of the project, it falls far short of the intended implementation in which a complete unit would be created which would, through involvement in a large number of project activities, build the necessary expertise to initiate, develop, implement and communicate about regulations and be able to independently take energy efficiency forward in the Seychelles.  Given the low number of staff and their lack of involvement in important parts of the project, it is doubtful that the Seychelles Energy Commission has yet built the capacity to continue and build on the work initiated by the project.  </w:t>
      </w:r>
    </w:p>
    <w:p w:rsidR="00AA65E8" w:rsidRPr="004F01C3" w:rsidRDefault="00B50ACA" w:rsidP="00AA65E8">
      <w:pPr>
        <w:numPr>
          <w:ilvl w:val="0"/>
          <w:numId w:val="2"/>
        </w:numPr>
        <w:spacing w:after="200" w:line="276" w:lineRule="auto"/>
        <w:ind w:left="720" w:hanging="360"/>
        <w:jc w:val="both"/>
        <w:rPr>
          <w:rFonts w:asciiTheme="majorHAnsi" w:eastAsia="Calibri" w:hAnsiTheme="majorHAnsi" w:cstheme="majorHAnsi"/>
        </w:rPr>
      </w:pPr>
      <w:r w:rsidRPr="004F01C3">
        <w:rPr>
          <w:rFonts w:asciiTheme="majorHAnsi" w:eastAsia="Calibri" w:hAnsiTheme="majorHAnsi" w:cstheme="majorHAnsi"/>
          <w:b/>
          <w:bCs/>
        </w:rPr>
        <w:t xml:space="preserve"> Informal collaboration</w:t>
      </w:r>
      <w:r w:rsidRPr="004F01C3">
        <w:rPr>
          <w:rFonts w:asciiTheme="majorHAnsi" w:eastAsia="Calibri" w:hAnsiTheme="majorHAnsi" w:cstheme="majorHAnsi"/>
        </w:rPr>
        <w:t xml:space="preserve"> with stakeholders seems to have been effective, however, in particular with retailers, a key stakeholder in any market transformation strategy.  There appears to have been some informal consultations with stakeholders as well as through the project steering committee, in which stakeholders were involved.  This is a good and effective alternative to a more formalised </w:t>
      </w:r>
      <w:r w:rsidR="00AA65E8" w:rsidRPr="004F01C3">
        <w:rPr>
          <w:rFonts w:asciiTheme="majorHAnsi" w:eastAsia="Calibri" w:hAnsiTheme="majorHAnsi" w:cstheme="majorHAnsi"/>
        </w:rPr>
        <w:t>collaboration;</w:t>
      </w:r>
      <w:r w:rsidRPr="004F01C3">
        <w:rPr>
          <w:rFonts w:asciiTheme="majorHAnsi" w:eastAsia="Calibri" w:hAnsiTheme="majorHAnsi" w:cstheme="majorHAnsi"/>
        </w:rPr>
        <w:t xml:space="preserve"> possibly even more effective as commercial and government parties do not always speak the same language and do not always operate at the same pace.  </w:t>
      </w:r>
    </w:p>
    <w:p w:rsidR="00AA65E8" w:rsidRPr="004F01C3" w:rsidRDefault="00B50ACA" w:rsidP="00AA65E8">
      <w:pPr>
        <w:numPr>
          <w:ilvl w:val="0"/>
          <w:numId w:val="2"/>
        </w:numPr>
        <w:spacing w:after="200" w:line="276" w:lineRule="auto"/>
        <w:ind w:left="720" w:hanging="360"/>
        <w:jc w:val="both"/>
        <w:rPr>
          <w:rFonts w:asciiTheme="majorHAnsi" w:eastAsia="Calibri" w:hAnsiTheme="majorHAnsi" w:cstheme="majorHAnsi"/>
        </w:rPr>
      </w:pPr>
      <w:r w:rsidRPr="004F01C3">
        <w:rPr>
          <w:rFonts w:asciiTheme="majorHAnsi" w:eastAsia="Calibri" w:hAnsiTheme="majorHAnsi" w:cstheme="majorHAnsi"/>
          <w:spacing w:val="4"/>
        </w:rPr>
        <w:t xml:space="preserve">Establishment of </w:t>
      </w:r>
      <w:r w:rsidRPr="004F01C3">
        <w:rPr>
          <w:rFonts w:asciiTheme="majorHAnsi" w:eastAsia="Calibri" w:hAnsiTheme="majorHAnsi" w:cstheme="majorHAnsi"/>
          <w:b/>
          <w:bCs/>
          <w:spacing w:val="4"/>
        </w:rPr>
        <w:t>energy and water resource use baselines</w:t>
      </w:r>
      <w:r w:rsidRPr="004F01C3">
        <w:rPr>
          <w:rFonts w:asciiTheme="majorHAnsi" w:eastAsia="Calibri" w:hAnsiTheme="majorHAnsi" w:cstheme="majorHAnsi"/>
          <w:spacing w:val="4"/>
        </w:rPr>
        <w:t>. Market research for the monitoring of prices &amp; standards;</w:t>
      </w:r>
    </w:p>
    <w:p w:rsidR="00AA65E8" w:rsidRPr="004F01C3" w:rsidRDefault="00B50ACA" w:rsidP="009F0865">
      <w:pPr>
        <w:numPr>
          <w:ilvl w:val="0"/>
          <w:numId w:val="2"/>
        </w:numPr>
        <w:spacing w:after="200" w:line="276" w:lineRule="auto"/>
        <w:ind w:left="720" w:hanging="360"/>
        <w:jc w:val="both"/>
        <w:rPr>
          <w:rFonts w:asciiTheme="majorHAnsi" w:eastAsia="Calibri" w:hAnsiTheme="majorHAnsi" w:cstheme="majorHAnsi"/>
        </w:rPr>
      </w:pPr>
      <w:r w:rsidRPr="004F01C3">
        <w:rPr>
          <w:rFonts w:asciiTheme="majorHAnsi" w:eastAsia="Calibri" w:hAnsiTheme="majorHAnsi" w:cstheme="majorHAnsi"/>
          <w:spacing w:val="4"/>
        </w:rPr>
        <w:t xml:space="preserve">Extension of the </w:t>
      </w:r>
      <w:r w:rsidRPr="004F01C3">
        <w:rPr>
          <w:rFonts w:asciiTheme="majorHAnsi" w:eastAsia="Calibri" w:hAnsiTheme="majorHAnsi" w:cstheme="majorHAnsi"/>
          <w:b/>
          <w:bCs/>
          <w:spacing w:val="4"/>
        </w:rPr>
        <w:t>VAT tax exemption scheme for additional energy efficiency appliances</w:t>
      </w:r>
      <w:r w:rsidRPr="004F01C3">
        <w:rPr>
          <w:rFonts w:asciiTheme="majorHAnsi" w:eastAsia="Calibri" w:hAnsiTheme="majorHAnsi" w:cstheme="majorHAnsi"/>
          <w:spacing w:val="4"/>
        </w:rPr>
        <w:t>, including air-conditioners, refrigerators, freezers, and washing machines. (The VAT exemption includes implementation of a system for differentiation of appliances that comply with energy efficiency requirements and qualify for VAT tax exemption and SEEREP financing. SEC has implemented an interim process that is essential for the proper functioning of the existing financial incentives put in place by the GoS (VAT exemption and SEEREP). This interim process includes technical validation of qualified energy efficient products - electrical appliances, solar water heaters, and PV systems. In the future, this may be extended to water saving devices or systems.</w:t>
      </w:r>
    </w:p>
    <w:p w:rsidR="00E62759" w:rsidRPr="004F01C3" w:rsidRDefault="00B50ACA" w:rsidP="00302EC7">
      <w:pPr>
        <w:numPr>
          <w:ilvl w:val="0"/>
          <w:numId w:val="2"/>
        </w:numPr>
        <w:spacing w:after="200" w:line="276" w:lineRule="auto"/>
        <w:ind w:left="720" w:hanging="360"/>
        <w:rPr>
          <w:rFonts w:asciiTheme="majorHAnsi" w:eastAsia="Calibri" w:hAnsiTheme="majorHAnsi" w:cstheme="majorHAnsi"/>
        </w:rPr>
      </w:pPr>
      <w:r w:rsidRPr="004F01C3">
        <w:rPr>
          <w:rFonts w:asciiTheme="majorHAnsi" w:eastAsia="Calibri" w:hAnsiTheme="majorHAnsi" w:cstheme="majorHAnsi"/>
          <w:spacing w:val="4"/>
        </w:rPr>
        <w:t>Review and re-launching of the SEEREP scheme of local banks which offers preferential loans for households, linked to a SMEs scheme operated through DBS. However, there has so far been very low demand.</w:t>
      </w:r>
    </w:p>
    <w:p w:rsidR="00302EC7" w:rsidRPr="004F01C3" w:rsidRDefault="00302EC7" w:rsidP="00302EC7">
      <w:pPr>
        <w:spacing w:after="200" w:line="276" w:lineRule="auto"/>
        <w:ind w:left="720"/>
        <w:rPr>
          <w:rFonts w:asciiTheme="majorHAnsi" w:eastAsia="Calibri" w:hAnsiTheme="majorHAnsi" w:cstheme="majorHAnsi"/>
        </w:rPr>
      </w:pPr>
    </w:p>
    <w:p w:rsidR="00E62759" w:rsidRDefault="00B50ACA">
      <w:pPr>
        <w:keepNext/>
        <w:keepLines/>
        <w:suppressAutoHyphens/>
        <w:spacing w:after="0" w:line="240" w:lineRule="auto"/>
        <w:jc w:val="both"/>
        <w:rPr>
          <w:rFonts w:asciiTheme="majorHAnsi" w:eastAsia="Calibri" w:hAnsiTheme="majorHAnsi" w:cstheme="majorHAnsi"/>
          <w:spacing w:val="4"/>
        </w:rPr>
      </w:pPr>
      <w:r w:rsidRPr="004F01C3">
        <w:rPr>
          <w:rFonts w:asciiTheme="majorHAnsi" w:eastAsia="Calibri" w:hAnsiTheme="majorHAnsi" w:cstheme="majorHAnsi"/>
          <w:spacing w:val="4"/>
        </w:rPr>
        <w:t xml:space="preserve">The TE rated </w:t>
      </w:r>
      <w:r w:rsidR="00302EC7" w:rsidRPr="004F01C3">
        <w:rPr>
          <w:rFonts w:asciiTheme="majorHAnsi" w:eastAsia="Calibri" w:hAnsiTheme="majorHAnsi" w:cstheme="majorHAnsi"/>
          <w:spacing w:val="4"/>
        </w:rPr>
        <w:t xml:space="preserve">overall </w:t>
      </w:r>
      <w:r w:rsidRPr="004F01C3">
        <w:rPr>
          <w:rFonts w:asciiTheme="majorHAnsi" w:eastAsia="Calibri" w:hAnsiTheme="majorHAnsi" w:cstheme="majorHAnsi"/>
          <w:spacing w:val="4"/>
        </w:rPr>
        <w:t xml:space="preserve">progress towards results as </w:t>
      </w:r>
      <w:r w:rsidR="00302EC7" w:rsidRPr="004F01C3">
        <w:rPr>
          <w:rFonts w:asciiTheme="majorHAnsi" w:eastAsia="Calibri" w:hAnsiTheme="majorHAnsi" w:cstheme="majorHAnsi"/>
          <w:spacing w:val="4"/>
        </w:rPr>
        <w:t>U</w:t>
      </w:r>
      <w:r w:rsidRPr="004F01C3">
        <w:rPr>
          <w:rFonts w:asciiTheme="majorHAnsi" w:eastAsia="Calibri" w:hAnsiTheme="majorHAnsi" w:cstheme="majorHAnsi"/>
          <w:spacing w:val="4"/>
        </w:rPr>
        <w:t xml:space="preserve">nsatisfactory with </w:t>
      </w:r>
      <w:r w:rsidR="002B77D5" w:rsidRPr="004F01C3">
        <w:rPr>
          <w:rFonts w:asciiTheme="majorHAnsi" w:eastAsia="Calibri" w:hAnsiTheme="majorHAnsi" w:cstheme="majorHAnsi"/>
          <w:spacing w:val="4"/>
        </w:rPr>
        <w:t>impact of results minimal towards environmental change and negligible towards progress of outcomes.</w:t>
      </w:r>
    </w:p>
    <w:p w:rsidR="00C319FA" w:rsidRDefault="00C319FA">
      <w:pPr>
        <w:keepNext/>
        <w:keepLines/>
        <w:suppressAutoHyphens/>
        <w:spacing w:after="0" w:line="240" w:lineRule="auto"/>
        <w:jc w:val="both"/>
        <w:rPr>
          <w:rFonts w:asciiTheme="majorHAnsi" w:eastAsia="Calibri" w:hAnsiTheme="majorHAnsi" w:cstheme="majorHAnsi"/>
          <w:spacing w:val="4"/>
        </w:rPr>
      </w:pPr>
    </w:p>
    <w:p w:rsidR="00C319FA" w:rsidRPr="004F01C3" w:rsidRDefault="00C319FA">
      <w:pPr>
        <w:keepNext/>
        <w:keepLines/>
        <w:suppressAutoHyphens/>
        <w:spacing w:after="0" w:line="240" w:lineRule="auto"/>
        <w:jc w:val="both"/>
        <w:rPr>
          <w:rFonts w:asciiTheme="majorHAnsi" w:eastAsia="Calibri" w:hAnsiTheme="majorHAnsi" w:cstheme="majorHAnsi"/>
          <w:spacing w:val="4"/>
        </w:rPr>
      </w:pPr>
      <w:r>
        <w:rPr>
          <w:rFonts w:asciiTheme="majorHAnsi" w:eastAsia="Calibri" w:hAnsiTheme="majorHAnsi" w:cstheme="majorHAnsi"/>
          <w:spacing w:val="4"/>
        </w:rPr>
        <w:t>In conclusion UNDP considers the Terminal Evaluator’s comments and recommendations acceptable but is not in agreement with all of the findings as some issues were and are beyond the scope of the project to address.</w:t>
      </w:r>
    </w:p>
    <w:p w:rsidR="00AA65E8" w:rsidRPr="004F01C3" w:rsidRDefault="00AA65E8">
      <w:pPr>
        <w:rPr>
          <w:rFonts w:asciiTheme="majorHAnsi" w:eastAsia="Calibri" w:hAnsiTheme="majorHAnsi" w:cstheme="majorHAnsi"/>
          <w:b/>
          <w:spacing w:val="-2"/>
        </w:rPr>
      </w:pPr>
    </w:p>
    <w:p w:rsidR="004F01C3" w:rsidRDefault="004F01C3">
      <w:pPr>
        <w:rPr>
          <w:rFonts w:asciiTheme="majorHAnsi" w:eastAsia="Calibri" w:hAnsiTheme="majorHAnsi" w:cstheme="majorHAnsi"/>
          <w:spacing w:val="4"/>
          <w:shd w:val="clear" w:color="auto" w:fill="FFFF00"/>
        </w:rPr>
      </w:pPr>
    </w:p>
    <w:p w:rsidR="00C319FA" w:rsidRPr="004F01C3" w:rsidRDefault="00C319FA">
      <w:pPr>
        <w:rPr>
          <w:rFonts w:asciiTheme="majorHAnsi" w:eastAsia="Calibri" w:hAnsiTheme="majorHAnsi" w:cstheme="majorHAnsi"/>
          <w:b/>
          <w:spacing w:val="-2"/>
        </w:rPr>
      </w:pPr>
    </w:p>
    <w:p w:rsidR="004F01C3" w:rsidRPr="004F01C3" w:rsidRDefault="004F01C3">
      <w:pPr>
        <w:rPr>
          <w:rFonts w:asciiTheme="majorHAnsi" w:hAnsiTheme="majorHAnsi" w:cstheme="majorHAnsi"/>
        </w:rPr>
      </w:pPr>
    </w:p>
    <w:p w:rsidR="00E41CD5" w:rsidRPr="004F01C3" w:rsidRDefault="00E41CD5">
      <w:pPr>
        <w:rPr>
          <w:rFonts w:asciiTheme="majorHAnsi" w:hAnsiTheme="majorHAnsi" w:cstheme="majorHAnsi"/>
        </w:rPr>
      </w:pPr>
    </w:p>
    <w:p w:rsidR="00E62759" w:rsidRPr="004F01C3" w:rsidRDefault="00B85E3E">
      <w:pPr>
        <w:spacing w:after="200" w:line="276" w:lineRule="auto"/>
        <w:jc w:val="both"/>
        <w:rPr>
          <w:rFonts w:asciiTheme="majorHAnsi" w:eastAsia="Calibri" w:hAnsiTheme="majorHAnsi" w:cstheme="majorHAnsi"/>
          <w:b/>
        </w:rPr>
      </w:pPr>
      <w:r w:rsidRPr="004F01C3">
        <w:rPr>
          <w:rFonts w:asciiTheme="majorHAnsi" w:eastAsia="Calibri" w:hAnsiTheme="majorHAnsi" w:cstheme="majorHAnsi"/>
          <w:b/>
        </w:rPr>
        <w:t xml:space="preserve">  RECOMMENDATIONS AND MANAGEMENT RESPONSE</w:t>
      </w:r>
    </w:p>
    <w:tbl>
      <w:tblPr>
        <w:tblW w:w="0" w:type="auto"/>
        <w:tblInd w:w="108" w:type="dxa"/>
        <w:tblCellMar>
          <w:left w:w="10" w:type="dxa"/>
          <w:right w:w="10" w:type="dxa"/>
        </w:tblCellMar>
        <w:tblLook w:val="0000" w:firstRow="0" w:lastRow="0" w:firstColumn="0" w:lastColumn="0" w:noHBand="0" w:noVBand="0"/>
      </w:tblPr>
      <w:tblGrid>
        <w:gridCol w:w="2807"/>
        <w:gridCol w:w="1915"/>
        <w:gridCol w:w="1973"/>
        <w:gridCol w:w="1205"/>
        <w:gridCol w:w="1008"/>
      </w:tblGrid>
      <w:tr w:rsidR="00E62759" w:rsidRPr="004F01C3">
        <w:tc>
          <w:tcPr>
            <w:tcW w:w="9216" w:type="dxa"/>
            <w:gridSpan w:val="5"/>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B50ACA" w:rsidP="00B85E3E">
            <w:pPr>
              <w:spacing w:before="200" w:after="200" w:line="276" w:lineRule="auto"/>
              <w:rPr>
                <w:rFonts w:asciiTheme="majorHAnsi" w:hAnsiTheme="majorHAnsi" w:cstheme="majorHAnsi"/>
              </w:rPr>
            </w:pPr>
            <w:r w:rsidRPr="004F01C3">
              <w:rPr>
                <w:rFonts w:asciiTheme="majorHAnsi" w:eastAsia="Calibri" w:hAnsiTheme="majorHAnsi" w:cstheme="majorHAnsi"/>
                <w:b/>
              </w:rPr>
              <w:t xml:space="preserve">Terminal Evaluation recommendation </w:t>
            </w:r>
            <w:r w:rsidR="00AA65E8" w:rsidRPr="004F01C3">
              <w:rPr>
                <w:rFonts w:asciiTheme="majorHAnsi" w:eastAsia="Calibri" w:hAnsiTheme="majorHAnsi" w:cstheme="majorHAnsi"/>
                <w:b/>
              </w:rPr>
              <w:t>1.</w:t>
            </w:r>
            <w:r w:rsidRPr="004F01C3">
              <w:rPr>
                <w:rFonts w:asciiTheme="majorHAnsi" w:eastAsia="Calibri" w:hAnsiTheme="majorHAnsi" w:cstheme="majorHAnsi"/>
                <w:b/>
              </w:rPr>
              <w:t xml:space="preserve"> </w:t>
            </w:r>
            <w:r w:rsidR="00F362E4" w:rsidRPr="004F01C3">
              <w:rPr>
                <w:rFonts w:asciiTheme="majorHAnsi" w:hAnsiTheme="majorHAnsi" w:cstheme="majorHAnsi"/>
              </w:rPr>
              <w:t xml:space="preserve">The Government of the Seychelles is recommended to continue, the development of framework legislation for energy efficiency and once a strategy has been agreed and a collaboration with an experienced partner established, to move speedily to develop and implement appliance MEPS and labels.  The VAT exemption mechanism, now used independently, can then be used to smoothen the introduction of MEPS.  </w:t>
            </w:r>
          </w:p>
          <w:p w:rsidR="00E62759" w:rsidRPr="004F01C3" w:rsidRDefault="00B50ACA">
            <w:pPr>
              <w:spacing w:after="0" w:line="240" w:lineRule="auto"/>
              <w:rPr>
                <w:rFonts w:asciiTheme="majorHAnsi" w:eastAsia="Calibri" w:hAnsiTheme="majorHAnsi" w:cstheme="majorHAnsi"/>
              </w:rPr>
            </w:pPr>
            <w:r w:rsidRPr="004F01C3">
              <w:rPr>
                <w:rFonts w:asciiTheme="majorHAnsi" w:eastAsia="Calibri" w:hAnsiTheme="majorHAnsi" w:cstheme="majorHAnsi"/>
                <w:b/>
              </w:rPr>
              <w:t>Recommendation to:</w:t>
            </w:r>
            <w:r w:rsidRPr="004F01C3">
              <w:rPr>
                <w:rFonts w:asciiTheme="majorHAnsi" w:eastAsia="Calibri" w:hAnsiTheme="majorHAnsi" w:cstheme="majorHAnsi"/>
              </w:rPr>
              <w:t xml:space="preserve"> MEECC </w:t>
            </w:r>
            <w:r w:rsidR="00487D04" w:rsidRPr="004F01C3">
              <w:rPr>
                <w:rFonts w:asciiTheme="majorHAnsi" w:eastAsia="Calibri" w:hAnsiTheme="majorHAnsi" w:cstheme="majorHAnsi"/>
              </w:rPr>
              <w:t xml:space="preserve">&amp; </w:t>
            </w:r>
            <w:r w:rsidRPr="004F01C3">
              <w:rPr>
                <w:rFonts w:asciiTheme="majorHAnsi" w:eastAsia="Calibri" w:hAnsiTheme="majorHAnsi" w:cstheme="majorHAnsi"/>
              </w:rPr>
              <w:t xml:space="preserve">SEC. </w:t>
            </w:r>
          </w:p>
          <w:p w:rsidR="00E62759" w:rsidRPr="004F01C3" w:rsidRDefault="00E62759">
            <w:pPr>
              <w:spacing w:after="0" w:line="240" w:lineRule="auto"/>
              <w:rPr>
                <w:rFonts w:asciiTheme="majorHAnsi" w:eastAsia="Calibri" w:hAnsiTheme="majorHAnsi" w:cstheme="majorHAnsi"/>
              </w:rPr>
            </w:pPr>
          </w:p>
        </w:tc>
      </w:tr>
      <w:tr w:rsidR="00E62759" w:rsidRPr="004F01C3">
        <w:tc>
          <w:tcPr>
            <w:tcW w:w="9216" w:type="dxa"/>
            <w:gridSpan w:val="5"/>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b/>
              </w:rPr>
            </w:pPr>
            <w:r w:rsidRPr="004F01C3">
              <w:rPr>
                <w:rFonts w:asciiTheme="majorHAnsi" w:eastAsia="Calibri" w:hAnsiTheme="majorHAnsi" w:cstheme="majorHAnsi"/>
                <w:b/>
              </w:rPr>
              <w:t xml:space="preserve">Management response: </w:t>
            </w:r>
            <w:r w:rsidR="009F6759" w:rsidRPr="004F01C3">
              <w:rPr>
                <w:rFonts w:asciiTheme="majorHAnsi" w:eastAsia="Calibri" w:hAnsiTheme="majorHAnsi" w:cstheme="majorHAnsi"/>
                <w:bCs/>
              </w:rPr>
              <w:t>Management concurs with the recommendation. A c</w:t>
            </w:r>
            <w:r w:rsidRPr="004F01C3">
              <w:rPr>
                <w:rFonts w:asciiTheme="majorHAnsi" w:eastAsia="Calibri" w:hAnsiTheme="majorHAnsi" w:cstheme="majorHAnsi"/>
              </w:rPr>
              <w:t xml:space="preserve">onsultancy for development of legislation for EE is </w:t>
            </w:r>
            <w:r w:rsidR="009F6759" w:rsidRPr="004F01C3">
              <w:rPr>
                <w:rFonts w:asciiTheme="majorHAnsi" w:eastAsia="Calibri" w:hAnsiTheme="majorHAnsi" w:cstheme="majorHAnsi"/>
              </w:rPr>
              <w:t xml:space="preserve">currently </w:t>
            </w:r>
            <w:r w:rsidRPr="004F01C3">
              <w:rPr>
                <w:rFonts w:asciiTheme="majorHAnsi" w:eastAsia="Calibri" w:hAnsiTheme="majorHAnsi" w:cstheme="majorHAnsi"/>
              </w:rPr>
              <w:t xml:space="preserve">on-going and final report to be submitted to SEC </w:t>
            </w:r>
            <w:r w:rsidR="00AA65E8" w:rsidRPr="004F01C3">
              <w:rPr>
                <w:rFonts w:asciiTheme="majorHAnsi" w:eastAsia="Calibri" w:hAnsiTheme="majorHAnsi" w:cstheme="majorHAnsi"/>
              </w:rPr>
              <w:t xml:space="preserve">by </w:t>
            </w:r>
            <w:r w:rsidR="009F6759" w:rsidRPr="004F01C3">
              <w:rPr>
                <w:rFonts w:asciiTheme="majorHAnsi" w:eastAsia="Calibri" w:hAnsiTheme="majorHAnsi" w:cstheme="majorHAnsi"/>
              </w:rPr>
              <w:t xml:space="preserve">latter half of </w:t>
            </w:r>
            <w:r w:rsidR="00AA65E8" w:rsidRPr="004F01C3">
              <w:rPr>
                <w:rFonts w:asciiTheme="majorHAnsi" w:eastAsia="Calibri" w:hAnsiTheme="majorHAnsi" w:cstheme="majorHAnsi"/>
              </w:rPr>
              <w:t xml:space="preserve">2019. SEC </w:t>
            </w:r>
            <w:r w:rsidRPr="004F01C3">
              <w:rPr>
                <w:rFonts w:asciiTheme="majorHAnsi" w:eastAsia="Calibri" w:hAnsiTheme="majorHAnsi" w:cstheme="majorHAnsi"/>
              </w:rPr>
              <w:t xml:space="preserve">will </w:t>
            </w:r>
            <w:r w:rsidR="009F6759" w:rsidRPr="004F01C3">
              <w:rPr>
                <w:rFonts w:asciiTheme="majorHAnsi" w:eastAsia="Calibri" w:hAnsiTheme="majorHAnsi" w:cstheme="majorHAnsi"/>
              </w:rPr>
              <w:t xml:space="preserve">then </w:t>
            </w:r>
            <w:r w:rsidRPr="004F01C3">
              <w:rPr>
                <w:rFonts w:asciiTheme="majorHAnsi" w:eastAsia="Calibri" w:hAnsiTheme="majorHAnsi" w:cstheme="majorHAnsi"/>
              </w:rPr>
              <w:t xml:space="preserve">proceed with the necessary procedures for enactment. </w:t>
            </w:r>
            <w:r w:rsidR="00AA65E8" w:rsidRPr="004F01C3">
              <w:rPr>
                <w:rFonts w:asciiTheme="majorHAnsi" w:eastAsia="Calibri" w:hAnsiTheme="majorHAnsi" w:cstheme="majorHAnsi"/>
              </w:rPr>
              <w:t>Subsidiary</w:t>
            </w:r>
            <w:r w:rsidRPr="004F01C3">
              <w:rPr>
                <w:rFonts w:asciiTheme="majorHAnsi" w:eastAsia="Calibri" w:hAnsiTheme="majorHAnsi" w:cstheme="majorHAnsi"/>
              </w:rPr>
              <w:t xml:space="preserve"> legislation such regulation for MEPS and labels </w:t>
            </w:r>
            <w:r w:rsidR="00AA65E8" w:rsidRPr="004F01C3">
              <w:rPr>
                <w:rFonts w:asciiTheme="majorHAnsi" w:eastAsia="Calibri" w:hAnsiTheme="majorHAnsi" w:cstheme="majorHAnsi"/>
              </w:rPr>
              <w:t>will</w:t>
            </w:r>
            <w:r w:rsidRPr="004F01C3">
              <w:rPr>
                <w:rFonts w:asciiTheme="majorHAnsi" w:eastAsia="Calibri" w:hAnsiTheme="majorHAnsi" w:cstheme="majorHAnsi"/>
              </w:rPr>
              <w:t xml:space="preserve"> be developed</w:t>
            </w:r>
            <w:r w:rsidR="00AA65E8" w:rsidRPr="004F01C3">
              <w:rPr>
                <w:rFonts w:asciiTheme="majorHAnsi" w:eastAsia="Calibri" w:hAnsiTheme="majorHAnsi" w:cstheme="majorHAnsi"/>
              </w:rPr>
              <w:t xml:space="preserve"> in due course</w:t>
            </w:r>
            <w:r w:rsidR="009F6759" w:rsidRPr="004F01C3">
              <w:rPr>
                <w:rFonts w:asciiTheme="majorHAnsi" w:eastAsia="Calibri" w:hAnsiTheme="majorHAnsi" w:cstheme="majorHAnsi"/>
              </w:rPr>
              <w:t>- but that will fall outside the scope and timeline of the project. It is hoped that the project created the necessary platform for Seychelles to realize its intended ambitions for a renewable energy future.</w:t>
            </w:r>
          </w:p>
        </w:tc>
      </w:tr>
      <w:tr w:rsidR="00E62759" w:rsidRPr="004F01C3">
        <w:tc>
          <w:tcPr>
            <w:tcW w:w="2959" w:type="dxa"/>
            <w:vMerge w:val="restart"/>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Key action(s)</w:t>
            </w: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Time frame</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Responsible unit(s)</w:t>
            </w:r>
          </w:p>
        </w:tc>
        <w:tc>
          <w:tcPr>
            <w:tcW w:w="2238" w:type="dxa"/>
            <w:gridSpan w:val="2"/>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B50ACA" w:rsidP="00AA65E8">
            <w:pPr>
              <w:tabs>
                <w:tab w:val="left" w:pos="1080"/>
              </w:tabs>
              <w:spacing w:after="200" w:line="276" w:lineRule="auto"/>
              <w:jc w:val="center"/>
              <w:rPr>
                <w:rFonts w:asciiTheme="majorHAnsi" w:eastAsia="Calibri" w:hAnsiTheme="majorHAnsi" w:cstheme="majorHAnsi"/>
              </w:rPr>
            </w:pPr>
            <w:r w:rsidRPr="004F01C3">
              <w:rPr>
                <w:rFonts w:asciiTheme="majorHAnsi" w:eastAsia="Calibri" w:hAnsiTheme="majorHAnsi" w:cstheme="majorHAnsi"/>
                <w:b/>
              </w:rPr>
              <w:t>Tracking</w:t>
            </w:r>
          </w:p>
        </w:tc>
      </w:tr>
      <w:tr w:rsidR="00E62759" w:rsidRPr="004F01C3">
        <w:tc>
          <w:tcPr>
            <w:tcW w:w="2959" w:type="dxa"/>
            <w:vMerge/>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E62759">
            <w:pPr>
              <w:spacing w:after="200" w:line="276" w:lineRule="auto"/>
              <w:rPr>
                <w:rFonts w:asciiTheme="majorHAnsi" w:eastAsia="Calibri" w:hAnsiTheme="majorHAnsi" w:cstheme="majorHAnsi"/>
              </w:rPr>
            </w:pPr>
          </w:p>
        </w:tc>
        <w:tc>
          <w:tcPr>
            <w:tcW w:w="1982" w:type="dxa"/>
            <w:vMerge/>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E62759">
            <w:pPr>
              <w:spacing w:after="200" w:line="276" w:lineRule="auto"/>
              <w:rPr>
                <w:rFonts w:asciiTheme="majorHAnsi" w:eastAsia="Calibri" w:hAnsiTheme="majorHAnsi" w:cstheme="majorHAnsi"/>
              </w:rPr>
            </w:pPr>
          </w:p>
        </w:tc>
        <w:tc>
          <w:tcPr>
            <w:tcW w:w="2037" w:type="dxa"/>
            <w:vMerge/>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E62759">
            <w:pPr>
              <w:spacing w:after="200" w:line="276" w:lineRule="auto"/>
              <w:rPr>
                <w:rFonts w:asciiTheme="majorHAnsi" w:eastAsia="Calibri" w:hAnsiTheme="majorHAnsi" w:cstheme="majorHAns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Comments</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Status</w:t>
            </w:r>
          </w:p>
        </w:tc>
      </w:tr>
      <w:tr w:rsidR="00E62759" w:rsidRPr="004F01C3">
        <w:trPr>
          <w:trHeight w:val="1"/>
        </w:trPr>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 xml:space="preserve">1.1 Consultant </w:t>
            </w:r>
            <w:r w:rsidR="00AA65E8" w:rsidRPr="004F01C3">
              <w:rPr>
                <w:rFonts w:asciiTheme="majorHAnsi" w:eastAsia="Calibri" w:hAnsiTheme="majorHAnsi" w:cstheme="majorHAnsi"/>
              </w:rPr>
              <w:t>to f</w:t>
            </w:r>
            <w:r w:rsidRPr="004F01C3">
              <w:rPr>
                <w:rFonts w:asciiTheme="majorHAnsi" w:eastAsia="Calibri" w:hAnsiTheme="majorHAnsi" w:cstheme="majorHAnsi"/>
              </w:rPr>
              <w:t xml:space="preserve">inalized Energy Legislation report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9F6759">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September 2019</w:t>
            </w:r>
            <w:r w:rsidR="00B50ACA" w:rsidRPr="004F01C3">
              <w:rPr>
                <w:rFonts w:asciiTheme="majorHAnsi" w:eastAsia="Calibri" w:hAnsiTheme="majorHAnsi" w:cstheme="majorHAnsi"/>
              </w:rPr>
              <w:t xml:space="preserve">  </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SEC</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r>
      <w:tr w:rsidR="00E62759" w:rsidRPr="004F01C3">
        <w:trPr>
          <w:trHeight w:val="1"/>
        </w:trPr>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 xml:space="preserve">1.2 SEC </w:t>
            </w:r>
            <w:r w:rsidR="00AA65E8" w:rsidRPr="004F01C3">
              <w:rPr>
                <w:rFonts w:asciiTheme="majorHAnsi" w:eastAsia="Calibri" w:hAnsiTheme="majorHAnsi" w:cstheme="majorHAnsi"/>
              </w:rPr>
              <w:t xml:space="preserve">to </w:t>
            </w:r>
            <w:r w:rsidRPr="004F01C3">
              <w:rPr>
                <w:rFonts w:asciiTheme="majorHAnsi" w:eastAsia="Calibri" w:hAnsiTheme="majorHAnsi" w:cstheme="majorHAnsi"/>
              </w:rPr>
              <w:t>submit</w:t>
            </w:r>
            <w:r w:rsidR="00AA65E8" w:rsidRPr="004F01C3">
              <w:rPr>
                <w:rFonts w:asciiTheme="majorHAnsi" w:eastAsia="Calibri" w:hAnsiTheme="majorHAnsi" w:cstheme="majorHAnsi"/>
              </w:rPr>
              <w:t xml:space="preserve"> to</w:t>
            </w:r>
            <w:r w:rsidRPr="004F01C3">
              <w:rPr>
                <w:rFonts w:asciiTheme="majorHAnsi" w:eastAsia="Calibri" w:hAnsiTheme="majorHAnsi" w:cstheme="majorHAnsi"/>
              </w:rPr>
              <w:t xml:space="preserve"> Attorney General Office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9F6759">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December 2019</w:t>
            </w:r>
            <w:r w:rsidR="00B50ACA" w:rsidRPr="004F01C3">
              <w:rPr>
                <w:rFonts w:asciiTheme="majorHAnsi" w:eastAsia="Calibri" w:hAnsiTheme="majorHAnsi" w:cstheme="majorHAnsi"/>
              </w:rPr>
              <w:t xml:space="preserve"> </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SEC</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r>
      <w:tr w:rsidR="00E62759" w:rsidRPr="004F01C3">
        <w:trPr>
          <w:trHeight w:val="1"/>
        </w:trPr>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 xml:space="preserve">1.3 Attorney General Office develop the White paper/ Green paper legislation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9F6759">
            <w:pPr>
              <w:spacing w:after="200" w:line="276" w:lineRule="auto"/>
              <w:rPr>
                <w:rFonts w:asciiTheme="majorHAnsi" w:eastAsia="Calibri" w:hAnsiTheme="majorHAnsi" w:cstheme="majorHAnsi"/>
              </w:rPr>
            </w:pPr>
            <w:r w:rsidRPr="004F01C3">
              <w:rPr>
                <w:rFonts w:asciiTheme="majorHAnsi" w:eastAsia="Calibri" w:hAnsiTheme="majorHAnsi" w:cstheme="majorHAnsi"/>
              </w:rPr>
              <w:t>April 2020</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 xml:space="preserve">Attorney General Office </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r>
    </w:tbl>
    <w:p w:rsidR="00E62759" w:rsidRPr="004F01C3" w:rsidRDefault="00E62759">
      <w:pPr>
        <w:tabs>
          <w:tab w:val="left" w:pos="1080"/>
        </w:tabs>
        <w:spacing w:after="200" w:line="276" w:lineRule="auto"/>
        <w:jc w:val="both"/>
        <w:rPr>
          <w:rFonts w:asciiTheme="majorHAnsi" w:eastAsia="Calibri" w:hAnsiTheme="majorHAnsi" w:cstheme="majorHAnsi"/>
        </w:rPr>
      </w:pPr>
    </w:p>
    <w:tbl>
      <w:tblPr>
        <w:tblW w:w="0" w:type="auto"/>
        <w:tblInd w:w="108" w:type="dxa"/>
        <w:tblCellMar>
          <w:left w:w="10" w:type="dxa"/>
          <w:right w:w="10" w:type="dxa"/>
        </w:tblCellMar>
        <w:tblLook w:val="0000" w:firstRow="0" w:lastRow="0" w:firstColumn="0" w:lastColumn="0" w:noHBand="0" w:noVBand="0"/>
      </w:tblPr>
      <w:tblGrid>
        <w:gridCol w:w="2852"/>
        <w:gridCol w:w="1898"/>
        <w:gridCol w:w="1986"/>
        <w:gridCol w:w="1206"/>
        <w:gridCol w:w="966"/>
      </w:tblGrid>
      <w:tr w:rsidR="00E62759" w:rsidRPr="004F01C3" w:rsidTr="00487D04">
        <w:trPr>
          <w:trHeight w:val="1"/>
        </w:trPr>
        <w:tc>
          <w:tcPr>
            <w:tcW w:w="8908" w:type="dxa"/>
            <w:gridSpan w:val="5"/>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9F6759" w:rsidRPr="004F01C3" w:rsidRDefault="00B50ACA" w:rsidP="00B85E3E">
            <w:pPr>
              <w:spacing w:before="200" w:after="200" w:line="276" w:lineRule="auto"/>
              <w:rPr>
                <w:rFonts w:asciiTheme="majorHAnsi" w:hAnsiTheme="majorHAnsi" w:cstheme="majorHAnsi"/>
              </w:rPr>
            </w:pPr>
            <w:r w:rsidRPr="004F01C3">
              <w:rPr>
                <w:rFonts w:asciiTheme="majorHAnsi" w:eastAsia="Calibri" w:hAnsiTheme="majorHAnsi" w:cstheme="majorHAnsi"/>
                <w:b/>
              </w:rPr>
              <w:t xml:space="preserve">Terminal Evaluation recommendation 2. </w:t>
            </w:r>
            <w:r w:rsidR="009F6759" w:rsidRPr="004F01C3">
              <w:rPr>
                <w:rFonts w:asciiTheme="majorHAnsi" w:hAnsiTheme="majorHAnsi" w:cstheme="majorHAnsi"/>
              </w:rPr>
              <w:t xml:space="preserve">Project designs need better reviews, including checks on internal consistency and whether baseline information is complete and has been adequately addressed in the project’s strategy.  This should also include a check on the project’s strategy and whether this is aligned with the experience and capacity of a country’s government and market parties.  </w:t>
            </w:r>
          </w:p>
          <w:p w:rsidR="00E62759" w:rsidRPr="004F01C3" w:rsidRDefault="009F6759" w:rsidP="009F6759">
            <w:pPr>
              <w:spacing w:after="0" w:line="240" w:lineRule="auto"/>
              <w:rPr>
                <w:rFonts w:asciiTheme="majorHAnsi" w:eastAsia="Calibri" w:hAnsiTheme="majorHAnsi" w:cstheme="majorHAnsi"/>
              </w:rPr>
            </w:pPr>
            <w:r w:rsidRPr="004F01C3">
              <w:rPr>
                <w:rFonts w:asciiTheme="majorHAnsi" w:eastAsia="Calibri" w:hAnsiTheme="majorHAnsi" w:cstheme="majorHAnsi"/>
                <w:b/>
              </w:rPr>
              <w:t xml:space="preserve">Recommendation </w:t>
            </w:r>
            <w:proofErr w:type="gramStart"/>
            <w:r w:rsidRPr="004F01C3">
              <w:rPr>
                <w:rFonts w:asciiTheme="majorHAnsi" w:eastAsia="Calibri" w:hAnsiTheme="majorHAnsi" w:cstheme="majorHAnsi"/>
                <w:b/>
              </w:rPr>
              <w:t>to:</w:t>
            </w:r>
            <w:proofErr w:type="gramEnd"/>
            <w:r w:rsidRPr="004F01C3">
              <w:rPr>
                <w:rFonts w:asciiTheme="majorHAnsi" w:eastAsia="Calibri" w:hAnsiTheme="majorHAnsi" w:cstheme="majorHAnsi"/>
              </w:rPr>
              <w:t xml:space="preserve"> UNDP, MEECC and others  </w:t>
            </w:r>
          </w:p>
          <w:p w:rsidR="009F6759" w:rsidRPr="004F01C3" w:rsidRDefault="009F6759" w:rsidP="009F6759">
            <w:pPr>
              <w:spacing w:after="0" w:line="240" w:lineRule="auto"/>
              <w:rPr>
                <w:rFonts w:asciiTheme="majorHAnsi" w:eastAsia="Calibri" w:hAnsiTheme="majorHAnsi" w:cstheme="majorHAnsi"/>
              </w:rPr>
            </w:pPr>
          </w:p>
        </w:tc>
      </w:tr>
      <w:tr w:rsidR="00E62759" w:rsidRPr="004F01C3" w:rsidTr="00487D04">
        <w:trPr>
          <w:trHeight w:val="1"/>
        </w:trPr>
        <w:tc>
          <w:tcPr>
            <w:tcW w:w="8908" w:type="dxa"/>
            <w:gridSpan w:val="5"/>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CB7417" w:rsidRDefault="00CB7417">
            <w:pPr>
              <w:tabs>
                <w:tab w:val="left" w:pos="1080"/>
              </w:tabs>
              <w:spacing w:after="200" w:line="276" w:lineRule="auto"/>
              <w:jc w:val="both"/>
              <w:rPr>
                <w:rFonts w:asciiTheme="majorHAnsi" w:eastAsia="Calibri" w:hAnsiTheme="majorHAnsi" w:cstheme="majorHAnsi"/>
                <w:b/>
              </w:rPr>
            </w:pPr>
          </w:p>
          <w:p w:rsidR="00E62759" w:rsidRPr="004F01C3" w:rsidRDefault="00B50ACA">
            <w:pPr>
              <w:tabs>
                <w:tab w:val="left" w:pos="1080"/>
              </w:tabs>
              <w:spacing w:after="200" w:line="276" w:lineRule="auto"/>
              <w:jc w:val="both"/>
              <w:rPr>
                <w:rFonts w:asciiTheme="majorHAnsi" w:eastAsia="Calibri" w:hAnsiTheme="majorHAnsi" w:cstheme="majorHAnsi"/>
                <w:bCs/>
              </w:rPr>
            </w:pPr>
            <w:r w:rsidRPr="004F01C3">
              <w:rPr>
                <w:rFonts w:asciiTheme="majorHAnsi" w:eastAsia="Calibri" w:hAnsiTheme="majorHAnsi" w:cstheme="majorHAnsi"/>
                <w:b/>
              </w:rPr>
              <w:t xml:space="preserve">Management response: </w:t>
            </w:r>
            <w:r w:rsidR="009F6759" w:rsidRPr="004F01C3">
              <w:rPr>
                <w:rFonts w:asciiTheme="majorHAnsi" w:eastAsia="Calibri" w:hAnsiTheme="majorHAnsi" w:cstheme="majorHAnsi"/>
                <w:b/>
              </w:rPr>
              <w:t xml:space="preserve"> </w:t>
            </w:r>
            <w:r w:rsidR="009F6759" w:rsidRPr="004F01C3">
              <w:rPr>
                <w:rFonts w:asciiTheme="majorHAnsi" w:eastAsia="Calibri" w:hAnsiTheme="majorHAnsi" w:cstheme="majorHAnsi"/>
                <w:bCs/>
              </w:rPr>
              <w:t xml:space="preserve">Management does not fully concur with this recommendation. While UNDP can support with the reviewing project design and ensuring it passes the robustness </w:t>
            </w:r>
            <w:proofErr w:type="gramStart"/>
            <w:r w:rsidR="009F6759" w:rsidRPr="004F01C3">
              <w:rPr>
                <w:rFonts w:asciiTheme="majorHAnsi" w:eastAsia="Calibri" w:hAnsiTheme="majorHAnsi" w:cstheme="majorHAnsi"/>
                <w:bCs/>
              </w:rPr>
              <w:t xml:space="preserve">checks,  </w:t>
            </w:r>
            <w:r w:rsidR="008F6165" w:rsidRPr="004F01C3">
              <w:rPr>
                <w:rFonts w:asciiTheme="majorHAnsi" w:hAnsiTheme="majorHAnsi" w:cstheme="majorHAnsi"/>
              </w:rPr>
              <w:t>the</w:t>
            </w:r>
            <w:proofErr w:type="gramEnd"/>
            <w:r w:rsidR="008F6165" w:rsidRPr="004F01C3">
              <w:rPr>
                <w:rFonts w:asciiTheme="majorHAnsi" w:hAnsiTheme="majorHAnsi" w:cstheme="majorHAnsi"/>
              </w:rPr>
              <w:t xml:space="preserve"> overall  scope of project design and </w:t>
            </w:r>
            <w:proofErr w:type="spellStart"/>
            <w:r w:rsidR="008F6165" w:rsidRPr="004F01C3">
              <w:rPr>
                <w:rFonts w:asciiTheme="majorHAnsi" w:hAnsiTheme="majorHAnsi" w:cstheme="majorHAnsi"/>
              </w:rPr>
              <w:t>logframe</w:t>
            </w:r>
            <w:proofErr w:type="spellEnd"/>
            <w:r w:rsidR="008F6165" w:rsidRPr="004F01C3">
              <w:rPr>
                <w:rFonts w:asciiTheme="majorHAnsi" w:hAnsiTheme="majorHAnsi" w:cstheme="majorHAnsi"/>
              </w:rPr>
              <w:t xml:space="preserve"> are often suited to reflect the requirements of national stakeholders within the scope of the donor’s requirements. Government is also encouraged to ensure that sufficient institutional capacity exists or will be built during project life cycle. This recommendation also needs to be brought to the attention of GEF, to ensure that project designs are fit-for-purpose within national contexts.</w:t>
            </w:r>
          </w:p>
        </w:tc>
      </w:tr>
      <w:tr w:rsidR="00B85E3E" w:rsidRPr="004F01C3" w:rsidTr="00487D04">
        <w:tc>
          <w:tcPr>
            <w:tcW w:w="2852" w:type="dxa"/>
            <w:vMerge w:val="restart"/>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Key action(s)</w:t>
            </w:r>
          </w:p>
        </w:tc>
        <w:tc>
          <w:tcPr>
            <w:tcW w:w="1898" w:type="dxa"/>
            <w:vMerge w:val="restart"/>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Time frame</w:t>
            </w:r>
          </w:p>
        </w:tc>
        <w:tc>
          <w:tcPr>
            <w:tcW w:w="1986" w:type="dxa"/>
            <w:vMerge w:val="restart"/>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Responsible unit(s)</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Tracking</w:t>
            </w:r>
          </w:p>
        </w:tc>
      </w:tr>
      <w:tr w:rsidR="00B85E3E" w:rsidRPr="004F01C3" w:rsidTr="00487D04">
        <w:tc>
          <w:tcPr>
            <w:tcW w:w="2852" w:type="dxa"/>
            <w:vMerge/>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E62759">
            <w:pPr>
              <w:spacing w:after="200" w:line="276" w:lineRule="auto"/>
              <w:rPr>
                <w:rFonts w:asciiTheme="majorHAnsi" w:eastAsia="Calibri" w:hAnsiTheme="majorHAnsi" w:cstheme="majorHAnsi"/>
              </w:rPr>
            </w:pPr>
          </w:p>
        </w:tc>
        <w:tc>
          <w:tcPr>
            <w:tcW w:w="1898" w:type="dxa"/>
            <w:vMerge/>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E62759">
            <w:pPr>
              <w:spacing w:after="200" w:line="276" w:lineRule="auto"/>
              <w:rPr>
                <w:rFonts w:asciiTheme="majorHAnsi" w:eastAsia="Calibri" w:hAnsiTheme="majorHAnsi" w:cstheme="majorHAnsi"/>
              </w:rPr>
            </w:pPr>
          </w:p>
        </w:tc>
        <w:tc>
          <w:tcPr>
            <w:tcW w:w="1986" w:type="dxa"/>
            <w:vMerge/>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E62759">
            <w:pPr>
              <w:spacing w:after="200" w:line="276" w:lineRule="auto"/>
              <w:rPr>
                <w:rFonts w:asciiTheme="majorHAnsi" w:eastAsia="Calibri" w:hAnsiTheme="majorHAnsi" w:cstheme="majorHAns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Comments</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Status</w:t>
            </w:r>
          </w:p>
        </w:tc>
      </w:tr>
      <w:tr w:rsidR="00B85E3E" w:rsidRPr="004F01C3" w:rsidTr="00487D04">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 xml:space="preserve">2.1 </w:t>
            </w:r>
            <w:r w:rsidR="00B85E3E" w:rsidRPr="004F01C3">
              <w:rPr>
                <w:rFonts w:asciiTheme="majorHAnsi" w:eastAsia="Calibri" w:hAnsiTheme="majorHAnsi" w:cstheme="majorHAnsi"/>
              </w:rPr>
              <w:t>Flag inconsistencies in CC project design to GEF and limitations of Seychelles as a SIDS</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B85E3E">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Apr 2020</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B85E3E">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UNDP</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r>
      <w:tr w:rsidR="00B85E3E" w:rsidRPr="004F01C3" w:rsidTr="00487D04">
        <w:trPr>
          <w:trHeight w:val="1"/>
        </w:trPr>
        <w:tc>
          <w:tcPr>
            <w:tcW w:w="2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 xml:space="preserve">2.2 </w:t>
            </w:r>
            <w:r w:rsidR="00487D04" w:rsidRPr="004F01C3">
              <w:rPr>
                <w:rFonts w:asciiTheme="majorHAnsi" w:eastAsia="Calibri" w:hAnsiTheme="majorHAnsi" w:cstheme="majorHAnsi"/>
              </w:rPr>
              <w:t>Ensure UNDPs new CPD cycle has a robust M&amp;E framework to review progress of project outcomes</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487D04">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Dec 2020</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487D04">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UNDP</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r>
    </w:tbl>
    <w:p w:rsidR="00E62759" w:rsidRPr="004F01C3" w:rsidRDefault="00E62759">
      <w:pPr>
        <w:tabs>
          <w:tab w:val="left" w:pos="1080"/>
        </w:tabs>
        <w:spacing w:after="200" w:line="276" w:lineRule="auto"/>
        <w:jc w:val="both"/>
        <w:rPr>
          <w:rFonts w:asciiTheme="majorHAnsi" w:eastAsia="Calibri" w:hAnsiTheme="majorHAnsi" w:cstheme="majorHAnsi"/>
        </w:rPr>
      </w:pPr>
    </w:p>
    <w:tbl>
      <w:tblPr>
        <w:tblW w:w="0" w:type="auto"/>
        <w:tblInd w:w="108" w:type="dxa"/>
        <w:tblCellMar>
          <w:left w:w="10" w:type="dxa"/>
          <w:right w:w="10" w:type="dxa"/>
        </w:tblCellMar>
        <w:tblLook w:val="0000" w:firstRow="0" w:lastRow="0" w:firstColumn="0" w:lastColumn="0" w:noHBand="0" w:noVBand="0"/>
      </w:tblPr>
      <w:tblGrid>
        <w:gridCol w:w="2760"/>
        <w:gridCol w:w="1537"/>
        <w:gridCol w:w="1587"/>
        <w:gridCol w:w="2055"/>
        <w:gridCol w:w="969"/>
      </w:tblGrid>
      <w:tr w:rsidR="00E62759" w:rsidRPr="004F01C3" w:rsidTr="00487D04">
        <w:trPr>
          <w:trHeight w:val="1"/>
        </w:trPr>
        <w:tc>
          <w:tcPr>
            <w:tcW w:w="8908" w:type="dxa"/>
            <w:gridSpan w:val="5"/>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487D04" w:rsidRPr="004F01C3" w:rsidRDefault="00AA65E8" w:rsidP="00487D04">
            <w:pPr>
              <w:spacing w:before="200" w:after="200" w:line="276" w:lineRule="auto"/>
              <w:rPr>
                <w:rFonts w:asciiTheme="majorHAnsi" w:hAnsiTheme="majorHAnsi" w:cstheme="majorHAnsi"/>
              </w:rPr>
            </w:pPr>
            <w:r w:rsidRPr="004F01C3">
              <w:rPr>
                <w:rFonts w:asciiTheme="majorHAnsi" w:eastAsia="Calibri" w:hAnsiTheme="majorHAnsi" w:cstheme="majorHAnsi"/>
                <w:b/>
              </w:rPr>
              <w:t>T</w:t>
            </w:r>
            <w:r w:rsidR="00B50ACA" w:rsidRPr="004F01C3">
              <w:rPr>
                <w:rFonts w:asciiTheme="majorHAnsi" w:eastAsia="Calibri" w:hAnsiTheme="majorHAnsi" w:cstheme="majorHAnsi"/>
                <w:b/>
              </w:rPr>
              <w:t xml:space="preserve">erminal Evaluation recommendation </w:t>
            </w:r>
            <w:r w:rsidRPr="004F01C3">
              <w:rPr>
                <w:rFonts w:asciiTheme="majorHAnsi" w:eastAsia="Calibri" w:hAnsiTheme="majorHAnsi" w:cstheme="majorHAnsi"/>
                <w:b/>
              </w:rPr>
              <w:t>3.</w:t>
            </w:r>
            <w:r w:rsidR="00B50ACA" w:rsidRPr="004F01C3">
              <w:rPr>
                <w:rFonts w:asciiTheme="majorHAnsi" w:eastAsia="Calibri" w:hAnsiTheme="majorHAnsi" w:cstheme="majorHAnsi"/>
                <w:b/>
              </w:rPr>
              <w:t xml:space="preserve">  </w:t>
            </w:r>
            <w:r w:rsidR="00487D04" w:rsidRPr="004F01C3">
              <w:rPr>
                <w:rFonts w:asciiTheme="majorHAnsi" w:hAnsiTheme="majorHAnsi" w:cstheme="majorHAnsi"/>
              </w:rPr>
              <w:t xml:space="preserve"> For the Seychelles, the policy approach would need to include a response to its situation as a small island nation, with limited government capacity, a small, relatively unorganised market and complicated trade relationships.  Support of international expert groups might be needed to develop a suitable approach for such situations.</w:t>
            </w:r>
          </w:p>
          <w:p w:rsidR="00487D04" w:rsidRPr="004F01C3" w:rsidRDefault="00487D04" w:rsidP="00487D04">
            <w:pPr>
              <w:spacing w:after="0" w:line="240" w:lineRule="auto"/>
              <w:rPr>
                <w:rFonts w:asciiTheme="majorHAnsi" w:eastAsia="Calibri" w:hAnsiTheme="majorHAnsi" w:cstheme="majorHAnsi"/>
              </w:rPr>
            </w:pPr>
            <w:r w:rsidRPr="004F01C3">
              <w:rPr>
                <w:rFonts w:asciiTheme="majorHAnsi" w:eastAsia="Calibri" w:hAnsiTheme="majorHAnsi" w:cstheme="majorHAnsi"/>
                <w:b/>
              </w:rPr>
              <w:t>Recommendation to:</w:t>
            </w:r>
            <w:r w:rsidRPr="004F01C3">
              <w:rPr>
                <w:rFonts w:asciiTheme="majorHAnsi" w:eastAsia="Calibri" w:hAnsiTheme="majorHAnsi" w:cstheme="majorHAnsi"/>
              </w:rPr>
              <w:t xml:space="preserve"> MEECC &amp; SEC. </w:t>
            </w:r>
          </w:p>
          <w:p w:rsidR="00E62759" w:rsidRPr="004F01C3" w:rsidRDefault="00E62759" w:rsidP="00AA65E8">
            <w:pPr>
              <w:tabs>
                <w:tab w:val="left" w:pos="1080"/>
              </w:tabs>
              <w:spacing w:after="200" w:line="276" w:lineRule="auto"/>
              <w:jc w:val="both"/>
              <w:rPr>
                <w:rFonts w:asciiTheme="majorHAnsi" w:eastAsia="Calibri" w:hAnsiTheme="majorHAnsi" w:cstheme="majorHAnsi"/>
              </w:rPr>
            </w:pPr>
          </w:p>
        </w:tc>
      </w:tr>
      <w:tr w:rsidR="00E62759" w:rsidRPr="004F01C3" w:rsidTr="00487D04">
        <w:trPr>
          <w:trHeight w:val="1"/>
        </w:trPr>
        <w:tc>
          <w:tcPr>
            <w:tcW w:w="8908" w:type="dxa"/>
            <w:gridSpan w:val="5"/>
            <w:tcBorders>
              <w:top w:val="single" w:sz="4" w:space="0" w:color="000000"/>
              <w:left w:val="single" w:sz="4" w:space="0" w:color="000000"/>
              <w:bottom w:val="single" w:sz="6" w:space="0" w:color="000000"/>
              <w:right w:val="single" w:sz="4" w:space="0" w:color="000000"/>
            </w:tcBorders>
            <w:shd w:val="clear" w:color="auto" w:fill="F3F3F3"/>
            <w:tcMar>
              <w:left w:w="108" w:type="dxa"/>
              <w:right w:w="108" w:type="dxa"/>
            </w:tcMar>
          </w:tcPr>
          <w:p w:rsidR="00C528F3" w:rsidRDefault="00C528F3">
            <w:pPr>
              <w:tabs>
                <w:tab w:val="left" w:pos="1080"/>
              </w:tabs>
              <w:spacing w:after="200" w:line="276" w:lineRule="auto"/>
              <w:jc w:val="both"/>
              <w:rPr>
                <w:rFonts w:asciiTheme="majorHAnsi" w:eastAsia="Calibri" w:hAnsiTheme="majorHAnsi" w:cstheme="majorHAnsi"/>
                <w:b/>
              </w:rPr>
            </w:pPr>
          </w:p>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Management response</w:t>
            </w:r>
            <w:r w:rsidRPr="004F01C3">
              <w:rPr>
                <w:rFonts w:asciiTheme="majorHAnsi" w:eastAsia="Calibri" w:hAnsiTheme="majorHAnsi" w:cstheme="majorHAnsi"/>
              </w:rPr>
              <w:t xml:space="preserve">: </w:t>
            </w:r>
            <w:r w:rsidR="00487D04" w:rsidRPr="004F01C3">
              <w:rPr>
                <w:rFonts w:asciiTheme="majorHAnsi" w:eastAsia="Calibri" w:hAnsiTheme="majorHAnsi" w:cstheme="majorHAnsi"/>
              </w:rPr>
              <w:t xml:space="preserve">Management is aware of the limitations of </w:t>
            </w:r>
            <w:r w:rsidRPr="004F01C3">
              <w:rPr>
                <w:rFonts w:asciiTheme="majorHAnsi" w:eastAsia="Calibri" w:hAnsiTheme="majorHAnsi" w:cstheme="majorHAnsi"/>
              </w:rPr>
              <w:t>Seychelles</w:t>
            </w:r>
            <w:r w:rsidR="00487D04" w:rsidRPr="004F01C3">
              <w:rPr>
                <w:rFonts w:asciiTheme="majorHAnsi" w:eastAsia="Calibri" w:hAnsiTheme="majorHAnsi" w:cstheme="majorHAnsi"/>
              </w:rPr>
              <w:t xml:space="preserve"> capacity and</w:t>
            </w:r>
            <w:r w:rsidRPr="004F01C3">
              <w:rPr>
                <w:rFonts w:asciiTheme="majorHAnsi" w:eastAsia="Calibri" w:hAnsiTheme="majorHAnsi" w:cstheme="majorHAnsi"/>
              </w:rPr>
              <w:t xml:space="preserve"> is already working with international organisation</w:t>
            </w:r>
            <w:r w:rsidR="00487D04" w:rsidRPr="004F01C3">
              <w:rPr>
                <w:rFonts w:asciiTheme="majorHAnsi" w:eastAsia="Calibri" w:hAnsiTheme="majorHAnsi" w:cstheme="majorHAnsi"/>
              </w:rPr>
              <w:t>s</w:t>
            </w:r>
            <w:r w:rsidRPr="004F01C3">
              <w:rPr>
                <w:rFonts w:asciiTheme="majorHAnsi" w:eastAsia="Calibri" w:hAnsiTheme="majorHAnsi" w:cstheme="majorHAnsi"/>
              </w:rPr>
              <w:t xml:space="preserve"> such as IRENA/ SADC/ IOC /CCI </w:t>
            </w:r>
            <w:r w:rsidR="00487D04" w:rsidRPr="004F01C3">
              <w:rPr>
                <w:rFonts w:asciiTheme="majorHAnsi" w:eastAsia="Calibri" w:hAnsiTheme="majorHAnsi" w:cstheme="majorHAnsi"/>
              </w:rPr>
              <w:t>with</w:t>
            </w:r>
            <w:r w:rsidRPr="004F01C3">
              <w:rPr>
                <w:rFonts w:asciiTheme="majorHAnsi" w:eastAsia="Calibri" w:hAnsiTheme="majorHAnsi" w:cstheme="majorHAnsi"/>
              </w:rPr>
              <w:t xml:space="preserve"> </w:t>
            </w:r>
            <w:r w:rsidR="00AA65E8" w:rsidRPr="004F01C3">
              <w:rPr>
                <w:rFonts w:asciiTheme="majorHAnsi" w:eastAsia="Calibri" w:hAnsiTheme="majorHAnsi" w:cstheme="majorHAnsi"/>
              </w:rPr>
              <w:t xml:space="preserve">ongoing </w:t>
            </w:r>
            <w:r w:rsidRPr="004F01C3">
              <w:rPr>
                <w:rFonts w:asciiTheme="majorHAnsi" w:eastAsia="Calibri" w:hAnsiTheme="majorHAnsi" w:cstheme="majorHAnsi"/>
              </w:rPr>
              <w:t xml:space="preserve">bilateral </w:t>
            </w:r>
            <w:r w:rsidR="00AA65E8" w:rsidRPr="004F01C3">
              <w:rPr>
                <w:rFonts w:asciiTheme="majorHAnsi" w:eastAsia="Calibri" w:hAnsiTheme="majorHAnsi" w:cstheme="majorHAnsi"/>
              </w:rPr>
              <w:t>cooperation</w:t>
            </w:r>
            <w:r w:rsidRPr="004F01C3">
              <w:rPr>
                <w:rFonts w:asciiTheme="majorHAnsi" w:eastAsia="Calibri" w:hAnsiTheme="majorHAnsi" w:cstheme="majorHAnsi"/>
              </w:rPr>
              <w:t xml:space="preserve"> with other countries. </w:t>
            </w:r>
            <w:proofErr w:type="gramStart"/>
            <w:r w:rsidRPr="004F01C3">
              <w:rPr>
                <w:rFonts w:asciiTheme="majorHAnsi" w:eastAsia="Calibri" w:hAnsiTheme="majorHAnsi" w:cstheme="majorHAnsi"/>
              </w:rPr>
              <w:t>More emphasis</w:t>
            </w:r>
            <w:r w:rsidR="00AA65E8" w:rsidRPr="004F01C3">
              <w:rPr>
                <w:rFonts w:asciiTheme="majorHAnsi" w:eastAsia="Calibri" w:hAnsiTheme="majorHAnsi" w:cstheme="majorHAnsi"/>
              </w:rPr>
              <w:t>,</w:t>
            </w:r>
            <w:proofErr w:type="gramEnd"/>
            <w:r w:rsidR="00AA65E8" w:rsidRPr="004F01C3">
              <w:rPr>
                <w:rFonts w:asciiTheme="majorHAnsi" w:eastAsia="Calibri" w:hAnsiTheme="majorHAnsi" w:cstheme="majorHAnsi"/>
              </w:rPr>
              <w:t xml:space="preserve"> </w:t>
            </w:r>
            <w:r w:rsidRPr="004F01C3">
              <w:rPr>
                <w:rFonts w:asciiTheme="majorHAnsi" w:eastAsia="Calibri" w:hAnsiTheme="majorHAnsi" w:cstheme="majorHAnsi"/>
              </w:rPr>
              <w:t>will be placed on getting support for E</w:t>
            </w:r>
            <w:r w:rsidR="00F277D7" w:rsidRPr="004F01C3">
              <w:rPr>
                <w:rFonts w:asciiTheme="majorHAnsi" w:eastAsia="Calibri" w:hAnsiTheme="majorHAnsi" w:cstheme="majorHAnsi"/>
              </w:rPr>
              <w:t xml:space="preserve">nergy </w:t>
            </w:r>
            <w:r w:rsidRPr="004F01C3">
              <w:rPr>
                <w:rFonts w:asciiTheme="majorHAnsi" w:eastAsia="Calibri" w:hAnsiTheme="majorHAnsi" w:cstheme="majorHAnsi"/>
              </w:rPr>
              <w:t>E</w:t>
            </w:r>
            <w:r w:rsidR="00F277D7" w:rsidRPr="004F01C3">
              <w:rPr>
                <w:rFonts w:asciiTheme="majorHAnsi" w:eastAsia="Calibri" w:hAnsiTheme="majorHAnsi" w:cstheme="majorHAnsi"/>
              </w:rPr>
              <w:t>fficiency and Climate Change Mitigation</w:t>
            </w:r>
            <w:r w:rsidR="00487D04" w:rsidRPr="004F01C3">
              <w:rPr>
                <w:rFonts w:asciiTheme="majorHAnsi" w:eastAsia="Calibri" w:hAnsiTheme="majorHAnsi" w:cstheme="majorHAnsi"/>
              </w:rPr>
              <w:t xml:space="preserve"> related </w:t>
            </w:r>
            <w:r w:rsidR="00F277D7" w:rsidRPr="004F01C3">
              <w:rPr>
                <w:rFonts w:asciiTheme="majorHAnsi" w:eastAsia="Calibri" w:hAnsiTheme="majorHAnsi" w:cstheme="majorHAnsi"/>
              </w:rPr>
              <w:t>programmes</w:t>
            </w:r>
            <w:r w:rsidRPr="004F01C3">
              <w:rPr>
                <w:rFonts w:asciiTheme="majorHAnsi" w:eastAsia="Calibri" w:hAnsiTheme="majorHAnsi" w:cstheme="majorHAnsi"/>
              </w:rPr>
              <w:t xml:space="preserve"> in future discussion</w:t>
            </w:r>
            <w:r w:rsidR="00F277D7" w:rsidRPr="004F01C3">
              <w:rPr>
                <w:rFonts w:asciiTheme="majorHAnsi" w:eastAsia="Calibri" w:hAnsiTheme="majorHAnsi" w:cstheme="majorHAnsi"/>
              </w:rPr>
              <w:t>s</w:t>
            </w:r>
            <w:r w:rsidRPr="004F01C3">
              <w:rPr>
                <w:rFonts w:asciiTheme="majorHAnsi" w:eastAsia="Calibri" w:hAnsiTheme="majorHAnsi" w:cstheme="majorHAnsi"/>
              </w:rPr>
              <w:t xml:space="preserve"> to continue the work started under the RE project. </w:t>
            </w:r>
          </w:p>
        </w:tc>
      </w:tr>
      <w:tr w:rsidR="00E62759" w:rsidRPr="004F01C3" w:rsidTr="00F277D7">
        <w:tc>
          <w:tcPr>
            <w:tcW w:w="2760" w:type="dxa"/>
            <w:vMerge w:val="restart"/>
            <w:tcBorders>
              <w:top w:val="single" w:sz="6" w:space="0" w:color="000000"/>
              <w:left w:val="single" w:sz="4" w:space="0" w:color="000000"/>
              <w:bottom w:val="single" w:sz="6" w:space="0" w:color="000000"/>
              <w:right w:val="single" w:sz="6" w:space="0" w:color="000000"/>
            </w:tcBorders>
            <w:shd w:val="clear" w:color="auto" w:fill="F3F3F3"/>
            <w:tcMar>
              <w:left w:w="108" w:type="dxa"/>
              <w:right w:w="108" w:type="dxa"/>
            </w:tcMar>
          </w:tcPr>
          <w:p w:rsidR="00E62759" w:rsidRPr="004F01C3" w:rsidRDefault="00B50ACA" w:rsidP="00F277D7">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Key action(s)</w:t>
            </w:r>
          </w:p>
        </w:tc>
        <w:tc>
          <w:tcPr>
            <w:tcW w:w="1537" w:type="dxa"/>
            <w:vMerge w:val="restart"/>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B50ACA" w:rsidP="00F277D7">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Time frame</w:t>
            </w:r>
          </w:p>
        </w:tc>
        <w:tc>
          <w:tcPr>
            <w:tcW w:w="1587" w:type="dxa"/>
            <w:vMerge w:val="restart"/>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B50ACA" w:rsidP="00F277D7">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Responsible unit(s)</w:t>
            </w:r>
          </w:p>
        </w:tc>
        <w:tc>
          <w:tcPr>
            <w:tcW w:w="3024" w:type="dxa"/>
            <w:gridSpan w:val="2"/>
            <w:tcBorders>
              <w:top w:val="single" w:sz="6" w:space="0" w:color="000000"/>
              <w:left w:val="single" w:sz="6" w:space="0" w:color="000000"/>
              <w:bottom w:val="single" w:sz="6" w:space="0" w:color="000000"/>
              <w:right w:val="single" w:sz="4"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Tracking</w:t>
            </w:r>
          </w:p>
        </w:tc>
      </w:tr>
      <w:tr w:rsidR="00E62759" w:rsidRPr="004F01C3" w:rsidTr="00F277D7">
        <w:tc>
          <w:tcPr>
            <w:tcW w:w="2760" w:type="dxa"/>
            <w:vMerge/>
            <w:tcBorders>
              <w:top w:val="single" w:sz="6" w:space="0" w:color="000000"/>
              <w:left w:val="single" w:sz="4" w:space="0" w:color="000000"/>
              <w:bottom w:val="single" w:sz="6" w:space="0" w:color="000000"/>
              <w:right w:val="single" w:sz="6" w:space="0" w:color="000000"/>
            </w:tcBorders>
            <w:shd w:val="clear" w:color="auto" w:fill="F3F3F3"/>
            <w:tcMar>
              <w:left w:w="108" w:type="dxa"/>
              <w:right w:w="108" w:type="dxa"/>
            </w:tcMar>
          </w:tcPr>
          <w:p w:rsidR="00E62759" w:rsidRPr="004F01C3" w:rsidRDefault="00E62759" w:rsidP="00F277D7">
            <w:pPr>
              <w:spacing w:after="200" w:line="276" w:lineRule="auto"/>
              <w:jc w:val="both"/>
              <w:rPr>
                <w:rFonts w:asciiTheme="majorHAnsi" w:eastAsia="Calibri" w:hAnsiTheme="majorHAnsi" w:cstheme="majorHAnsi"/>
              </w:rPr>
            </w:pPr>
          </w:p>
        </w:tc>
        <w:tc>
          <w:tcPr>
            <w:tcW w:w="1537" w:type="dxa"/>
            <w:vMerge/>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E62759" w:rsidP="00F277D7">
            <w:pPr>
              <w:spacing w:after="200" w:line="276" w:lineRule="auto"/>
              <w:jc w:val="both"/>
              <w:rPr>
                <w:rFonts w:asciiTheme="majorHAnsi" w:eastAsia="Calibri" w:hAnsiTheme="majorHAnsi" w:cstheme="majorHAnsi"/>
              </w:rPr>
            </w:pPr>
          </w:p>
        </w:tc>
        <w:tc>
          <w:tcPr>
            <w:tcW w:w="1587" w:type="dxa"/>
            <w:vMerge/>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E62759" w:rsidP="00F277D7">
            <w:pPr>
              <w:spacing w:after="200" w:line="276" w:lineRule="auto"/>
              <w:jc w:val="both"/>
              <w:rPr>
                <w:rFonts w:asciiTheme="majorHAnsi" w:eastAsia="Calibri" w:hAnsiTheme="majorHAnsi" w:cstheme="majorHAnsi"/>
              </w:rPr>
            </w:pPr>
          </w:p>
        </w:tc>
        <w:tc>
          <w:tcPr>
            <w:tcW w:w="20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Comments</w:t>
            </w:r>
          </w:p>
        </w:tc>
        <w:tc>
          <w:tcPr>
            <w:tcW w:w="969"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Status</w:t>
            </w:r>
          </w:p>
        </w:tc>
      </w:tr>
      <w:tr w:rsidR="00E62759" w:rsidRPr="004F01C3" w:rsidTr="00F277D7">
        <w:trPr>
          <w:trHeight w:val="1"/>
        </w:trPr>
        <w:tc>
          <w:tcPr>
            <w:tcW w:w="2760"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rsidR="00E62759" w:rsidRPr="004F01C3" w:rsidRDefault="00B50ACA" w:rsidP="00F277D7">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3.1</w:t>
            </w:r>
            <w:r w:rsidR="00F277D7" w:rsidRPr="004F01C3">
              <w:rPr>
                <w:rFonts w:asciiTheme="majorHAnsi" w:eastAsia="Calibri" w:hAnsiTheme="majorHAnsi" w:cstheme="majorHAnsi"/>
              </w:rPr>
              <w:t xml:space="preserve"> </w:t>
            </w:r>
            <w:r w:rsidRPr="004F01C3">
              <w:rPr>
                <w:rFonts w:asciiTheme="majorHAnsi" w:eastAsia="Calibri" w:hAnsiTheme="majorHAnsi" w:cstheme="majorHAnsi"/>
              </w:rPr>
              <w:t xml:space="preserve">Review existing </w:t>
            </w:r>
            <w:r w:rsidR="00F277D7" w:rsidRPr="004F01C3">
              <w:rPr>
                <w:rFonts w:asciiTheme="majorHAnsi" w:eastAsia="Calibri" w:hAnsiTheme="majorHAnsi" w:cstheme="majorHAnsi"/>
              </w:rPr>
              <w:t xml:space="preserve">partnerships </w:t>
            </w:r>
            <w:proofErr w:type="gramStart"/>
            <w:r w:rsidR="00F277D7" w:rsidRPr="004F01C3">
              <w:rPr>
                <w:rFonts w:asciiTheme="majorHAnsi" w:eastAsia="Calibri" w:hAnsiTheme="majorHAnsi" w:cstheme="majorHAnsi"/>
              </w:rPr>
              <w:t xml:space="preserve">and  </w:t>
            </w:r>
            <w:r w:rsidRPr="004F01C3">
              <w:rPr>
                <w:rFonts w:asciiTheme="majorHAnsi" w:eastAsia="Calibri" w:hAnsiTheme="majorHAnsi" w:cstheme="majorHAnsi"/>
              </w:rPr>
              <w:t>agreements</w:t>
            </w:r>
            <w:proofErr w:type="gramEnd"/>
            <w:r w:rsidR="00F277D7" w:rsidRPr="004F01C3">
              <w:rPr>
                <w:rFonts w:asciiTheme="majorHAnsi" w:eastAsia="Calibri" w:hAnsiTheme="majorHAnsi" w:cstheme="majorHAnsi"/>
              </w:rPr>
              <w:t xml:space="preserve"> with International Partners.</w:t>
            </w:r>
          </w:p>
        </w:tc>
        <w:tc>
          <w:tcPr>
            <w:tcW w:w="15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B50ACA" w:rsidP="00F277D7">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Q3 2019</w:t>
            </w:r>
          </w:p>
        </w:tc>
        <w:tc>
          <w:tcPr>
            <w:tcW w:w="158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B50ACA" w:rsidP="00F277D7">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SEC</w:t>
            </w:r>
            <w:r w:rsidR="00F277D7" w:rsidRPr="004F01C3">
              <w:rPr>
                <w:rFonts w:asciiTheme="majorHAnsi" w:eastAsia="Calibri" w:hAnsiTheme="majorHAnsi" w:cstheme="majorHAnsi"/>
              </w:rPr>
              <w:t>, MEECC</w:t>
            </w:r>
          </w:p>
        </w:tc>
        <w:tc>
          <w:tcPr>
            <w:tcW w:w="20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F277D7">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 xml:space="preserve">This will depend on the capacity and political will of the agency to move forward with </w:t>
            </w:r>
            <w:proofErr w:type="gramStart"/>
            <w:r w:rsidRPr="004F01C3">
              <w:rPr>
                <w:rFonts w:asciiTheme="majorHAnsi" w:eastAsia="Calibri" w:hAnsiTheme="majorHAnsi" w:cstheme="majorHAnsi"/>
              </w:rPr>
              <w:t>a  holistic</w:t>
            </w:r>
            <w:proofErr w:type="gramEnd"/>
            <w:r w:rsidRPr="004F01C3">
              <w:rPr>
                <w:rFonts w:asciiTheme="majorHAnsi" w:eastAsia="Calibri" w:hAnsiTheme="majorHAnsi" w:cstheme="majorHAnsi"/>
              </w:rPr>
              <w:t xml:space="preserve"> approach</w:t>
            </w:r>
          </w:p>
        </w:tc>
        <w:tc>
          <w:tcPr>
            <w:tcW w:w="969"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r>
      <w:tr w:rsidR="00E62759" w:rsidRPr="004F01C3" w:rsidTr="00F277D7">
        <w:trPr>
          <w:trHeight w:val="1"/>
        </w:trPr>
        <w:tc>
          <w:tcPr>
            <w:tcW w:w="2760"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rsidR="00E62759" w:rsidRPr="004F01C3" w:rsidRDefault="00B50ACA" w:rsidP="00F277D7">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 xml:space="preserve">3.2 </w:t>
            </w:r>
            <w:r w:rsidR="00F277D7" w:rsidRPr="004F01C3">
              <w:rPr>
                <w:rFonts w:asciiTheme="majorHAnsi" w:eastAsia="Calibri" w:hAnsiTheme="majorHAnsi" w:cstheme="majorHAnsi"/>
              </w:rPr>
              <w:t>Engage with the department of Foreign Affairs to ensure that EE remains part of bilateral discussions with select countries</w:t>
            </w:r>
          </w:p>
        </w:tc>
        <w:tc>
          <w:tcPr>
            <w:tcW w:w="15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B50ACA" w:rsidP="00F277D7">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Q4 2019</w:t>
            </w:r>
          </w:p>
        </w:tc>
        <w:tc>
          <w:tcPr>
            <w:tcW w:w="158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B50ACA" w:rsidP="00F277D7">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SEC</w:t>
            </w:r>
            <w:r w:rsidR="00AA65E8" w:rsidRPr="004F01C3">
              <w:rPr>
                <w:rFonts w:asciiTheme="majorHAnsi" w:eastAsia="Calibri" w:hAnsiTheme="majorHAnsi" w:cstheme="majorHAnsi"/>
              </w:rPr>
              <w:t xml:space="preserve"> &amp; MEECC</w:t>
            </w:r>
            <w:r w:rsidR="00F277D7" w:rsidRPr="004F01C3">
              <w:rPr>
                <w:rFonts w:asciiTheme="majorHAnsi" w:eastAsia="Calibri" w:hAnsiTheme="majorHAnsi" w:cstheme="majorHAnsi"/>
              </w:rPr>
              <w:t>, DFA</w:t>
            </w:r>
          </w:p>
        </w:tc>
        <w:tc>
          <w:tcPr>
            <w:tcW w:w="20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F277D7">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SEC needs to engage with the DFA either through MEECC or directly to ensure that EE and CCM are tabled in bilateral discussions to assist Seychelles achieve its INDCs</w:t>
            </w:r>
          </w:p>
        </w:tc>
        <w:tc>
          <w:tcPr>
            <w:tcW w:w="969"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r>
    </w:tbl>
    <w:p w:rsidR="00E62759" w:rsidRPr="004F01C3" w:rsidRDefault="00E62759">
      <w:pPr>
        <w:tabs>
          <w:tab w:val="left" w:pos="1080"/>
        </w:tabs>
        <w:spacing w:after="200" w:line="276" w:lineRule="auto"/>
        <w:jc w:val="both"/>
        <w:rPr>
          <w:rFonts w:asciiTheme="majorHAnsi" w:eastAsia="Calibri" w:hAnsiTheme="majorHAnsi" w:cstheme="majorHAnsi"/>
        </w:rPr>
      </w:pPr>
    </w:p>
    <w:tbl>
      <w:tblPr>
        <w:tblW w:w="0" w:type="auto"/>
        <w:tblInd w:w="108" w:type="dxa"/>
        <w:tblCellMar>
          <w:left w:w="10" w:type="dxa"/>
          <w:right w:w="10" w:type="dxa"/>
        </w:tblCellMar>
        <w:tblLook w:val="0000" w:firstRow="0" w:lastRow="0" w:firstColumn="0" w:lastColumn="0" w:noHBand="0" w:noVBand="0"/>
      </w:tblPr>
      <w:tblGrid>
        <w:gridCol w:w="2814"/>
        <w:gridCol w:w="1923"/>
        <w:gridCol w:w="1986"/>
        <w:gridCol w:w="1205"/>
        <w:gridCol w:w="980"/>
      </w:tblGrid>
      <w:tr w:rsidR="00E62759" w:rsidRPr="004F01C3" w:rsidTr="00E617AC">
        <w:trPr>
          <w:trHeight w:val="1"/>
        </w:trPr>
        <w:tc>
          <w:tcPr>
            <w:tcW w:w="8908" w:type="dxa"/>
            <w:gridSpan w:val="5"/>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F277D7" w:rsidRPr="004F01C3" w:rsidRDefault="00AA65E8" w:rsidP="00F277D7">
            <w:pPr>
              <w:spacing w:before="200" w:after="200" w:line="276" w:lineRule="auto"/>
              <w:rPr>
                <w:rFonts w:asciiTheme="majorHAnsi" w:hAnsiTheme="majorHAnsi" w:cstheme="majorHAnsi"/>
              </w:rPr>
            </w:pPr>
            <w:r w:rsidRPr="004F01C3">
              <w:rPr>
                <w:rFonts w:asciiTheme="majorHAnsi" w:eastAsia="Calibri" w:hAnsiTheme="majorHAnsi" w:cstheme="majorHAnsi"/>
                <w:b/>
              </w:rPr>
              <w:t>T</w:t>
            </w:r>
            <w:r w:rsidR="00B50ACA" w:rsidRPr="004F01C3">
              <w:rPr>
                <w:rFonts w:asciiTheme="majorHAnsi" w:eastAsia="Calibri" w:hAnsiTheme="majorHAnsi" w:cstheme="majorHAnsi"/>
                <w:b/>
              </w:rPr>
              <w:t xml:space="preserve">erminal Evaluation recommendation 4. </w:t>
            </w:r>
            <w:r w:rsidR="00F277D7" w:rsidRPr="004F01C3">
              <w:rPr>
                <w:rFonts w:asciiTheme="majorHAnsi" w:hAnsiTheme="majorHAnsi" w:cstheme="majorHAnsi"/>
              </w:rPr>
              <w:t>It might be useful to explore whether the Seychelles can develop a collaboration with an established standards and labels programme in a country it has trade relations with.  That might make it easier to continue its approach without having to build up the extensive technical knowledge needed to do so independently.</w:t>
            </w:r>
          </w:p>
          <w:p w:rsidR="00E62759" w:rsidRDefault="00E617AC" w:rsidP="00E617AC">
            <w:pPr>
              <w:spacing w:after="0" w:line="240" w:lineRule="auto"/>
              <w:rPr>
                <w:rFonts w:asciiTheme="majorHAnsi" w:eastAsia="Calibri" w:hAnsiTheme="majorHAnsi" w:cstheme="majorHAnsi"/>
              </w:rPr>
            </w:pPr>
            <w:r w:rsidRPr="004F01C3">
              <w:rPr>
                <w:rFonts w:asciiTheme="majorHAnsi" w:eastAsia="Calibri" w:hAnsiTheme="majorHAnsi" w:cstheme="majorHAnsi"/>
                <w:b/>
              </w:rPr>
              <w:t>Recommendation to:</w:t>
            </w:r>
            <w:r w:rsidRPr="004F01C3">
              <w:rPr>
                <w:rFonts w:asciiTheme="majorHAnsi" w:eastAsia="Calibri" w:hAnsiTheme="majorHAnsi" w:cstheme="majorHAnsi"/>
              </w:rPr>
              <w:t xml:space="preserve"> MEECC &amp; SEC. </w:t>
            </w:r>
          </w:p>
          <w:p w:rsidR="00C528F3" w:rsidRPr="004F01C3" w:rsidRDefault="00C528F3" w:rsidP="00E617AC">
            <w:pPr>
              <w:spacing w:after="0" w:line="240" w:lineRule="auto"/>
              <w:rPr>
                <w:rFonts w:asciiTheme="majorHAnsi" w:eastAsia="Calibri" w:hAnsiTheme="majorHAnsi" w:cstheme="majorHAnsi"/>
              </w:rPr>
            </w:pPr>
          </w:p>
        </w:tc>
      </w:tr>
      <w:tr w:rsidR="00E62759" w:rsidRPr="004F01C3" w:rsidTr="00E617AC">
        <w:trPr>
          <w:trHeight w:val="1"/>
        </w:trPr>
        <w:tc>
          <w:tcPr>
            <w:tcW w:w="8908" w:type="dxa"/>
            <w:gridSpan w:val="5"/>
            <w:tcBorders>
              <w:top w:val="single" w:sz="4" w:space="0" w:color="000000"/>
              <w:left w:val="single" w:sz="4" w:space="0" w:color="000000"/>
              <w:bottom w:val="single" w:sz="6" w:space="0" w:color="000000"/>
              <w:right w:val="single" w:sz="4" w:space="0" w:color="000000"/>
            </w:tcBorders>
            <w:shd w:val="clear" w:color="auto" w:fill="F3F3F3"/>
            <w:tcMar>
              <w:left w:w="108" w:type="dxa"/>
              <w:right w:w="108" w:type="dxa"/>
            </w:tcMar>
          </w:tcPr>
          <w:p w:rsidR="00C528F3" w:rsidRDefault="00C528F3">
            <w:pPr>
              <w:tabs>
                <w:tab w:val="left" w:pos="1080"/>
              </w:tabs>
              <w:spacing w:after="200" w:line="276" w:lineRule="auto"/>
              <w:jc w:val="both"/>
              <w:rPr>
                <w:rFonts w:asciiTheme="majorHAnsi" w:eastAsia="Calibri" w:hAnsiTheme="majorHAnsi" w:cstheme="majorHAnsi"/>
                <w:b/>
              </w:rPr>
            </w:pPr>
          </w:p>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Management response</w:t>
            </w:r>
            <w:r w:rsidRPr="004F01C3">
              <w:rPr>
                <w:rFonts w:asciiTheme="majorHAnsi" w:eastAsia="Calibri" w:hAnsiTheme="majorHAnsi" w:cstheme="majorHAnsi"/>
              </w:rPr>
              <w:t xml:space="preserve">: </w:t>
            </w:r>
            <w:r w:rsidR="00E617AC" w:rsidRPr="004F01C3">
              <w:rPr>
                <w:rFonts w:asciiTheme="majorHAnsi" w:eastAsia="Calibri" w:hAnsiTheme="majorHAnsi" w:cstheme="majorHAnsi"/>
              </w:rPr>
              <w:t xml:space="preserve">Management will look into the feasibility of this recommendation in line with recommendation </w:t>
            </w:r>
            <w:proofErr w:type="gramStart"/>
            <w:r w:rsidR="00E617AC" w:rsidRPr="004F01C3">
              <w:rPr>
                <w:rFonts w:asciiTheme="majorHAnsi" w:eastAsia="Calibri" w:hAnsiTheme="majorHAnsi" w:cstheme="majorHAnsi"/>
              </w:rPr>
              <w:t>3,and</w:t>
            </w:r>
            <w:proofErr w:type="gramEnd"/>
            <w:r w:rsidR="00E617AC" w:rsidRPr="004F01C3">
              <w:rPr>
                <w:rFonts w:asciiTheme="majorHAnsi" w:eastAsia="Calibri" w:hAnsiTheme="majorHAnsi" w:cstheme="majorHAnsi"/>
              </w:rPr>
              <w:t xml:space="preserve"> whilst reviewing international partnerships and agreements.</w:t>
            </w:r>
          </w:p>
        </w:tc>
      </w:tr>
      <w:tr w:rsidR="001A48DA" w:rsidRPr="004F01C3" w:rsidTr="00E617AC">
        <w:tc>
          <w:tcPr>
            <w:tcW w:w="2814" w:type="dxa"/>
            <w:vMerge w:val="restart"/>
            <w:tcBorders>
              <w:top w:val="single" w:sz="6" w:space="0" w:color="000000"/>
              <w:left w:val="single" w:sz="4" w:space="0" w:color="000000"/>
              <w:bottom w:val="single" w:sz="6" w:space="0" w:color="000000"/>
              <w:right w:val="single" w:sz="6"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Key action(s)</w:t>
            </w: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Time frame</w:t>
            </w:r>
          </w:p>
        </w:tc>
        <w:tc>
          <w:tcPr>
            <w:tcW w:w="1986" w:type="dxa"/>
            <w:vMerge w:val="restart"/>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Responsible unit(s)</w:t>
            </w:r>
          </w:p>
        </w:tc>
        <w:tc>
          <w:tcPr>
            <w:tcW w:w="2185" w:type="dxa"/>
            <w:gridSpan w:val="2"/>
            <w:tcBorders>
              <w:top w:val="single" w:sz="6" w:space="0" w:color="000000"/>
              <w:left w:val="single" w:sz="6" w:space="0" w:color="000000"/>
              <w:bottom w:val="single" w:sz="6" w:space="0" w:color="000000"/>
              <w:right w:val="single" w:sz="4"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Tracking</w:t>
            </w:r>
          </w:p>
        </w:tc>
      </w:tr>
      <w:tr w:rsidR="001A48DA" w:rsidRPr="004F01C3" w:rsidTr="00E617AC">
        <w:tc>
          <w:tcPr>
            <w:tcW w:w="2814" w:type="dxa"/>
            <w:vMerge/>
            <w:tcBorders>
              <w:top w:val="single" w:sz="6" w:space="0" w:color="000000"/>
              <w:left w:val="single" w:sz="4" w:space="0" w:color="000000"/>
              <w:bottom w:val="single" w:sz="6" w:space="0" w:color="000000"/>
              <w:right w:val="single" w:sz="6" w:space="0" w:color="000000"/>
            </w:tcBorders>
            <w:shd w:val="clear" w:color="auto" w:fill="F3F3F3"/>
            <w:tcMar>
              <w:left w:w="108" w:type="dxa"/>
              <w:right w:w="108" w:type="dxa"/>
            </w:tcMar>
          </w:tcPr>
          <w:p w:rsidR="00E62759" w:rsidRPr="004F01C3" w:rsidRDefault="00E62759">
            <w:pPr>
              <w:spacing w:after="200" w:line="276" w:lineRule="auto"/>
              <w:rPr>
                <w:rFonts w:asciiTheme="majorHAnsi" w:eastAsia="Calibri" w:hAnsiTheme="majorHAnsi" w:cstheme="majorHAnsi"/>
              </w:rPr>
            </w:pPr>
          </w:p>
        </w:tc>
        <w:tc>
          <w:tcPr>
            <w:tcW w:w="1923" w:type="dxa"/>
            <w:vMerge/>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E62759">
            <w:pPr>
              <w:spacing w:after="200" w:line="276" w:lineRule="auto"/>
              <w:rPr>
                <w:rFonts w:asciiTheme="majorHAnsi" w:eastAsia="Calibri" w:hAnsiTheme="majorHAnsi" w:cstheme="majorHAnsi"/>
              </w:rPr>
            </w:pPr>
          </w:p>
        </w:tc>
        <w:tc>
          <w:tcPr>
            <w:tcW w:w="1986" w:type="dxa"/>
            <w:vMerge/>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E62759">
            <w:pPr>
              <w:spacing w:after="200" w:line="276" w:lineRule="auto"/>
              <w:rPr>
                <w:rFonts w:asciiTheme="majorHAnsi" w:eastAsia="Calibri" w:hAnsiTheme="majorHAnsi" w:cstheme="majorHAnsi"/>
              </w:rPr>
            </w:pP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Comments</w:t>
            </w:r>
          </w:p>
        </w:tc>
        <w:tc>
          <w:tcPr>
            <w:tcW w:w="980"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Status</w:t>
            </w:r>
          </w:p>
        </w:tc>
      </w:tr>
      <w:tr w:rsidR="001A48DA" w:rsidRPr="004F01C3" w:rsidTr="00E617AC">
        <w:trPr>
          <w:trHeight w:val="1"/>
        </w:trPr>
        <w:tc>
          <w:tcPr>
            <w:tcW w:w="2814"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rsidR="00E62759" w:rsidRPr="004F01C3" w:rsidRDefault="00E617AC">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4.1 Same as key action 3.1</w:t>
            </w:r>
          </w:p>
        </w:tc>
        <w:tc>
          <w:tcPr>
            <w:tcW w:w="192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 xml:space="preserve">Ongoing  </w:t>
            </w:r>
          </w:p>
        </w:tc>
        <w:tc>
          <w:tcPr>
            <w:tcW w:w="198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1A48D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SEC</w:t>
            </w: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c>
          <w:tcPr>
            <w:tcW w:w="980"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r>
    </w:tbl>
    <w:p w:rsidR="00E62759" w:rsidRPr="004F01C3" w:rsidRDefault="00E62759">
      <w:pPr>
        <w:spacing w:after="200" w:line="276" w:lineRule="auto"/>
        <w:jc w:val="both"/>
        <w:rPr>
          <w:rFonts w:asciiTheme="majorHAnsi" w:eastAsia="Calibri" w:hAnsiTheme="majorHAnsi" w:cstheme="majorHAnsi"/>
        </w:rPr>
      </w:pPr>
    </w:p>
    <w:tbl>
      <w:tblPr>
        <w:tblW w:w="0" w:type="auto"/>
        <w:tblInd w:w="108" w:type="dxa"/>
        <w:tblCellMar>
          <w:left w:w="10" w:type="dxa"/>
          <w:right w:w="10" w:type="dxa"/>
        </w:tblCellMar>
        <w:tblLook w:val="0000" w:firstRow="0" w:lastRow="0" w:firstColumn="0" w:lastColumn="0" w:noHBand="0" w:noVBand="0"/>
      </w:tblPr>
      <w:tblGrid>
        <w:gridCol w:w="2820"/>
        <w:gridCol w:w="1911"/>
        <w:gridCol w:w="1277"/>
        <w:gridCol w:w="1919"/>
        <w:gridCol w:w="981"/>
      </w:tblGrid>
      <w:tr w:rsidR="00E617AC" w:rsidRPr="004F01C3" w:rsidTr="00E617AC">
        <w:trPr>
          <w:trHeight w:val="1"/>
        </w:trPr>
        <w:tc>
          <w:tcPr>
            <w:tcW w:w="8908" w:type="dxa"/>
            <w:gridSpan w:val="5"/>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17AC" w:rsidRPr="004F01C3" w:rsidRDefault="00E617AC" w:rsidP="00E617AC">
            <w:pPr>
              <w:spacing w:before="200" w:after="200" w:line="276" w:lineRule="auto"/>
              <w:rPr>
                <w:rFonts w:asciiTheme="majorHAnsi" w:hAnsiTheme="majorHAnsi" w:cstheme="majorHAnsi"/>
              </w:rPr>
            </w:pPr>
            <w:r w:rsidRPr="004F01C3">
              <w:rPr>
                <w:rFonts w:asciiTheme="majorHAnsi" w:eastAsia="Calibri" w:hAnsiTheme="majorHAnsi" w:cstheme="majorHAnsi"/>
                <w:b/>
              </w:rPr>
              <w:t xml:space="preserve">Terminal Evaluation recommendation 5: </w:t>
            </w:r>
            <w:r w:rsidRPr="004F01C3">
              <w:rPr>
                <w:rFonts w:asciiTheme="majorHAnsi" w:hAnsiTheme="majorHAnsi" w:cstheme="majorHAnsi"/>
              </w:rPr>
              <w:t xml:space="preserve">Results of the project in communication and through its VAT mechanism need to be measured, through household surveys or similar means and through completion of the VAT exemption database.  </w:t>
            </w:r>
          </w:p>
          <w:p w:rsidR="00E617AC" w:rsidRDefault="00E617AC"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Recommendation to:</w:t>
            </w:r>
            <w:r w:rsidRPr="004F01C3">
              <w:rPr>
                <w:rFonts w:asciiTheme="majorHAnsi" w:eastAsia="Calibri" w:hAnsiTheme="majorHAnsi" w:cstheme="majorHAnsi"/>
              </w:rPr>
              <w:t xml:space="preserve"> MEECC &amp; SEC.</w:t>
            </w:r>
          </w:p>
          <w:p w:rsidR="00C528F3" w:rsidRPr="004F01C3" w:rsidRDefault="00C528F3" w:rsidP="00753CA6">
            <w:pPr>
              <w:tabs>
                <w:tab w:val="left" w:pos="1080"/>
              </w:tabs>
              <w:spacing w:after="200" w:line="276" w:lineRule="auto"/>
              <w:jc w:val="both"/>
              <w:rPr>
                <w:rFonts w:asciiTheme="majorHAnsi" w:eastAsia="Calibri" w:hAnsiTheme="majorHAnsi" w:cstheme="majorHAnsi"/>
              </w:rPr>
            </w:pPr>
          </w:p>
        </w:tc>
      </w:tr>
      <w:tr w:rsidR="00E617AC" w:rsidRPr="004F01C3" w:rsidTr="00E617AC">
        <w:trPr>
          <w:trHeight w:val="1"/>
        </w:trPr>
        <w:tc>
          <w:tcPr>
            <w:tcW w:w="8908" w:type="dxa"/>
            <w:gridSpan w:val="5"/>
            <w:tcBorders>
              <w:top w:val="single" w:sz="4" w:space="0" w:color="000000"/>
              <w:left w:val="single" w:sz="4" w:space="0" w:color="000000"/>
              <w:bottom w:val="single" w:sz="6" w:space="0" w:color="000000"/>
              <w:right w:val="single" w:sz="4" w:space="0" w:color="000000"/>
            </w:tcBorders>
            <w:shd w:val="clear" w:color="auto" w:fill="F3F3F3"/>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Management response</w:t>
            </w:r>
            <w:r w:rsidRPr="004F01C3">
              <w:rPr>
                <w:rFonts w:asciiTheme="majorHAnsi" w:eastAsia="Calibri" w:hAnsiTheme="majorHAnsi" w:cstheme="majorHAnsi"/>
              </w:rPr>
              <w:t xml:space="preserve">: While management concurs with the recommendation, no further communications with regards to the project will be ongoing. </w:t>
            </w:r>
            <w:proofErr w:type="gramStart"/>
            <w:r w:rsidRPr="004F01C3">
              <w:rPr>
                <w:rFonts w:asciiTheme="majorHAnsi" w:eastAsia="Calibri" w:hAnsiTheme="majorHAnsi" w:cstheme="majorHAnsi"/>
              </w:rPr>
              <w:t>However</w:t>
            </w:r>
            <w:proofErr w:type="gramEnd"/>
            <w:r w:rsidRPr="004F01C3">
              <w:rPr>
                <w:rFonts w:asciiTheme="majorHAnsi" w:eastAsia="Calibri" w:hAnsiTheme="majorHAnsi" w:cstheme="majorHAnsi"/>
              </w:rPr>
              <w:t xml:space="preserve"> the product registry database (NOT VAT EXEMPTION DATABASE) is operational and is being managed by the staff of the SEC. An IT consultant will be supporting the work until end of 2019 supported by project funds. </w:t>
            </w:r>
          </w:p>
        </w:tc>
      </w:tr>
      <w:tr w:rsidR="00E617AC" w:rsidRPr="004F01C3" w:rsidTr="000558B5">
        <w:tc>
          <w:tcPr>
            <w:tcW w:w="2822" w:type="dxa"/>
            <w:vMerge w:val="restart"/>
            <w:tcBorders>
              <w:top w:val="single" w:sz="6" w:space="0" w:color="000000"/>
              <w:left w:val="single" w:sz="4" w:space="0" w:color="000000"/>
              <w:bottom w:val="single" w:sz="6" w:space="0" w:color="000000"/>
              <w:right w:val="single" w:sz="6" w:space="0" w:color="000000"/>
            </w:tcBorders>
            <w:shd w:val="clear" w:color="auto" w:fill="F3F3F3"/>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Key action(s)</w:t>
            </w:r>
          </w:p>
        </w:tc>
        <w:tc>
          <w:tcPr>
            <w:tcW w:w="1912" w:type="dxa"/>
            <w:vMerge w:val="restart"/>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Time frame</w:t>
            </w:r>
          </w:p>
        </w:tc>
        <w:tc>
          <w:tcPr>
            <w:tcW w:w="1273" w:type="dxa"/>
            <w:vMerge w:val="restart"/>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Responsible unit(s)</w:t>
            </w:r>
          </w:p>
        </w:tc>
        <w:tc>
          <w:tcPr>
            <w:tcW w:w="2901" w:type="dxa"/>
            <w:gridSpan w:val="2"/>
            <w:tcBorders>
              <w:top w:val="single" w:sz="6" w:space="0" w:color="000000"/>
              <w:left w:val="single" w:sz="6" w:space="0" w:color="000000"/>
              <w:bottom w:val="single" w:sz="6" w:space="0" w:color="000000"/>
              <w:right w:val="single" w:sz="4" w:space="0" w:color="000000"/>
            </w:tcBorders>
            <w:shd w:val="clear" w:color="auto" w:fill="F3F3F3"/>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Tracking</w:t>
            </w:r>
          </w:p>
        </w:tc>
      </w:tr>
      <w:tr w:rsidR="00E617AC" w:rsidRPr="004F01C3" w:rsidTr="000558B5">
        <w:tc>
          <w:tcPr>
            <w:tcW w:w="2822" w:type="dxa"/>
            <w:vMerge/>
            <w:tcBorders>
              <w:top w:val="single" w:sz="6" w:space="0" w:color="000000"/>
              <w:left w:val="single" w:sz="4" w:space="0" w:color="000000"/>
              <w:bottom w:val="single" w:sz="6" w:space="0" w:color="000000"/>
              <w:right w:val="single" w:sz="6" w:space="0" w:color="000000"/>
            </w:tcBorders>
            <w:shd w:val="clear" w:color="auto" w:fill="F3F3F3"/>
            <w:tcMar>
              <w:left w:w="108" w:type="dxa"/>
              <w:right w:w="108" w:type="dxa"/>
            </w:tcMar>
          </w:tcPr>
          <w:p w:rsidR="00E617AC" w:rsidRPr="004F01C3" w:rsidRDefault="00E617AC" w:rsidP="00753CA6">
            <w:pPr>
              <w:spacing w:after="200" w:line="276" w:lineRule="auto"/>
              <w:rPr>
                <w:rFonts w:asciiTheme="majorHAnsi" w:eastAsia="Calibri" w:hAnsiTheme="majorHAnsi" w:cstheme="majorHAnsi"/>
              </w:rPr>
            </w:pPr>
          </w:p>
        </w:tc>
        <w:tc>
          <w:tcPr>
            <w:tcW w:w="1912" w:type="dxa"/>
            <w:vMerge/>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17AC" w:rsidRPr="004F01C3" w:rsidRDefault="00E617AC" w:rsidP="00753CA6">
            <w:pPr>
              <w:spacing w:after="200" w:line="276" w:lineRule="auto"/>
              <w:rPr>
                <w:rFonts w:asciiTheme="majorHAnsi" w:eastAsia="Calibri" w:hAnsiTheme="majorHAnsi" w:cstheme="majorHAnsi"/>
              </w:rPr>
            </w:pPr>
          </w:p>
        </w:tc>
        <w:tc>
          <w:tcPr>
            <w:tcW w:w="1273" w:type="dxa"/>
            <w:vMerge/>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17AC" w:rsidRPr="004F01C3" w:rsidRDefault="00E617AC" w:rsidP="00753CA6">
            <w:pPr>
              <w:spacing w:after="200" w:line="276" w:lineRule="auto"/>
              <w:rPr>
                <w:rFonts w:asciiTheme="majorHAnsi" w:eastAsia="Calibri" w:hAnsiTheme="majorHAnsi" w:cstheme="majorHAnsi"/>
              </w:rPr>
            </w:pPr>
          </w:p>
        </w:tc>
        <w:tc>
          <w:tcPr>
            <w:tcW w:w="192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Comments</w:t>
            </w:r>
          </w:p>
        </w:tc>
        <w:tc>
          <w:tcPr>
            <w:tcW w:w="981"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Status</w:t>
            </w:r>
          </w:p>
        </w:tc>
      </w:tr>
      <w:tr w:rsidR="00E617AC" w:rsidRPr="004F01C3" w:rsidTr="000558B5">
        <w:tc>
          <w:tcPr>
            <w:tcW w:w="2822" w:type="dxa"/>
            <w:tcBorders>
              <w:top w:val="single" w:sz="6" w:space="0" w:color="000000"/>
              <w:left w:val="single" w:sz="4" w:space="0" w:color="000000"/>
              <w:bottom w:val="single" w:sz="6" w:space="0" w:color="000000"/>
              <w:right w:val="single" w:sz="6" w:space="0" w:color="000000"/>
            </w:tcBorders>
            <w:shd w:val="clear" w:color="auto" w:fill="F3F3F3"/>
            <w:tcMar>
              <w:left w:w="108" w:type="dxa"/>
              <w:right w:w="108" w:type="dxa"/>
            </w:tcMar>
          </w:tcPr>
          <w:p w:rsidR="00E617AC" w:rsidRPr="004F01C3" w:rsidRDefault="000558B5" w:rsidP="00E617AC">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5.1</w:t>
            </w:r>
            <w:r w:rsidR="00E617AC" w:rsidRPr="004F01C3">
              <w:rPr>
                <w:rFonts w:asciiTheme="majorHAnsi" w:eastAsia="Calibri" w:hAnsiTheme="majorHAnsi" w:cstheme="majorHAnsi"/>
              </w:rPr>
              <w:t xml:space="preserve"> IT consultant hired to maintain database </w:t>
            </w:r>
          </w:p>
        </w:tc>
        <w:tc>
          <w:tcPr>
            <w:tcW w:w="1912" w:type="dxa"/>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17AC" w:rsidRPr="004F01C3" w:rsidRDefault="00E617AC" w:rsidP="00E617AC">
            <w:pPr>
              <w:tabs>
                <w:tab w:val="left" w:pos="1080"/>
              </w:tabs>
              <w:spacing w:after="200" w:line="276" w:lineRule="auto"/>
              <w:rPr>
                <w:rFonts w:asciiTheme="majorHAnsi" w:eastAsia="Calibri" w:hAnsiTheme="majorHAnsi" w:cstheme="majorHAnsi"/>
              </w:rPr>
            </w:pPr>
            <w:r w:rsidRPr="004F01C3">
              <w:rPr>
                <w:rFonts w:asciiTheme="majorHAnsi" w:eastAsia="Calibri" w:hAnsiTheme="majorHAnsi" w:cstheme="majorHAnsi"/>
              </w:rPr>
              <w:t>Ongoing until November 2019</w:t>
            </w:r>
          </w:p>
        </w:tc>
        <w:tc>
          <w:tcPr>
            <w:tcW w:w="1273" w:type="dxa"/>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17AC" w:rsidRPr="004F01C3" w:rsidRDefault="00E617AC" w:rsidP="00E617AC">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 xml:space="preserve">SEC </w:t>
            </w:r>
          </w:p>
        </w:tc>
        <w:tc>
          <w:tcPr>
            <w:tcW w:w="192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17AC" w:rsidRPr="004F01C3" w:rsidRDefault="00E617AC" w:rsidP="00E617AC">
            <w:pPr>
              <w:tabs>
                <w:tab w:val="left" w:pos="1080"/>
              </w:tabs>
              <w:spacing w:after="200" w:line="276" w:lineRule="auto"/>
              <w:jc w:val="both"/>
              <w:rPr>
                <w:rFonts w:asciiTheme="majorHAnsi" w:eastAsia="Calibri" w:hAnsiTheme="majorHAnsi" w:cstheme="majorHAnsi"/>
              </w:rPr>
            </w:pPr>
          </w:p>
        </w:tc>
        <w:tc>
          <w:tcPr>
            <w:tcW w:w="981"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17AC" w:rsidRPr="004F01C3" w:rsidRDefault="00E617AC" w:rsidP="00E617AC">
            <w:pPr>
              <w:tabs>
                <w:tab w:val="left" w:pos="1080"/>
              </w:tabs>
              <w:spacing w:after="200" w:line="276" w:lineRule="auto"/>
              <w:jc w:val="both"/>
              <w:rPr>
                <w:rFonts w:asciiTheme="majorHAnsi" w:eastAsia="Calibri" w:hAnsiTheme="majorHAnsi" w:cstheme="majorHAnsi"/>
              </w:rPr>
            </w:pPr>
          </w:p>
        </w:tc>
      </w:tr>
      <w:tr w:rsidR="00E617AC" w:rsidRPr="004F01C3" w:rsidTr="000558B5">
        <w:tc>
          <w:tcPr>
            <w:tcW w:w="2822" w:type="dxa"/>
            <w:tcBorders>
              <w:top w:val="single" w:sz="6" w:space="0" w:color="000000"/>
              <w:left w:val="single" w:sz="4" w:space="0" w:color="000000"/>
              <w:bottom w:val="single" w:sz="6" w:space="0" w:color="000000"/>
              <w:right w:val="single" w:sz="6" w:space="0" w:color="000000"/>
            </w:tcBorders>
            <w:shd w:val="clear" w:color="auto" w:fill="F3F3F3"/>
            <w:tcMar>
              <w:left w:w="108" w:type="dxa"/>
              <w:right w:w="108" w:type="dxa"/>
            </w:tcMar>
          </w:tcPr>
          <w:p w:rsidR="00E617AC" w:rsidRPr="004F01C3" w:rsidRDefault="000558B5" w:rsidP="00E617AC">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5.2</w:t>
            </w:r>
            <w:r w:rsidR="00E617AC" w:rsidRPr="004F01C3">
              <w:rPr>
                <w:rFonts w:asciiTheme="majorHAnsi" w:eastAsia="Calibri" w:hAnsiTheme="majorHAnsi" w:cstheme="majorHAnsi"/>
              </w:rPr>
              <w:t xml:space="preserve"> </w:t>
            </w:r>
            <w:r w:rsidRPr="004F01C3">
              <w:rPr>
                <w:rFonts w:asciiTheme="majorHAnsi" w:eastAsia="Calibri" w:hAnsiTheme="majorHAnsi" w:cstheme="majorHAnsi"/>
              </w:rPr>
              <w:t>Reporting of key results from the database</w:t>
            </w:r>
            <w:r w:rsidR="00E617AC" w:rsidRPr="004F01C3">
              <w:rPr>
                <w:rFonts w:asciiTheme="majorHAnsi" w:eastAsia="Calibri" w:hAnsiTheme="majorHAnsi" w:cstheme="majorHAnsi"/>
              </w:rPr>
              <w:t xml:space="preserve"> </w:t>
            </w:r>
          </w:p>
        </w:tc>
        <w:tc>
          <w:tcPr>
            <w:tcW w:w="1912" w:type="dxa"/>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17AC" w:rsidRPr="004F01C3" w:rsidRDefault="00E617AC" w:rsidP="00E617AC">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 xml:space="preserve">As required </w:t>
            </w:r>
          </w:p>
        </w:tc>
        <w:tc>
          <w:tcPr>
            <w:tcW w:w="1273" w:type="dxa"/>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17AC" w:rsidRPr="004F01C3" w:rsidRDefault="000558B5" w:rsidP="00E617AC">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SEC, MEECC</w:t>
            </w:r>
          </w:p>
        </w:tc>
        <w:tc>
          <w:tcPr>
            <w:tcW w:w="192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17AC" w:rsidRPr="004F01C3" w:rsidRDefault="000558B5" w:rsidP="00E617AC">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This depends on the political will of the agencies to track and provide key results that may help in monitoring effectiveness of policies</w:t>
            </w:r>
          </w:p>
        </w:tc>
        <w:tc>
          <w:tcPr>
            <w:tcW w:w="981"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17AC" w:rsidRPr="004F01C3" w:rsidRDefault="00E617AC" w:rsidP="00E617AC">
            <w:pPr>
              <w:tabs>
                <w:tab w:val="left" w:pos="1080"/>
              </w:tabs>
              <w:spacing w:after="200" w:line="276" w:lineRule="auto"/>
              <w:jc w:val="both"/>
              <w:rPr>
                <w:rFonts w:asciiTheme="majorHAnsi" w:eastAsia="Calibri" w:hAnsiTheme="majorHAnsi" w:cstheme="majorHAnsi"/>
              </w:rPr>
            </w:pPr>
          </w:p>
        </w:tc>
      </w:tr>
    </w:tbl>
    <w:p w:rsidR="00E617AC" w:rsidRPr="004F01C3" w:rsidRDefault="00E617AC">
      <w:pPr>
        <w:spacing w:after="200" w:line="276" w:lineRule="auto"/>
        <w:jc w:val="both"/>
        <w:rPr>
          <w:rFonts w:asciiTheme="majorHAnsi" w:eastAsia="Calibri" w:hAnsiTheme="majorHAnsi" w:cstheme="majorHAnsi"/>
        </w:rPr>
      </w:pPr>
    </w:p>
    <w:p w:rsidR="00E617AC" w:rsidRPr="004F01C3" w:rsidRDefault="00E617AC">
      <w:pPr>
        <w:spacing w:after="200" w:line="276" w:lineRule="auto"/>
        <w:jc w:val="both"/>
        <w:rPr>
          <w:rFonts w:asciiTheme="majorHAnsi" w:eastAsia="Calibri" w:hAnsiTheme="majorHAnsi" w:cstheme="majorHAnsi"/>
        </w:rPr>
      </w:pPr>
    </w:p>
    <w:tbl>
      <w:tblPr>
        <w:tblW w:w="0" w:type="auto"/>
        <w:tblInd w:w="108" w:type="dxa"/>
        <w:tblCellMar>
          <w:left w:w="10" w:type="dxa"/>
          <w:right w:w="10" w:type="dxa"/>
        </w:tblCellMar>
        <w:tblLook w:val="0000" w:firstRow="0" w:lastRow="0" w:firstColumn="0" w:lastColumn="0" w:noHBand="0" w:noVBand="0"/>
      </w:tblPr>
      <w:tblGrid>
        <w:gridCol w:w="2841"/>
        <w:gridCol w:w="1901"/>
        <w:gridCol w:w="1982"/>
        <w:gridCol w:w="1205"/>
        <w:gridCol w:w="979"/>
      </w:tblGrid>
      <w:tr w:rsidR="00E62759" w:rsidRPr="004F01C3">
        <w:trPr>
          <w:trHeight w:val="1"/>
        </w:trPr>
        <w:tc>
          <w:tcPr>
            <w:tcW w:w="9216" w:type="dxa"/>
            <w:gridSpan w:val="5"/>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C528F3" w:rsidRDefault="00C528F3" w:rsidP="00AA65E8">
            <w:pPr>
              <w:tabs>
                <w:tab w:val="left" w:pos="1080"/>
              </w:tabs>
              <w:spacing w:after="200" w:line="276" w:lineRule="auto"/>
              <w:jc w:val="both"/>
              <w:rPr>
                <w:rFonts w:asciiTheme="majorHAnsi" w:eastAsia="Calibri" w:hAnsiTheme="majorHAnsi" w:cstheme="majorHAnsi"/>
                <w:b/>
              </w:rPr>
            </w:pPr>
          </w:p>
          <w:p w:rsidR="00E62759" w:rsidRPr="004F01C3" w:rsidRDefault="00B50ACA" w:rsidP="00AA65E8">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 xml:space="preserve">Terminal Evaluation recommendation </w:t>
            </w:r>
            <w:r w:rsidR="000558B5" w:rsidRPr="004F01C3">
              <w:rPr>
                <w:rFonts w:asciiTheme="majorHAnsi" w:eastAsia="Calibri" w:hAnsiTheme="majorHAnsi" w:cstheme="majorHAnsi"/>
                <w:b/>
              </w:rPr>
              <w:t>6</w:t>
            </w:r>
            <w:r w:rsidRPr="004F01C3">
              <w:rPr>
                <w:rFonts w:asciiTheme="majorHAnsi" w:eastAsia="Calibri" w:hAnsiTheme="majorHAnsi" w:cstheme="majorHAnsi"/>
                <w:b/>
              </w:rPr>
              <w:t xml:space="preserve">. </w:t>
            </w:r>
            <w:r w:rsidRPr="004F01C3">
              <w:rPr>
                <w:rFonts w:asciiTheme="majorHAnsi" w:eastAsia="Calibri" w:hAnsiTheme="majorHAnsi" w:cstheme="majorHAnsi"/>
              </w:rPr>
              <w:t xml:space="preserve">It would be useful to explore extending the </w:t>
            </w:r>
            <w:r w:rsidR="001A48DA" w:rsidRPr="004F01C3">
              <w:rPr>
                <w:rFonts w:asciiTheme="majorHAnsi" w:eastAsia="Calibri" w:hAnsiTheme="majorHAnsi" w:cstheme="majorHAnsi"/>
              </w:rPr>
              <w:t>“S</w:t>
            </w:r>
            <w:r w:rsidRPr="004F01C3">
              <w:rPr>
                <w:rFonts w:asciiTheme="majorHAnsi" w:eastAsia="Calibri" w:hAnsiTheme="majorHAnsi" w:cstheme="majorHAnsi"/>
              </w:rPr>
              <w:t>witch to LED</w:t>
            </w:r>
            <w:r w:rsidR="001A48DA" w:rsidRPr="004F01C3">
              <w:rPr>
                <w:rFonts w:asciiTheme="majorHAnsi" w:eastAsia="Calibri" w:hAnsiTheme="majorHAnsi" w:cstheme="majorHAnsi"/>
              </w:rPr>
              <w:t>”</w:t>
            </w:r>
            <w:r w:rsidRPr="004F01C3">
              <w:rPr>
                <w:rFonts w:asciiTheme="majorHAnsi" w:eastAsia="Calibri" w:hAnsiTheme="majorHAnsi" w:cstheme="majorHAnsi"/>
              </w:rPr>
              <w:t xml:space="preserve"> exchange campaign, to more lamps and/or to other appliances also. Such approaches are beneficial in particular to low-income households, can offer specific national benefits when electricity tariffs are subsidised and may have a role in tariff restructuring.   </w:t>
            </w:r>
          </w:p>
          <w:p w:rsidR="000558B5" w:rsidRPr="004F01C3" w:rsidRDefault="000558B5" w:rsidP="00AA65E8">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Recommendation to:</w:t>
            </w:r>
            <w:r w:rsidRPr="004F01C3">
              <w:rPr>
                <w:rFonts w:asciiTheme="majorHAnsi" w:eastAsia="Calibri" w:hAnsiTheme="majorHAnsi" w:cstheme="majorHAnsi"/>
              </w:rPr>
              <w:t xml:space="preserve"> MEECC, SEC and others.</w:t>
            </w:r>
          </w:p>
        </w:tc>
      </w:tr>
      <w:tr w:rsidR="00E62759" w:rsidRPr="004F01C3">
        <w:trPr>
          <w:trHeight w:val="1"/>
        </w:trPr>
        <w:tc>
          <w:tcPr>
            <w:tcW w:w="9216" w:type="dxa"/>
            <w:gridSpan w:val="5"/>
            <w:tcBorders>
              <w:top w:val="single" w:sz="4" w:space="0" w:color="000000"/>
              <w:left w:val="single" w:sz="4" w:space="0" w:color="000000"/>
              <w:bottom w:val="single" w:sz="6" w:space="0" w:color="000000"/>
              <w:right w:val="single" w:sz="4"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Management response</w:t>
            </w:r>
            <w:r w:rsidRPr="004F01C3">
              <w:rPr>
                <w:rFonts w:asciiTheme="majorHAnsi" w:eastAsia="Calibri" w:hAnsiTheme="majorHAnsi" w:cstheme="majorHAnsi"/>
              </w:rPr>
              <w:t xml:space="preserve">: </w:t>
            </w:r>
            <w:r w:rsidR="000558B5" w:rsidRPr="004F01C3">
              <w:rPr>
                <w:rFonts w:asciiTheme="majorHAnsi" w:eastAsia="Calibri" w:hAnsiTheme="majorHAnsi" w:cstheme="majorHAnsi"/>
              </w:rPr>
              <w:t xml:space="preserve">Management concurs with this recommendation and </w:t>
            </w:r>
            <w:r w:rsidR="001A48DA" w:rsidRPr="004F01C3">
              <w:rPr>
                <w:rFonts w:asciiTheme="majorHAnsi" w:eastAsia="Calibri" w:hAnsiTheme="majorHAnsi" w:cstheme="majorHAnsi"/>
              </w:rPr>
              <w:t xml:space="preserve">SEC </w:t>
            </w:r>
            <w:r w:rsidR="000558B5" w:rsidRPr="004F01C3">
              <w:rPr>
                <w:rFonts w:asciiTheme="majorHAnsi" w:eastAsia="Calibri" w:hAnsiTheme="majorHAnsi" w:cstheme="majorHAnsi"/>
              </w:rPr>
              <w:t>with</w:t>
            </w:r>
            <w:r w:rsidR="001A48DA" w:rsidRPr="004F01C3">
              <w:rPr>
                <w:rFonts w:asciiTheme="majorHAnsi" w:eastAsia="Calibri" w:hAnsiTheme="majorHAnsi" w:cstheme="majorHAnsi"/>
              </w:rPr>
              <w:t xml:space="preserve"> project partners to e</w:t>
            </w:r>
            <w:r w:rsidRPr="004F01C3">
              <w:rPr>
                <w:rFonts w:asciiTheme="majorHAnsi" w:eastAsia="Calibri" w:hAnsiTheme="majorHAnsi" w:cstheme="majorHAnsi"/>
              </w:rPr>
              <w:t xml:space="preserve">xplore ways to further improve on </w:t>
            </w:r>
            <w:r w:rsidR="00AA65E8" w:rsidRPr="004F01C3">
              <w:rPr>
                <w:rFonts w:asciiTheme="majorHAnsi" w:eastAsia="Calibri" w:hAnsiTheme="majorHAnsi" w:cstheme="majorHAnsi"/>
              </w:rPr>
              <w:t xml:space="preserve">the </w:t>
            </w:r>
            <w:r w:rsidR="001A48DA" w:rsidRPr="004F01C3">
              <w:rPr>
                <w:rFonts w:asciiTheme="majorHAnsi" w:eastAsia="Calibri" w:hAnsiTheme="majorHAnsi" w:cstheme="majorHAnsi"/>
              </w:rPr>
              <w:t>“Switch to LED” exchange programme and consider other similar campaigns, depending on available funding</w:t>
            </w:r>
          </w:p>
        </w:tc>
      </w:tr>
      <w:tr w:rsidR="00E62759" w:rsidRPr="004F01C3">
        <w:tc>
          <w:tcPr>
            <w:tcW w:w="2965" w:type="dxa"/>
            <w:vMerge w:val="restart"/>
            <w:tcBorders>
              <w:top w:val="single" w:sz="6" w:space="0" w:color="000000"/>
              <w:left w:val="single" w:sz="4" w:space="0" w:color="000000"/>
              <w:bottom w:val="single" w:sz="6" w:space="0" w:color="000000"/>
              <w:right w:val="single" w:sz="6"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Key action(s)</w:t>
            </w:r>
          </w:p>
        </w:tc>
        <w:tc>
          <w:tcPr>
            <w:tcW w:w="2002" w:type="dxa"/>
            <w:vMerge w:val="restart"/>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Time frame</w:t>
            </w:r>
          </w:p>
        </w:tc>
        <w:tc>
          <w:tcPr>
            <w:tcW w:w="2044" w:type="dxa"/>
            <w:vMerge w:val="restart"/>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Responsible unit(s)</w:t>
            </w:r>
          </w:p>
        </w:tc>
        <w:tc>
          <w:tcPr>
            <w:tcW w:w="2205" w:type="dxa"/>
            <w:gridSpan w:val="2"/>
            <w:tcBorders>
              <w:top w:val="single" w:sz="6" w:space="0" w:color="000000"/>
              <w:left w:val="single" w:sz="6" w:space="0" w:color="000000"/>
              <w:bottom w:val="single" w:sz="6" w:space="0" w:color="000000"/>
              <w:right w:val="single" w:sz="4"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Tracking</w:t>
            </w:r>
          </w:p>
        </w:tc>
      </w:tr>
      <w:tr w:rsidR="00E62759" w:rsidRPr="004F01C3">
        <w:tc>
          <w:tcPr>
            <w:tcW w:w="2965" w:type="dxa"/>
            <w:vMerge/>
            <w:tcBorders>
              <w:top w:val="single" w:sz="6" w:space="0" w:color="000000"/>
              <w:left w:val="single" w:sz="4" w:space="0" w:color="000000"/>
              <w:bottom w:val="single" w:sz="6" w:space="0" w:color="000000"/>
              <w:right w:val="single" w:sz="6" w:space="0" w:color="000000"/>
            </w:tcBorders>
            <w:shd w:val="clear" w:color="auto" w:fill="F3F3F3"/>
            <w:tcMar>
              <w:left w:w="108" w:type="dxa"/>
              <w:right w:w="108" w:type="dxa"/>
            </w:tcMar>
          </w:tcPr>
          <w:p w:rsidR="00E62759" w:rsidRPr="004F01C3" w:rsidRDefault="00E62759">
            <w:pPr>
              <w:spacing w:after="200" w:line="276" w:lineRule="auto"/>
              <w:rPr>
                <w:rFonts w:asciiTheme="majorHAnsi" w:eastAsia="Calibri" w:hAnsiTheme="majorHAnsi" w:cstheme="majorHAnsi"/>
              </w:rPr>
            </w:pPr>
          </w:p>
        </w:tc>
        <w:tc>
          <w:tcPr>
            <w:tcW w:w="2002" w:type="dxa"/>
            <w:vMerge/>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E62759">
            <w:pPr>
              <w:spacing w:after="200" w:line="276" w:lineRule="auto"/>
              <w:rPr>
                <w:rFonts w:asciiTheme="majorHAnsi" w:eastAsia="Calibri" w:hAnsiTheme="majorHAnsi" w:cstheme="majorHAnsi"/>
              </w:rPr>
            </w:pPr>
          </w:p>
        </w:tc>
        <w:tc>
          <w:tcPr>
            <w:tcW w:w="2044" w:type="dxa"/>
            <w:vMerge/>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E62759">
            <w:pPr>
              <w:spacing w:after="200" w:line="276" w:lineRule="auto"/>
              <w:rPr>
                <w:rFonts w:asciiTheme="majorHAnsi" w:eastAsia="Calibri" w:hAnsiTheme="majorHAnsi" w:cstheme="majorHAnsi"/>
              </w:rPr>
            </w:pPr>
          </w:p>
        </w:tc>
        <w:tc>
          <w:tcPr>
            <w:tcW w:w="12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Comments</w:t>
            </w:r>
          </w:p>
        </w:tc>
        <w:tc>
          <w:tcPr>
            <w:tcW w:w="998"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Status</w:t>
            </w:r>
          </w:p>
        </w:tc>
      </w:tr>
      <w:tr w:rsidR="00E62759" w:rsidRPr="004F01C3">
        <w:trPr>
          <w:trHeight w:val="1"/>
        </w:trPr>
        <w:tc>
          <w:tcPr>
            <w:tcW w:w="2965"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rsidR="00E62759" w:rsidRPr="004F01C3" w:rsidRDefault="000558B5">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6.1</w:t>
            </w:r>
            <w:r w:rsidR="00B50ACA" w:rsidRPr="004F01C3">
              <w:rPr>
                <w:rFonts w:asciiTheme="majorHAnsi" w:eastAsia="Calibri" w:hAnsiTheme="majorHAnsi" w:cstheme="majorHAnsi"/>
              </w:rPr>
              <w:t xml:space="preserve"> </w:t>
            </w:r>
            <w:r w:rsidR="001A48DA" w:rsidRPr="004F01C3">
              <w:rPr>
                <w:rFonts w:asciiTheme="majorHAnsi" w:eastAsia="Calibri" w:hAnsiTheme="majorHAnsi" w:cstheme="majorHAnsi"/>
              </w:rPr>
              <w:t>Report on the uptake of the “Switch to LED”</w:t>
            </w:r>
          </w:p>
        </w:tc>
        <w:tc>
          <w:tcPr>
            <w:tcW w:w="20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1A48DA" w:rsidP="001A48DA">
            <w:pPr>
              <w:tabs>
                <w:tab w:val="left" w:pos="1080"/>
              </w:tabs>
              <w:spacing w:after="200" w:line="276" w:lineRule="auto"/>
              <w:jc w:val="center"/>
              <w:rPr>
                <w:rFonts w:asciiTheme="majorHAnsi" w:eastAsia="Calibri" w:hAnsiTheme="majorHAnsi" w:cstheme="majorHAnsi"/>
              </w:rPr>
            </w:pPr>
            <w:r w:rsidRPr="004F01C3">
              <w:rPr>
                <w:rFonts w:asciiTheme="majorHAnsi" w:eastAsia="Calibri" w:hAnsiTheme="majorHAnsi" w:cstheme="majorHAnsi"/>
              </w:rPr>
              <w:t>2019</w:t>
            </w:r>
          </w:p>
        </w:tc>
        <w:tc>
          <w:tcPr>
            <w:tcW w:w="204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1A48D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PUC</w:t>
            </w:r>
          </w:p>
        </w:tc>
        <w:tc>
          <w:tcPr>
            <w:tcW w:w="12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c>
          <w:tcPr>
            <w:tcW w:w="998"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r>
      <w:tr w:rsidR="00E62759" w:rsidRPr="004F01C3">
        <w:trPr>
          <w:trHeight w:val="1"/>
        </w:trPr>
        <w:tc>
          <w:tcPr>
            <w:tcW w:w="2965"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rsidR="00E62759" w:rsidRPr="004F01C3" w:rsidRDefault="000558B5">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6.2.</w:t>
            </w:r>
            <w:r w:rsidR="001A48DA" w:rsidRPr="004F01C3">
              <w:rPr>
                <w:rFonts w:asciiTheme="majorHAnsi" w:eastAsia="Calibri" w:hAnsiTheme="majorHAnsi" w:cstheme="majorHAnsi"/>
              </w:rPr>
              <w:t xml:space="preserve"> </w:t>
            </w:r>
            <w:r w:rsidRPr="004F01C3">
              <w:rPr>
                <w:rFonts w:asciiTheme="majorHAnsi" w:eastAsia="Calibri" w:hAnsiTheme="majorHAnsi" w:cstheme="majorHAnsi"/>
              </w:rPr>
              <w:t>Identify</w:t>
            </w:r>
            <w:r w:rsidR="001A48DA" w:rsidRPr="004F01C3">
              <w:rPr>
                <w:rFonts w:asciiTheme="majorHAnsi" w:eastAsia="Calibri" w:hAnsiTheme="majorHAnsi" w:cstheme="majorHAnsi"/>
              </w:rPr>
              <w:t xml:space="preserve"> ways to improve on the “Switch to LED” exchange programme</w:t>
            </w:r>
          </w:p>
        </w:tc>
        <w:tc>
          <w:tcPr>
            <w:tcW w:w="20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1A48DA" w:rsidP="001A48DA">
            <w:pPr>
              <w:tabs>
                <w:tab w:val="left" w:pos="1080"/>
              </w:tabs>
              <w:spacing w:after="200" w:line="276" w:lineRule="auto"/>
              <w:jc w:val="center"/>
              <w:rPr>
                <w:rFonts w:asciiTheme="majorHAnsi" w:eastAsia="Calibri" w:hAnsiTheme="majorHAnsi" w:cstheme="majorHAnsi"/>
              </w:rPr>
            </w:pPr>
            <w:r w:rsidRPr="004F01C3">
              <w:rPr>
                <w:rFonts w:asciiTheme="majorHAnsi" w:eastAsia="Calibri" w:hAnsiTheme="majorHAnsi" w:cstheme="majorHAnsi"/>
              </w:rPr>
              <w:t>2019</w:t>
            </w:r>
          </w:p>
        </w:tc>
        <w:tc>
          <w:tcPr>
            <w:tcW w:w="204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1A48D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SEC</w:t>
            </w:r>
          </w:p>
        </w:tc>
        <w:tc>
          <w:tcPr>
            <w:tcW w:w="120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c>
          <w:tcPr>
            <w:tcW w:w="998"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r>
      <w:tr w:rsidR="00E62759" w:rsidRPr="004F01C3">
        <w:trPr>
          <w:trHeight w:val="1"/>
        </w:trPr>
        <w:tc>
          <w:tcPr>
            <w:tcW w:w="2965"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E62759" w:rsidRPr="004F01C3" w:rsidRDefault="000558B5">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6.3</w:t>
            </w:r>
            <w:r w:rsidR="001A48DA" w:rsidRPr="004F01C3">
              <w:rPr>
                <w:rFonts w:asciiTheme="majorHAnsi" w:eastAsia="Calibri" w:hAnsiTheme="majorHAnsi" w:cstheme="majorHAnsi"/>
              </w:rPr>
              <w:t xml:space="preserve"> </w:t>
            </w:r>
            <w:r w:rsidRPr="004F01C3">
              <w:rPr>
                <w:rFonts w:asciiTheme="majorHAnsi" w:eastAsia="Calibri" w:hAnsiTheme="majorHAnsi" w:cstheme="majorHAnsi"/>
              </w:rPr>
              <w:t xml:space="preserve">Evaluate </w:t>
            </w:r>
            <w:proofErr w:type="gramStart"/>
            <w:r w:rsidRPr="004F01C3">
              <w:rPr>
                <w:rFonts w:asciiTheme="majorHAnsi" w:eastAsia="Calibri" w:hAnsiTheme="majorHAnsi" w:cstheme="majorHAnsi"/>
              </w:rPr>
              <w:t xml:space="preserve">innovative </w:t>
            </w:r>
            <w:r w:rsidR="001A48DA" w:rsidRPr="004F01C3">
              <w:rPr>
                <w:rFonts w:asciiTheme="majorHAnsi" w:eastAsia="Calibri" w:hAnsiTheme="majorHAnsi" w:cstheme="majorHAnsi"/>
              </w:rPr>
              <w:t xml:space="preserve"> financing</w:t>
            </w:r>
            <w:proofErr w:type="gramEnd"/>
            <w:r w:rsidR="001A48DA" w:rsidRPr="004F01C3">
              <w:rPr>
                <w:rFonts w:asciiTheme="majorHAnsi" w:eastAsia="Calibri" w:hAnsiTheme="majorHAnsi" w:cstheme="majorHAnsi"/>
              </w:rPr>
              <w:t xml:space="preserve"> opportunities to promote EE for low income households</w:t>
            </w:r>
          </w:p>
        </w:tc>
        <w:tc>
          <w:tcPr>
            <w:tcW w:w="2002"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E62759" w:rsidRPr="004F01C3" w:rsidRDefault="001A48DA" w:rsidP="001A48DA">
            <w:pPr>
              <w:tabs>
                <w:tab w:val="left" w:pos="1080"/>
              </w:tabs>
              <w:spacing w:after="200" w:line="276" w:lineRule="auto"/>
              <w:jc w:val="center"/>
              <w:rPr>
                <w:rFonts w:asciiTheme="majorHAnsi" w:eastAsia="Calibri" w:hAnsiTheme="majorHAnsi" w:cstheme="majorHAnsi"/>
              </w:rPr>
            </w:pPr>
            <w:r w:rsidRPr="004F01C3">
              <w:rPr>
                <w:rFonts w:asciiTheme="majorHAnsi" w:eastAsia="Calibri" w:hAnsiTheme="majorHAnsi" w:cstheme="majorHAnsi"/>
              </w:rPr>
              <w:t>2020</w:t>
            </w:r>
          </w:p>
        </w:tc>
        <w:tc>
          <w:tcPr>
            <w:tcW w:w="2044"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E62759" w:rsidRPr="004F01C3" w:rsidRDefault="001A48D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SEC</w:t>
            </w:r>
          </w:p>
        </w:tc>
        <w:tc>
          <w:tcPr>
            <w:tcW w:w="1207"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c>
          <w:tcPr>
            <w:tcW w:w="99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r>
    </w:tbl>
    <w:p w:rsidR="00E62759" w:rsidRPr="004F01C3" w:rsidRDefault="00E62759">
      <w:pPr>
        <w:spacing w:after="200" w:line="276" w:lineRule="auto"/>
        <w:jc w:val="both"/>
        <w:rPr>
          <w:rFonts w:asciiTheme="majorHAnsi" w:eastAsia="Calibri" w:hAnsiTheme="majorHAnsi" w:cstheme="majorHAnsi"/>
        </w:rPr>
      </w:pPr>
    </w:p>
    <w:tbl>
      <w:tblPr>
        <w:tblW w:w="0" w:type="auto"/>
        <w:tblInd w:w="108" w:type="dxa"/>
        <w:tblCellMar>
          <w:left w:w="10" w:type="dxa"/>
          <w:right w:w="10" w:type="dxa"/>
        </w:tblCellMar>
        <w:tblLook w:val="0000" w:firstRow="0" w:lastRow="0" w:firstColumn="0" w:lastColumn="0" w:noHBand="0" w:noVBand="0"/>
      </w:tblPr>
      <w:tblGrid>
        <w:gridCol w:w="2839"/>
        <w:gridCol w:w="1902"/>
        <w:gridCol w:w="1983"/>
        <w:gridCol w:w="1205"/>
        <w:gridCol w:w="979"/>
      </w:tblGrid>
      <w:tr w:rsidR="00E62759" w:rsidRPr="004F01C3" w:rsidTr="000558B5">
        <w:trPr>
          <w:trHeight w:val="1"/>
        </w:trPr>
        <w:tc>
          <w:tcPr>
            <w:tcW w:w="8908" w:type="dxa"/>
            <w:gridSpan w:val="5"/>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E62759" w:rsidRPr="004F01C3" w:rsidRDefault="001A48DA" w:rsidP="001A48DA">
            <w:pPr>
              <w:tabs>
                <w:tab w:val="left" w:pos="1080"/>
              </w:tabs>
              <w:spacing w:after="200" w:line="276" w:lineRule="auto"/>
              <w:jc w:val="both"/>
              <w:rPr>
                <w:rFonts w:asciiTheme="majorHAnsi" w:eastAsia="Calibri" w:hAnsiTheme="majorHAnsi" w:cstheme="majorHAnsi"/>
                <w:b/>
              </w:rPr>
            </w:pPr>
            <w:r w:rsidRPr="004F01C3">
              <w:rPr>
                <w:rFonts w:asciiTheme="majorHAnsi" w:eastAsia="Calibri" w:hAnsiTheme="majorHAnsi" w:cstheme="majorHAnsi"/>
                <w:b/>
              </w:rPr>
              <w:t>T</w:t>
            </w:r>
            <w:r w:rsidR="00B50ACA" w:rsidRPr="004F01C3">
              <w:rPr>
                <w:rFonts w:asciiTheme="majorHAnsi" w:eastAsia="Calibri" w:hAnsiTheme="majorHAnsi" w:cstheme="majorHAnsi"/>
                <w:b/>
              </w:rPr>
              <w:t xml:space="preserve">erminal Evaluation recommendation </w:t>
            </w:r>
            <w:r w:rsidR="000558B5" w:rsidRPr="004F01C3">
              <w:rPr>
                <w:rFonts w:asciiTheme="majorHAnsi" w:eastAsia="Calibri" w:hAnsiTheme="majorHAnsi" w:cstheme="majorHAnsi"/>
                <w:b/>
              </w:rPr>
              <w:t>7</w:t>
            </w:r>
            <w:r w:rsidR="00B50ACA" w:rsidRPr="004F01C3">
              <w:rPr>
                <w:rFonts w:asciiTheme="majorHAnsi" w:eastAsia="Calibri" w:hAnsiTheme="majorHAnsi" w:cstheme="majorHAnsi"/>
              </w:rPr>
              <w:t>. Future policy or regulatory projects for resource efficiency are not recommended at this point, given that several more years may be needed to reach the objectives of this project and the experience gained with that would be needed for new projects</w:t>
            </w:r>
            <w:r w:rsidR="00B50ACA" w:rsidRPr="004F01C3">
              <w:rPr>
                <w:rFonts w:asciiTheme="majorHAnsi" w:eastAsia="Calibri" w:hAnsiTheme="majorHAnsi" w:cstheme="majorHAnsi"/>
                <w:b/>
              </w:rPr>
              <w:t>.</w:t>
            </w:r>
          </w:p>
          <w:p w:rsidR="000558B5" w:rsidRPr="004F01C3" w:rsidRDefault="000558B5" w:rsidP="001A48D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Recommendation to:</w:t>
            </w:r>
            <w:r w:rsidRPr="004F01C3">
              <w:rPr>
                <w:rFonts w:asciiTheme="majorHAnsi" w:eastAsia="Calibri" w:hAnsiTheme="majorHAnsi" w:cstheme="majorHAnsi"/>
              </w:rPr>
              <w:t xml:space="preserve"> MEECC, SEC and others.</w:t>
            </w:r>
          </w:p>
        </w:tc>
      </w:tr>
      <w:tr w:rsidR="00E62759" w:rsidRPr="004F01C3" w:rsidTr="000558B5">
        <w:trPr>
          <w:trHeight w:val="1"/>
        </w:trPr>
        <w:tc>
          <w:tcPr>
            <w:tcW w:w="8908" w:type="dxa"/>
            <w:gridSpan w:val="5"/>
            <w:tcBorders>
              <w:top w:val="single" w:sz="4" w:space="0" w:color="000000"/>
              <w:left w:val="single" w:sz="4" w:space="0" w:color="000000"/>
              <w:bottom w:val="single" w:sz="6" w:space="0" w:color="000000"/>
              <w:right w:val="single" w:sz="4"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Management response</w:t>
            </w:r>
            <w:r w:rsidRPr="004F01C3">
              <w:rPr>
                <w:rFonts w:asciiTheme="majorHAnsi" w:eastAsia="Calibri" w:hAnsiTheme="majorHAnsi" w:cstheme="majorHAnsi"/>
              </w:rPr>
              <w:t xml:space="preserve">: </w:t>
            </w:r>
            <w:r w:rsidR="000558B5" w:rsidRPr="004F01C3">
              <w:rPr>
                <w:rFonts w:asciiTheme="majorHAnsi" w:eastAsia="Calibri" w:hAnsiTheme="majorHAnsi" w:cstheme="majorHAnsi"/>
              </w:rPr>
              <w:t xml:space="preserve">Management does not wholly concur with the recommendation particularly the </w:t>
            </w:r>
            <w:r w:rsidR="001A48DA" w:rsidRPr="004F01C3">
              <w:rPr>
                <w:rFonts w:asciiTheme="majorHAnsi" w:eastAsia="Calibri" w:hAnsiTheme="majorHAnsi" w:cstheme="majorHAnsi"/>
              </w:rPr>
              <w:t>SEC d</w:t>
            </w:r>
            <w:r w:rsidRPr="004F01C3">
              <w:rPr>
                <w:rFonts w:asciiTheme="majorHAnsi" w:eastAsia="Calibri" w:hAnsiTheme="majorHAnsi" w:cstheme="majorHAnsi"/>
              </w:rPr>
              <w:t>isagree</w:t>
            </w:r>
            <w:r w:rsidR="000558B5" w:rsidRPr="004F01C3">
              <w:rPr>
                <w:rFonts w:asciiTheme="majorHAnsi" w:eastAsia="Calibri" w:hAnsiTheme="majorHAnsi" w:cstheme="majorHAnsi"/>
              </w:rPr>
              <w:t xml:space="preserve">s </w:t>
            </w:r>
            <w:r w:rsidR="001A48DA" w:rsidRPr="004F01C3">
              <w:rPr>
                <w:rFonts w:asciiTheme="majorHAnsi" w:eastAsia="Calibri" w:hAnsiTheme="majorHAnsi" w:cstheme="majorHAnsi"/>
              </w:rPr>
              <w:t>with the recommendation from the Terminal evaluator</w:t>
            </w:r>
            <w:r w:rsidRPr="004F01C3">
              <w:rPr>
                <w:rFonts w:asciiTheme="majorHAnsi" w:eastAsia="Calibri" w:hAnsiTheme="majorHAnsi" w:cstheme="majorHAnsi"/>
              </w:rPr>
              <w:t>.</w:t>
            </w:r>
            <w:r w:rsidR="000558B5" w:rsidRPr="004F01C3">
              <w:rPr>
                <w:rFonts w:asciiTheme="majorHAnsi" w:eastAsia="Calibri" w:hAnsiTheme="majorHAnsi" w:cstheme="majorHAnsi"/>
              </w:rPr>
              <w:t xml:space="preserve"> SEC feels it is imperative to build upon the lessons learned from the</w:t>
            </w:r>
            <w:r w:rsidR="001A48DA" w:rsidRPr="004F01C3">
              <w:rPr>
                <w:rFonts w:asciiTheme="majorHAnsi" w:eastAsia="Calibri" w:hAnsiTheme="majorHAnsi" w:cstheme="majorHAnsi"/>
              </w:rPr>
              <w:t xml:space="preserve"> UNDP-GEF </w:t>
            </w:r>
            <w:r w:rsidRPr="004F01C3">
              <w:rPr>
                <w:rFonts w:asciiTheme="majorHAnsi" w:eastAsia="Calibri" w:hAnsiTheme="majorHAnsi" w:cstheme="majorHAnsi"/>
              </w:rPr>
              <w:t>RE project. The Government will address new opportunities to help ensure the sustainability of Energy Efficiency in the future. This may be in collaboration with other funding partners</w:t>
            </w:r>
            <w:r w:rsidR="001A48DA" w:rsidRPr="004F01C3">
              <w:rPr>
                <w:rFonts w:asciiTheme="majorHAnsi" w:eastAsia="Calibri" w:hAnsiTheme="majorHAnsi" w:cstheme="majorHAnsi"/>
              </w:rPr>
              <w:t xml:space="preserve"> such as </w:t>
            </w:r>
            <w:r w:rsidRPr="004F01C3">
              <w:rPr>
                <w:rFonts w:asciiTheme="majorHAnsi" w:eastAsia="Calibri" w:hAnsiTheme="majorHAnsi" w:cstheme="majorHAnsi"/>
              </w:rPr>
              <w:t xml:space="preserve">GCF. </w:t>
            </w:r>
          </w:p>
        </w:tc>
      </w:tr>
      <w:tr w:rsidR="00E62759" w:rsidRPr="004F01C3" w:rsidTr="000558B5">
        <w:tc>
          <w:tcPr>
            <w:tcW w:w="2839" w:type="dxa"/>
            <w:vMerge w:val="restart"/>
            <w:tcBorders>
              <w:top w:val="single" w:sz="6" w:space="0" w:color="000000"/>
              <w:left w:val="single" w:sz="4" w:space="0" w:color="000000"/>
              <w:bottom w:val="single" w:sz="6" w:space="0" w:color="000000"/>
              <w:right w:val="single" w:sz="6"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Key action(s)</w:t>
            </w:r>
          </w:p>
        </w:tc>
        <w:tc>
          <w:tcPr>
            <w:tcW w:w="1902" w:type="dxa"/>
            <w:vMerge w:val="restart"/>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Time frame</w:t>
            </w:r>
          </w:p>
        </w:tc>
        <w:tc>
          <w:tcPr>
            <w:tcW w:w="1983" w:type="dxa"/>
            <w:vMerge w:val="restart"/>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Responsible unit(s)</w:t>
            </w:r>
          </w:p>
        </w:tc>
        <w:tc>
          <w:tcPr>
            <w:tcW w:w="2184" w:type="dxa"/>
            <w:gridSpan w:val="2"/>
            <w:tcBorders>
              <w:top w:val="single" w:sz="6" w:space="0" w:color="000000"/>
              <w:left w:val="single" w:sz="6" w:space="0" w:color="000000"/>
              <w:bottom w:val="single" w:sz="6" w:space="0" w:color="000000"/>
              <w:right w:val="single" w:sz="4" w:space="0" w:color="000000"/>
            </w:tcBorders>
            <w:shd w:val="clear" w:color="auto" w:fill="F3F3F3"/>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Tracking</w:t>
            </w:r>
          </w:p>
        </w:tc>
      </w:tr>
      <w:tr w:rsidR="00E62759" w:rsidRPr="004F01C3" w:rsidTr="000558B5">
        <w:tc>
          <w:tcPr>
            <w:tcW w:w="2839" w:type="dxa"/>
            <w:vMerge/>
            <w:tcBorders>
              <w:top w:val="single" w:sz="6" w:space="0" w:color="000000"/>
              <w:left w:val="single" w:sz="4" w:space="0" w:color="000000"/>
              <w:bottom w:val="single" w:sz="6" w:space="0" w:color="000000"/>
              <w:right w:val="single" w:sz="6" w:space="0" w:color="000000"/>
            </w:tcBorders>
            <w:shd w:val="clear" w:color="auto" w:fill="F3F3F3"/>
            <w:tcMar>
              <w:left w:w="108" w:type="dxa"/>
              <w:right w:w="108" w:type="dxa"/>
            </w:tcMar>
          </w:tcPr>
          <w:p w:rsidR="00E62759" w:rsidRPr="004F01C3" w:rsidRDefault="00E62759">
            <w:pPr>
              <w:spacing w:after="200" w:line="276" w:lineRule="auto"/>
              <w:rPr>
                <w:rFonts w:asciiTheme="majorHAnsi" w:eastAsia="Calibri" w:hAnsiTheme="majorHAnsi" w:cstheme="majorHAnsi"/>
              </w:rPr>
            </w:pPr>
          </w:p>
        </w:tc>
        <w:tc>
          <w:tcPr>
            <w:tcW w:w="1902" w:type="dxa"/>
            <w:vMerge/>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E62759">
            <w:pPr>
              <w:spacing w:after="200" w:line="276" w:lineRule="auto"/>
              <w:rPr>
                <w:rFonts w:asciiTheme="majorHAnsi" w:eastAsia="Calibri" w:hAnsiTheme="majorHAnsi" w:cstheme="majorHAnsi"/>
              </w:rPr>
            </w:pPr>
          </w:p>
        </w:tc>
        <w:tc>
          <w:tcPr>
            <w:tcW w:w="1983" w:type="dxa"/>
            <w:vMerge/>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2759" w:rsidRPr="004F01C3" w:rsidRDefault="00E62759">
            <w:pPr>
              <w:spacing w:after="200" w:line="276" w:lineRule="auto"/>
              <w:rPr>
                <w:rFonts w:asciiTheme="majorHAnsi" w:eastAsia="Calibri" w:hAnsiTheme="majorHAnsi" w:cstheme="majorHAnsi"/>
              </w:rPr>
            </w:pP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Comments</w:t>
            </w:r>
          </w:p>
        </w:tc>
        <w:tc>
          <w:tcPr>
            <w:tcW w:w="979"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2759" w:rsidRPr="004F01C3" w:rsidRDefault="00B50ACA">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Status</w:t>
            </w:r>
          </w:p>
        </w:tc>
      </w:tr>
      <w:tr w:rsidR="00E62759" w:rsidRPr="004F01C3" w:rsidTr="000558B5">
        <w:trPr>
          <w:trHeight w:val="1"/>
        </w:trPr>
        <w:tc>
          <w:tcPr>
            <w:tcW w:w="2839"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rsidR="00E62759" w:rsidRPr="004F01C3" w:rsidRDefault="000558B5">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 xml:space="preserve">7.1. SEC to identify next steps in addressing gaps and challenges </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c>
          <w:tcPr>
            <w:tcW w:w="198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c>
          <w:tcPr>
            <w:tcW w:w="979"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r>
      <w:tr w:rsidR="00E62759" w:rsidRPr="004F01C3" w:rsidTr="000558B5">
        <w:trPr>
          <w:trHeight w:val="1"/>
        </w:trPr>
        <w:tc>
          <w:tcPr>
            <w:tcW w:w="2839"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rsidR="00E62759" w:rsidRPr="004F01C3" w:rsidRDefault="000558B5">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7.2 SEC to continue collaborating with partners for support</w:t>
            </w:r>
          </w:p>
        </w:tc>
        <w:tc>
          <w:tcPr>
            <w:tcW w:w="19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c>
          <w:tcPr>
            <w:tcW w:w="198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c>
          <w:tcPr>
            <w:tcW w:w="979"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2759" w:rsidRPr="004F01C3" w:rsidRDefault="00E62759">
            <w:pPr>
              <w:tabs>
                <w:tab w:val="left" w:pos="1080"/>
              </w:tabs>
              <w:spacing w:after="200" w:line="276" w:lineRule="auto"/>
              <w:jc w:val="both"/>
              <w:rPr>
                <w:rFonts w:asciiTheme="majorHAnsi" w:eastAsia="Calibri" w:hAnsiTheme="majorHAnsi" w:cstheme="majorHAnsi"/>
              </w:rPr>
            </w:pPr>
          </w:p>
        </w:tc>
      </w:tr>
    </w:tbl>
    <w:p w:rsidR="00E62759" w:rsidRPr="004F01C3" w:rsidRDefault="00E62759">
      <w:pPr>
        <w:spacing w:after="200" w:line="276" w:lineRule="auto"/>
        <w:jc w:val="both"/>
        <w:rPr>
          <w:rFonts w:asciiTheme="majorHAnsi" w:eastAsia="Calibri" w:hAnsiTheme="majorHAnsi" w:cstheme="majorHAnsi"/>
        </w:rPr>
      </w:pPr>
    </w:p>
    <w:tbl>
      <w:tblPr>
        <w:tblW w:w="0" w:type="auto"/>
        <w:tblInd w:w="108" w:type="dxa"/>
        <w:tblCellMar>
          <w:left w:w="10" w:type="dxa"/>
          <w:right w:w="10" w:type="dxa"/>
        </w:tblCellMar>
        <w:tblLook w:val="0000" w:firstRow="0" w:lastRow="0" w:firstColumn="0" w:lastColumn="0" w:noHBand="0" w:noVBand="0"/>
      </w:tblPr>
      <w:tblGrid>
        <w:gridCol w:w="2841"/>
        <w:gridCol w:w="1901"/>
        <w:gridCol w:w="1982"/>
        <w:gridCol w:w="1205"/>
        <w:gridCol w:w="979"/>
      </w:tblGrid>
      <w:tr w:rsidR="00E617AC" w:rsidRPr="004F01C3" w:rsidTr="004F01C3">
        <w:trPr>
          <w:trHeight w:val="1"/>
        </w:trPr>
        <w:tc>
          <w:tcPr>
            <w:tcW w:w="8908" w:type="dxa"/>
            <w:gridSpan w:val="5"/>
            <w:tcBorders>
              <w:top w:val="single" w:sz="4" w:space="0" w:color="000000"/>
              <w:left w:val="single" w:sz="4" w:space="0" w:color="000000"/>
              <w:bottom w:val="single" w:sz="4" w:space="0" w:color="000000"/>
              <w:right w:val="single" w:sz="4" w:space="0" w:color="000000"/>
            </w:tcBorders>
            <w:shd w:val="clear" w:color="auto" w:fill="F3F3F3"/>
            <w:tcMar>
              <w:left w:w="108" w:type="dxa"/>
              <w:right w:w="108" w:type="dxa"/>
            </w:tcMar>
          </w:tcPr>
          <w:p w:rsidR="004F01C3" w:rsidRPr="004F01C3" w:rsidRDefault="00E617AC" w:rsidP="004F01C3">
            <w:pPr>
              <w:spacing w:before="200" w:after="200" w:line="276" w:lineRule="auto"/>
              <w:rPr>
                <w:rFonts w:asciiTheme="majorHAnsi" w:hAnsiTheme="majorHAnsi" w:cstheme="majorHAnsi"/>
              </w:rPr>
            </w:pPr>
            <w:r w:rsidRPr="004F01C3">
              <w:rPr>
                <w:rFonts w:asciiTheme="majorHAnsi" w:eastAsia="Calibri" w:hAnsiTheme="majorHAnsi" w:cstheme="majorHAnsi"/>
                <w:b/>
              </w:rPr>
              <w:t xml:space="preserve">Terminal Evaluation recommendation </w:t>
            </w:r>
            <w:r w:rsidR="004F01C3" w:rsidRPr="004F01C3">
              <w:rPr>
                <w:rFonts w:asciiTheme="majorHAnsi" w:eastAsia="Calibri" w:hAnsiTheme="majorHAnsi" w:cstheme="majorHAnsi"/>
                <w:b/>
              </w:rPr>
              <w:t xml:space="preserve">8: </w:t>
            </w:r>
            <w:r w:rsidR="004F01C3" w:rsidRPr="004F01C3">
              <w:rPr>
                <w:rFonts w:asciiTheme="majorHAnsi" w:hAnsiTheme="majorHAnsi" w:cstheme="majorHAnsi"/>
              </w:rPr>
              <w:t>Staff levels at the Renewable energy and energy management unit of the Seychelles Energy Commission urgently need to be brought up to planned levels, so that there is capacity to carry out the regulatory, communication and training activities planned, but not completed, under this project.</w:t>
            </w:r>
          </w:p>
          <w:p w:rsidR="00E617AC" w:rsidRPr="004F01C3" w:rsidRDefault="004F01C3"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Recommendation to:</w:t>
            </w:r>
            <w:r w:rsidRPr="004F01C3">
              <w:rPr>
                <w:rFonts w:asciiTheme="majorHAnsi" w:eastAsia="Calibri" w:hAnsiTheme="majorHAnsi" w:cstheme="majorHAnsi"/>
              </w:rPr>
              <w:t xml:space="preserve"> SEC </w:t>
            </w:r>
          </w:p>
        </w:tc>
      </w:tr>
      <w:tr w:rsidR="00E617AC" w:rsidRPr="004F01C3" w:rsidTr="004F01C3">
        <w:trPr>
          <w:trHeight w:val="1"/>
        </w:trPr>
        <w:tc>
          <w:tcPr>
            <w:tcW w:w="8908" w:type="dxa"/>
            <w:gridSpan w:val="5"/>
            <w:tcBorders>
              <w:top w:val="single" w:sz="4" w:space="0" w:color="000000"/>
              <w:left w:val="single" w:sz="4" w:space="0" w:color="000000"/>
              <w:bottom w:val="single" w:sz="6" w:space="0" w:color="000000"/>
              <w:right w:val="single" w:sz="4" w:space="0" w:color="000000"/>
            </w:tcBorders>
            <w:shd w:val="clear" w:color="auto" w:fill="F3F3F3"/>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Management response</w:t>
            </w:r>
            <w:r w:rsidRPr="004F01C3">
              <w:rPr>
                <w:rFonts w:asciiTheme="majorHAnsi" w:eastAsia="Calibri" w:hAnsiTheme="majorHAnsi" w:cstheme="majorHAnsi"/>
              </w:rPr>
              <w:t xml:space="preserve">: </w:t>
            </w:r>
            <w:r w:rsidR="004F01C3" w:rsidRPr="004F01C3">
              <w:rPr>
                <w:rFonts w:asciiTheme="majorHAnsi" w:eastAsia="Calibri" w:hAnsiTheme="majorHAnsi" w:cstheme="majorHAnsi"/>
              </w:rPr>
              <w:t>Management agrees that the SEC needs additional staff to build institutional capacity and to execute planned activities relating to EE- but this remains outside the scope of the project. This would need further discussions between MEECC, SEC, the Ministry of Finance, Department of Public Administration and Public Utilities Corporation as the roles of SEC and PUC need to be re-defined and job descriptions clarified.</w:t>
            </w:r>
          </w:p>
        </w:tc>
      </w:tr>
      <w:tr w:rsidR="00E617AC" w:rsidRPr="004F01C3" w:rsidTr="004F01C3">
        <w:tc>
          <w:tcPr>
            <w:tcW w:w="2841" w:type="dxa"/>
            <w:vMerge w:val="restart"/>
            <w:tcBorders>
              <w:top w:val="single" w:sz="6" w:space="0" w:color="000000"/>
              <w:left w:val="single" w:sz="4" w:space="0" w:color="000000"/>
              <w:bottom w:val="single" w:sz="6" w:space="0" w:color="000000"/>
              <w:right w:val="single" w:sz="6" w:space="0" w:color="000000"/>
            </w:tcBorders>
            <w:shd w:val="clear" w:color="auto" w:fill="F3F3F3"/>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Key action(s)</w:t>
            </w:r>
          </w:p>
        </w:tc>
        <w:tc>
          <w:tcPr>
            <w:tcW w:w="1901" w:type="dxa"/>
            <w:vMerge w:val="restart"/>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Time frame</w:t>
            </w:r>
          </w:p>
        </w:tc>
        <w:tc>
          <w:tcPr>
            <w:tcW w:w="1982" w:type="dxa"/>
            <w:vMerge w:val="restart"/>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Responsible unit(s)</w:t>
            </w:r>
          </w:p>
        </w:tc>
        <w:tc>
          <w:tcPr>
            <w:tcW w:w="2184" w:type="dxa"/>
            <w:gridSpan w:val="2"/>
            <w:tcBorders>
              <w:top w:val="single" w:sz="6" w:space="0" w:color="000000"/>
              <w:left w:val="single" w:sz="6" w:space="0" w:color="000000"/>
              <w:bottom w:val="single" w:sz="6" w:space="0" w:color="000000"/>
              <w:right w:val="single" w:sz="4" w:space="0" w:color="000000"/>
            </w:tcBorders>
            <w:shd w:val="clear" w:color="auto" w:fill="F3F3F3"/>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Tracking</w:t>
            </w:r>
          </w:p>
        </w:tc>
      </w:tr>
      <w:tr w:rsidR="00E617AC" w:rsidRPr="004F01C3" w:rsidTr="004F01C3">
        <w:tc>
          <w:tcPr>
            <w:tcW w:w="2841" w:type="dxa"/>
            <w:vMerge/>
            <w:tcBorders>
              <w:top w:val="single" w:sz="6" w:space="0" w:color="000000"/>
              <w:left w:val="single" w:sz="4" w:space="0" w:color="000000"/>
              <w:bottom w:val="single" w:sz="6" w:space="0" w:color="000000"/>
              <w:right w:val="single" w:sz="6" w:space="0" w:color="000000"/>
            </w:tcBorders>
            <w:shd w:val="clear" w:color="auto" w:fill="F3F3F3"/>
            <w:tcMar>
              <w:left w:w="108" w:type="dxa"/>
              <w:right w:w="108" w:type="dxa"/>
            </w:tcMar>
          </w:tcPr>
          <w:p w:rsidR="00E617AC" w:rsidRPr="004F01C3" w:rsidRDefault="00E617AC" w:rsidP="00753CA6">
            <w:pPr>
              <w:spacing w:after="200" w:line="276" w:lineRule="auto"/>
              <w:rPr>
                <w:rFonts w:asciiTheme="majorHAnsi" w:eastAsia="Calibri" w:hAnsiTheme="majorHAnsi" w:cstheme="majorHAnsi"/>
              </w:rPr>
            </w:pPr>
          </w:p>
        </w:tc>
        <w:tc>
          <w:tcPr>
            <w:tcW w:w="1901" w:type="dxa"/>
            <w:vMerge/>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17AC" w:rsidRPr="004F01C3" w:rsidRDefault="00E617AC" w:rsidP="00753CA6">
            <w:pPr>
              <w:spacing w:after="200" w:line="276" w:lineRule="auto"/>
              <w:rPr>
                <w:rFonts w:asciiTheme="majorHAnsi" w:eastAsia="Calibri" w:hAnsiTheme="majorHAnsi" w:cstheme="majorHAnsi"/>
              </w:rPr>
            </w:pPr>
          </w:p>
        </w:tc>
        <w:tc>
          <w:tcPr>
            <w:tcW w:w="1982" w:type="dxa"/>
            <w:vMerge/>
            <w:tcBorders>
              <w:top w:val="single" w:sz="6" w:space="0" w:color="000000"/>
              <w:left w:val="single" w:sz="6" w:space="0" w:color="000000"/>
              <w:bottom w:val="single" w:sz="6" w:space="0" w:color="000000"/>
              <w:right w:val="single" w:sz="6" w:space="0" w:color="000000"/>
            </w:tcBorders>
            <w:shd w:val="clear" w:color="auto" w:fill="F3F3F3"/>
            <w:tcMar>
              <w:left w:w="108" w:type="dxa"/>
              <w:right w:w="108" w:type="dxa"/>
            </w:tcMar>
          </w:tcPr>
          <w:p w:rsidR="00E617AC" w:rsidRPr="004F01C3" w:rsidRDefault="00E617AC" w:rsidP="00753CA6">
            <w:pPr>
              <w:spacing w:after="200" w:line="276" w:lineRule="auto"/>
              <w:rPr>
                <w:rFonts w:asciiTheme="majorHAnsi" w:eastAsia="Calibri" w:hAnsiTheme="majorHAnsi" w:cstheme="majorHAnsi"/>
              </w:rPr>
            </w:pP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Comments</w:t>
            </w:r>
          </w:p>
        </w:tc>
        <w:tc>
          <w:tcPr>
            <w:tcW w:w="979"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b/>
              </w:rPr>
              <w:t>Status</w:t>
            </w:r>
          </w:p>
        </w:tc>
      </w:tr>
      <w:tr w:rsidR="00E617AC" w:rsidRPr="004F01C3" w:rsidTr="004F01C3">
        <w:trPr>
          <w:trHeight w:val="1"/>
        </w:trPr>
        <w:tc>
          <w:tcPr>
            <w:tcW w:w="2841"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rsidR="00E617AC" w:rsidRPr="004F01C3" w:rsidRDefault="004F01C3" w:rsidP="00753CA6">
            <w:pPr>
              <w:tabs>
                <w:tab w:val="left" w:pos="1080"/>
              </w:tabs>
              <w:spacing w:after="200" w:line="276" w:lineRule="auto"/>
              <w:jc w:val="both"/>
              <w:rPr>
                <w:rFonts w:asciiTheme="majorHAnsi" w:eastAsia="Calibri" w:hAnsiTheme="majorHAnsi" w:cstheme="majorHAnsi"/>
              </w:rPr>
            </w:pPr>
            <w:r w:rsidRPr="004F01C3">
              <w:rPr>
                <w:rFonts w:asciiTheme="majorHAnsi" w:eastAsia="Calibri" w:hAnsiTheme="majorHAnsi" w:cstheme="majorHAnsi"/>
              </w:rPr>
              <w:t>8.1</w:t>
            </w:r>
            <w:r w:rsidR="00E617AC" w:rsidRPr="004F01C3">
              <w:rPr>
                <w:rFonts w:asciiTheme="majorHAnsi" w:eastAsia="Calibri" w:hAnsiTheme="majorHAnsi" w:cstheme="majorHAnsi"/>
              </w:rPr>
              <w:t xml:space="preserve"> </w:t>
            </w:r>
            <w:r w:rsidRPr="004F01C3">
              <w:rPr>
                <w:rFonts w:asciiTheme="majorHAnsi" w:eastAsia="Calibri" w:hAnsiTheme="majorHAnsi" w:cstheme="majorHAnsi"/>
              </w:rPr>
              <w:t>SEC to initiate discussions to increase its staffing capacity with relevant authorities.</w:t>
            </w:r>
          </w:p>
        </w:tc>
        <w:tc>
          <w:tcPr>
            <w:tcW w:w="190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17AC" w:rsidRPr="004F01C3" w:rsidRDefault="00E617AC" w:rsidP="00753CA6">
            <w:pPr>
              <w:tabs>
                <w:tab w:val="left" w:pos="1080"/>
              </w:tabs>
              <w:spacing w:after="200" w:line="276" w:lineRule="auto"/>
              <w:jc w:val="center"/>
              <w:rPr>
                <w:rFonts w:asciiTheme="majorHAnsi" w:eastAsia="Calibri" w:hAnsiTheme="majorHAnsi" w:cstheme="majorHAnsi"/>
              </w:rPr>
            </w:pPr>
          </w:p>
        </w:tc>
        <w:tc>
          <w:tcPr>
            <w:tcW w:w="19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p>
        </w:tc>
        <w:tc>
          <w:tcPr>
            <w:tcW w:w="979"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E617AC" w:rsidRPr="004F01C3" w:rsidRDefault="00E617AC" w:rsidP="00753CA6">
            <w:pPr>
              <w:tabs>
                <w:tab w:val="left" w:pos="1080"/>
              </w:tabs>
              <w:spacing w:after="200" w:line="276" w:lineRule="auto"/>
              <w:jc w:val="both"/>
              <w:rPr>
                <w:rFonts w:asciiTheme="majorHAnsi" w:eastAsia="Calibri" w:hAnsiTheme="majorHAnsi" w:cstheme="majorHAnsi"/>
              </w:rPr>
            </w:pPr>
          </w:p>
        </w:tc>
        <w:bookmarkStart w:id="1" w:name="_GoBack"/>
        <w:bookmarkEnd w:id="1"/>
      </w:tr>
    </w:tbl>
    <w:p w:rsidR="00E617AC" w:rsidRPr="004F01C3" w:rsidRDefault="00E617AC" w:rsidP="00E617AC">
      <w:pPr>
        <w:spacing w:after="200" w:line="276" w:lineRule="auto"/>
        <w:jc w:val="both"/>
        <w:rPr>
          <w:rFonts w:asciiTheme="majorHAnsi" w:eastAsia="Calibri" w:hAnsiTheme="majorHAnsi" w:cstheme="majorHAnsi"/>
        </w:rPr>
      </w:pPr>
    </w:p>
    <w:sectPr w:rsidR="00E617AC" w:rsidRPr="004F0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72B4"/>
    <w:multiLevelType w:val="hybridMultilevel"/>
    <w:tmpl w:val="444A23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66F4A"/>
    <w:multiLevelType w:val="hybridMultilevel"/>
    <w:tmpl w:val="949004F0"/>
    <w:lvl w:ilvl="0" w:tplc="0809000F">
      <w:start w:val="1"/>
      <w:numFmt w:val="decimal"/>
      <w:lvlText w:val="%1."/>
      <w:lvlJc w:val="left"/>
      <w:pPr>
        <w:ind w:left="1890" w:hanging="36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 w15:restartNumberingAfterBreak="0">
    <w:nsid w:val="23BD3EC8"/>
    <w:multiLevelType w:val="hybridMultilevel"/>
    <w:tmpl w:val="4522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2280E"/>
    <w:multiLevelType w:val="hybridMultilevel"/>
    <w:tmpl w:val="9634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69E4"/>
    <w:multiLevelType w:val="hybridMultilevel"/>
    <w:tmpl w:val="8FE007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40C79"/>
    <w:multiLevelType w:val="hybridMultilevel"/>
    <w:tmpl w:val="814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03D7D"/>
    <w:multiLevelType w:val="multilevel"/>
    <w:tmpl w:val="6F14C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5A55EB"/>
    <w:multiLevelType w:val="hybridMultilevel"/>
    <w:tmpl w:val="8FE007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35AA7"/>
    <w:multiLevelType w:val="hybridMultilevel"/>
    <w:tmpl w:val="2458AFA6"/>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DCC0277"/>
    <w:multiLevelType w:val="hybridMultilevel"/>
    <w:tmpl w:val="76B2310A"/>
    <w:lvl w:ilvl="0" w:tplc="04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53F38D4"/>
    <w:multiLevelType w:val="hybridMultilevel"/>
    <w:tmpl w:val="C526DC0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E0316"/>
    <w:multiLevelType w:val="multilevel"/>
    <w:tmpl w:val="22183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3"/>
  </w:num>
  <w:num w:numId="4">
    <w:abstractNumId w:val="5"/>
  </w:num>
  <w:num w:numId="5">
    <w:abstractNumId w:val="7"/>
  </w:num>
  <w:num w:numId="6">
    <w:abstractNumId w:val="1"/>
  </w:num>
  <w:num w:numId="7">
    <w:abstractNumId w:val="2"/>
  </w:num>
  <w:num w:numId="8">
    <w:abstractNumId w:val="8"/>
  </w:num>
  <w:num w:numId="9">
    <w:abstractNumId w:val="10"/>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59"/>
    <w:rsid w:val="00026020"/>
    <w:rsid w:val="000558B5"/>
    <w:rsid w:val="001A48DA"/>
    <w:rsid w:val="00214177"/>
    <w:rsid w:val="002524D2"/>
    <w:rsid w:val="002B77D5"/>
    <w:rsid w:val="00302EC7"/>
    <w:rsid w:val="003442B5"/>
    <w:rsid w:val="00464BD1"/>
    <w:rsid w:val="00487D04"/>
    <w:rsid w:val="004C62E0"/>
    <w:rsid w:val="004E34EA"/>
    <w:rsid w:val="004F01C3"/>
    <w:rsid w:val="00583C26"/>
    <w:rsid w:val="0070549F"/>
    <w:rsid w:val="008541E3"/>
    <w:rsid w:val="00870883"/>
    <w:rsid w:val="008A138E"/>
    <w:rsid w:val="008F6165"/>
    <w:rsid w:val="0096683A"/>
    <w:rsid w:val="009F0865"/>
    <w:rsid w:val="009F6759"/>
    <w:rsid w:val="00AA65E8"/>
    <w:rsid w:val="00B50ACA"/>
    <w:rsid w:val="00B85E3E"/>
    <w:rsid w:val="00BC6A3A"/>
    <w:rsid w:val="00C319FA"/>
    <w:rsid w:val="00C528F3"/>
    <w:rsid w:val="00CB7417"/>
    <w:rsid w:val="00DF0A13"/>
    <w:rsid w:val="00E41CD5"/>
    <w:rsid w:val="00E5180F"/>
    <w:rsid w:val="00E617AC"/>
    <w:rsid w:val="00E62759"/>
    <w:rsid w:val="00EF107F"/>
    <w:rsid w:val="00F277D7"/>
    <w:rsid w:val="00F3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CE3A"/>
  <w15:docId w15:val="{9C755718-A2E9-46E8-9380-7AF2E1B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A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0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68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
    <w:basedOn w:val="Normal"/>
    <w:link w:val="ListParagraphChar"/>
    <w:uiPriority w:val="34"/>
    <w:qFormat/>
    <w:rsid w:val="00AA65E8"/>
    <w:pPr>
      <w:ind w:left="720"/>
      <w:contextualSpacing/>
    </w:pPr>
  </w:style>
  <w:style w:type="character" w:customStyle="1" w:styleId="Heading1Char">
    <w:name w:val="Heading 1 Char"/>
    <w:basedOn w:val="DefaultParagraphFont"/>
    <w:link w:val="Heading1"/>
    <w:uiPriority w:val="9"/>
    <w:rsid w:val="00DF0A1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F0A1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F0A13"/>
    <w:rPr>
      <w:color w:val="5A5A5A" w:themeColor="text1" w:themeTint="A5"/>
      <w:spacing w:val="15"/>
    </w:rPr>
  </w:style>
  <w:style w:type="table" w:styleId="TableGrid">
    <w:name w:val="Table Grid"/>
    <w:basedOn w:val="TableNormal"/>
    <w:uiPriority w:val="39"/>
    <w:rsid w:val="00DF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F0A13"/>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Bullets Char,List Paragraph1 Char"/>
    <w:link w:val="ListParagraph"/>
    <w:uiPriority w:val="34"/>
    <w:rsid w:val="00DF0A13"/>
  </w:style>
  <w:style w:type="character" w:customStyle="1" w:styleId="Heading3Char">
    <w:name w:val="Heading 3 Char"/>
    <w:basedOn w:val="DefaultParagraphFont"/>
    <w:link w:val="Heading3"/>
    <w:uiPriority w:val="9"/>
    <w:semiHidden/>
    <w:rsid w:val="0096683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F6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759"/>
    <w:rPr>
      <w:rFonts w:ascii="Segoe UI" w:hAnsi="Segoe UI" w:cs="Segoe UI"/>
      <w:sz w:val="18"/>
      <w:szCs w:val="18"/>
    </w:rPr>
  </w:style>
  <w:style w:type="paragraph" w:customStyle="1" w:styleId="CarCarChar">
    <w:name w:val="Car Car Char"/>
    <w:basedOn w:val="Heading2"/>
    <w:rsid w:val="008F6165"/>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3153</Words>
  <Characters>17978</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Management response to the Terminal Evaluation of the project “Promotion and up-</vt:lpstr>
    </vt:vector>
  </TitlesOfParts>
  <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Talma</dc:creator>
  <cp:lastModifiedBy>preethi sushil</cp:lastModifiedBy>
  <cp:revision>12</cp:revision>
  <dcterms:created xsi:type="dcterms:W3CDTF">2020-02-03T09:39:00Z</dcterms:created>
  <dcterms:modified xsi:type="dcterms:W3CDTF">2020-02-04T06:38:00Z</dcterms:modified>
</cp:coreProperties>
</file>