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E3EF" w14:textId="77777777" w:rsidR="004964CD" w:rsidRPr="00EA5491" w:rsidRDefault="00D13B5B" w:rsidP="004964CD">
      <w:pPr>
        <w:spacing w:after="15" w:line="278" w:lineRule="auto"/>
        <w:ind w:left="1168" w:right="1302" w:hanging="3"/>
        <w:jc w:val="center"/>
        <w:rPr>
          <w:rFonts w:asciiTheme="minorHAnsi" w:hAnsiTheme="minorHAnsi"/>
          <w:b/>
          <w:color w:val="000000" w:themeColor="text1"/>
          <w:sz w:val="28"/>
          <w:lang w:val="fr-CA"/>
        </w:rPr>
      </w:pPr>
      <w:r w:rsidRPr="003F4F09">
        <w:rPr>
          <w:rFonts w:eastAsia="Times New Roman"/>
          <w:b/>
          <w:bCs/>
          <w:sz w:val="24"/>
          <w:lang w:eastAsia="fr-FR"/>
        </w:rPr>
        <w:t xml:space="preserve">Réponse </w:t>
      </w:r>
      <w:r w:rsidR="003F4F09" w:rsidRPr="003F4F09">
        <w:rPr>
          <w:rFonts w:eastAsia="Times New Roman"/>
          <w:b/>
          <w:bCs/>
          <w:sz w:val="24"/>
          <w:lang w:eastAsia="fr-FR"/>
        </w:rPr>
        <w:t>du PNUD aux recommandations</w:t>
      </w:r>
      <w:r w:rsidR="00A83B76">
        <w:rPr>
          <w:rFonts w:eastAsia="Times New Roman"/>
          <w:b/>
          <w:bCs/>
          <w:sz w:val="24"/>
          <w:lang w:eastAsia="fr-FR"/>
        </w:rPr>
        <w:t xml:space="preserve"> faites sur l’évaluation du projet </w:t>
      </w:r>
      <w:r w:rsidR="004964CD" w:rsidRPr="00EA5491">
        <w:rPr>
          <w:rFonts w:asciiTheme="minorHAnsi" w:hAnsiTheme="minorHAnsi"/>
          <w:b/>
          <w:color w:val="000000" w:themeColor="text1"/>
          <w:lang w:val="fr-CA"/>
        </w:rPr>
        <w:t>Génération d’avantages pour l’environnement mondial à travers de meilleurs systèmes de planification et de prise de décisions au niveau local au Burkina Faso (ANCR2)</w:t>
      </w:r>
    </w:p>
    <w:p w14:paraId="4B4BDB00" w14:textId="13DD2548" w:rsidR="00D13B5B" w:rsidRPr="003F4F09" w:rsidRDefault="00D13B5B" w:rsidP="001C0D5B">
      <w:pPr>
        <w:spacing w:after="0"/>
        <w:jc w:val="center"/>
        <w:rPr>
          <w:rFonts w:eastAsia="Times New Roman"/>
          <w:sz w:val="24"/>
          <w:lang w:eastAsia="fr-FR"/>
        </w:rPr>
      </w:pPr>
    </w:p>
    <w:p w14:paraId="381D60AC" w14:textId="303C00D9" w:rsidR="001C0D5B" w:rsidRDefault="001C0D5B" w:rsidP="001C0D5B">
      <w:pPr>
        <w:rPr>
          <w:rFonts w:eastAsia="Times New Roman"/>
          <w:b/>
          <w:bCs/>
          <w:lang w:eastAsia="fr-FR"/>
        </w:rPr>
      </w:pPr>
    </w:p>
    <w:p w14:paraId="08F94114" w14:textId="77777777" w:rsidR="004964CD" w:rsidRDefault="004964CD" w:rsidP="001C0D5B">
      <w:pPr>
        <w:rPr>
          <w:rFonts w:eastAsia="Times New Roman"/>
          <w:b/>
          <w:bCs/>
          <w:lang w:eastAsia="fr-FR"/>
        </w:rPr>
      </w:pPr>
    </w:p>
    <w:p w14:paraId="5A127FDF" w14:textId="5E034368" w:rsidR="00D13B5B" w:rsidRPr="004A2DA1" w:rsidRDefault="003F4F09" w:rsidP="00280C5B">
      <w:pPr>
        <w:rPr>
          <w:rFonts w:eastAsia="Times New Roman"/>
          <w:sz w:val="24"/>
          <w:lang w:eastAsia="fr-FR"/>
        </w:rPr>
      </w:pPr>
      <w:r>
        <w:rPr>
          <w:rFonts w:eastAsia="Times New Roman"/>
          <w:b/>
          <w:bCs/>
          <w:sz w:val="24"/>
          <w:lang w:eastAsia="fr-FR"/>
        </w:rPr>
        <w:t>M</w:t>
      </w:r>
      <w:r w:rsidR="004A2DA1" w:rsidRPr="004A2DA1">
        <w:rPr>
          <w:rFonts w:eastAsia="Times New Roman"/>
          <w:b/>
          <w:bCs/>
          <w:sz w:val="24"/>
          <w:lang w:eastAsia="fr-FR"/>
        </w:rPr>
        <w:t xml:space="preserve">anagement </w:t>
      </w:r>
      <w:r w:rsidR="00A4000C" w:rsidRPr="004A2DA1">
        <w:rPr>
          <w:rFonts w:eastAsia="Times New Roman"/>
          <w:b/>
          <w:bCs/>
          <w:sz w:val="24"/>
          <w:lang w:eastAsia="fr-FR"/>
        </w:rPr>
        <w:t>réponse</w:t>
      </w:r>
      <w:r w:rsidR="004A2DA1" w:rsidRPr="004A2DA1">
        <w:rPr>
          <w:rFonts w:eastAsia="Times New Roman"/>
          <w:b/>
          <w:bCs/>
          <w:sz w:val="24"/>
          <w:lang w:eastAsia="fr-FR"/>
        </w:rPr>
        <w:t xml:space="preserve"> des recommandations</w:t>
      </w:r>
    </w:p>
    <w:tbl>
      <w:tblPr>
        <w:tblpPr w:leftFromText="180" w:rightFromText="180" w:vertAnchor="text" w:horzAnchor="margin" w:tblpX="-204" w:tblpY="15"/>
        <w:tblW w:w="14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  <w:gridCol w:w="1397"/>
        <w:gridCol w:w="3722"/>
        <w:gridCol w:w="1391"/>
        <w:gridCol w:w="2275"/>
      </w:tblGrid>
      <w:tr w:rsidR="00A83B76" w:rsidRPr="008E2EB0" w14:paraId="2169B402" w14:textId="77777777" w:rsidTr="00A54183">
        <w:trPr>
          <w:trHeight w:val="359"/>
          <w:tblHeader/>
        </w:trPr>
        <w:tc>
          <w:tcPr>
            <w:tcW w:w="5755" w:type="dxa"/>
            <w:vMerge w:val="restar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829A" w14:textId="77777777" w:rsidR="00A83B76" w:rsidRPr="008E2EB0" w:rsidRDefault="00A83B76" w:rsidP="008E2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R</w:t>
            </w: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ecommandations </w:t>
            </w:r>
          </w:p>
        </w:tc>
        <w:tc>
          <w:tcPr>
            <w:tcW w:w="87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19B2" w14:textId="77777777" w:rsidR="00A83B76" w:rsidRPr="008E2EB0" w:rsidRDefault="00A83B76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*Réponse de l’administration</w:t>
            </w:r>
          </w:p>
        </w:tc>
      </w:tr>
      <w:tr w:rsidR="00A83B76" w:rsidRPr="008E2EB0" w14:paraId="10AE0A77" w14:textId="77777777" w:rsidTr="00535E5E">
        <w:trPr>
          <w:trHeight w:val="652"/>
        </w:trPr>
        <w:tc>
          <w:tcPr>
            <w:tcW w:w="57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B6B65" w14:textId="77777777" w:rsidR="00A83B76" w:rsidRPr="008E2EB0" w:rsidRDefault="00A83B76" w:rsidP="008E2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E425" w14:textId="77777777" w:rsidR="00A83B76" w:rsidRPr="008E2EB0" w:rsidRDefault="00A83B76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Réponse</w:t>
            </w: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535B" w14:textId="77777777" w:rsidR="00A83B76" w:rsidRPr="008E2EB0" w:rsidRDefault="00A83B76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Actions principales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A3E6" w14:textId="77777777" w:rsidR="00A83B76" w:rsidRPr="008E2EB0" w:rsidRDefault="00A83B76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Délai de mise en œuvre</w:t>
            </w: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803A" w14:textId="77777777" w:rsidR="00A83B76" w:rsidRPr="008E2EB0" w:rsidRDefault="00A83B76" w:rsidP="00237B7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Unité</w:t>
            </w: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Responsable</w:t>
            </w: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83B76" w:rsidRPr="00BC0163" w14:paraId="2D91F805" w14:textId="77777777" w:rsidTr="00535E5E">
        <w:trPr>
          <w:trHeight w:val="3048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C57E" w14:textId="77777777" w:rsidR="002E29CB" w:rsidRPr="007A37DD" w:rsidRDefault="002E29CB" w:rsidP="00172A35">
            <w:pPr>
              <w:pStyle w:val="Corpsdetexte"/>
              <w:spacing w:before="1"/>
              <w:jc w:val="both"/>
              <w:rPr>
                <w:sz w:val="24"/>
                <w:szCs w:val="24"/>
                <w:lang w:val="fr-CA"/>
              </w:rPr>
            </w:pPr>
            <w:r>
              <w:rPr>
                <w:color w:val="000000" w:themeColor="text1"/>
                <w:sz w:val="24"/>
                <w:szCs w:val="24"/>
                <w:lang w:val="fr-CA"/>
              </w:rPr>
              <w:t xml:space="preserve">Le FEM doit s’assurer </w:t>
            </w:r>
            <w:r>
              <w:rPr>
                <w:sz w:val="24"/>
                <w:szCs w:val="24"/>
                <w:lang w:val="fr-CA"/>
              </w:rPr>
              <w:t>que le</w:t>
            </w:r>
            <w:r w:rsidRPr="00EA5491">
              <w:rPr>
                <w:sz w:val="24"/>
                <w:szCs w:val="24"/>
                <w:lang w:val="fr-CA"/>
              </w:rPr>
              <w:t xml:space="preserve"> cadre logique du PRODOC </w:t>
            </w:r>
            <w:r>
              <w:rPr>
                <w:sz w:val="24"/>
                <w:szCs w:val="24"/>
                <w:lang w:val="fr-CA"/>
              </w:rPr>
              <w:t xml:space="preserve">soit </w:t>
            </w:r>
            <w:r w:rsidRPr="00EA5491">
              <w:rPr>
                <w:sz w:val="24"/>
                <w:szCs w:val="24"/>
                <w:lang w:val="fr-CA"/>
              </w:rPr>
              <w:t xml:space="preserve">disponible dans la langue </w:t>
            </w:r>
            <w:r>
              <w:rPr>
                <w:sz w:val="24"/>
                <w:szCs w:val="24"/>
                <w:lang w:val="fr-CA"/>
              </w:rPr>
              <w:t xml:space="preserve">officielle </w:t>
            </w:r>
            <w:r w:rsidRPr="00EA5491">
              <w:rPr>
                <w:sz w:val="24"/>
                <w:szCs w:val="24"/>
                <w:lang w:val="fr-CA"/>
              </w:rPr>
              <w:t xml:space="preserve">du pays bénéficiaire. </w:t>
            </w:r>
          </w:p>
          <w:p w14:paraId="7FD41F17" w14:textId="54337B1C" w:rsidR="00A83B76" w:rsidRPr="004964CD" w:rsidRDefault="002E29CB" w:rsidP="00172A35">
            <w:pPr>
              <w:pStyle w:val="Corpsdetexte"/>
              <w:spacing w:before="1"/>
              <w:ind w:right="13"/>
              <w:jc w:val="both"/>
              <w:rPr>
                <w:sz w:val="24"/>
                <w:szCs w:val="24"/>
                <w:lang w:val="fr-CA"/>
              </w:rPr>
            </w:pPr>
            <w:r w:rsidRPr="007A37DD">
              <w:rPr>
                <w:sz w:val="24"/>
                <w:szCs w:val="24"/>
                <w:lang w:val="fr-CA"/>
              </w:rPr>
              <w:t>La compréhension du cadre est cruciale pour maximiser le travail efficace de l’équipe de coordination du projet.</w:t>
            </w:r>
            <w:r>
              <w:rPr>
                <w:sz w:val="24"/>
                <w:szCs w:val="24"/>
                <w:lang w:val="fr-CA"/>
              </w:rPr>
              <w:t xml:space="preserve"> Advenant que le projet se poursuive, le cadre de r</w:t>
            </w:r>
            <w:r w:rsidRPr="007A37DD">
              <w:rPr>
                <w:sz w:val="24"/>
                <w:szCs w:val="24"/>
                <w:lang w:val="fr-CA"/>
              </w:rPr>
              <w:t>é</w:t>
            </w:r>
            <w:r>
              <w:rPr>
                <w:sz w:val="24"/>
                <w:szCs w:val="24"/>
                <w:lang w:val="fr-CA"/>
              </w:rPr>
              <w:t xml:space="preserve">sultats devrait </w:t>
            </w:r>
            <w:r w:rsidRPr="00F132BF">
              <w:rPr>
                <w:rFonts w:asciiTheme="minorHAnsi" w:hAnsiTheme="minorHAnsi"/>
                <w:sz w:val="24"/>
                <w:szCs w:val="24"/>
                <w:lang w:val="fr-CA"/>
              </w:rPr>
              <w:t>ê</w:t>
            </w:r>
            <w:r>
              <w:rPr>
                <w:sz w:val="24"/>
                <w:szCs w:val="24"/>
                <w:lang w:val="fr-CA"/>
              </w:rPr>
              <w:t>tre révis</w:t>
            </w:r>
            <w:r w:rsidRPr="007A37DD">
              <w:rPr>
                <w:sz w:val="24"/>
                <w:szCs w:val="24"/>
                <w:lang w:val="fr-CA"/>
              </w:rPr>
              <w:t>é</w:t>
            </w:r>
            <w:r>
              <w:rPr>
                <w:sz w:val="24"/>
                <w:szCs w:val="24"/>
                <w:lang w:val="fr-CA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A77A" w14:textId="34740C9D" w:rsidR="00E009A9" w:rsidRPr="00172A35" w:rsidRDefault="004F786E" w:rsidP="006C4137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172A3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Traduction</w:t>
            </w:r>
            <w:r w:rsidR="0043287D" w:rsidRPr="00172A3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des documents de base</w:t>
            </w:r>
            <w:r w:rsidR="006C4137" w:rsidRPr="00172A3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pour les prochaines fois, le projet étant déjà clôturé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E3B5" w14:textId="5C6AE94C" w:rsidR="00A14CE9" w:rsidRPr="00172A35" w:rsidRDefault="004F786E" w:rsidP="002B6C34">
            <w:pPr>
              <w:pStyle w:val="Paragraphedeliste"/>
              <w:ind w:left="360"/>
              <w:rPr>
                <w:rFonts w:asciiTheme="minorHAnsi" w:hAnsiTheme="minorHAnsi"/>
              </w:rPr>
            </w:pPr>
            <w:r w:rsidRPr="00172A35">
              <w:rPr>
                <w:rFonts w:asciiTheme="minorHAnsi" w:hAnsiTheme="minorHAnsi"/>
              </w:rPr>
              <w:t xml:space="preserve">Traduction </w:t>
            </w:r>
            <w:r w:rsidR="00E009A9" w:rsidRPr="00172A35">
              <w:rPr>
                <w:rFonts w:asciiTheme="minorHAnsi" w:hAnsiTheme="minorHAnsi"/>
              </w:rPr>
              <w:t xml:space="preserve">systématique </w:t>
            </w:r>
            <w:r w:rsidRPr="00172A35">
              <w:rPr>
                <w:rFonts w:asciiTheme="minorHAnsi" w:hAnsiTheme="minorHAnsi"/>
              </w:rPr>
              <w:t>du PRODOC en Français</w:t>
            </w:r>
            <w:r w:rsidR="006C4137" w:rsidRPr="00172A35">
              <w:rPr>
                <w:rFonts w:asciiTheme="minorHAnsi" w:hAnsiTheme="minorHAnsi"/>
              </w:rPr>
              <w:t xml:space="preserve"> pour les prochaines fois, le projet étant déjà clôturé</w:t>
            </w:r>
          </w:p>
          <w:p w14:paraId="2BEF7072" w14:textId="77777777" w:rsidR="004F786E" w:rsidRPr="00172A35" w:rsidRDefault="004F786E" w:rsidP="002B6C34">
            <w:pPr>
              <w:pStyle w:val="Paragraphedeliste"/>
              <w:ind w:left="360"/>
              <w:rPr>
                <w:rFonts w:asciiTheme="minorHAnsi" w:hAnsiTheme="minorHAnsi"/>
              </w:rPr>
            </w:pPr>
          </w:p>
          <w:p w14:paraId="1BB98927" w14:textId="77777777" w:rsidR="004F786E" w:rsidRPr="00172A35" w:rsidRDefault="004F786E" w:rsidP="002B6C34">
            <w:pPr>
              <w:pStyle w:val="Paragraphedeliste"/>
              <w:ind w:left="360"/>
              <w:rPr>
                <w:rFonts w:asciiTheme="minorHAnsi" w:hAnsiTheme="minorHAnsi"/>
              </w:rPr>
            </w:pPr>
          </w:p>
          <w:p w14:paraId="37CF5870" w14:textId="77777777" w:rsidR="004F786E" w:rsidRPr="00172A35" w:rsidRDefault="004F786E" w:rsidP="002B6C34">
            <w:pPr>
              <w:pStyle w:val="Paragraphedeliste"/>
              <w:ind w:left="360"/>
              <w:rPr>
                <w:rFonts w:asciiTheme="minorHAnsi" w:hAnsiTheme="minorHAnsi"/>
              </w:rPr>
            </w:pPr>
          </w:p>
          <w:p w14:paraId="66DAB40D" w14:textId="77777777" w:rsidR="004F786E" w:rsidRPr="00172A35" w:rsidRDefault="004F786E" w:rsidP="002B6C34">
            <w:pPr>
              <w:pStyle w:val="Paragraphedeliste"/>
              <w:ind w:left="360"/>
              <w:rPr>
                <w:rFonts w:asciiTheme="minorHAnsi" w:hAnsiTheme="minorHAnsi"/>
              </w:rPr>
            </w:pPr>
          </w:p>
          <w:p w14:paraId="6F3A4BE8" w14:textId="77777777" w:rsidR="004F786E" w:rsidRPr="00172A35" w:rsidRDefault="004F786E" w:rsidP="002B6C34">
            <w:pPr>
              <w:pStyle w:val="Paragraphedeliste"/>
              <w:ind w:left="360"/>
              <w:rPr>
                <w:rFonts w:asciiTheme="minorHAnsi" w:hAnsiTheme="minorHAnsi"/>
              </w:rPr>
            </w:pPr>
          </w:p>
          <w:p w14:paraId="785A9902" w14:textId="6586BAC9" w:rsidR="004F786E" w:rsidRPr="00172A35" w:rsidRDefault="004F786E" w:rsidP="002B6C34">
            <w:pPr>
              <w:pStyle w:val="Paragraphedeliste"/>
              <w:ind w:left="360"/>
              <w:rPr>
                <w:rFonts w:asciiTheme="minorHAnsi" w:hAnsiTheme="minorHAns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C994" w14:textId="619D34A4" w:rsidR="00A83B76" w:rsidRPr="00BF6FA8" w:rsidRDefault="0043287D" w:rsidP="003F4F09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Sans délai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3F4C6" w14:textId="3CF59579" w:rsidR="00A83B76" w:rsidRPr="00BF6FA8" w:rsidRDefault="004F786E" w:rsidP="00A14CE9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172A3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Unité de Gestion du Projet</w:t>
            </w:r>
            <w:r w:rsidR="006C4137" w:rsidRPr="00172A3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/PNUD</w:t>
            </w:r>
          </w:p>
          <w:p w14:paraId="1222214E" w14:textId="77777777" w:rsidR="00E009A9" w:rsidRPr="00BF6FA8" w:rsidRDefault="00E009A9" w:rsidP="00A14CE9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  <w:p w14:paraId="42646ADA" w14:textId="77777777" w:rsidR="00E009A9" w:rsidRPr="00BF6FA8" w:rsidRDefault="00E009A9" w:rsidP="00A14CE9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  <w:p w14:paraId="6DBE0350" w14:textId="4549F257" w:rsidR="00E009A9" w:rsidRPr="00BF6FA8" w:rsidRDefault="00E009A9" w:rsidP="00A14CE9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A83B76" w:rsidRPr="00BC0163" w14:paraId="561FCE78" w14:textId="77777777" w:rsidTr="00535E5E">
        <w:trPr>
          <w:trHeight w:val="633"/>
        </w:trPr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0BF98" w14:textId="77777777" w:rsidR="002E29CB" w:rsidRPr="007A37DD" w:rsidRDefault="002E29CB" w:rsidP="00172A35">
            <w:pPr>
              <w:pStyle w:val="Corpsdetexte"/>
              <w:spacing w:before="1"/>
              <w:ind w:right="14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Au niveau de l’administration publique, des efforts doivent </w:t>
            </w:r>
            <w:r w:rsidRPr="00F132BF">
              <w:rPr>
                <w:rFonts w:asciiTheme="minorHAnsi" w:hAnsiTheme="minorHAnsi"/>
                <w:sz w:val="24"/>
                <w:szCs w:val="24"/>
                <w:lang w:val="fr-CA"/>
              </w:rPr>
              <w:t>ê</w:t>
            </w:r>
            <w:r>
              <w:rPr>
                <w:sz w:val="24"/>
                <w:szCs w:val="24"/>
                <w:lang w:val="fr-CA"/>
              </w:rPr>
              <w:t>tre entrepris pour d</w:t>
            </w:r>
            <w:r w:rsidRPr="00EA5491">
              <w:rPr>
                <w:sz w:val="24"/>
                <w:szCs w:val="24"/>
                <w:lang w:val="fr-CA"/>
              </w:rPr>
              <w:t xml:space="preserve">iminuer la lenteur administrative des embauches en limitant le nombre de non-objection requis. </w:t>
            </w:r>
          </w:p>
          <w:p w14:paraId="53E49748" w14:textId="16D38AC5" w:rsidR="00A83B76" w:rsidRPr="004964CD" w:rsidRDefault="002E29CB" w:rsidP="00172A35">
            <w:pPr>
              <w:pStyle w:val="Corpsdetexte"/>
              <w:spacing w:before="1"/>
              <w:ind w:right="14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lastRenderedPageBreak/>
              <w:t xml:space="preserve">Le COPIL pourrait par exemple </w:t>
            </w:r>
            <w:r w:rsidRPr="00313A9D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  <w:t>ê</w:t>
            </w:r>
            <w:proofErr w:type="spellStart"/>
            <w:r w:rsidRPr="007A37DD">
              <w:rPr>
                <w:sz w:val="24"/>
                <w:szCs w:val="24"/>
                <w:lang w:val="fr-CA"/>
              </w:rPr>
              <w:t>tre</w:t>
            </w:r>
            <w:proofErr w:type="spellEnd"/>
            <w:r w:rsidRPr="007A37DD">
              <w:rPr>
                <w:sz w:val="24"/>
                <w:szCs w:val="24"/>
                <w:lang w:val="fr-CA"/>
              </w:rPr>
              <w:t xml:space="preserve"> le seul organe dont la non-objection est requise.</w:t>
            </w:r>
            <w:r>
              <w:rPr>
                <w:sz w:val="24"/>
                <w:szCs w:val="24"/>
                <w:lang w:val="fr-CA"/>
              </w:rPr>
              <w:t xml:space="preserve"> A ce jour, selon l’</w:t>
            </w:r>
            <w:r w:rsidRPr="007A37DD">
              <w:rPr>
                <w:sz w:val="24"/>
                <w:szCs w:val="24"/>
                <w:lang w:val="fr-CA"/>
              </w:rPr>
              <w:t>é</w:t>
            </w:r>
            <w:r>
              <w:rPr>
                <w:sz w:val="24"/>
                <w:szCs w:val="24"/>
                <w:lang w:val="fr-CA"/>
              </w:rPr>
              <w:t xml:space="preserve">quipe de projet, il semble que plus de 4 non-objections soient requises </w:t>
            </w:r>
            <w:r w:rsidRPr="00EA5491">
              <w:rPr>
                <w:rFonts w:asciiTheme="minorHAnsi" w:hAnsiTheme="minorHAnsi"/>
                <w:sz w:val="24"/>
                <w:szCs w:val="24"/>
                <w:lang w:val="fr-CA"/>
              </w:rPr>
              <w:t>à</w:t>
            </w:r>
            <w:r>
              <w:rPr>
                <w:sz w:val="24"/>
                <w:szCs w:val="24"/>
                <w:lang w:val="fr-CA"/>
              </w:rPr>
              <w:t xml:space="preserve"> divers échelons.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793B" w14:textId="20DA47EB" w:rsidR="00A83B76" w:rsidRPr="00BF6FA8" w:rsidRDefault="0043287D" w:rsidP="003F4F09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lastRenderedPageBreak/>
              <w:t xml:space="preserve">Révision des procédures de </w:t>
            </w: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lastRenderedPageBreak/>
              <w:t>passation de marché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7844" w14:textId="7CE677A6" w:rsidR="00A14CE9" w:rsidRPr="00BF6FA8" w:rsidRDefault="0043287D" w:rsidP="00975182">
            <w:pPr>
              <w:pStyle w:val="Paragraphedeliste"/>
              <w:rPr>
                <w:rFonts w:asciiTheme="minorHAnsi" w:hAnsiTheme="minorHAnsi"/>
              </w:rPr>
            </w:pPr>
            <w:r w:rsidRPr="00BF6FA8">
              <w:rPr>
                <w:rFonts w:asciiTheme="minorHAnsi" w:hAnsiTheme="minorHAnsi"/>
              </w:rPr>
              <w:lastRenderedPageBreak/>
              <w:t>Allègement des procédures de passation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AC81" w14:textId="7105C3EE" w:rsidR="00A83B76" w:rsidRPr="00BF6FA8" w:rsidRDefault="0043287D" w:rsidP="003F4F09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Sans délai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CEF8" w14:textId="74E84C71" w:rsidR="00A83B76" w:rsidRPr="00BF6FA8" w:rsidRDefault="0043287D" w:rsidP="00A14CE9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MINEFID</w:t>
            </w:r>
          </w:p>
        </w:tc>
      </w:tr>
      <w:tr w:rsidR="00A83B76" w:rsidRPr="00BC0163" w14:paraId="13C5A8F5" w14:textId="77777777" w:rsidTr="00535E5E">
        <w:trPr>
          <w:trHeight w:val="2251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B513" w14:textId="77777777" w:rsidR="002E29CB" w:rsidRPr="007A37DD" w:rsidRDefault="002E29CB" w:rsidP="00172A35">
            <w:pPr>
              <w:pStyle w:val="Corpsdetexte"/>
              <w:spacing w:before="1"/>
              <w:ind w:right="14"/>
              <w:jc w:val="both"/>
              <w:rPr>
                <w:i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L’</w:t>
            </w:r>
            <w:r w:rsidRPr="00EA5491">
              <w:rPr>
                <w:rFonts w:asciiTheme="minorHAnsi" w:hAnsiTheme="minorHAnsi"/>
                <w:sz w:val="24"/>
                <w:szCs w:val="24"/>
                <w:lang w:val="fr-CA"/>
              </w:rPr>
              <w:t>é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t xml:space="preserve">quipe de coordination du projet devrait </w:t>
            </w:r>
            <w:r>
              <w:rPr>
                <w:sz w:val="24"/>
                <w:szCs w:val="24"/>
                <w:lang w:val="fr-CA"/>
              </w:rPr>
              <w:t>m</w:t>
            </w:r>
            <w:r w:rsidRPr="00EA5491">
              <w:rPr>
                <w:sz w:val="24"/>
                <w:szCs w:val="24"/>
                <w:lang w:val="fr-CA"/>
              </w:rPr>
              <w:t>ettre en place un comité de suivi pour améliorer en continu le système</w:t>
            </w:r>
            <w:r>
              <w:rPr>
                <w:sz w:val="24"/>
                <w:szCs w:val="24"/>
                <w:lang w:val="fr-CA"/>
              </w:rPr>
              <w:t xml:space="preserve"> de donn</w:t>
            </w:r>
            <w:r w:rsidRPr="00EA5491">
              <w:rPr>
                <w:rFonts w:asciiTheme="minorHAnsi" w:hAnsiTheme="minorHAnsi"/>
                <w:sz w:val="24"/>
                <w:szCs w:val="24"/>
                <w:lang w:val="fr-CA"/>
              </w:rPr>
              <w:t>é</w:t>
            </w:r>
            <w:r w:rsidRPr="00EA5491">
              <w:rPr>
                <w:sz w:val="24"/>
                <w:szCs w:val="24"/>
                <w:lang w:val="fr-CA"/>
              </w:rPr>
              <w:t xml:space="preserve">es. </w:t>
            </w:r>
          </w:p>
          <w:p w14:paraId="1D40AB49" w14:textId="4EDCCF42" w:rsidR="00A83B76" w:rsidRPr="004964CD" w:rsidRDefault="002E29CB" w:rsidP="00172A35">
            <w:pPr>
              <w:pStyle w:val="Corpsdetexte"/>
              <w:spacing w:before="1"/>
              <w:ind w:right="14"/>
              <w:jc w:val="both"/>
              <w:rPr>
                <w:sz w:val="24"/>
                <w:szCs w:val="24"/>
                <w:lang w:val="fr-CA"/>
              </w:rPr>
            </w:pPr>
            <w:r w:rsidRPr="007A37DD">
              <w:rPr>
                <w:sz w:val="24"/>
                <w:szCs w:val="24"/>
                <w:lang w:val="fr-CA"/>
              </w:rPr>
              <w:t>La plupart des personnes interviewées</w:t>
            </w:r>
            <w:r>
              <w:rPr>
                <w:sz w:val="24"/>
                <w:szCs w:val="24"/>
                <w:lang w:val="fr-CA"/>
              </w:rPr>
              <w:t xml:space="preserve"> ont demand</w:t>
            </w:r>
            <w:r w:rsidRPr="0071008B">
              <w:rPr>
                <w:sz w:val="24"/>
                <w:szCs w:val="24"/>
                <w:lang w:val="fr-CA"/>
              </w:rPr>
              <w:t>é</w:t>
            </w:r>
            <w:r w:rsidRPr="007A37DD">
              <w:rPr>
                <w:sz w:val="24"/>
                <w:szCs w:val="24"/>
                <w:lang w:val="fr-CA"/>
              </w:rPr>
              <w:t xml:space="preserve"> un tel type de comit</w:t>
            </w:r>
            <w:r w:rsidRPr="005E07B7">
              <w:rPr>
                <w:sz w:val="24"/>
                <w:szCs w:val="24"/>
                <w:lang w:val="fr-CA"/>
              </w:rPr>
              <w:t>é</w:t>
            </w:r>
            <w:r w:rsidRPr="007A37DD">
              <w:rPr>
                <w:sz w:val="24"/>
                <w:szCs w:val="24"/>
                <w:lang w:val="fr-CA"/>
              </w:rPr>
              <w:t>. Il y a un désir d’implication de la part de ceux-ci.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D341" w14:textId="26A99630" w:rsidR="00A83B76" w:rsidRPr="00BF6FA8" w:rsidRDefault="0043287D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Création d’un cadre </w:t>
            </w:r>
            <w:r w:rsidR="00036FEA"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de suivi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463F" w14:textId="2E9EDC53" w:rsidR="00613E34" w:rsidRPr="00BF6FA8" w:rsidRDefault="00613E34" w:rsidP="0043287D">
            <w:pPr>
              <w:pStyle w:val="Paragraphedeliste"/>
              <w:rPr>
                <w:rFonts w:asciiTheme="minorHAnsi" w:hAnsiTheme="minorHAnsi"/>
              </w:rPr>
            </w:pPr>
            <w:r w:rsidRPr="00BF6FA8">
              <w:rPr>
                <w:rFonts w:asciiTheme="minorHAnsi" w:hAnsiTheme="minorHAnsi"/>
              </w:rPr>
              <w:t xml:space="preserve"> </w:t>
            </w:r>
            <w:r w:rsidR="0043287D" w:rsidRPr="00BF6FA8">
              <w:rPr>
                <w:rFonts w:asciiTheme="minorHAnsi" w:hAnsiTheme="minorHAnsi"/>
              </w:rPr>
              <w:t>Mise en place d’un Comité Technique de Suivi du système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AC5C" w14:textId="58AD0C6C" w:rsidR="00A83B76" w:rsidRPr="00BF6FA8" w:rsidRDefault="00036FEA" w:rsidP="005237A5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D</w:t>
            </w:r>
            <w:r w:rsidR="005237A5"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ès</w:t>
            </w: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2020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3E96" w14:textId="2D83A466" w:rsidR="00A83B76" w:rsidRPr="00BF6FA8" w:rsidRDefault="00BC5637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SP/CNDD-ONDD</w:t>
            </w:r>
          </w:p>
        </w:tc>
      </w:tr>
      <w:tr w:rsidR="00A83B76" w:rsidRPr="00136622" w14:paraId="2F48C4C3" w14:textId="77777777" w:rsidTr="00535E5E">
        <w:trPr>
          <w:trHeight w:val="228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5EBA" w14:textId="77777777" w:rsidR="002E29CB" w:rsidRPr="007A37DD" w:rsidRDefault="002E29CB" w:rsidP="00172A35">
            <w:pPr>
              <w:pStyle w:val="Corpsdetexte"/>
              <w:spacing w:before="1"/>
              <w:ind w:right="14"/>
              <w:jc w:val="both"/>
              <w:rPr>
                <w:i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Le SP/CONEDD devrait d</w:t>
            </w:r>
            <w:r w:rsidRPr="00EA5491">
              <w:rPr>
                <w:sz w:val="24"/>
                <w:szCs w:val="24"/>
                <w:lang w:val="fr-CA"/>
              </w:rPr>
              <w:t>éfinir un plan de capitalisation pour maintenir le système</w:t>
            </w:r>
            <w:r>
              <w:rPr>
                <w:sz w:val="24"/>
                <w:szCs w:val="24"/>
                <w:lang w:val="fr-CA"/>
              </w:rPr>
              <w:t xml:space="preserve"> de donn</w:t>
            </w:r>
            <w:r w:rsidRPr="00EA5491">
              <w:rPr>
                <w:rFonts w:asciiTheme="minorHAnsi" w:hAnsiTheme="minorHAnsi"/>
                <w:sz w:val="24"/>
                <w:szCs w:val="24"/>
                <w:lang w:val="fr-CA"/>
              </w:rPr>
              <w:t>é</w:t>
            </w:r>
            <w:r w:rsidRPr="00EA5491">
              <w:rPr>
                <w:sz w:val="24"/>
                <w:szCs w:val="24"/>
                <w:lang w:val="fr-CA"/>
              </w:rPr>
              <w:t xml:space="preserve">es </w:t>
            </w:r>
            <w:r w:rsidRPr="00BB5BFC">
              <w:rPr>
                <w:sz w:val="24"/>
                <w:szCs w:val="24"/>
                <w:lang w:val="fr-CA"/>
              </w:rPr>
              <w:t>et en assurer la dissémination auprès des partenaires.</w:t>
            </w:r>
            <w:r>
              <w:rPr>
                <w:sz w:val="24"/>
                <w:szCs w:val="24"/>
                <w:lang w:val="fr-CA"/>
              </w:rPr>
              <w:t xml:space="preserve"> </w:t>
            </w:r>
          </w:p>
          <w:p w14:paraId="20EF75C7" w14:textId="36D04F84" w:rsidR="00A83B76" w:rsidRPr="004964CD" w:rsidRDefault="002E29CB" w:rsidP="00172A35">
            <w:pPr>
              <w:pStyle w:val="Corpsdetexte"/>
              <w:spacing w:before="1"/>
              <w:ind w:right="14"/>
              <w:jc w:val="both"/>
              <w:rPr>
                <w:sz w:val="24"/>
                <w:szCs w:val="24"/>
                <w:lang w:val="fr-CA"/>
              </w:rPr>
            </w:pPr>
            <w:r w:rsidRPr="007A37DD">
              <w:rPr>
                <w:sz w:val="24"/>
                <w:szCs w:val="24"/>
                <w:lang w:val="fr-CA"/>
              </w:rPr>
              <w:t>La pérennité du système</w:t>
            </w:r>
            <w:r>
              <w:rPr>
                <w:sz w:val="24"/>
                <w:szCs w:val="24"/>
                <w:lang w:val="fr-CA"/>
              </w:rPr>
              <w:t xml:space="preserve"> de donn</w:t>
            </w:r>
            <w:r w:rsidRPr="007A37DD">
              <w:rPr>
                <w:sz w:val="24"/>
                <w:szCs w:val="24"/>
                <w:lang w:val="fr-CA"/>
              </w:rPr>
              <w:t xml:space="preserve">ées est une préoccupation pour plusieurs personnes interviewées qui craignent que la clôture financière du projet conduise à la fin du système de </w:t>
            </w:r>
            <w:r w:rsidR="004964CD" w:rsidRPr="007A37DD">
              <w:rPr>
                <w:sz w:val="24"/>
                <w:szCs w:val="24"/>
                <w:lang w:val="fr-CA"/>
              </w:rPr>
              <w:t>données</w:t>
            </w:r>
            <w:r w:rsidRPr="007A37DD">
              <w:rPr>
                <w:sz w:val="24"/>
                <w:szCs w:val="24"/>
                <w:lang w:val="fr-CA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624AB" w14:textId="15DBB93A" w:rsidR="00A83B76" w:rsidRPr="00BF6FA8" w:rsidRDefault="00036FEA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Créer les conditions de la durabilité du système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71A3" w14:textId="145C500D" w:rsidR="00C2767C" w:rsidRPr="00BF6FA8" w:rsidRDefault="00036FEA" w:rsidP="00A54183">
            <w:pPr>
              <w:pStyle w:val="Paragraphedeliste"/>
              <w:rPr>
                <w:rFonts w:asciiTheme="minorHAnsi" w:hAnsiTheme="minorHAnsi"/>
              </w:rPr>
            </w:pPr>
            <w:r w:rsidRPr="00BF6FA8">
              <w:rPr>
                <w:rFonts w:asciiTheme="minorHAnsi" w:hAnsiTheme="minorHAnsi"/>
              </w:rPr>
              <w:t xml:space="preserve">Financement  </w:t>
            </w:r>
            <w:r w:rsidR="00A54183" w:rsidRPr="00BF6FA8">
              <w:rPr>
                <w:rFonts w:asciiTheme="minorHAnsi" w:hAnsiTheme="minorHAnsi"/>
              </w:rPr>
              <w:t xml:space="preserve">annuel de la gestion du système par le Programme budgétaire 088 « Gouvernance environnementale et développement durable »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58ED" w14:textId="77DFAE8D" w:rsidR="00A83B76" w:rsidRPr="00BF6FA8" w:rsidRDefault="005237A5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Dès </w:t>
            </w:r>
            <w:r w:rsidR="00A54183"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465B" w14:textId="079C97DF" w:rsidR="00A83B76" w:rsidRPr="00BF6FA8" w:rsidRDefault="00A54183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SP/CNDD</w:t>
            </w:r>
          </w:p>
        </w:tc>
      </w:tr>
      <w:tr w:rsidR="00292217" w:rsidRPr="00136622" w14:paraId="2208CA17" w14:textId="77777777" w:rsidTr="00535E5E">
        <w:trPr>
          <w:trHeight w:val="633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16D0" w14:textId="77777777" w:rsidR="002E29CB" w:rsidRPr="007A37DD" w:rsidRDefault="002E29CB" w:rsidP="00172A35">
            <w:pPr>
              <w:pStyle w:val="Corpsdetexte"/>
              <w:spacing w:before="1"/>
              <w:ind w:right="14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Le SP/CONEDD devrait c</w:t>
            </w:r>
            <w:r w:rsidRPr="00EA5491">
              <w:rPr>
                <w:sz w:val="24"/>
                <w:szCs w:val="24"/>
                <w:lang w:val="fr-CA"/>
              </w:rPr>
              <w:t xml:space="preserve">ontinuer la sensibilisation des partenaires pour l’utilisation et l’alimentation du système </w:t>
            </w:r>
            <w:r>
              <w:rPr>
                <w:sz w:val="24"/>
                <w:szCs w:val="24"/>
                <w:lang w:val="fr-CA"/>
              </w:rPr>
              <w:t>de donn</w:t>
            </w:r>
            <w:r w:rsidRPr="00EA5491">
              <w:rPr>
                <w:rFonts w:asciiTheme="minorHAnsi" w:hAnsiTheme="minorHAnsi"/>
                <w:sz w:val="24"/>
                <w:szCs w:val="24"/>
                <w:lang w:val="fr-CA"/>
              </w:rPr>
              <w:t>é</w:t>
            </w:r>
            <w:r w:rsidRPr="00EA5491">
              <w:rPr>
                <w:sz w:val="24"/>
                <w:szCs w:val="24"/>
                <w:lang w:val="fr-CA"/>
              </w:rPr>
              <w:t>es.</w:t>
            </w:r>
            <w:r>
              <w:rPr>
                <w:sz w:val="24"/>
                <w:szCs w:val="24"/>
                <w:lang w:val="fr-CA"/>
              </w:rPr>
              <w:t xml:space="preserve"> </w:t>
            </w:r>
          </w:p>
          <w:p w14:paraId="15B12D0E" w14:textId="49C1D8D4" w:rsidR="00A83B76" w:rsidRPr="004964CD" w:rsidRDefault="002E29CB" w:rsidP="00172A35">
            <w:pPr>
              <w:pStyle w:val="Corpsdetexte"/>
              <w:spacing w:before="1"/>
              <w:ind w:right="14"/>
              <w:jc w:val="both"/>
              <w:rPr>
                <w:sz w:val="24"/>
                <w:szCs w:val="24"/>
                <w:lang w:val="fr-CA"/>
              </w:rPr>
            </w:pPr>
            <w:r w:rsidRPr="007A37DD">
              <w:rPr>
                <w:sz w:val="24"/>
                <w:szCs w:val="24"/>
                <w:lang w:val="fr-CA"/>
              </w:rPr>
              <w:t>Un produit de qualité a été créée. Sa pérennité dépend de son utilisation et de son alimentation par les partenaires afin que le système</w:t>
            </w:r>
            <w:r>
              <w:rPr>
                <w:sz w:val="24"/>
                <w:szCs w:val="24"/>
                <w:lang w:val="fr-CA"/>
              </w:rPr>
              <w:t xml:space="preserve"> continu d’</w:t>
            </w:r>
            <w:r w:rsidRPr="00313A9D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  <w:t>ê</w:t>
            </w:r>
            <w:proofErr w:type="spellStart"/>
            <w:r w:rsidR="004964CD">
              <w:rPr>
                <w:sz w:val="24"/>
                <w:szCs w:val="24"/>
                <w:lang w:val="fr-CA"/>
              </w:rPr>
              <w:t>tre</w:t>
            </w:r>
            <w:proofErr w:type="spellEnd"/>
            <w:r w:rsidRPr="007A37DD">
              <w:rPr>
                <w:sz w:val="24"/>
                <w:szCs w:val="24"/>
                <w:lang w:val="fr-CA"/>
              </w:rPr>
              <w:t xml:space="preserve"> reconnu comme étant à jour et fiable</w:t>
            </w:r>
            <w:r>
              <w:rPr>
                <w:rStyle w:val="Marquedecommentaire"/>
                <w:rFonts w:ascii="Times New Roman" w:eastAsiaTheme="minorEastAsia" w:hAnsi="Times New Roman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3F1D" w14:textId="6FEEBBB0" w:rsidR="00A83B76" w:rsidRPr="00BF6FA8" w:rsidRDefault="00A54183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Animation continu du Réseau PNGIM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0AE3" w14:textId="7674FB39" w:rsidR="00D401B9" w:rsidRPr="00BF6FA8" w:rsidRDefault="00A54183" w:rsidP="00A54183">
            <w:pPr>
              <w:pStyle w:val="Paragraphedeliste"/>
              <w:rPr>
                <w:rFonts w:asciiTheme="minorHAnsi" w:hAnsiTheme="minorHAnsi"/>
              </w:rPr>
            </w:pPr>
            <w:r w:rsidRPr="00BF6FA8">
              <w:rPr>
                <w:rFonts w:asciiTheme="minorHAnsi" w:hAnsiTheme="minorHAnsi"/>
              </w:rPr>
              <w:t>Organisation  régulière de session</w:t>
            </w:r>
            <w:r w:rsidR="005237A5" w:rsidRPr="00BF6FA8">
              <w:rPr>
                <w:rFonts w:asciiTheme="minorHAnsi" w:hAnsiTheme="minorHAnsi"/>
              </w:rPr>
              <w:t>s</w:t>
            </w:r>
            <w:r w:rsidRPr="00BF6FA8">
              <w:rPr>
                <w:rFonts w:asciiTheme="minorHAnsi" w:hAnsiTheme="minorHAnsi"/>
              </w:rPr>
              <w:t xml:space="preserve"> d’échange</w:t>
            </w:r>
            <w:r w:rsidR="007C156B" w:rsidRPr="00BF6FA8">
              <w:rPr>
                <w:rFonts w:asciiTheme="minorHAnsi" w:hAnsiTheme="minorHAnsi"/>
              </w:rPr>
              <w:t>s</w:t>
            </w:r>
            <w:r w:rsidRPr="00BF6FA8">
              <w:rPr>
                <w:rFonts w:asciiTheme="minorHAnsi" w:hAnsiTheme="minorHAnsi"/>
              </w:rPr>
              <w:t xml:space="preserve"> et de travail </w:t>
            </w:r>
            <w:r w:rsidR="005237A5" w:rsidRPr="00BF6FA8">
              <w:rPr>
                <w:rFonts w:asciiTheme="minorHAnsi" w:hAnsiTheme="minorHAnsi"/>
              </w:rPr>
              <w:t>du Réseau PNGIM (au moins 2 sessions annuelles</w:t>
            </w:r>
            <w:r w:rsidR="007C156B" w:rsidRPr="00BF6FA8">
              <w:rPr>
                <w:rFonts w:asciiTheme="minorHAnsi" w:hAnsiTheme="minorHAnsi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67A7" w14:textId="7C3C1E31" w:rsidR="00A83B76" w:rsidRPr="00BF6FA8" w:rsidRDefault="005237A5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Dès 2019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4C8E" w14:textId="5B38619D" w:rsidR="00A83B76" w:rsidRPr="00BF6FA8" w:rsidRDefault="005237A5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SP/CNDD</w:t>
            </w:r>
          </w:p>
        </w:tc>
      </w:tr>
      <w:tr w:rsidR="00A83B76" w:rsidRPr="00FD0E3F" w14:paraId="1EE9F1FF" w14:textId="77777777" w:rsidTr="00535E5E">
        <w:trPr>
          <w:trHeight w:val="633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0A71" w14:textId="77777777" w:rsidR="002E29CB" w:rsidRPr="007A37DD" w:rsidRDefault="002E29CB" w:rsidP="00172A35">
            <w:pPr>
              <w:pStyle w:val="Corpsdetexte"/>
              <w:spacing w:before="1"/>
              <w:ind w:right="14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Le PNUD et la contrepartie nationale gagneraient </w:t>
            </w:r>
            <w:r w:rsidRPr="00EA5491">
              <w:rPr>
                <w:rFonts w:asciiTheme="minorHAnsi" w:hAnsiTheme="minorHAnsi"/>
                <w:sz w:val="24"/>
                <w:szCs w:val="24"/>
                <w:lang w:val="fr-CA"/>
              </w:rPr>
              <w:t>à</w:t>
            </w:r>
            <w:r>
              <w:rPr>
                <w:sz w:val="24"/>
                <w:szCs w:val="24"/>
                <w:lang w:val="fr-CA"/>
              </w:rPr>
              <w:t xml:space="preserve"> mieux comprendre les raisons de la faible participation des femme</w:t>
            </w:r>
            <w:bookmarkStart w:id="0" w:name="_GoBack"/>
            <w:bookmarkEnd w:id="0"/>
            <w:r>
              <w:rPr>
                <w:sz w:val="24"/>
                <w:szCs w:val="24"/>
                <w:lang w:val="fr-CA"/>
              </w:rPr>
              <w:t>s aux activit</w:t>
            </w:r>
            <w:r w:rsidRPr="00EA5491">
              <w:rPr>
                <w:rFonts w:asciiTheme="minorHAnsi" w:eastAsiaTheme="minorHAnsi" w:hAnsiTheme="minorHAnsi"/>
                <w:sz w:val="24"/>
                <w:szCs w:val="24"/>
                <w:lang w:val="fr-CA"/>
              </w:rPr>
              <w:t>é</w:t>
            </w:r>
            <w:r>
              <w:rPr>
                <w:sz w:val="24"/>
                <w:szCs w:val="24"/>
                <w:lang w:val="fr-CA"/>
              </w:rPr>
              <w:t>s et envisager la n</w:t>
            </w:r>
            <w:r w:rsidRPr="00EA5491">
              <w:rPr>
                <w:rFonts w:asciiTheme="minorHAnsi" w:eastAsiaTheme="minorHAnsi" w:hAnsiTheme="minorHAnsi"/>
                <w:sz w:val="24"/>
                <w:szCs w:val="24"/>
                <w:lang w:val="fr-CA"/>
              </w:rPr>
              <w:t>é</w:t>
            </w:r>
            <w:r>
              <w:rPr>
                <w:sz w:val="24"/>
                <w:szCs w:val="24"/>
                <w:lang w:val="fr-CA"/>
              </w:rPr>
              <w:t>c</w:t>
            </w:r>
            <w:r w:rsidRPr="00EA5491">
              <w:rPr>
                <w:rFonts w:asciiTheme="minorHAnsi" w:eastAsiaTheme="minorHAnsi" w:hAnsiTheme="minorHAnsi"/>
                <w:sz w:val="24"/>
                <w:szCs w:val="24"/>
                <w:lang w:val="fr-CA"/>
              </w:rPr>
              <w:t>e</w:t>
            </w:r>
            <w:r>
              <w:rPr>
                <w:sz w:val="24"/>
                <w:szCs w:val="24"/>
                <w:lang w:val="fr-CA"/>
              </w:rPr>
              <w:t>ssit</w:t>
            </w:r>
            <w:r w:rsidRPr="00EA5491">
              <w:rPr>
                <w:rFonts w:asciiTheme="minorHAnsi" w:eastAsiaTheme="minorHAnsi" w:hAnsiTheme="minorHAnsi"/>
                <w:sz w:val="24"/>
                <w:szCs w:val="24"/>
                <w:lang w:val="fr-CA"/>
              </w:rPr>
              <w:t>é</w:t>
            </w:r>
            <w:r>
              <w:rPr>
                <w:sz w:val="24"/>
                <w:szCs w:val="24"/>
                <w:lang w:val="fr-CA"/>
              </w:rPr>
              <w:t xml:space="preserve"> d’une aide financi</w:t>
            </w:r>
            <w:r w:rsidRPr="00EA5491">
              <w:rPr>
                <w:lang w:val="fr-CA"/>
              </w:rPr>
              <w:t>è</w:t>
            </w:r>
            <w:r>
              <w:rPr>
                <w:sz w:val="24"/>
                <w:szCs w:val="24"/>
                <w:lang w:val="fr-CA"/>
              </w:rPr>
              <w:t xml:space="preserve">re pour faciliter la participation. </w:t>
            </w:r>
          </w:p>
          <w:p w14:paraId="463D9A6A" w14:textId="1A0D9254" w:rsidR="00A83B76" w:rsidRPr="00FD0E3F" w:rsidRDefault="002E29CB" w:rsidP="002E29CB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313A9D">
              <w:t xml:space="preserve">Il semble que les contraintes familiales mais aussi socioéconomiques ont un effet négatif sur la participation des femmes. Il serait opportun d’envisager un support financier (que ce soit pour assumer le </w:t>
            </w:r>
            <w:r w:rsidRPr="00006AC2">
              <w:t>co</w:t>
            </w:r>
            <w:r>
              <w:t>û</w:t>
            </w:r>
            <w:r w:rsidRPr="00006AC2">
              <w:t>t</w:t>
            </w:r>
            <w:r w:rsidRPr="00313A9D">
              <w:t xml:space="preserve"> du transport ou perte de revenus) soit offert aux femmes participant aux activités.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A7FA" w14:textId="0EC624BF" w:rsidR="00A83B76" w:rsidRPr="00BF6FA8" w:rsidRDefault="00B93F8A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Création de facilités pour la participation des femmes aux activités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08FF" w14:textId="52141A9B" w:rsidR="00C2767C" w:rsidRPr="00BF6FA8" w:rsidRDefault="00B93F8A" w:rsidP="00975182">
            <w:pPr>
              <w:rPr>
                <w:rFonts w:asciiTheme="minorHAnsi" w:hAnsiTheme="minorHAnsi"/>
              </w:rPr>
            </w:pPr>
            <w:r w:rsidRPr="00BF6FA8">
              <w:rPr>
                <w:rFonts w:asciiTheme="minorHAnsi" w:hAnsiTheme="minorHAnsi"/>
              </w:rPr>
              <w:t>Mise en place d’un système</w:t>
            </w:r>
            <w:r w:rsidR="00050830" w:rsidRPr="00BF6FA8">
              <w:rPr>
                <w:rFonts w:asciiTheme="minorHAnsi" w:hAnsiTheme="minorHAnsi"/>
              </w:rPr>
              <w:t xml:space="preserve"> de renforcement des capacités des femmes (sensibilisation, appui matériel et financier) pour aider à leur participation aux activités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FD0B" w14:textId="684D84DF" w:rsidR="00A83B76" w:rsidRPr="00BF6FA8" w:rsidRDefault="00050830" w:rsidP="00A83B76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Sans délai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8A1B" w14:textId="41D65C1E" w:rsidR="00A83B76" w:rsidRPr="00BF6FA8" w:rsidRDefault="005237A5" w:rsidP="001D54EA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F6FA8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SP/CNDD</w:t>
            </w:r>
            <w:r w:rsidR="00EB0B3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0FEB02E1" w14:textId="77777777" w:rsidR="0064636A" w:rsidRDefault="0064636A" w:rsidP="004964CD"/>
    <w:sectPr w:rsidR="0064636A" w:rsidSect="00D13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FD02" w14:textId="77777777" w:rsidR="002277BE" w:rsidRDefault="002277BE" w:rsidP="002B6C34">
      <w:pPr>
        <w:spacing w:after="0" w:line="240" w:lineRule="auto"/>
      </w:pPr>
      <w:r>
        <w:separator/>
      </w:r>
    </w:p>
  </w:endnote>
  <w:endnote w:type="continuationSeparator" w:id="0">
    <w:p w14:paraId="58CE545B" w14:textId="77777777" w:rsidR="002277BE" w:rsidRDefault="002277BE" w:rsidP="002B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2B00" w14:textId="77777777" w:rsidR="002277BE" w:rsidRDefault="002277BE" w:rsidP="002B6C34">
      <w:pPr>
        <w:spacing w:after="0" w:line="240" w:lineRule="auto"/>
      </w:pPr>
      <w:r>
        <w:separator/>
      </w:r>
    </w:p>
  </w:footnote>
  <w:footnote w:type="continuationSeparator" w:id="0">
    <w:p w14:paraId="1C55F6EB" w14:textId="77777777" w:rsidR="002277BE" w:rsidRDefault="002277BE" w:rsidP="002B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125B"/>
    <w:multiLevelType w:val="hybridMultilevel"/>
    <w:tmpl w:val="B86C9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46D"/>
    <w:multiLevelType w:val="hybridMultilevel"/>
    <w:tmpl w:val="285CB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937"/>
    <w:multiLevelType w:val="hybridMultilevel"/>
    <w:tmpl w:val="DF80B69A"/>
    <w:lvl w:ilvl="0" w:tplc="6D82918A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217FE"/>
    <w:multiLevelType w:val="hybridMultilevel"/>
    <w:tmpl w:val="78943E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A53"/>
    <w:multiLevelType w:val="hybridMultilevel"/>
    <w:tmpl w:val="37ECB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400A"/>
    <w:multiLevelType w:val="hybridMultilevel"/>
    <w:tmpl w:val="CC6ABCD0"/>
    <w:lvl w:ilvl="0" w:tplc="6900B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2B4D"/>
    <w:multiLevelType w:val="hybridMultilevel"/>
    <w:tmpl w:val="AA564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829F8"/>
    <w:multiLevelType w:val="hybridMultilevel"/>
    <w:tmpl w:val="8592D4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907C2"/>
    <w:multiLevelType w:val="multilevel"/>
    <w:tmpl w:val="F5AA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02CF"/>
    <w:multiLevelType w:val="hybridMultilevel"/>
    <w:tmpl w:val="000AD8A6"/>
    <w:lvl w:ilvl="0" w:tplc="AF388B2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329B"/>
    <w:multiLevelType w:val="hybridMultilevel"/>
    <w:tmpl w:val="23FCD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22C89"/>
    <w:multiLevelType w:val="hybridMultilevel"/>
    <w:tmpl w:val="641888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4638"/>
    <w:multiLevelType w:val="hybridMultilevel"/>
    <w:tmpl w:val="1C58C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8E6"/>
    <w:multiLevelType w:val="hybridMultilevel"/>
    <w:tmpl w:val="B412C2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7427B"/>
    <w:multiLevelType w:val="hybridMultilevel"/>
    <w:tmpl w:val="398E813A"/>
    <w:lvl w:ilvl="0" w:tplc="4596E5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72A0B"/>
    <w:multiLevelType w:val="hybridMultilevel"/>
    <w:tmpl w:val="3B00E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3544E"/>
    <w:multiLevelType w:val="hybridMultilevel"/>
    <w:tmpl w:val="DDE06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B7001"/>
    <w:multiLevelType w:val="hybridMultilevel"/>
    <w:tmpl w:val="4BDEF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10"/>
  </w:num>
  <w:num w:numId="10">
    <w:abstractNumId w:val="16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17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5B"/>
    <w:rsid w:val="00036FEA"/>
    <w:rsid w:val="000411AF"/>
    <w:rsid w:val="000416C2"/>
    <w:rsid w:val="00043479"/>
    <w:rsid w:val="0004585E"/>
    <w:rsid w:val="00050830"/>
    <w:rsid w:val="00051443"/>
    <w:rsid w:val="0005298F"/>
    <w:rsid w:val="00091DE6"/>
    <w:rsid w:val="000A0271"/>
    <w:rsid w:val="000E0827"/>
    <w:rsid w:val="000E26C0"/>
    <w:rsid w:val="0010392E"/>
    <w:rsid w:val="00136622"/>
    <w:rsid w:val="00172A35"/>
    <w:rsid w:val="00183514"/>
    <w:rsid w:val="001846D0"/>
    <w:rsid w:val="001A681B"/>
    <w:rsid w:val="001A7383"/>
    <w:rsid w:val="001C0D5B"/>
    <w:rsid w:val="001D32B1"/>
    <w:rsid w:val="001D54EA"/>
    <w:rsid w:val="001F2013"/>
    <w:rsid w:val="002127EA"/>
    <w:rsid w:val="00223DF9"/>
    <w:rsid w:val="002277BE"/>
    <w:rsid w:val="002348F2"/>
    <w:rsid w:val="00237B7F"/>
    <w:rsid w:val="002406CB"/>
    <w:rsid w:val="00252DCC"/>
    <w:rsid w:val="00280C5B"/>
    <w:rsid w:val="00284648"/>
    <w:rsid w:val="00292217"/>
    <w:rsid w:val="002B6C34"/>
    <w:rsid w:val="002C109D"/>
    <w:rsid w:val="002C2109"/>
    <w:rsid w:val="002D474F"/>
    <w:rsid w:val="002E29CB"/>
    <w:rsid w:val="002E5395"/>
    <w:rsid w:val="003011B6"/>
    <w:rsid w:val="00305583"/>
    <w:rsid w:val="00314569"/>
    <w:rsid w:val="0033044E"/>
    <w:rsid w:val="0033486C"/>
    <w:rsid w:val="00361A96"/>
    <w:rsid w:val="00386EDE"/>
    <w:rsid w:val="003C30F7"/>
    <w:rsid w:val="003F4F09"/>
    <w:rsid w:val="004020BC"/>
    <w:rsid w:val="0040218A"/>
    <w:rsid w:val="0043287D"/>
    <w:rsid w:val="0044250B"/>
    <w:rsid w:val="00455C1E"/>
    <w:rsid w:val="004768CB"/>
    <w:rsid w:val="00482053"/>
    <w:rsid w:val="004964CD"/>
    <w:rsid w:val="004971BF"/>
    <w:rsid w:val="004A2DA1"/>
    <w:rsid w:val="004B2F0F"/>
    <w:rsid w:val="004F786E"/>
    <w:rsid w:val="00506605"/>
    <w:rsid w:val="005237A5"/>
    <w:rsid w:val="00526523"/>
    <w:rsid w:val="005277A5"/>
    <w:rsid w:val="00535E5E"/>
    <w:rsid w:val="00554D63"/>
    <w:rsid w:val="00596D41"/>
    <w:rsid w:val="005A71F4"/>
    <w:rsid w:val="005C5376"/>
    <w:rsid w:val="005C789C"/>
    <w:rsid w:val="005D2472"/>
    <w:rsid w:val="005D3A86"/>
    <w:rsid w:val="005D67AD"/>
    <w:rsid w:val="00613E34"/>
    <w:rsid w:val="00617447"/>
    <w:rsid w:val="00622B48"/>
    <w:rsid w:val="006231B2"/>
    <w:rsid w:val="006407D1"/>
    <w:rsid w:val="006441BB"/>
    <w:rsid w:val="0064636A"/>
    <w:rsid w:val="00683C4C"/>
    <w:rsid w:val="00692C95"/>
    <w:rsid w:val="00697380"/>
    <w:rsid w:val="006A21E3"/>
    <w:rsid w:val="006A7B20"/>
    <w:rsid w:val="006B4DE1"/>
    <w:rsid w:val="006B762F"/>
    <w:rsid w:val="006C2133"/>
    <w:rsid w:val="006C4137"/>
    <w:rsid w:val="006E5B01"/>
    <w:rsid w:val="0075103F"/>
    <w:rsid w:val="007C156B"/>
    <w:rsid w:val="007C19E6"/>
    <w:rsid w:val="00836EC1"/>
    <w:rsid w:val="00845E0A"/>
    <w:rsid w:val="00853BAF"/>
    <w:rsid w:val="008608CB"/>
    <w:rsid w:val="0086522F"/>
    <w:rsid w:val="00877326"/>
    <w:rsid w:val="00884F65"/>
    <w:rsid w:val="00885FA3"/>
    <w:rsid w:val="008910D8"/>
    <w:rsid w:val="008928EB"/>
    <w:rsid w:val="008B50AD"/>
    <w:rsid w:val="008D3E15"/>
    <w:rsid w:val="008E145A"/>
    <w:rsid w:val="008E2EB0"/>
    <w:rsid w:val="008E386C"/>
    <w:rsid w:val="009176A9"/>
    <w:rsid w:val="00927F07"/>
    <w:rsid w:val="00954414"/>
    <w:rsid w:val="00975182"/>
    <w:rsid w:val="009B681A"/>
    <w:rsid w:val="009C51DC"/>
    <w:rsid w:val="009E2157"/>
    <w:rsid w:val="009E7B4A"/>
    <w:rsid w:val="009F46DB"/>
    <w:rsid w:val="00A14CE9"/>
    <w:rsid w:val="00A4000C"/>
    <w:rsid w:val="00A40CBE"/>
    <w:rsid w:val="00A4227C"/>
    <w:rsid w:val="00A54183"/>
    <w:rsid w:val="00A60075"/>
    <w:rsid w:val="00A83B76"/>
    <w:rsid w:val="00A904DD"/>
    <w:rsid w:val="00A90B3B"/>
    <w:rsid w:val="00AC1070"/>
    <w:rsid w:val="00AE232C"/>
    <w:rsid w:val="00AE69C8"/>
    <w:rsid w:val="00B03651"/>
    <w:rsid w:val="00B204EE"/>
    <w:rsid w:val="00B51101"/>
    <w:rsid w:val="00B54CE4"/>
    <w:rsid w:val="00B84B4B"/>
    <w:rsid w:val="00B93F8A"/>
    <w:rsid w:val="00BC0163"/>
    <w:rsid w:val="00BC5637"/>
    <w:rsid w:val="00BD0B3C"/>
    <w:rsid w:val="00BD1294"/>
    <w:rsid w:val="00BF6FA8"/>
    <w:rsid w:val="00C17471"/>
    <w:rsid w:val="00C2767C"/>
    <w:rsid w:val="00C41742"/>
    <w:rsid w:val="00C42696"/>
    <w:rsid w:val="00C44542"/>
    <w:rsid w:val="00C951A2"/>
    <w:rsid w:val="00CA4635"/>
    <w:rsid w:val="00CC2A51"/>
    <w:rsid w:val="00CD5A0D"/>
    <w:rsid w:val="00D13B5B"/>
    <w:rsid w:val="00D210C1"/>
    <w:rsid w:val="00D23AF2"/>
    <w:rsid w:val="00D338F1"/>
    <w:rsid w:val="00D35DE8"/>
    <w:rsid w:val="00D401B9"/>
    <w:rsid w:val="00D40FF4"/>
    <w:rsid w:val="00D4707F"/>
    <w:rsid w:val="00D66913"/>
    <w:rsid w:val="00D87C6E"/>
    <w:rsid w:val="00DB3429"/>
    <w:rsid w:val="00DC3357"/>
    <w:rsid w:val="00DC4574"/>
    <w:rsid w:val="00DE04A5"/>
    <w:rsid w:val="00E009A9"/>
    <w:rsid w:val="00E02A1C"/>
    <w:rsid w:val="00E3623C"/>
    <w:rsid w:val="00E74197"/>
    <w:rsid w:val="00EA0A79"/>
    <w:rsid w:val="00EA6FE3"/>
    <w:rsid w:val="00EB0B35"/>
    <w:rsid w:val="00EC6265"/>
    <w:rsid w:val="00EC6BB9"/>
    <w:rsid w:val="00F321C2"/>
    <w:rsid w:val="00F53530"/>
    <w:rsid w:val="00F66340"/>
    <w:rsid w:val="00F8413C"/>
    <w:rsid w:val="00F97BF1"/>
    <w:rsid w:val="00FA5F5E"/>
    <w:rsid w:val="00FB0F27"/>
    <w:rsid w:val="00FD0E3F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0779"/>
  <w15:docId w15:val="{C5F61658-B8A4-4FE3-93AB-0D697C0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5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2B6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1C0D5B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,Liste couleur - Accent 11,List Paragraph,L_4,References,Paragraphe de liste1,List Paragraph1,normal,Premier,Normal11,Normal2,Normal3,Normal4,Normal5,Normal6,Normal7,Normal8,Normal9,Normal10,Normal111,Normal12,Normal13,Normal14"/>
    <w:basedOn w:val="Normal"/>
    <w:link w:val="ParagraphedelisteCar"/>
    <w:uiPriority w:val="34"/>
    <w:qFormat/>
    <w:rsid w:val="00D13B5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texte Car,Liste couleur - Accent 11 Car,List Paragraph Car,L_4 Car,References Car,Paragraphe de liste1 Car,List Paragraph1 Car,normal Car,Premier Car,Normal11 Car,Normal2 Car,Normal3 Car,Normal4 Car,Normal5 Car,Normal6 Car"/>
    <w:basedOn w:val="Policepardfaut"/>
    <w:link w:val="Paragraphedeliste"/>
    <w:uiPriority w:val="34"/>
    <w:rsid w:val="00D13B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3348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3486C"/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rsid w:val="001C0D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rsid w:val="00A83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2B6C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ev">
    <w:name w:val="Strong"/>
    <w:uiPriority w:val="22"/>
    <w:qFormat/>
    <w:rsid w:val="002B6C34"/>
    <w:rPr>
      <w:b/>
      <w:bCs/>
    </w:rPr>
  </w:style>
  <w:style w:type="paragraph" w:styleId="Notedebasdepage">
    <w:name w:val="footnote text"/>
    <w:aliases w:val="fn,ADB,single space,footnote text Char,fn Char,ADB Char,single space Char Char,Fußnotentextf,FOOTNOTES,Geneva 9,Font: Geneva 9,Boston 10,f,Footnote Text 1,Footnote Text Char Char Char,Char,ALTS FOOTNO,ft,Fußnote,Fu?notentextf"/>
    <w:basedOn w:val="Normal"/>
    <w:link w:val="NotedebasdepageCar"/>
    <w:uiPriority w:val="99"/>
    <w:unhideWhenUsed/>
    <w:rsid w:val="002B6C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aliases w:val="fn Car,ADB Car,single space Car,footnote text Char Car,fn Char Car,ADB Char Car,single space Char Char Car,Fußnotentextf Car,FOOTNOTES Car,Geneva 9 Car,Font: Geneva 9 Car,Boston 10 Car,f Car,Footnote Text 1 Car,Char Car,ft Car"/>
    <w:basedOn w:val="Policepardfaut"/>
    <w:link w:val="Notedebasdepage"/>
    <w:uiPriority w:val="99"/>
    <w:rsid w:val="002B6C34"/>
    <w:rPr>
      <w:sz w:val="20"/>
      <w:szCs w:val="20"/>
    </w:rPr>
  </w:style>
  <w:style w:type="character" w:styleId="Appelnotedebasdep">
    <w:name w:val="footnote reference"/>
    <w:aliases w:val="16 Point,Superscript 6 Point,ftref, BVI fnr,BVI fnr,Знак сноски 1,Normal + Font:9 Point,Superscript 3 Point Times,footnote ref,Superscript 6 Point + 11 pt,Carattere Char1,Carattere Char Char Carattere Carattere Char Char,fr"/>
    <w:basedOn w:val="Policepardfaut"/>
    <w:link w:val="BVIfnrCharCharChar"/>
    <w:uiPriority w:val="99"/>
    <w:unhideWhenUsed/>
    <w:rsid w:val="002B6C34"/>
    <w:rPr>
      <w:vertAlign w:val="superscript"/>
    </w:rPr>
  </w:style>
  <w:style w:type="paragraph" w:customStyle="1" w:styleId="BVIfnrCharCharChar">
    <w:name w:val="BVI fnr Char Char Char"/>
    <w:aliases w:val="ftref Char Char Char,16 Point Char Char Char,Superscript 6 Point Char Char Char"/>
    <w:basedOn w:val="Normal"/>
    <w:link w:val="Appelnotedebasdep"/>
    <w:uiPriority w:val="99"/>
    <w:rsid w:val="002B6C34"/>
    <w:pPr>
      <w:spacing w:before="120"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2B6C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2B6C34"/>
    <w:rPr>
      <w:rFonts w:ascii="Arial" w:eastAsia="Arial" w:hAnsi="Arial" w:cs="Arial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2B6C34"/>
    <w:rPr>
      <w:i/>
      <w:iCs/>
    </w:rPr>
  </w:style>
  <w:style w:type="paragraph" w:styleId="Corpsdetexte">
    <w:name w:val="Body Text"/>
    <w:basedOn w:val="Normal"/>
    <w:link w:val="CorpsdetexteCar"/>
    <w:uiPriority w:val="99"/>
    <w:unhideWhenUsed/>
    <w:rsid w:val="002E29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E29CB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2E29CB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E29CB"/>
    <w:pPr>
      <w:widowControl w:val="0"/>
      <w:autoSpaceDE w:val="0"/>
      <w:autoSpaceDN w:val="0"/>
      <w:spacing w:after="0" w:line="240" w:lineRule="auto"/>
      <w:ind w:left="107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867D-9A68-4E83-B3FE-2C6DCB48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ousmane.sedogo</dc:creator>
  <cp:lastModifiedBy>Salifou Zoungrana</cp:lastModifiedBy>
  <cp:revision>2</cp:revision>
  <dcterms:created xsi:type="dcterms:W3CDTF">2020-02-06T10:54:00Z</dcterms:created>
  <dcterms:modified xsi:type="dcterms:W3CDTF">2020-02-06T10:54:00Z</dcterms:modified>
</cp:coreProperties>
</file>